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77F5E4E6" w14:textId="77777777" w:rsidTr="00BF1190">
        <w:trPr>
          <w:trHeight w:val="1863"/>
        </w:trPr>
        <w:tc>
          <w:tcPr>
            <w:tcW w:w="3652" w:type="dxa"/>
            <w:tcBorders>
              <w:top w:val="nil"/>
              <w:left w:val="nil"/>
              <w:bottom w:val="nil"/>
              <w:right w:val="nil"/>
            </w:tcBorders>
          </w:tcPr>
          <w:p w14:paraId="71A59299" w14:textId="338481C8" w:rsidR="008E7846" w:rsidRPr="00096AA7" w:rsidRDefault="001654BA" w:rsidP="00096AA7">
            <w:pPr>
              <w:rPr>
                <w:rFonts w:ascii="Arial" w:hAnsi="Arial" w:cs="Arial"/>
                <w:b/>
                <w:color w:val="002C47"/>
                <w:sz w:val="36"/>
                <w:szCs w:val="36"/>
              </w:rPr>
            </w:pPr>
            <w:r>
              <w:rPr>
                <w:rFonts w:ascii="Arial" w:hAnsi="Arial" w:cs="Arial"/>
                <w:b/>
                <w:color w:val="002C47"/>
                <w:sz w:val="36"/>
                <w:szCs w:val="36"/>
              </w:rPr>
              <w:t>January 2016</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C8D2230" w14:textId="77777777" w:rsidTr="0032583B">
        <w:trPr>
          <w:trHeight w:val="868"/>
        </w:trPr>
        <w:tc>
          <w:tcPr>
            <w:tcW w:w="9079" w:type="dxa"/>
          </w:tcPr>
          <w:p w14:paraId="2F5B4C5C" w14:textId="57D166D2" w:rsidR="0032583B" w:rsidRPr="00A964D1" w:rsidRDefault="0032583B" w:rsidP="00CF42CC">
            <w:pPr>
              <w:pStyle w:val="Title"/>
              <w:framePr w:hSpace="0" w:wrap="auto" w:vAnchor="margin" w:yAlign="inline"/>
            </w:pPr>
            <w:r w:rsidRPr="00A964D1">
              <w:t>Australian Pu</w:t>
            </w:r>
            <w:r w:rsidR="0001394E">
              <w:t xml:space="preserve">blic Assessment Report for </w:t>
            </w:r>
            <w:r w:rsidR="002108E2">
              <w:t>b</w:t>
            </w:r>
            <w:r w:rsidR="00B3460C" w:rsidRPr="00B3460C">
              <w:t>udesonide</w:t>
            </w:r>
          </w:p>
        </w:tc>
      </w:tr>
      <w:tr w:rsidR="0032583B" w:rsidRPr="00B64760" w14:paraId="27B431E7" w14:textId="77777777" w:rsidTr="0032583B">
        <w:tc>
          <w:tcPr>
            <w:tcW w:w="9079" w:type="dxa"/>
          </w:tcPr>
          <w:p w14:paraId="2D657131" w14:textId="6C482F96" w:rsidR="0032583B" w:rsidRPr="00CF42CC" w:rsidRDefault="0032583B" w:rsidP="00CF42CC">
            <w:pPr>
              <w:pStyle w:val="Subtitle"/>
              <w:framePr w:hSpace="0" w:wrap="auto" w:vAnchor="margin" w:yAlign="inline"/>
            </w:pPr>
            <w:r w:rsidRPr="008E7846">
              <w:t xml:space="preserve">Proprietary Product Name: </w:t>
            </w:r>
            <w:proofErr w:type="spellStart"/>
            <w:r w:rsidR="0001394E">
              <w:t>Cortiment</w:t>
            </w:r>
            <w:proofErr w:type="spellEnd"/>
          </w:p>
        </w:tc>
      </w:tr>
      <w:tr w:rsidR="0032583B" w:rsidRPr="00B64760" w14:paraId="4A327E3A" w14:textId="77777777" w:rsidTr="0032583B">
        <w:trPr>
          <w:trHeight w:val="486"/>
        </w:trPr>
        <w:tc>
          <w:tcPr>
            <w:tcW w:w="9079" w:type="dxa"/>
          </w:tcPr>
          <w:p w14:paraId="46EB413C" w14:textId="285691AB" w:rsidR="0032583B" w:rsidRPr="00CF42CC" w:rsidRDefault="0032583B" w:rsidP="00CF42CC">
            <w:pPr>
              <w:pStyle w:val="Subtitle"/>
              <w:framePr w:hSpace="0" w:wrap="auto" w:vAnchor="margin" w:yAlign="inline"/>
            </w:pPr>
            <w:r w:rsidRPr="008E7846">
              <w:t xml:space="preserve">Sponsor: </w:t>
            </w:r>
            <w:r w:rsidR="0001394E">
              <w:t>Ferring Pharmaceuticals Pty Ltd</w:t>
            </w:r>
          </w:p>
        </w:tc>
      </w:tr>
    </w:tbl>
    <w:p w14:paraId="0E215256" w14:textId="77777777" w:rsidR="008E7846" w:rsidRPr="0085156D" w:rsidRDefault="008E7846" w:rsidP="0085156D">
      <w:r w:rsidRPr="0085156D">
        <w:br w:type="page"/>
      </w:r>
    </w:p>
    <w:p w14:paraId="2F6069DC" w14:textId="77777777" w:rsidR="008E7846" w:rsidRPr="001F6CBA" w:rsidRDefault="008E7846" w:rsidP="008E7846">
      <w:pPr>
        <w:pStyle w:val="NonTOCHeading2"/>
      </w:pPr>
      <w:r w:rsidRPr="001F6CBA">
        <w:lastRenderedPageBreak/>
        <w:t>About the Therapeutic Goods Administration (TGA)</w:t>
      </w:r>
    </w:p>
    <w:p w14:paraId="20C9F4BD" w14:textId="77777777" w:rsidR="008E7846" w:rsidRDefault="008E7846" w:rsidP="00DC20F1">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7EBECC00" w14:textId="77777777" w:rsidR="008E7846" w:rsidRDefault="00C80137" w:rsidP="00DC20F1">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14:paraId="78A517EE" w14:textId="77777777" w:rsidR="008E7846" w:rsidRDefault="008E7846" w:rsidP="00DC20F1">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7093F015" w14:textId="77777777" w:rsidR="008E7846" w:rsidRDefault="008E7846" w:rsidP="00DC20F1">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766E41BF" w14:textId="77777777" w:rsidR="008E7846" w:rsidRDefault="008E7846" w:rsidP="00DC20F1">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4F47D6">
          <w:rPr>
            <w:rStyle w:val="Hyperlink"/>
          </w:rPr>
          <w:t>https://www.tga.gov.au</w:t>
        </w:r>
      </w:hyperlink>
      <w:r w:rsidR="00112F56">
        <w:t>&gt;</w:t>
      </w:r>
      <w:r>
        <w:t>.</w:t>
      </w:r>
    </w:p>
    <w:p w14:paraId="7EDD40C8" w14:textId="77777777" w:rsidR="008E7846" w:rsidRDefault="008E7846" w:rsidP="008E7846">
      <w:pPr>
        <w:pStyle w:val="NonTOCHeading2"/>
      </w:pPr>
      <w:r>
        <w:t>About AusPARs</w:t>
      </w:r>
    </w:p>
    <w:p w14:paraId="090B375D" w14:textId="2865AD15" w:rsidR="008E7846" w:rsidRDefault="008E7846" w:rsidP="00DC20F1">
      <w:pPr>
        <w:pStyle w:val="ListBullet"/>
        <w:numPr>
          <w:ilvl w:val="0"/>
          <w:numId w:val="1"/>
        </w:numPr>
        <w:ind w:left="357" w:hanging="357"/>
      </w:pPr>
      <w:r>
        <w:t>An Australian Public Assessment Record (AusPAR) provides information about the evaluation of a prescription medicine and the considerations that led the TGA to approve or not approve a pr</w:t>
      </w:r>
      <w:r w:rsidR="000A19EC">
        <w:t>escription medicine submission.</w:t>
      </w:r>
    </w:p>
    <w:p w14:paraId="0E57A442" w14:textId="77777777" w:rsidR="008E7846" w:rsidRDefault="008E7846" w:rsidP="00DC20F1">
      <w:pPr>
        <w:pStyle w:val="ListBullet"/>
        <w:numPr>
          <w:ilvl w:val="0"/>
          <w:numId w:val="1"/>
        </w:numPr>
        <w:ind w:left="357" w:hanging="357"/>
      </w:pPr>
      <w:r>
        <w:t>AusPARs are prepared and published by the TGA.</w:t>
      </w:r>
    </w:p>
    <w:p w14:paraId="534537AA" w14:textId="77777777" w:rsidR="008E7846" w:rsidRDefault="008E7846" w:rsidP="00DC20F1">
      <w:pPr>
        <w:pStyle w:val="ListBullet"/>
        <w:numPr>
          <w:ilvl w:val="0"/>
          <w:numId w:val="1"/>
        </w:numPr>
        <w:ind w:left="357" w:hanging="357"/>
      </w:pPr>
      <w:r>
        <w:t>An AusPAR is prepared for submissions that relate to new chemical entities, generic medicines, major variations, and extensions of indications.</w:t>
      </w:r>
    </w:p>
    <w:p w14:paraId="21755DBC" w14:textId="77777777" w:rsidR="008E7846" w:rsidRDefault="008E7846" w:rsidP="00DC20F1">
      <w:pPr>
        <w:pStyle w:val="ListBullet"/>
        <w:numPr>
          <w:ilvl w:val="0"/>
          <w:numId w:val="1"/>
        </w:numPr>
        <w:ind w:left="357" w:hanging="357"/>
      </w:pPr>
      <w:r>
        <w:t>An AusPAR is a static document, in that it will provide information that relates to a submission at a particular point in time.</w:t>
      </w:r>
    </w:p>
    <w:p w14:paraId="2E99BB22" w14:textId="77777777" w:rsidR="00B452CE" w:rsidRDefault="008E7846" w:rsidP="00DC20F1">
      <w:pPr>
        <w:pStyle w:val="ListBullet"/>
        <w:numPr>
          <w:ilvl w:val="0"/>
          <w:numId w:val="1"/>
        </w:numPr>
        <w:ind w:left="357" w:hanging="357"/>
      </w:pPr>
      <w:r>
        <w:t>A new AusPAR will be developed to reflect changes to indications and/or major variations to a prescription medicine subject to evaluation by the TGA.</w:t>
      </w:r>
    </w:p>
    <w:p w14:paraId="5AACC5EA" w14:textId="77777777" w:rsidR="00924482" w:rsidRPr="00DF1D7F" w:rsidRDefault="00924482" w:rsidP="00F54B65">
      <w:pPr>
        <w:pStyle w:val="LegalSubheading"/>
        <w:spacing w:before="3120"/>
      </w:pPr>
      <w:r w:rsidRPr="00DF1D7F">
        <w:t>Copyright</w:t>
      </w:r>
    </w:p>
    <w:p w14:paraId="3131958C" w14:textId="4E203E57" w:rsidR="00924482" w:rsidRDefault="00924482" w:rsidP="00924482">
      <w:pPr>
        <w:pStyle w:val="LegalCopy"/>
      </w:pPr>
      <w:r w:rsidRPr="00191B3B">
        <w:rPr>
          <w:rFonts w:cs="Arial"/>
          <w:lang w:val="en-GB"/>
        </w:rPr>
        <w:t>© Comm</w:t>
      </w:r>
      <w:r>
        <w:rPr>
          <w:rFonts w:cs="Arial"/>
          <w:lang w:val="en-GB"/>
        </w:rPr>
        <w:t>onwealth of Australia 201</w:t>
      </w:r>
      <w:r w:rsidR="00C20875">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14:paraId="5642F925" w14:textId="77777777"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3B9DB31" w14:textId="77777777" w:rsidR="00B00F45" w:rsidRDefault="0089635C" w:rsidP="00FB268C">
          <w:pPr>
            <w:pStyle w:val="Contents"/>
            <w:rPr>
              <w:noProof/>
            </w:rPr>
          </w:pPr>
          <w:r w:rsidRPr="0010788A">
            <w:t>Contents</w:t>
          </w:r>
          <w:r w:rsidR="00DB6124">
            <w:fldChar w:fldCharType="begin"/>
          </w:r>
          <w:r>
            <w:instrText xml:space="preserve"> TOC \o "1-3" \h \z \u </w:instrText>
          </w:r>
          <w:r w:rsidR="00DB6124">
            <w:fldChar w:fldCharType="separate"/>
          </w:r>
        </w:p>
        <w:bookmarkStart w:id="2" w:name="_GoBack"/>
        <w:bookmarkEnd w:id="2"/>
        <w:p w14:paraId="4C1AC8BB" w14:textId="77777777" w:rsidR="00B00F45" w:rsidRDefault="00B00F45">
          <w:pPr>
            <w:pStyle w:val="TOC2"/>
            <w:rPr>
              <w:rFonts w:asciiTheme="minorHAnsi" w:eastAsiaTheme="minorEastAsia" w:hAnsiTheme="minorHAnsi" w:cstheme="minorBidi"/>
              <w:b w:val="0"/>
              <w:noProof/>
              <w:sz w:val="22"/>
              <w:lang w:eastAsia="en-AU"/>
            </w:rPr>
          </w:pPr>
          <w:r w:rsidRPr="003F2448">
            <w:rPr>
              <w:rStyle w:val="Hyperlink"/>
              <w:noProof/>
            </w:rPr>
            <w:fldChar w:fldCharType="begin"/>
          </w:r>
          <w:r w:rsidRPr="003F2448">
            <w:rPr>
              <w:rStyle w:val="Hyperlink"/>
              <w:noProof/>
            </w:rPr>
            <w:instrText xml:space="preserve"> </w:instrText>
          </w:r>
          <w:r>
            <w:rPr>
              <w:noProof/>
            </w:rPr>
            <w:instrText>HYPERLINK \l "_Toc442962636"</w:instrText>
          </w:r>
          <w:r w:rsidRPr="003F2448">
            <w:rPr>
              <w:rStyle w:val="Hyperlink"/>
              <w:noProof/>
            </w:rPr>
            <w:instrText xml:space="preserve"> </w:instrText>
          </w:r>
          <w:r w:rsidRPr="003F2448">
            <w:rPr>
              <w:rStyle w:val="Hyperlink"/>
              <w:noProof/>
            </w:rPr>
          </w:r>
          <w:r w:rsidRPr="003F2448">
            <w:rPr>
              <w:rStyle w:val="Hyperlink"/>
              <w:noProof/>
            </w:rPr>
            <w:fldChar w:fldCharType="separate"/>
          </w:r>
          <w:r w:rsidRPr="003F2448">
            <w:rPr>
              <w:rStyle w:val="Hyperlink"/>
              <w:noProof/>
            </w:rPr>
            <w:t>Common abbreviations used in this AusPAR</w:t>
          </w:r>
          <w:r>
            <w:rPr>
              <w:noProof/>
              <w:webHidden/>
            </w:rPr>
            <w:tab/>
          </w:r>
          <w:r>
            <w:rPr>
              <w:noProof/>
              <w:webHidden/>
            </w:rPr>
            <w:fldChar w:fldCharType="begin"/>
          </w:r>
          <w:r>
            <w:rPr>
              <w:noProof/>
              <w:webHidden/>
            </w:rPr>
            <w:instrText xml:space="preserve"> PAGEREF _Toc442962636 \h </w:instrText>
          </w:r>
          <w:r>
            <w:rPr>
              <w:noProof/>
              <w:webHidden/>
            </w:rPr>
          </w:r>
          <w:r>
            <w:rPr>
              <w:noProof/>
              <w:webHidden/>
            </w:rPr>
            <w:fldChar w:fldCharType="separate"/>
          </w:r>
          <w:r>
            <w:rPr>
              <w:noProof/>
              <w:webHidden/>
            </w:rPr>
            <w:t>5</w:t>
          </w:r>
          <w:r>
            <w:rPr>
              <w:noProof/>
              <w:webHidden/>
            </w:rPr>
            <w:fldChar w:fldCharType="end"/>
          </w:r>
          <w:r w:rsidRPr="003F2448">
            <w:rPr>
              <w:rStyle w:val="Hyperlink"/>
              <w:noProof/>
            </w:rPr>
            <w:fldChar w:fldCharType="end"/>
          </w:r>
        </w:p>
        <w:p w14:paraId="3A939749" w14:textId="77777777" w:rsidR="00B00F45" w:rsidRDefault="00B00F45">
          <w:pPr>
            <w:pStyle w:val="TOC2"/>
            <w:rPr>
              <w:rFonts w:asciiTheme="minorHAnsi" w:eastAsiaTheme="minorEastAsia" w:hAnsiTheme="minorHAnsi" w:cstheme="minorBidi"/>
              <w:b w:val="0"/>
              <w:noProof/>
              <w:sz w:val="22"/>
              <w:lang w:eastAsia="en-AU"/>
            </w:rPr>
          </w:pPr>
          <w:hyperlink w:anchor="_Toc442962637" w:history="1">
            <w:r w:rsidRPr="003F2448">
              <w:rPr>
                <w:rStyle w:val="Hyperlink"/>
                <w:noProof/>
              </w:rPr>
              <w:t>I. Introduction to product submission</w:t>
            </w:r>
            <w:r>
              <w:rPr>
                <w:noProof/>
                <w:webHidden/>
              </w:rPr>
              <w:tab/>
            </w:r>
            <w:r>
              <w:rPr>
                <w:noProof/>
                <w:webHidden/>
              </w:rPr>
              <w:fldChar w:fldCharType="begin"/>
            </w:r>
            <w:r>
              <w:rPr>
                <w:noProof/>
                <w:webHidden/>
              </w:rPr>
              <w:instrText xml:space="preserve"> PAGEREF _Toc442962637 \h </w:instrText>
            </w:r>
            <w:r>
              <w:rPr>
                <w:noProof/>
                <w:webHidden/>
              </w:rPr>
            </w:r>
            <w:r>
              <w:rPr>
                <w:noProof/>
                <w:webHidden/>
              </w:rPr>
              <w:fldChar w:fldCharType="separate"/>
            </w:r>
            <w:r>
              <w:rPr>
                <w:noProof/>
                <w:webHidden/>
              </w:rPr>
              <w:t>7</w:t>
            </w:r>
            <w:r>
              <w:rPr>
                <w:noProof/>
                <w:webHidden/>
              </w:rPr>
              <w:fldChar w:fldCharType="end"/>
            </w:r>
          </w:hyperlink>
        </w:p>
        <w:p w14:paraId="4B1F8DD5" w14:textId="77777777" w:rsidR="00B00F45" w:rsidRDefault="00B00F45">
          <w:pPr>
            <w:pStyle w:val="TOC3"/>
            <w:rPr>
              <w:rFonts w:asciiTheme="minorHAnsi" w:eastAsiaTheme="minorEastAsia" w:hAnsiTheme="minorHAnsi" w:cstheme="minorBidi"/>
              <w:noProof/>
              <w:lang w:eastAsia="en-AU"/>
            </w:rPr>
          </w:pPr>
          <w:hyperlink w:anchor="_Toc442962638" w:history="1">
            <w:r w:rsidRPr="003F2448">
              <w:rPr>
                <w:rStyle w:val="Hyperlink"/>
                <w:noProof/>
                <w:lang w:eastAsia="en-AU"/>
              </w:rPr>
              <w:t>Submission details</w:t>
            </w:r>
            <w:r>
              <w:rPr>
                <w:noProof/>
                <w:webHidden/>
              </w:rPr>
              <w:tab/>
            </w:r>
            <w:r>
              <w:rPr>
                <w:noProof/>
                <w:webHidden/>
              </w:rPr>
              <w:fldChar w:fldCharType="begin"/>
            </w:r>
            <w:r>
              <w:rPr>
                <w:noProof/>
                <w:webHidden/>
              </w:rPr>
              <w:instrText xml:space="preserve"> PAGEREF _Toc442962638 \h </w:instrText>
            </w:r>
            <w:r>
              <w:rPr>
                <w:noProof/>
                <w:webHidden/>
              </w:rPr>
            </w:r>
            <w:r>
              <w:rPr>
                <w:noProof/>
                <w:webHidden/>
              </w:rPr>
              <w:fldChar w:fldCharType="separate"/>
            </w:r>
            <w:r>
              <w:rPr>
                <w:noProof/>
                <w:webHidden/>
              </w:rPr>
              <w:t>7</w:t>
            </w:r>
            <w:r>
              <w:rPr>
                <w:noProof/>
                <w:webHidden/>
              </w:rPr>
              <w:fldChar w:fldCharType="end"/>
            </w:r>
          </w:hyperlink>
        </w:p>
        <w:p w14:paraId="1490F4B4" w14:textId="77777777" w:rsidR="00B00F45" w:rsidRDefault="00B00F45">
          <w:pPr>
            <w:pStyle w:val="TOC3"/>
            <w:rPr>
              <w:rFonts w:asciiTheme="minorHAnsi" w:eastAsiaTheme="minorEastAsia" w:hAnsiTheme="minorHAnsi" w:cstheme="minorBidi"/>
              <w:noProof/>
              <w:lang w:eastAsia="en-AU"/>
            </w:rPr>
          </w:pPr>
          <w:hyperlink w:anchor="_Toc442962639" w:history="1">
            <w:r w:rsidRPr="003F2448">
              <w:rPr>
                <w:rStyle w:val="Hyperlink"/>
                <w:noProof/>
              </w:rPr>
              <w:t>Product background</w:t>
            </w:r>
            <w:r>
              <w:rPr>
                <w:noProof/>
                <w:webHidden/>
              </w:rPr>
              <w:tab/>
            </w:r>
            <w:r>
              <w:rPr>
                <w:noProof/>
                <w:webHidden/>
              </w:rPr>
              <w:fldChar w:fldCharType="begin"/>
            </w:r>
            <w:r>
              <w:rPr>
                <w:noProof/>
                <w:webHidden/>
              </w:rPr>
              <w:instrText xml:space="preserve"> PAGEREF _Toc442962639 \h </w:instrText>
            </w:r>
            <w:r>
              <w:rPr>
                <w:noProof/>
                <w:webHidden/>
              </w:rPr>
            </w:r>
            <w:r>
              <w:rPr>
                <w:noProof/>
                <w:webHidden/>
              </w:rPr>
              <w:fldChar w:fldCharType="separate"/>
            </w:r>
            <w:r>
              <w:rPr>
                <w:noProof/>
                <w:webHidden/>
              </w:rPr>
              <w:t>7</w:t>
            </w:r>
            <w:r>
              <w:rPr>
                <w:noProof/>
                <w:webHidden/>
              </w:rPr>
              <w:fldChar w:fldCharType="end"/>
            </w:r>
          </w:hyperlink>
        </w:p>
        <w:p w14:paraId="18086C71" w14:textId="77777777" w:rsidR="00B00F45" w:rsidRDefault="00B00F45">
          <w:pPr>
            <w:pStyle w:val="TOC3"/>
            <w:rPr>
              <w:rFonts w:asciiTheme="minorHAnsi" w:eastAsiaTheme="minorEastAsia" w:hAnsiTheme="minorHAnsi" w:cstheme="minorBidi"/>
              <w:noProof/>
              <w:lang w:eastAsia="en-AU"/>
            </w:rPr>
          </w:pPr>
          <w:hyperlink w:anchor="_Toc442962640" w:history="1">
            <w:r w:rsidRPr="003F2448">
              <w:rPr>
                <w:rStyle w:val="Hyperlink"/>
                <w:noProof/>
              </w:rPr>
              <w:t>Regulatory status</w:t>
            </w:r>
            <w:r>
              <w:rPr>
                <w:noProof/>
                <w:webHidden/>
              </w:rPr>
              <w:tab/>
            </w:r>
            <w:r>
              <w:rPr>
                <w:noProof/>
                <w:webHidden/>
              </w:rPr>
              <w:fldChar w:fldCharType="begin"/>
            </w:r>
            <w:r>
              <w:rPr>
                <w:noProof/>
                <w:webHidden/>
              </w:rPr>
              <w:instrText xml:space="preserve"> PAGEREF _Toc442962640 \h </w:instrText>
            </w:r>
            <w:r>
              <w:rPr>
                <w:noProof/>
                <w:webHidden/>
              </w:rPr>
            </w:r>
            <w:r>
              <w:rPr>
                <w:noProof/>
                <w:webHidden/>
              </w:rPr>
              <w:fldChar w:fldCharType="separate"/>
            </w:r>
            <w:r>
              <w:rPr>
                <w:noProof/>
                <w:webHidden/>
              </w:rPr>
              <w:t>8</w:t>
            </w:r>
            <w:r>
              <w:rPr>
                <w:noProof/>
                <w:webHidden/>
              </w:rPr>
              <w:fldChar w:fldCharType="end"/>
            </w:r>
          </w:hyperlink>
        </w:p>
        <w:p w14:paraId="1634F6BB" w14:textId="77777777" w:rsidR="00B00F45" w:rsidRDefault="00B00F45">
          <w:pPr>
            <w:pStyle w:val="TOC3"/>
            <w:rPr>
              <w:rFonts w:asciiTheme="minorHAnsi" w:eastAsiaTheme="minorEastAsia" w:hAnsiTheme="minorHAnsi" w:cstheme="minorBidi"/>
              <w:noProof/>
              <w:lang w:eastAsia="en-AU"/>
            </w:rPr>
          </w:pPr>
          <w:hyperlink w:anchor="_Toc442962641" w:history="1">
            <w:r w:rsidRPr="003F2448">
              <w:rPr>
                <w:rStyle w:val="Hyperlink"/>
                <w:noProof/>
              </w:rPr>
              <w:t>Product Information</w:t>
            </w:r>
            <w:r>
              <w:rPr>
                <w:noProof/>
                <w:webHidden/>
              </w:rPr>
              <w:tab/>
            </w:r>
            <w:r>
              <w:rPr>
                <w:noProof/>
                <w:webHidden/>
              </w:rPr>
              <w:fldChar w:fldCharType="begin"/>
            </w:r>
            <w:r>
              <w:rPr>
                <w:noProof/>
                <w:webHidden/>
              </w:rPr>
              <w:instrText xml:space="preserve"> PAGEREF _Toc442962641 \h </w:instrText>
            </w:r>
            <w:r>
              <w:rPr>
                <w:noProof/>
                <w:webHidden/>
              </w:rPr>
            </w:r>
            <w:r>
              <w:rPr>
                <w:noProof/>
                <w:webHidden/>
              </w:rPr>
              <w:fldChar w:fldCharType="separate"/>
            </w:r>
            <w:r>
              <w:rPr>
                <w:noProof/>
                <w:webHidden/>
              </w:rPr>
              <w:t>10</w:t>
            </w:r>
            <w:r>
              <w:rPr>
                <w:noProof/>
                <w:webHidden/>
              </w:rPr>
              <w:fldChar w:fldCharType="end"/>
            </w:r>
          </w:hyperlink>
        </w:p>
        <w:p w14:paraId="08EA28F2" w14:textId="77777777" w:rsidR="00B00F45" w:rsidRDefault="00B00F45">
          <w:pPr>
            <w:pStyle w:val="TOC2"/>
            <w:rPr>
              <w:rFonts w:asciiTheme="minorHAnsi" w:eastAsiaTheme="minorEastAsia" w:hAnsiTheme="minorHAnsi" w:cstheme="minorBidi"/>
              <w:b w:val="0"/>
              <w:noProof/>
              <w:sz w:val="22"/>
              <w:lang w:eastAsia="en-AU"/>
            </w:rPr>
          </w:pPr>
          <w:hyperlink w:anchor="_Toc442962642" w:history="1">
            <w:r w:rsidRPr="003F2448">
              <w:rPr>
                <w:rStyle w:val="Hyperlink"/>
                <w:noProof/>
              </w:rPr>
              <w:t>II. Quality findings</w:t>
            </w:r>
            <w:r>
              <w:rPr>
                <w:noProof/>
                <w:webHidden/>
              </w:rPr>
              <w:tab/>
            </w:r>
            <w:r>
              <w:rPr>
                <w:noProof/>
                <w:webHidden/>
              </w:rPr>
              <w:fldChar w:fldCharType="begin"/>
            </w:r>
            <w:r>
              <w:rPr>
                <w:noProof/>
                <w:webHidden/>
              </w:rPr>
              <w:instrText xml:space="preserve"> PAGEREF _Toc442962642 \h </w:instrText>
            </w:r>
            <w:r>
              <w:rPr>
                <w:noProof/>
                <w:webHidden/>
              </w:rPr>
            </w:r>
            <w:r>
              <w:rPr>
                <w:noProof/>
                <w:webHidden/>
              </w:rPr>
              <w:fldChar w:fldCharType="separate"/>
            </w:r>
            <w:r>
              <w:rPr>
                <w:noProof/>
                <w:webHidden/>
              </w:rPr>
              <w:t>10</w:t>
            </w:r>
            <w:r>
              <w:rPr>
                <w:noProof/>
                <w:webHidden/>
              </w:rPr>
              <w:fldChar w:fldCharType="end"/>
            </w:r>
          </w:hyperlink>
        </w:p>
        <w:p w14:paraId="1A318A8F" w14:textId="77777777" w:rsidR="00B00F45" w:rsidRDefault="00B00F45">
          <w:pPr>
            <w:pStyle w:val="TOC3"/>
            <w:rPr>
              <w:rFonts w:asciiTheme="minorHAnsi" w:eastAsiaTheme="minorEastAsia" w:hAnsiTheme="minorHAnsi" w:cstheme="minorBidi"/>
              <w:noProof/>
              <w:lang w:eastAsia="en-AU"/>
            </w:rPr>
          </w:pPr>
          <w:hyperlink w:anchor="_Toc442962643" w:history="1">
            <w:r w:rsidRPr="003F2448">
              <w:rPr>
                <w:rStyle w:val="Hyperlink"/>
                <w:noProof/>
              </w:rPr>
              <w:t>Introduction</w:t>
            </w:r>
            <w:r>
              <w:rPr>
                <w:noProof/>
                <w:webHidden/>
              </w:rPr>
              <w:tab/>
            </w:r>
            <w:r>
              <w:rPr>
                <w:noProof/>
                <w:webHidden/>
              </w:rPr>
              <w:fldChar w:fldCharType="begin"/>
            </w:r>
            <w:r>
              <w:rPr>
                <w:noProof/>
                <w:webHidden/>
              </w:rPr>
              <w:instrText xml:space="preserve"> PAGEREF _Toc442962643 \h </w:instrText>
            </w:r>
            <w:r>
              <w:rPr>
                <w:noProof/>
                <w:webHidden/>
              </w:rPr>
            </w:r>
            <w:r>
              <w:rPr>
                <w:noProof/>
                <w:webHidden/>
              </w:rPr>
              <w:fldChar w:fldCharType="separate"/>
            </w:r>
            <w:r>
              <w:rPr>
                <w:noProof/>
                <w:webHidden/>
              </w:rPr>
              <w:t>10</w:t>
            </w:r>
            <w:r>
              <w:rPr>
                <w:noProof/>
                <w:webHidden/>
              </w:rPr>
              <w:fldChar w:fldCharType="end"/>
            </w:r>
          </w:hyperlink>
        </w:p>
        <w:p w14:paraId="799D3DBA" w14:textId="77777777" w:rsidR="00B00F45" w:rsidRDefault="00B00F45">
          <w:pPr>
            <w:pStyle w:val="TOC3"/>
            <w:rPr>
              <w:rFonts w:asciiTheme="minorHAnsi" w:eastAsiaTheme="minorEastAsia" w:hAnsiTheme="minorHAnsi" w:cstheme="minorBidi"/>
              <w:noProof/>
              <w:lang w:eastAsia="en-AU"/>
            </w:rPr>
          </w:pPr>
          <w:hyperlink w:anchor="_Toc442962644" w:history="1">
            <w:r w:rsidRPr="003F2448">
              <w:rPr>
                <w:rStyle w:val="Hyperlink"/>
                <w:noProof/>
              </w:rPr>
              <w:t>Drug substance (active ingredient)</w:t>
            </w:r>
            <w:r>
              <w:rPr>
                <w:noProof/>
                <w:webHidden/>
              </w:rPr>
              <w:tab/>
            </w:r>
            <w:r>
              <w:rPr>
                <w:noProof/>
                <w:webHidden/>
              </w:rPr>
              <w:fldChar w:fldCharType="begin"/>
            </w:r>
            <w:r>
              <w:rPr>
                <w:noProof/>
                <w:webHidden/>
              </w:rPr>
              <w:instrText xml:space="preserve"> PAGEREF _Toc442962644 \h </w:instrText>
            </w:r>
            <w:r>
              <w:rPr>
                <w:noProof/>
                <w:webHidden/>
              </w:rPr>
            </w:r>
            <w:r>
              <w:rPr>
                <w:noProof/>
                <w:webHidden/>
              </w:rPr>
              <w:fldChar w:fldCharType="separate"/>
            </w:r>
            <w:r>
              <w:rPr>
                <w:noProof/>
                <w:webHidden/>
              </w:rPr>
              <w:t>10</w:t>
            </w:r>
            <w:r>
              <w:rPr>
                <w:noProof/>
                <w:webHidden/>
              </w:rPr>
              <w:fldChar w:fldCharType="end"/>
            </w:r>
          </w:hyperlink>
        </w:p>
        <w:p w14:paraId="2056081A" w14:textId="77777777" w:rsidR="00B00F45" w:rsidRDefault="00B00F45">
          <w:pPr>
            <w:pStyle w:val="TOC3"/>
            <w:rPr>
              <w:rFonts w:asciiTheme="minorHAnsi" w:eastAsiaTheme="minorEastAsia" w:hAnsiTheme="minorHAnsi" w:cstheme="minorBidi"/>
              <w:noProof/>
              <w:lang w:eastAsia="en-AU"/>
            </w:rPr>
          </w:pPr>
          <w:hyperlink w:anchor="_Toc442962645" w:history="1">
            <w:r w:rsidRPr="003F2448">
              <w:rPr>
                <w:rStyle w:val="Hyperlink"/>
                <w:noProof/>
              </w:rPr>
              <w:t>Drug product</w:t>
            </w:r>
            <w:r>
              <w:rPr>
                <w:noProof/>
                <w:webHidden/>
              </w:rPr>
              <w:tab/>
            </w:r>
            <w:r>
              <w:rPr>
                <w:noProof/>
                <w:webHidden/>
              </w:rPr>
              <w:fldChar w:fldCharType="begin"/>
            </w:r>
            <w:r>
              <w:rPr>
                <w:noProof/>
                <w:webHidden/>
              </w:rPr>
              <w:instrText xml:space="preserve"> PAGEREF _Toc442962645 \h </w:instrText>
            </w:r>
            <w:r>
              <w:rPr>
                <w:noProof/>
                <w:webHidden/>
              </w:rPr>
            </w:r>
            <w:r>
              <w:rPr>
                <w:noProof/>
                <w:webHidden/>
              </w:rPr>
              <w:fldChar w:fldCharType="separate"/>
            </w:r>
            <w:r>
              <w:rPr>
                <w:noProof/>
                <w:webHidden/>
              </w:rPr>
              <w:t>11</w:t>
            </w:r>
            <w:r>
              <w:rPr>
                <w:noProof/>
                <w:webHidden/>
              </w:rPr>
              <w:fldChar w:fldCharType="end"/>
            </w:r>
          </w:hyperlink>
        </w:p>
        <w:p w14:paraId="1F8186C5" w14:textId="77777777" w:rsidR="00B00F45" w:rsidRDefault="00B00F45">
          <w:pPr>
            <w:pStyle w:val="TOC3"/>
            <w:rPr>
              <w:rFonts w:asciiTheme="minorHAnsi" w:eastAsiaTheme="minorEastAsia" w:hAnsiTheme="minorHAnsi" w:cstheme="minorBidi"/>
              <w:noProof/>
              <w:lang w:eastAsia="en-AU"/>
            </w:rPr>
          </w:pPr>
          <w:hyperlink w:anchor="_Toc442962646" w:history="1">
            <w:r w:rsidRPr="003F2448">
              <w:rPr>
                <w:rStyle w:val="Hyperlink"/>
                <w:noProof/>
              </w:rPr>
              <w:t>Biopharmaceutics</w:t>
            </w:r>
            <w:r>
              <w:rPr>
                <w:noProof/>
                <w:webHidden/>
              </w:rPr>
              <w:tab/>
            </w:r>
            <w:r>
              <w:rPr>
                <w:noProof/>
                <w:webHidden/>
              </w:rPr>
              <w:fldChar w:fldCharType="begin"/>
            </w:r>
            <w:r>
              <w:rPr>
                <w:noProof/>
                <w:webHidden/>
              </w:rPr>
              <w:instrText xml:space="preserve"> PAGEREF _Toc442962646 \h </w:instrText>
            </w:r>
            <w:r>
              <w:rPr>
                <w:noProof/>
                <w:webHidden/>
              </w:rPr>
            </w:r>
            <w:r>
              <w:rPr>
                <w:noProof/>
                <w:webHidden/>
              </w:rPr>
              <w:fldChar w:fldCharType="separate"/>
            </w:r>
            <w:r>
              <w:rPr>
                <w:noProof/>
                <w:webHidden/>
              </w:rPr>
              <w:t>12</w:t>
            </w:r>
            <w:r>
              <w:rPr>
                <w:noProof/>
                <w:webHidden/>
              </w:rPr>
              <w:fldChar w:fldCharType="end"/>
            </w:r>
          </w:hyperlink>
        </w:p>
        <w:p w14:paraId="471BE552" w14:textId="77777777" w:rsidR="00B00F45" w:rsidRDefault="00B00F45">
          <w:pPr>
            <w:pStyle w:val="TOC3"/>
            <w:rPr>
              <w:rFonts w:asciiTheme="minorHAnsi" w:eastAsiaTheme="minorEastAsia" w:hAnsiTheme="minorHAnsi" w:cstheme="minorBidi"/>
              <w:noProof/>
              <w:lang w:eastAsia="en-AU"/>
            </w:rPr>
          </w:pPr>
          <w:hyperlink w:anchor="_Toc442962647" w:history="1">
            <w:r w:rsidRPr="003F2448">
              <w:rPr>
                <w:rStyle w:val="Hyperlink"/>
                <w:noProof/>
              </w:rPr>
              <w:t>Quality summary and conclusions</w:t>
            </w:r>
            <w:r>
              <w:rPr>
                <w:noProof/>
                <w:webHidden/>
              </w:rPr>
              <w:tab/>
            </w:r>
            <w:r>
              <w:rPr>
                <w:noProof/>
                <w:webHidden/>
              </w:rPr>
              <w:fldChar w:fldCharType="begin"/>
            </w:r>
            <w:r>
              <w:rPr>
                <w:noProof/>
                <w:webHidden/>
              </w:rPr>
              <w:instrText xml:space="preserve"> PAGEREF _Toc442962647 \h </w:instrText>
            </w:r>
            <w:r>
              <w:rPr>
                <w:noProof/>
                <w:webHidden/>
              </w:rPr>
            </w:r>
            <w:r>
              <w:rPr>
                <w:noProof/>
                <w:webHidden/>
              </w:rPr>
              <w:fldChar w:fldCharType="separate"/>
            </w:r>
            <w:r>
              <w:rPr>
                <w:noProof/>
                <w:webHidden/>
              </w:rPr>
              <w:t>15</w:t>
            </w:r>
            <w:r>
              <w:rPr>
                <w:noProof/>
                <w:webHidden/>
              </w:rPr>
              <w:fldChar w:fldCharType="end"/>
            </w:r>
          </w:hyperlink>
        </w:p>
        <w:p w14:paraId="143945A5" w14:textId="77777777" w:rsidR="00B00F45" w:rsidRDefault="00B00F45">
          <w:pPr>
            <w:pStyle w:val="TOC2"/>
            <w:rPr>
              <w:rFonts w:asciiTheme="minorHAnsi" w:eastAsiaTheme="minorEastAsia" w:hAnsiTheme="minorHAnsi" w:cstheme="minorBidi"/>
              <w:b w:val="0"/>
              <w:noProof/>
              <w:sz w:val="22"/>
              <w:lang w:eastAsia="en-AU"/>
            </w:rPr>
          </w:pPr>
          <w:hyperlink w:anchor="_Toc442962648" w:history="1">
            <w:r w:rsidRPr="003F2448">
              <w:rPr>
                <w:rStyle w:val="Hyperlink"/>
                <w:noProof/>
              </w:rPr>
              <w:t>III. Nonclinical findings</w:t>
            </w:r>
            <w:r>
              <w:rPr>
                <w:noProof/>
                <w:webHidden/>
              </w:rPr>
              <w:tab/>
            </w:r>
            <w:r>
              <w:rPr>
                <w:noProof/>
                <w:webHidden/>
              </w:rPr>
              <w:fldChar w:fldCharType="begin"/>
            </w:r>
            <w:r>
              <w:rPr>
                <w:noProof/>
                <w:webHidden/>
              </w:rPr>
              <w:instrText xml:space="preserve"> PAGEREF _Toc442962648 \h </w:instrText>
            </w:r>
            <w:r>
              <w:rPr>
                <w:noProof/>
                <w:webHidden/>
              </w:rPr>
            </w:r>
            <w:r>
              <w:rPr>
                <w:noProof/>
                <w:webHidden/>
              </w:rPr>
              <w:fldChar w:fldCharType="separate"/>
            </w:r>
            <w:r>
              <w:rPr>
                <w:noProof/>
                <w:webHidden/>
              </w:rPr>
              <w:t>15</w:t>
            </w:r>
            <w:r>
              <w:rPr>
                <w:noProof/>
                <w:webHidden/>
              </w:rPr>
              <w:fldChar w:fldCharType="end"/>
            </w:r>
          </w:hyperlink>
        </w:p>
        <w:p w14:paraId="74319006" w14:textId="77777777" w:rsidR="00B00F45" w:rsidRDefault="00B00F45">
          <w:pPr>
            <w:pStyle w:val="TOC3"/>
            <w:rPr>
              <w:rFonts w:asciiTheme="minorHAnsi" w:eastAsiaTheme="minorEastAsia" w:hAnsiTheme="minorHAnsi" w:cstheme="minorBidi"/>
              <w:noProof/>
              <w:lang w:eastAsia="en-AU"/>
            </w:rPr>
          </w:pPr>
          <w:hyperlink w:anchor="_Toc442962649" w:history="1">
            <w:r w:rsidRPr="003F2448">
              <w:rPr>
                <w:rStyle w:val="Hyperlink"/>
                <w:noProof/>
              </w:rPr>
              <w:t>Introduction</w:t>
            </w:r>
            <w:r>
              <w:rPr>
                <w:noProof/>
                <w:webHidden/>
              </w:rPr>
              <w:tab/>
            </w:r>
            <w:r>
              <w:rPr>
                <w:noProof/>
                <w:webHidden/>
              </w:rPr>
              <w:fldChar w:fldCharType="begin"/>
            </w:r>
            <w:r>
              <w:rPr>
                <w:noProof/>
                <w:webHidden/>
              </w:rPr>
              <w:instrText xml:space="preserve"> PAGEREF _Toc442962649 \h </w:instrText>
            </w:r>
            <w:r>
              <w:rPr>
                <w:noProof/>
                <w:webHidden/>
              </w:rPr>
            </w:r>
            <w:r>
              <w:rPr>
                <w:noProof/>
                <w:webHidden/>
              </w:rPr>
              <w:fldChar w:fldCharType="separate"/>
            </w:r>
            <w:r>
              <w:rPr>
                <w:noProof/>
                <w:webHidden/>
              </w:rPr>
              <w:t>15</w:t>
            </w:r>
            <w:r>
              <w:rPr>
                <w:noProof/>
                <w:webHidden/>
              </w:rPr>
              <w:fldChar w:fldCharType="end"/>
            </w:r>
          </w:hyperlink>
        </w:p>
        <w:p w14:paraId="2C6F2227" w14:textId="77777777" w:rsidR="00B00F45" w:rsidRDefault="00B00F45">
          <w:pPr>
            <w:pStyle w:val="TOC3"/>
            <w:rPr>
              <w:rFonts w:asciiTheme="minorHAnsi" w:eastAsiaTheme="minorEastAsia" w:hAnsiTheme="minorHAnsi" w:cstheme="minorBidi"/>
              <w:noProof/>
              <w:lang w:eastAsia="en-AU"/>
            </w:rPr>
          </w:pPr>
          <w:hyperlink w:anchor="_Toc442962650" w:history="1">
            <w:r w:rsidRPr="003F2448">
              <w:rPr>
                <w:rStyle w:val="Hyperlink"/>
                <w:noProof/>
              </w:rPr>
              <w:t>Pharmacology</w:t>
            </w:r>
            <w:r>
              <w:rPr>
                <w:noProof/>
                <w:webHidden/>
              </w:rPr>
              <w:tab/>
            </w:r>
            <w:r>
              <w:rPr>
                <w:noProof/>
                <w:webHidden/>
              </w:rPr>
              <w:fldChar w:fldCharType="begin"/>
            </w:r>
            <w:r>
              <w:rPr>
                <w:noProof/>
                <w:webHidden/>
              </w:rPr>
              <w:instrText xml:space="preserve"> PAGEREF _Toc442962650 \h </w:instrText>
            </w:r>
            <w:r>
              <w:rPr>
                <w:noProof/>
                <w:webHidden/>
              </w:rPr>
            </w:r>
            <w:r>
              <w:rPr>
                <w:noProof/>
                <w:webHidden/>
              </w:rPr>
              <w:fldChar w:fldCharType="separate"/>
            </w:r>
            <w:r>
              <w:rPr>
                <w:noProof/>
                <w:webHidden/>
              </w:rPr>
              <w:t>15</w:t>
            </w:r>
            <w:r>
              <w:rPr>
                <w:noProof/>
                <w:webHidden/>
              </w:rPr>
              <w:fldChar w:fldCharType="end"/>
            </w:r>
          </w:hyperlink>
        </w:p>
        <w:p w14:paraId="3E7E0244" w14:textId="77777777" w:rsidR="00B00F45" w:rsidRDefault="00B00F45">
          <w:pPr>
            <w:pStyle w:val="TOC3"/>
            <w:rPr>
              <w:rFonts w:asciiTheme="minorHAnsi" w:eastAsiaTheme="minorEastAsia" w:hAnsiTheme="minorHAnsi" w:cstheme="minorBidi"/>
              <w:noProof/>
              <w:lang w:eastAsia="en-AU"/>
            </w:rPr>
          </w:pPr>
          <w:hyperlink w:anchor="_Toc442962651" w:history="1">
            <w:r w:rsidRPr="003F2448">
              <w:rPr>
                <w:rStyle w:val="Hyperlink"/>
                <w:noProof/>
              </w:rPr>
              <w:t>Pharmacokinetics</w:t>
            </w:r>
            <w:r>
              <w:rPr>
                <w:noProof/>
                <w:webHidden/>
              </w:rPr>
              <w:tab/>
            </w:r>
            <w:r>
              <w:rPr>
                <w:noProof/>
                <w:webHidden/>
              </w:rPr>
              <w:fldChar w:fldCharType="begin"/>
            </w:r>
            <w:r>
              <w:rPr>
                <w:noProof/>
                <w:webHidden/>
              </w:rPr>
              <w:instrText xml:space="preserve"> PAGEREF _Toc442962651 \h </w:instrText>
            </w:r>
            <w:r>
              <w:rPr>
                <w:noProof/>
                <w:webHidden/>
              </w:rPr>
            </w:r>
            <w:r>
              <w:rPr>
                <w:noProof/>
                <w:webHidden/>
              </w:rPr>
              <w:fldChar w:fldCharType="separate"/>
            </w:r>
            <w:r>
              <w:rPr>
                <w:noProof/>
                <w:webHidden/>
              </w:rPr>
              <w:t>16</w:t>
            </w:r>
            <w:r>
              <w:rPr>
                <w:noProof/>
                <w:webHidden/>
              </w:rPr>
              <w:fldChar w:fldCharType="end"/>
            </w:r>
          </w:hyperlink>
        </w:p>
        <w:p w14:paraId="0329CB37" w14:textId="77777777" w:rsidR="00B00F45" w:rsidRDefault="00B00F45">
          <w:pPr>
            <w:pStyle w:val="TOC3"/>
            <w:rPr>
              <w:rFonts w:asciiTheme="minorHAnsi" w:eastAsiaTheme="minorEastAsia" w:hAnsiTheme="minorHAnsi" w:cstheme="minorBidi"/>
              <w:noProof/>
              <w:lang w:eastAsia="en-AU"/>
            </w:rPr>
          </w:pPr>
          <w:hyperlink w:anchor="_Toc442962652" w:history="1">
            <w:r w:rsidRPr="003F2448">
              <w:rPr>
                <w:rStyle w:val="Hyperlink"/>
                <w:noProof/>
              </w:rPr>
              <w:t>Toxicology</w:t>
            </w:r>
            <w:r>
              <w:rPr>
                <w:noProof/>
                <w:webHidden/>
              </w:rPr>
              <w:tab/>
            </w:r>
            <w:r>
              <w:rPr>
                <w:noProof/>
                <w:webHidden/>
              </w:rPr>
              <w:fldChar w:fldCharType="begin"/>
            </w:r>
            <w:r>
              <w:rPr>
                <w:noProof/>
                <w:webHidden/>
              </w:rPr>
              <w:instrText xml:space="preserve"> PAGEREF _Toc442962652 \h </w:instrText>
            </w:r>
            <w:r>
              <w:rPr>
                <w:noProof/>
                <w:webHidden/>
              </w:rPr>
            </w:r>
            <w:r>
              <w:rPr>
                <w:noProof/>
                <w:webHidden/>
              </w:rPr>
              <w:fldChar w:fldCharType="separate"/>
            </w:r>
            <w:r>
              <w:rPr>
                <w:noProof/>
                <w:webHidden/>
              </w:rPr>
              <w:t>16</w:t>
            </w:r>
            <w:r>
              <w:rPr>
                <w:noProof/>
                <w:webHidden/>
              </w:rPr>
              <w:fldChar w:fldCharType="end"/>
            </w:r>
          </w:hyperlink>
        </w:p>
        <w:p w14:paraId="7565AEA8" w14:textId="77777777" w:rsidR="00B00F45" w:rsidRDefault="00B00F45">
          <w:pPr>
            <w:pStyle w:val="TOC3"/>
            <w:rPr>
              <w:rFonts w:asciiTheme="minorHAnsi" w:eastAsiaTheme="minorEastAsia" w:hAnsiTheme="minorHAnsi" w:cstheme="minorBidi"/>
              <w:noProof/>
              <w:lang w:eastAsia="en-AU"/>
            </w:rPr>
          </w:pPr>
          <w:hyperlink w:anchor="_Toc442962653" w:history="1">
            <w:r w:rsidRPr="003F2448">
              <w:rPr>
                <w:rStyle w:val="Hyperlink"/>
                <w:noProof/>
              </w:rPr>
              <w:t>Nonclinical summary and conclusions</w:t>
            </w:r>
            <w:r>
              <w:rPr>
                <w:noProof/>
                <w:webHidden/>
              </w:rPr>
              <w:tab/>
            </w:r>
            <w:r>
              <w:rPr>
                <w:noProof/>
                <w:webHidden/>
              </w:rPr>
              <w:fldChar w:fldCharType="begin"/>
            </w:r>
            <w:r>
              <w:rPr>
                <w:noProof/>
                <w:webHidden/>
              </w:rPr>
              <w:instrText xml:space="preserve"> PAGEREF _Toc442962653 \h </w:instrText>
            </w:r>
            <w:r>
              <w:rPr>
                <w:noProof/>
                <w:webHidden/>
              </w:rPr>
            </w:r>
            <w:r>
              <w:rPr>
                <w:noProof/>
                <w:webHidden/>
              </w:rPr>
              <w:fldChar w:fldCharType="separate"/>
            </w:r>
            <w:r>
              <w:rPr>
                <w:noProof/>
                <w:webHidden/>
              </w:rPr>
              <w:t>19</w:t>
            </w:r>
            <w:r>
              <w:rPr>
                <w:noProof/>
                <w:webHidden/>
              </w:rPr>
              <w:fldChar w:fldCharType="end"/>
            </w:r>
          </w:hyperlink>
        </w:p>
        <w:p w14:paraId="58EA4D48" w14:textId="77777777" w:rsidR="00B00F45" w:rsidRDefault="00B00F45">
          <w:pPr>
            <w:pStyle w:val="TOC2"/>
            <w:rPr>
              <w:rFonts w:asciiTheme="minorHAnsi" w:eastAsiaTheme="minorEastAsia" w:hAnsiTheme="minorHAnsi" w:cstheme="minorBidi"/>
              <w:b w:val="0"/>
              <w:noProof/>
              <w:sz w:val="22"/>
              <w:lang w:eastAsia="en-AU"/>
            </w:rPr>
          </w:pPr>
          <w:hyperlink w:anchor="_Toc442962654" w:history="1">
            <w:r w:rsidRPr="003F2448">
              <w:rPr>
                <w:rStyle w:val="Hyperlink"/>
                <w:noProof/>
              </w:rPr>
              <w:t>IV. Clinical findings</w:t>
            </w:r>
            <w:r>
              <w:rPr>
                <w:noProof/>
                <w:webHidden/>
              </w:rPr>
              <w:tab/>
            </w:r>
            <w:r>
              <w:rPr>
                <w:noProof/>
                <w:webHidden/>
              </w:rPr>
              <w:fldChar w:fldCharType="begin"/>
            </w:r>
            <w:r>
              <w:rPr>
                <w:noProof/>
                <w:webHidden/>
              </w:rPr>
              <w:instrText xml:space="preserve"> PAGEREF _Toc442962654 \h </w:instrText>
            </w:r>
            <w:r>
              <w:rPr>
                <w:noProof/>
                <w:webHidden/>
              </w:rPr>
            </w:r>
            <w:r>
              <w:rPr>
                <w:noProof/>
                <w:webHidden/>
              </w:rPr>
              <w:fldChar w:fldCharType="separate"/>
            </w:r>
            <w:r>
              <w:rPr>
                <w:noProof/>
                <w:webHidden/>
              </w:rPr>
              <w:t>20</w:t>
            </w:r>
            <w:r>
              <w:rPr>
                <w:noProof/>
                <w:webHidden/>
              </w:rPr>
              <w:fldChar w:fldCharType="end"/>
            </w:r>
          </w:hyperlink>
        </w:p>
        <w:p w14:paraId="2FA3A34A" w14:textId="77777777" w:rsidR="00B00F45" w:rsidRDefault="00B00F45">
          <w:pPr>
            <w:pStyle w:val="TOC3"/>
            <w:rPr>
              <w:rFonts w:asciiTheme="minorHAnsi" w:eastAsiaTheme="minorEastAsia" w:hAnsiTheme="minorHAnsi" w:cstheme="minorBidi"/>
              <w:noProof/>
              <w:lang w:eastAsia="en-AU"/>
            </w:rPr>
          </w:pPr>
          <w:hyperlink w:anchor="_Toc442962655" w:history="1">
            <w:r w:rsidRPr="003F2448">
              <w:rPr>
                <w:rStyle w:val="Hyperlink"/>
                <w:noProof/>
              </w:rPr>
              <w:t>Clinical rationale</w:t>
            </w:r>
            <w:r>
              <w:rPr>
                <w:noProof/>
                <w:webHidden/>
              </w:rPr>
              <w:tab/>
            </w:r>
            <w:r>
              <w:rPr>
                <w:noProof/>
                <w:webHidden/>
              </w:rPr>
              <w:fldChar w:fldCharType="begin"/>
            </w:r>
            <w:r>
              <w:rPr>
                <w:noProof/>
                <w:webHidden/>
              </w:rPr>
              <w:instrText xml:space="preserve"> PAGEREF _Toc442962655 \h </w:instrText>
            </w:r>
            <w:r>
              <w:rPr>
                <w:noProof/>
                <w:webHidden/>
              </w:rPr>
            </w:r>
            <w:r>
              <w:rPr>
                <w:noProof/>
                <w:webHidden/>
              </w:rPr>
              <w:fldChar w:fldCharType="separate"/>
            </w:r>
            <w:r>
              <w:rPr>
                <w:noProof/>
                <w:webHidden/>
              </w:rPr>
              <w:t>20</w:t>
            </w:r>
            <w:r>
              <w:rPr>
                <w:noProof/>
                <w:webHidden/>
              </w:rPr>
              <w:fldChar w:fldCharType="end"/>
            </w:r>
          </w:hyperlink>
        </w:p>
        <w:p w14:paraId="33BC2972" w14:textId="77777777" w:rsidR="00B00F45" w:rsidRDefault="00B00F45">
          <w:pPr>
            <w:pStyle w:val="TOC3"/>
            <w:rPr>
              <w:rFonts w:asciiTheme="minorHAnsi" w:eastAsiaTheme="minorEastAsia" w:hAnsiTheme="minorHAnsi" w:cstheme="minorBidi"/>
              <w:noProof/>
              <w:lang w:eastAsia="en-AU"/>
            </w:rPr>
          </w:pPr>
          <w:hyperlink w:anchor="_Toc442962656" w:history="1">
            <w:r w:rsidRPr="003F2448">
              <w:rPr>
                <w:rStyle w:val="Hyperlink"/>
                <w:noProof/>
              </w:rPr>
              <w:t>Guidance</w:t>
            </w:r>
            <w:r>
              <w:rPr>
                <w:noProof/>
                <w:webHidden/>
              </w:rPr>
              <w:tab/>
            </w:r>
            <w:r>
              <w:rPr>
                <w:noProof/>
                <w:webHidden/>
              </w:rPr>
              <w:fldChar w:fldCharType="begin"/>
            </w:r>
            <w:r>
              <w:rPr>
                <w:noProof/>
                <w:webHidden/>
              </w:rPr>
              <w:instrText xml:space="preserve"> PAGEREF _Toc442962656 \h </w:instrText>
            </w:r>
            <w:r>
              <w:rPr>
                <w:noProof/>
                <w:webHidden/>
              </w:rPr>
            </w:r>
            <w:r>
              <w:rPr>
                <w:noProof/>
                <w:webHidden/>
              </w:rPr>
              <w:fldChar w:fldCharType="separate"/>
            </w:r>
            <w:r>
              <w:rPr>
                <w:noProof/>
                <w:webHidden/>
              </w:rPr>
              <w:t>20</w:t>
            </w:r>
            <w:r>
              <w:rPr>
                <w:noProof/>
                <w:webHidden/>
              </w:rPr>
              <w:fldChar w:fldCharType="end"/>
            </w:r>
          </w:hyperlink>
        </w:p>
        <w:p w14:paraId="548ED2E7" w14:textId="77777777" w:rsidR="00B00F45" w:rsidRDefault="00B00F45">
          <w:pPr>
            <w:pStyle w:val="TOC3"/>
            <w:rPr>
              <w:rFonts w:asciiTheme="minorHAnsi" w:eastAsiaTheme="minorEastAsia" w:hAnsiTheme="minorHAnsi" w:cstheme="minorBidi"/>
              <w:noProof/>
              <w:lang w:eastAsia="en-AU"/>
            </w:rPr>
          </w:pPr>
          <w:hyperlink w:anchor="_Toc442962657" w:history="1">
            <w:r w:rsidRPr="003F2448">
              <w:rPr>
                <w:rStyle w:val="Hyperlink"/>
                <w:noProof/>
              </w:rPr>
              <w:t>Paediatric data</w:t>
            </w:r>
            <w:r>
              <w:rPr>
                <w:noProof/>
                <w:webHidden/>
              </w:rPr>
              <w:tab/>
            </w:r>
            <w:r>
              <w:rPr>
                <w:noProof/>
                <w:webHidden/>
              </w:rPr>
              <w:fldChar w:fldCharType="begin"/>
            </w:r>
            <w:r>
              <w:rPr>
                <w:noProof/>
                <w:webHidden/>
              </w:rPr>
              <w:instrText xml:space="preserve"> PAGEREF _Toc442962657 \h </w:instrText>
            </w:r>
            <w:r>
              <w:rPr>
                <w:noProof/>
                <w:webHidden/>
              </w:rPr>
            </w:r>
            <w:r>
              <w:rPr>
                <w:noProof/>
                <w:webHidden/>
              </w:rPr>
              <w:fldChar w:fldCharType="separate"/>
            </w:r>
            <w:r>
              <w:rPr>
                <w:noProof/>
                <w:webHidden/>
              </w:rPr>
              <w:t>21</w:t>
            </w:r>
            <w:r>
              <w:rPr>
                <w:noProof/>
                <w:webHidden/>
              </w:rPr>
              <w:fldChar w:fldCharType="end"/>
            </w:r>
          </w:hyperlink>
        </w:p>
        <w:p w14:paraId="063DD59E" w14:textId="77777777" w:rsidR="00B00F45" w:rsidRDefault="00B00F45">
          <w:pPr>
            <w:pStyle w:val="TOC3"/>
            <w:rPr>
              <w:rFonts w:asciiTheme="minorHAnsi" w:eastAsiaTheme="minorEastAsia" w:hAnsiTheme="minorHAnsi" w:cstheme="minorBidi"/>
              <w:noProof/>
              <w:lang w:eastAsia="en-AU"/>
            </w:rPr>
          </w:pPr>
          <w:hyperlink w:anchor="_Toc442962658" w:history="1">
            <w:r w:rsidRPr="003F2448">
              <w:rPr>
                <w:rStyle w:val="Hyperlink"/>
                <w:noProof/>
              </w:rPr>
              <w:t>Good Clinical Practice</w:t>
            </w:r>
            <w:r>
              <w:rPr>
                <w:noProof/>
                <w:webHidden/>
              </w:rPr>
              <w:tab/>
            </w:r>
            <w:r>
              <w:rPr>
                <w:noProof/>
                <w:webHidden/>
              </w:rPr>
              <w:fldChar w:fldCharType="begin"/>
            </w:r>
            <w:r>
              <w:rPr>
                <w:noProof/>
                <w:webHidden/>
              </w:rPr>
              <w:instrText xml:space="preserve"> PAGEREF _Toc442962658 \h </w:instrText>
            </w:r>
            <w:r>
              <w:rPr>
                <w:noProof/>
                <w:webHidden/>
              </w:rPr>
            </w:r>
            <w:r>
              <w:rPr>
                <w:noProof/>
                <w:webHidden/>
              </w:rPr>
              <w:fldChar w:fldCharType="separate"/>
            </w:r>
            <w:r>
              <w:rPr>
                <w:noProof/>
                <w:webHidden/>
              </w:rPr>
              <w:t>21</w:t>
            </w:r>
            <w:r>
              <w:rPr>
                <w:noProof/>
                <w:webHidden/>
              </w:rPr>
              <w:fldChar w:fldCharType="end"/>
            </w:r>
          </w:hyperlink>
        </w:p>
        <w:p w14:paraId="0D38BEE1" w14:textId="77777777" w:rsidR="00B00F45" w:rsidRDefault="00B00F45">
          <w:pPr>
            <w:pStyle w:val="TOC3"/>
            <w:rPr>
              <w:rFonts w:asciiTheme="minorHAnsi" w:eastAsiaTheme="minorEastAsia" w:hAnsiTheme="minorHAnsi" w:cstheme="minorBidi"/>
              <w:noProof/>
              <w:lang w:eastAsia="en-AU"/>
            </w:rPr>
          </w:pPr>
          <w:hyperlink w:anchor="_Toc442962659" w:history="1">
            <w:r w:rsidRPr="003F2448">
              <w:rPr>
                <w:rStyle w:val="Hyperlink"/>
                <w:noProof/>
              </w:rPr>
              <w:t>Pharmacokinetics</w:t>
            </w:r>
            <w:r>
              <w:rPr>
                <w:noProof/>
                <w:webHidden/>
              </w:rPr>
              <w:tab/>
            </w:r>
            <w:r>
              <w:rPr>
                <w:noProof/>
                <w:webHidden/>
              </w:rPr>
              <w:fldChar w:fldCharType="begin"/>
            </w:r>
            <w:r>
              <w:rPr>
                <w:noProof/>
                <w:webHidden/>
              </w:rPr>
              <w:instrText xml:space="preserve"> PAGEREF _Toc442962659 \h </w:instrText>
            </w:r>
            <w:r>
              <w:rPr>
                <w:noProof/>
                <w:webHidden/>
              </w:rPr>
            </w:r>
            <w:r>
              <w:rPr>
                <w:noProof/>
                <w:webHidden/>
              </w:rPr>
              <w:fldChar w:fldCharType="separate"/>
            </w:r>
            <w:r>
              <w:rPr>
                <w:noProof/>
                <w:webHidden/>
              </w:rPr>
              <w:t>21</w:t>
            </w:r>
            <w:r>
              <w:rPr>
                <w:noProof/>
                <w:webHidden/>
              </w:rPr>
              <w:fldChar w:fldCharType="end"/>
            </w:r>
          </w:hyperlink>
        </w:p>
        <w:p w14:paraId="54FF8538" w14:textId="77777777" w:rsidR="00B00F45" w:rsidRDefault="00B00F45">
          <w:pPr>
            <w:pStyle w:val="TOC3"/>
            <w:rPr>
              <w:rFonts w:asciiTheme="minorHAnsi" w:eastAsiaTheme="minorEastAsia" w:hAnsiTheme="minorHAnsi" w:cstheme="minorBidi"/>
              <w:noProof/>
              <w:lang w:eastAsia="en-AU"/>
            </w:rPr>
          </w:pPr>
          <w:hyperlink w:anchor="_Toc442962660" w:history="1">
            <w:r w:rsidRPr="003F2448">
              <w:rPr>
                <w:rStyle w:val="Hyperlink"/>
                <w:noProof/>
              </w:rPr>
              <w:t>Pharmacodynamics</w:t>
            </w:r>
            <w:r>
              <w:rPr>
                <w:noProof/>
                <w:webHidden/>
              </w:rPr>
              <w:tab/>
            </w:r>
            <w:r>
              <w:rPr>
                <w:noProof/>
                <w:webHidden/>
              </w:rPr>
              <w:fldChar w:fldCharType="begin"/>
            </w:r>
            <w:r>
              <w:rPr>
                <w:noProof/>
                <w:webHidden/>
              </w:rPr>
              <w:instrText xml:space="preserve"> PAGEREF _Toc442962660 \h </w:instrText>
            </w:r>
            <w:r>
              <w:rPr>
                <w:noProof/>
                <w:webHidden/>
              </w:rPr>
            </w:r>
            <w:r>
              <w:rPr>
                <w:noProof/>
                <w:webHidden/>
              </w:rPr>
              <w:fldChar w:fldCharType="separate"/>
            </w:r>
            <w:r>
              <w:rPr>
                <w:noProof/>
                <w:webHidden/>
              </w:rPr>
              <w:t>23</w:t>
            </w:r>
            <w:r>
              <w:rPr>
                <w:noProof/>
                <w:webHidden/>
              </w:rPr>
              <w:fldChar w:fldCharType="end"/>
            </w:r>
          </w:hyperlink>
        </w:p>
        <w:p w14:paraId="69A69A1F" w14:textId="77777777" w:rsidR="00B00F45" w:rsidRDefault="00B00F45">
          <w:pPr>
            <w:pStyle w:val="TOC3"/>
            <w:rPr>
              <w:rFonts w:asciiTheme="minorHAnsi" w:eastAsiaTheme="minorEastAsia" w:hAnsiTheme="minorHAnsi" w:cstheme="minorBidi"/>
              <w:noProof/>
              <w:lang w:eastAsia="en-AU"/>
            </w:rPr>
          </w:pPr>
          <w:hyperlink w:anchor="_Toc442962661" w:history="1">
            <w:r w:rsidRPr="003F2448">
              <w:rPr>
                <w:rStyle w:val="Hyperlink"/>
                <w:noProof/>
              </w:rPr>
              <w:t>Dosage selection for the pivotal studies</w:t>
            </w:r>
            <w:r>
              <w:rPr>
                <w:noProof/>
                <w:webHidden/>
              </w:rPr>
              <w:tab/>
            </w:r>
            <w:r>
              <w:rPr>
                <w:noProof/>
                <w:webHidden/>
              </w:rPr>
              <w:fldChar w:fldCharType="begin"/>
            </w:r>
            <w:r>
              <w:rPr>
                <w:noProof/>
                <w:webHidden/>
              </w:rPr>
              <w:instrText xml:space="preserve"> PAGEREF _Toc442962661 \h </w:instrText>
            </w:r>
            <w:r>
              <w:rPr>
                <w:noProof/>
                <w:webHidden/>
              </w:rPr>
            </w:r>
            <w:r>
              <w:rPr>
                <w:noProof/>
                <w:webHidden/>
              </w:rPr>
              <w:fldChar w:fldCharType="separate"/>
            </w:r>
            <w:r>
              <w:rPr>
                <w:noProof/>
                <w:webHidden/>
              </w:rPr>
              <w:t>23</w:t>
            </w:r>
            <w:r>
              <w:rPr>
                <w:noProof/>
                <w:webHidden/>
              </w:rPr>
              <w:fldChar w:fldCharType="end"/>
            </w:r>
          </w:hyperlink>
        </w:p>
        <w:p w14:paraId="37737CDE" w14:textId="77777777" w:rsidR="00B00F45" w:rsidRDefault="00B00F45">
          <w:pPr>
            <w:pStyle w:val="TOC3"/>
            <w:rPr>
              <w:rFonts w:asciiTheme="minorHAnsi" w:eastAsiaTheme="minorEastAsia" w:hAnsiTheme="minorHAnsi" w:cstheme="minorBidi"/>
              <w:noProof/>
              <w:lang w:eastAsia="en-AU"/>
            </w:rPr>
          </w:pPr>
          <w:hyperlink w:anchor="_Toc442962662" w:history="1">
            <w:r w:rsidRPr="003F2448">
              <w:rPr>
                <w:rStyle w:val="Hyperlink"/>
                <w:noProof/>
              </w:rPr>
              <w:t>Efficacy</w:t>
            </w:r>
            <w:r>
              <w:rPr>
                <w:noProof/>
                <w:webHidden/>
              </w:rPr>
              <w:tab/>
            </w:r>
            <w:r>
              <w:rPr>
                <w:noProof/>
                <w:webHidden/>
              </w:rPr>
              <w:fldChar w:fldCharType="begin"/>
            </w:r>
            <w:r>
              <w:rPr>
                <w:noProof/>
                <w:webHidden/>
              </w:rPr>
              <w:instrText xml:space="preserve"> PAGEREF _Toc442962662 \h </w:instrText>
            </w:r>
            <w:r>
              <w:rPr>
                <w:noProof/>
                <w:webHidden/>
              </w:rPr>
            </w:r>
            <w:r>
              <w:rPr>
                <w:noProof/>
                <w:webHidden/>
              </w:rPr>
              <w:fldChar w:fldCharType="separate"/>
            </w:r>
            <w:r>
              <w:rPr>
                <w:noProof/>
                <w:webHidden/>
              </w:rPr>
              <w:t>23</w:t>
            </w:r>
            <w:r>
              <w:rPr>
                <w:noProof/>
                <w:webHidden/>
              </w:rPr>
              <w:fldChar w:fldCharType="end"/>
            </w:r>
          </w:hyperlink>
        </w:p>
        <w:p w14:paraId="648A0FD0" w14:textId="77777777" w:rsidR="00B00F45" w:rsidRDefault="00B00F45">
          <w:pPr>
            <w:pStyle w:val="TOC3"/>
            <w:rPr>
              <w:rFonts w:asciiTheme="minorHAnsi" w:eastAsiaTheme="minorEastAsia" w:hAnsiTheme="minorHAnsi" w:cstheme="minorBidi"/>
              <w:noProof/>
              <w:lang w:eastAsia="en-AU"/>
            </w:rPr>
          </w:pPr>
          <w:hyperlink w:anchor="_Toc442962663" w:history="1">
            <w:r w:rsidRPr="003F2448">
              <w:rPr>
                <w:rStyle w:val="Hyperlink"/>
                <w:noProof/>
              </w:rPr>
              <w:t>Safety</w:t>
            </w:r>
            <w:r>
              <w:rPr>
                <w:noProof/>
                <w:webHidden/>
              </w:rPr>
              <w:tab/>
            </w:r>
            <w:r>
              <w:rPr>
                <w:noProof/>
                <w:webHidden/>
              </w:rPr>
              <w:fldChar w:fldCharType="begin"/>
            </w:r>
            <w:r>
              <w:rPr>
                <w:noProof/>
                <w:webHidden/>
              </w:rPr>
              <w:instrText xml:space="preserve"> PAGEREF _Toc442962663 \h </w:instrText>
            </w:r>
            <w:r>
              <w:rPr>
                <w:noProof/>
                <w:webHidden/>
              </w:rPr>
            </w:r>
            <w:r>
              <w:rPr>
                <w:noProof/>
                <w:webHidden/>
              </w:rPr>
              <w:fldChar w:fldCharType="separate"/>
            </w:r>
            <w:r>
              <w:rPr>
                <w:noProof/>
                <w:webHidden/>
              </w:rPr>
              <w:t>25</w:t>
            </w:r>
            <w:r>
              <w:rPr>
                <w:noProof/>
                <w:webHidden/>
              </w:rPr>
              <w:fldChar w:fldCharType="end"/>
            </w:r>
          </w:hyperlink>
        </w:p>
        <w:p w14:paraId="1F8D7D20" w14:textId="77777777" w:rsidR="00B00F45" w:rsidRDefault="00B00F45">
          <w:pPr>
            <w:pStyle w:val="TOC3"/>
            <w:rPr>
              <w:rFonts w:asciiTheme="minorHAnsi" w:eastAsiaTheme="minorEastAsia" w:hAnsiTheme="minorHAnsi" w:cstheme="minorBidi"/>
              <w:noProof/>
              <w:lang w:eastAsia="en-AU"/>
            </w:rPr>
          </w:pPr>
          <w:hyperlink w:anchor="_Toc442962664" w:history="1">
            <w:r w:rsidRPr="003F2448">
              <w:rPr>
                <w:rStyle w:val="Hyperlink"/>
                <w:noProof/>
              </w:rPr>
              <w:t>First round benefit-risk assessment</w:t>
            </w:r>
            <w:r>
              <w:rPr>
                <w:noProof/>
                <w:webHidden/>
              </w:rPr>
              <w:tab/>
            </w:r>
            <w:r>
              <w:rPr>
                <w:noProof/>
                <w:webHidden/>
              </w:rPr>
              <w:fldChar w:fldCharType="begin"/>
            </w:r>
            <w:r>
              <w:rPr>
                <w:noProof/>
                <w:webHidden/>
              </w:rPr>
              <w:instrText xml:space="preserve"> PAGEREF _Toc442962664 \h </w:instrText>
            </w:r>
            <w:r>
              <w:rPr>
                <w:noProof/>
                <w:webHidden/>
              </w:rPr>
            </w:r>
            <w:r>
              <w:rPr>
                <w:noProof/>
                <w:webHidden/>
              </w:rPr>
              <w:fldChar w:fldCharType="separate"/>
            </w:r>
            <w:r>
              <w:rPr>
                <w:noProof/>
                <w:webHidden/>
              </w:rPr>
              <w:t>28</w:t>
            </w:r>
            <w:r>
              <w:rPr>
                <w:noProof/>
                <w:webHidden/>
              </w:rPr>
              <w:fldChar w:fldCharType="end"/>
            </w:r>
          </w:hyperlink>
        </w:p>
        <w:p w14:paraId="1205F0F2" w14:textId="77777777" w:rsidR="00B00F45" w:rsidRDefault="00B00F45">
          <w:pPr>
            <w:pStyle w:val="TOC3"/>
            <w:rPr>
              <w:rFonts w:asciiTheme="minorHAnsi" w:eastAsiaTheme="minorEastAsia" w:hAnsiTheme="minorHAnsi" w:cstheme="minorBidi"/>
              <w:noProof/>
              <w:lang w:eastAsia="en-AU"/>
            </w:rPr>
          </w:pPr>
          <w:hyperlink w:anchor="_Toc442962665" w:history="1">
            <w:r w:rsidRPr="003F2448">
              <w:rPr>
                <w:rStyle w:val="Hyperlink"/>
                <w:noProof/>
              </w:rPr>
              <w:t>First round recommendation regarding authorisation</w:t>
            </w:r>
            <w:r>
              <w:rPr>
                <w:noProof/>
                <w:webHidden/>
              </w:rPr>
              <w:tab/>
            </w:r>
            <w:r>
              <w:rPr>
                <w:noProof/>
                <w:webHidden/>
              </w:rPr>
              <w:fldChar w:fldCharType="begin"/>
            </w:r>
            <w:r>
              <w:rPr>
                <w:noProof/>
                <w:webHidden/>
              </w:rPr>
              <w:instrText xml:space="preserve"> PAGEREF _Toc442962665 \h </w:instrText>
            </w:r>
            <w:r>
              <w:rPr>
                <w:noProof/>
                <w:webHidden/>
              </w:rPr>
            </w:r>
            <w:r>
              <w:rPr>
                <w:noProof/>
                <w:webHidden/>
              </w:rPr>
              <w:fldChar w:fldCharType="separate"/>
            </w:r>
            <w:r>
              <w:rPr>
                <w:noProof/>
                <w:webHidden/>
              </w:rPr>
              <w:t>29</w:t>
            </w:r>
            <w:r>
              <w:rPr>
                <w:noProof/>
                <w:webHidden/>
              </w:rPr>
              <w:fldChar w:fldCharType="end"/>
            </w:r>
          </w:hyperlink>
        </w:p>
        <w:p w14:paraId="08F92FDC" w14:textId="77777777" w:rsidR="00B00F45" w:rsidRDefault="00B00F45">
          <w:pPr>
            <w:pStyle w:val="TOC3"/>
            <w:rPr>
              <w:rFonts w:asciiTheme="minorHAnsi" w:eastAsiaTheme="minorEastAsia" w:hAnsiTheme="minorHAnsi" w:cstheme="minorBidi"/>
              <w:noProof/>
              <w:lang w:eastAsia="en-AU"/>
            </w:rPr>
          </w:pPr>
          <w:hyperlink w:anchor="_Toc442962666" w:history="1">
            <w:r w:rsidRPr="003F2448">
              <w:rPr>
                <w:rStyle w:val="Hyperlink"/>
                <w:noProof/>
              </w:rPr>
              <w:t>Clinical questions</w:t>
            </w:r>
            <w:r>
              <w:rPr>
                <w:noProof/>
                <w:webHidden/>
              </w:rPr>
              <w:tab/>
            </w:r>
            <w:r>
              <w:rPr>
                <w:noProof/>
                <w:webHidden/>
              </w:rPr>
              <w:fldChar w:fldCharType="begin"/>
            </w:r>
            <w:r>
              <w:rPr>
                <w:noProof/>
                <w:webHidden/>
              </w:rPr>
              <w:instrText xml:space="preserve"> PAGEREF _Toc442962666 \h </w:instrText>
            </w:r>
            <w:r>
              <w:rPr>
                <w:noProof/>
                <w:webHidden/>
              </w:rPr>
            </w:r>
            <w:r>
              <w:rPr>
                <w:noProof/>
                <w:webHidden/>
              </w:rPr>
              <w:fldChar w:fldCharType="separate"/>
            </w:r>
            <w:r>
              <w:rPr>
                <w:noProof/>
                <w:webHidden/>
              </w:rPr>
              <w:t>29</w:t>
            </w:r>
            <w:r>
              <w:rPr>
                <w:noProof/>
                <w:webHidden/>
              </w:rPr>
              <w:fldChar w:fldCharType="end"/>
            </w:r>
          </w:hyperlink>
        </w:p>
        <w:p w14:paraId="5AADCA63" w14:textId="77777777" w:rsidR="00B00F45" w:rsidRDefault="00B00F45">
          <w:pPr>
            <w:pStyle w:val="TOC3"/>
            <w:rPr>
              <w:rFonts w:asciiTheme="minorHAnsi" w:eastAsiaTheme="minorEastAsia" w:hAnsiTheme="minorHAnsi" w:cstheme="minorBidi"/>
              <w:noProof/>
              <w:lang w:eastAsia="en-AU"/>
            </w:rPr>
          </w:pPr>
          <w:hyperlink w:anchor="_Toc442962667" w:history="1">
            <w:r w:rsidRPr="003F2448">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_Toc442962667 \h </w:instrText>
            </w:r>
            <w:r>
              <w:rPr>
                <w:noProof/>
                <w:webHidden/>
              </w:rPr>
            </w:r>
            <w:r>
              <w:rPr>
                <w:noProof/>
                <w:webHidden/>
              </w:rPr>
              <w:fldChar w:fldCharType="separate"/>
            </w:r>
            <w:r>
              <w:rPr>
                <w:noProof/>
                <w:webHidden/>
              </w:rPr>
              <w:t>30</w:t>
            </w:r>
            <w:r>
              <w:rPr>
                <w:noProof/>
                <w:webHidden/>
              </w:rPr>
              <w:fldChar w:fldCharType="end"/>
            </w:r>
          </w:hyperlink>
        </w:p>
        <w:p w14:paraId="583A0C09" w14:textId="77777777" w:rsidR="00B00F45" w:rsidRDefault="00B00F45">
          <w:pPr>
            <w:pStyle w:val="TOC3"/>
            <w:rPr>
              <w:rFonts w:asciiTheme="minorHAnsi" w:eastAsiaTheme="minorEastAsia" w:hAnsiTheme="minorHAnsi" w:cstheme="minorBidi"/>
              <w:noProof/>
              <w:lang w:eastAsia="en-AU"/>
            </w:rPr>
          </w:pPr>
          <w:hyperlink w:anchor="_Toc442962668" w:history="1">
            <w:r w:rsidRPr="003F2448">
              <w:rPr>
                <w:rStyle w:val="Hyperlink"/>
                <w:noProof/>
              </w:rPr>
              <w:t>Second round benefit-risk assessment</w:t>
            </w:r>
            <w:r>
              <w:rPr>
                <w:noProof/>
                <w:webHidden/>
              </w:rPr>
              <w:tab/>
            </w:r>
            <w:r>
              <w:rPr>
                <w:noProof/>
                <w:webHidden/>
              </w:rPr>
              <w:fldChar w:fldCharType="begin"/>
            </w:r>
            <w:r>
              <w:rPr>
                <w:noProof/>
                <w:webHidden/>
              </w:rPr>
              <w:instrText xml:space="preserve"> PAGEREF _Toc442962668 \h </w:instrText>
            </w:r>
            <w:r>
              <w:rPr>
                <w:noProof/>
                <w:webHidden/>
              </w:rPr>
            </w:r>
            <w:r>
              <w:rPr>
                <w:noProof/>
                <w:webHidden/>
              </w:rPr>
              <w:fldChar w:fldCharType="separate"/>
            </w:r>
            <w:r>
              <w:rPr>
                <w:noProof/>
                <w:webHidden/>
              </w:rPr>
              <w:t>30</w:t>
            </w:r>
            <w:r>
              <w:rPr>
                <w:noProof/>
                <w:webHidden/>
              </w:rPr>
              <w:fldChar w:fldCharType="end"/>
            </w:r>
          </w:hyperlink>
        </w:p>
        <w:p w14:paraId="45EC8777" w14:textId="77777777" w:rsidR="00B00F45" w:rsidRDefault="00B00F45">
          <w:pPr>
            <w:pStyle w:val="TOC2"/>
            <w:rPr>
              <w:rFonts w:asciiTheme="minorHAnsi" w:eastAsiaTheme="minorEastAsia" w:hAnsiTheme="minorHAnsi" w:cstheme="minorBidi"/>
              <w:b w:val="0"/>
              <w:noProof/>
              <w:sz w:val="22"/>
              <w:lang w:eastAsia="en-AU"/>
            </w:rPr>
          </w:pPr>
          <w:hyperlink w:anchor="_Toc442962669" w:history="1">
            <w:r w:rsidRPr="003F2448">
              <w:rPr>
                <w:rStyle w:val="Hyperlink"/>
                <w:noProof/>
              </w:rPr>
              <w:t>V. Pharmacovigilance findings</w:t>
            </w:r>
            <w:r>
              <w:rPr>
                <w:noProof/>
                <w:webHidden/>
              </w:rPr>
              <w:tab/>
            </w:r>
            <w:r>
              <w:rPr>
                <w:noProof/>
                <w:webHidden/>
              </w:rPr>
              <w:fldChar w:fldCharType="begin"/>
            </w:r>
            <w:r>
              <w:rPr>
                <w:noProof/>
                <w:webHidden/>
              </w:rPr>
              <w:instrText xml:space="preserve"> PAGEREF _Toc442962669 \h </w:instrText>
            </w:r>
            <w:r>
              <w:rPr>
                <w:noProof/>
                <w:webHidden/>
              </w:rPr>
            </w:r>
            <w:r>
              <w:rPr>
                <w:noProof/>
                <w:webHidden/>
              </w:rPr>
              <w:fldChar w:fldCharType="separate"/>
            </w:r>
            <w:r>
              <w:rPr>
                <w:noProof/>
                <w:webHidden/>
              </w:rPr>
              <w:t>30</w:t>
            </w:r>
            <w:r>
              <w:rPr>
                <w:noProof/>
                <w:webHidden/>
              </w:rPr>
              <w:fldChar w:fldCharType="end"/>
            </w:r>
          </w:hyperlink>
        </w:p>
        <w:p w14:paraId="1E15C40A" w14:textId="77777777" w:rsidR="00B00F45" w:rsidRDefault="00B00F45">
          <w:pPr>
            <w:pStyle w:val="TOC2"/>
            <w:rPr>
              <w:rFonts w:asciiTheme="minorHAnsi" w:eastAsiaTheme="minorEastAsia" w:hAnsiTheme="minorHAnsi" w:cstheme="minorBidi"/>
              <w:b w:val="0"/>
              <w:noProof/>
              <w:sz w:val="22"/>
              <w:lang w:eastAsia="en-AU"/>
            </w:rPr>
          </w:pPr>
          <w:hyperlink w:anchor="_Toc442962670" w:history="1">
            <w:r w:rsidRPr="003F2448">
              <w:rPr>
                <w:rStyle w:val="Hyperlink"/>
                <w:noProof/>
              </w:rPr>
              <w:t>VI. Overall conclusion and risk/benefit assessment</w:t>
            </w:r>
            <w:r>
              <w:rPr>
                <w:noProof/>
                <w:webHidden/>
              </w:rPr>
              <w:tab/>
            </w:r>
            <w:r>
              <w:rPr>
                <w:noProof/>
                <w:webHidden/>
              </w:rPr>
              <w:fldChar w:fldCharType="begin"/>
            </w:r>
            <w:r>
              <w:rPr>
                <w:noProof/>
                <w:webHidden/>
              </w:rPr>
              <w:instrText xml:space="preserve"> PAGEREF _Toc442962670 \h </w:instrText>
            </w:r>
            <w:r>
              <w:rPr>
                <w:noProof/>
                <w:webHidden/>
              </w:rPr>
            </w:r>
            <w:r>
              <w:rPr>
                <w:noProof/>
                <w:webHidden/>
              </w:rPr>
              <w:fldChar w:fldCharType="separate"/>
            </w:r>
            <w:r>
              <w:rPr>
                <w:noProof/>
                <w:webHidden/>
              </w:rPr>
              <w:t>30</w:t>
            </w:r>
            <w:r>
              <w:rPr>
                <w:noProof/>
                <w:webHidden/>
              </w:rPr>
              <w:fldChar w:fldCharType="end"/>
            </w:r>
          </w:hyperlink>
        </w:p>
        <w:p w14:paraId="440E6503" w14:textId="77777777" w:rsidR="00B00F45" w:rsidRDefault="00B00F45">
          <w:pPr>
            <w:pStyle w:val="TOC3"/>
            <w:rPr>
              <w:rFonts w:asciiTheme="minorHAnsi" w:eastAsiaTheme="minorEastAsia" w:hAnsiTheme="minorHAnsi" w:cstheme="minorBidi"/>
              <w:noProof/>
              <w:lang w:eastAsia="en-AU"/>
            </w:rPr>
          </w:pPr>
          <w:hyperlink w:anchor="_Toc442962671" w:history="1">
            <w:r w:rsidRPr="003F2448">
              <w:rPr>
                <w:rStyle w:val="Hyperlink"/>
                <w:noProof/>
              </w:rPr>
              <w:t>Method of administration</w:t>
            </w:r>
            <w:r>
              <w:rPr>
                <w:noProof/>
                <w:webHidden/>
              </w:rPr>
              <w:tab/>
            </w:r>
            <w:r>
              <w:rPr>
                <w:noProof/>
                <w:webHidden/>
              </w:rPr>
              <w:fldChar w:fldCharType="begin"/>
            </w:r>
            <w:r>
              <w:rPr>
                <w:noProof/>
                <w:webHidden/>
              </w:rPr>
              <w:instrText xml:space="preserve"> PAGEREF _Toc442962671 \h </w:instrText>
            </w:r>
            <w:r>
              <w:rPr>
                <w:noProof/>
                <w:webHidden/>
              </w:rPr>
            </w:r>
            <w:r>
              <w:rPr>
                <w:noProof/>
                <w:webHidden/>
              </w:rPr>
              <w:fldChar w:fldCharType="separate"/>
            </w:r>
            <w:r>
              <w:rPr>
                <w:noProof/>
                <w:webHidden/>
              </w:rPr>
              <w:t>30</w:t>
            </w:r>
            <w:r>
              <w:rPr>
                <w:noProof/>
                <w:webHidden/>
              </w:rPr>
              <w:fldChar w:fldCharType="end"/>
            </w:r>
          </w:hyperlink>
        </w:p>
        <w:p w14:paraId="7745F276" w14:textId="77777777" w:rsidR="00B00F45" w:rsidRDefault="00B00F45">
          <w:pPr>
            <w:pStyle w:val="TOC3"/>
            <w:rPr>
              <w:rFonts w:asciiTheme="minorHAnsi" w:eastAsiaTheme="minorEastAsia" w:hAnsiTheme="minorHAnsi" w:cstheme="minorBidi"/>
              <w:noProof/>
              <w:lang w:eastAsia="en-AU"/>
            </w:rPr>
          </w:pPr>
          <w:hyperlink w:anchor="_Toc442962672" w:history="1">
            <w:r w:rsidRPr="003F2448">
              <w:rPr>
                <w:rStyle w:val="Hyperlink"/>
                <w:noProof/>
              </w:rPr>
              <w:t>Quality</w:t>
            </w:r>
            <w:r>
              <w:rPr>
                <w:noProof/>
                <w:webHidden/>
              </w:rPr>
              <w:tab/>
            </w:r>
            <w:r>
              <w:rPr>
                <w:noProof/>
                <w:webHidden/>
              </w:rPr>
              <w:fldChar w:fldCharType="begin"/>
            </w:r>
            <w:r>
              <w:rPr>
                <w:noProof/>
                <w:webHidden/>
              </w:rPr>
              <w:instrText xml:space="preserve"> PAGEREF _Toc442962672 \h </w:instrText>
            </w:r>
            <w:r>
              <w:rPr>
                <w:noProof/>
                <w:webHidden/>
              </w:rPr>
            </w:r>
            <w:r>
              <w:rPr>
                <w:noProof/>
                <w:webHidden/>
              </w:rPr>
              <w:fldChar w:fldCharType="separate"/>
            </w:r>
            <w:r>
              <w:rPr>
                <w:noProof/>
                <w:webHidden/>
              </w:rPr>
              <w:t>30</w:t>
            </w:r>
            <w:r>
              <w:rPr>
                <w:noProof/>
                <w:webHidden/>
              </w:rPr>
              <w:fldChar w:fldCharType="end"/>
            </w:r>
          </w:hyperlink>
        </w:p>
        <w:p w14:paraId="517398EB" w14:textId="77777777" w:rsidR="00B00F45" w:rsidRDefault="00B00F45">
          <w:pPr>
            <w:pStyle w:val="TOC3"/>
            <w:rPr>
              <w:rFonts w:asciiTheme="minorHAnsi" w:eastAsiaTheme="minorEastAsia" w:hAnsiTheme="minorHAnsi" w:cstheme="minorBidi"/>
              <w:noProof/>
              <w:lang w:eastAsia="en-AU"/>
            </w:rPr>
          </w:pPr>
          <w:hyperlink w:anchor="_Toc442962673" w:history="1">
            <w:r w:rsidRPr="003F2448">
              <w:rPr>
                <w:rStyle w:val="Hyperlink"/>
                <w:noProof/>
              </w:rPr>
              <w:t>Nonclinical</w:t>
            </w:r>
            <w:r>
              <w:rPr>
                <w:noProof/>
                <w:webHidden/>
              </w:rPr>
              <w:tab/>
            </w:r>
            <w:r>
              <w:rPr>
                <w:noProof/>
                <w:webHidden/>
              </w:rPr>
              <w:fldChar w:fldCharType="begin"/>
            </w:r>
            <w:r>
              <w:rPr>
                <w:noProof/>
                <w:webHidden/>
              </w:rPr>
              <w:instrText xml:space="preserve"> PAGEREF _Toc442962673 \h </w:instrText>
            </w:r>
            <w:r>
              <w:rPr>
                <w:noProof/>
                <w:webHidden/>
              </w:rPr>
            </w:r>
            <w:r>
              <w:rPr>
                <w:noProof/>
                <w:webHidden/>
              </w:rPr>
              <w:fldChar w:fldCharType="separate"/>
            </w:r>
            <w:r>
              <w:rPr>
                <w:noProof/>
                <w:webHidden/>
              </w:rPr>
              <w:t>30</w:t>
            </w:r>
            <w:r>
              <w:rPr>
                <w:noProof/>
                <w:webHidden/>
              </w:rPr>
              <w:fldChar w:fldCharType="end"/>
            </w:r>
          </w:hyperlink>
        </w:p>
        <w:p w14:paraId="5ABE598B" w14:textId="77777777" w:rsidR="00B00F45" w:rsidRDefault="00B00F45">
          <w:pPr>
            <w:pStyle w:val="TOC3"/>
            <w:rPr>
              <w:rFonts w:asciiTheme="minorHAnsi" w:eastAsiaTheme="minorEastAsia" w:hAnsiTheme="minorHAnsi" w:cstheme="minorBidi"/>
              <w:noProof/>
              <w:lang w:eastAsia="en-AU"/>
            </w:rPr>
          </w:pPr>
          <w:hyperlink w:anchor="_Toc442962674" w:history="1">
            <w:r w:rsidRPr="003F2448">
              <w:rPr>
                <w:rStyle w:val="Hyperlink"/>
                <w:noProof/>
              </w:rPr>
              <w:t>Clinical</w:t>
            </w:r>
            <w:r>
              <w:rPr>
                <w:noProof/>
                <w:webHidden/>
              </w:rPr>
              <w:tab/>
            </w:r>
            <w:r>
              <w:rPr>
                <w:noProof/>
                <w:webHidden/>
              </w:rPr>
              <w:fldChar w:fldCharType="begin"/>
            </w:r>
            <w:r>
              <w:rPr>
                <w:noProof/>
                <w:webHidden/>
              </w:rPr>
              <w:instrText xml:space="preserve"> PAGEREF _Toc442962674 \h </w:instrText>
            </w:r>
            <w:r>
              <w:rPr>
                <w:noProof/>
                <w:webHidden/>
              </w:rPr>
            </w:r>
            <w:r>
              <w:rPr>
                <w:noProof/>
                <w:webHidden/>
              </w:rPr>
              <w:fldChar w:fldCharType="separate"/>
            </w:r>
            <w:r>
              <w:rPr>
                <w:noProof/>
                <w:webHidden/>
              </w:rPr>
              <w:t>31</w:t>
            </w:r>
            <w:r>
              <w:rPr>
                <w:noProof/>
                <w:webHidden/>
              </w:rPr>
              <w:fldChar w:fldCharType="end"/>
            </w:r>
          </w:hyperlink>
        </w:p>
        <w:p w14:paraId="537E1218" w14:textId="77777777" w:rsidR="00B00F45" w:rsidRDefault="00B00F45">
          <w:pPr>
            <w:pStyle w:val="TOC3"/>
            <w:rPr>
              <w:rFonts w:asciiTheme="minorHAnsi" w:eastAsiaTheme="minorEastAsia" w:hAnsiTheme="minorHAnsi" w:cstheme="minorBidi"/>
              <w:noProof/>
              <w:lang w:eastAsia="en-AU"/>
            </w:rPr>
          </w:pPr>
          <w:hyperlink w:anchor="_Toc442962675" w:history="1">
            <w:r w:rsidRPr="003F2448">
              <w:rPr>
                <w:rStyle w:val="Hyperlink"/>
                <w:noProof/>
                <w:lang w:eastAsia="en-AU"/>
              </w:rPr>
              <w:t>Risk management plan</w:t>
            </w:r>
            <w:r>
              <w:rPr>
                <w:noProof/>
                <w:webHidden/>
              </w:rPr>
              <w:tab/>
            </w:r>
            <w:r>
              <w:rPr>
                <w:noProof/>
                <w:webHidden/>
              </w:rPr>
              <w:fldChar w:fldCharType="begin"/>
            </w:r>
            <w:r>
              <w:rPr>
                <w:noProof/>
                <w:webHidden/>
              </w:rPr>
              <w:instrText xml:space="preserve"> PAGEREF _Toc442962675 \h </w:instrText>
            </w:r>
            <w:r>
              <w:rPr>
                <w:noProof/>
                <w:webHidden/>
              </w:rPr>
            </w:r>
            <w:r>
              <w:rPr>
                <w:noProof/>
                <w:webHidden/>
              </w:rPr>
              <w:fldChar w:fldCharType="separate"/>
            </w:r>
            <w:r>
              <w:rPr>
                <w:noProof/>
                <w:webHidden/>
              </w:rPr>
              <w:t>40</w:t>
            </w:r>
            <w:r>
              <w:rPr>
                <w:noProof/>
                <w:webHidden/>
              </w:rPr>
              <w:fldChar w:fldCharType="end"/>
            </w:r>
          </w:hyperlink>
        </w:p>
        <w:p w14:paraId="26891270" w14:textId="77777777" w:rsidR="00B00F45" w:rsidRDefault="00B00F45">
          <w:pPr>
            <w:pStyle w:val="TOC3"/>
            <w:rPr>
              <w:rFonts w:asciiTheme="minorHAnsi" w:eastAsiaTheme="minorEastAsia" w:hAnsiTheme="minorHAnsi" w:cstheme="minorBidi"/>
              <w:noProof/>
              <w:lang w:eastAsia="en-AU"/>
            </w:rPr>
          </w:pPr>
          <w:hyperlink w:anchor="_Toc442962676" w:history="1">
            <w:r w:rsidRPr="003F2448">
              <w:rPr>
                <w:rStyle w:val="Hyperlink"/>
                <w:noProof/>
              </w:rPr>
              <w:t>Response from sponsor</w:t>
            </w:r>
            <w:r>
              <w:rPr>
                <w:noProof/>
                <w:webHidden/>
              </w:rPr>
              <w:tab/>
            </w:r>
            <w:r>
              <w:rPr>
                <w:noProof/>
                <w:webHidden/>
              </w:rPr>
              <w:fldChar w:fldCharType="begin"/>
            </w:r>
            <w:r>
              <w:rPr>
                <w:noProof/>
                <w:webHidden/>
              </w:rPr>
              <w:instrText xml:space="preserve"> PAGEREF _Toc442962676 \h </w:instrText>
            </w:r>
            <w:r>
              <w:rPr>
                <w:noProof/>
                <w:webHidden/>
              </w:rPr>
            </w:r>
            <w:r>
              <w:rPr>
                <w:noProof/>
                <w:webHidden/>
              </w:rPr>
              <w:fldChar w:fldCharType="separate"/>
            </w:r>
            <w:r>
              <w:rPr>
                <w:noProof/>
                <w:webHidden/>
              </w:rPr>
              <w:t>42</w:t>
            </w:r>
            <w:r>
              <w:rPr>
                <w:noProof/>
                <w:webHidden/>
              </w:rPr>
              <w:fldChar w:fldCharType="end"/>
            </w:r>
          </w:hyperlink>
        </w:p>
        <w:p w14:paraId="739525DB" w14:textId="77777777" w:rsidR="00B00F45" w:rsidRDefault="00B00F45">
          <w:pPr>
            <w:pStyle w:val="TOC3"/>
            <w:rPr>
              <w:rFonts w:asciiTheme="minorHAnsi" w:eastAsiaTheme="minorEastAsia" w:hAnsiTheme="minorHAnsi" w:cstheme="minorBidi"/>
              <w:noProof/>
              <w:lang w:eastAsia="en-AU"/>
            </w:rPr>
          </w:pPr>
          <w:hyperlink w:anchor="_Toc442962677" w:history="1">
            <w:r w:rsidRPr="003F2448">
              <w:rPr>
                <w:rStyle w:val="Hyperlink"/>
                <w:noProof/>
              </w:rPr>
              <w:t>Advisory committee considerations</w:t>
            </w:r>
            <w:r>
              <w:rPr>
                <w:noProof/>
                <w:webHidden/>
              </w:rPr>
              <w:tab/>
            </w:r>
            <w:r>
              <w:rPr>
                <w:noProof/>
                <w:webHidden/>
              </w:rPr>
              <w:fldChar w:fldCharType="begin"/>
            </w:r>
            <w:r>
              <w:rPr>
                <w:noProof/>
                <w:webHidden/>
              </w:rPr>
              <w:instrText xml:space="preserve"> PAGEREF _Toc442962677 \h </w:instrText>
            </w:r>
            <w:r>
              <w:rPr>
                <w:noProof/>
                <w:webHidden/>
              </w:rPr>
            </w:r>
            <w:r>
              <w:rPr>
                <w:noProof/>
                <w:webHidden/>
              </w:rPr>
              <w:fldChar w:fldCharType="separate"/>
            </w:r>
            <w:r>
              <w:rPr>
                <w:noProof/>
                <w:webHidden/>
              </w:rPr>
              <w:t>43</w:t>
            </w:r>
            <w:r>
              <w:rPr>
                <w:noProof/>
                <w:webHidden/>
              </w:rPr>
              <w:fldChar w:fldCharType="end"/>
            </w:r>
          </w:hyperlink>
        </w:p>
        <w:p w14:paraId="3BDA343A" w14:textId="77777777" w:rsidR="00B00F45" w:rsidRDefault="00B00F45">
          <w:pPr>
            <w:pStyle w:val="TOC3"/>
            <w:rPr>
              <w:rFonts w:asciiTheme="minorHAnsi" w:eastAsiaTheme="minorEastAsia" w:hAnsiTheme="minorHAnsi" w:cstheme="minorBidi"/>
              <w:noProof/>
              <w:lang w:eastAsia="en-AU"/>
            </w:rPr>
          </w:pPr>
          <w:hyperlink w:anchor="_Toc442962678" w:history="1">
            <w:r w:rsidRPr="003F2448">
              <w:rPr>
                <w:rStyle w:val="Hyperlink"/>
                <w:noProof/>
              </w:rPr>
              <w:t>Post ACPM negotiations</w:t>
            </w:r>
            <w:r>
              <w:rPr>
                <w:noProof/>
                <w:webHidden/>
              </w:rPr>
              <w:tab/>
            </w:r>
            <w:r>
              <w:rPr>
                <w:noProof/>
                <w:webHidden/>
              </w:rPr>
              <w:fldChar w:fldCharType="begin"/>
            </w:r>
            <w:r>
              <w:rPr>
                <w:noProof/>
                <w:webHidden/>
              </w:rPr>
              <w:instrText xml:space="preserve"> PAGEREF _Toc442962678 \h </w:instrText>
            </w:r>
            <w:r>
              <w:rPr>
                <w:noProof/>
                <w:webHidden/>
              </w:rPr>
            </w:r>
            <w:r>
              <w:rPr>
                <w:noProof/>
                <w:webHidden/>
              </w:rPr>
              <w:fldChar w:fldCharType="separate"/>
            </w:r>
            <w:r>
              <w:rPr>
                <w:noProof/>
                <w:webHidden/>
              </w:rPr>
              <w:t>44</w:t>
            </w:r>
            <w:r>
              <w:rPr>
                <w:noProof/>
                <w:webHidden/>
              </w:rPr>
              <w:fldChar w:fldCharType="end"/>
            </w:r>
          </w:hyperlink>
        </w:p>
        <w:p w14:paraId="3D125DAD" w14:textId="77777777" w:rsidR="00B00F45" w:rsidRDefault="00B00F45">
          <w:pPr>
            <w:pStyle w:val="TOC3"/>
            <w:rPr>
              <w:rFonts w:asciiTheme="minorHAnsi" w:eastAsiaTheme="minorEastAsia" w:hAnsiTheme="minorHAnsi" w:cstheme="minorBidi"/>
              <w:noProof/>
              <w:lang w:eastAsia="en-AU"/>
            </w:rPr>
          </w:pPr>
          <w:hyperlink w:anchor="_Toc442962679" w:history="1">
            <w:r w:rsidRPr="003F2448">
              <w:rPr>
                <w:rStyle w:val="Hyperlink"/>
                <w:noProof/>
              </w:rPr>
              <w:t>Outcome</w:t>
            </w:r>
            <w:r>
              <w:rPr>
                <w:noProof/>
                <w:webHidden/>
              </w:rPr>
              <w:tab/>
            </w:r>
            <w:r>
              <w:rPr>
                <w:noProof/>
                <w:webHidden/>
              </w:rPr>
              <w:fldChar w:fldCharType="begin"/>
            </w:r>
            <w:r>
              <w:rPr>
                <w:noProof/>
                <w:webHidden/>
              </w:rPr>
              <w:instrText xml:space="preserve"> PAGEREF _Toc442962679 \h </w:instrText>
            </w:r>
            <w:r>
              <w:rPr>
                <w:noProof/>
                <w:webHidden/>
              </w:rPr>
            </w:r>
            <w:r>
              <w:rPr>
                <w:noProof/>
                <w:webHidden/>
              </w:rPr>
              <w:fldChar w:fldCharType="separate"/>
            </w:r>
            <w:r>
              <w:rPr>
                <w:noProof/>
                <w:webHidden/>
              </w:rPr>
              <w:t>44</w:t>
            </w:r>
            <w:r>
              <w:rPr>
                <w:noProof/>
                <w:webHidden/>
              </w:rPr>
              <w:fldChar w:fldCharType="end"/>
            </w:r>
          </w:hyperlink>
        </w:p>
        <w:p w14:paraId="04A09011" w14:textId="77777777" w:rsidR="00B00F45" w:rsidRDefault="00B00F45">
          <w:pPr>
            <w:pStyle w:val="TOC2"/>
            <w:rPr>
              <w:rFonts w:asciiTheme="minorHAnsi" w:eastAsiaTheme="minorEastAsia" w:hAnsiTheme="minorHAnsi" w:cstheme="minorBidi"/>
              <w:b w:val="0"/>
              <w:noProof/>
              <w:sz w:val="22"/>
              <w:lang w:eastAsia="en-AU"/>
            </w:rPr>
          </w:pPr>
          <w:hyperlink w:anchor="_Toc442962680" w:history="1">
            <w:r w:rsidRPr="003F2448">
              <w:rPr>
                <w:rStyle w:val="Hyperlink"/>
                <w:noProof/>
              </w:rPr>
              <w:t>Attachment 1. Product Information</w:t>
            </w:r>
            <w:r>
              <w:rPr>
                <w:noProof/>
                <w:webHidden/>
              </w:rPr>
              <w:tab/>
            </w:r>
            <w:r>
              <w:rPr>
                <w:noProof/>
                <w:webHidden/>
              </w:rPr>
              <w:fldChar w:fldCharType="begin"/>
            </w:r>
            <w:r>
              <w:rPr>
                <w:noProof/>
                <w:webHidden/>
              </w:rPr>
              <w:instrText xml:space="preserve"> PAGEREF _Toc442962680 \h </w:instrText>
            </w:r>
            <w:r>
              <w:rPr>
                <w:noProof/>
                <w:webHidden/>
              </w:rPr>
            </w:r>
            <w:r>
              <w:rPr>
                <w:noProof/>
                <w:webHidden/>
              </w:rPr>
              <w:fldChar w:fldCharType="separate"/>
            </w:r>
            <w:r>
              <w:rPr>
                <w:noProof/>
                <w:webHidden/>
              </w:rPr>
              <w:t>45</w:t>
            </w:r>
            <w:r>
              <w:rPr>
                <w:noProof/>
                <w:webHidden/>
              </w:rPr>
              <w:fldChar w:fldCharType="end"/>
            </w:r>
          </w:hyperlink>
        </w:p>
        <w:p w14:paraId="1EC383F7" w14:textId="77777777" w:rsidR="00B00F45" w:rsidRDefault="00B00F45">
          <w:pPr>
            <w:pStyle w:val="TOC2"/>
            <w:rPr>
              <w:rFonts w:asciiTheme="minorHAnsi" w:eastAsiaTheme="minorEastAsia" w:hAnsiTheme="minorHAnsi" w:cstheme="minorBidi"/>
              <w:b w:val="0"/>
              <w:noProof/>
              <w:sz w:val="22"/>
              <w:lang w:eastAsia="en-AU"/>
            </w:rPr>
          </w:pPr>
          <w:hyperlink w:anchor="_Toc442962681" w:history="1">
            <w:r w:rsidRPr="003F2448">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_Toc442962681 \h </w:instrText>
            </w:r>
            <w:r>
              <w:rPr>
                <w:noProof/>
                <w:webHidden/>
              </w:rPr>
            </w:r>
            <w:r>
              <w:rPr>
                <w:noProof/>
                <w:webHidden/>
              </w:rPr>
              <w:fldChar w:fldCharType="separate"/>
            </w:r>
            <w:r>
              <w:rPr>
                <w:noProof/>
                <w:webHidden/>
              </w:rPr>
              <w:t>45</w:t>
            </w:r>
            <w:r>
              <w:rPr>
                <w:noProof/>
                <w:webHidden/>
              </w:rPr>
              <w:fldChar w:fldCharType="end"/>
            </w:r>
          </w:hyperlink>
        </w:p>
        <w:p w14:paraId="433EB9FA" w14:textId="77777777" w:rsidR="003A7F6C" w:rsidRPr="00B811C6" w:rsidRDefault="00DB6124" w:rsidP="00B811C6">
          <w:pPr>
            <w:pStyle w:val="TOC2"/>
          </w:pPr>
          <w:r>
            <w:fldChar w:fldCharType="end"/>
          </w:r>
        </w:p>
      </w:sdtContent>
    </w:sdt>
    <w:bookmarkStart w:id="3" w:name="_Toc314842482" w:displacedByCustomXml="prev"/>
    <w:p w14:paraId="13F3CF29" w14:textId="7ADFA267" w:rsidR="00FD119B" w:rsidRPr="00FD119B" w:rsidRDefault="007A2EF1" w:rsidP="001E6EC7">
      <w:pPr>
        <w:pStyle w:val="Heading2"/>
        <w:pageBreakBefore/>
      </w:pPr>
      <w:bookmarkStart w:id="4" w:name="_Toc351716269"/>
      <w:bookmarkStart w:id="5" w:name="_Toc351718881"/>
      <w:bookmarkStart w:id="6" w:name="_Toc355338616"/>
      <w:bookmarkStart w:id="7" w:name="_Toc356306144"/>
      <w:bookmarkStart w:id="8" w:name="_Toc438482632"/>
      <w:bookmarkStart w:id="9" w:name="_Toc438482699"/>
      <w:bookmarkStart w:id="10" w:name="_Toc440280766"/>
      <w:bookmarkStart w:id="11" w:name="_Toc442962636"/>
      <w:r>
        <w:lastRenderedPageBreak/>
        <w:t>C</w:t>
      </w:r>
      <w:r w:rsidR="00FD119B" w:rsidRPr="00FD119B">
        <w:t>ommon abbreviations</w:t>
      </w:r>
      <w:bookmarkEnd w:id="4"/>
      <w:bookmarkEnd w:id="5"/>
      <w:bookmarkEnd w:id="6"/>
      <w:bookmarkEnd w:id="7"/>
      <w:r w:rsidR="00FD119B" w:rsidRPr="00FD119B">
        <w:t xml:space="preserve"> used in this </w:t>
      </w:r>
      <w:r w:rsidR="00FD119B" w:rsidRPr="004F0C4A">
        <w:t>AusPAR</w:t>
      </w:r>
      <w:bookmarkEnd w:id="8"/>
      <w:bookmarkEnd w:id="9"/>
      <w:bookmarkEnd w:id="10"/>
      <w:bookmarkEnd w:id="11"/>
    </w:p>
    <w:tbl>
      <w:tblPr>
        <w:tblStyle w:val="TableTGAblue"/>
        <w:tblW w:w="8962" w:type="dxa"/>
        <w:tblLook w:val="04A0" w:firstRow="1" w:lastRow="0" w:firstColumn="1" w:lastColumn="0" w:noHBand="0" w:noVBand="1"/>
      </w:tblPr>
      <w:tblGrid>
        <w:gridCol w:w="1925"/>
        <w:gridCol w:w="7037"/>
      </w:tblGrid>
      <w:tr w:rsidR="00C779C2" w:rsidRPr="00287EEB" w14:paraId="5D863715" w14:textId="77777777" w:rsidTr="00C779C2">
        <w:trPr>
          <w:cnfStyle w:val="100000000000" w:firstRow="1" w:lastRow="0" w:firstColumn="0" w:lastColumn="0" w:oddVBand="0" w:evenVBand="0" w:oddHBand="0" w:evenHBand="0" w:firstRowFirstColumn="0" w:firstRowLastColumn="0" w:lastRowFirstColumn="0" w:lastRowLastColumn="0"/>
        </w:trPr>
        <w:tc>
          <w:tcPr>
            <w:tcW w:w="1925" w:type="dxa"/>
          </w:tcPr>
          <w:p w14:paraId="0B5F04C8" w14:textId="77777777" w:rsidR="00C779C2" w:rsidRPr="00287EEB" w:rsidRDefault="00C779C2" w:rsidP="007A2EF1">
            <w:r w:rsidRPr="00287EEB">
              <w:t>Abbreviation</w:t>
            </w:r>
          </w:p>
        </w:tc>
        <w:tc>
          <w:tcPr>
            <w:tcW w:w="7037" w:type="dxa"/>
          </w:tcPr>
          <w:p w14:paraId="57471890" w14:textId="77777777" w:rsidR="00C779C2" w:rsidRPr="000E3886" w:rsidRDefault="00C779C2" w:rsidP="007A2EF1">
            <w:r w:rsidRPr="000E3886">
              <w:t>Meaning</w:t>
            </w:r>
          </w:p>
        </w:tc>
      </w:tr>
      <w:tr w:rsidR="00601EF9" w:rsidRPr="00287EEB" w14:paraId="271E4031" w14:textId="77777777" w:rsidTr="00C779C2">
        <w:tc>
          <w:tcPr>
            <w:tcW w:w="1925" w:type="dxa"/>
          </w:tcPr>
          <w:p w14:paraId="00FC1A9E" w14:textId="77777777" w:rsidR="00601EF9" w:rsidRPr="000E3886" w:rsidRDefault="00601EF9" w:rsidP="007A2EF1">
            <w:r w:rsidRPr="00287EEB">
              <w:t>ACPM</w:t>
            </w:r>
          </w:p>
        </w:tc>
        <w:tc>
          <w:tcPr>
            <w:tcW w:w="7037" w:type="dxa"/>
          </w:tcPr>
          <w:p w14:paraId="6295C7C8" w14:textId="77777777" w:rsidR="00601EF9" w:rsidRPr="001F72FB" w:rsidRDefault="00601EF9" w:rsidP="007A2EF1">
            <w:r w:rsidRPr="001F72FB">
              <w:t>Advisory Committee for Prescription Medicines</w:t>
            </w:r>
          </w:p>
        </w:tc>
      </w:tr>
      <w:tr w:rsidR="00C779C2" w:rsidRPr="00287EEB" w14:paraId="43965E3C" w14:textId="77777777" w:rsidTr="00C779C2">
        <w:tc>
          <w:tcPr>
            <w:tcW w:w="1925" w:type="dxa"/>
          </w:tcPr>
          <w:p w14:paraId="4E915265" w14:textId="77777777" w:rsidR="00C779C2" w:rsidRPr="000E3886" w:rsidRDefault="00C779C2" w:rsidP="007A2EF1">
            <w:r w:rsidRPr="00287EEB">
              <w:t>ACTH</w:t>
            </w:r>
          </w:p>
        </w:tc>
        <w:tc>
          <w:tcPr>
            <w:tcW w:w="7037" w:type="dxa"/>
          </w:tcPr>
          <w:p w14:paraId="3812C82E" w14:textId="77777777" w:rsidR="00C779C2" w:rsidRPr="001F72FB" w:rsidRDefault="00C779C2" w:rsidP="007A2EF1">
            <w:r w:rsidRPr="001F72FB">
              <w:t>Adrenocorticotropic hormone</w:t>
            </w:r>
          </w:p>
        </w:tc>
      </w:tr>
      <w:tr w:rsidR="00C779C2" w:rsidRPr="00287EEB" w14:paraId="5C5B9DFF" w14:textId="77777777" w:rsidTr="00C779C2">
        <w:tc>
          <w:tcPr>
            <w:tcW w:w="1925" w:type="dxa"/>
          </w:tcPr>
          <w:p w14:paraId="7AA9EF3F" w14:textId="77777777" w:rsidR="00C779C2" w:rsidRPr="000E3886" w:rsidRDefault="00C779C2" w:rsidP="007A2EF1">
            <w:r w:rsidRPr="00287EEB">
              <w:t>AE</w:t>
            </w:r>
          </w:p>
        </w:tc>
        <w:tc>
          <w:tcPr>
            <w:tcW w:w="7037" w:type="dxa"/>
          </w:tcPr>
          <w:p w14:paraId="644C40B7" w14:textId="77777777" w:rsidR="00C779C2" w:rsidRPr="001F72FB" w:rsidRDefault="00C779C2" w:rsidP="007A2EF1">
            <w:r w:rsidRPr="001F72FB">
              <w:t>Adverse event</w:t>
            </w:r>
          </w:p>
        </w:tc>
      </w:tr>
      <w:tr w:rsidR="00836F9D" w:rsidRPr="00287EEB" w14:paraId="44AFEB47" w14:textId="77777777" w:rsidTr="00C779C2">
        <w:tc>
          <w:tcPr>
            <w:tcW w:w="1925" w:type="dxa"/>
          </w:tcPr>
          <w:p w14:paraId="41C92098" w14:textId="77777777" w:rsidR="00836F9D" w:rsidRPr="000E3886" w:rsidRDefault="00836F9D" w:rsidP="007A2EF1">
            <w:r w:rsidRPr="00287EEB">
              <w:t>AUC</w:t>
            </w:r>
          </w:p>
        </w:tc>
        <w:tc>
          <w:tcPr>
            <w:tcW w:w="7037" w:type="dxa"/>
          </w:tcPr>
          <w:p w14:paraId="5BF442B4" w14:textId="77777777" w:rsidR="00836F9D" w:rsidRPr="00DA55BF" w:rsidRDefault="00836F9D" w:rsidP="007A2EF1">
            <w:r w:rsidRPr="001F72FB">
              <w:t>Area</w:t>
            </w:r>
            <w:r w:rsidRPr="00DA55BF">
              <w:t xml:space="preserve"> under the plasma concentration time curve</w:t>
            </w:r>
          </w:p>
        </w:tc>
      </w:tr>
      <w:tr w:rsidR="003D67B4" w:rsidRPr="00287EEB" w14:paraId="1C1CF710" w14:textId="77777777" w:rsidTr="00C779C2">
        <w:tc>
          <w:tcPr>
            <w:tcW w:w="1925" w:type="dxa"/>
          </w:tcPr>
          <w:p w14:paraId="2BE1CE3F" w14:textId="77777777" w:rsidR="003D67B4" w:rsidRPr="001F72FB" w:rsidRDefault="003D67B4" w:rsidP="007A2EF1">
            <w:proofErr w:type="spellStart"/>
            <w:r w:rsidRPr="00287EEB">
              <w:t>AUC</w:t>
            </w:r>
            <w:r w:rsidRPr="000E3886">
              <w:rPr>
                <w:vertAlign w:val="subscript"/>
              </w:rPr>
              <w:t>ss</w:t>
            </w:r>
            <w:proofErr w:type="spellEnd"/>
          </w:p>
        </w:tc>
        <w:tc>
          <w:tcPr>
            <w:tcW w:w="7037" w:type="dxa"/>
          </w:tcPr>
          <w:p w14:paraId="10B21D5B" w14:textId="77777777" w:rsidR="003D67B4" w:rsidRPr="00DA55BF" w:rsidRDefault="003D67B4" w:rsidP="007A2EF1">
            <w:r w:rsidRPr="00DA55BF">
              <w:t>Area under the plasma concentration time curve steady state</w:t>
            </w:r>
          </w:p>
        </w:tc>
      </w:tr>
      <w:tr w:rsidR="00C779C2" w:rsidRPr="00287EEB" w14:paraId="26E600F2" w14:textId="77777777" w:rsidTr="00C779C2">
        <w:tc>
          <w:tcPr>
            <w:tcW w:w="1925" w:type="dxa"/>
          </w:tcPr>
          <w:p w14:paraId="1E3EF3D6" w14:textId="77777777" w:rsidR="00C779C2" w:rsidRPr="001F72FB" w:rsidRDefault="00C779C2" w:rsidP="007A2EF1">
            <w:r w:rsidRPr="00287EEB">
              <w:t>AUC</w:t>
            </w:r>
            <w:r w:rsidRPr="000E3886">
              <w:rPr>
                <w:vertAlign w:val="subscript"/>
              </w:rPr>
              <w:t>∞</w:t>
            </w:r>
          </w:p>
        </w:tc>
        <w:tc>
          <w:tcPr>
            <w:tcW w:w="7037" w:type="dxa"/>
          </w:tcPr>
          <w:p w14:paraId="701D161B" w14:textId="77777777" w:rsidR="00C779C2" w:rsidRPr="0056553B" w:rsidRDefault="00C779C2" w:rsidP="007A2EF1">
            <w:r w:rsidRPr="00DA55BF">
              <w:t>Area</w:t>
            </w:r>
            <w:r w:rsidR="00836F9D" w:rsidRPr="00026A14">
              <w:t xml:space="preserve"> under the plasma concentration </w:t>
            </w:r>
            <w:r w:rsidRPr="0056553B">
              <w:t>time curve from time 0 to infinity</w:t>
            </w:r>
          </w:p>
        </w:tc>
      </w:tr>
      <w:tr w:rsidR="00996F31" w:rsidRPr="00287EEB" w14:paraId="0271B0E9" w14:textId="77777777" w:rsidTr="00C779C2">
        <w:tc>
          <w:tcPr>
            <w:tcW w:w="1925" w:type="dxa"/>
          </w:tcPr>
          <w:p w14:paraId="60BF168F" w14:textId="77777777" w:rsidR="00996F31" w:rsidRPr="001F72FB" w:rsidRDefault="00996F31" w:rsidP="007A2EF1">
            <w:r w:rsidRPr="00287EEB">
              <w:rPr>
                <w:bCs/>
              </w:rPr>
              <w:t>AUC</w:t>
            </w:r>
            <w:r w:rsidRPr="000E3886">
              <w:rPr>
                <w:bCs/>
                <w:vertAlign w:val="subscript"/>
              </w:rPr>
              <w:t>0-t</w:t>
            </w:r>
          </w:p>
        </w:tc>
        <w:tc>
          <w:tcPr>
            <w:tcW w:w="7037" w:type="dxa"/>
          </w:tcPr>
          <w:p w14:paraId="1DD15334" w14:textId="671EF1DC" w:rsidR="00996F31" w:rsidRPr="00DA55BF" w:rsidRDefault="00996F31" w:rsidP="007A2EF1">
            <w:r w:rsidRPr="00DA55BF">
              <w:t>Area under the plasma concentration</w:t>
            </w:r>
            <w:r w:rsidR="007A2EF1">
              <w:t xml:space="preserve"> time curve from time 0 to </w:t>
            </w:r>
            <w:r w:rsidRPr="00DA55BF">
              <w:t>t</w:t>
            </w:r>
          </w:p>
        </w:tc>
      </w:tr>
      <w:tr w:rsidR="00A24B71" w:rsidRPr="00287EEB" w14:paraId="5BF93CAA" w14:textId="77777777" w:rsidTr="00C779C2">
        <w:tc>
          <w:tcPr>
            <w:tcW w:w="1925" w:type="dxa"/>
          </w:tcPr>
          <w:p w14:paraId="5E9C84E7" w14:textId="77777777" w:rsidR="00A24B71" w:rsidRPr="001F72FB" w:rsidRDefault="00A24B71" w:rsidP="007A2EF1">
            <w:r w:rsidRPr="00287EEB">
              <w:t>AUC</w:t>
            </w:r>
            <w:r w:rsidRPr="000E3886">
              <w:rPr>
                <w:vertAlign w:val="subscript"/>
              </w:rPr>
              <w:t>0-24h</w:t>
            </w:r>
          </w:p>
        </w:tc>
        <w:tc>
          <w:tcPr>
            <w:tcW w:w="7037" w:type="dxa"/>
          </w:tcPr>
          <w:p w14:paraId="35A37CD8" w14:textId="399BF905" w:rsidR="00A24B71" w:rsidRPr="00DA55BF" w:rsidRDefault="00A24B71" w:rsidP="007A2EF1">
            <w:r w:rsidRPr="00DA55BF">
              <w:t>Area under the plasma concentration-ti</w:t>
            </w:r>
            <w:r w:rsidR="007A2EF1">
              <w:t>me curve from time 0 to 24 h</w:t>
            </w:r>
          </w:p>
        </w:tc>
      </w:tr>
      <w:tr w:rsidR="00C779C2" w:rsidRPr="00287EEB" w14:paraId="101E5477" w14:textId="77777777" w:rsidTr="00C779C2">
        <w:tc>
          <w:tcPr>
            <w:tcW w:w="1925" w:type="dxa"/>
          </w:tcPr>
          <w:p w14:paraId="03992991" w14:textId="77777777" w:rsidR="00C779C2" w:rsidRPr="000E3886" w:rsidRDefault="00C779C2" w:rsidP="007A2EF1">
            <w:r w:rsidRPr="00287EEB">
              <w:t>CAI</w:t>
            </w:r>
          </w:p>
        </w:tc>
        <w:tc>
          <w:tcPr>
            <w:tcW w:w="7037" w:type="dxa"/>
          </w:tcPr>
          <w:p w14:paraId="25DC510E" w14:textId="77777777" w:rsidR="00C779C2" w:rsidRPr="00DA55BF" w:rsidRDefault="00C779C2" w:rsidP="007A2EF1">
            <w:r w:rsidRPr="001F72FB">
              <w:t>Clinical Activity In</w:t>
            </w:r>
            <w:r w:rsidRPr="00DA55BF">
              <w:t>dex</w:t>
            </w:r>
          </w:p>
        </w:tc>
      </w:tr>
      <w:tr w:rsidR="002560C0" w:rsidRPr="00287EEB" w14:paraId="15715435" w14:textId="77777777" w:rsidTr="00C779C2">
        <w:tc>
          <w:tcPr>
            <w:tcW w:w="1925" w:type="dxa"/>
          </w:tcPr>
          <w:p w14:paraId="769B0C8E" w14:textId="77777777" w:rsidR="002560C0" w:rsidRPr="000E3886" w:rsidRDefault="002560C0" w:rsidP="007A2EF1">
            <w:r w:rsidRPr="00287EEB">
              <w:t>CI</w:t>
            </w:r>
          </w:p>
        </w:tc>
        <w:tc>
          <w:tcPr>
            <w:tcW w:w="7037" w:type="dxa"/>
          </w:tcPr>
          <w:p w14:paraId="353D8DAF" w14:textId="77777777" w:rsidR="002560C0" w:rsidRPr="001F72FB" w:rsidRDefault="002560C0" w:rsidP="007A2EF1">
            <w:r w:rsidRPr="001F72FB">
              <w:t>confidence interval</w:t>
            </w:r>
          </w:p>
        </w:tc>
      </w:tr>
      <w:tr w:rsidR="00C779C2" w:rsidRPr="00287EEB" w14:paraId="0F751EC3" w14:textId="77777777" w:rsidTr="00C779C2">
        <w:tc>
          <w:tcPr>
            <w:tcW w:w="1925" w:type="dxa"/>
          </w:tcPr>
          <w:p w14:paraId="37B842BB" w14:textId="77777777" w:rsidR="00C779C2" w:rsidRPr="001F72FB" w:rsidRDefault="00C779C2" w:rsidP="007A2EF1">
            <w:proofErr w:type="spellStart"/>
            <w:r w:rsidRPr="00287EEB">
              <w:t>C</w:t>
            </w:r>
            <w:r w:rsidRPr="000E3886">
              <w:rPr>
                <w:vertAlign w:val="subscript"/>
              </w:rPr>
              <w:t>max</w:t>
            </w:r>
            <w:proofErr w:type="spellEnd"/>
          </w:p>
        </w:tc>
        <w:tc>
          <w:tcPr>
            <w:tcW w:w="7037" w:type="dxa"/>
          </w:tcPr>
          <w:p w14:paraId="32E4D2BB" w14:textId="77777777" w:rsidR="00C779C2" w:rsidRPr="0056553B" w:rsidRDefault="004215C2" w:rsidP="007A2EF1">
            <w:r w:rsidRPr="00DA55BF">
              <w:t>maximum</w:t>
            </w:r>
            <w:r w:rsidR="00C779C2" w:rsidRPr="00026A14">
              <w:t xml:space="preserve"> concentration</w:t>
            </w:r>
          </w:p>
        </w:tc>
      </w:tr>
      <w:tr w:rsidR="00504E34" w:rsidRPr="00287EEB" w14:paraId="7D79AEA8" w14:textId="77777777" w:rsidTr="00C779C2">
        <w:tc>
          <w:tcPr>
            <w:tcW w:w="1925" w:type="dxa"/>
          </w:tcPr>
          <w:p w14:paraId="1B29D59D" w14:textId="77777777" w:rsidR="00504E34" w:rsidRPr="000E3886" w:rsidRDefault="00504E34" w:rsidP="007A2EF1">
            <w:r w:rsidRPr="00287EEB">
              <w:t>CRP</w:t>
            </w:r>
          </w:p>
        </w:tc>
        <w:tc>
          <w:tcPr>
            <w:tcW w:w="7037" w:type="dxa"/>
          </w:tcPr>
          <w:p w14:paraId="2EF4B969" w14:textId="77777777" w:rsidR="00504E34" w:rsidRPr="001F72FB" w:rsidRDefault="00504E34" w:rsidP="007A2EF1">
            <w:r w:rsidRPr="001F72FB">
              <w:t>C-reactive protein</w:t>
            </w:r>
          </w:p>
        </w:tc>
      </w:tr>
      <w:tr w:rsidR="00867E1F" w:rsidRPr="00287EEB" w14:paraId="2F28A5E1" w14:textId="77777777" w:rsidTr="00C779C2">
        <w:tc>
          <w:tcPr>
            <w:tcW w:w="1925" w:type="dxa"/>
          </w:tcPr>
          <w:p w14:paraId="402E681B" w14:textId="77777777" w:rsidR="00867E1F" w:rsidRPr="000E3886" w:rsidRDefault="00867E1F" w:rsidP="007A2EF1">
            <w:r w:rsidRPr="00287EEB">
              <w:t>CV</w:t>
            </w:r>
          </w:p>
        </w:tc>
        <w:tc>
          <w:tcPr>
            <w:tcW w:w="7037" w:type="dxa"/>
          </w:tcPr>
          <w:p w14:paraId="4F5C9E10" w14:textId="77777777" w:rsidR="00867E1F" w:rsidRPr="001F72FB" w:rsidRDefault="00867E1F" w:rsidP="007A2EF1">
            <w:r w:rsidRPr="001F72FB">
              <w:t>coefficient of variation</w:t>
            </w:r>
          </w:p>
        </w:tc>
      </w:tr>
      <w:tr w:rsidR="00F329C5" w:rsidRPr="00287EEB" w14:paraId="69ECE078" w14:textId="77777777" w:rsidTr="00C779C2">
        <w:tc>
          <w:tcPr>
            <w:tcW w:w="1925" w:type="dxa"/>
          </w:tcPr>
          <w:p w14:paraId="457068F4" w14:textId="77777777" w:rsidR="00F329C5" w:rsidRPr="000E3886" w:rsidRDefault="00F329C5" w:rsidP="007A2EF1">
            <w:r w:rsidRPr="00287EEB">
              <w:t>CYP3A</w:t>
            </w:r>
          </w:p>
        </w:tc>
        <w:tc>
          <w:tcPr>
            <w:tcW w:w="7037" w:type="dxa"/>
          </w:tcPr>
          <w:p w14:paraId="047725AC" w14:textId="77777777" w:rsidR="00F329C5" w:rsidRPr="001F72FB" w:rsidRDefault="00F329C5" w:rsidP="007A2EF1">
            <w:r w:rsidRPr="001F72FB">
              <w:t>The 3A subfamily of cytochrome P450</w:t>
            </w:r>
          </w:p>
        </w:tc>
      </w:tr>
      <w:tr w:rsidR="00504E34" w:rsidRPr="00287EEB" w14:paraId="62642604" w14:textId="77777777" w:rsidTr="00C779C2">
        <w:tc>
          <w:tcPr>
            <w:tcW w:w="1925" w:type="dxa"/>
          </w:tcPr>
          <w:p w14:paraId="3F6C4325" w14:textId="77777777" w:rsidR="00504E34" w:rsidRPr="000E3886" w:rsidRDefault="00504E34" w:rsidP="007A2EF1">
            <w:r w:rsidRPr="00287EEB">
              <w:t>ESR</w:t>
            </w:r>
          </w:p>
        </w:tc>
        <w:tc>
          <w:tcPr>
            <w:tcW w:w="7037" w:type="dxa"/>
          </w:tcPr>
          <w:p w14:paraId="3758BD55" w14:textId="77777777" w:rsidR="00504E34" w:rsidRPr="001F72FB" w:rsidRDefault="00504E34" w:rsidP="007A2EF1">
            <w:r w:rsidRPr="001F72FB">
              <w:t>erythrocyte sedimentation rate</w:t>
            </w:r>
          </w:p>
        </w:tc>
      </w:tr>
      <w:tr w:rsidR="00C779C2" w:rsidRPr="00287EEB" w14:paraId="4D52C4A5" w14:textId="77777777" w:rsidTr="00C779C2">
        <w:tc>
          <w:tcPr>
            <w:tcW w:w="1925" w:type="dxa"/>
          </w:tcPr>
          <w:p w14:paraId="371353E0" w14:textId="77777777" w:rsidR="00C779C2" w:rsidRPr="000E3886" w:rsidRDefault="00C779C2" w:rsidP="007A2EF1">
            <w:r w:rsidRPr="00287EEB">
              <w:t>EU</w:t>
            </w:r>
          </w:p>
        </w:tc>
        <w:tc>
          <w:tcPr>
            <w:tcW w:w="7037" w:type="dxa"/>
          </w:tcPr>
          <w:p w14:paraId="7B858BD8" w14:textId="77777777" w:rsidR="00C779C2" w:rsidRPr="001F72FB" w:rsidRDefault="00C779C2" w:rsidP="007A2EF1">
            <w:r w:rsidRPr="001F72FB">
              <w:t>European Union</w:t>
            </w:r>
          </w:p>
        </w:tc>
      </w:tr>
      <w:tr w:rsidR="00291172" w:rsidRPr="00287EEB" w14:paraId="7B73B61F" w14:textId="77777777" w:rsidTr="00C779C2">
        <w:tc>
          <w:tcPr>
            <w:tcW w:w="1925" w:type="dxa"/>
          </w:tcPr>
          <w:p w14:paraId="7B4ECC6C" w14:textId="77777777" w:rsidR="00291172" w:rsidRPr="000E3886" w:rsidRDefault="00291172" w:rsidP="007A2EF1">
            <w:r w:rsidRPr="00287EEB">
              <w:t>GCP</w:t>
            </w:r>
          </w:p>
        </w:tc>
        <w:tc>
          <w:tcPr>
            <w:tcW w:w="7037" w:type="dxa"/>
          </w:tcPr>
          <w:p w14:paraId="19054D50" w14:textId="77777777" w:rsidR="00291172" w:rsidRPr="001F72FB" w:rsidRDefault="00291172" w:rsidP="007A2EF1">
            <w:r w:rsidRPr="001F72FB">
              <w:t>Good clinical practice</w:t>
            </w:r>
          </w:p>
        </w:tc>
      </w:tr>
      <w:tr w:rsidR="00C779C2" w:rsidRPr="00287EEB" w14:paraId="7ABBBD19" w14:textId="77777777" w:rsidTr="00C779C2">
        <w:tc>
          <w:tcPr>
            <w:tcW w:w="1925" w:type="dxa"/>
          </w:tcPr>
          <w:p w14:paraId="211ECF15" w14:textId="77777777" w:rsidR="00C779C2" w:rsidRPr="000E3886" w:rsidRDefault="00C779C2" w:rsidP="007A2EF1">
            <w:r w:rsidRPr="00287EEB">
              <w:t>HPA axis</w:t>
            </w:r>
          </w:p>
        </w:tc>
        <w:tc>
          <w:tcPr>
            <w:tcW w:w="7037" w:type="dxa"/>
          </w:tcPr>
          <w:p w14:paraId="35FB0A02" w14:textId="77777777" w:rsidR="00C779C2" w:rsidRPr="0056553B" w:rsidRDefault="00833EF6" w:rsidP="007A2EF1">
            <w:r w:rsidRPr="001F72FB">
              <w:t>Hypothalamu</w:t>
            </w:r>
            <w:r w:rsidRPr="00DA55BF">
              <w:t xml:space="preserve">s pituitary </w:t>
            </w:r>
            <w:r w:rsidR="00C779C2" w:rsidRPr="00026A14">
              <w:t>adrenal axis</w:t>
            </w:r>
          </w:p>
        </w:tc>
      </w:tr>
      <w:tr w:rsidR="00C779C2" w:rsidRPr="00287EEB" w14:paraId="13735F48" w14:textId="77777777" w:rsidTr="00C779C2">
        <w:tc>
          <w:tcPr>
            <w:tcW w:w="1925" w:type="dxa"/>
          </w:tcPr>
          <w:p w14:paraId="0F526823" w14:textId="77777777" w:rsidR="00C779C2" w:rsidRPr="000E3886" w:rsidRDefault="00C779C2" w:rsidP="007A2EF1">
            <w:r w:rsidRPr="00287EEB">
              <w:t>IBD</w:t>
            </w:r>
          </w:p>
        </w:tc>
        <w:tc>
          <w:tcPr>
            <w:tcW w:w="7037" w:type="dxa"/>
          </w:tcPr>
          <w:p w14:paraId="6771CA86" w14:textId="77777777" w:rsidR="00C779C2" w:rsidRPr="001F72FB" w:rsidRDefault="00C779C2" w:rsidP="007A2EF1">
            <w:r w:rsidRPr="001F72FB">
              <w:t>Inflammatory bowel disease</w:t>
            </w:r>
          </w:p>
        </w:tc>
      </w:tr>
      <w:tr w:rsidR="00C779C2" w:rsidRPr="00287EEB" w14:paraId="71AE6E24" w14:textId="77777777" w:rsidTr="00C779C2">
        <w:tc>
          <w:tcPr>
            <w:tcW w:w="1925" w:type="dxa"/>
          </w:tcPr>
          <w:p w14:paraId="4C1B1683" w14:textId="77777777" w:rsidR="00C779C2" w:rsidRPr="000E3886" w:rsidRDefault="00833EF6" w:rsidP="007A2EF1">
            <w:r w:rsidRPr="00287EEB">
              <w:t xml:space="preserve">IBD </w:t>
            </w:r>
            <w:proofErr w:type="spellStart"/>
            <w:r w:rsidR="00C779C2" w:rsidRPr="000E3886">
              <w:t>QoL</w:t>
            </w:r>
            <w:proofErr w:type="spellEnd"/>
          </w:p>
        </w:tc>
        <w:tc>
          <w:tcPr>
            <w:tcW w:w="7037" w:type="dxa"/>
          </w:tcPr>
          <w:p w14:paraId="463B72C3" w14:textId="77777777" w:rsidR="00C779C2" w:rsidRPr="00DA55BF" w:rsidRDefault="00833EF6" w:rsidP="007A2EF1">
            <w:r w:rsidRPr="001F72FB">
              <w:t>Inflammatory Bowel Disease-Quality of Life</w:t>
            </w:r>
          </w:p>
        </w:tc>
      </w:tr>
      <w:tr w:rsidR="00E70E10" w:rsidRPr="00287EEB" w14:paraId="4B92D3A9" w14:textId="77777777" w:rsidTr="00C779C2">
        <w:tc>
          <w:tcPr>
            <w:tcW w:w="1925" w:type="dxa"/>
          </w:tcPr>
          <w:p w14:paraId="4BC449F9" w14:textId="77777777" w:rsidR="00E70E10" w:rsidRPr="000E3886" w:rsidRDefault="00E70E10" w:rsidP="007A2EF1">
            <w:r w:rsidRPr="00287EEB">
              <w:t>ITT</w:t>
            </w:r>
          </w:p>
        </w:tc>
        <w:tc>
          <w:tcPr>
            <w:tcW w:w="7037" w:type="dxa"/>
          </w:tcPr>
          <w:p w14:paraId="4456A8B4" w14:textId="77777777" w:rsidR="00E70E10" w:rsidRPr="001F72FB" w:rsidRDefault="00E70E10" w:rsidP="007A2EF1">
            <w:r w:rsidRPr="001F72FB">
              <w:t>intent to treat</w:t>
            </w:r>
          </w:p>
        </w:tc>
      </w:tr>
      <w:tr w:rsidR="00BB59AF" w:rsidRPr="00287EEB" w14:paraId="33D6F746" w14:textId="77777777" w:rsidTr="00C779C2">
        <w:tc>
          <w:tcPr>
            <w:tcW w:w="1925" w:type="dxa"/>
          </w:tcPr>
          <w:p w14:paraId="5ACEE52B" w14:textId="77777777" w:rsidR="00BB59AF" w:rsidRPr="000E3886" w:rsidRDefault="00BB59AF" w:rsidP="007A2EF1">
            <w:r w:rsidRPr="00287EEB">
              <w:t>mane</w:t>
            </w:r>
          </w:p>
        </w:tc>
        <w:tc>
          <w:tcPr>
            <w:tcW w:w="7037" w:type="dxa"/>
          </w:tcPr>
          <w:p w14:paraId="4E3A763E" w14:textId="77777777" w:rsidR="00BB59AF" w:rsidRPr="001F72FB" w:rsidRDefault="00BB59AF" w:rsidP="007A2EF1">
            <w:r w:rsidRPr="001F72FB">
              <w:t>in the morning</w:t>
            </w:r>
          </w:p>
        </w:tc>
      </w:tr>
      <w:tr w:rsidR="00DD0417" w:rsidRPr="00287EEB" w14:paraId="39C19168" w14:textId="77777777" w:rsidTr="00C779C2">
        <w:tc>
          <w:tcPr>
            <w:tcW w:w="1925" w:type="dxa"/>
          </w:tcPr>
          <w:p w14:paraId="58D90E99" w14:textId="77777777" w:rsidR="00DD0417" w:rsidRPr="000E3886" w:rsidRDefault="00DD0417" w:rsidP="007A2EF1">
            <w:r w:rsidRPr="00287EEB">
              <w:t>MRHD</w:t>
            </w:r>
          </w:p>
        </w:tc>
        <w:tc>
          <w:tcPr>
            <w:tcW w:w="7037" w:type="dxa"/>
          </w:tcPr>
          <w:p w14:paraId="1A11D914" w14:textId="77777777" w:rsidR="00DD0417" w:rsidRPr="00DA55BF" w:rsidRDefault="004B206B" w:rsidP="007A2EF1">
            <w:r w:rsidRPr="001F72FB">
              <w:t>maximum recommended highest dose</w:t>
            </w:r>
          </w:p>
        </w:tc>
      </w:tr>
      <w:tr w:rsidR="00C779C2" w:rsidRPr="00287EEB" w14:paraId="1C0FBC78" w14:textId="77777777" w:rsidTr="00C779C2">
        <w:tc>
          <w:tcPr>
            <w:tcW w:w="1925" w:type="dxa"/>
          </w:tcPr>
          <w:p w14:paraId="51F42503" w14:textId="77777777" w:rsidR="00C779C2" w:rsidRPr="00287EEB" w:rsidRDefault="00C779C2" w:rsidP="007A2EF1">
            <w:r w:rsidRPr="00287EEB">
              <w:t>MMX</w:t>
            </w:r>
          </w:p>
        </w:tc>
        <w:tc>
          <w:tcPr>
            <w:tcW w:w="7037" w:type="dxa"/>
          </w:tcPr>
          <w:p w14:paraId="1E3CC2F4" w14:textId="77777777" w:rsidR="00C779C2" w:rsidRPr="000E3886" w:rsidRDefault="00C779C2" w:rsidP="007A2EF1">
            <w:r w:rsidRPr="000E3886">
              <w:t>Multi-Matrix</w:t>
            </w:r>
          </w:p>
        </w:tc>
      </w:tr>
      <w:tr w:rsidR="00C779C2" w:rsidRPr="00287EEB" w14:paraId="012E7DBB" w14:textId="77777777" w:rsidTr="00C779C2">
        <w:tc>
          <w:tcPr>
            <w:tcW w:w="1925" w:type="dxa"/>
          </w:tcPr>
          <w:p w14:paraId="22BE196B" w14:textId="77777777" w:rsidR="00C779C2" w:rsidRPr="00287EEB" w:rsidRDefault="00C779C2" w:rsidP="007A2EF1">
            <w:r w:rsidRPr="00287EEB">
              <w:lastRenderedPageBreak/>
              <w:t>PK</w:t>
            </w:r>
          </w:p>
        </w:tc>
        <w:tc>
          <w:tcPr>
            <w:tcW w:w="7037" w:type="dxa"/>
          </w:tcPr>
          <w:p w14:paraId="71E1DED5" w14:textId="77777777" w:rsidR="00C779C2" w:rsidRPr="000E3886" w:rsidRDefault="00C779C2" w:rsidP="007A2EF1">
            <w:r w:rsidRPr="000E3886">
              <w:t>Pharmacokinetic(s)</w:t>
            </w:r>
          </w:p>
        </w:tc>
      </w:tr>
      <w:tr w:rsidR="00E70E10" w:rsidRPr="00287EEB" w14:paraId="2A2F5519" w14:textId="77777777" w:rsidTr="00C779C2">
        <w:tc>
          <w:tcPr>
            <w:tcW w:w="1925" w:type="dxa"/>
          </w:tcPr>
          <w:p w14:paraId="6F9A1538" w14:textId="77777777" w:rsidR="00E70E10" w:rsidRPr="00287EEB" w:rsidRDefault="00E70E10" w:rsidP="007A2EF1">
            <w:r w:rsidRPr="00287EEB">
              <w:t>PP</w:t>
            </w:r>
          </w:p>
        </w:tc>
        <w:tc>
          <w:tcPr>
            <w:tcW w:w="7037" w:type="dxa"/>
          </w:tcPr>
          <w:p w14:paraId="052CFE95" w14:textId="77777777" w:rsidR="00E70E10" w:rsidRPr="000E3886" w:rsidRDefault="00E70E10" w:rsidP="007A2EF1">
            <w:r w:rsidRPr="000E3886">
              <w:t>per protocol</w:t>
            </w:r>
          </w:p>
        </w:tc>
      </w:tr>
      <w:tr w:rsidR="00880E68" w:rsidRPr="00287EEB" w14:paraId="224B2BFB" w14:textId="77777777" w:rsidTr="00C779C2">
        <w:tc>
          <w:tcPr>
            <w:tcW w:w="1925" w:type="dxa"/>
          </w:tcPr>
          <w:p w14:paraId="74E0780C" w14:textId="77777777" w:rsidR="00880E68" w:rsidRPr="00287EEB" w:rsidRDefault="00880E68" w:rsidP="007A2EF1">
            <w:r w:rsidRPr="00287EEB">
              <w:t>PSAB</w:t>
            </w:r>
          </w:p>
        </w:tc>
        <w:tc>
          <w:tcPr>
            <w:tcW w:w="7037" w:type="dxa"/>
          </w:tcPr>
          <w:p w14:paraId="626A47A3" w14:textId="77777777" w:rsidR="00880E68" w:rsidRPr="001F72FB" w:rsidRDefault="00880E68" w:rsidP="007A2EF1">
            <w:r w:rsidRPr="000E3886">
              <w:t>Ph</w:t>
            </w:r>
            <w:r w:rsidRPr="001F72FB">
              <w:t>armacovigilance and Special Access Branch</w:t>
            </w:r>
          </w:p>
        </w:tc>
      </w:tr>
      <w:tr w:rsidR="0000594F" w:rsidRPr="00287EEB" w14:paraId="266DEC08" w14:textId="77777777" w:rsidTr="00C779C2">
        <w:tc>
          <w:tcPr>
            <w:tcW w:w="1925" w:type="dxa"/>
          </w:tcPr>
          <w:p w14:paraId="38E30803" w14:textId="77777777" w:rsidR="0000594F" w:rsidRPr="00287EEB" w:rsidRDefault="0000594F" w:rsidP="007A2EF1">
            <w:r w:rsidRPr="00287EEB">
              <w:t>PSUR</w:t>
            </w:r>
          </w:p>
        </w:tc>
        <w:tc>
          <w:tcPr>
            <w:tcW w:w="7037" w:type="dxa"/>
          </w:tcPr>
          <w:p w14:paraId="78B72E08" w14:textId="77777777" w:rsidR="0000594F" w:rsidRPr="000E3886" w:rsidRDefault="0000594F" w:rsidP="007A2EF1">
            <w:r w:rsidRPr="000E3886">
              <w:t>periodic safety update report</w:t>
            </w:r>
          </w:p>
        </w:tc>
      </w:tr>
      <w:tr w:rsidR="00C779C2" w:rsidRPr="00287EEB" w14:paraId="43B1B4D6" w14:textId="77777777" w:rsidTr="00C779C2">
        <w:tc>
          <w:tcPr>
            <w:tcW w:w="1925" w:type="dxa"/>
          </w:tcPr>
          <w:p w14:paraId="6204C3F3" w14:textId="77777777" w:rsidR="00C779C2" w:rsidRPr="00287EEB" w:rsidRDefault="00C779C2" w:rsidP="007A2EF1">
            <w:r w:rsidRPr="00287EEB">
              <w:t>SAE</w:t>
            </w:r>
          </w:p>
        </w:tc>
        <w:tc>
          <w:tcPr>
            <w:tcW w:w="7037" w:type="dxa"/>
          </w:tcPr>
          <w:p w14:paraId="6BDE2155" w14:textId="77777777" w:rsidR="00C779C2" w:rsidRPr="000E3886" w:rsidRDefault="00C779C2" w:rsidP="007A2EF1">
            <w:r w:rsidRPr="000E3886">
              <w:t>Serious adverse event</w:t>
            </w:r>
          </w:p>
        </w:tc>
      </w:tr>
      <w:tr w:rsidR="00352666" w:rsidRPr="00287EEB" w14:paraId="64BDC1B5" w14:textId="77777777" w:rsidTr="00C779C2">
        <w:tc>
          <w:tcPr>
            <w:tcW w:w="1925" w:type="dxa"/>
          </w:tcPr>
          <w:p w14:paraId="1373526E" w14:textId="77777777" w:rsidR="00352666" w:rsidRPr="00287EEB" w:rsidRDefault="00352666" w:rsidP="007A2EF1">
            <w:r w:rsidRPr="00287EEB">
              <w:t>SBA</w:t>
            </w:r>
          </w:p>
        </w:tc>
        <w:tc>
          <w:tcPr>
            <w:tcW w:w="7037" w:type="dxa"/>
          </w:tcPr>
          <w:p w14:paraId="4A2E13E3" w14:textId="77777777" w:rsidR="00352666" w:rsidRPr="00DA55BF" w:rsidRDefault="00352666" w:rsidP="007A2EF1">
            <w:r w:rsidRPr="000E3886">
              <w:t>S</w:t>
            </w:r>
            <w:r w:rsidR="0000594F" w:rsidRPr="001F72FB">
              <w:t>ummary Basis for Approval (FDA)</w:t>
            </w:r>
          </w:p>
        </w:tc>
      </w:tr>
      <w:tr w:rsidR="00C779C2" w:rsidRPr="00287EEB" w14:paraId="3901FC64" w14:textId="77777777" w:rsidTr="00C779C2">
        <w:tc>
          <w:tcPr>
            <w:tcW w:w="1925" w:type="dxa"/>
          </w:tcPr>
          <w:p w14:paraId="5EBD1937" w14:textId="77777777" w:rsidR="00C779C2" w:rsidRPr="00287EEB" w:rsidRDefault="00C779C2" w:rsidP="007A2EF1">
            <w:r w:rsidRPr="00287EEB">
              <w:t>SD</w:t>
            </w:r>
          </w:p>
        </w:tc>
        <w:tc>
          <w:tcPr>
            <w:tcW w:w="7037" w:type="dxa"/>
          </w:tcPr>
          <w:p w14:paraId="177D325E" w14:textId="77777777" w:rsidR="00C779C2" w:rsidRPr="000E3886" w:rsidRDefault="00C779C2" w:rsidP="007A2EF1">
            <w:r w:rsidRPr="000E3886">
              <w:t>Standard deviation</w:t>
            </w:r>
          </w:p>
        </w:tc>
      </w:tr>
      <w:tr w:rsidR="00C779C2" w:rsidRPr="00287EEB" w14:paraId="484CA573" w14:textId="77777777" w:rsidTr="00C779C2">
        <w:tc>
          <w:tcPr>
            <w:tcW w:w="1925" w:type="dxa"/>
          </w:tcPr>
          <w:p w14:paraId="1C3C63AB" w14:textId="77777777" w:rsidR="00C779C2" w:rsidRPr="00287EEB" w:rsidRDefault="00C779C2" w:rsidP="007A2EF1">
            <w:r w:rsidRPr="00287EEB">
              <w:t>TEAEs</w:t>
            </w:r>
          </w:p>
        </w:tc>
        <w:tc>
          <w:tcPr>
            <w:tcW w:w="7037" w:type="dxa"/>
          </w:tcPr>
          <w:p w14:paraId="53C85AB5" w14:textId="77777777" w:rsidR="00C779C2" w:rsidRPr="000E3886" w:rsidRDefault="00C779C2" w:rsidP="007A2EF1">
            <w:r w:rsidRPr="000E3886">
              <w:t>Treatment-emergent adverse events</w:t>
            </w:r>
          </w:p>
        </w:tc>
      </w:tr>
      <w:tr w:rsidR="00BB59AF" w:rsidRPr="00287EEB" w14:paraId="2591A4F2" w14:textId="77777777" w:rsidTr="00C779C2">
        <w:tc>
          <w:tcPr>
            <w:tcW w:w="1925" w:type="dxa"/>
          </w:tcPr>
          <w:p w14:paraId="3F74027F" w14:textId="4B666157" w:rsidR="00BB59AF" w:rsidRPr="00287EEB" w:rsidRDefault="00414B0E" w:rsidP="007A2EF1">
            <w:r w:rsidRPr="00287EEB">
              <w:t>TDS</w:t>
            </w:r>
          </w:p>
        </w:tc>
        <w:tc>
          <w:tcPr>
            <w:tcW w:w="7037" w:type="dxa"/>
          </w:tcPr>
          <w:p w14:paraId="6090942E" w14:textId="77777777" w:rsidR="00BB59AF" w:rsidRPr="000E3886" w:rsidRDefault="00BB59AF" w:rsidP="007A2EF1">
            <w:r w:rsidRPr="000E3886">
              <w:t>three times daily</w:t>
            </w:r>
          </w:p>
        </w:tc>
      </w:tr>
      <w:tr w:rsidR="00C779C2" w:rsidRPr="00287EEB" w14:paraId="600DBD6C" w14:textId="77777777" w:rsidTr="00C779C2">
        <w:tc>
          <w:tcPr>
            <w:tcW w:w="1925" w:type="dxa"/>
          </w:tcPr>
          <w:p w14:paraId="5F719188" w14:textId="77777777" w:rsidR="00C779C2" w:rsidRPr="00287EEB" w:rsidRDefault="007E79F4" w:rsidP="007A2EF1">
            <w:r w:rsidRPr="00287EEB">
              <w:t>t½</w:t>
            </w:r>
          </w:p>
        </w:tc>
        <w:tc>
          <w:tcPr>
            <w:tcW w:w="7037" w:type="dxa"/>
          </w:tcPr>
          <w:p w14:paraId="22E90266" w14:textId="77777777" w:rsidR="00C779C2" w:rsidRPr="000E3886" w:rsidRDefault="00C779C2" w:rsidP="007A2EF1">
            <w:r w:rsidRPr="000E3886">
              <w:t>Half life</w:t>
            </w:r>
          </w:p>
        </w:tc>
      </w:tr>
      <w:tr w:rsidR="00836F9D" w:rsidRPr="00287EEB" w14:paraId="6E90DEE9" w14:textId="77777777" w:rsidTr="00C779C2">
        <w:tc>
          <w:tcPr>
            <w:tcW w:w="1925" w:type="dxa"/>
          </w:tcPr>
          <w:p w14:paraId="0A28C52F" w14:textId="77777777" w:rsidR="00836F9D" w:rsidRPr="000E3886" w:rsidRDefault="00836F9D" w:rsidP="007A2EF1">
            <w:proofErr w:type="spellStart"/>
            <w:r w:rsidRPr="00287EEB">
              <w:t>T</w:t>
            </w:r>
            <w:r w:rsidRPr="00287EEB">
              <w:rPr>
                <w:vertAlign w:val="subscript"/>
              </w:rPr>
              <w:t>max</w:t>
            </w:r>
            <w:proofErr w:type="spellEnd"/>
          </w:p>
        </w:tc>
        <w:tc>
          <w:tcPr>
            <w:tcW w:w="7037" w:type="dxa"/>
          </w:tcPr>
          <w:p w14:paraId="59215398" w14:textId="77777777" w:rsidR="00836F9D" w:rsidRPr="00DA55BF" w:rsidRDefault="00836F9D" w:rsidP="007A2EF1">
            <w:r w:rsidRPr="001F72FB">
              <w:t>time a</w:t>
            </w:r>
            <w:r w:rsidRPr="00DA55BF">
              <w:t>fter administration of a drug when the maximum plasma concentration is reached</w:t>
            </w:r>
          </w:p>
        </w:tc>
      </w:tr>
      <w:tr w:rsidR="00C779C2" w:rsidRPr="00287EEB" w14:paraId="2198499C" w14:textId="77777777" w:rsidTr="00C779C2">
        <w:tc>
          <w:tcPr>
            <w:tcW w:w="1925" w:type="dxa"/>
          </w:tcPr>
          <w:p w14:paraId="46C471AD" w14:textId="77777777" w:rsidR="00C779C2" w:rsidRPr="00287EEB" w:rsidRDefault="00C779C2" w:rsidP="007A2EF1">
            <w:r w:rsidRPr="00287EEB">
              <w:t>UC</w:t>
            </w:r>
          </w:p>
        </w:tc>
        <w:tc>
          <w:tcPr>
            <w:tcW w:w="7037" w:type="dxa"/>
          </w:tcPr>
          <w:p w14:paraId="7949DC60" w14:textId="77777777" w:rsidR="00C779C2" w:rsidRPr="000E3886" w:rsidRDefault="00C779C2" w:rsidP="007A2EF1">
            <w:r w:rsidRPr="000E3886">
              <w:t>Ulcerative colitis</w:t>
            </w:r>
          </w:p>
        </w:tc>
      </w:tr>
      <w:tr w:rsidR="00C779C2" w:rsidRPr="00287EEB" w14:paraId="05345BF9" w14:textId="77777777" w:rsidTr="00C779C2">
        <w:tc>
          <w:tcPr>
            <w:tcW w:w="1925" w:type="dxa"/>
          </w:tcPr>
          <w:p w14:paraId="6A4CAD87" w14:textId="77777777" w:rsidR="00C779C2" w:rsidRPr="00287EEB" w:rsidRDefault="00C779C2" w:rsidP="007A2EF1">
            <w:r w:rsidRPr="00287EEB">
              <w:t>UCDAI</w:t>
            </w:r>
          </w:p>
        </w:tc>
        <w:tc>
          <w:tcPr>
            <w:tcW w:w="7037" w:type="dxa"/>
          </w:tcPr>
          <w:p w14:paraId="1AA9F54D" w14:textId="77777777" w:rsidR="00C779C2" w:rsidRPr="000E3886" w:rsidRDefault="00C779C2" w:rsidP="007A2EF1">
            <w:r w:rsidRPr="000E3886">
              <w:t>Ulcerative Colitis Disease Activity Index</w:t>
            </w:r>
          </w:p>
        </w:tc>
      </w:tr>
      <w:tr w:rsidR="009138A7" w:rsidRPr="00287EEB" w14:paraId="3138BBBD" w14:textId="77777777" w:rsidTr="00C779C2">
        <w:tc>
          <w:tcPr>
            <w:tcW w:w="1925" w:type="dxa"/>
          </w:tcPr>
          <w:p w14:paraId="44B9207F" w14:textId="77777777" w:rsidR="009138A7" w:rsidRPr="00287EEB" w:rsidRDefault="009138A7" w:rsidP="007A2EF1">
            <w:r w:rsidRPr="00287EEB">
              <w:t>UK</w:t>
            </w:r>
          </w:p>
        </w:tc>
        <w:tc>
          <w:tcPr>
            <w:tcW w:w="7037" w:type="dxa"/>
          </w:tcPr>
          <w:p w14:paraId="0D207517" w14:textId="77777777" w:rsidR="009138A7" w:rsidRPr="000E3886" w:rsidRDefault="009138A7" w:rsidP="007A2EF1">
            <w:r w:rsidRPr="000E3886">
              <w:t>United Kingdom</w:t>
            </w:r>
          </w:p>
        </w:tc>
      </w:tr>
      <w:tr w:rsidR="00504E34" w:rsidRPr="00287EEB" w14:paraId="24594E56" w14:textId="77777777" w:rsidTr="00C779C2">
        <w:tc>
          <w:tcPr>
            <w:tcW w:w="1925" w:type="dxa"/>
          </w:tcPr>
          <w:p w14:paraId="688706F7" w14:textId="77777777" w:rsidR="00504E34" w:rsidRPr="00287EEB" w:rsidRDefault="00504E34" w:rsidP="007A2EF1">
            <w:r w:rsidRPr="00287EEB">
              <w:t>USAN</w:t>
            </w:r>
          </w:p>
        </w:tc>
        <w:tc>
          <w:tcPr>
            <w:tcW w:w="7037" w:type="dxa"/>
          </w:tcPr>
          <w:p w14:paraId="1F23329C" w14:textId="77777777" w:rsidR="00504E34" w:rsidRPr="000E3886" w:rsidRDefault="00504E34" w:rsidP="007A2EF1">
            <w:r w:rsidRPr="000E3886">
              <w:t>United States Adopted Name</w:t>
            </w:r>
          </w:p>
        </w:tc>
      </w:tr>
    </w:tbl>
    <w:p w14:paraId="0E2ECE25" w14:textId="6ACB4325" w:rsidR="008E7846" w:rsidRDefault="00F53C07" w:rsidP="001E6EC7">
      <w:pPr>
        <w:pStyle w:val="Heading2"/>
        <w:pageBreakBefore/>
      </w:pPr>
      <w:bookmarkStart w:id="12" w:name="_Toc442962637"/>
      <w:r>
        <w:lastRenderedPageBreak/>
        <w:t>I.</w:t>
      </w:r>
      <w:r w:rsidR="008E7846">
        <w:t xml:space="preserve"> Introduction to product submission</w:t>
      </w:r>
      <w:bookmarkEnd w:id="0"/>
      <w:bookmarkEnd w:id="3"/>
      <w:bookmarkEnd w:id="12"/>
    </w:p>
    <w:p w14:paraId="34A70D6D" w14:textId="77777777" w:rsidR="008E7846" w:rsidRDefault="008E7846" w:rsidP="008E7846">
      <w:pPr>
        <w:pStyle w:val="Heading3"/>
        <w:rPr>
          <w:lang w:eastAsia="en-AU"/>
        </w:rPr>
      </w:pPr>
      <w:bookmarkStart w:id="13" w:name="_Toc247691502"/>
      <w:bookmarkStart w:id="14" w:name="_Toc314842483"/>
      <w:bookmarkStart w:id="15" w:name="_Toc442962638"/>
      <w:r>
        <w:rPr>
          <w:lang w:eastAsia="en-AU"/>
        </w:rPr>
        <w:t>Submission details</w:t>
      </w:r>
      <w:bookmarkEnd w:id="13"/>
      <w:bookmarkEnd w:id="14"/>
      <w:bookmarkEnd w:id="15"/>
    </w:p>
    <w:tbl>
      <w:tblPr>
        <w:tblW w:w="9497" w:type="dxa"/>
        <w:tblInd w:w="108" w:type="dxa"/>
        <w:tblLook w:val="01E0" w:firstRow="1" w:lastRow="1" w:firstColumn="1" w:lastColumn="1" w:noHBand="0" w:noVBand="0"/>
      </w:tblPr>
      <w:tblGrid>
        <w:gridCol w:w="2907"/>
        <w:gridCol w:w="6590"/>
      </w:tblGrid>
      <w:tr w:rsidR="008E7846" w:rsidRPr="003D1E62" w14:paraId="5DA9E7E9" w14:textId="77777777" w:rsidTr="0089635C">
        <w:trPr>
          <w:trHeight w:hRule="exact" w:val="454"/>
        </w:trPr>
        <w:tc>
          <w:tcPr>
            <w:tcW w:w="2907" w:type="dxa"/>
          </w:tcPr>
          <w:p w14:paraId="07BAD9FB" w14:textId="77777777" w:rsidR="008E7846" w:rsidRPr="003D1E62" w:rsidRDefault="001B5C90" w:rsidP="001B5C90">
            <w:pPr>
              <w:rPr>
                <w:i/>
              </w:rPr>
            </w:pPr>
            <w:r>
              <w:rPr>
                <w:i/>
              </w:rPr>
              <w:t>Type of s</w:t>
            </w:r>
            <w:r w:rsidR="008E7846" w:rsidRPr="003D1E62">
              <w:rPr>
                <w:i/>
              </w:rPr>
              <w:t>ubmission</w:t>
            </w:r>
            <w:r>
              <w:rPr>
                <w:i/>
              </w:rPr>
              <w:t>:</w:t>
            </w:r>
          </w:p>
        </w:tc>
        <w:tc>
          <w:tcPr>
            <w:tcW w:w="6590" w:type="dxa"/>
          </w:tcPr>
          <w:p w14:paraId="26491B52" w14:textId="77777777" w:rsidR="008E7846" w:rsidRPr="003D1E62" w:rsidRDefault="00261EBE" w:rsidP="00C779C2">
            <w:r>
              <w:t>M</w:t>
            </w:r>
            <w:r w:rsidR="008E7846" w:rsidRPr="003D1E62">
              <w:t xml:space="preserve">ajor </w:t>
            </w:r>
            <w:r w:rsidR="001B5C90">
              <w:t>v</w:t>
            </w:r>
            <w:r w:rsidR="008E7846" w:rsidRPr="003D1E62">
              <w:t>ariation (</w:t>
            </w:r>
            <w:r w:rsidR="001B5C90">
              <w:t>n</w:t>
            </w:r>
            <w:r w:rsidR="008E7846" w:rsidRPr="003D1E62">
              <w:t>ew</w:t>
            </w:r>
            <w:r w:rsidR="00525ED7">
              <w:t xml:space="preserve"> dosage form and new</w:t>
            </w:r>
            <w:r w:rsidR="008E7846" w:rsidRPr="003D1E62">
              <w:t xml:space="preserve"> </w:t>
            </w:r>
            <w:r w:rsidR="00525ED7">
              <w:t>indication</w:t>
            </w:r>
            <w:r w:rsidR="008E7846" w:rsidRPr="003D1E62">
              <w:t>)</w:t>
            </w:r>
          </w:p>
        </w:tc>
      </w:tr>
      <w:tr w:rsidR="008E7846" w:rsidRPr="003D1E62" w14:paraId="1F1EF3C0" w14:textId="77777777" w:rsidTr="0089635C">
        <w:trPr>
          <w:trHeight w:hRule="exact" w:val="454"/>
        </w:trPr>
        <w:tc>
          <w:tcPr>
            <w:tcW w:w="2907" w:type="dxa"/>
          </w:tcPr>
          <w:p w14:paraId="5A32CEA7" w14:textId="77777777" w:rsidR="008E7846" w:rsidRPr="003D1E62" w:rsidRDefault="008E7846" w:rsidP="003D1E62">
            <w:r w:rsidRPr="003D1E62">
              <w:rPr>
                <w:i/>
              </w:rPr>
              <w:t>Decision</w:t>
            </w:r>
            <w:r w:rsidRPr="003D1E62">
              <w:t>:</w:t>
            </w:r>
          </w:p>
        </w:tc>
        <w:tc>
          <w:tcPr>
            <w:tcW w:w="6590" w:type="dxa"/>
          </w:tcPr>
          <w:p w14:paraId="6A2EC3EB" w14:textId="3C1BBB7C" w:rsidR="008E7846" w:rsidRPr="003D1E62" w:rsidRDefault="001E6EC7" w:rsidP="00C779C2">
            <w:r>
              <w:t>Approved</w:t>
            </w:r>
          </w:p>
        </w:tc>
      </w:tr>
      <w:tr w:rsidR="008E7846" w:rsidRPr="003D1E62" w14:paraId="7F9C33E1" w14:textId="77777777" w:rsidTr="0089635C">
        <w:trPr>
          <w:trHeight w:hRule="exact" w:val="454"/>
        </w:trPr>
        <w:tc>
          <w:tcPr>
            <w:tcW w:w="2907" w:type="dxa"/>
          </w:tcPr>
          <w:p w14:paraId="0179DD61"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14:paraId="3B2E706F" w14:textId="77777777" w:rsidR="008E7846" w:rsidRPr="003D1E62" w:rsidRDefault="007E54C8" w:rsidP="001B5C90">
            <w:r>
              <w:t>27 August 2015</w:t>
            </w:r>
          </w:p>
        </w:tc>
      </w:tr>
      <w:tr w:rsidR="00C779C2" w:rsidRPr="003D1E62" w14:paraId="71283651" w14:textId="77777777" w:rsidTr="0089635C">
        <w:trPr>
          <w:trHeight w:hRule="exact" w:val="454"/>
        </w:trPr>
        <w:tc>
          <w:tcPr>
            <w:tcW w:w="2907" w:type="dxa"/>
          </w:tcPr>
          <w:p w14:paraId="267F3713" w14:textId="77777777" w:rsidR="00C779C2" w:rsidRPr="003D1E62" w:rsidRDefault="00C779C2" w:rsidP="001B5C90">
            <w:pPr>
              <w:rPr>
                <w:i/>
              </w:rPr>
            </w:pPr>
            <w:r>
              <w:rPr>
                <w:i/>
              </w:rPr>
              <w:t>Date on ARTG</w:t>
            </w:r>
          </w:p>
        </w:tc>
        <w:tc>
          <w:tcPr>
            <w:tcW w:w="6590" w:type="dxa"/>
          </w:tcPr>
          <w:p w14:paraId="7970A2F3" w14:textId="77777777" w:rsidR="00C779C2" w:rsidRPr="003D1E62" w:rsidRDefault="00C779C2" w:rsidP="001B5C90">
            <w:r>
              <w:t>31 August 2015</w:t>
            </w:r>
          </w:p>
        </w:tc>
      </w:tr>
    </w:tbl>
    <w:p w14:paraId="2EB8ACF3"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1AC1BDD3" w14:textId="77777777" w:rsidTr="00BF1190">
        <w:tc>
          <w:tcPr>
            <w:tcW w:w="2907" w:type="dxa"/>
          </w:tcPr>
          <w:p w14:paraId="7DCFB2ED" w14:textId="77777777" w:rsidR="008E7846" w:rsidRPr="00487162" w:rsidRDefault="00874135" w:rsidP="00E45619">
            <w:pPr>
              <w:rPr>
                <w:i/>
              </w:rPr>
            </w:pPr>
            <w:r>
              <w:rPr>
                <w:i/>
              </w:rPr>
              <w:t>Active ingredient</w:t>
            </w:r>
            <w:r w:rsidR="001B5C90">
              <w:rPr>
                <w:i/>
              </w:rPr>
              <w:t>:</w:t>
            </w:r>
          </w:p>
        </w:tc>
        <w:tc>
          <w:tcPr>
            <w:tcW w:w="6307" w:type="dxa"/>
          </w:tcPr>
          <w:p w14:paraId="24102755" w14:textId="77777777" w:rsidR="008E7846" w:rsidRPr="00487162" w:rsidRDefault="00261EBE" w:rsidP="00874135">
            <w:r>
              <w:t>B</w:t>
            </w:r>
            <w:r w:rsidR="00874135">
              <w:t>udesonide</w:t>
            </w:r>
          </w:p>
        </w:tc>
      </w:tr>
      <w:tr w:rsidR="008E7846" w:rsidRPr="00487162" w14:paraId="5A7579A6" w14:textId="77777777" w:rsidTr="00BF1190">
        <w:tc>
          <w:tcPr>
            <w:tcW w:w="2907" w:type="dxa"/>
          </w:tcPr>
          <w:p w14:paraId="159C083E" w14:textId="77777777" w:rsidR="008E7846" w:rsidRPr="00487162" w:rsidRDefault="008E7846" w:rsidP="001B5C90">
            <w:pPr>
              <w:rPr>
                <w:i/>
              </w:rPr>
            </w:pPr>
            <w:r w:rsidRPr="00487162">
              <w:rPr>
                <w:i/>
              </w:rPr>
              <w:t>Product</w:t>
            </w:r>
            <w:r w:rsidR="00874135">
              <w:rPr>
                <w:i/>
              </w:rPr>
              <w:t xml:space="preserve"> name</w:t>
            </w:r>
            <w:r w:rsidR="001B5C90">
              <w:rPr>
                <w:i/>
              </w:rPr>
              <w:t>:</w:t>
            </w:r>
          </w:p>
        </w:tc>
        <w:tc>
          <w:tcPr>
            <w:tcW w:w="6307" w:type="dxa"/>
          </w:tcPr>
          <w:p w14:paraId="1DF4FC08" w14:textId="77777777" w:rsidR="008E7846" w:rsidRPr="00487162" w:rsidRDefault="00874135" w:rsidP="00E45619">
            <w:r>
              <w:t>Cortiment</w:t>
            </w:r>
          </w:p>
        </w:tc>
      </w:tr>
      <w:tr w:rsidR="008E7846" w:rsidRPr="00487162" w14:paraId="6B722BA7" w14:textId="77777777" w:rsidTr="00BF1190">
        <w:tc>
          <w:tcPr>
            <w:tcW w:w="2907" w:type="dxa"/>
          </w:tcPr>
          <w:p w14:paraId="67C8BEBA"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1B49D537" w14:textId="77777777" w:rsidR="008E7846" w:rsidRDefault="00874135" w:rsidP="006F0B7F">
            <w:pPr>
              <w:spacing w:after="0" w:line="240" w:lineRule="auto"/>
            </w:pPr>
            <w:r>
              <w:t>Ferring Pharmaceuticals Pty Ltd</w:t>
            </w:r>
          </w:p>
          <w:p w14:paraId="7A856B2E" w14:textId="77777777" w:rsidR="006F0B7F" w:rsidRDefault="006F0B7F" w:rsidP="006F0B7F">
            <w:pPr>
              <w:spacing w:before="0" w:after="0" w:line="240" w:lineRule="auto"/>
              <w:rPr>
                <w:rFonts w:asciiTheme="minorHAnsi" w:hAnsiTheme="minorHAnsi"/>
              </w:rPr>
            </w:pPr>
            <w:r>
              <w:rPr>
                <w:rFonts w:asciiTheme="minorHAnsi" w:hAnsiTheme="minorHAnsi"/>
              </w:rPr>
              <w:t>Suite 2, Level 1, Building 1, 20 Bridge Street</w:t>
            </w:r>
          </w:p>
          <w:p w14:paraId="6B6DB97F" w14:textId="77777777" w:rsidR="006F0B7F" w:rsidRPr="006F0B7F" w:rsidRDefault="006F0B7F" w:rsidP="006F0B7F">
            <w:pPr>
              <w:spacing w:before="0" w:after="0" w:line="240" w:lineRule="auto"/>
              <w:rPr>
                <w:rFonts w:asciiTheme="minorHAnsi" w:hAnsiTheme="minorHAnsi"/>
              </w:rPr>
            </w:pPr>
            <w:r>
              <w:rPr>
                <w:rFonts w:asciiTheme="minorHAnsi" w:hAnsiTheme="minorHAnsi"/>
              </w:rPr>
              <w:t>Pymble NSW 2073</w:t>
            </w:r>
          </w:p>
        </w:tc>
      </w:tr>
      <w:tr w:rsidR="008E7846" w:rsidRPr="00487162" w14:paraId="35F8C035" w14:textId="77777777" w:rsidTr="00BF1190">
        <w:tc>
          <w:tcPr>
            <w:tcW w:w="2907" w:type="dxa"/>
          </w:tcPr>
          <w:p w14:paraId="1601A2E0" w14:textId="77777777" w:rsidR="008E7846" w:rsidRPr="00487162" w:rsidRDefault="00874135" w:rsidP="00E45619">
            <w:pPr>
              <w:rPr>
                <w:i/>
              </w:rPr>
            </w:pPr>
            <w:r>
              <w:rPr>
                <w:i/>
              </w:rPr>
              <w:t>Dose form</w:t>
            </w:r>
            <w:r w:rsidR="001B5C90">
              <w:rPr>
                <w:i/>
              </w:rPr>
              <w:t>:</w:t>
            </w:r>
          </w:p>
        </w:tc>
        <w:tc>
          <w:tcPr>
            <w:tcW w:w="6307" w:type="dxa"/>
          </w:tcPr>
          <w:p w14:paraId="57D232EE" w14:textId="38DD9FF5" w:rsidR="008E7846" w:rsidRPr="00487162" w:rsidRDefault="009937C7" w:rsidP="00E45619">
            <w:r>
              <w:t xml:space="preserve">Prolonged </w:t>
            </w:r>
            <w:r w:rsidR="00874135">
              <w:t>release tablet</w:t>
            </w:r>
          </w:p>
        </w:tc>
      </w:tr>
      <w:tr w:rsidR="008E7846" w:rsidRPr="00487162" w14:paraId="05EAAB92" w14:textId="77777777" w:rsidTr="00BF1190">
        <w:tc>
          <w:tcPr>
            <w:tcW w:w="2907" w:type="dxa"/>
          </w:tcPr>
          <w:p w14:paraId="22F292BD" w14:textId="77777777" w:rsidR="008E7846" w:rsidRPr="00487162" w:rsidRDefault="00874135" w:rsidP="00E45619">
            <w:pPr>
              <w:rPr>
                <w:i/>
              </w:rPr>
            </w:pPr>
            <w:r>
              <w:rPr>
                <w:i/>
              </w:rPr>
              <w:t>Strength</w:t>
            </w:r>
            <w:r w:rsidR="00F94FCE">
              <w:rPr>
                <w:i/>
              </w:rPr>
              <w:t>:</w:t>
            </w:r>
          </w:p>
        </w:tc>
        <w:tc>
          <w:tcPr>
            <w:tcW w:w="6307" w:type="dxa"/>
          </w:tcPr>
          <w:p w14:paraId="4EF41C33" w14:textId="77777777" w:rsidR="008E7846" w:rsidRPr="00487162" w:rsidRDefault="00874135" w:rsidP="00E45619">
            <w:r>
              <w:t>9 mg</w:t>
            </w:r>
          </w:p>
        </w:tc>
      </w:tr>
      <w:tr w:rsidR="008E7846" w:rsidRPr="00487162" w14:paraId="511B02AE" w14:textId="77777777" w:rsidTr="00BF1190">
        <w:tc>
          <w:tcPr>
            <w:tcW w:w="2907" w:type="dxa"/>
          </w:tcPr>
          <w:p w14:paraId="16C4A7C1" w14:textId="77777777" w:rsidR="008E7846" w:rsidRPr="00487162" w:rsidRDefault="00874135" w:rsidP="00E45619">
            <w:pPr>
              <w:rPr>
                <w:i/>
              </w:rPr>
            </w:pPr>
            <w:r>
              <w:rPr>
                <w:i/>
              </w:rPr>
              <w:t>Container</w:t>
            </w:r>
            <w:r w:rsidR="008E7846" w:rsidRPr="00487162">
              <w:rPr>
                <w:i/>
              </w:rPr>
              <w:t>:</w:t>
            </w:r>
          </w:p>
        </w:tc>
        <w:tc>
          <w:tcPr>
            <w:tcW w:w="6307" w:type="dxa"/>
          </w:tcPr>
          <w:p w14:paraId="116454EF" w14:textId="77777777" w:rsidR="008E7846" w:rsidRPr="00487162" w:rsidRDefault="00874135" w:rsidP="00E45619">
            <w:r>
              <w:t>Blister pack</w:t>
            </w:r>
          </w:p>
        </w:tc>
      </w:tr>
      <w:tr w:rsidR="008E7846" w:rsidRPr="00487162" w14:paraId="064C0DE7" w14:textId="77777777" w:rsidTr="00BF1190">
        <w:tc>
          <w:tcPr>
            <w:tcW w:w="2907" w:type="dxa"/>
          </w:tcPr>
          <w:p w14:paraId="1442AD59" w14:textId="77777777" w:rsidR="008E7846" w:rsidRPr="00487162" w:rsidRDefault="00F94FCE" w:rsidP="00E45619">
            <w:pPr>
              <w:rPr>
                <w:i/>
              </w:rPr>
            </w:pPr>
            <w:r>
              <w:rPr>
                <w:i/>
              </w:rPr>
              <w:t>Pack sizes</w:t>
            </w:r>
            <w:r w:rsidR="008E7846" w:rsidRPr="00487162">
              <w:rPr>
                <w:i/>
              </w:rPr>
              <w:t>:</w:t>
            </w:r>
          </w:p>
        </w:tc>
        <w:tc>
          <w:tcPr>
            <w:tcW w:w="6307" w:type="dxa"/>
          </w:tcPr>
          <w:p w14:paraId="5D00E488" w14:textId="77777777" w:rsidR="008E7846" w:rsidRPr="00487162" w:rsidRDefault="00874135" w:rsidP="00E45619">
            <w:r>
              <w:t>10, 20, 30, 50, 60 and 80 modified release tablets</w:t>
            </w:r>
          </w:p>
        </w:tc>
      </w:tr>
      <w:tr w:rsidR="008E7846" w:rsidRPr="00487162" w14:paraId="2B221C2F" w14:textId="77777777" w:rsidTr="00BF1190">
        <w:tc>
          <w:tcPr>
            <w:tcW w:w="2907" w:type="dxa"/>
          </w:tcPr>
          <w:p w14:paraId="2EBDF7E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48DB964E" w14:textId="77777777" w:rsidR="008E7846" w:rsidRPr="00BE63C5" w:rsidRDefault="000976D3" w:rsidP="00094248">
            <w:pPr>
              <w:rPr>
                <w:i/>
              </w:rPr>
            </w:pPr>
            <w:r>
              <w:rPr>
                <w:i/>
              </w:rPr>
              <w:t>Cortiment</w:t>
            </w:r>
            <w:r w:rsidR="00094248" w:rsidRPr="00BE63C5">
              <w:rPr>
                <w:i/>
              </w:rPr>
              <w:t xml:space="preserve"> prolonged-release tablets are indicated in adults for induction of remission in patients with mild to moderate active ulcerative coliti</w:t>
            </w:r>
            <w:r w:rsidR="00F41F93">
              <w:rPr>
                <w:i/>
              </w:rPr>
              <w:t>s (UC</w:t>
            </w:r>
            <w:r w:rsidR="00BE63C5" w:rsidRPr="00BE63C5">
              <w:rPr>
                <w:i/>
              </w:rPr>
              <w:t xml:space="preserve">) </w:t>
            </w:r>
            <w:r w:rsidR="00525ED7">
              <w:rPr>
                <w:i/>
              </w:rPr>
              <w:t>where 5-AS</w:t>
            </w:r>
            <w:r w:rsidR="00094248" w:rsidRPr="00BE63C5">
              <w:rPr>
                <w:i/>
              </w:rPr>
              <w:t xml:space="preserve">A treatment is </w:t>
            </w:r>
            <w:r w:rsidR="00BE63C5" w:rsidRPr="00BE63C5">
              <w:rPr>
                <w:i/>
              </w:rPr>
              <w:t>not sufficient or not tolerated</w:t>
            </w:r>
            <w:r w:rsidR="00094248" w:rsidRPr="00BE63C5">
              <w:rPr>
                <w:i/>
              </w:rPr>
              <w:t>.</w:t>
            </w:r>
          </w:p>
        </w:tc>
      </w:tr>
      <w:tr w:rsidR="008E7846" w:rsidRPr="00487162" w14:paraId="0DE9329F" w14:textId="77777777" w:rsidTr="00BF1190">
        <w:tc>
          <w:tcPr>
            <w:tcW w:w="2907" w:type="dxa"/>
          </w:tcPr>
          <w:p w14:paraId="569FF57D" w14:textId="2AA732DF" w:rsidR="008E7846" w:rsidRPr="00487162" w:rsidRDefault="00574D62" w:rsidP="00E45619">
            <w:pPr>
              <w:rPr>
                <w:i/>
              </w:rPr>
            </w:pPr>
            <w:r>
              <w:rPr>
                <w:i/>
              </w:rPr>
              <w:t>Route</w:t>
            </w:r>
            <w:r w:rsidR="008E7846" w:rsidRPr="00487162">
              <w:rPr>
                <w:i/>
              </w:rPr>
              <w:t xml:space="preserve"> of administration:</w:t>
            </w:r>
          </w:p>
        </w:tc>
        <w:tc>
          <w:tcPr>
            <w:tcW w:w="6307" w:type="dxa"/>
          </w:tcPr>
          <w:p w14:paraId="5199A203" w14:textId="77777777" w:rsidR="008E7846" w:rsidRPr="00487162" w:rsidRDefault="00874135" w:rsidP="00E45619">
            <w:r>
              <w:t>Oral</w:t>
            </w:r>
          </w:p>
        </w:tc>
      </w:tr>
      <w:tr w:rsidR="008E7846" w:rsidRPr="00487162" w14:paraId="02CFCDE2" w14:textId="77777777" w:rsidTr="00BF1190">
        <w:tc>
          <w:tcPr>
            <w:tcW w:w="2907" w:type="dxa"/>
          </w:tcPr>
          <w:p w14:paraId="4647B5F5" w14:textId="77777777" w:rsidR="008E7846" w:rsidRPr="00487162" w:rsidRDefault="008E7846" w:rsidP="00E45619">
            <w:pPr>
              <w:rPr>
                <w:i/>
              </w:rPr>
            </w:pPr>
            <w:r w:rsidRPr="00487162">
              <w:rPr>
                <w:i/>
              </w:rPr>
              <w:t>Dosage:</w:t>
            </w:r>
          </w:p>
        </w:tc>
        <w:tc>
          <w:tcPr>
            <w:tcW w:w="6307" w:type="dxa"/>
          </w:tcPr>
          <w:p w14:paraId="481C5AAF" w14:textId="77777777" w:rsidR="008E7846" w:rsidRPr="00487162" w:rsidRDefault="00525ED7" w:rsidP="00E45619">
            <w:r>
              <w:t>The recommended daily dose for induction</w:t>
            </w:r>
            <w:r w:rsidR="00FC66E4">
              <w:t xml:space="preserve"> of remission is one 9 </w:t>
            </w:r>
            <w:r>
              <w:t>mg tablet in the morning for up to 8 weeks.</w:t>
            </w:r>
          </w:p>
        </w:tc>
      </w:tr>
      <w:tr w:rsidR="008E7846" w:rsidRPr="00487162" w14:paraId="598464A9" w14:textId="77777777" w:rsidTr="00BF1190">
        <w:tc>
          <w:tcPr>
            <w:tcW w:w="2907" w:type="dxa"/>
          </w:tcPr>
          <w:p w14:paraId="791A1690" w14:textId="7132B217" w:rsidR="008E7846" w:rsidRPr="00487162" w:rsidRDefault="008E7846" w:rsidP="00574D62">
            <w:pPr>
              <w:rPr>
                <w:i/>
              </w:rPr>
            </w:pPr>
            <w:r w:rsidRPr="00487162">
              <w:rPr>
                <w:i/>
              </w:rPr>
              <w:t xml:space="preserve">ARTG </w:t>
            </w:r>
            <w:r w:rsidR="001B5C90">
              <w:rPr>
                <w:i/>
              </w:rPr>
              <w:t>n</w:t>
            </w:r>
            <w:r w:rsidR="00574D62">
              <w:rPr>
                <w:i/>
              </w:rPr>
              <w:t>umber</w:t>
            </w:r>
            <w:r w:rsidR="001B5C90">
              <w:rPr>
                <w:i/>
              </w:rPr>
              <w:t>:</w:t>
            </w:r>
          </w:p>
        </w:tc>
        <w:tc>
          <w:tcPr>
            <w:tcW w:w="6307" w:type="dxa"/>
          </w:tcPr>
          <w:p w14:paraId="78E08CBF" w14:textId="77777777" w:rsidR="008E7846" w:rsidRPr="00487162" w:rsidRDefault="00874135" w:rsidP="00E45619">
            <w:r>
              <w:t>225849</w:t>
            </w:r>
          </w:p>
        </w:tc>
      </w:tr>
    </w:tbl>
    <w:p w14:paraId="4716892D" w14:textId="77777777" w:rsidR="008E7846" w:rsidRDefault="008E7846" w:rsidP="001E6EC7">
      <w:pPr>
        <w:pStyle w:val="Heading3"/>
      </w:pPr>
      <w:bookmarkStart w:id="16" w:name="_Toc247691503"/>
      <w:bookmarkStart w:id="17" w:name="_Toc314842484"/>
      <w:bookmarkStart w:id="18" w:name="_Toc442962639"/>
      <w:r>
        <w:t>Product background</w:t>
      </w:r>
      <w:bookmarkEnd w:id="16"/>
      <w:bookmarkEnd w:id="17"/>
      <w:bookmarkEnd w:id="18"/>
    </w:p>
    <w:p w14:paraId="46995EC3" w14:textId="77777777" w:rsidR="00525ED7" w:rsidRDefault="00940A89" w:rsidP="001E6EC7">
      <w:r w:rsidRPr="00940A89">
        <w:t>This AusPAR describes the applicat</w:t>
      </w:r>
      <w:r w:rsidR="00BE63C5">
        <w:t xml:space="preserve">ion by </w:t>
      </w:r>
      <w:r w:rsidR="007E54C8">
        <w:t>Ferring Pharmaceuticals (</w:t>
      </w:r>
      <w:r w:rsidR="00BE63C5">
        <w:t>the sponsor</w:t>
      </w:r>
      <w:r w:rsidR="007E54C8">
        <w:t>)</w:t>
      </w:r>
      <w:r w:rsidR="00BE63C5">
        <w:t xml:space="preserve"> to register Cortiment</w:t>
      </w:r>
      <w:r w:rsidR="00525ED7">
        <w:t xml:space="preserve"> for the following indication</w:t>
      </w:r>
      <w:r w:rsidR="007E54C8">
        <w:t>:</w:t>
      </w:r>
    </w:p>
    <w:p w14:paraId="04D52966" w14:textId="77777777" w:rsidR="008E7846" w:rsidRDefault="00094248" w:rsidP="00525ED7">
      <w:pPr>
        <w:ind w:left="720"/>
      </w:pPr>
      <w:r w:rsidRPr="00525ED7">
        <w:rPr>
          <w:i/>
        </w:rPr>
        <w:t>C</w:t>
      </w:r>
      <w:r w:rsidR="007E54C8" w:rsidRPr="00525ED7">
        <w:rPr>
          <w:i/>
        </w:rPr>
        <w:t>ortiment</w:t>
      </w:r>
      <w:r w:rsidR="00525ED7" w:rsidRPr="00525ED7">
        <w:rPr>
          <w:i/>
        </w:rPr>
        <w:t xml:space="preserve"> </w:t>
      </w:r>
      <w:r w:rsidRPr="00525ED7">
        <w:rPr>
          <w:i/>
        </w:rPr>
        <w:t xml:space="preserve">prolonged-release tablets </w:t>
      </w:r>
      <w:r w:rsidR="00525ED7" w:rsidRPr="00525ED7">
        <w:rPr>
          <w:i/>
        </w:rPr>
        <w:t xml:space="preserve">are indicated in </w:t>
      </w:r>
      <w:r w:rsidRPr="00525ED7">
        <w:rPr>
          <w:i/>
        </w:rPr>
        <w:t>adults</w:t>
      </w:r>
      <w:r w:rsidR="00525ED7" w:rsidRPr="00525ED7">
        <w:rPr>
          <w:i/>
        </w:rPr>
        <w:t xml:space="preserve"> </w:t>
      </w:r>
      <w:r w:rsidRPr="00525ED7">
        <w:rPr>
          <w:i/>
        </w:rPr>
        <w:t>for</w:t>
      </w:r>
      <w:r w:rsidR="00525ED7" w:rsidRPr="00525ED7">
        <w:rPr>
          <w:i/>
        </w:rPr>
        <w:t xml:space="preserve"> indu</w:t>
      </w:r>
      <w:r w:rsidRPr="00525ED7">
        <w:rPr>
          <w:i/>
        </w:rPr>
        <w:t>ction of remission</w:t>
      </w:r>
      <w:r w:rsidR="00525ED7" w:rsidRPr="00525ED7">
        <w:rPr>
          <w:i/>
        </w:rPr>
        <w:t xml:space="preserve"> </w:t>
      </w:r>
      <w:r w:rsidRPr="00525ED7">
        <w:rPr>
          <w:i/>
        </w:rPr>
        <w:t>in patients with mild to moderate active ulcerative coliti</w:t>
      </w:r>
      <w:r w:rsidR="00F41F93">
        <w:rPr>
          <w:i/>
        </w:rPr>
        <w:t>s (UC</w:t>
      </w:r>
      <w:r w:rsidR="00525ED7" w:rsidRPr="00525ED7">
        <w:rPr>
          <w:i/>
        </w:rPr>
        <w:t>)</w:t>
      </w:r>
      <w:r w:rsidRPr="00525ED7">
        <w:rPr>
          <w:i/>
        </w:rPr>
        <w:t>.</w:t>
      </w:r>
    </w:p>
    <w:p w14:paraId="00A1D745" w14:textId="6650C6F8" w:rsidR="004F6530" w:rsidRDefault="004F6530" w:rsidP="004F6530">
      <w:r w:rsidRPr="004F6530">
        <w:t>Budesonide is a synthetic glucocorticoid with comp</w:t>
      </w:r>
      <w:r w:rsidR="002108E2">
        <w:t>arable anti</w:t>
      </w:r>
      <w:r w:rsidR="001E6EC7">
        <w:t>-</w:t>
      </w:r>
      <w:r w:rsidRPr="004F6530">
        <w:t>inflammatory effects to the conventional glucocorticoids</w:t>
      </w:r>
      <w:r w:rsidR="00477ED4">
        <w:t>.</w:t>
      </w:r>
      <w:r w:rsidR="00477ED4" w:rsidRPr="00477ED4">
        <w:t xml:space="preserve"> The majority of currently registered budesonide products are formulated as locally acting inhalation products (for treatment of asthma) and nasal spray product</w:t>
      </w:r>
      <w:r w:rsidR="00477ED4">
        <w:t xml:space="preserve">s (for treatment of hay fever). </w:t>
      </w:r>
      <w:r w:rsidR="00261EBE">
        <w:t>Orally administered b</w:t>
      </w:r>
      <w:r w:rsidRPr="004F6530">
        <w:t xml:space="preserve">udesonide is rapidly and </w:t>
      </w:r>
      <w:r w:rsidRPr="004F6530">
        <w:lastRenderedPageBreak/>
        <w:t>almost completely absorbed, but systemic exposure to the drug, and its systemic effects are limited due to rapid and extensive clearance from the blood stream by pre-syste</w:t>
      </w:r>
      <w:r w:rsidR="00261EBE">
        <w:t>mic metabolism. This occurs</w:t>
      </w:r>
      <w:r>
        <w:t xml:space="preserve"> mainly by first </w:t>
      </w:r>
      <w:r w:rsidRPr="004F6530">
        <w:t xml:space="preserve">pass hepatic metabolism, but also by metabolism within the </w:t>
      </w:r>
      <w:r w:rsidR="00261EBE">
        <w:t>gastrointestinal tract (</w:t>
      </w:r>
      <w:r w:rsidRPr="004F6530">
        <w:t>GIT</w:t>
      </w:r>
      <w:r w:rsidR="00261EBE">
        <w:t>)</w:t>
      </w:r>
      <w:r w:rsidRPr="004F6530">
        <w:t xml:space="preserve"> wall; the extent of syste</w:t>
      </w:r>
      <w:r>
        <w:t xml:space="preserve">mic absorption is only about 10 to </w:t>
      </w:r>
      <w:r w:rsidRPr="004F6530">
        <w:t>15 %. For this reason, budesonide is usually formulated into products intended to take advantage i</w:t>
      </w:r>
      <w:r w:rsidR="002108E2">
        <w:t>f its effects as a topical anti</w:t>
      </w:r>
      <w:r w:rsidR="001E6EC7">
        <w:t>-</w:t>
      </w:r>
      <w:r w:rsidRPr="004F6530">
        <w:t>inflammatory, which in the case of Cortim</w:t>
      </w:r>
      <w:r w:rsidR="00261EBE">
        <w:t>ent</w:t>
      </w:r>
      <w:r w:rsidRPr="004F6530">
        <w:t xml:space="preserve"> is on the tissue lining of th</w:t>
      </w:r>
      <w:r w:rsidR="00261EBE">
        <w:t>e lower GIT</w:t>
      </w:r>
      <w:r w:rsidRPr="004F6530">
        <w:t>.</w:t>
      </w:r>
    </w:p>
    <w:p w14:paraId="5BCC21CB" w14:textId="77777777" w:rsidR="002F0AA4" w:rsidRPr="004F6530" w:rsidRDefault="002F0AA4" w:rsidP="004F6530">
      <w:r w:rsidRPr="002F0AA4">
        <w:t xml:space="preserve">There are currently three budesonide products listed on the </w:t>
      </w:r>
      <w:r w:rsidR="00261EBE" w:rsidRPr="00261EBE">
        <w:t xml:space="preserve">Australian Register of Therapeutic Goods </w:t>
      </w:r>
      <w:r w:rsidR="00261EBE">
        <w:t>(</w:t>
      </w:r>
      <w:r w:rsidRPr="002F0AA4">
        <w:t>ARTG</w:t>
      </w:r>
      <w:r w:rsidR="00261EBE">
        <w:t>)</w:t>
      </w:r>
      <w:r w:rsidRPr="002F0AA4">
        <w:t xml:space="preserve"> (for topical) use in inflammatory bowel disease</w:t>
      </w:r>
      <w:r w:rsidR="00833EF6">
        <w:t xml:space="preserve"> (IBD)</w:t>
      </w:r>
      <w:r w:rsidRPr="002F0AA4">
        <w:t xml:space="preserve">: </w:t>
      </w:r>
      <w:proofErr w:type="spellStart"/>
      <w:r w:rsidRPr="002F0AA4">
        <w:t>Entocort</w:t>
      </w:r>
      <w:proofErr w:type="spellEnd"/>
      <w:r w:rsidRPr="002F0AA4">
        <w:t xml:space="preserve"> 3 mg co</w:t>
      </w:r>
      <w:r w:rsidR="00924DAB">
        <w:t xml:space="preserve">ntrolled </w:t>
      </w:r>
      <w:proofErr w:type="spellStart"/>
      <w:r w:rsidR="00924DAB">
        <w:t>ileal</w:t>
      </w:r>
      <w:proofErr w:type="spellEnd"/>
      <w:r w:rsidR="00924DAB">
        <w:t xml:space="preserve"> release capsules and</w:t>
      </w:r>
      <w:r w:rsidRPr="002F0AA4">
        <w:t xml:space="preserve"> </w:t>
      </w:r>
      <w:proofErr w:type="spellStart"/>
      <w:r w:rsidRPr="002F0AA4">
        <w:t>B</w:t>
      </w:r>
      <w:r w:rsidR="00924DAB">
        <w:t>udenofalk</w:t>
      </w:r>
      <w:proofErr w:type="spellEnd"/>
      <w:r w:rsidR="00924DAB">
        <w:t xml:space="preserve"> 3 mg enteric capsules which are</w:t>
      </w:r>
      <w:r w:rsidRPr="002F0AA4">
        <w:t xml:space="preserve"> both for oral use in Cr</w:t>
      </w:r>
      <w:r w:rsidR="00924DAB">
        <w:t xml:space="preserve">ohn’s disease as well as </w:t>
      </w:r>
      <w:proofErr w:type="spellStart"/>
      <w:r w:rsidR="00477ED4">
        <w:t>Budenofalk</w:t>
      </w:r>
      <w:proofErr w:type="spellEnd"/>
      <w:r w:rsidR="00477ED4">
        <w:t xml:space="preserve"> 2 </w:t>
      </w:r>
      <w:r w:rsidRPr="002F0AA4">
        <w:t xml:space="preserve">mg foam enema, </w:t>
      </w:r>
      <w:r w:rsidR="00924DAB">
        <w:t xml:space="preserve">approved </w:t>
      </w:r>
      <w:r w:rsidRPr="002F0AA4">
        <w:t xml:space="preserve">for rectal use in </w:t>
      </w:r>
      <w:r w:rsidR="00F41F93" w:rsidRPr="00F41F93">
        <w:t xml:space="preserve">Ulcerative colitis </w:t>
      </w:r>
      <w:r w:rsidR="00F41F93">
        <w:t>(</w:t>
      </w:r>
      <w:r w:rsidRPr="002F0AA4">
        <w:t>UC</w:t>
      </w:r>
      <w:r w:rsidR="00F41F93">
        <w:t>)</w:t>
      </w:r>
      <w:r w:rsidRPr="002F0AA4">
        <w:t>.</w:t>
      </w:r>
    </w:p>
    <w:p w14:paraId="41395DA3" w14:textId="77777777" w:rsidR="004F6530" w:rsidRDefault="004F6530" w:rsidP="004F6530">
      <w:r w:rsidRPr="004F6530">
        <w:t>Crohn’s disease can affect any part of the GIT, but most commonly the ileum and the adjoin</w:t>
      </w:r>
      <w:r w:rsidR="00924DAB">
        <w:t>ing ascending colon. Therefore the</w:t>
      </w:r>
      <w:r w:rsidRPr="004F6530">
        <w:t xml:space="preserve"> </w:t>
      </w:r>
      <w:proofErr w:type="spellStart"/>
      <w:r w:rsidRPr="004F6530">
        <w:t>Entocort</w:t>
      </w:r>
      <w:proofErr w:type="spellEnd"/>
      <w:r w:rsidRPr="004F6530">
        <w:t xml:space="preserve"> and </w:t>
      </w:r>
      <w:proofErr w:type="spellStart"/>
      <w:r w:rsidRPr="004F6530">
        <w:t>Budenofalk</w:t>
      </w:r>
      <w:proofErr w:type="spellEnd"/>
      <w:r w:rsidR="00924DAB">
        <w:t xml:space="preserve"> oral </w:t>
      </w:r>
      <w:proofErr w:type="gramStart"/>
      <w:r w:rsidRPr="004F6530">
        <w:t>capsules,</w:t>
      </w:r>
      <w:proofErr w:type="gramEnd"/>
      <w:r w:rsidRPr="004F6530">
        <w:t xml:space="preserve"> are designed to delay commencement o</w:t>
      </w:r>
      <w:r w:rsidR="002F0AA4">
        <w:t xml:space="preserve">f drug release until the dosage </w:t>
      </w:r>
      <w:r w:rsidRPr="004F6530">
        <w:t xml:space="preserve">forms reach the </w:t>
      </w:r>
      <w:proofErr w:type="spellStart"/>
      <w:r w:rsidRPr="004F6530">
        <w:t>ileal</w:t>
      </w:r>
      <w:proofErr w:type="spellEnd"/>
      <w:r w:rsidRPr="004F6530">
        <w:t xml:space="preserve"> region, but the</w:t>
      </w:r>
      <w:r w:rsidR="00924DAB">
        <w:t xml:space="preserve">n to release most of their drug </w:t>
      </w:r>
      <w:r w:rsidRPr="004F6530">
        <w:t xml:space="preserve">load when transiting through the ileum and ascending colon. Unlike Crohn’s disease, UC affects only the colorectal regions of the GIT, most commonly the rectum and the distal colon. Hence, the development of </w:t>
      </w:r>
      <w:proofErr w:type="spellStart"/>
      <w:r w:rsidRPr="004F6530">
        <w:t>Entocort</w:t>
      </w:r>
      <w:proofErr w:type="spellEnd"/>
      <w:r w:rsidRPr="004F6530">
        <w:t xml:space="preserve"> and oral </w:t>
      </w:r>
      <w:proofErr w:type="spellStart"/>
      <w:r w:rsidRPr="004F6530">
        <w:t>Budenofalk</w:t>
      </w:r>
      <w:proofErr w:type="spellEnd"/>
      <w:r w:rsidRPr="004F6530">
        <w:t xml:space="preserve"> has not included their use in UC</w:t>
      </w:r>
      <w:r w:rsidR="00477ED4" w:rsidRPr="00477ED4">
        <w:t xml:space="preserve"> as the active</w:t>
      </w:r>
      <w:r w:rsidR="00924DAB">
        <w:t xml:space="preserve"> ingredient</w:t>
      </w:r>
      <w:r w:rsidR="00477ED4" w:rsidRPr="00477ED4">
        <w:t xml:space="preserve"> does not reach the colon in the therapeutic amounts</w:t>
      </w:r>
      <w:r w:rsidRPr="004F6530">
        <w:t>. Cortiment, on the other hand, has been developed to preferentially deliver budesonide homogenously along the whole colon, with specific application in the treatment of acute mild to moderate UC.</w:t>
      </w:r>
    </w:p>
    <w:p w14:paraId="50CA02F1" w14:textId="77777777" w:rsidR="00924DAB" w:rsidRDefault="00F41F93" w:rsidP="00924DAB">
      <w:r>
        <w:t>The current standard</w:t>
      </w:r>
      <w:r w:rsidRPr="00F41F93">
        <w:t xml:space="preserve"> treatment for induction of remission in mild to moderate active UC is a 5-aminosalicylate</w:t>
      </w:r>
      <w:r>
        <w:t xml:space="preserve"> (5-ASA)</w:t>
      </w:r>
      <w:r w:rsidRPr="00F41F93">
        <w:t xml:space="preserve"> oral preparation (sulfasalazine, </w:t>
      </w:r>
      <w:proofErr w:type="spellStart"/>
      <w:r w:rsidRPr="00F41F93">
        <w:t>mesalazine</w:t>
      </w:r>
      <w:proofErr w:type="spellEnd"/>
      <w:r w:rsidRPr="00F41F93">
        <w:t xml:space="preserve">, </w:t>
      </w:r>
      <w:proofErr w:type="spellStart"/>
      <w:r w:rsidRPr="00F41F93">
        <w:t>balsalazide</w:t>
      </w:r>
      <w:proofErr w:type="spellEnd"/>
      <w:r w:rsidRPr="00F41F93">
        <w:t xml:space="preserve"> or </w:t>
      </w:r>
      <w:proofErr w:type="spellStart"/>
      <w:r w:rsidRPr="00F41F93">
        <w:t>olsalazine</w:t>
      </w:r>
      <w:proofErr w:type="spellEnd"/>
      <w:r w:rsidRPr="00F41F93">
        <w:t xml:space="preserve">) with or without a conventional systemic </w:t>
      </w:r>
      <w:proofErr w:type="spellStart"/>
      <w:r w:rsidRPr="00F41F93">
        <w:t>glucocorticosteroi</w:t>
      </w:r>
      <w:r>
        <w:t>d</w:t>
      </w:r>
      <w:proofErr w:type="spellEnd"/>
      <w:r>
        <w:t xml:space="preserve"> (prednisone or prednisolone).</w:t>
      </w:r>
    </w:p>
    <w:p w14:paraId="50A51B00" w14:textId="28E58A27" w:rsidR="00FC66E4" w:rsidRPr="00FC66E4" w:rsidRDefault="001E6EC7" w:rsidP="00641DE8">
      <w:pPr>
        <w:pStyle w:val="Heading4"/>
      </w:pPr>
      <w:r>
        <w:t>Proposed d</w:t>
      </w:r>
      <w:r w:rsidR="00FC66E4" w:rsidRPr="00FC66E4">
        <w:t xml:space="preserve">osage </w:t>
      </w:r>
      <w:r w:rsidRPr="00641DE8">
        <w:t>r</w:t>
      </w:r>
      <w:r w:rsidR="00FC66E4" w:rsidRPr="00641DE8">
        <w:t>egimen</w:t>
      </w:r>
    </w:p>
    <w:p w14:paraId="6909A88A" w14:textId="77777777" w:rsidR="00FC66E4" w:rsidRPr="00FC66E4" w:rsidRDefault="00FC66E4" w:rsidP="001E6EC7">
      <w:pPr>
        <w:pStyle w:val="ListBullet"/>
      </w:pPr>
      <w:r w:rsidRPr="00FC66E4">
        <w:t xml:space="preserve">Adults: The </w:t>
      </w:r>
      <w:r w:rsidRPr="001E6EC7">
        <w:t>recommended</w:t>
      </w:r>
      <w:r w:rsidRPr="00FC66E4">
        <w:t xml:space="preserve"> daily dose for induction of remission is one 9 mg tablet in the morning, for up to 8 weeks.</w:t>
      </w:r>
    </w:p>
    <w:p w14:paraId="3293924C" w14:textId="77777777" w:rsidR="00FC66E4" w:rsidRPr="00FC66E4" w:rsidRDefault="00FC66E4" w:rsidP="00507E5B">
      <w:pPr>
        <w:pStyle w:val="ListBullet"/>
      </w:pPr>
      <w:r w:rsidRPr="00FC66E4">
        <w:t xml:space="preserve">Paediatric population: The safety and </w:t>
      </w:r>
      <w:r>
        <w:t xml:space="preserve">efficacy of Cortiment prolonged </w:t>
      </w:r>
      <w:r w:rsidRPr="00FC66E4">
        <w:t>release tablets in children aged 0 to 18 years has not yet been established. No data are available; therefore the use in paediatric population is not recommended until further data become available.</w:t>
      </w:r>
    </w:p>
    <w:p w14:paraId="6260311E" w14:textId="77777777" w:rsidR="00FC66E4" w:rsidRPr="00FC66E4" w:rsidRDefault="00FC66E4" w:rsidP="00507E5B">
      <w:pPr>
        <w:pStyle w:val="ListBullet"/>
      </w:pPr>
      <w:r w:rsidRPr="00FC66E4">
        <w:t>Elderly: No special dose adjustment is recommended. However, experience of</w:t>
      </w:r>
      <w:r>
        <w:t xml:space="preserve"> the use of Cortiment prolonged </w:t>
      </w:r>
      <w:r w:rsidRPr="00FC66E4">
        <w:t>release tablets in the elderly is limited.</w:t>
      </w:r>
    </w:p>
    <w:p w14:paraId="1F493EFE" w14:textId="77777777" w:rsidR="00FC66E4" w:rsidRPr="00924DAB" w:rsidRDefault="00FC66E4" w:rsidP="00507E5B">
      <w:pPr>
        <w:pStyle w:val="ListBullet"/>
      </w:pPr>
      <w:r w:rsidRPr="00FC66E4">
        <w:t>Hepatic and renal impairment population: Cortiment was not studied in patients with hepatic and renal impairments; therefore caution should be exercised in the administration and monitoring of the product in these patients.</w:t>
      </w:r>
    </w:p>
    <w:p w14:paraId="580249BF" w14:textId="08F1C4A6" w:rsidR="008E7846" w:rsidRPr="001E6EC7" w:rsidRDefault="00386150" w:rsidP="00641DE8">
      <w:pPr>
        <w:pStyle w:val="Heading3"/>
      </w:pPr>
      <w:bookmarkStart w:id="19" w:name="_Toc314842485"/>
      <w:bookmarkStart w:id="20" w:name="_Toc247691504"/>
      <w:bookmarkStart w:id="21" w:name="_Toc442962640"/>
      <w:r w:rsidRPr="00641DE8">
        <w:t>Regulatory</w:t>
      </w:r>
      <w:r>
        <w:t xml:space="preserve"> s</w:t>
      </w:r>
      <w:r w:rsidR="008E7846">
        <w:t>tatus</w:t>
      </w:r>
      <w:bookmarkEnd w:id="19"/>
      <w:bookmarkEnd w:id="20"/>
      <w:bookmarkEnd w:id="21"/>
    </w:p>
    <w:p w14:paraId="6AD41C6B" w14:textId="77777777" w:rsidR="00940A89" w:rsidRPr="00940A89" w:rsidRDefault="00940A89" w:rsidP="00940A89">
      <w:bookmarkStart w:id="22" w:name="_Toc247691505"/>
      <w:bookmarkStart w:id="23" w:name="_Toc314842486"/>
      <w:r w:rsidRPr="00940A89">
        <w:t xml:space="preserve">The product received initial registration on the </w:t>
      </w:r>
      <w:r w:rsidR="00924DAB">
        <w:t>ARTG</w:t>
      </w:r>
      <w:r w:rsidR="004F6530">
        <w:t xml:space="preserve"> on 31 August 2015.</w:t>
      </w:r>
    </w:p>
    <w:p w14:paraId="0C44AC11" w14:textId="0950C522" w:rsidR="00C70E86" w:rsidRDefault="00940A89" w:rsidP="001E6EC7">
      <w:pPr>
        <w:rPr>
          <w:b/>
        </w:rPr>
      </w:pPr>
      <w:r w:rsidRPr="00940A89">
        <w:t xml:space="preserve">At the time the TGA considered this </w:t>
      </w:r>
      <w:proofErr w:type="gramStart"/>
      <w:r w:rsidRPr="00940A89">
        <w:t>application,</w:t>
      </w:r>
      <w:proofErr w:type="gramEnd"/>
      <w:r w:rsidRPr="00940A89">
        <w:t xml:space="preserve"> similar application</w:t>
      </w:r>
      <w:r w:rsidR="007E54C8">
        <w:t>s</w:t>
      </w:r>
      <w:r w:rsidRPr="00940A89">
        <w:t xml:space="preserve"> had been </w:t>
      </w:r>
      <w:r w:rsidR="00C70E86">
        <w:t>considered</w:t>
      </w:r>
      <w:r w:rsidRPr="00940A89">
        <w:t xml:space="preserve"> </w:t>
      </w:r>
      <w:r w:rsidR="007E54C8">
        <w:t>or were</w:t>
      </w:r>
      <w:r w:rsidRPr="00940A89">
        <w:t xml:space="preserve"> under co</w:t>
      </w:r>
      <w:r w:rsidR="007E54C8">
        <w:t>nsideration in</w:t>
      </w:r>
      <w:r w:rsidR="00C70E86">
        <w:t xml:space="preserve"> other </w:t>
      </w:r>
      <w:r w:rsidR="007E54C8">
        <w:t>cou</w:t>
      </w:r>
      <w:r w:rsidR="002F0AA4">
        <w:t>n</w:t>
      </w:r>
      <w:r w:rsidR="007E54C8">
        <w:t>tries</w:t>
      </w:r>
      <w:r w:rsidR="00C70E86">
        <w:t xml:space="preserve"> </w:t>
      </w:r>
      <w:r w:rsidR="007E54C8">
        <w:t>as detailed in Table 1</w:t>
      </w:r>
      <w:r>
        <w:t>.</w:t>
      </w:r>
    </w:p>
    <w:p w14:paraId="2116AC6D" w14:textId="6901FC9B" w:rsidR="007E54C8" w:rsidRDefault="007E54C8" w:rsidP="001E6EC7">
      <w:pPr>
        <w:pStyle w:val="TableTitle"/>
        <w:pageBreakBefore/>
      </w:pPr>
      <w:proofErr w:type="gramStart"/>
      <w:r>
        <w:lastRenderedPageBreak/>
        <w:t>Table 1.</w:t>
      </w:r>
      <w:proofErr w:type="gramEnd"/>
      <w:r>
        <w:t xml:space="preserve"> </w:t>
      </w:r>
      <w:proofErr w:type="gramStart"/>
      <w:r>
        <w:t>Overseas regulatory status.</w:t>
      </w:r>
      <w:proofErr w:type="gramEnd"/>
    </w:p>
    <w:tbl>
      <w:tblPr>
        <w:tblStyle w:val="TableTGAblue"/>
        <w:tblW w:w="0" w:type="auto"/>
        <w:tblLayout w:type="fixed"/>
        <w:tblLook w:val="04A0" w:firstRow="1" w:lastRow="0" w:firstColumn="1" w:lastColumn="0" w:noHBand="0" w:noVBand="1"/>
      </w:tblPr>
      <w:tblGrid>
        <w:gridCol w:w="1615"/>
        <w:gridCol w:w="1895"/>
        <w:gridCol w:w="1701"/>
        <w:gridCol w:w="1587"/>
        <w:gridCol w:w="1922"/>
      </w:tblGrid>
      <w:tr w:rsidR="00174520" w14:paraId="3CAD279A" w14:textId="4829DB5A" w:rsidTr="001E6EC7">
        <w:trPr>
          <w:cnfStyle w:val="100000000000" w:firstRow="1" w:lastRow="0" w:firstColumn="0" w:lastColumn="0" w:oddVBand="0" w:evenVBand="0" w:oddHBand="0" w:evenHBand="0" w:firstRowFirstColumn="0" w:firstRowLastColumn="0" w:lastRowFirstColumn="0" w:lastRowLastColumn="0"/>
        </w:trPr>
        <w:tc>
          <w:tcPr>
            <w:tcW w:w="1615" w:type="dxa"/>
          </w:tcPr>
          <w:p w14:paraId="7DE1A451" w14:textId="1D10009D" w:rsidR="00E340E3" w:rsidRDefault="00E340E3" w:rsidP="00C75045">
            <w:pPr>
              <w:pStyle w:val="Tabletext"/>
              <w:spacing w:before="0" w:after="0" w:line="240" w:lineRule="auto"/>
              <w:ind w:left="0" w:right="0"/>
            </w:pPr>
            <w:r>
              <w:t>Procedure</w:t>
            </w:r>
          </w:p>
        </w:tc>
        <w:tc>
          <w:tcPr>
            <w:tcW w:w="1895" w:type="dxa"/>
          </w:tcPr>
          <w:p w14:paraId="5469A5A5" w14:textId="09F437F8" w:rsidR="00E340E3" w:rsidRDefault="00E340E3" w:rsidP="00C75045">
            <w:pPr>
              <w:pStyle w:val="Tabletext"/>
              <w:spacing w:before="0" w:after="0" w:line="240" w:lineRule="auto"/>
              <w:ind w:left="0" w:right="0"/>
            </w:pPr>
            <w:r>
              <w:t>Country</w:t>
            </w:r>
          </w:p>
        </w:tc>
        <w:tc>
          <w:tcPr>
            <w:tcW w:w="1701" w:type="dxa"/>
          </w:tcPr>
          <w:p w14:paraId="74048C45" w14:textId="7913C9A8" w:rsidR="00E340E3" w:rsidRDefault="00E340E3" w:rsidP="00C75045">
            <w:pPr>
              <w:pStyle w:val="Tabletext"/>
              <w:spacing w:before="0" w:after="0" w:line="240" w:lineRule="auto"/>
              <w:ind w:left="0" w:right="0"/>
            </w:pPr>
            <w:r>
              <w:t>Date of submission</w:t>
            </w:r>
          </w:p>
        </w:tc>
        <w:tc>
          <w:tcPr>
            <w:tcW w:w="1587" w:type="dxa"/>
          </w:tcPr>
          <w:p w14:paraId="6D863165" w14:textId="072C2473" w:rsidR="00E340E3" w:rsidRDefault="00E340E3" w:rsidP="00C75045">
            <w:pPr>
              <w:pStyle w:val="Tabletext"/>
              <w:spacing w:before="0" w:after="0" w:line="240" w:lineRule="auto"/>
              <w:ind w:left="0" w:right="0"/>
            </w:pPr>
            <w:r>
              <w:t>Date of Approval</w:t>
            </w:r>
          </w:p>
        </w:tc>
        <w:tc>
          <w:tcPr>
            <w:tcW w:w="1922" w:type="dxa"/>
          </w:tcPr>
          <w:p w14:paraId="5021D31F" w14:textId="7CC90DF8" w:rsidR="00E340E3" w:rsidRDefault="00E340E3" w:rsidP="00C75045">
            <w:pPr>
              <w:pStyle w:val="Tabletext"/>
              <w:spacing w:before="0" w:after="0" w:line="240" w:lineRule="auto"/>
              <w:ind w:left="0" w:right="0"/>
            </w:pPr>
            <w:r>
              <w:t>Proposed indication</w:t>
            </w:r>
          </w:p>
        </w:tc>
      </w:tr>
      <w:tr w:rsidR="00C75045" w14:paraId="571FD600" w14:textId="41C6E3F9" w:rsidTr="001E6EC7">
        <w:tc>
          <w:tcPr>
            <w:tcW w:w="1615" w:type="dxa"/>
          </w:tcPr>
          <w:p w14:paraId="59D50288" w14:textId="08D0FA12" w:rsidR="00E340E3" w:rsidRDefault="00E340E3" w:rsidP="00C75045">
            <w:pPr>
              <w:pStyle w:val="Tabletext"/>
              <w:spacing w:before="0" w:after="0" w:line="240" w:lineRule="auto"/>
              <w:ind w:left="0" w:right="0"/>
            </w:pPr>
          </w:p>
        </w:tc>
        <w:tc>
          <w:tcPr>
            <w:tcW w:w="1895" w:type="dxa"/>
          </w:tcPr>
          <w:p w14:paraId="5BCEEF1A" w14:textId="54162701" w:rsidR="00E340E3" w:rsidRDefault="00E340E3" w:rsidP="00C75045">
            <w:pPr>
              <w:pStyle w:val="Tabletext"/>
              <w:spacing w:before="0" w:after="0" w:line="240" w:lineRule="auto"/>
              <w:ind w:left="0" w:right="0"/>
            </w:pPr>
            <w:r>
              <w:t>USA</w:t>
            </w:r>
          </w:p>
          <w:p w14:paraId="2CB78E2A" w14:textId="70E3407B" w:rsidR="007826A7" w:rsidRDefault="007826A7" w:rsidP="00C75045">
            <w:pPr>
              <w:pStyle w:val="Tabletext"/>
              <w:spacing w:before="0" w:after="0" w:line="240" w:lineRule="auto"/>
              <w:ind w:left="0" w:right="0"/>
            </w:pPr>
            <w:r>
              <w:t xml:space="preserve">(under the name </w:t>
            </w:r>
            <w:proofErr w:type="spellStart"/>
            <w:r>
              <w:t>Uceris</w:t>
            </w:r>
            <w:proofErr w:type="spellEnd"/>
            <w:r>
              <w:t>)</w:t>
            </w:r>
          </w:p>
        </w:tc>
        <w:tc>
          <w:tcPr>
            <w:tcW w:w="1701" w:type="dxa"/>
          </w:tcPr>
          <w:p w14:paraId="18D5B34F" w14:textId="450055A6" w:rsidR="00E340E3" w:rsidRDefault="00E340E3" w:rsidP="00C75045">
            <w:pPr>
              <w:pStyle w:val="Tabletext"/>
              <w:spacing w:before="0" w:after="0" w:line="240" w:lineRule="auto"/>
              <w:ind w:left="0" w:right="0"/>
            </w:pPr>
            <w:r w:rsidRPr="00E340E3">
              <w:t>14 Dec 2011</w:t>
            </w:r>
          </w:p>
        </w:tc>
        <w:tc>
          <w:tcPr>
            <w:tcW w:w="1587" w:type="dxa"/>
          </w:tcPr>
          <w:p w14:paraId="594C8D34" w14:textId="6B1B6CF2" w:rsidR="00E340E3" w:rsidRDefault="00E340E3" w:rsidP="00C75045">
            <w:pPr>
              <w:pStyle w:val="Tabletext"/>
              <w:spacing w:before="0" w:after="0" w:line="240" w:lineRule="auto"/>
              <w:ind w:left="0" w:right="0"/>
            </w:pPr>
            <w:r w:rsidRPr="00E340E3">
              <w:t>14 Jan 2013</w:t>
            </w:r>
          </w:p>
        </w:tc>
        <w:tc>
          <w:tcPr>
            <w:tcW w:w="1922" w:type="dxa"/>
          </w:tcPr>
          <w:p w14:paraId="68D1E3DF" w14:textId="1BA91CE9" w:rsidR="00E340E3" w:rsidRDefault="00E340E3" w:rsidP="00C75045">
            <w:pPr>
              <w:pStyle w:val="Tabletext"/>
              <w:spacing w:before="0" w:after="0" w:line="240" w:lineRule="auto"/>
              <w:ind w:left="0" w:right="0"/>
            </w:pPr>
            <w:r w:rsidRPr="00E340E3">
              <w:t>Induction of remission in adult</w:t>
            </w:r>
            <w:r>
              <w:t xml:space="preserve"> </w:t>
            </w:r>
            <w:r w:rsidRPr="00E340E3">
              <w:t>patients with active, mild to</w:t>
            </w:r>
            <w:r>
              <w:t xml:space="preserve"> </w:t>
            </w:r>
            <w:r w:rsidRPr="00E340E3">
              <w:t>moderate ulcerative colitis (UC).</w:t>
            </w:r>
          </w:p>
        </w:tc>
      </w:tr>
      <w:tr w:rsidR="005E2628" w14:paraId="06F880BD" w14:textId="58494E08" w:rsidTr="001E6EC7">
        <w:tc>
          <w:tcPr>
            <w:tcW w:w="1615" w:type="dxa"/>
          </w:tcPr>
          <w:p w14:paraId="7B619EBB" w14:textId="06248C52" w:rsidR="005E2628" w:rsidRPr="00E340E3" w:rsidRDefault="005E2628" w:rsidP="00C75045">
            <w:pPr>
              <w:pStyle w:val="Tabletext"/>
              <w:spacing w:before="0" w:after="0" w:line="240" w:lineRule="auto"/>
              <w:ind w:left="0" w:right="0"/>
            </w:pPr>
          </w:p>
        </w:tc>
        <w:tc>
          <w:tcPr>
            <w:tcW w:w="1895" w:type="dxa"/>
          </w:tcPr>
          <w:p w14:paraId="6B1358E1" w14:textId="7914094F" w:rsidR="005E2628" w:rsidRPr="00A35AE6" w:rsidRDefault="005E2628" w:rsidP="00C75045">
            <w:pPr>
              <w:pStyle w:val="Tabletext"/>
              <w:spacing w:before="0" w:after="0" w:line="240" w:lineRule="auto"/>
              <w:ind w:left="0" w:right="0"/>
            </w:pPr>
            <w:r w:rsidRPr="00A35AE6">
              <w:t>Netherlands</w:t>
            </w:r>
            <w:r>
              <w:t xml:space="preserve"> </w:t>
            </w:r>
            <w:r w:rsidRPr="00A35AE6">
              <w:t>(RMS)</w:t>
            </w:r>
          </w:p>
        </w:tc>
        <w:tc>
          <w:tcPr>
            <w:tcW w:w="1701" w:type="dxa"/>
          </w:tcPr>
          <w:p w14:paraId="60458DC6" w14:textId="10B6026E" w:rsidR="005E2628" w:rsidRPr="00A35AE6" w:rsidRDefault="005E2628" w:rsidP="00C75045">
            <w:pPr>
              <w:pStyle w:val="Tabletext"/>
              <w:spacing w:before="0" w:after="0" w:line="240" w:lineRule="auto"/>
              <w:ind w:left="0" w:right="0"/>
            </w:pPr>
            <w:r w:rsidRPr="00A35AE6">
              <w:t>30 May 2011</w:t>
            </w:r>
          </w:p>
        </w:tc>
        <w:tc>
          <w:tcPr>
            <w:tcW w:w="1587" w:type="dxa"/>
          </w:tcPr>
          <w:p w14:paraId="675CBD45" w14:textId="3187EAA3" w:rsidR="005E2628" w:rsidRPr="00A35AE6" w:rsidRDefault="005E2628" w:rsidP="00C75045">
            <w:pPr>
              <w:pStyle w:val="Tabletext"/>
              <w:spacing w:before="0" w:after="0" w:line="240" w:lineRule="auto"/>
              <w:ind w:left="0" w:right="0"/>
            </w:pPr>
            <w:r w:rsidRPr="00A35AE6">
              <w:t>28 Feb 2013</w:t>
            </w:r>
          </w:p>
        </w:tc>
        <w:tc>
          <w:tcPr>
            <w:tcW w:w="1922" w:type="dxa"/>
            <w:vMerge w:val="restart"/>
          </w:tcPr>
          <w:p w14:paraId="6BD5DFD3" w14:textId="4FD92410" w:rsidR="005E2628" w:rsidRPr="005E2628" w:rsidRDefault="005E2628" w:rsidP="00C75045">
            <w:pPr>
              <w:pStyle w:val="Tabletext"/>
              <w:spacing w:before="0" w:after="0" w:line="240" w:lineRule="auto"/>
              <w:ind w:left="0" w:right="0"/>
              <w:rPr>
                <w:color w:val="auto"/>
              </w:rPr>
            </w:pPr>
            <w:r w:rsidRPr="005E2628">
              <w:rPr>
                <w:color w:val="auto"/>
              </w:rPr>
              <w:t>Induction of remission in adult patients with active, mild to moderate UC, where 5-ASA (5-amino salicylic acid) treatment is not sufficient.</w:t>
            </w:r>
          </w:p>
        </w:tc>
      </w:tr>
      <w:tr w:rsidR="005E2628" w14:paraId="4268BD91" w14:textId="7BC6E422" w:rsidTr="001E6EC7">
        <w:tc>
          <w:tcPr>
            <w:tcW w:w="1615" w:type="dxa"/>
            <w:vMerge w:val="restart"/>
          </w:tcPr>
          <w:p w14:paraId="066F9979" w14:textId="25FBAE28" w:rsidR="005E2628" w:rsidRDefault="00B81618" w:rsidP="00C75045">
            <w:pPr>
              <w:pStyle w:val="Tabletext"/>
              <w:spacing w:before="0" w:after="0" w:line="240" w:lineRule="auto"/>
              <w:ind w:left="0" w:right="0"/>
            </w:pPr>
            <w:r w:rsidRPr="00B81618">
              <w:t xml:space="preserve">European Union </w:t>
            </w:r>
            <w:r>
              <w:t>(</w:t>
            </w:r>
            <w:r w:rsidR="005E2628" w:rsidRPr="00E340E3">
              <w:t>EU</w:t>
            </w:r>
            <w:r>
              <w:t>)</w:t>
            </w:r>
            <w:r w:rsidR="005E2628" w:rsidRPr="00E340E3">
              <w:t xml:space="preserve"> via</w:t>
            </w:r>
            <w:r w:rsidR="005E2628">
              <w:t xml:space="preserve"> </w:t>
            </w:r>
            <w:r w:rsidR="005E2628" w:rsidRPr="00E340E3">
              <w:t>Mutual</w:t>
            </w:r>
            <w:r w:rsidR="005E2628">
              <w:t xml:space="preserve"> </w:t>
            </w:r>
            <w:r w:rsidR="005E2628" w:rsidRPr="00E340E3">
              <w:t>Recognition</w:t>
            </w:r>
            <w:r w:rsidR="005E2628">
              <w:t xml:space="preserve"> </w:t>
            </w:r>
            <w:r w:rsidR="005E2628" w:rsidRPr="00E340E3">
              <w:t>Procedure</w:t>
            </w:r>
            <w:r w:rsidR="005E2628">
              <w:t xml:space="preserve"> </w:t>
            </w:r>
            <w:r w:rsidR="005E2628" w:rsidRPr="00E340E3">
              <w:t>(MRP)</w:t>
            </w:r>
          </w:p>
        </w:tc>
        <w:tc>
          <w:tcPr>
            <w:tcW w:w="1895" w:type="dxa"/>
          </w:tcPr>
          <w:p w14:paraId="025F5D06" w14:textId="2CD974F1" w:rsidR="005E2628" w:rsidRDefault="005E2628" w:rsidP="00C75045">
            <w:pPr>
              <w:pStyle w:val="Tabletext"/>
              <w:spacing w:before="0" w:after="0" w:line="240" w:lineRule="auto"/>
              <w:ind w:left="0" w:right="0"/>
            </w:pPr>
            <w:r w:rsidRPr="00A35AE6">
              <w:t>Austria</w:t>
            </w:r>
          </w:p>
        </w:tc>
        <w:tc>
          <w:tcPr>
            <w:tcW w:w="1701" w:type="dxa"/>
            <w:vMerge w:val="restart"/>
          </w:tcPr>
          <w:p w14:paraId="1F806D26" w14:textId="0AFB9F04" w:rsidR="005E2628" w:rsidRDefault="005E2628" w:rsidP="00C75045">
            <w:pPr>
              <w:pStyle w:val="Tabletext"/>
              <w:spacing w:before="0" w:after="0" w:line="240" w:lineRule="auto"/>
              <w:ind w:left="0" w:right="0"/>
            </w:pPr>
            <w:r w:rsidRPr="00A35AE6">
              <w:t>Apr 2014</w:t>
            </w:r>
          </w:p>
        </w:tc>
        <w:tc>
          <w:tcPr>
            <w:tcW w:w="1587" w:type="dxa"/>
          </w:tcPr>
          <w:p w14:paraId="1CE8069A" w14:textId="6EA17F39" w:rsidR="005E2628" w:rsidRDefault="005E2628" w:rsidP="00C75045">
            <w:pPr>
              <w:pStyle w:val="Tabletext"/>
              <w:spacing w:before="0" w:after="0" w:line="240" w:lineRule="auto"/>
              <w:ind w:left="0" w:right="0"/>
            </w:pPr>
            <w:r w:rsidRPr="00A35AE6">
              <w:t>17 Dec 2014</w:t>
            </w:r>
          </w:p>
        </w:tc>
        <w:tc>
          <w:tcPr>
            <w:tcW w:w="1922" w:type="dxa"/>
            <w:vMerge/>
          </w:tcPr>
          <w:p w14:paraId="0C520A7B" w14:textId="449AA55E" w:rsidR="005E2628" w:rsidRDefault="005E2628" w:rsidP="00C75045">
            <w:pPr>
              <w:pStyle w:val="Tabletext"/>
              <w:spacing w:before="0" w:after="0" w:line="240" w:lineRule="auto"/>
              <w:ind w:left="0" w:right="0"/>
            </w:pPr>
          </w:p>
        </w:tc>
      </w:tr>
      <w:tr w:rsidR="005E2628" w14:paraId="0D9D5288" w14:textId="7172BF3F" w:rsidTr="001E6EC7">
        <w:tc>
          <w:tcPr>
            <w:tcW w:w="1615" w:type="dxa"/>
            <w:vMerge/>
          </w:tcPr>
          <w:p w14:paraId="473D35F2" w14:textId="182AD627" w:rsidR="005E2628" w:rsidRDefault="005E2628" w:rsidP="00C75045">
            <w:pPr>
              <w:pStyle w:val="Tabletext"/>
              <w:spacing w:before="0" w:after="0" w:line="240" w:lineRule="auto"/>
              <w:ind w:left="0" w:right="0"/>
            </w:pPr>
          </w:p>
        </w:tc>
        <w:tc>
          <w:tcPr>
            <w:tcW w:w="1895" w:type="dxa"/>
          </w:tcPr>
          <w:p w14:paraId="124B6FB1" w14:textId="77E1710E" w:rsidR="005E2628" w:rsidRDefault="005E2628" w:rsidP="00C75045">
            <w:pPr>
              <w:pStyle w:val="Tabletext"/>
              <w:spacing w:before="0" w:after="0" w:line="240" w:lineRule="auto"/>
              <w:ind w:left="0" w:right="0"/>
            </w:pPr>
            <w:r w:rsidRPr="00A35AE6">
              <w:t>Belgium</w:t>
            </w:r>
          </w:p>
        </w:tc>
        <w:tc>
          <w:tcPr>
            <w:tcW w:w="1701" w:type="dxa"/>
            <w:vMerge/>
          </w:tcPr>
          <w:p w14:paraId="7308868E" w14:textId="1EBB1DC0" w:rsidR="005E2628" w:rsidRDefault="005E2628" w:rsidP="00C75045">
            <w:pPr>
              <w:pStyle w:val="Tabletext"/>
              <w:spacing w:before="0" w:after="0" w:line="240" w:lineRule="auto"/>
              <w:ind w:left="0" w:right="0"/>
            </w:pPr>
          </w:p>
        </w:tc>
        <w:tc>
          <w:tcPr>
            <w:tcW w:w="1587" w:type="dxa"/>
          </w:tcPr>
          <w:p w14:paraId="291EEAB3" w14:textId="09E7F750" w:rsidR="005E2628" w:rsidRDefault="005E2628" w:rsidP="00C75045">
            <w:pPr>
              <w:pStyle w:val="Tabletext"/>
              <w:spacing w:before="0" w:after="0" w:line="240" w:lineRule="auto"/>
              <w:ind w:left="0" w:right="0"/>
            </w:pPr>
            <w:r w:rsidRPr="00A35AE6">
              <w:t>26 Nov 2014</w:t>
            </w:r>
          </w:p>
        </w:tc>
        <w:tc>
          <w:tcPr>
            <w:tcW w:w="1922" w:type="dxa"/>
            <w:vMerge/>
          </w:tcPr>
          <w:p w14:paraId="221EAB46" w14:textId="23077DD3" w:rsidR="005E2628" w:rsidRDefault="005E2628" w:rsidP="00C75045">
            <w:pPr>
              <w:pStyle w:val="Tabletext"/>
              <w:spacing w:before="0" w:after="0" w:line="240" w:lineRule="auto"/>
              <w:ind w:left="0" w:right="0"/>
            </w:pPr>
          </w:p>
        </w:tc>
      </w:tr>
      <w:tr w:rsidR="005E2628" w14:paraId="087A9B50" w14:textId="59996B36" w:rsidTr="001E6EC7">
        <w:tc>
          <w:tcPr>
            <w:tcW w:w="1615" w:type="dxa"/>
            <w:vMerge/>
          </w:tcPr>
          <w:p w14:paraId="6773E46D" w14:textId="5A1FCB8C" w:rsidR="005E2628" w:rsidRDefault="005E2628" w:rsidP="00C75045">
            <w:pPr>
              <w:pStyle w:val="Tabletext"/>
              <w:spacing w:before="0" w:after="0" w:line="240" w:lineRule="auto"/>
              <w:ind w:left="0" w:right="0"/>
            </w:pPr>
          </w:p>
        </w:tc>
        <w:tc>
          <w:tcPr>
            <w:tcW w:w="1895" w:type="dxa"/>
          </w:tcPr>
          <w:p w14:paraId="640F0C34" w14:textId="2D37C645" w:rsidR="005E2628" w:rsidRDefault="005E2628" w:rsidP="00C75045">
            <w:pPr>
              <w:pStyle w:val="Tabletext"/>
              <w:spacing w:before="0" w:after="0" w:line="240" w:lineRule="auto"/>
              <w:ind w:left="0" w:right="0"/>
            </w:pPr>
            <w:r w:rsidRPr="00A35AE6">
              <w:t>Bulgaria</w:t>
            </w:r>
          </w:p>
        </w:tc>
        <w:tc>
          <w:tcPr>
            <w:tcW w:w="1701" w:type="dxa"/>
            <w:vMerge/>
          </w:tcPr>
          <w:p w14:paraId="3054023B" w14:textId="4FBE0AD3" w:rsidR="005E2628" w:rsidRDefault="005E2628" w:rsidP="00C75045">
            <w:pPr>
              <w:pStyle w:val="Tabletext"/>
              <w:spacing w:before="0" w:after="0" w:line="240" w:lineRule="auto"/>
              <w:ind w:left="0" w:right="0"/>
            </w:pPr>
          </w:p>
        </w:tc>
        <w:tc>
          <w:tcPr>
            <w:tcW w:w="1587" w:type="dxa"/>
          </w:tcPr>
          <w:p w14:paraId="21E65505" w14:textId="744D3E54" w:rsidR="005E2628" w:rsidRDefault="005E2628" w:rsidP="00C75045">
            <w:pPr>
              <w:pStyle w:val="Tabletext"/>
              <w:spacing w:before="0" w:after="0" w:line="240" w:lineRule="auto"/>
              <w:ind w:left="0" w:right="0"/>
            </w:pPr>
            <w:r w:rsidRPr="00A35AE6">
              <w:t>Ongoing</w:t>
            </w:r>
          </w:p>
        </w:tc>
        <w:tc>
          <w:tcPr>
            <w:tcW w:w="1922" w:type="dxa"/>
            <w:vMerge/>
          </w:tcPr>
          <w:p w14:paraId="1C587484" w14:textId="525D1FCA" w:rsidR="005E2628" w:rsidRDefault="005E2628" w:rsidP="00C75045">
            <w:pPr>
              <w:pStyle w:val="Tabletext"/>
              <w:spacing w:before="0" w:after="0" w:line="240" w:lineRule="auto"/>
              <w:ind w:left="0" w:right="0"/>
            </w:pPr>
          </w:p>
        </w:tc>
      </w:tr>
      <w:tr w:rsidR="005E2628" w14:paraId="1A4D1B63" w14:textId="67A8CB2A" w:rsidTr="001E6EC7">
        <w:tc>
          <w:tcPr>
            <w:tcW w:w="1615" w:type="dxa"/>
            <w:vMerge/>
          </w:tcPr>
          <w:p w14:paraId="62A4F7BE" w14:textId="6DB2E6DB" w:rsidR="005E2628" w:rsidRDefault="005E2628" w:rsidP="00C75045">
            <w:pPr>
              <w:pStyle w:val="Tabletext"/>
              <w:spacing w:before="0" w:after="0" w:line="240" w:lineRule="auto"/>
              <w:ind w:left="0" w:right="0"/>
            </w:pPr>
          </w:p>
        </w:tc>
        <w:tc>
          <w:tcPr>
            <w:tcW w:w="1895" w:type="dxa"/>
          </w:tcPr>
          <w:p w14:paraId="6DC13041" w14:textId="17A94720" w:rsidR="005E2628" w:rsidRDefault="005E2628" w:rsidP="00C75045">
            <w:pPr>
              <w:pStyle w:val="Tabletext"/>
              <w:spacing w:before="0" w:after="0" w:line="240" w:lineRule="auto"/>
              <w:ind w:left="0" w:right="0"/>
            </w:pPr>
            <w:r w:rsidRPr="00A35AE6">
              <w:t>Croatia</w:t>
            </w:r>
          </w:p>
        </w:tc>
        <w:tc>
          <w:tcPr>
            <w:tcW w:w="1701" w:type="dxa"/>
            <w:vMerge/>
          </w:tcPr>
          <w:p w14:paraId="27650D99" w14:textId="541A4262" w:rsidR="005E2628" w:rsidRDefault="005E2628" w:rsidP="00C75045">
            <w:pPr>
              <w:pStyle w:val="Tabletext"/>
              <w:spacing w:before="0" w:after="0" w:line="240" w:lineRule="auto"/>
              <w:ind w:left="0" w:right="0"/>
            </w:pPr>
          </w:p>
        </w:tc>
        <w:tc>
          <w:tcPr>
            <w:tcW w:w="1587" w:type="dxa"/>
          </w:tcPr>
          <w:p w14:paraId="6AC77448" w14:textId="37B1CAD9" w:rsidR="005E2628" w:rsidRDefault="005E2628" w:rsidP="00C75045">
            <w:pPr>
              <w:pStyle w:val="Tabletext"/>
              <w:spacing w:before="0" w:after="0" w:line="240" w:lineRule="auto"/>
              <w:ind w:left="0" w:right="0"/>
            </w:pPr>
            <w:r w:rsidRPr="00A35AE6">
              <w:t>09 Dec 2014</w:t>
            </w:r>
          </w:p>
        </w:tc>
        <w:tc>
          <w:tcPr>
            <w:tcW w:w="1922" w:type="dxa"/>
            <w:vMerge/>
          </w:tcPr>
          <w:p w14:paraId="00C4D5DC" w14:textId="3ABFB5A8" w:rsidR="005E2628" w:rsidRDefault="005E2628" w:rsidP="00C75045">
            <w:pPr>
              <w:pStyle w:val="Tabletext"/>
              <w:spacing w:before="0" w:after="0" w:line="240" w:lineRule="auto"/>
              <w:ind w:left="0" w:right="0"/>
            </w:pPr>
          </w:p>
        </w:tc>
      </w:tr>
      <w:tr w:rsidR="005E2628" w14:paraId="7AEE2B4A" w14:textId="389F6EFA" w:rsidTr="001E6EC7">
        <w:tc>
          <w:tcPr>
            <w:tcW w:w="1615" w:type="dxa"/>
            <w:vMerge/>
          </w:tcPr>
          <w:p w14:paraId="1B205CDD" w14:textId="518701FE" w:rsidR="005E2628" w:rsidRDefault="005E2628" w:rsidP="00C75045">
            <w:pPr>
              <w:pStyle w:val="Tabletext"/>
              <w:spacing w:before="0" w:after="0" w:line="240" w:lineRule="auto"/>
              <w:ind w:left="0" w:right="0"/>
            </w:pPr>
          </w:p>
        </w:tc>
        <w:tc>
          <w:tcPr>
            <w:tcW w:w="1895" w:type="dxa"/>
          </w:tcPr>
          <w:p w14:paraId="43975C98" w14:textId="7A8A23E0" w:rsidR="005E2628" w:rsidRDefault="005E2628" w:rsidP="00C75045">
            <w:pPr>
              <w:pStyle w:val="Tabletext"/>
              <w:spacing w:before="0" w:after="0" w:line="240" w:lineRule="auto"/>
              <w:ind w:left="0" w:right="0"/>
            </w:pPr>
            <w:r w:rsidRPr="00A35AE6">
              <w:t>Cyprus</w:t>
            </w:r>
          </w:p>
        </w:tc>
        <w:tc>
          <w:tcPr>
            <w:tcW w:w="1701" w:type="dxa"/>
            <w:vMerge/>
          </w:tcPr>
          <w:p w14:paraId="20C80E4C" w14:textId="208F38FF" w:rsidR="005E2628" w:rsidRDefault="005E2628" w:rsidP="00C75045">
            <w:pPr>
              <w:pStyle w:val="Tabletext"/>
              <w:spacing w:before="0" w:after="0" w:line="240" w:lineRule="auto"/>
              <w:ind w:left="0" w:right="0"/>
            </w:pPr>
          </w:p>
        </w:tc>
        <w:tc>
          <w:tcPr>
            <w:tcW w:w="1587" w:type="dxa"/>
          </w:tcPr>
          <w:p w14:paraId="35D937F3" w14:textId="2022A3B1" w:rsidR="005E2628" w:rsidRDefault="005E2628" w:rsidP="00C75045">
            <w:pPr>
              <w:pStyle w:val="Tabletext"/>
              <w:spacing w:before="0" w:after="0" w:line="240" w:lineRule="auto"/>
              <w:ind w:left="0" w:right="0"/>
            </w:pPr>
            <w:r w:rsidRPr="00A35AE6">
              <w:t>Ongoing</w:t>
            </w:r>
          </w:p>
        </w:tc>
        <w:tc>
          <w:tcPr>
            <w:tcW w:w="1922" w:type="dxa"/>
            <w:vMerge/>
          </w:tcPr>
          <w:p w14:paraId="694443E9" w14:textId="6BEE8634" w:rsidR="005E2628" w:rsidRDefault="005E2628" w:rsidP="00C75045">
            <w:pPr>
              <w:pStyle w:val="Tabletext"/>
              <w:spacing w:before="0" w:after="0" w:line="240" w:lineRule="auto"/>
              <w:ind w:left="0" w:right="0"/>
            </w:pPr>
          </w:p>
        </w:tc>
      </w:tr>
      <w:tr w:rsidR="005E2628" w14:paraId="188EC606" w14:textId="7C4E316A" w:rsidTr="001E6EC7">
        <w:tc>
          <w:tcPr>
            <w:tcW w:w="1615" w:type="dxa"/>
            <w:vMerge/>
          </w:tcPr>
          <w:p w14:paraId="1DFFBA6F" w14:textId="577150D9" w:rsidR="005E2628" w:rsidRDefault="005E2628" w:rsidP="00C75045">
            <w:pPr>
              <w:pStyle w:val="Tabletext"/>
              <w:spacing w:before="0" w:after="0" w:line="240" w:lineRule="auto"/>
              <w:ind w:left="0" w:right="0"/>
            </w:pPr>
          </w:p>
        </w:tc>
        <w:tc>
          <w:tcPr>
            <w:tcW w:w="1895" w:type="dxa"/>
          </w:tcPr>
          <w:p w14:paraId="769FF43C" w14:textId="3137817B" w:rsidR="005E2628" w:rsidRPr="00A35AE6" w:rsidRDefault="005E2628" w:rsidP="00C75045">
            <w:pPr>
              <w:pStyle w:val="Tabletext"/>
              <w:spacing w:before="0" w:after="0" w:line="240" w:lineRule="auto"/>
              <w:ind w:left="0" w:right="0"/>
            </w:pPr>
            <w:r w:rsidRPr="00A35AE6">
              <w:t>Czech</w:t>
            </w:r>
          </w:p>
          <w:p w14:paraId="71699FAC" w14:textId="746D4079" w:rsidR="005E2628" w:rsidRDefault="005E2628" w:rsidP="00C75045">
            <w:pPr>
              <w:pStyle w:val="Tabletext"/>
              <w:spacing w:before="0" w:after="0" w:line="240" w:lineRule="auto"/>
              <w:ind w:left="0" w:right="0"/>
            </w:pPr>
            <w:r w:rsidRPr="00A35AE6">
              <w:t>Republic</w:t>
            </w:r>
          </w:p>
        </w:tc>
        <w:tc>
          <w:tcPr>
            <w:tcW w:w="1701" w:type="dxa"/>
            <w:vMerge/>
          </w:tcPr>
          <w:p w14:paraId="7C1F8FAD" w14:textId="1E4F67DB" w:rsidR="005E2628" w:rsidRDefault="005E2628" w:rsidP="00C75045">
            <w:pPr>
              <w:pStyle w:val="Tabletext"/>
              <w:spacing w:before="0" w:after="0" w:line="240" w:lineRule="auto"/>
              <w:ind w:left="0" w:right="0"/>
            </w:pPr>
          </w:p>
        </w:tc>
        <w:tc>
          <w:tcPr>
            <w:tcW w:w="1587" w:type="dxa"/>
          </w:tcPr>
          <w:p w14:paraId="61D7EC56" w14:textId="042233A1" w:rsidR="005E2628" w:rsidRDefault="005E2628" w:rsidP="00C75045">
            <w:pPr>
              <w:pStyle w:val="Tabletext"/>
              <w:spacing w:before="0" w:after="0" w:line="240" w:lineRule="auto"/>
              <w:ind w:left="0" w:right="0"/>
            </w:pPr>
            <w:r w:rsidRPr="00A35AE6">
              <w:t>14 Jan 2015</w:t>
            </w:r>
          </w:p>
        </w:tc>
        <w:tc>
          <w:tcPr>
            <w:tcW w:w="1922" w:type="dxa"/>
            <w:vMerge/>
          </w:tcPr>
          <w:p w14:paraId="33928F43" w14:textId="2F2367B4" w:rsidR="005E2628" w:rsidRDefault="005E2628" w:rsidP="00C75045">
            <w:pPr>
              <w:pStyle w:val="Tabletext"/>
              <w:spacing w:before="0" w:after="0" w:line="240" w:lineRule="auto"/>
              <w:ind w:left="0" w:right="0"/>
            </w:pPr>
          </w:p>
        </w:tc>
      </w:tr>
      <w:tr w:rsidR="005E2628" w14:paraId="79F7481B" w14:textId="1C4BF042" w:rsidTr="001E6EC7">
        <w:tc>
          <w:tcPr>
            <w:tcW w:w="1615" w:type="dxa"/>
            <w:vMerge/>
          </w:tcPr>
          <w:p w14:paraId="384F8F00" w14:textId="5ECAA538" w:rsidR="005E2628" w:rsidRDefault="005E2628" w:rsidP="00C75045">
            <w:pPr>
              <w:pStyle w:val="Tabletext"/>
              <w:spacing w:before="0" w:after="0" w:line="240" w:lineRule="auto"/>
              <w:ind w:left="0" w:right="0"/>
            </w:pPr>
          </w:p>
        </w:tc>
        <w:tc>
          <w:tcPr>
            <w:tcW w:w="1895" w:type="dxa"/>
          </w:tcPr>
          <w:p w14:paraId="5F2DBD07" w14:textId="3EFCD7F3" w:rsidR="005E2628" w:rsidRDefault="005E2628" w:rsidP="00C75045">
            <w:pPr>
              <w:pStyle w:val="Tabletext"/>
              <w:spacing w:before="0" w:after="0" w:line="240" w:lineRule="auto"/>
              <w:ind w:left="0" w:right="0"/>
            </w:pPr>
            <w:r w:rsidRPr="00174520">
              <w:t>Estonia</w:t>
            </w:r>
          </w:p>
        </w:tc>
        <w:tc>
          <w:tcPr>
            <w:tcW w:w="1701" w:type="dxa"/>
            <w:vMerge/>
          </w:tcPr>
          <w:p w14:paraId="78B9A110" w14:textId="04F567AA" w:rsidR="005E2628" w:rsidRDefault="005E2628" w:rsidP="00C75045">
            <w:pPr>
              <w:pStyle w:val="Tabletext"/>
              <w:spacing w:before="0" w:after="0" w:line="240" w:lineRule="auto"/>
              <w:ind w:left="0" w:right="0"/>
            </w:pPr>
          </w:p>
        </w:tc>
        <w:tc>
          <w:tcPr>
            <w:tcW w:w="1587" w:type="dxa"/>
          </w:tcPr>
          <w:p w14:paraId="0464D5C2" w14:textId="0A7288F8" w:rsidR="005E2628" w:rsidRDefault="005E2628" w:rsidP="00C75045">
            <w:pPr>
              <w:pStyle w:val="Tabletext"/>
              <w:spacing w:before="0" w:after="0" w:line="240" w:lineRule="auto"/>
              <w:ind w:left="0" w:right="0"/>
            </w:pPr>
            <w:r w:rsidRPr="00174520">
              <w:t>31 Mar 2015</w:t>
            </w:r>
          </w:p>
        </w:tc>
        <w:tc>
          <w:tcPr>
            <w:tcW w:w="1922" w:type="dxa"/>
            <w:vMerge/>
          </w:tcPr>
          <w:p w14:paraId="2B69192B" w14:textId="66FD3E4D" w:rsidR="005E2628" w:rsidRDefault="005E2628" w:rsidP="00C75045">
            <w:pPr>
              <w:pStyle w:val="Tabletext"/>
              <w:spacing w:before="0" w:after="0" w:line="240" w:lineRule="auto"/>
              <w:ind w:left="0" w:right="0"/>
            </w:pPr>
          </w:p>
        </w:tc>
      </w:tr>
      <w:tr w:rsidR="005E2628" w14:paraId="0164B13E" w14:textId="6F9582D9" w:rsidTr="001E6EC7">
        <w:tc>
          <w:tcPr>
            <w:tcW w:w="1615" w:type="dxa"/>
            <w:vMerge/>
          </w:tcPr>
          <w:p w14:paraId="1E962A93" w14:textId="284CD71D" w:rsidR="005E2628" w:rsidRDefault="005E2628" w:rsidP="00C75045">
            <w:pPr>
              <w:pStyle w:val="Tabletext"/>
              <w:spacing w:before="0" w:after="0" w:line="240" w:lineRule="auto"/>
              <w:ind w:left="0" w:right="0"/>
            </w:pPr>
          </w:p>
        </w:tc>
        <w:tc>
          <w:tcPr>
            <w:tcW w:w="1895" w:type="dxa"/>
          </w:tcPr>
          <w:p w14:paraId="01EBF923" w14:textId="44663E1A" w:rsidR="005E2628" w:rsidRDefault="005E2628" w:rsidP="00C75045">
            <w:pPr>
              <w:pStyle w:val="Tabletext"/>
              <w:spacing w:before="0" w:after="0" w:line="240" w:lineRule="auto"/>
              <w:ind w:left="0" w:right="0"/>
            </w:pPr>
            <w:r w:rsidRPr="00174520">
              <w:t>Finland</w:t>
            </w:r>
          </w:p>
        </w:tc>
        <w:tc>
          <w:tcPr>
            <w:tcW w:w="1701" w:type="dxa"/>
            <w:vMerge/>
          </w:tcPr>
          <w:p w14:paraId="54C15BE0" w14:textId="21693B3F" w:rsidR="005E2628" w:rsidRDefault="005E2628" w:rsidP="00C75045">
            <w:pPr>
              <w:pStyle w:val="Tabletext"/>
              <w:spacing w:before="0" w:after="0" w:line="240" w:lineRule="auto"/>
              <w:ind w:left="0" w:right="0"/>
            </w:pPr>
          </w:p>
        </w:tc>
        <w:tc>
          <w:tcPr>
            <w:tcW w:w="1587" w:type="dxa"/>
          </w:tcPr>
          <w:p w14:paraId="18EE8802" w14:textId="2F3E6AD8" w:rsidR="005E2628" w:rsidRDefault="005E2628" w:rsidP="00C75045">
            <w:pPr>
              <w:pStyle w:val="Tabletext"/>
              <w:spacing w:before="0" w:after="0" w:line="240" w:lineRule="auto"/>
              <w:ind w:left="0" w:right="0"/>
            </w:pPr>
            <w:r w:rsidRPr="00174520">
              <w:t>12 Dec 2014</w:t>
            </w:r>
          </w:p>
        </w:tc>
        <w:tc>
          <w:tcPr>
            <w:tcW w:w="1922" w:type="dxa"/>
            <w:vMerge/>
          </w:tcPr>
          <w:p w14:paraId="11E460DD" w14:textId="0895A2DC" w:rsidR="005E2628" w:rsidRDefault="005E2628" w:rsidP="00C75045">
            <w:pPr>
              <w:pStyle w:val="Tabletext"/>
              <w:spacing w:before="0" w:after="0" w:line="240" w:lineRule="auto"/>
              <w:ind w:left="0" w:right="0"/>
            </w:pPr>
          </w:p>
        </w:tc>
      </w:tr>
      <w:tr w:rsidR="005E2628" w14:paraId="3A16AA72" w14:textId="7BA151AA" w:rsidTr="001E6EC7">
        <w:tc>
          <w:tcPr>
            <w:tcW w:w="1615" w:type="dxa"/>
            <w:vMerge/>
          </w:tcPr>
          <w:p w14:paraId="0EF0386C" w14:textId="55C9B01F" w:rsidR="005E2628" w:rsidRDefault="005E2628" w:rsidP="00C75045">
            <w:pPr>
              <w:pStyle w:val="Tabletext"/>
              <w:spacing w:before="0" w:after="0" w:line="240" w:lineRule="auto"/>
              <w:ind w:left="0" w:right="0"/>
            </w:pPr>
          </w:p>
        </w:tc>
        <w:tc>
          <w:tcPr>
            <w:tcW w:w="1895" w:type="dxa"/>
          </w:tcPr>
          <w:p w14:paraId="30B130BF" w14:textId="1F3FDFB3" w:rsidR="005E2628" w:rsidRDefault="005E2628" w:rsidP="00C75045">
            <w:pPr>
              <w:pStyle w:val="Tabletext"/>
              <w:spacing w:before="0" w:after="0" w:line="240" w:lineRule="auto"/>
              <w:ind w:left="0" w:right="0"/>
            </w:pPr>
            <w:r w:rsidRPr="00174520">
              <w:t>Germany</w:t>
            </w:r>
          </w:p>
        </w:tc>
        <w:tc>
          <w:tcPr>
            <w:tcW w:w="1701" w:type="dxa"/>
            <w:vMerge/>
          </w:tcPr>
          <w:p w14:paraId="18A7E67E" w14:textId="7075A66C" w:rsidR="005E2628" w:rsidRDefault="005E2628" w:rsidP="00C75045">
            <w:pPr>
              <w:pStyle w:val="Tabletext"/>
              <w:spacing w:before="0" w:after="0" w:line="240" w:lineRule="auto"/>
              <w:ind w:left="0" w:right="0"/>
            </w:pPr>
          </w:p>
        </w:tc>
        <w:tc>
          <w:tcPr>
            <w:tcW w:w="1587" w:type="dxa"/>
          </w:tcPr>
          <w:p w14:paraId="7C423C76" w14:textId="41C41451" w:rsidR="005E2628" w:rsidRDefault="005E2628" w:rsidP="00C75045">
            <w:pPr>
              <w:pStyle w:val="Tabletext"/>
              <w:spacing w:before="0" w:after="0" w:line="240" w:lineRule="auto"/>
              <w:ind w:left="0" w:right="0"/>
            </w:pPr>
            <w:r w:rsidRPr="00174520">
              <w:t>13 Jan</w:t>
            </w:r>
            <w:r w:rsidR="00924DAB">
              <w:t>uary</w:t>
            </w:r>
            <w:r w:rsidRPr="00174520">
              <w:t xml:space="preserve"> 2015</w:t>
            </w:r>
          </w:p>
        </w:tc>
        <w:tc>
          <w:tcPr>
            <w:tcW w:w="1922" w:type="dxa"/>
            <w:vMerge/>
          </w:tcPr>
          <w:p w14:paraId="14166468" w14:textId="1A4C4936" w:rsidR="005E2628" w:rsidRDefault="005E2628" w:rsidP="00C75045">
            <w:pPr>
              <w:pStyle w:val="Tabletext"/>
              <w:spacing w:before="0" w:after="0" w:line="240" w:lineRule="auto"/>
              <w:ind w:left="0" w:right="0"/>
            </w:pPr>
          </w:p>
        </w:tc>
      </w:tr>
      <w:tr w:rsidR="005E2628" w14:paraId="215C1EE1" w14:textId="4D844055" w:rsidTr="001E6EC7">
        <w:tc>
          <w:tcPr>
            <w:tcW w:w="1615" w:type="dxa"/>
            <w:vMerge/>
          </w:tcPr>
          <w:p w14:paraId="1295A7E4" w14:textId="76C6D7AC" w:rsidR="005E2628" w:rsidRDefault="005E2628" w:rsidP="00C75045">
            <w:pPr>
              <w:pStyle w:val="Tabletext"/>
              <w:spacing w:before="0" w:after="0" w:line="240" w:lineRule="auto"/>
              <w:ind w:left="0" w:right="0"/>
            </w:pPr>
          </w:p>
        </w:tc>
        <w:tc>
          <w:tcPr>
            <w:tcW w:w="1895" w:type="dxa"/>
          </w:tcPr>
          <w:p w14:paraId="12568C74" w14:textId="2FF40046" w:rsidR="005E2628" w:rsidRDefault="005E2628" w:rsidP="00C75045">
            <w:pPr>
              <w:pStyle w:val="Tabletext"/>
              <w:spacing w:before="0" w:after="0" w:line="240" w:lineRule="auto"/>
              <w:ind w:left="0" w:right="0"/>
            </w:pPr>
            <w:r w:rsidRPr="00174520">
              <w:t>Greece</w:t>
            </w:r>
          </w:p>
        </w:tc>
        <w:tc>
          <w:tcPr>
            <w:tcW w:w="1701" w:type="dxa"/>
            <w:vMerge/>
          </w:tcPr>
          <w:p w14:paraId="1D570194" w14:textId="3EBB4ECD" w:rsidR="005E2628" w:rsidRDefault="005E2628" w:rsidP="00C75045">
            <w:pPr>
              <w:pStyle w:val="Tabletext"/>
              <w:spacing w:before="0" w:after="0" w:line="240" w:lineRule="auto"/>
              <w:ind w:left="0" w:right="0"/>
            </w:pPr>
          </w:p>
        </w:tc>
        <w:tc>
          <w:tcPr>
            <w:tcW w:w="1587" w:type="dxa"/>
          </w:tcPr>
          <w:p w14:paraId="2DE45086" w14:textId="2EC04568" w:rsidR="005E2628" w:rsidRDefault="005E2628" w:rsidP="00C75045">
            <w:pPr>
              <w:pStyle w:val="Tabletext"/>
              <w:spacing w:before="0" w:after="0" w:line="240" w:lineRule="auto"/>
              <w:ind w:left="0" w:right="0"/>
            </w:pPr>
            <w:r w:rsidRPr="00174520">
              <w:t>Ongoing</w:t>
            </w:r>
          </w:p>
        </w:tc>
        <w:tc>
          <w:tcPr>
            <w:tcW w:w="1922" w:type="dxa"/>
            <w:vMerge/>
          </w:tcPr>
          <w:p w14:paraId="2AF202A4" w14:textId="2133710A" w:rsidR="005E2628" w:rsidRDefault="005E2628" w:rsidP="00C75045">
            <w:pPr>
              <w:pStyle w:val="Tabletext"/>
              <w:spacing w:before="0" w:after="0" w:line="240" w:lineRule="auto"/>
              <w:ind w:left="0" w:right="0"/>
            </w:pPr>
          </w:p>
        </w:tc>
      </w:tr>
      <w:tr w:rsidR="005E2628" w14:paraId="19C013DF" w14:textId="7E6BEE0D" w:rsidTr="001E6EC7">
        <w:tc>
          <w:tcPr>
            <w:tcW w:w="1615" w:type="dxa"/>
            <w:vMerge/>
          </w:tcPr>
          <w:p w14:paraId="66195449" w14:textId="65A4E374" w:rsidR="005E2628" w:rsidRDefault="005E2628" w:rsidP="00C75045">
            <w:pPr>
              <w:pStyle w:val="Tabletext"/>
              <w:spacing w:before="0" w:after="0" w:line="240" w:lineRule="auto"/>
              <w:ind w:left="0" w:right="0"/>
            </w:pPr>
          </w:p>
        </w:tc>
        <w:tc>
          <w:tcPr>
            <w:tcW w:w="1895" w:type="dxa"/>
          </w:tcPr>
          <w:p w14:paraId="74C35759" w14:textId="01B6CC89" w:rsidR="005E2628" w:rsidRPr="00174520" w:rsidRDefault="005E2628" w:rsidP="00C75045">
            <w:pPr>
              <w:pStyle w:val="Tabletext"/>
              <w:spacing w:before="0" w:after="0" w:line="240" w:lineRule="auto"/>
              <w:ind w:left="0" w:right="0"/>
            </w:pPr>
            <w:r w:rsidRPr="00174520">
              <w:t>Hungary</w:t>
            </w:r>
          </w:p>
        </w:tc>
        <w:tc>
          <w:tcPr>
            <w:tcW w:w="1701" w:type="dxa"/>
            <w:vMerge/>
          </w:tcPr>
          <w:p w14:paraId="04FAE194" w14:textId="5CD14CC1" w:rsidR="005E2628" w:rsidRDefault="005E2628" w:rsidP="00C75045">
            <w:pPr>
              <w:pStyle w:val="Tabletext"/>
              <w:spacing w:before="0" w:after="0" w:line="240" w:lineRule="auto"/>
              <w:ind w:left="0" w:right="0"/>
            </w:pPr>
          </w:p>
        </w:tc>
        <w:tc>
          <w:tcPr>
            <w:tcW w:w="1587" w:type="dxa"/>
          </w:tcPr>
          <w:p w14:paraId="27ACA224" w14:textId="2F3216E8" w:rsidR="005E2628" w:rsidRPr="00174520" w:rsidRDefault="005E2628" w:rsidP="00C75045">
            <w:pPr>
              <w:pStyle w:val="Tabletext"/>
              <w:spacing w:before="0" w:after="0" w:line="240" w:lineRule="auto"/>
              <w:ind w:left="0" w:right="0"/>
            </w:pPr>
            <w:r w:rsidRPr="00174520">
              <w:t>19 Nov</w:t>
            </w:r>
            <w:r w:rsidR="00924DAB">
              <w:t>embe</w:t>
            </w:r>
            <w:r w:rsidR="00836F9D">
              <w:t>r</w:t>
            </w:r>
            <w:r w:rsidRPr="00174520">
              <w:t xml:space="preserve"> 2014</w:t>
            </w:r>
          </w:p>
        </w:tc>
        <w:tc>
          <w:tcPr>
            <w:tcW w:w="1922" w:type="dxa"/>
            <w:vMerge/>
          </w:tcPr>
          <w:p w14:paraId="24D4FB79" w14:textId="2FA595AE" w:rsidR="005E2628" w:rsidRDefault="005E2628" w:rsidP="00C75045">
            <w:pPr>
              <w:pStyle w:val="Tabletext"/>
              <w:spacing w:before="0" w:after="0" w:line="240" w:lineRule="auto"/>
              <w:ind w:left="0" w:right="0"/>
            </w:pPr>
          </w:p>
        </w:tc>
      </w:tr>
      <w:tr w:rsidR="005E2628" w14:paraId="02D7971C" w14:textId="69810714" w:rsidTr="001E6EC7">
        <w:tc>
          <w:tcPr>
            <w:tcW w:w="1615" w:type="dxa"/>
            <w:vMerge/>
          </w:tcPr>
          <w:p w14:paraId="78C70D5A" w14:textId="0D98719F" w:rsidR="005E2628" w:rsidRDefault="005E2628" w:rsidP="00C75045">
            <w:pPr>
              <w:pStyle w:val="Tabletext"/>
              <w:spacing w:before="0" w:after="0" w:line="240" w:lineRule="auto"/>
              <w:ind w:left="0" w:right="0"/>
            </w:pPr>
          </w:p>
        </w:tc>
        <w:tc>
          <w:tcPr>
            <w:tcW w:w="1895" w:type="dxa"/>
          </w:tcPr>
          <w:p w14:paraId="07583082" w14:textId="2C4B8ED8" w:rsidR="005E2628" w:rsidRPr="00174520" w:rsidRDefault="005E2628" w:rsidP="00C75045">
            <w:pPr>
              <w:pStyle w:val="Tabletext"/>
              <w:spacing w:before="0" w:after="0" w:line="240" w:lineRule="auto"/>
              <w:ind w:left="0" w:right="0"/>
            </w:pPr>
            <w:r w:rsidRPr="00174520">
              <w:t>Iceland</w:t>
            </w:r>
          </w:p>
        </w:tc>
        <w:tc>
          <w:tcPr>
            <w:tcW w:w="1701" w:type="dxa"/>
            <w:vMerge/>
          </w:tcPr>
          <w:p w14:paraId="5D49939D" w14:textId="69B3C324" w:rsidR="005E2628" w:rsidRDefault="005E2628" w:rsidP="00C75045">
            <w:pPr>
              <w:pStyle w:val="Tabletext"/>
              <w:spacing w:before="0" w:after="0" w:line="240" w:lineRule="auto"/>
              <w:ind w:left="0" w:right="0"/>
            </w:pPr>
          </w:p>
        </w:tc>
        <w:tc>
          <w:tcPr>
            <w:tcW w:w="1587" w:type="dxa"/>
          </w:tcPr>
          <w:p w14:paraId="6AB0C433" w14:textId="33904CEF" w:rsidR="005E2628" w:rsidRPr="00174520" w:rsidRDefault="005E2628" w:rsidP="00C75045">
            <w:pPr>
              <w:pStyle w:val="Tabletext"/>
              <w:spacing w:before="0" w:after="0" w:line="240" w:lineRule="auto"/>
              <w:ind w:left="0" w:right="0"/>
            </w:pPr>
            <w:r w:rsidRPr="00174520">
              <w:t>22 Jan</w:t>
            </w:r>
            <w:r w:rsidR="00924DAB">
              <w:t>uary</w:t>
            </w:r>
            <w:r w:rsidRPr="00174520">
              <w:t xml:space="preserve"> 2015</w:t>
            </w:r>
          </w:p>
        </w:tc>
        <w:tc>
          <w:tcPr>
            <w:tcW w:w="1922" w:type="dxa"/>
            <w:vMerge/>
          </w:tcPr>
          <w:p w14:paraId="1A63D463" w14:textId="41E42C37" w:rsidR="005E2628" w:rsidRDefault="005E2628" w:rsidP="00C75045">
            <w:pPr>
              <w:pStyle w:val="Tabletext"/>
              <w:spacing w:before="0" w:after="0" w:line="240" w:lineRule="auto"/>
              <w:ind w:left="0" w:right="0"/>
            </w:pPr>
          </w:p>
        </w:tc>
      </w:tr>
      <w:tr w:rsidR="005E2628" w14:paraId="1AEC22C1" w14:textId="5542D1DD" w:rsidTr="001E6EC7">
        <w:tc>
          <w:tcPr>
            <w:tcW w:w="1615" w:type="dxa"/>
            <w:vMerge/>
          </w:tcPr>
          <w:p w14:paraId="23CCC90B" w14:textId="15F986F3" w:rsidR="005E2628" w:rsidRDefault="005E2628" w:rsidP="00C75045">
            <w:pPr>
              <w:pStyle w:val="Tabletext"/>
              <w:spacing w:before="0" w:after="0" w:line="240" w:lineRule="auto"/>
              <w:ind w:left="0" w:right="0"/>
            </w:pPr>
          </w:p>
        </w:tc>
        <w:tc>
          <w:tcPr>
            <w:tcW w:w="1895" w:type="dxa"/>
          </w:tcPr>
          <w:p w14:paraId="02496380" w14:textId="20BAD559" w:rsidR="005E2628" w:rsidRPr="00174520" w:rsidRDefault="005E2628" w:rsidP="00C75045">
            <w:pPr>
              <w:pStyle w:val="Tabletext"/>
              <w:spacing w:before="0" w:after="0" w:line="240" w:lineRule="auto"/>
              <w:ind w:left="0" w:right="0"/>
            </w:pPr>
            <w:r w:rsidRPr="00174520">
              <w:t>Ireland</w:t>
            </w:r>
          </w:p>
        </w:tc>
        <w:tc>
          <w:tcPr>
            <w:tcW w:w="1701" w:type="dxa"/>
            <w:vMerge/>
          </w:tcPr>
          <w:p w14:paraId="547AC7F7" w14:textId="3A976C3B" w:rsidR="005E2628" w:rsidRDefault="005E2628" w:rsidP="00C75045">
            <w:pPr>
              <w:pStyle w:val="Tabletext"/>
              <w:spacing w:before="0" w:after="0" w:line="240" w:lineRule="auto"/>
              <w:ind w:left="0" w:right="0"/>
            </w:pPr>
          </w:p>
        </w:tc>
        <w:tc>
          <w:tcPr>
            <w:tcW w:w="1587" w:type="dxa"/>
          </w:tcPr>
          <w:p w14:paraId="05563DDB" w14:textId="41DAFD7F" w:rsidR="005E2628" w:rsidRPr="00174520" w:rsidRDefault="005E2628" w:rsidP="00C75045">
            <w:pPr>
              <w:pStyle w:val="Tabletext"/>
              <w:spacing w:before="0" w:after="0" w:line="240" w:lineRule="auto"/>
              <w:ind w:left="0" w:right="0"/>
            </w:pPr>
            <w:r w:rsidRPr="00174520">
              <w:t>05 Dec</w:t>
            </w:r>
            <w:r w:rsidR="00924DAB">
              <w:t>ember</w:t>
            </w:r>
            <w:r w:rsidRPr="00174520">
              <w:t xml:space="preserve"> 2014</w:t>
            </w:r>
          </w:p>
        </w:tc>
        <w:tc>
          <w:tcPr>
            <w:tcW w:w="1922" w:type="dxa"/>
            <w:vMerge/>
          </w:tcPr>
          <w:p w14:paraId="588FACFC" w14:textId="093BC6B5" w:rsidR="005E2628" w:rsidRDefault="005E2628" w:rsidP="00C75045">
            <w:pPr>
              <w:pStyle w:val="Tabletext"/>
              <w:spacing w:before="0" w:after="0" w:line="240" w:lineRule="auto"/>
              <w:ind w:left="0" w:right="0"/>
            </w:pPr>
          </w:p>
        </w:tc>
      </w:tr>
      <w:tr w:rsidR="005E2628" w14:paraId="57D34DDF" w14:textId="66BBE5D2" w:rsidTr="001E6EC7">
        <w:tc>
          <w:tcPr>
            <w:tcW w:w="1615" w:type="dxa"/>
            <w:vMerge/>
          </w:tcPr>
          <w:p w14:paraId="6FFE0C78" w14:textId="7F79E964" w:rsidR="005E2628" w:rsidRDefault="005E2628" w:rsidP="00C75045">
            <w:pPr>
              <w:pStyle w:val="Tabletext"/>
              <w:spacing w:before="0" w:after="0" w:line="240" w:lineRule="auto"/>
              <w:ind w:left="0" w:right="0"/>
            </w:pPr>
          </w:p>
        </w:tc>
        <w:tc>
          <w:tcPr>
            <w:tcW w:w="1895" w:type="dxa"/>
          </w:tcPr>
          <w:p w14:paraId="003146F1" w14:textId="02FBA6EE" w:rsidR="005E2628" w:rsidRPr="00174520" w:rsidRDefault="005E2628" w:rsidP="00C75045">
            <w:pPr>
              <w:pStyle w:val="Tabletext"/>
              <w:spacing w:before="0" w:after="0" w:line="240" w:lineRule="auto"/>
              <w:ind w:left="0" w:right="0"/>
            </w:pPr>
            <w:r w:rsidRPr="00174520">
              <w:t>Italy</w:t>
            </w:r>
          </w:p>
        </w:tc>
        <w:tc>
          <w:tcPr>
            <w:tcW w:w="1701" w:type="dxa"/>
            <w:vMerge/>
          </w:tcPr>
          <w:p w14:paraId="7D7B3C07" w14:textId="0B3FA6D8" w:rsidR="005E2628" w:rsidRDefault="005E2628" w:rsidP="00C75045">
            <w:pPr>
              <w:pStyle w:val="Tabletext"/>
              <w:spacing w:before="0" w:after="0" w:line="240" w:lineRule="auto"/>
              <w:ind w:left="0" w:right="0"/>
            </w:pPr>
          </w:p>
        </w:tc>
        <w:tc>
          <w:tcPr>
            <w:tcW w:w="1587" w:type="dxa"/>
          </w:tcPr>
          <w:p w14:paraId="7BBAC663" w14:textId="23F070A8" w:rsidR="005E2628" w:rsidRPr="00174520" w:rsidRDefault="005E2628" w:rsidP="00C75045">
            <w:pPr>
              <w:pStyle w:val="Tabletext"/>
              <w:spacing w:before="0" w:after="0" w:line="240" w:lineRule="auto"/>
              <w:ind w:left="0" w:right="0"/>
            </w:pPr>
            <w:r w:rsidRPr="00174520">
              <w:t>Ongoing</w:t>
            </w:r>
          </w:p>
        </w:tc>
        <w:tc>
          <w:tcPr>
            <w:tcW w:w="1922" w:type="dxa"/>
            <w:vMerge/>
          </w:tcPr>
          <w:p w14:paraId="4759B721" w14:textId="5A1EB2BD" w:rsidR="005E2628" w:rsidRDefault="005E2628" w:rsidP="00C75045">
            <w:pPr>
              <w:pStyle w:val="Tabletext"/>
              <w:spacing w:before="0" w:after="0" w:line="240" w:lineRule="auto"/>
              <w:ind w:left="0" w:right="0"/>
            </w:pPr>
          </w:p>
        </w:tc>
      </w:tr>
      <w:tr w:rsidR="005E2628" w14:paraId="56C3C177" w14:textId="67F55B4B" w:rsidTr="001E6EC7">
        <w:tc>
          <w:tcPr>
            <w:tcW w:w="1615" w:type="dxa"/>
            <w:vMerge/>
          </w:tcPr>
          <w:p w14:paraId="605F3887" w14:textId="516C93C3" w:rsidR="005E2628" w:rsidRDefault="005E2628" w:rsidP="00C75045">
            <w:pPr>
              <w:pStyle w:val="Tabletext"/>
              <w:spacing w:before="0" w:after="0" w:line="240" w:lineRule="auto"/>
              <w:ind w:left="0" w:right="0"/>
            </w:pPr>
          </w:p>
        </w:tc>
        <w:tc>
          <w:tcPr>
            <w:tcW w:w="1895" w:type="dxa"/>
          </w:tcPr>
          <w:p w14:paraId="40088F0D" w14:textId="7C85B282" w:rsidR="005E2628" w:rsidRPr="00174520" w:rsidRDefault="005E2628" w:rsidP="00C75045">
            <w:pPr>
              <w:pStyle w:val="Tabletext"/>
              <w:spacing w:before="0" w:after="0" w:line="240" w:lineRule="auto"/>
              <w:ind w:left="0" w:right="0"/>
            </w:pPr>
            <w:r w:rsidRPr="00174520">
              <w:t>Latvia</w:t>
            </w:r>
          </w:p>
        </w:tc>
        <w:tc>
          <w:tcPr>
            <w:tcW w:w="1701" w:type="dxa"/>
            <w:vMerge/>
          </w:tcPr>
          <w:p w14:paraId="2364B0CE" w14:textId="301E2043" w:rsidR="005E2628" w:rsidRDefault="005E2628" w:rsidP="00C75045">
            <w:pPr>
              <w:pStyle w:val="Tabletext"/>
              <w:spacing w:before="0" w:after="0" w:line="240" w:lineRule="auto"/>
              <w:ind w:left="0" w:right="0"/>
            </w:pPr>
          </w:p>
        </w:tc>
        <w:tc>
          <w:tcPr>
            <w:tcW w:w="1587" w:type="dxa"/>
          </w:tcPr>
          <w:p w14:paraId="68DF8276" w14:textId="721A48C1" w:rsidR="005E2628" w:rsidRPr="00174520" w:rsidRDefault="005E2628" w:rsidP="00C75045">
            <w:pPr>
              <w:pStyle w:val="Tabletext"/>
              <w:spacing w:before="0" w:after="0" w:line="240" w:lineRule="auto"/>
              <w:ind w:left="0" w:right="0"/>
            </w:pPr>
            <w:r w:rsidRPr="00174520">
              <w:t>27 Jan</w:t>
            </w:r>
            <w:r w:rsidR="00924DAB">
              <w:t>uary</w:t>
            </w:r>
            <w:r w:rsidRPr="00174520">
              <w:t xml:space="preserve"> 2015</w:t>
            </w:r>
          </w:p>
        </w:tc>
        <w:tc>
          <w:tcPr>
            <w:tcW w:w="1922" w:type="dxa"/>
            <w:vMerge/>
          </w:tcPr>
          <w:p w14:paraId="619CC879" w14:textId="7566130A" w:rsidR="005E2628" w:rsidRDefault="005E2628" w:rsidP="00C75045">
            <w:pPr>
              <w:pStyle w:val="Tabletext"/>
              <w:spacing w:before="0" w:after="0" w:line="240" w:lineRule="auto"/>
              <w:ind w:left="0" w:right="0"/>
            </w:pPr>
          </w:p>
        </w:tc>
      </w:tr>
      <w:tr w:rsidR="005E2628" w14:paraId="2719047C" w14:textId="2BB87112" w:rsidTr="001E6EC7">
        <w:tc>
          <w:tcPr>
            <w:tcW w:w="1615" w:type="dxa"/>
            <w:vMerge/>
          </w:tcPr>
          <w:p w14:paraId="2EE1E792" w14:textId="4ABC4568" w:rsidR="005E2628" w:rsidRDefault="005E2628" w:rsidP="00C75045">
            <w:pPr>
              <w:pStyle w:val="Tabletext"/>
              <w:spacing w:before="0" w:after="0" w:line="240" w:lineRule="auto"/>
              <w:ind w:left="0" w:right="0"/>
            </w:pPr>
          </w:p>
        </w:tc>
        <w:tc>
          <w:tcPr>
            <w:tcW w:w="1895" w:type="dxa"/>
          </w:tcPr>
          <w:p w14:paraId="2B7D90C0" w14:textId="33BF759B" w:rsidR="005E2628" w:rsidRPr="00174520" w:rsidRDefault="005E2628" w:rsidP="00C75045">
            <w:pPr>
              <w:pStyle w:val="Tabletext"/>
              <w:spacing w:before="0" w:after="0" w:line="240" w:lineRule="auto"/>
              <w:ind w:left="0" w:right="0"/>
            </w:pPr>
            <w:r w:rsidRPr="00174520">
              <w:t>Lithuania</w:t>
            </w:r>
          </w:p>
        </w:tc>
        <w:tc>
          <w:tcPr>
            <w:tcW w:w="1701" w:type="dxa"/>
            <w:vMerge/>
          </w:tcPr>
          <w:p w14:paraId="0B26DEE2" w14:textId="530F9872" w:rsidR="005E2628" w:rsidRDefault="005E2628" w:rsidP="00C75045">
            <w:pPr>
              <w:pStyle w:val="Tabletext"/>
              <w:spacing w:before="0" w:after="0" w:line="240" w:lineRule="auto"/>
              <w:ind w:left="0" w:right="0"/>
            </w:pPr>
          </w:p>
        </w:tc>
        <w:tc>
          <w:tcPr>
            <w:tcW w:w="1587" w:type="dxa"/>
          </w:tcPr>
          <w:p w14:paraId="6D41425D" w14:textId="69709E43" w:rsidR="005E2628" w:rsidRPr="00174520" w:rsidRDefault="005E2628" w:rsidP="00C75045">
            <w:pPr>
              <w:pStyle w:val="Tabletext"/>
              <w:spacing w:before="0" w:after="0" w:line="240" w:lineRule="auto"/>
              <w:ind w:left="0" w:right="0"/>
            </w:pPr>
            <w:r w:rsidRPr="00174520">
              <w:t>23 Dec</w:t>
            </w:r>
            <w:r w:rsidR="00924DAB">
              <w:t>ember</w:t>
            </w:r>
            <w:r w:rsidRPr="00174520">
              <w:t xml:space="preserve"> 2014</w:t>
            </w:r>
          </w:p>
        </w:tc>
        <w:tc>
          <w:tcPr>
            <w:tcW w:w="1922" w:type="dxa"/>
            <w:vMerge/>
          </w:tcPr>
          <w:p w14:paraId="7B9BE7D0" w14:textId="207460F6" w:rsidR="005E2628" w:rsidRDefault="005E2628" w:rsidP="00C75045">
            <w:pPr>
              <w:pStyle w:val="Tabletext"/>
              <w:spacing w:before="0" w:after="0" w:line="240" w:lineRule="auto"/>
              <w:ind w:left="0" w:right="0"/>
            </w:pPr>
          </w:p>
        </w:tc>
      </w:tr>
      <w:tr w:rsidR="005E2628" w14:paraId="5C389EAE" w14:textId="386EADBD" w:rsidTr="001E6EC7">
        <w:tc>
          <w:tcPr>
            <w:tcW w:w="1615" w:type="dxa"/>
            <w:vMerge/>
          </w:tcPr>
          <w:p w14:paraId="05CDCE82" w14:textId="5DD67FC0" w:rsidR="005E2628" w:rsidRDefault="005E2628" w:rsidP="00C75045">
            <w:pPr>
              <w:pStyle w:val="Tabletext"/>
              <w:spacing w:before="0" w:after="0" w:line="240" w:lineRule="auto"/>
              <w:ind w:left="0" w:right="0"/>
            </w:pPr>
          </w:p>
        </w:tc>
        <w:tc>
          <w:tcPr>
            <w:tcW w:w="1895" w:type="dxa"/>
          </w:tcPr>
          <w:p w14:paraId="43781350" w14:textId="08EFDC25" w:rsidR="005E2628" w:rsidRPr="00174520" w:rsidRDefault="005E2628" w:rsidP="00C75045">
            <w:pPr>
              <w:pStyle w:val="Tabletext"/>
              <w:spacing w:before="0" w:after="0" w:line="240" w:lineRule="auto"/>
              <w:ind w:left="0" w:right="0"/>
            </w:pPr>
            <w:r w:rsidRPr="00174520">
              <w:t>Luxembourg</w:t>
            </w:r>
          </w:p>
        </w:tc>
        <w:tc>
          <w:tcPr>
            <w:tcW w:w="1701" w:type="dxa"/>
            <w:vMerge/>
          </w:tcPr>
          <w:p w14:paraId="7089C5D7" w14:textId="74DD206D" w:rsidR="005E2628" w:rsidRDefault="005E2628" w:rsidP="00C75045">
            <w:pPr>
              <w:pStyle w:val="Tabletext"/>
              <w:spacing w:before="0" w:after="0" w:line="240" w:lineRule="auto"/>
              <w:ind w:left="0" w:right="0"/>
            </w:pPr>
          </w:p>
        </w:tc>
        <w:tc>
          <w:tcPr>
            <w:tcW w:w="1587" w:type="dxa"/>
          </w:tcPr>
          <w:p w14:paraId="7077CAE1" w14:textId="7DFBCDCD" w:rsidR="005E2628" w:rsidRPr="00174520" w:rsidRDefault="005E2628" w:rsidP="00C75045">
            <w:pPr>
              <w:pStyle w:val="Tabletext"/>
              <w:spacing w:before="0" w:after="0" w:line="240" w:lineRule="auto"/>
              <w:ind w:left="0" w:right="0"/>
            </w:pPr>
            <w:r w:rsidRPr="00174520">
              <w:t>01 Apr</w:t>
            </w:r>
            <w:r w:rsidR="00924DAB">
              <w:t>il</w:t>
            </w:r>
            <w:r w:rsidRPr="00174520">
              <w:t xml:space="preserve"> 2015</w:t>
            </w:r>
          </w:p>
        </w:tc>
        <w:tc>
          <w:tcPr>
            <w:tcW w:w="1922" w:type="dxa"/>
            <w:vMerge/>
          </w:tcPr>
          <w:p w14:paraId="3EAF0AA8" w14:textId="40131DE5" w:rsidR="005E2628" w:rsidRDefault="005E2628" w:rsidP="00C75045">
            <w:pPr>
              <w:pStyle w:val="Tabletext"/>
              <w:spacing w:before="0" w:after="0" w:line="240" w:lineRule="auto"/>
              <w:ind w:left="0" w:right="0"/>
            </w:pPr>
          </w:p>
        </w:tc>
      </w:tr>
      <w:tr w:rsidR="005E2628" w14:paraId="01D69D74" w14:textId="2642100E" w:rsidTr="001E6EC7">
        <w:tc>
          <w:tcPr>
            <w:tcW w:w="1615" w:type="dxa"/>
            <w:vMerge/>
          </w:tcPr>
          <w:p w14:paraId="032C5647" w14:textId="090BF372" w:rsidR="005E2628" w:rsidRDefault="005E2628" w:rsidP="00C75045">
            <w:pPr>
              <w:pStyle w:val="Tabletext"/>
              <w:spacing w:before="0" w:after="0" w:line="240" w:lineRule="auto"/>
              <w:ind w:left="0" w:right="0"/>
            </w:pPr>
          </w:p>
        </w:tc>
        <w:tc>
          <w:tcPr>
            <w:tcW w:w="1895" w:type="dxa"/>
          </w:tcPr>
          <w:p w14:paraId="56F685D5" w14:textId="2A871057" w:rsidR="005E2628" w:rsidRPr="00174520" w:rsidRDefault="005E2628" w:rsidP="00C75045">
            <w:pPr>
              <w:pStyle w:val="Tabletext"/>
              <w:spacing w:before="0" w:after="0" w:line="240" w:lineRule="auto"/>
              <w:ind w:left="0" w:right="0"/>
            </w:pPr>
            <w:r w:rsidRPr="00174520">
              <w:t>Malta</w:t>
            </w:r>
          </w:p>
        </w:tc>
        <w:tc>
          <w:tcPr>
            <w:tcW w:w="1701" w:type="dxa"/>
            <w:vMerge/>
          </w:tcPr>
          <w:p w14:paraId="4A792462" w14:textId="1A8AAEBA" w:rsidR="005E2628" w:rsidRDefault="005E2628" w:rsidP="00C75045">
            <w:pPr>
              <w:pStyle w:val="Tabletext"/>
              <w:spacing w:before="0" w:after="0" w:line="240" w:lineRule="auto"/>
              <w:ind w:left="0" w:right="0"/>
            </w:pPr>
          </w:p>
        </w:tc>
        <w:tc>
          <w:tcPr>
            <w:tcW w:w="1587" w:type="dxa"/>
          </w:tcPr>
          <w:p w14:paraId="24759294" w14:textId="555DD63C" w:rsidR="005E2628" w:rsidRPr="00174520" w:rsidRDefault="005E2628" w:rsidP="00C75045">
            <w:pPr>
              <w:pStyle w:val="Tabletext"/>
              <w:spacing w:before="0" w:after="0" w:line="240" w:lineRule="auto"/>
              <w:ind w:left="0" w:right="0"/>
            </w:pPr>
            <w:r w:rsidRPr="00174520">
              <w:t>Ongoing</w:t>
            </w:r>
          </w:p>
        </w:tc>
        <w:tc>
          <w:tcPr>
            <w:tcW w:w="1922" w:type="dxa"/>
            <w:vMerge/>
          </w:tcPr>
          <w:p w14:paraId="4D84FC79" w14:textId="0BF08C46" w:rsidR="005E2628" w:rsidRDefault="005E2628" w:rsidP="00C75045">
            <w:pPr>
              <w:pStyle w:val="Tabletext"/>
              <w:spacing w:before="0" w:after="0" w:line="240" w:lineRule="auto"/>
              <w:ind w:left="0" w:right="0"/>
            </w:pPr>
          </w:p>
        </w:tc>
      </w:tr>
      <w:tr w:rsidR="005E2628" w14:paraId="2C092635" w14:textId="4C5E55D7" w:rsidTr="001E6EC7">
        <w:tc>
          <w:tcPr>
            <w:tcW w:w="1615" w:type="dxa"/>
            <w:vMerge/>
          </w:tcPr>
          <w:p w14:paraId="21632969" w14:textId="4F6EAC85" w:rsidR="005E2628" w:rsidRDefault="005E2628" w:rsidP="00C75045">
            <w:pPr>
              <w:pStyle w:val="Tabletext"/>
              <w:spacing w:before="0" w:after="0" w:line="240" w:lineRule="auto"/>
              <w:ind w:left="0" w:right="0"/>
            </w:pPr>
          </w:p>
        </w:tc>
        <w:tc>
          <w:tcPr>
            <w:tcW w:w="1895" w:type="dxa"/>
          </w:tcPr>
          <w:p w14:paraId="74385272" w14:textId="63DD5670" w:rsidR="005E2628" w:rsidRPr="00174520" w:rsidRDefault="005E2628" w:rsidP="00C75045">
            <w:pPr>
              <w:pStyle w:val="Tabletext"/>
              <w:spacing w:before="0" w:after="0" w:line="240" w:lineRule="auto"/>
              <w:ind w:left="0" w:right="0"/>
            </w:pPr>
            <w:r w:rsidRPr="00174520">
              <w:t>Norway</w:t>
            </w:r>
          </w:p>
        </w:tc>
        <w:tc>
          <w:tcPr>
            <w:tcW w:w="1701" w:type="dxa"/>
            <w:vMerge/>
          </w:tcPr>
          <w:p w14:paraId="2FBFE430" w14:textId="3D49E4A6" w:rsidR="005E2628" w:rsidRDefault="005E2628" w:rsidP="00C75045">
            <w:pPr>
              <w:pStyle w:val="Tabletext"/>
              <w:spacing w:before="0" w:after="0" w:line="240" w:lineRule="auto"/>
              <w:ind w:left="0" w:right="0"/>
            </w:pPr>
          </w:p>
        </w:tc>
        <w:tc>
          <w:tcPr>
            <w:tcW w:w="1587" w:type="dxa"/>
          </w:tcPr>
          <w:p w14:paraId="6FA1DA2E" w14:textId="58B25163" w:rsidR="005E2628" w:rsidRPr="00174520" w:rsidRDefault="005E2628" w:rsidP="00C75045">
            <w:pPr>
              <w:pStyle w:val="Tabletext"/>
              <w:spacing w:before="0" w:after="0" w:line="240" w:lineRule="auto"/>
              <w:ind w:left="0" w:right="0"/>
            </w:pPr>
            <w:r w:rsidRPr="00174520">
              <w:t>27 Nov</w:t>
            </w:r>
            <w:r w:rsidR="00924DAB">
              <w:t>ember</w:t>
            </w:r>
            <w:r w:rsidRPr="00174520">
              <w:t xml:space="preserve"> 2014</w:t>
            </w:r>
          </w:p>
        </w:tc>
        <w:tc>
          <w:tcPr>
            <w:tcW w:w="1922" w:type="dxa"/>
            <w:vMerge/>
          </w:tcPr>
          <w:p w14:paraId="2F3C0143" w14:textId="4BE93335" w:rsidR="005E2628" w:rsidRDefault="005E2628" w:rsidP="00C75045">
            <w:pPr>
              <w:pStyle w:val="Tabletext"/>
              <w:spacing w:before="0" w:after="0" w:line="240" w:lineRule="auto"/>
              <w:ind w:left="0" w:right="0"/>
            </w:pPr>
          </w:p>
        </w:tc>
      </w:tr>
      <w:tr w:rsidR="005E2628" w14:paraId="70B3DE55" w14:textId="0DED63E6" w:rsidTr="001E6EC7">
        <w:tc>
          <w:tcPr>
            <w:tcW w:w="1615" w:type="dxa"/>
            <w:vMerge/>
          </w:tcPr>
          <w:p w14:paraId="760B81F0" w14:textId="5A0FEDEC" w:rsidR="005E2628" w:rsidRDefault="005E2628" w:rsidP="00C75045">
            <w:pPr>
              <w:pStyle w:val="Tabletext"/>
              <w:spacing w:before="0" w:after="0" w:line="240" w:lineRule="auto"/>
              <w:ind w:left="0" w:right="0"/>
            </w:pPr>
          </w:p>
        </w:tc>
        <w:tc>
          <w:tcPr>
            <w:tcW w:w="1895" w:type="dxa"/>
          </w:tcPr>
          <w:p w14:paraId="3284C75A" w14:textId="72D74034" w:rsidR="005E2628" w:rsidRPr="00174520" w:rsidRDefault="005E2628" w:rsidP="00C75045">
            <w:pPr>
              <w:pStyle w:val="Tabletext"/>
              <w:spacing w:before="0" w:after="0" w:line="240" w:lineRule="auto"/>
              <w:ind w:left="0" w:right="0"/>
            </w:pPr>
            <w:r w:rsidRPr="00C75045">
              <w:t>Poland</w:t>
            </w:r>
          </w:p>
        </w:tc>
        <w:tc>
          <w:tcPr>
            <w:tcW w:w="1701" w:type="dxa"/>
            <w:vMerge/>
          </w:tcPr>
          <w:p w14:paraId="2AE0A894" w14:textId="46C70CBE" w:rsidR="005E2628" w:rsidRDefault="005E2628" w:rsidP="00C75045">
            <w:pPr>
              <w:pStyle w:val="Tabletext"/>
              <w:spacing w:before="0" w:after="0" w:line="240" w:lineRule="auto"/>
              <w:ind w:left="0" w:right="0"/>
            </w:pPr>
          </w:p>
        </w:tc>
        <w:tc>
          <w:tcPr>
            <w:tcW w:w="1587" w:type="dxa"/>
          </w:tcPr>
          <w:p w14:paraId="07B00A4A" w14:textId="4269D79D" w:rsidR="005E2628" w:rsidRPr="00174520" w:rsidRDefault="005E2628" w:rsidP="00C75045">
            <w:pPr>
              <w:pStyle w:val="Tabletext"/>
              <w:spacing w:before="0" w:after="0" w:line="240" w:lineRule="auto"/>
              <w:ind w:left="0" w:right="0"/>
            </w:pPr>
            <w:r w:rsidRPr="00C75045">
              <w:t>23 Jan</w:t>
            </w:r>
            <w:r w:rsidR="00924DAB">
              <w:t>uary</w:t>
            </w:r>
            <w:r w:rsidRPr="00C75045">
              <w:t xml:space="preserve"> 2015</w:t>
            </w:r>
          </w:p>
        </w:tc>
        <w:tc>
          <w:tcPr>
            <w:tcW w:w="1922" w:type="dxa"/>
            <w:vMerge/>
          </w:tcPr>
          <w:p w14:paraId="0787682B" w14:textId="71817188" w:rsidR="005E2628" w:rsidRDefault="005E2628" w:rsidP="00C75045">
            <w:pPr>
              <w:pStyle w:val="Tabletext"/>
              <w:spacing w:before="0" w:after="0" w:line="240" w:lineRule="auto"/>
              <w:ind w:left="0" w:right="0"/>
            </w:pPr>
          </w:p>
        </w:tc>
      </w:tr>
      <w:tr w:rsidR="005E2628" w14:paraId="47AF78A1" w14:textId="2C3B6ED6" w:rsidTr="001E6EC7">
        <w:tc>
          <w:tcPr>
            <w:tcW w:w="1615" w:type="dxa"/>
            <w:vMerge/>
          </w:tcPr>
          <w:p w14:paraId="3F65633B" w14:textId="671E1AD6" w:rsidR="005E2628" w:rsidRDefault="005E2628" w:rsidP="00C75045">
            <w:pPr>
              <w:pStyle w:val="Tabletext"/>
              <w:spacing w:before="0" w:after="0" w:line="240" w:lineRule="auto"/>
              <w:ind w:left="0" w:right="0"/>
            </w:pPr>
          </w:p>
        </w:tc>
        <w:tc>
          <w:tcPr>
            <w:tcW w:w="1895" w:type="dxa"/>
          </w:tcPr>
          <w:p w14:paraId="2F9CAE1E" w14:textId="3D2D77A7" w:rsidR="005E2628" w:rsidRPr="00174520" w:rsidRDefault="005E2628" w:rsidP="00C75045">
            <w:pPr>
              <w:pStyle w:val="Tabletext"/>
              <w:spacing w:before="0" w:after="0" w:line="240" w:lineRule="auto"/>
              <w:ind w:left="0" w:right="0"/>
            </w:pPr>
            <w:r w:rsidRPr="00C75045">
              <w:t>Portugal</w:t>
            </w:r>
          </w:p>
        </w:tc>
        <w:tc>
          <w:tcPr>
            <w:tcW w:w="1701" w:type="dxa"/>
            <w:vMerge/>
          </w:tcPr>
          <w:p w14:paraId="28D08D04" w14:textId="1454124B" w:rsidR="005E2628" w:rsidRDefault="005E2628" w:rsidP="00C75045">
            <w:pPr>
              <w:pStyle w:val="Tabletext"/>
              <w:spacing w:before="0" w:after="0" w:line="240" w:lineRule="auto"/>
              <w:ind w:left="0" w:right="0"/>
            </w:pPr>
          </w:p>
        </w:tc>
        <w:tc>
          <w:tcPr>
            <w:tcW w:w="1587" w:type="dxa"/>
          </w:tcPr>
          <w:p w14:paraId="63BE9D4E" w14:textId="42089785" w:rsidR="005E2628" w:rsidRPr="00174520" w:rsidRDefault="005E2628" w:rsidP="00C75045">
            <w:pPr>
              <w:pStyle w:val="Tabletext"/>
              <w:spacing w:before="0" w:after="0" w:line="240" w:lineRule="auto"/>
              <w:ind w:left="0" w:right="0"/>
            </w:pPr>
            <w:r w:rsidRPr="00C75045">
              <w:t>01 Dec</w:t>
            </w:r>
            <w:r w:rsidR="00924DAB">
              <w:t>ember</w:t>
            </w:r>
            <w:r w:rsidRPr="00C75045">
              <w:t xml:space="preserve"> 2014</w:t>
            </w:r>
          </w:p>
        </w:tc>
        <w:tc>
          <w:tcPr>
            <w:tcW w:w="1922" w:type="dxa"/>
            <w:vMerge/>
          </w:tcPr>
          <w:p w14:paraId="22A5A4C9" w14:textId="5EA99EBC" w:rsidR="005E2628" w:rsidRDefault="005E2628" w:rsidP="00C75045">
            <w:pPr>
              <w:pStyle w:val="Tabletext"/>
              <w:spacing w:before="0" w:after="0" w:line="240" w:lineRule="auto"/>
              <w:ind w:left="0" w:right="0"/>
            </w:pPr>
          </w:p>
        </w:tc>
      </w:tr>
      <w:tr w:rsidR="005E2628" w14:paraId="7CD3E006" w14:textId="7AA536E8" w:rsidTr="001E6EC7">
        <w:tc>
          <w:tcPr>
            <w:tcW w:w="1615" w:type="dxa"/>
            <w:vMerge/>
          </w:tcPr>
          <w:p w14:paraId="31B38883" w14:textId="7F17C7BA" w:rsidR="005E2628" w:rsidRDefault="005E2628" w:rsidP="00C75045">
            <w:pPr>
              <w:pStyle w:val="Tabletext"/>
              <w:spacing w:before="0" w:after="0" w:line="240" w:lineRule="auto"/>
              <w:ind w:left="0" w:right="0"/>
            </w:pPr>
          </w:p>
        </w:tc>
        <w:tc>
          <w:tcPr>
            <w:tcW w:w="1895" w:type="dxa"/>
          </w:tcPr>
          <w:p w14:paraId="4F88E321" w14:textId="5B65F7A8" w:rsidR="005E2628" w:rsidRPr="00174520" w:rsidRDefault="005E2628" w:rsidP="00C75045">
            <w:pPr>
              <w:pStyle w:val="Tabletext"/>
              <w:spacing w:before="0" w:after="0" w:line="240" w:lineRule="auto"/>
              <w:ind w:left="0" w:right="0"/>
            </w:pPr>
            <w:r w:rsidRPr="00C75045">
              <w:t>Romania</w:t>
            </w:r>
          </w:p>
        </w:tc>
        <w:tc>
          <w:tcPr>
            <w:tcW w:w="1701" w:type="dxa"/>
            <w:vMerge/>
          </w:tcPr>
          <w:p w14:paraId="517E4526" w14:textId="71DAD56D" w:rsidR="005E2628" w:rsidRDefault="005E2628" w:rsidP="00C75045">
            <w:pPr>
              <w:pStyle w:val="Tabletext"/>
              <w:spacing w:before="0" w:after="0" w:line="240" w:lineRule="auto"/>
              <w:ind w:left="0" w:right="0"/>
            </w:pPr>
          </w:p>
        </w:tc>
        <w:tc>
          <w:tcPr>
            <w:tcW w:w="1587" w:type="dxa"/>
          </w:tcPr>
          <w:p w14:paraId="742FACAD" w14:textId="5B922BD3" w:rsidR="005E2628" w:rsidRPr="00174520" w:rsidRDefault="005E2628" w:rsidP="00C75045">
            <w:pPr>
              <w:pStyle w:val="Tabletext"/>
              <w:spacing w:before="0" w:after="0" w:line="240" w:lineRule="auto"/>
              <w:ind w:left="0" w:right="0"/>
            </w:pPr>
            <w:r w:rsidRPr="00C75045">
              <w:t xml:space="preserve">19 </w:t>
            </w:r>
            <w:r w:rsidR="00924DAB" w:rsidRPr="00924DAB">
              <w:t>February</w:t>
            </w:r>
            <w:r w:rsidRPr="00C75045">
              <w:t xml:space="preserve"> 2015</w:t>
            </w:r>
          </w:p>
        </w:tc>
        <w:tc>
          <w:tcPr>
            <w:tcW w:w="1922" w:type="dxa"/>
            <w:vMerge/>
          </w:tcPr>
          <w:p w14:paraId="64005BF0" w14:textId="11A82522" w:rsidR="005E2628" w:rsidRDefault="005E2628" w:rsidP="00C75045">
            <w:pPr>
              <w:pStyle w:val="Tabletext"/>
              <w:spacing w:before="0" w:after="0" w:line="240" w:lineRule="auto"/>
              <w:ind w:left="0" w:right="0"/>
            </w:pPr>
          </w:p>
        </w:tc>
      </w:tr>
      <w:tr w:rsidR="005E2628" w14:paraId="076E47AC" w14:textId="2C8AE81B" w:rsidTr="001E6EC7">
        <w:tc>
          <w:tcPr>
            <w:tcW w:w="1615" w:type="dxa"/>
            <w:vMerge/>
          </w:tcPr>
          <w:p w14:paraId="67463E36" w14:textId="2F384CE8" w:rsidR="005E2628" w:rsidRDefault="005E2628" w:rsidP="00C75045">
            <w:pPr>
              <w:pStyle w:val="Tabletext"/>
              <w:spacing w:before="0" w:after="0" w:line="240" w:lineRule="auto"/>
              <w:ind w:left="0" w:right="0"/>
            </w:pPr>
          </w:p>
        </w:tc>
        <w:tc>
          <w:tcPr>
            <w:tcW w:w="1895" w:type="dxa"/>
          </w:tcPr>
          <w:p w14:paraId="0CCD9D86" w14:textId="611F2B97" w:rsidR="005E2628" w:rsidRPr="00174520" w:rsidRDefault="005E2628" w:rsidP="00C75045">
            <w:pPr>
              <w:pStyle w:val="Tabletext"/>
              <w:spacing w:before="0" w:after="0" w:line="240" w:lineRule="auto"/>
              <w:ind w:left="0" w:right="0"/>
            </w:pPr>
            <w:r w:rsidRPr="00C75045">
              <w:t>Slovakia</w:t>
            </w:r>
          </w:p>
        </w:tc>
        <w:tc>
          <w:tcPr>
            <w:tcW w:w="1701" w:type="dxa"/>
            <w:vMerge/>
          </w:tcPr>
          <w:p w14:paraId="4720D37A" w14:textId="03D83785" w:rsidR="005E2628" w:rsidRDefault="005E2628" w:rsidP="00C75045">
            <w:pPr>
              <w:pStyle w:val="Tabletext"/>
              <w:spacing w:before="0" w:after="0" w:line="240" w:lineRule="auto"/>
              <w:ind w:left="0" w:right="0"/>
            </w:pPr>
          </w:p>
        </w:tc>
        <w:tc>
          <w:tcPr>
            <w:tcW w:w="1587" w:type="dxa"/>
          </w:tcPr>
          <w:p w14:paraId="515DD931" w14:textId="4366BBE1" w:rsidR="005E2628" w:rsidRPr="00174520" w:rsidRDefault="005E2628" w:rsidP="00C75045">
            <w:pPr>
              <w:pStyle w:val="Tabletext"/>
              <w:spacing w:before="0" w:after="0" w:line="240" w:lineRule="auto"/>
              <w:ind w:left="0" w:right="0"/>
            </w:pPr>
            <w:r w:rsidRPr="00C75045">
              <w:t>19 Feb</w:t>
            </w:r>
            <w:r w:rsidR="00924DAB">
              <w:t>ruary</w:t>
            </w:r>
            <w:r w:rsidRPr="00C75045">
              <w:t xml:space="preserve"> 2014</w:t>
            </w:r>
          </w:p>
        </w:tc>
        <w:tc>
          <w:tcPr>
            <w:tcW w:w="1922" w:type="dxa"/>
            <w:vMerge/>
          </w:tcPr>
          <w:p w14:paraId="18621FE5" w14:textId="57427B8E" w:rsidR="005E2628" w:rsidRDefault="005E2628" w:rsidP="00C75045">
            <w:pPr>
              <w:pStyle w:val="Tabletext"/>
              <w:spacing w:before="0" w:after="0" w:line="240" w:lineRule="auto"/>
              <w:ind w:left="0" w:right="0"/>
            </w:pPr>
          </w:p>
        </w:tc>
      </w:tr>
      <w:tr w:rsidR="005E2628" w14:paraId="7FA9F7F1" w14:textId="7E27E0A4" w:rsidTr="001E6EC7">
        <w:tc>
          <w:tcPr>
            <w:tcW w:w="1615" w:type="dxa"/>
            <w:vMerge/>
          </w:tcPr>
          <w:p w14:paraId="2CC03CCB" w14:textId="67F70E67" w:rsidR="005E2628" w:rsidRDefault="005E2628" w:rsidP="00C75045">
            <w:pPr>
              <w:pStyle w:val="Tabletext"/>
              <w:spacing w:before="0" w:after="0" w:line="240" w:lineRule="auto"/>
              <w:ind w:left="0" w:right="0"/>
            </w:pPr>
          </w:p>
        </w:tc>
        <w:tc>
          <w:tcPr>
            <w:tcW w:w="1895" w:type="dxa"/>
          </w:tcPr>
          <w:p w14:paraId="65E91122" w14:textId="1FC275CE" w:rsidR="005E2628" w:rsidRPr="00174520" w:rsidRDefault="005E2628" w:rsidP="00C75045">
            <w:pPr>
              <w:pStyle w:val="Tabletext"/>
              <w:spacing w:before="0" w:after="0" w:line="240" w:lineRule="auto"/>
              <w:ind w:left="0" w:right="0"/>
            </w:pPr>
            <w:r w:rsidRPr="00C75045">
              <w:t>Slovenia</w:t>
            </w:r>
          </w:p>
        </w:tc>
        <w:tc>
          <w:tcPr>
            <w:tcW w:w="1701" w:type="dxa"/>
            <w:vMerge/>
          </w:tcPr>
          <w:p w14:paraId="394339F1" w14:textId="022E2B4B" w:rsidR="005E2628" w:rsidRDefault="005E2628" w:rsidP="00C75045">
            <w:pPr>
              <w:pStyle w:val="Tabletext"/>
              <w:spacing w:before="0" w:after="0" w:line="240" w:lineRule="auto"/>
              <w:ind w:left="0" w:right="0"/>
            </w:pPr>
          </w:p>
        </w:tc>
        <w:tc>
          <w:tcPr>
            <w:tcW w:w="1587" w:type="dxa"/>
          </w:tcPr>
          <w:p w14:paraId="63129E4D" w14:textId="66D7348F" w:rsidR="005E2628" w:rsidRPr="00174520" w:rsidRDefault="005E2628" w:rsidP="00C75045">
            <w:pPr>
              <w:pStyle w:val="Tabletext"/>
              <w:spacing w:before="0" w:after="0" w:line="240" w:lineRule="auto"/>
              <w:ind w:left="0" w:right="0"/>
            </w:pPr>
            <w:r w:rsidRPr="00C75045">
              <w:t>18 Mar</w:t>
            </w:r>
            <w:r w:rsidR="00924DAB">
              <w:t>ch</w:t>
            </w:r>
            <w:r w:rsidRPr="00C75045">
              <w:t xml:space="preserve"> 2015</w:t>
            </w:r>
          </w:p>
        </w:tc>
        <w:tc>
          <w:tcPr>
            <w:tcW w:w="1922" w:type="dxa"/>
            <w:vMerge/>
          </w:tcPr>
          <w:p w14:paraId="5C4FE250" w14:textId="69084ABB" w:rsidR="005E2628" w:rsidRDefault="005E2628" w:rsidP="00C75045">
            <w:pPr>
              <w:pStyle w:val="Tabletext"/>
              <w:spacing w:before="0" w:after="0" w:line="240" w:lineRule="auto"/>
              <w:ind w:left="0" w:right="0"/>
            </w:pPr>
          </w:p>
        </w:tc>
      </w:tr>
      <w:tr w:rsidR="005E2628" w14:paraId="24C8CD53" w14:textId="5DE286A7" w:rsidTr="001E6EC7">
        <w:tc>
          <w:tcPr>
            <w:tcW w:w="1615" w:type="dxa"/>
            <w:vMerge/>
          </w:tcPr>
          <w:p w14:paraId="3699D36F" w14:textId="5AE1E551" w:rsidR="005E2628" w:rsidRDefault="005E2628" w:rsidP="00C75045">
            <w:pPr>
              <w:pStyle w:val="Tabletext"/>
              <w:spacing w:before="0" w:after="0" w:line="240" w:lineRule="auto"/>
              <w:ind w:left="0" w:right="0"/>
            </w:pPr>
          </w:p>
        </w:tc>
        <w:tc>
          <w:tcPr>
            <w:tcW w:w="1895" w:type="dxa"/>
          </w:tcPr>
          <w:p w14:paraId="46511EF8" w14:textId="2959C802" w:rsidR="005E2628" w:rsidRPr="00174520" w:rsidRDefault="005E2628" w:rsidP="00C75045">
            <w:pPr>
              <w:pStyle w:val="Tabletext"/>
              <w:spacing w:before="0" w:after="0" w:line="240" w:lineRule="auto"/>
              <w:ind w:left="0" w:right="0"/>
            </w:pPr>
            <w:r w:rsidRPr="00C75045">
              <w:t>Spain</w:t>
            </w:r>
          </w:p>
        </w:tc>
        <w:tc>
          <w:tcPr>
            <w:tcW w:w="1701" w:type="dxa"/>
            <w:vMerge/>
          </w:tcPr>
          <w:p w14:paraId="311DDB2C" w14:textId="745AC75F" w:rsidR="005E2628" w:rsidRDefault="005E2628" w:rsidP="00C75045">
            <w:pPr>
              <w:pStyle w:val="Tabletext"/>
              <w:spacing w:before="0" w:after="0" w:line="240" w:lineRule="auto"/>
              <w:ind w:left="0" w:right="0"/>
            </w:pPr>
          </w:p>
        </w:tc>
        <w:tc>
          <w:tcPr>
            <w:tcW w:w="1587" w:type="dxa"/>
          </w:tcPr>
          <w:p w14:paraId="616E00F9" w14:textId="54691438" w:rsidR="005E2628" w:rsidRPr="00174520" w:rsidRDefault="005E2628" w:rsidP="00C75045">
            <w:pPr>
              <w:pStyle w:val="Tabletext"/>
              <w:spacing w:before="0" w:after="0" w:line="240" w:lineRule="auto"/>
              <w:ind w:left="0" w:right="0"/>
            </w:pPr>
            <w:r w:rsidRPr="00C75045">
              <w:t>Ongoing</w:t>
            </w:r>
          </w:p>
        </w:tc>
        <w:tc>
          <w:tcPr>
            <w:tcW w:w="1922" w:type="dxa"/>
            <w:vMerge/>
          </w:tcPr>
          <w:p w14:paraId="54283011" w14:textId="5E3978F7" w:rsidR="005E2628" w:rsidRDefault="005E2628" w:rsidP="00C75045">
            <w:pPr>
              <w:pStyle w:val="Tabletext"/>
              <w:spacing w:before="0" w:after="0" w:line="240" w:lineRule="auto"/>
              <w:ind w:left="0" w:right="0"/>
            </w:pPr>
          </w:p>
        </w:tc>
      </w:tr>
      <w:tr w:rsidR="005E2628" w14:paraId="0C001CB9" w14:textId="6A8D3EFD" w:rsidTr="001E6EC7">
        <w:tc>
          <w:tcPr>
            <w:tcW w:w="1615" w:type="dxa"/>
            <w:vMerge/>
          </w:tcPr>
          <w:p w14:paraId="4679B820" w14:textId="56549639" w:rsidR="005E2628" w:rsidRDefault="005E2628" w:rsidP="00C75045">
            <w:pPr>
              <w:pStyle w:val="Tabletext"/>
              <w:spacing w:before="0" w:after="0" w:line="240" w:lineRule="auto"/>
              <w:ind w:left="0" w:right="0"/>
            </w:pPr>
          </w:p>
        </w:tc>
        <w:tc>
          <w:tcPr>
            <w:tcW w:w="1895" w:type="dxa"/>
          </w:tcPr>
          <w:p w14:paraId="46998EB3" w14:textId="46C105AF" w:rsidR="005E2628" w:rsidRPr="00174520" w:rsidRDefault="005E2628" w:rsidP="00C75045">
            <w:pPr>
              <w:pStyle w:val="Tabletext"/>
              <w:spacing w:before="0" w:after="0" w:line="240" w:lineRule="auto"/>
              <w:ind w:left="0" w:right="0"/>
            </w:pPr>
            <w:r w:rsidRPr="00C75045">
              <w:t>Sweden</w:t>
            </w:r>
          </w:p>
        </w:tc>
        <w:tc>
          <w:tcPr>
            <w:tcW w:w="1701" w:type="dxa"/>
            <w:vMerge/>
          </w:tcPr>
          <w:p w14:paraId="0C043229" w14:textId="7603D905" w:rsidR="005E2628" w:rsidRDefault="005E2628" w:rsidP="00C75045">
            <w:pPr>
              <w:pStyle w:val="Tabletext"/>
              <w:spacing w:before="0" w:after="0" w:line="240" w:lineRule="auto"/>
              <w:ind w:left="0" w:right="0"/>
            </w:pPr>
          </w:p>
        </w:tc>
        <w:tc>
          <w:tcPr>
            <w:tcW w:w="1587" w:type="dxa"/>
          </w:tcPr>
          <w:p w14:paraId="18050D2A" w14:textId="4D288F26" w:rsidR="005E2628" w:rsidRPr="00174520" w:rsidRDefault="005E2628" w:rsidP="00C75045">
            <w:pPr>
              <w:pStyle w:val="Tabletext"/>
              <w:spacing w:before="0" w:after="0" w:line="240" w:lineRule="auto"/>
              <w:ind w:left="0" w:right="0"/>
            </w:pPr>
            <w:r w:rsidRPr="00C75045">
              <w:t>04 Jan</w:t>
            </w:r>
            <w:r w:rsidR="00924DAB">
              <w:t>uary</w:t>
            </w:r>
            <w:r w:rsidRPr="00C75045">
              <w:t xml:space="preserve"> 2015</w:t>
            </w:r>
          </w:p>
        </w:tc>
        <w:tc>
          <w:tcPr>
            <w:tcW w:w="1922" w:type="dxa"/>
            <w:vMerge/>
          </w:tcPr>
          <w:p w14:paraId="14D6B590" w14:textId="2808896F" w:rsidR="005E2628" w:rsidRDefault="005E2628" w:rsidP="00C75045">
            <w:pPr>
              <w:pStyle w:val="Tabletext"/>
              <w:spacing w:before="0" w:after="0" w:line="240" w:lineRule="auto"/>
              <w:ind w:left="0" w:right="0"/>
            </w:pPr>
          </w:p>
        </w:tc>
      </w:tr>
      <w:tr w:rsidR="005E2628" w14:paraId="4EC5FD43" w14:textId="4569BA92" w:rsidTr="001E6EC7">
        <w:tc>
          <w:tcPr>
            <w:tcW w:w="1615" w:type="dxa"/>
            <w:vMerge/>
          </w:tcPr>
          <w:p w14:paraId="7B5A9CA7" w14:textId="47B65DAE" w:rsidR="005E2628" w:rsidRDefault="005E2628" w:rsidP="00C75045">
            <w:pPr>
              <w:pStyle w:val="Tabletext"/>
              <w:spacing w:before="0" w:after="0" w:line="240" w:lineRule="auto"/>
              <w:ind w:left="0" w:right="0"/>
            </w:pPr>
          </w:p>
        </w:tc>
        <w:tc>
          <w:tcPr>
            <w:tcW w:w="1895" w:type="dxa"/>
          </w:tcPr>
          <w:p w14:paraId="5E389C64" w14:textId="7EF28C99" w:rsidR="005E2628" w:rsidRPr="00174520" w:rsidRDefault="005E2628" w:rsidP="00C75045">
            <w:pPr>
              <w:pStyle w:val="Tabletext"/>
              <w:spacing w:before="0" w:after="0" w:line="240" w:lineRule="auto"/>
              <w:ind w:left="0" w:right="0"/>
            </w:pPr>
            <w:r w:rsidRPr="00C75045">
              <w:t>United</w:t>
            </w:r>
            <w:r>
              <w:t xml:space="preserve"> </w:t>
            </w:r>
            <w:r w:rsidRPr="00C75045">
              <w:t>Kingdom</w:t>
            </w:r>
          </w:p>
        </w:tc>
        <w:tc>
          <w:tcPr>
            <w:tcW w:w="1701" w:type="dxa"/>
            <w:vMerge/>
          </w:tcPr>
          <w:p w14:paraId="3CD48D8F" w14:textId="3A08C0DE" w:rsidR="005E2628" w:rsidRDefault="005E2628" w:rsidP="00C75045">
            <w:pPr>
              <w:pStyle w:val="Tabletext"/>
              <w:spacing w:before="0" w:after="0" w:line="240" w:lineRule="auto"/>
              <w:ind w:left="0" w:right="0"/>
            </w:pPr>
          </w:p>
        </w:tc>
        <w:tc>
          <w:tcPr>
            <w:tcW w:w="1587" w:type="dxa"/>
          </w:tcPr>
          <w:p w14:paraId="414769A3" w14:textId="6B8CCDE2" w:rsidR="005E2628" w:rsidRPr="00174520" w:rsidRDefault="005E2628" w:rsidP="00C75045">
            <w:pPr>
              <w:pStyle w:val="Tabletext"/>
              <w:spacing w:before="0" w:after="0" w:line="240" w:lineRule="auto"/>
              <w:ind w:left="0" w:right="0"/>
            </w:pPr>
            <w:r w:rsidRPr="00C75045">
              <w:t>19 Nov</w:t>
            </w:r>
            <w:r w:rsidR="00924DAB">
              <w:t>ember</w:t>
            </w:r>
            <w:r w:rsidRPr="00C75045">
              <w:t xml:space="preserve"> 2014</w:t>
            </w:r>
          </w:p>
        </w:tc>
        <w:tc>
          <w:tcPr>
            <w:tcW w:w="1922" w:type="dxa"/>
            <w:vMerge/>
          </w:tcPr>
          <w:p w14:paraId="6BAC5F04" w14:textId="13C34639" w:rsidR="005E2628" w:rsidRDefault="005E2628" w:rsidP="00C75045">
            <w:pPr>
              <w:pStyle w:val="Tabletext"/>
              <w:spacing w:before="0" w:after="0" w:line="240" w:lineRule="auto"/>
              <w:ind w:left="0" w:right="0"/>
            </w:pPr>
          </w:p>
        </w:tc>
      </w:tr>
      <w:tr w:rsidR="00174520" w14:paraId="24C5D403" w14:textId="1CB2B784" w:rsidTr="001E6EC7">
        <w:tc>
          <w:tcPr>
            <w:tcW w:w="1615" w:type="dxa"/>
          </w:tcPr>
          <w:p w14:paraId="1C91C0E5" w14:textId="11CDEF0A" w:rsidR="00174520" w:rsidRDefault="00C75045" w:rsidP="00C75045">
            <w:pPr>
              <w:pStyle w:val="Tabletext"/>
              <w:spacing w:before="0" w:after="0" w:line="240" w:lineRule="auto"/>
              <w:ind w:left="0" w:right="0"/>
            </w:pPr>
            <w:r w:rsidRPr="00C75045">
              <w:t>EU via DCP</w:t>
            </w:r>
            <w:r>
              <w:t xml:space="preserve"> </w:t>
            </w:r>
            <w:r w:rsidRPr="00C75045">
              <w:t>(submitted</w:t>
            </w:r>
            <w:r>
              <w:t xml:space="preserve"> </w:t>
            </w:r>
            <w:r w:rsidRPr="00C75045">
              <w:t>in 15</w:t>
            </w:r>
            <w:r>
              <w:t xml:space="preserve"> </w:t>
            </w:r>
            <w:r w:rsidRPr="00C75045">
              <w:t>countries)*</w:t>
            </w:r>
          </w:p>
        </w:tc>
        <w:tc>
          <w:tcPr>
            <w:tcW w:w="1895" w:type="dxa"/>
          </w:tcPr>
          <w:p w14:paraId="1EA1C498" w14:textId="245814CC" w:rsidR="00174520" w:rsidRPr="00174520" w:rsidRDefault="00174520" w:rsidP="00C75045">
            <w:pPr>
              <w:pStyle w:val="Tabletext"/>
              <w:spacing w:before="0" w:after="0" w:line="240" w:lineRule="auto"/>
              <w:ind w:left="0" w:right="0"/>
            </w:pPr>
          </w:p>
        </w:tc>
        <w:tc>
          <w:tcPr>
            <w:tcW w:w="1701" w:type="dxa"/>
          </w:tcPr>
          <w:p w14:paraId="3EFFC5EC" w14:textId="6222987E" w:rsidR="00174520" w:rsidRDefault="00174520" w:rsidP="00C75045">
            <w:pPr>
              <w:pStyle w:val="Tabletext"/>
              <w:spacing w:before="0" w:after="0" w:line="240" w:lineRule="auto"/>
              <w:ind w:left="0" w:right="0"/>
            </w:pPr>
          </w:p>
        </w:tc>
        <w:tc>
          <w:tcPr>
            <w:tcW w:w="1587" w:type="dxa"/>
          </w:tcPr>
          <w:p w14:paraId="7558CC3E" w14:textId="58A96696" w:rsidR="00174520" w:rsidRPr="00174520" w:rsidRDefault="00C75045" w:rsidP="00C75045">
            <w:pPr>
              <w:pStyle w:val="Tabletext"/>
              <w:spacing w:before="0" w:after="0" w:line="240" w:lineRule="auto"/>
              <w:ind w:left="0" w:right="0"/>
            </w:pPr>
            <w:r w:rsidRPr="00C75045">
              <w:t>Rejected Aug</w:t>
            </w:r>
            <w:r w:rsidR="00924DAB">
              <w:t xml:space="preserve">ust </w:t>
            </w:r>
            <w:r w:rsidRPr="00C75045">
              <w:t>2012</w:t>
            </w:r>
          </w:p>
        </w:tc>
        <w:tc>
          <w:tcPr>
            <w:tcW w:w="1922" w:type="dxa"/>
          </w:tcPr>
          <w:p w14:paraId="6AA05ABC" w14:textId="4B1917CC" w:rsidR="00174520" w:rsidRDefault="00C75045" w:rsidP="00C75045">
            <w:pPr>
              <w:pStyle w:val="Tabletext"/>
              <w:spacing w:before="0" w:after="0" w:line="240" w:lineRule="auto"/>
              <w:ind w:left="0" w:right="0"/>
            </w:pPr>
            <w:r w:rsidRPr="00C75045">
              <w:t>Induction of remission in adult</w:t>
            </w:r>
            <w:r>
              <w:t xml:space="preserve"> </w:t>
            </w:r>
            <w:r w:rsidRPr="00C75045">
              <w:t>patients with active, mild, to</w:t>
            </w:r>
            <w:r>
              <w:t xml:space="preserve"> </w:t>
            </w:r>
            <w:r w:rsidRPr="00C75045">
              <w:t>moderate UC.</w:t>
            </w:r>
          </w:p>
        </w:tc>
      </w:tr>
      <w:tr w:rsidR="009415DF" w14:paraId="5114AD1F" w14:textId="658E781D" w:rsidTr="001E6EC7">
        <w:tc>
          <w:tcPr>
            <w:tcW w:w="1615" w:type="dxa"/>
          </w:tcPr>
          <w:p w14:paraId="54633847" w14:textId="0F370498" w:rsidR="009415DF" w:rsidRDefault="009415DF" w:rsidP="00C75045">
            <w:pPr>
              <w:pStyle w:val="Tabletext"/>
              <w:spacing w:before="0" w:after="0" w:line="240" w:lineRule="auto"/>
              <w:ind w:left="0" w:right="0"/>
            </w:pPr>
          </w:p>
        </w:tc>
        <w:tc>
          <w:tcPr>
            <w:tcW w:w="1895" w:type="dxa"/>
          </w:tcPr>
          <w:p w14:paraId="7D72D6AD" w14:textId="47F96C94" w:rsidR="009415DF" w:rsidRPr="00174520" w:rsidRDefault="009415DF" w:rsidP="00C75045">
            <w:pPr>
              <w:pStyle w:val="Tabletext"/>
              <w:spacing w:before="0" w:after="0" w:line="240" w:lineRule="auto"/>
              <w:ind w:left="0" w:right="0"/>
            </w:pPr>
            <w:r w:rsidRPr="00C75045">
              <w:t>Canada</w:t>
            </w:r>
          </w:p>
        </w:tc>
        <w:tc>
          <w:tcPr>
            <w:tcW w:w="1701" w:type="dxa"/>
          </w:tcPr>
          <w:p w14:paraId="39A2B7B7" w14:textId="5DE2562E" w:rsidR="009415DF" w:rsidRDefault="009415DF" w:rsidP="00C75045">
            <w:pPr>
              <w:pStyle w:val="Tabletext"/>
              <w:spacing w:before="0" w:after="0" w:line="240" w:lineRule="auto"/>
              <w:ind w:left="0" w:right="0"/>
            </w:pPr>
            <w:r w:rsidRPr="00C75045">
              <w:t>Apr</w:t>
            </w:r>
            <w:r w:rsidR="00924DAB">
              <w:t>il</w:t>
            </w:r>
            <w:r w:rsidRPr="00C75045">
              <w:t xml:space="preserve"> 2015</w:t>
            </w:r>
          </w:p>
        </w:tc>
        <w:tc>
          <w:tcPr>
            <w:tcW w:w="1587" w:type="dxa"/>
          </w:tcPr>
          <w:p w14:paraId="326EAD8A" w14:textId="1EC5EE3E" w:rsidR="009415DF" w:rsidRPr="00174520" w:rsidRDefault="009415DF" w:rsidP="00C75045">
            <w:pPr>
              <w:pStyle w:val="Tabletext"/>
              <w:spacing w:before="0" w:after="0" w:line="240" w:lineRule="auto"/>
              <w:ind w:left="0" w:right="0"/>
            </w:pPr>
            <w:r w:rsidRPr="00C75045">
              <w:t>Ongoing</w:t>
            </w:r>
          </w:p>
        </w:tc>
        <w:tc>
          <w:tcPr>
            <w:tcW w:w="1922" w:type="dxa"/>
            <w:vMerge w:val="restart"/>
          </w:tcPr>
          <w:p w14:paraId="5B045A9A" w14:textId="13600437" w:rsidR="009415DF" w:rsidRDefault="009415DF" w:rsidP="006A5F3B">
            <w:pPr>
              <w:pStyle w:val="Tabletext"/>
              <w:spacing w:before="0" w:after="0" w:line="240" w:lineRule="auto"/>
              <w:ind w:left="0" w:right="0"/>
            </w:pPr>
            <w:r w:rsidRPr="006A5F3B">
              <w:t>Induction of remission in adult patients with active, mild, to moderate UC.</w:t>
            </w:r>
          </w:p>
        </w:tc>
      </w:tr>
      <w:tr w:rsidR="009415DF" w14:paraId="1C876E51" w14:textId="202BE143" w:rsidTr="001E6EC7">
        <w:tc>
          <w:tcPr>
            <w:tcW w:w="1615" w:type="dxa"/>
          </w:tcPr>
          <w:p w14:paraId="21425CAC" w14:textId="25A2CAFA" w:rsidR="009415DF" w:rsidRDefault="009415DF" w:rsidP="006A5F3B">
            <w:pPr>
              <w:pStyle w:val="Tabletext"/>
              <w:spacing w:before="0" w:after="0" w:line="240" w:lineRule="auto"/>
              <w:ind w:left="0" w:right="0"/>
            </w:pPr>
          </w:p>
        </w:tc>
        <w:tc>
          <w:tcPr>
            <w:tcW w:w="1895" w:type="dxa"/>
          </w:tcPr>
          <w:p w14:paraId="09EA073B" w14:textId="61E1A15F" w:rsidR="009415DF" w:rsidRPr="00C75045" w:rsidRDefault="009415DF" w:rsidP="006A5F3B">
            <w:pPr>
              <w:pStyle w:val="Tabletext"/>
              <w:spacing w:before="0" w:after="0" w:line="240" w:lineRule="auto"/>
              <w:ind w:left="0" w:right="0"/>
            </w:pPr>
            <w:r w:rsidRPr="006A5F3B">
              <w:t>Brazil</w:t>
            </w:r>
          </w:p>
        </w:tc>
        <w:tc>
          <w:tcPr>
            <w:tcW w:w="1701" w:type="dxa"/>
          </w:tcPr>
          <w:p w14:paraId="7224269E" w14:textId="1CF91D10" w:rsidR="009415DF" w:rsidRPr="00C75045" w:rsidRDefault="009415DF" w:rsidP="006A5F3B">
            <w:pPr>
              <w:pStyle w:val="Tabletext"/>
              <w:spacing w:before="0" w:after="0" w:line="240" w:lineRule="auto"/>
              <w:ind w:left="0" w:right="0"/>
            </w:pPr>
            <w:r w:rsidRPr="006A5F3B">
              <w:t>05 Nov</w:t>
            </w:r>
            <w:r w:rsidR="00924DAB">
              <w:t>ember</w:t>
            </w:r>
            <w:r w:rsidRPr="006A5F3B">
              <w:t xml:space="preserve"> 2014</w:t>
            </w:r>
          </w:p>
        </w:tc>
        <w:tc>
          <w:tcPr>
            <w:tcW w:w="1587" w:type="dxa"/>
          </w:tcPr>
          <w:p w14:paraId="6FEA6079" w14:textId="7ADA7C16" w:rsidR="009415DF" w:rsidRPr="00C75045" w:rsidRDefault="009415DF" w:rsidP="006A5F3B">
            <w:pPr>
              <w:pStyle w:val="Tabletext"/>
              <w:spacing w:before="0" w:after="0" w:line="240" w:lineRule="auto"/>
              <w:ind w:left="0" w:right="0"/>
            </w:pPr>
            <w:r w:rsidRPr="006A5F3B">
              <w:t>Ongoing</w:t>
            </w:r>
          </w:p>
        </w:tc>
        <w:tc>
          <w:tcPr>
            <w:tcW w:w="1922" w:type="dxa"/>
            <w:vMerge/>
          </w:tcPr>
          <w:p w14:paraId="0D840383" w14:textId="2AD74983" w:rsidR="009415DF" w:rsidRDefault="009415DF" w:rsidP="006A5F3B">
            <w:pPr>
              <w:pStyle w:val="Tabletext"/>
              <w:spacing w:before="0" w:after="0" w:line="240" w:lineRule="auto"/>
              <w:ind w:left="0" w:right="0"/>
            </w:pPr>
          </w:p>
        </w:tc>
      </w:tr>
      <w:tr w:rsidR="009415DF" w14:paraId="1A20CA6A" w14:textId="60A9199F" w:rsidTr="001E6EC7">
        <w:tc>
          <w:tcPr>
            <w:tcW w:w="1615" w:type="dxa"/>
          </w:tcPr>
          <w:p w14:paraId="129FD5F9" w14:textId="4E6D836F" w:rsidR="009415DF" w:rsidRDefault="009415DF" w:rsidP="006A5F3B">
            <w:pPr>
              <w:pStyle w:val="Tabletext"/>
              <w:spacing w:before="0" w:after="0" w:line="240" w:lineRule="auto"/>
              <w:ind w:left="0" w:right="0"/>
            </w:pPr>
          </w:p>
        </w:tc>
        <w:tc>
          <w:tcPr>
            <w:tcW w:w="1895" w:type="dxa"/>
          </w:tcPr>
          <w:p w14:paraId="18E05BF2" w14:textId="7E06D965" w:rsidR="009415DF" w:rsidRPr="00C75045" w:rsidRDefault="009415DF" w:rsidP="006A5F3B">
            <w:pPr>
              <w:pStyle w:val="Tabletext"/>
              <w:spacing w:before="0" w:after="0" w:line="240" w:lineRule="auto"/>
              <w:ind w:left="0" w:right="0"/>
            </w:pPr>
            <w:r w:rsidRPr="006A5F3B">
              <w:t>Israel</w:t>
            </w:r>
          </w:p>
        </w:tc>
        <w:tc>
          <w:tcPr>
            <w:tcW w:w="1701" w:type="dxa"/>
          </w:tcPr>
          <w:p w14:paraId="72340603" w14:textId="5B7B924F" w:rsidR="009415DF" w:rsidRPr="00C75045" w:rsidRDefault="009415DF" w:rsidP="006A5F3B">
            <w:pPr>
              <w:pStyle w:val="Tabletext"/>
              <w:spacing w:before="0" w:after="0" w:line="240" w:lineRule="auto"/>
              <w:ind w:left="0" w:right="0"/>
            </w:pPr>
            <w:r w:rsidRPr="006A5F3B">
              <w:t>08 Apr</w:t>
            </w:r>
            <w:r w:rsidR="00924DAB">
              <w:t>il</w:t>
            </w:r>
            <w:r w:rsidRPr="006A5F3B">
              <w:t xml:space="preserve"> 2014</w:t>
            </w:r>
          </w:p>
        </w:tc>
        <w:tc>
          <w:tcPr>
            <w:tcW w:w="1587" w:type="dxa"/>
          </w:tcPr>
          <w:p w14:paraId="50D79CA5" w14:textId="1A8D4BDC" w:rsidR="009415DF" w:rsidRPr="00C75045" w:rsidRDefault="009415DF" w:rsidP="006A5F3B">
            <w:pPr>
              <w:pStyle w:val="Tabletext"/>
              <w:spacing w:before="0" w:after="0" w:line="240" w:lineRule="auto"/>
              <w:ind w:left="0" w:right="0"/>
            </w:pPr>
            <w:r w:rsidRPr="006A5F3B">
              <w:t>Ongoing</w:t>
            </w:r>
          </w:p>
        </w:tc>
        <w:tc>
          <w:tcPr>
            <w:tcW w:w="1922" w:type="dxa"/>
            <w:vMerge/>
          </w:tcPr>
          <w:p w14:paraId="7AA15402" w14:textId="39A3EC32" w:rsidR="009415DF" w:rsidRDefault="009415DF" w:rsidP="006A5F3B">
            <w:pPr>
              <w:pStyle w:val="Tabletext"/>
              <w:spacing w:before="0" w:after="0" w:line="240" w:lineRule="auto"/>
              <w:ind w:left="0" w:right="0"/>
            </w:pPr>
          </w:p>
        </w:tc>
      </w:tr>
      <w:tr w:rsidR="009415DF" w14:paraId="48FA2275" w14:textId="171BF63D" w:rsidTr="001E6EC7">
        <w:tc>
          <w:tcPr>
            <w:tcW w:w="1615" w:type="dxa"/>
          </w:tcPr>
          <w:p w14:paraId="7701F762" w14:textId="5248D256" w:rsidR="009415DF" w:rsidRDefault="009415DF" w:rsidP="006A5F3B">
            <w:pPr>
              <w:pStyle w:val="Tabletext"/>
              <w:spacing w:before="0" w:after="0" w:line="240" w:lineRule="auto"/>
              <w:ind w:left="0" w:right="0"/>
            </w:pPr>
          </w:p>
        </w:tc>
        <w:tc>
          <w:tcPr>
            <w:tcW w:w="1895" w:type="dxa"/>
          </w:tcPr>
          <w:p w14:paraId="217C5141" w14:textId="5149E6D4" w:rsidR="009415DF" w:rsidRPr="00C75045" w:rsidRDefault="009415DF" w:rsidP="006A5F3B">
            <w:pPr>
              <w:pStyle w:val="Tabletext"/>
              <w:spacing w:before="0" w:after="0" w:line="240" w:lineRule="auto"/>
              <w:ind w:left="0" w:right="0"/>
            </w:pPr>
            <w:r w:rsidRPr="006A5F3B">
              <w:t>Jordan</w:t>
            </w:r>
          </w:p>
        </w:tc>
        <w:tc>
          <w:tcPr>
            <w:tcW w:w="1701" w:type="dxa"/>
          </w:tcPr>
          <w:p w14:paraId="3945FEC2" w14:textId="1C12C9B9" w:rsidR="009415DF" w:rsidRPr="00C75045" w:rsidRDefault="009415DF" w:rsidP="006A5F3B">
            <w:pPr>
              <w:pStyle w:val="Tabletext"/>
              <w:spacing w:before="0" w:after="0" w:line="240" w:lineRule="auto"/>
              <w:ind w:left="0" w:right="0"/>
            </w:pPr>
            <w:r w:rsidRPr="006A5F3B">
              <w:t>23 Jul</w:t>
            </w:r>
            <w:r w:rsidR="00924DAB">
              <w:t>y</w:t>
            </w:r>
            <w:r w:rsidRPr="006A5F3B">
              <w:t xml:space="preserve"> 2014</w:t>
            </w:r>
          </w:p>
        </w:tc>
        <w:tc>
          <w:tcPr>
            <w:tcW w:w="1587" w:type="dxa"/>
          </w:tcPr>
          <w:p w14:paraId="4D4B31A4" w14:textId="5BBD98D2" w:rsidR="009415DF" w:rsidRPr="00C75045" w:rsidRDefault="009415DF" w:rsidP="006A5F3B">
            <w:pPr>
              <w:pStyle w:val="Tabletext"/>
              <w:spacing w:before="0" w:after="0" w:line="240" w:lineRule="auto"/>
              <w:ind w:left="0" w:right="0"/>
            </w:pPr>
            <w:r w:rsidRPr="006A5F3B">
              <w:t>Ongoing</w:t>
            </w:r>
          </w:p>
        </w:tc>
        <w:tc>
          <w:tcPr>
            <w:tcW w:w="1922" w:type="dxa"/>
            <w:vMerge w:val="restart"/>
            <w:vAlign w:val="center"/>
          </w:tcPr>
          <w:p w14:paraId="58BC4043" w14:textId="76C24D4A" w:rsidR="009415DF" w:rsidRDefault="009415DF" w:rsidP="009415DF">
            <w:pPr>
              <w:pStyle w:val="Tabletext"/>
              <w:spacing w:before="0" w:after="0" w:line="240" w:lineRule="auto"/>
              <w:ind w:left="0" w:right="0"/>
            </w:pPr>
            <w:r w:rsidRPr="006A5F3B">
              <w:t>Ulcerative colitis – active</w:t>
            </w:r>
          </w:p>
        </w:tc>
      </w:tr>
      <w:tr w:rsidR="009415DF" w14:paraId="6EAEAD2F" w14:textId="3FD2D50E" w:rsidTr="001E6EC7">
        <w:tc>
          <w:tcPr>
            <w:tcW w:w="1615" w:type="dxa"/>
          </w:tcPr>
          <w:p w14:paraId="3F08AD5C" w14:textId="26C23A49" w:rsidR="009415DF" w:rsidRDefault="009415DF" w:rsidP="006A5F3B">
            <w:pPr>
              <w:pStyle w:val="Tabletext"/>
              <w:spacing w:before="0" w:after="0" w:line="240" w:lineRule="auto"/>
              <w:ind w:left="0" w:right="0"/>
            </w:pPr>
          </w:p>
        </w:tc>
        <w:tc>
          <w:tcPr>
            <w:tcW w:w="1895" w:type="dxa"/>
          </w:tcPr>
          <w:p w14:paraId="4AEF6781" w14:textId="0E94A614" w:rsidR="009415DF" w:rsidRPr="00C75045" w:rsidRDefault="009415DF" w:rsidP="006A5F3B">
            <w:pPr>
              <w:pStyle w:val="Tabletext"/>
              <w:spacing w:before="0" w:after="0" w:line="240" w:lineRule="auto"/>
              <w:ind w:left="0" w:right="0"/>
            </w:pPr>
            <w:r w:rsidRPr="006A5F3B">
              <w:t>Kuwait</w:t>
            </w:r>
          </w:p>
        </w:tc>
        <w:tc>
          <w:tcPr>
            <w:tcW w:w="1701" w:type="dxa"/>
          </w:tcPr>
          <w:p w14:paraId="5D62ABD5" w14:textId="51171E9C" w:rsidR="009415DF" w:rsidRPr="00C75045" w:rsidRDefault="009415DF" w:rsidP="006A5F3B">
            <w:pPr>
              <w:pStyle w:val="Tabletext"/>
              <w:spacing w:before="0" w:after="0" w:line="240" w:lineRule="auto"/>
              <w:ind w:left="0" w:right="0"/>
            </w:pPr>
            <w:r w:rsidRPr="006A5F3B">
              <w:t>07 Dec</w:t>
            </w:r>
            <w:r w:rsidR="00924DAB">
              <w:t>ember</w:t>
            </w:r>
            <w:r w:rsidRPr="006A5F3B">
              <w:t xml:space="preserve"> 2014</w:t>
            </w:r>
          </w:p>
        </w:tc>
        <w:tc>
          <w:tcPr>
            <w:tcW w:w="1587" w:type="dxa"/>
          </w:tcPr>
          <w:p w14:paraId="2D6700C4" w14:textId="77E6FF9A" w:rsidR="009415DF" w:rsidRPr="00C75045" w:rsidRDefault="009415DF" w:rsidP="006A5F3B">
            <w:pPr>
              <w:pStyle w:val="Tabletext"/>
              <w:spacing w:before="0" w:after="0" w:line="240" w:lineRule="auto"/>
              <w:ind w:left="0" w:right="0"/>
            </w:pPr>
            <w:r w:rsidRPr="006A5F3B">
              <w:t>Ongoing</w:t>
            </w:r>
          </w:p>
        </w:tc>
        <w:tc>
          <w:tcPr>
            <w:tcW w:w="1922" w:type="dxa"/>
            <w:vMerge/>
          </w:tcPr>
          <w:p w14:paraId="639538BE" w14:textId="73E8AA1B" w:rsidR="009415DF" w:rsidRDefault="009415DF" w:rsidP="006A5F3B">
            <w:pPr>
              <w:pStyle w:val="Tabletext"/>
              <w:spacing w:before="0" w:after="0" w:line="240" w:lineRule="auto"/>
              <w:ind w:left="0" w:right="0"/>
            </w:pPr>
          </w:p>
        </w:tc>
      </w:tr>
      <w:tr w:rsidR="009415DF" w14:paraId="34AA63FD" w14:textId="11F6209D" w:rsidTr="001E6EC7">
        <w:tc>
          <w:tcPr>
            <w:tcW w:w="1615" w:type="dxa"/>
          </w:tcPr>
          <w:p w14:paraId="3E36CDF3" w14:textId="16444EAF" w:rsidR="009415DF" w:rsidRDefault="009415DF" w:rsidP="006A5F3B">
            <w:pPr>
              <w:pStyle w:val="Tabletext"/>
              <w:spacing w:before="0" w:after="0" w:line="240" w:lineRule="auto"/>
              <w:ind w:left="0" w:right="0"/>
            </w:pPr>
          </w:p>
        </w:tc>
        <w:tc>
          <w:tcPr>
            <w:tcW w:w="1895" w:type="dxa"/>
          </w:tcPr>
          <w:p w14:paraId="5787B014" w14:textId="5B02769C" w:rsidR="009415DF" w:rsidRPr="00C75045" w:rsidRDefault="009415DF" w:rsidP="006A5F3B">
            <w:pPr>
              <w:pStyle w:val="Tabletext"/>
              <w:spacing w:before="0" w:after="0" w:line="240" w:lineRule="auto"/>
              <w:ind w:left="0" w:right="0"/>
            </w:pPr>
            <w:r w:rsidRPr="006A5F3B">
              <w:t>Lebanon</w:t>
            </w:r>
          </w:p>
        </w:tc>
        <w:tc>
          <w:tcPr>
            <w:tcW w:w="1701" w:type="dxa"/>
          </w:tcPr>
          <w:p w14:paraId="0B7AD014" w14:textId="28A7EA3B" w:rsidR="009415DF" w:rsidRPr="00C75045" w:rsidRDefault="009415DF" w:rsidP="006A5F3B">
            <w:pPr>
              <w:pStyle w:val="Tabletext"/>
              <w:spacing w:before="0" w:after="0" w:line="240" w:lineRule="auto"/>
              <w:ind w:left="0" w:right="0"/>
            </w:pPr>
            <w:r w:rsidRPr="006A5F3B">
              <w:t>28 Oct</w:t>
            </w:r>
            <w:r w:rsidR="00924DAB">
              <w:t>ober</w:t>
            </w:r>
            <w:r w:rsidRPr="006A5F3B">
              <w:t xml:space="preserve"> 2014</w:t>
            </w:r>
          </w:p>
        </w:tc>
        <w:tc>
          <w:tcPr>
            <w:tcW w:w="1587" w:type="dxa"/>
          </w:tcPr>
          <w:p w14:paraId="018D3675" w14:textId="688AFF65" w:rsidR="009415DF" w:rsidRPr="00C75045" w:rsidRDefault="009415DF" w:rsidP="006A5F3B">
            <w:pPr>
              <w:pStyle w:val="Tabletext"/>
              <w:spacing w:before="0" w:after="0" w:line="240" w:lineRule="auto"/>
              <w:ind w:left="0" w:right="0"/>
            </w:pPr>
            <w:r w:rsidRPr="006A5F3B">
              <w:t>09 Apr</w:t>
            </w:r>
            <w:r w:rsidR="00924DAB">
              <w:t>il</w:t>
            </w:r>
            <w:r w:rsidRPr="006A5F3B">
              <w:t xml:space="preserve"> 2015</w:t>
            </w:r>
          </w:p>
        </w:tc>
        <w:tc>
          <w:tcPr>
            <w:tcW w:w="1922" w:type="dxa"/>
            <w:vMerge/>
          </w:tcPr>
          <w:p w14:paraId="216ED9E8" w14:textId="3774ABF8" w:rsidR="009415DF" w:rsidRDefault="009415DF" w:rsidP="006A5F3B">
            <w:pPr>
              <w:pStyle w:val="Tabletext"/>
              <w:spacing w:before="0" w:after="0" w:line="240" w:lineRule="auto"/>
              <w:ind w:left="0" w:right="0"/>
            </w:pPr>
          </w:p>
        </w:tc>
      </w:tr>
      <w:tr w:rsidR="006A5F3B" w14:paraId="1C0F6526" w14:textId="2C9E5AAB" w:rsidTr="001E6EC7">
        <w:tc>
          <w:tcPr>
            <w:tcW w:w="1615" w:type="dxa"/>
          </w:tcPr>
          <w:p w14:paraId="07CAA390" w14:textId="2A4DE082" w:rsidR="006A5F3B" w:rsidRDefault="006A5F3B" w:rsidP="006A5F3B">
            <w:pPr>
              <w:pStyle w:val="Tabletext"/>
              <w:spacing w:before="0" w:after="0" w:line="240" w:lineRule="auto"/>
              <w:ind w:left="0" w:right="0"/>
            </w:pPr>
          </w:p>
        </w:tc>
        <w:tc>
          <w:tcPr>
            <w:tcW w:w="1895" w:type="dxa"/>
          </w:tcPr>
          <w:p w14:paraId="03F18174" w14:textId="1405EBFC" w:rsidR="006A5F3B" w:rsidRPr="00C75045" w:rsidRDefault="006A5F3B" w:rsidP="006A5F3B">
            <w:pPr>
              <w:pStyle w:val="Tabletext"/>
              <w:spacing w:before="0" w:after="0" w:line="240" w:lineRule="auto"/>
              <w:ind w:left="0" w:right="0"/>
            </w:pPr>
            <w:r w:rsidRPr="006A5F3B">
              <w:t>Mexico</w:t>
            </w:r>
          </w:p>
        </w:tc>
        <w:tc>
          <w:tcPr>
            <w:tcW w:w="1701" w:type="dxa"/>
          </w:tcPr>
          <w:p w14:paraId="62FFE876" w14:textId="6F82DB64" w:rsidR="006A5F3B" w:rsidRPr="00C75045" w:rsidRDefault="006A5F3B" w:rsidP="006A5F3B">
            <w:pPr>
              <w:pStyle w:val="Tabletext"/>
              <w:spacing w:before="0" w:after="0" w:line="240" w:lineRule="auto"/>
              <w:ind w:left="0" w:right="0"/>
            </w:pPr>
            <w:r w:rsidRPr="006A5F3B">
              <w:t>Sep</w:t>
            </w:r>
            <w:r w:rsidR="00924DAB">
              <w:t>tember</w:t>
            </w:r>
            <w:r w:rsidRPr="006A5F3B">
              <w:t xml:space="preserve"> 2014</w:t>
            </w:r>
          </w:p>
        </w:tc>
        <w:tc>
          <w:tcPr>
            <w:tcW w:w="1587" w:type="dxa"/>
          </w:tcPr>
          <w:p w14:paraId="0E85EA99" w14:textId="2AF288A4" w:rsidR="006A5F3B" w:rsidRPr="00C75045" w:rsidRDefault="006A5F3B" w:rsidP="006A5F3B">
            <w:pPr>
              <w:pStyle w:val="Tabletext"/>
              <w:spacing w:before="0" w:after="0" w:line="240" w:lineRule="auto"/>
              <w:ind w:left="0" w:right="0"/>
            </w:pPr>
            <w:r w:rsidRPr="006A5F3B">
              <w:t>Ongoing</w:t>
            </w:r>
          </w:p>
        </w:tc>
        <w:tc>
          <w:tcPr>
            <w:tcW w:w="1922" w:type="dxa"/>
          </w:tcPr>
          <w:p w14:paraId="4285A4C8" w14:textId="3FD0140F" w:rsidR="006A5F3B" w:rsidRDefault="006A5F3B" w:rsidP="006A5F3B">
            <w:pPr>
              <w:pStyle w:val="Tabletext"/>
              <w:spacing w:before="0" w:after="0" w:line="240" w:lineRule="auto"/>
              <w:ind w:left="0" w:right="0"/>
            </w:pPr>
            <w:r w:rsidRPr="006A5F3B">
              <w:t>Induction of remission in adult patients with active, mild to moderate UC.</w:t>
            </w:r>
          </w:p>
        </w:tc>
      </w:tr>
      <w:tr w:rsidR="006A5F3B" w14:paraId="15AD8BA7" w14:textId="17B8B3A0" w:rsidTr="001E6EC7">
        <w:tc>
          <w:tcPr>
            <w:tcW w:w="1615" w:type="dxa"/>
          </w:tcPr>
          <w:p w14:paraId="15A82A24" w14:textId="52091615" w:rsidR="006A5F3B" w:rsidRDefault="006A5F3B" w:rsidP="006A5F3B">
            <w:pPr>
              <w:pStyle w:val="Tabletext"/>
              <w:spacing w:before="0" w:after="0" w:line="240" w:lineRule="auto"/>
              <w:ind w:left="0" w:right="0"/>
            </w:pPr>
          </w:p>
        </w:tc>
        <w:tc>
          <w:tcPr>
            <w:tcW w:w="1895" w:type="dxa"/>
          </w:tcPr>
          <w:p w14:paraId="6F65578E" w14:textId="1B69CC33" w:rsidR="006A5F3B" w:rsidRPr="00C75045" w:rsidRDefault="006A5F3B" w:rsidP="007E54C8">
            <w:pPr>
              <w:pStyle w:val="Tabletext"/>
              <w:ind w:left="0" w:right="0"/>
            </w:pPr>
            <w:proofErr w:type="spellStart"/>
            <w:r>
              <w:t>Russian</w:t>
            </w:r>
            <w:r w:rsidRPr="006A5F3B">
              <w:t>Federation</w:t>
            </w:r>
            <w:proofErr w:type="spellEnd"/>
          </w:p>
        </w:tc>
        <w:tc>
          <w:tcPr>
            <w:tcW w:w="1701" w:type="dxa"/>
          </w:tcPr>
          <w:p w14:paraId="1DDCD06F" w14:textId="2C60750A" w:rsidR="006A5F3B" w:rsidRPr="00C75045" w:rsidRDefault="006A5F3B" w:rsidP="006A5F3B">
            <w:pPr>
              <w:pStyle w:val="Tabletext"/>
              <w:spacing w:before="0" w:after="0" w:line="240" w:lineRule="auto"/>
              <w:ind w:left="0" w:right="0"/>
            </w:pPr>
            <w:r w:rsidRPr="006A5F3B">
              <w:t>31 Jul</w:t>
            </w:r>
            <w:r w:rsidR="00924DAB">
              <w:t>y</w:t>
            </w:r>
            <w:r w:rsidRPr="006A5F3B">
              <w:t xml:space="preserve"> 2014</w:t>
            </w:r>
          </w:p>
        </w:tc>
        <w:tc>
          <w:tcPr>
            <w:tcW w:w="1587" w:type="dxa"/>
          </w:tcPr>
          <w:p w14:paraId="3B34F0E4" w14:textId="1EA44F44" w:rsidR="006A5F3B" w:rsidRPr="00C75045" w:rsidRDefault="006A5F3B" w:rsidP="006A5F3B">
            <w:pPr>
              <w:pStyle w:val="Tabletext"/>
              <w:spacing w:before="0" w:after="0" w:line="240" w:lineRule="auto"/>
              <w:ind w:left="0" w:right="0"/>
            </w:pPr>
            <w:r w:rsidRPr="006A5F3B">
              <w:t>02 Jun</w:t>
            </w:r>
            <w:r w:rsidR="00924DAB">
              <w:t>e</w:t>
            </w:r>
            <w:r w:rsidRPr="006A5F3B">
              <w:t xml:space="preserve"> 2015</w:t>
            </w:r>
          </w:p>
        </w:tc>
        <w:tc>
          <w:tcPr>
            <w:tcW w:w="1922" w:type="dxa"/>
          </w:tcPr>
          <w:p w14:paraId="790A2800" w14:textId="28747BA8" w:rsidR="006A5F3B" w:rsidRDefault="006A5F3B" w:rsidP="006A5F3B">
            <w:pPr>
              <w:pStyle w:val="Tabletext"/>
              <w:spacing w:before="0" w:after="0" w:line="240" w:lineRule="auto"/>
              <w:ind w:left="0" w:right="0"/>
            </w:pPr>
            <w:r w:rsidRPr="006A5F3B">
              <w:t>Ulcerative colitis – active</w:t>
            </w:r>
          </w:p>
        </w:tc>
      </w:tr>
      <w:tr w:rsidR="006A5F3B" w14:paraId="4FDAC93A" w14:textId="6FE58F77" w:rsidTr="001E6EC7">
        <w:tc>
          <w:tcPr>
            <w:tcW w:w="1615" w:type="dxa"/>
          </w:tcPr>
          <w:p w14:paraId="3DD33EB0" w14:textId="23CFC191" w:rsidR="006A5F3B" w:rsidRDefault="006A5F3B" w:rsidP="006A5F3B">
            <w:pPr>
              <w:pStyle w:val="Tabletext"/>
              <w:spacing w:before="0" w:after="0" w:line="240" w:lineRule="auto"/>
              <w:ind w:left="0" w:right="0"/>
            </w:pPr>
          </w:p>
        </w:tc>
        <w:tc>
          <w:tcPr>
            <w:tcW w:w="1895" w:type="dxa"/>
          </w:tcPr>
          <w:p w14:paraId="6C18C88A" w14:textId="12BA9AE0" w:rsidR="006A5F3B" w:rsidRPr="00C75045" w:rsidRDefault="006A5F3B" w:rsidP="006A5F3B">
            <w:pPr>
              <w:pStyle w:val="Tabletext"/>
              <w:spacing w:before="0" w:after="0" w:line="240" w:lineRule="auto"/>
              <w:ind w:left="0" w:right="0"/>
            </w:pPr>
            <w:r w:rsidRPr="006A5F3B">
              <w:t>South Africa</w:t>
            </w:r>
          </w:p>
        </w:tc>
        <w:tc>
          <w:tcPr>
            <w:tcW w:w="1701" w:type="dxa"/>
          </w:tcPr>
          <w:p w14:paraId="0DD257D6" w14:textId="26E0A602" w:rsidR="006A5F3B" w:rsidRPr="00C75045" w:rsidRDefault="006A5F3B" w:rsidP="006A5F3B">
            <w:pPr>
              <w:pStyle w:val="Tabletext"/>
              <w:spacing w:before="0" w:after="0" w:line="240" w:lineRule="auto"/>
              <w:ind w:left="0" w:right="0"/>
            </w:pPr>
            <w:r w:rsidRPr="006A5F3B">
              <w:t>10 Nov</w:t>
            </w:r>
            <w:r w:rsidR="00924DAB">
              <w:t>ember</w:t>
            </w:r>
            <w:r w:rsidRPr="006A5F3B">
              <w:t xml:space="preserve"> 2014</w:t>
            </w:r>
          </w:p>
        </w:tc>
        <w:tc>
          <w:tcPr>
            <w:tcW w:w="1587" w:type="dxa"/>
          </w:tcPr>
          <w:p w14:paraId="59807067" w14:textId="1A5E944E" w:rsidR="006A5F3B" w:rsidRPr="00C75045" w:rsidRDefault="006A5F3B" w:rsidP="006A5F3B">
            <w:pPr>
              <w:pStyle w:val="Tabletext"/>
              <w:spacing w:before="0" w:after="0" w:line="240" w:lineRule="auto"/>
              <w:ind w:left="0" w:right="0"/>
            </w:pPr>
            <w:r w:rsidRPr="006A5F3B">
              <w:t>Ongoing</w:t>
            </w:r>
          </w:p>
        </w:tc>
        <w:tc>
          <w:tcPr>
            <w:tcW w:w="1922" w:type="dxa"/>
          </w:tcPr>
          <w:p w14:paraId="2F64FA15" w14:textId="0A2CB342" w:rsidR="006A5F3B" w:rsidRDefault="006A5F3B" w:rsidP="006A5F3B">
            <w:pPr>
              <w:pStyle w:val="Tabletext"/>
              <w:spacing w:before="0" w:after="0" w:line="240" w:lineRule="auto"/>
              <w:ind w:left="0" w:right="0"/>
            </w:pPr>
            <w:r>
              <w:t xml:space="preserve">Induction of remission in adult patients with active, mild to </w:t>
            </w:r>
            <w:r w:rsidRPr="006A5F3B">
              <w:t>moderate UC.</w:t>
            </w:r>
          </w:p>
        </w:tc>
      </w:tr>
      <w:tr w:rsidR="006A5F3B" w14:paraId="52D06BF9" w14:textId="13B1DB83" w:rsidTr="001E6EC7">
        <w:tc>
          <w:tcPr>
            <w:tcW w:w="1615" w:type="dxa"/>
          </w:tcPr>
          <w:p w14:paraId="1766887F" w14:textId="54BDB3AD" w:rsidR="006A5F3B" w:rsidRDefault="006A5F3B" w:rsidP="006A5F3B">
            <w:pPr>
              <w:pStyle w:val="Tabletext"/>
              <w:spacing w:before="0" w:after="0" w:line="240" w:lineRule="auto"/>
              <w:ind w:left="0" w:right="0"/>
            </w:pPr>
          </w:p>
        </w:tc>
        <w:tc>
          <w:tcPr>
            <w:tcW w:w="1895" w:type="dxa"/>
          </w:tcPr>
          <w:p w14:paraId="538F1C1E" w14:textId="5F714B50" w:rsidR="006A5F3B" w:rsidRPr="00C75045" w:rsidRDefault="006A5F3B" w:rsidP="006A5F3B">
            <w:pPr>
              <w:pStyle w:val="Tabletext"/>
              <w:spacing w:before="0" w:after="0" w:line="240" w:lineRule="auto"/>
              <w:ind w:left="0" w:right="0"/>
            </w:pPr>
            <w:r>
              <w:t>United Arab Emirates</w:t>
            </w:r>
          </w:p>
        </w:tc>
        <w:tc>
          <w:tcPr>
            <w:tcW w:w="1701" w:type="dxa"/>
          </w:tcPr>
          <w:p w14:paraId="34369CA4" w14:textId="0D6CE04E" w:rsidR="006A5F3B" w:rsidRPr="00C75045" w:rsidRDefault="006A5F3B" w:rsidP="006A5F3B">
            <w:pPr>
              <w:pStyle w:val="Tabletext"/>
              <w:spacing w:before="0" w:after="0" w:line="240" w:lineRule="auto"/>
              <w:ind w:left="0" w:right="0"/>
            </w:pPr>
            <w:r w:rsidRPr="006A5F3B">
              <w:t>22 Dec</w:t>
            </w:r>
            <w:r w:rsidR="00924DAB">
              <w:t>ember</w:t>
            </w:r>
            <w:r w:rsidRPr="006A5F3B">
              <w:t xml:space="preserve"> 2014</w:t>
            </w:r>
          </w:p>
        </w:tc>
        <w:tc>
          <w:tcPr>
            <w:tcW w:w="1587" w:type="dxa"/>
          </w:tcPr>
          <w:p w14:paraId="2E240F14" w14:textId="1D95D43D" w:rsidR="006A5F3B" w:rsidRPr="00C75045" w:rsidRDefault="006A5F3B" w:rsidP="006A5F3B">
            <w:pPr>
              <w:pStyle w:val="Tabletext"/>
              <w:spacing w:before="0" w:after="0" w:line="240" w:lineRule="auto"/>
              <w:ind w:left="0" w:right="0"/>
            </w:pPr>
            <w:r w:rsidRPr="006A5F3B">
              <w:t>ongoing</w:t>
            </w:r>
          </w:p>
        </w:tc>
        <w:tc>
          <w:tcPr>
            <w:tcW w:w="1922" w:type="dxa"/>
          </w:tcPr>
          <w:p w14:paraId="38634164" w14:textId="34148EAA" w:rsidR="006A5F3B" w:rsidRDefault="006A5F3B" w:rsidP="006A5F3B">
            <w:pPr>
              <w:pStyle w:val="Tabletext"/>
              <w:spacing w:before="0" w:after="0" w:line="240" w:lineRule="auto"/>
              <w:ind w:left="0" w:right="0"/>
            </w:pPr>
            <w:r w:rsidRPr="006A5F3B">
              <w:t>Ulcerative colitis – active</w:t>
            </w:r>
          </w:p>
        </w:tc>
      </w:tr>
    </w:tbl>
    <w:p w14:paraId="3E43CC7F" w14:textId="5668CCF7" w:rsidR="00590670" w:rsidRDefault="00C75045" w:rsidP="001E6EC7">
      <w:pPr>
        <w:pStyle w:val="Reference"/>
      </w:pPr>
      <w:r w:rsidRPr="00C75045">
        <w:rPr>
          <w:i/>
        </w:rPr>
        <w:t>*</w:t>
      </w:r>
      <w:r w:rsidR="00590670">
        <w:rPr>
          <w:i/>
        </w:rPr>
        <w:t xml:space="preserve"> </w:t>
      </w:r>
      <w:r w:rsidR="007826A7" w:rsidRPr="007826A7">
        <w:t xml:space="preserve">Regarding the submission in the </w:t>
      </w:r>
      <w:r w:rsidR="00B81618" w:rsidRPr="00B81618">
        <w:t xml:space="preserve">European Union </w:t>
      </w:r>
      <w:r w:rsidR="00B81618">
        <w:t>(</w:t>
      </w:r>
      <w:r w:rsidR="007826A7" w:rsidRPr="007826A7">
        <w:t>EU</w:t>
      </w:r>
      <w:r w:rsidR="00B81618">
        <w:t>)</w:t>
      </w:r>
      <w:r w:rsidR="00590670">
        <w:t>,</w:t>
      </w:r>
      <w:r w:rsidR="007826A7" w:rsidRPr="007826A7">
        <w:t xml:space="preserve"> the spons</w:t>
      </w:r>
      <w:r w:rsidR="007826A7">
        <w:t>or stated</w:t>
      </w:r>
      <w:r w:rsidR="007826A7" w:rsidRPr="007826A7">
        <w:t xml:space="preserve"> the following</w:t>
      </w:r>
      <w:r w:rsidR="00590670">
        <w:t>:</w:t>
      </w:r>
    </w:p>
    <w:p w14:paraId="20CB16B6" w14:textId="5D2C4A6C" w:rsidR="00E340E3" w:rsidRPr="007826A7" w:rsidRDefault="007826A7" w:rsidP="001E6EC7">
      <w:pPr>
        <w:pStyle w:val="Reference"/>
        <w:ind w:left="142" w:firstLine="0"/>
      </w:pPr>
      <w:r>
        <w:rPr>
          <w:iCs/>
        </w:rPr>
        <w:t>‘</w:t>
      </w:r>
      <w:r w:rsidR="00C75045" w:rsidRPr="006A5F3B">
        <w:t xml:space="preserve">The first application to register </w:t>
      </w:r>
      <w:r w:rsidR="000976D3">
        <w:t>Cortiment</w:t>
      </w:r>
      <w:r w:rsidR="00C75045" w:rsidRPr="006A5F3B">
        <w:t xml:space="preserve"> in the EU sought registration of the product for </w:t>
      </w:r>
      <w:r w:rsidR="006A5F3B">
        <w:t>‘</w:t>
      </w:r>
      <w:r w:rsidR="00C75045" w:rsidRPr="006A5F3B">
        <w:rPr>
          <w:iCs/>
        </w:rPr>
        <w:t>the induction of remission in patients with mild to moderate UC</w:t>
      </w:r>
      <w:r w:rsidR="006A5F3B">
        <w:rPr>
          <w:iCs/>
        </w:rPr>
        <w:t>’</w:t>
      </w:r>
      <w:r w:rsidR="00C75045" w:rsidRPr="006A5F3B">
        <w:t>. This application was reviewed by the Dutch Medicines</w:t>
      </w:r>
      <w:r w:rsidR="00C75045" w:rsidRPr="006A5F3B">
        <w:rPr>
          <w:iCs/>
        </w:rPr>
        <w:t xml:space="preserve"> </w:t>
      </w:r>
      <w:r w:rsidR="00C75045" w:rsidRPr="006A5F3B">
        <w:t>Evaluation Board under the EMA Decentralised Procedure but initially rejected</w:t>
      </w:r>
      <w:r w:rsidR="00590670">
        <w:t xml:space="preserve">. </w:t>
      </w:r>
      <w:r w:rsidR="00C75045" w:rsidRPr="006A5F3B">
        <w:t>This</w:t>
      </w:r>
      <w:r w:rsidR="00C75045" w:rsidRPr="006A5F3B">
        <w:rPr>
          <w:iCs/>
        </w:rPr>
        <w:t xml:space="preserve"> </w:t>
      </w:r>
      <w:r w:rsidR="00C75045" w:rsidRPr="006A5F3B">
        <w:t>decision w</w:t>
      </w:r>
      <w:r w:rsidR="00590670">
        <w:t xml:space="preserve">as successfully appealed against. </w:t>
      </w:r>
      <w:r w:rsidR="00C75045" w:rsidRPr="006A5F3B">
        <w:t xml:space="preserve"> Approval in the Netherlands, and subsequently in the other EU member states, was then</w:t>
      </w:r>
      <w:r w:rsidR="00C75045" w:rsidRPr="006A5F3B">
        <w:rPr>
          <w:iCs/>
        </w:rPr>
        <w:t xml:space="preserve"> </w:t>
      </w:r>
      <w:r w:rsidR="00C75045" w:rsidRPr="006A5F3B">
        <w:t xml:space="preserve">granted for </w:t>
      </w:r>
      <w:r w:rsidR="006A5F3B">
        <w:t>‘</w:t>
      </w:r>
      <w:r w:rsidR="00C75045" w:rsidRPr="006A5F3B">
        <w:rPr>
          <w:iCs/>
        </w:rPr>
        <w:t>the induction of remission in patients with mild to moderate UC where 5-ASA treatment is not sufficient</w:t>
      </w:r>
      <w:r w:rsidR="006A5F3B">
        <w:rPr>
          <w:iCs/>
        </w:rPr>
        <w:t>’</w:t>
      </w:r>
      <w:r w:rsidR="00C75045" w:rsidRPr="006A5F3B">
        <w:t>.</w:t>
      </w:r>
      <w:r w:rsidR="00196BE1" w:rsidRPr="00196BE1" w:rsidDel="00985015">
        <w:t xml:space="preserve"> </w:t>
      </w:r>
      <w:r w:rsidR="00196BE1" w:rsidRPr="00196BE1">
        <w:t xml:space="preserve">Although the </w:t>
      </w:r>
      <w:proofErr w:type="spellStart"/>
      <w:r w:rsidR="00196BE1" w:rsidRPr="00196BE1">
        <w:t>SmPC</w:t>
      </w:r>
      <w:proofErr w:type="spellEnd"/>
      <w:r w:rsidR="00196BE1" w:rsidRPr="00196BE1">
        <w:t xml:space="preserve"> also notes that some patients may benefit from treatment initially with</w:t>
      </w:r>
      <w:r w:rsidR="00196BE1" w:rsidRPr="00196BE1">
        <w:rPr>
          <w:iCs/>
        </w:rPr>
        <w:t xml:space="preserve"> </w:t>
      </w:r>
      <w:r w:rsidR="00196BE1" w:rsidRPr="00196BE1">
        <w:t xml:space="preserve">Cortiment. </w:t>
      </w:r>
      <w:r w:rsidR="00196BE1">
        <w:t>N</w:t>
      </w:r>
      <w:r w:rsidR="00196BE1" w:rsidRPr="00196BE1">
        <w:t>o trial evidence specifically supporting use of Cortiment in patients where 5-</w:t>
      </w:r>
      <w:r w:rsidR="00196BE1" w:rsidRPr="00196BE1">
        <w:rPr>
          <w:iCs/>
        </w:rPr>
        <w:t xml:space="preserve"> </w:t>
      </w:r>
      <w:r w:rsidR="00196BE1" w:rsidRPr="00196BE1">
        <w:t>ASA treatment is not sufficient was evaluated as part of the EU application.’</w:t>
      </w:r>
    </w:p>
    <w:p w14:paraId="2A330322" w14:textId="77777777" w:rsidR="008E7846" w:rsidRDefault="008E7846" w:rsidP="001E6EC7">
      <w:pPr>
        <w:pStyle w:val="Heading3"/>
      </w:pPr>
      <w:bookmarkStart w:id="24" w:name="_Toc442962641"/>
      <w:r w:rsidRPr="001E6EC7">
        <w:t>Product</w:t>
      </w:r>
      <w:r>
        <w:t xml:space="preserve"> Information</w:t>
      </w:r>
      <w:bookmarkEnd w:id="22"/>
      <w:bookmarkEnd w:id="23"/>
      <w:bookmarkEnd w:id="24"/>
    </w:p>
    <w:p w14:paraId="020BFFFA" w14:textId="77777777" w:rsidR="00940A89" w:rsidRDefault="00940A89" w:rsidP="001E6EC7">
      <w:pPr>
        <w:rPr>
          <w:b/>
          <w:bCs/>
        </w:rPr>
      </w:pPr>
      <w:bookmarkStart w:id="25" w:name="_Toc247691506"/>
      <w:bookmarkStart w:id="26" w:name="_Toc314842487"/>
      <w:r w:rsidRPr="00940A89">
        <w:t>The approved Product Information (PI) current at the time this AusPAR was prepared can be found as Attachment 1. For the most recent Product Information please refer to the TGA website at &lt;</w:t>
      </w:r>
      <w:hyperlink r:id="rId14" w:history="1">
        <w:r w:rsidR="00383221">
          <w:rPr>
            <w:rStyle w:val="Hyperlink"/>
          </w:rPr>
          <w:t>https://www.tga.gov.au/product-information-pi</w:t>
        </w:r>
      </w:hyperlink>
      <w:r w:rsidRPr="00940A89">
        <w:t>&gt;.</w:t>
      </w:r>
    </w:p>
    <w:p w14:paraId="2167DE62" w14:textId="77777777" w:rsidR="008E7846" w:rsidRPr="003602A9" w:rsidRDefault="008E7846" w:rsidP="001E6EC7">
      <w:pPr>
        <w:pStyle w:val="Heading2"/>
      </w:pPr>
      <w:bookmarkStart w:id="27" w:name="_Toc442962642"/>
      <w:r>
        <w:t>II. Quality</w:t>
      </w:r>
      <w:bookmarkEnd w:id="1"/>
      <w:r>
        <w:t xml:space="preserve"> </w:t>
      </w:r>
      <w:r w:rsidRPr="001E6EC7">
        <w:t>findings</w:t>
      </w:r>
      <w:bookmarkEnd w:id="25"/>
      <w:bookmarkEnd w:id="26"/>
      <w:bookmarkEnd w:id="27"/>
    </w:p>
    <w:p w14:paraId="28CB10CD" w14:textId="77777777" w:rsidR="00940A89" w:rsidRDefault="00940A89" w:rsidP="001E6EC7">
      <w:pPr>
        <w:pStyle w:val="Heading3"/>
      </w:pPr>
      <w:bookmarkStart w:id="28" w:name="_Toc247691507"/>
      <w:bookmarkStart w:id="29" w:name="_Toc314842488"/>
      <w:bookmarkStart w:id="30" w:name="_Toc442962643"/>
      <w:r w:rsidRPr="001E6EC7">
        <w:t>Introduction</w:t>
      </w:r>
      <w:bookmarkEnd w:id="30"/>
    </w:p>
    <w:p w14:paraId="11503FA0" w14:textId="77777777" w:rsidR="00D43236" w:rsidRPr="00F86A86" w:rsidRDefault="00D43236" w:rsidP="00F86A86">
      <w:r w:rsidRPr="00F86A86">
        <w:t xml:space="preserve">The proposed budesonide </w:t>
      </w:r>
      <w:r w:rsidR="00924DAB" w:rsidRPr="00924DAB">
        <w:t xml:space="preserve">9 mg </w:t>
      </w:r>
      <w:r w:rsidRPr="00F86A86">
        <w:t>product is formul</w:t>
      </w:r>
      <w:r w:rsidR="0060086A" w:rsidRPr="00F86A86">
        <w:t xml:space="preserve">ated as a delayed and prolonged </w:t>
      </w:r>
      <w:r w:rsidRPr="00F86A86">
        <w:t>release tablet for oral use, using a multi</w:t>
      </w:r>
      <w:r w:rsidR="00271024" w:rsidRPr="00F86A86">
        <w:t xml:space="preserve"> </w:t>
      </w:r>
      <w:r w:rsidRPr="00F86A86">
        <w:t>matrix system technology (MMX) with a mechanism that combines the delayed a</w:t>
      </w:r>
      <w:r w:rsidR="0060086A" w:rsidRPr="00F86A86">
        <w:t xml:space="preserve">nd extended release properties. </w:t>
      </w:r>
      <w:r w:rsidRPr="00F86A86">
        <w:t xml:space="preserve">It is intended to exert a locally acting anti-inflammatory action by delivering the </w:t>
      </w:r>
      <w:r w:rsidR="00924DAB">
        <w:t>active directly into the colon.</w:t>
      </w:r>
    </w:p>
    <w:p w14:paraId="4EA5849D" w14:textId="77777777" w:rsidR="00D43236" w:rsidRPr="00F86A86" w:rsidRDefault="00D43236" w:rsidP="00F86A86">
      <w:r w:rsidRPr="00F86A86">
        <w:t>The maximum single dose of the proposed product is 9 mg, and the recommended daily dose of the proposed product is one 9 mg</w:t>
      </w:r>
      <w:r w:rsidR="0060086A" w:rsidRPr="00F86A86">
        <w:t xml:space="preserve"> tablet</w:t>
      </w:r>
      <w:r w:rsidR="00F94FCE" w:rsidRPr="00F86A86">
        <w:t>, for up to 8 weeks.</w:t>
      </w:r>
      <w:r w:rsidR="00E86EB2" w:rsidRPr="00F86A86">
        <w:t xml:space="preserve"> O</w:t>
      </w:r>
      <w:r w:rsidRPr="00F86A86">
        <w:t xml:space="preserve">ne tablet is to be taken orally in the morning, with or without </w:t>
      </w:r>
      <w:r w:rsidR="00F86A86" w:rsidRPr="00F86A86">
        <w:t>food.</w:t>
      </w:r>
    </w:p>
    <w:p w14:paraId="3EDD4A4F" w14:textId="77777777" w:rsidR="00D43236" w:rsidRPr="00F86A86" w:rsidRDefault="00D43236" w:rsidP="00F86A86">
      <w:r w:rsidRPr="00F86A86">
        <w:t>The proposed 9 mg tablet has as a white to off</w:t>
      </w:r>
      <w:r w:rsidR="0060086A" w:rsidRPr="00F86A86">
        <w:t xml:space="preserve"> white, round, biconvex, film </w:t>
      </w:r>
      <w:r w:rsidRPr="00F86A86">
        <w:t xml:space="preserve">coated tablet appearance (9.5 mm wide x 4.7 mm thick) with debossing </w:t>
      </w:r>
      <w:r w:rsidR="0066274E">
        <w:t>‘</w:t>
      </w:r>
      <w:r w:rsidRPr="00F86A86">
        <w:t>MX9</w:t>
      </w:r>
      <w:r w:rsidR="0066274E">
        <w:t>’</w:t>
      </w:r>
      <w:r w:rsidRPr="00F86A86">
        <w:t xml:space="preserve"> on one side. It is to be packaged in blister packaging, in pack sizes of 10</w:t>
      </w:r>
      <w:r w:rsidR="00F86A86" w:rsidRPr="00F86A86">
        <w:t>, 20, 30, 50, 60 or 80 tablets.</w:t>
      </w:r>
    </w:p>
    <w:p w14:paraId="4A789948" w14:textId="77777777" w:rsidR="008E7846" w:rsidRDefault="008E7846" w:rsidP="001E6EC7">
      <w:pPr>
        <w:pStyle w:val="Heading3"/>
      </w:pPr>
      <w:bookmarkStart w:id="31" w:name="_Toc442962644"/>
      <w:r w:rsidRPr="008751DC">
        <w:t xml:space="preserve">Drug </w:t>
      </w:r>
      <w:r>
        <w:t>s</w:t>
      </w:r>
      <w:r w:rsidRPr="008751DC">
        <w:t>ubstance</w:t>
      </w:r>
      <w:r>
        <w:t xml:space="preserve"> (</w:t>
      </w:r>
      <w:r w:rsidRPr="001E6EC7">
        <w:t>active</w:t>
      </w:r>
      <w:r>
        <w:t xml:space="preserve"> ingredient)</w:t>
      </w:r>
      <w:bookmarkEnd w:id="28"/>
      <w:bookmarkEnd w:id="29"/>
      <w:bookmarkEnd w:id="31"/>
    </w:p>
    <w:p w14:paraId="0F9D3E2B" w14:textId="1EB47A77" w:rsidR="008C1E30" w:rsidRDefault="008C1E30" w:rsidP="008C1E30">
      <w:r w:rsidRPr="008C1E30">
        <w:t>Budesonide is a white to</w:t>
      </w:r>
      <w:r w:rsidR="00590670">
        <w:t xml:space="preserve"> almost white crystalline powder </w:t>
      </w:r>
      <w:r w:rsidRPr="008C1E30">
        <w:t xml:space="preserve">and is practically insoluble in water. It contains 9 chiral centres and is a </w:t>
      </w:r>
      <w:r w:rsidRPr="0065085C">
        <w:t xml:space="preserve">mixture of </w:t>
      </w:r>
      <w:r w:rsidR="0065085C" w:rsidRPr="0065085C">
        <w:t>isomers</w:t>
      </w:r>
      <w:r w:rsidRPr="0065085C">
        <w:t xml:space="preserve"> R and S at C</w:t>
      </w:r>
      <w:r w:rsidR="00924DAB">
        <w:t>arbon</w:t>
      </w:r>
      <w:r w:rsidR="00B20130" w:rsidRPr="0065085C">
        <w:t xml:space="preserve"> </w:t>
      </w:r>
      <w:r w:rsidRPr="0065085C">
        <w:t>-</w:t>
      </w:r>
      <w:r w:rsidR="00B20130" w:rsidRPr="0065085C">
        <w:t xml:space="preserve"> </w:t>
      </w:r>
      <w:r w:rsidRPr="0065085C">
        <w:t>22</w:t>
      </w:r>
      <w:r w:rsidRPr="008C1E30">
        <w:t>. The content of the S-isomer</w:t>
      </w:r>
      <w:r w:rsidR="0066274E">
        <w:t xml:space="preserve"> (</w:t>
      </w:r>
      <w:proofErr w:type="spellStart"/>
      <w:r w:rsidR="0066274E">
        <w:t>epimer</w:t>
      </w:r>
      <w:proofErr w:type="spellEnd"/>
      <w:r w:rsidR="0066274E">
        <w:t xml:space="preserve"> A) may vary between 40 to </w:t>
      </w:r>
      <w:r w:rsidRPr="008C1E30">
        <w:t>51%.</w:t>
      </w:r>
    </w:p>
    <w:p w14:paraId="1E66B763" w14:textId="1722C4F4" w:rsidR="008C1E30" w:rsidRDefault="008C1E30" w:rsidP="00F86A86">
      <w:pPr>
        <w:pStyle w:val="FigureTitle"/>
      </w:pPr>
      <w:proofErr w:type="gramStart"/>
      <w:r>
        <w:lastRenderedPageBreak/>
        <w:t>Figure 1</w:t>
      </w:r>
      <w:r w:rsidR="00ED175A">
        <w:t>.</w:t>
      </w:r>
      <w:proofErr w:type="gramEnd"/>
      <w:r>
        <w:t xml:space="preserve"> Structure of budesonide.</w:t>
      </w:r>
    </w:p>
    <w:p w14:paraId="65961A8B" w14:textId="77777777" w:rsidR="008C1E30" w:rsidRPr="008C1E30" w:rsidRDefault="008C1E30" w:rsidP="008C1E30">
      <w:r>
        <w:rPr>
          <w:noProof/>
          <w:lang w:eastAsia="en-AU"/>
        </w:rPr>
        <w:drawing>
          <wp:inline distT="0" distB="0" distL="0" distR="0" wp14:anchorId="70D6E8BD" wp14:editId="31DD0AAD">
            <wp:extent cx="3990975" cy="1885950"/>
            <wp:effectExtent l="0" t="0" r="9525" b="0"/>
            <wp:docPr id="2" name="Picture 2" descr="Figure 1. Structure of budeson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990975" cy="1885950"/>
                    </a:xfrm>
                    <a:prstGeom prst="rect">
                      <a:avLst/>
                    </a:prstGeom>
                  </pic:spPr>
                </pic:pic>
              </a:graphicData>
            </a:graphic>
          </wp:inline>
        </w:drawing>
      </w:r>
    </w:p>
    <w:p w14:paraId="5D99BEE6" w14:textId="439EE03B" w:rsidR="00590670" w:rsidRDefault="00590670" w:rsidP="00F86A86">
      <w:pPr>
        <w:jc w:val="both"/>
      </w:pPr>
      <w:r w:rsidRPr="00985015">
        <w:t>The supplier of drug substance has a Certificate of Suitability showing compliance with the European Pharmacopoeia</w:t>
      </w:r>
      <w:r>
        <w:t>.</w:t>
      </w:r>
    </w:p>
    <w:p w14:paraId="6D8F93E1" w14:textId="77777777" w:rsidR="008E7846" w:rsidRDefault="008E7846" w:rsidP="008E7846">
      <w:pPr>
        <w:pStyle w:val="Heading3"/>
      </w:pPr>
      <w:bookmarkStart w:id="32" w:name="_Toc247691508"/>
      <w:bookmarkStart w:id="33" w:name="_Toc314842490"/>
      <w:bookmarkStart w:id="34" w:name="_Toc442962645"/>
      <w:r w:rsidRPr="008751DC">
        <w:t xml:space="preserve">Drug </w:t>
      </w:r>
      <w:r>
        <w:t>p</w:t>
      </w:r>
      <w:r w:rsidRPr="008751DC">
        <w:t>roduct</w:t>
      </w:r>
      <w:bookmarkEnd w:id="32"/>
      <w:bookmarkEnd w:id="33"/>
      <w:bookmarkEnd w:id="34"/>
    </w:p>
    <w:p w14:paraId="2807BD64" w14:textId="77777777" w:rsidR="00590670" w:rsidRDefault="00E26535" w:rsidP="00590670">
      <w:bookmarkStart w:id="35" w:name="_Toc314842491"/>
      <w:r w:rsidRPr="00F86A86">
        <w:t xml:space="preserve">The proposed budesonide 9 mg tablets are formulated by </w:t>
      </w:r>
      <w:proofErr w:type="spellStart"/>
      <w:r w:rsidRPr="00F86A86">
        <w:t>Multimatrix</w:t>
      </w:r>
      <w:proofErr w:type="spellEnd"/>
      <w:r w:rsidRPr="00F86A86">
        <w:t xml:space="preserve"> System Technology (MMX) as gastro resistant prolonged release tablets</w:t>
      </w:r>
      <w:r w:rsidR="00590670">
        <w:t>.</w:t>
      </w:r>
    </w:p>
    <w:p w14:paraId="4E7FBDEF" w14:textId="2A445D95" w:rsidR="00E26535" w:rsidRPr="002A0322" w:rsidRDefault="00E26535" w:rsidP="00590670">
      <w:r w:rsidRPr="007A766F">
        <w:t>The excipients are all conventional pharmaceutical ingredients which comply with the Eur. Ph</w:t>
      </w:r>
      <w:proofErr w:type="gramStart"/>
      <w:r w:rsidRPr="007A766F">
        <w:t>./</w:t>
      </w:r>
      <w:proofErr w:type="gramEnd"/>
      <w:r w:rsidRPr="007A766F">
        <w:t>USP NF monog</w:t>
      </w:r>
      <w:r>
        <w:t>raph</w:t>
      </w:r>
      <w:r w:rsidR="00B20130">
        <w:t>s</w:t>
      </w:r>
      <w:r>
        <w:t>.</w:t>
      </w:r>
    </w:p>
    <w:p w14:paraId="15A66101" w14:textId="5311AD8A" w:rsidR="00E26535" w:rsidRPr="00F86A86" w:rsidRDefault="00E26535" w:rsidP="00E26535">
      <w:pPr>
        <w:jc w:val="both"/>
      </w:pPr>
      <w:r w:rsidRPr="00F86A86">
        <w:t xml:space="preserve">The formulation of the tablet by </w:t>
      </w:r>
      <w:r w:rsidR="00836F9D">
        <w:t>MMX</w:t>
      </w:r>
      <w:r w:rsidRPr="00F86A86">
        <w:t xml:space="preserve"> a</w:t>
      </w:r>
      <w:r w:rsidR="00B20130">
        <w:t>pplied the following sequences:</w:t>
      </w:r>
    </w:p>
    <w:p w14:paraId="2AE41B69" w14:textId="77777777" w:rsidR="00E26535" w:rsidRPr="00B20130" w:rsidRDefault="00E26535" w:rsidP="001E6EC7">
      <w:pPr>
        <w:pStyle w:val="ListBullet"/>
      </w:pPr>
      <w:r w:rsidRPr="00B20130">
        <w:t>The drug substance budesonide is embedded (totally or partially) in a lipophilic inert matrix (</w:t>
      </w:r>
      <w:r w:rsidRPr="001E6EC7">
        <w:t>steric</w:t>
      </w:r>
      <w:r w:rsidRPr="00B20130">
        <w:t xml:space="preserve"> acid), which is then surrounded by hydrophilic polymer substance (</w:t>
      </w:r>
      <w:proofErr w:type="spellStart"/>
      <w:r w:rsidRPr="00B20130">
        <w:t>hydroxypropylcellulose</w:t>
      </w:r>
      <w:proofErr w:type="spellEnd"/>
      <w:r w:rsidRPr="00B20130">
        <w:t>) to create the tablet core.</w:t>
      </w:r>
    </w:p>
    <w:p w14:paraId="0BFC5FE4" w14:textId="683B59ED" w:rsidR="00E26535" w:rsidRPr="00B20130" w:rsidRDefault="00E26535" w:rsidP="00907F8E">
      <w:pPr>
        <w:jc w:val="both"/>
      </w:pPr>
      <w:r w:rsidRPr="00B20130">
        <w:t>The core tablet is then</w:t>
      </w:r>
      <w:r w:rsidR="00B20130">
        <w:t xml:space="preserve"> covered by the film </w:t>
      </w:r>
      <w:r w:rsidRPr="00B20130">
        <w:t xml:space="preserve">coating containing the acrylic and </w:t>
      </w:r>
      <w:proofErr w:type="spellStart"/>
      <w:r w:rsidRPr="00B20130">
        <w:t>methacrylic</w:t>
      </w:r>
      <w:proofErr w:type="spellEnd"/>
      <w:r w:rsidRPr="00B20130">
        <w:t xml:space="preserve"> copolymers, which resist the influence of gastric fluid in the stomach, until it dissolves in the pH environment of greater than 7 (normally found in the terminal ileum).</w:t>
      </w:r>
    </w:p>
    <w:p w14:paraId="6BF77203" w14:textId="60894789" w:rsidR="00E26535" w:rsidRDefault="00E26535" w:rsidP="00D049CC">
      <w:pPr>
        <w:jc w:val="both"/>
      </w:pPr>
      <w:r w:rsidRPr="007A766F">
        <w:t>When the proposed product is administer</w:t>
      </w:r>
      <w:r w:rsidR="00B20130">
        <w:t xml:space="preserve">ed, the film </w:t>
      </w:r>
      <w:r w:rsidRPr="007A766F">
        <w:t>coat layer protects the tablet until it dissolved in the intestinal fluid of the lower part of the intestine (pH</w:t>
      </w:r>
      <w:r>
        <w:t xml:space="preserve"> </w:t>
      </w:r>
      <w:r w:rsidRPr="007A766F">
        <w:t>&gt;</w:t>
      </w:r>
      <w:r>
        <w:t xml:space="preserve"> </w:t>
      </w:r>
      <w:r w:rsidRPr="007A766F">
        <w:t>7). The intestinal fluid then comes into contact with the hydrophilic matrix polymers, and starts to swell to form a viscous gel matrix, which includes the lipophilic component containing the active. As the fluid penetrates into the gel matrix, the active ingredient is dissolved via diffusion and is released slowly into the GI tract lumen in a controlled manner.</w:t>
      </w:r>
    </w:p>
    <w:p w14:paraId="0EDDC22C" w14:textId="4D7B6994" w:rsidR="00E26535" w:rsidRDefault="00E26535" w:rsidP="001F72FB">
      <w:pPr>
        <w:jc w:val="both"/>
      </w:pPr>
      <w:r w:rsidRPr="00A24B71">
        <w:t>The manufacturing process of the proposed tabl</w:t>
      </w:r>
      <w:r w:rsidR="00B20130" w:rsidRPr="00A24B71">
        <w:t xml:space="preserve">ets consists of five steps: </w:t>
      </w:r>
      <w:proofErr w:type="spellStart"/>
      <w:r w:rsidR="00B20130" w:rsidRPr="00A24B71">
        <w:t>i</w:t>
      </w:r>
      <w:proofErr w:type="spellEnd"/>
      <w:r w:rsidR="00B20130" w:rsidRPr="00A24B71">
        <w:t xml:space="preserve">) preparation of the wet </w:t>
      </w:r>
      <w:proofErr w:type="gramStart"/>
      <w:r w:rsidR="00B20130" w:rsidRPr="00A24B71">
        <w:t>granulate</w:t>
      </w:r>
      <w:proofErr w:type="gramEnd"/>
      <w:r w:rsidR="00B20130" w:rsidRPr="00A24B71">
        <w:t>, ii) drying of the granulate, iii) m</w:t>
      </w:r>
      <w:r w:rsidRPr="00A24B71">
        <w:t>illing and prepa</w:t>
      </w:r>
      <w:r w:rsidR="00B20130" w:rsidRPr="00A24B71">
        <w:t>ration of the final blend, iv) c</w:t>
      </w:r>
      <w:r w:rsidRPr="00A24B71">
        <w:t xml:space="preserve">ompression </w:t>
      </w:r>
      <w:r w:rsidR="00B20130" w:rsidRPr="00A24B71">
        <w:t>to give the table core, and v) f</w:t>
      </w:r>
      <w:r w:rsidRPr="00A24B71">
        <w:t>ilm coating.</w:t>
      </w:r>
    </w:p>
    <w:p w14:paraId="5AB7B113" w14:textId="043D0653" w:rsidR="009C5681" w:rsidRPr="00A24B71" w:rsidRDefault="00C6158C" w:rsidP="00DA55BF">
      <w:pPr>
        <w:jc w:val="both"/>
      </w:pPr>
      <w:r>
        <w:t>The formulation of the tablet as MMX is to provide he delayed extended release to deliver the budesonide directly into the colon and then to slowly disperse the budesonide over a period. The tablet is coated with an acid resistant polymer film which, protects the tablet core during the passage thorough the acidic conditions in the stomach, but which breaks down at or above pH 7.0, in the lower part of the intestine. In the ileum the budesonide is release from the tablet core which contains budesonide combined with specific polymers that provide for the extended release throughout the colon.</w:t>
      </w:r>
    </w:p>
    <w:p w14:paraId="6C6EC6CE" w14:textId="596DA8B9" w:rsidR="00E26535" w:rsidRPr="00A24B71" w:rsidRDefault="00E26535">
      <w:pPr>
        <w:jc w:val="both"/>
      </w:pPr>
      <w:r w:rsidRPr="00A24B71">
        <w:t>The manufacturing process was adequately validated with full production scale batches of the proposed tablets.</w:t>
      </w:r>
    </w:p>
    <w:p w14:paraId="70CDCF35" w14:textId="77777777" w:rsidR="00E26535" w:rsidRPr="00A24B71" w:rsidRDefault="00E26535" w:rsidP="00A24B71">
      <w:r w:rsidRPr="00A24B71">
        <w:t>The proposed tablet is controlled according t</w:t>
      </w:r>
      <w:r w:rsidR="00B20130" w:rsidRPr="00A24B71">
        <w:t>o an in-house finished product s</w:t>
      </w:r>
      <w:r w:rsidR="004F55AC">
        <w:t>pecification.</w:t>
      </w:r>
    </w:p>
    <w:p w14:paraId="2293268E" w14:textId="00E1A5BC" w:rsidR="00E26535" w:rsidRPr="00753C55" w:rsidRDefault="00E26535" w:rsidP="00753C55">
      <w:pPr>
        <w:pStyle w:val="ListBullet"/>
      </w:pPr>
      <w:r w:rsidRPr="00753C55">
        <w:lastRenderedPageBreak/>
        <w:t xml:space="preserve">All </w:t>
      </w:r>
      <w:r w:rsidR="00753C55">
        <w:t xml:space="preserve">the </w:t>
      </w:r>
      <w:r w:rsidRPr="00753C55">
        <w:t>issues raised with the finished product Specification (in particular with the tigh</w:t>
      </w:r>
      <w:r w:rsidR="00F86A86" w:rsidRPr="00753C55">
        <w:t>tening of Impurities limits)</w:t>
      </w:r>
      <w:r w:rsidRPr="00753C55">
        <w:t xml:space="preserve"> have been adequately addressed. The revised finished product Specification provided </w:t>
      </w:r>
      <w:r w:rsidR="00F86A86" w:rsidRPr="00753C55">
        <w:t>in response to TGA questions</w:t>
      </w:r>
      <w:r w:rsidR="00B20130" w:rsidRPr="00753C55">
        <w:t xml:space="preserve"> is acceptable.</w:t>
      </w:r>
    </w:p>
    <w:p w14:paraId="023AEAA2" w14:textId="0F23E02E" w:rsidR="00E26535" w:rsidRPr="00B20130" w:rsidRDefault="00E26535" w:rsidP="00B20130">
      <w:pPr>
        <w:pStyle w:val="ListBullet"/>
      </w:pPr>
      <w:r w:rsidRPr="00B20130">
        <w:t>All</w:t>
      </w:r>
      <w:r w:rsidR="00753C55">
        <w:t xml:space="preserve"> the</w:t>
      </w:r>
      <w:r w:rsidRPr="00B20130">
        <w:t xml:space="preserve"> issues</w:t>
      </w:r>
      <w:r w:rsidR="00EF0FCE">
        <w:t xml:space="preserve"> which were</w:t>
      </w:r>
      <w:r w:rsidRPr="00B20130">
        <w:t xml:space="preserve"> raised </w:t>
      </w:r>
      <w:r w:rsidR="00B20130">
        <w:t>regarding</w:t>
      </w:r>
      <w:r w:rsidRPr="00B20130">
        <w:t xml:space="preserve"> the analytical methods and validation of these methods have been adequately addressed.</w:t>
      </w:r>
    </w:p>
    <w:p w14:paraId="2948028C" w14:textId="77777777" w:rsidR="00E26535" w:rsidRPr="00F86A86" w:rsidRDefault="00E26535" w:rsidP="00E26535">
      <w:pPr>
        <w:jc w:val="both"/>
      </w:pPr>
      <w:r w:rsidRPr="00F86A86">
        <w:t xml:space="preserve">The proposed product has been shown to be stable </w:t>
      </w:r>
      <w:r w:rsidRPr="00B20130">
        <w:t>for 36 months stored below 30°C</w:t>
      </w:r>
      <w:r w:rsidR="00867E1F">
        <w:t xml:space="preserve"> when packaged in the proposed</w:t>
      </w:r>
      <w:r w:rsidRPr="00F86A86">
        <w:t xml:space="preserve"> blister pack. The proposed product is not photosensitive.</w:t>
      </w:r>
    </w:p>
    <w:p w14:paraId="4A968975" w14:textId="77777777" w:rsidR="002B604B" w:rsidRPr="002B604B" w:rsidRDefault="008E7846" w:rsidP="00DE7CC3">
      <w:pPr>
        <w:pStyle w:val="Heading3"/>
      </w:pPr>
      <w:bookmarkStart w:id="36" w:name="_Toc442962646"/>
      <w:r w:rsidRPr="00DE7CC3">
        <w:t>Biopharmaceutics</w:t>
      </w:r>
      <w:bookmarkEnd w:id="35"/>
      <w:bookmarkEnd w:id="36"/>
    </w:p>
    <w:p w14:paraId="0C241AC2" w14:textId="77777777" w:rsidR="007B2A0D" w:rsidRPr="007B2A0D" w:rsidRDefault="00F94FCE" w:rsidP="00DE7CC3">
      <w:pPr>
        <w:pStyle w:val="Heading4"/>
      </w:pPr>
      <w:r>
        <w:t xml:space="preserve">Rate and extent of </w:t>
      </w:r>
      <w:r w:rsidRPr="00DE7CC3">
        <w:t>absorption</w:t>
      </w:r>
    </w:p>
    <w:p w14:paraId="6023425E" w14:textId="0C7C1094" w:rsidR="007B2A0D" w:rsidRPr="007B2A0D" w:rsidRDefault="007B2A0D" w:rsidP="007B2A0D">
      <w:r w:rsidRPr="007B2A0D">
        <w:t xml:space="preserve">After oral dosing of plain </w:t>
      </w:r>
      <w:proofErr w:type="spellStart"/>
      <w:r w:rsidRPr="007B2A0D">
        <w:t>micronised</w:t>
      </w:r>
      <w:proofErr w:type="spellEnd"/>
      <w:r w:rsidRPr="007B2A0D">
        <w:t xml:space="preserve"> budesonide, absorption seems to be complete. A large proportion of the unformulated drug is absorbed from</w:t>
      </w:r>
      <w:r w:rsidR="00964B60">
        <w:t xml:space="preserve"> the ileum and ascending colon</w:t>
      </w:r>
      <w:r w:rsidR="004F6868">
        <w:t xml:space="preserve">. </w:t>
      </w:r>
      <w:r w:rsidRPr="007B2A0D">
        <w:t xml:space="preserve">Systemic availability of budesonide following a single administration of </w:t>
      </w:r>
      <w:r w:rsidR="000976D3">
        <w:t>Cortiment</w:t>
      </w:r>
      <w:r w:rsidR="00964B60">
        <w:t xml:space="preserve"> prolonged </w:t>
      </w:r>
      <w:r w:rsidRPr="007B2A0D">
        <w:t xml:space="preserve">release tablets in healthy volunteers was compared to that of </w:t>
      </w:r>
      <w:proofErr w:type="spellStart"/>
      <w:r w:rsidR="000976D3">
        <w:t>Entocort</w:t>
      </w:r>
      <w:proofErr w:type="spellEnd"/>
      <w:r w:rsidRPr="007B2A0D">
        <w:t xml:space="preserve"> and the result was similar</w:t>
      </w:r>
      <w:r w:rsidRPr="007F0293">
        <w:rPr>
          <w:vertAlign w:val="superscript"/>
        </w:rPr>
        <w:footnoteReference w:id="1"/>
      </w:r>
      <w:r w:rsidRPr="007B2A0D">
        <w:t xml:space="preserve"> at about 10%</w:t>
      </w:r>
      <w:r w:rsidRPr="007F0293">
        <w:rPr>
          <w:vertAlign w:val="superscript"/>
        </w:rPr>
        <w:footnoteReference w:id="2"/>
      </w:r>
      <w:r w:rsidRPr="007B2A0D">
        <w:t>, due to first pass metabolism in the liver.</w:t>
      </w:r>
    </w:p>
    <w:p w14:paraId="43B5EB56" w14:textId="06A98C17" w:rsidR="007B2A0D" w:rsidRPr="007B2A0D" w:rsidRDefault="007B2A0D" w:rsidP="007B2A0D">
      <w:r w:rsidRPr="007B2A0D">
        <w:t>Maximum plasma concentrations of b</w:t>
      </w:r>
      <w:r w:rsidR="00F329C5">
        <w:t>ude</w:t>
      </w:r>
      <w:r w:rsidR="009B35E6">
        <w:t>sonide are approximately 1.3-</w:t>
      </w:r>
      <w:r w:rsidR="00F329C5">
        <w:t xml:space="preserve">1.8 ng/mL at 13 to </w:t>
      </w:r>
      <w:r w:rsidR="009B35E6">
        <w:t>14 h</w:t>
      </w:r>
      <w:r w:rsidRPr="007B2A0D">
        <w:t xml:space="preserve"> post administrati</w:t>
      </w:r>
      <w:r w:rsidR="00F94FCE">
        <w:t xml:space="preserve">on (see all </w:t>
      </w:r>
      <w:r w:rsidR="00921D98">
        <w:t>bio studies</w:t>
      </w:r>
      <w:r w:rsidR="00F94FCE">
        <w:t xml:space="preserve"> below).</w:t>
      </w:r>
      <w:r w:rsidR="00A24B71">
        <w:t xml:space="preserve"> </w:t>
      </w:r>
      <w:r w:rsidRPr="007B2A0D">
        <w:t>It has been shown that there is no potential for drug accumu</w:t>
      </w:r>
      <w:r w:rsidR="00867E1F">
        <w:t>lation on repeated dosing (see S</w:t>
      </w:r>
      <w:r w:rsidRPr="007B2A0D">
        <w:t>tudy CRO-PK-03-105).</w:t>
      </w:r>
    </w:p>
    <w:p w14:paraId="35121E41" w14:textId="77777777" w:rsidR="002B604B" w:rsidRDefault="002B604B" w:rsidP="00DE7CC3">
      <w:pPr>
        <w:pStyle w:val="Heading5"/>
      </w:pPr>
      <w:bookmarkStart w:id="37" w:name="_Toc314842492"/>
      <w:r>
        <w:t xml:space="preserve">Food </w:t>
      </w:r>
      <w:r w:rsidRPr="00DE7CC3">
        <w:t>effect</w:t>
      </w:r>
    </w:p>
    <w:p w14:paraId="131F7F8E" w14:textId="078F32C1" w:rsidR="007B2A0D" w:rsidRPr="007B2A0D" w:rsidRDefault="007B2A0D" w:rsidP="00DE7CC3">
      <w:r w:rsidRPr="007B2A0D">
        <w:t xml:space="preserve">Based on results obtained for </w:t>
      </w:r>
      <w:r w:rsidR="00836F9D">
        <w:t>food effect investigation from S</w:t>
      </w:r>
      <w:r w:rsidR="004F6868">
        <w:t xml:space="preserve">tudy CRO-PK-03-105, </w:t>
      </w:r>
      <w:r w:rsidRPr="007B2A0D">
        <w:t xml:space="preserve">there is a decreasing effect on </w:t>
      </w:r>
      <w:r w:rsidR="00836F9D" w:rsidRPr="00836F9D">
        <w:t xml:space="preserve">time after administration of a drug when the maximum plasma concentration is reached </w:t>
      </w:r>
      <w:r w:rsidR="00836F9D">
        <w:t>(</w:t>
      </w:r>
      <w:proofErr w:type="spellStart"/>
      <w:r w:rsidRPr="007B2A0D">
        <w:t>T</w:t>
      </w:r>
      <w:r w:rsidRPr="002B604B">
        <w:rPr>
          <w:vertAlign w:val="subscript"/>
        </w:rPr>
        <w:t>max</w:t>
      </w:r>
      <w:proofErr w:type="spellEnd"/>
      <w:r w:rsidR="00836F9D" w:rsidRPr="00836F9D">
        <w:t>)</w:t>
      </w:r>
      <w:r w:rsidRPr="007B2A0D">
        <w:t xml:space="preserve">, </w:t>
      </w:r>
      <w:r w:rsidR="004215C2">
        <w:t>maximum</w:t>
      </w:r>
      <w:r w:rsidR="004215C2" w:rsidRPr="004215C2">
        <w:t xml:space="preserve"> concentration </w:t>
      </w:r>
      <w:r w:rsidR="004215C2">
        <w:t>(</w:t>
      </w:r>
      <w:proofErr w:type="spellStart"/>
      <w:r w:rsidRPr="007B2A0D">
        <w:t>C</w:t>
      </w:r>
      <w:r w:rsidRPr="002B604B">
        <w:rPr>
          <w:vertAlign w:val="subscript"/>
        </w:rPr>
        <w:t>max</w:t>
      </w:r>
      <w:proofErr w:type="spellEnd"/>
      <w:r w:rsidR="004215C2" w:rsidRPr="004215C2">
        <w:t>)</w:t>
      </w:r>
      <w:r w:rsidRPr="007B2A0D">
        <w:t xml:space="preserve"> and </w:t>
      </w:r>
      <w:r w:rsidR="00836F9D" w:rsidRPr="00836F9D">
        <w:t>Area</w:t>
      </w:r>
      <w:r w:rsidR="00836F9D">
        <w:t xml:space="preserve"> under the plasma concentration </w:t>
      </w:r>
      <w:r w:rsidR="00836F9D" w:rsidRPr="00836F9D">
        <w:t xml:space="preserve">time curve </w:t>
      </w:r>
      <w:r w:rsidR="00836F9D">
        <w:t>(</w:t>
      </w:r>
      <w:r w:rsidRPr="007B2A0D">
        <w:t>AUC</w:t>
      </w:r>
      <w:r w:rsidR="005F17B8">
        <w:t>). This is not considered to have a clinical effect on the efficacy of the product.</w:t>
      </w:r>
    </w:p>
    <w:p w14:paraId="3A6D1931" w14:textId="540BDE00" w:rsidR="007B2A0D" w:rsidRPr="007B2A0D" w:rsidRDefault="00DE7CC3" w:rsidP="00DE7CC3">
      <w:pPr>
        <w:pStyle w:val="Heading4"/>
      </w:pPr>
      <w:r>
        <w:t xml:space="preserve">Distribution and </w:t>
      </w:r>
      <w:r w:rsidRPr="00DE7CC3">
        <w:t>m</w:t>
      </w:r>
      <w:r w:rsidR="007B2A0D" w:rsidRPr="00DE7CC3">
        <w:t>etabolism</w:t>
      </w:r>
    </w:p>
    <w:p w14:paraId="066C45E5" w14:textId="77777777" w:rsidR="007B2A0D" w:rsidRDefault="007B2A0D" w:rsidP="007B2A0D">
      <w:r w:rsidRPr="007B2A0D">
        <w:t>Budesonide has a high volume of distribution (about 3 L/kg). Plasma p</w:t>
      </w:r>
      <w:r w:rsidR="00F329C5">
        <w:t xml:space="preserve">rotein binding averages 85 to </w:t>
      </w:r>
      <w:r w:rsidR="002B604B">
        <w:t xml:space="preserve">90%. </w:t>
      </w:r>
      <w:r w:rsidRPr="007B2A0D">
        <w:t>Budesonide undergoes extensive first pass biotransformation in the liver to metabolites of low glucocorticoid activity. The glucocorticoid activi</w:t>
      </w:r>
      <w:r w:rsidR="00F329C5">
        <w:t>ty of the major metabolites, 6β-</w:t>
      </w:r>
      <w:proofErr w:type="spellStart"/>
      <w:r w:rsidRPr="007B2A0D">
        <w:t>hydroxy</w:t>
      </w:r>
      <w:proofErr w:type="spellEnd"/>
      <w:r w:rsidR="002560C0">
        <w:t>-</w:t>
      </w:r>
      <w:r w:rsidRPr="007B2A0D">
        <w:t>budesonide and 16α-</w:t>
      </w:r>
      <w:proofErr w:type="spellStart"/>
      <w:r w:rsidRPr="007B2A0D">
        <w:t>hydroxy</w:t>
      </w:r>
      <w:proofErr w:type="spellEnd"/>
      <w:r w:rsidRPr="007B2A0D">
        <w:t>-prednisolone, is less than 1% of that of budesonide. The metabolism of budesonide is primarily mediated by CYP3A, a subfamily of cytochrome P450.</w:t>
      </w:r>
    </w:p>
    <w:p w14:paraId="02C2148C" w14:textId="77777777" w:rsidR="007B2A0D" w:rsidRPr="007B2A0D" w:rsidRDefault="007B2A0D" w:rsidP="005D320C">
      <w:pPr>
        <w:pStyle w:val="Heading4"/>
      </w:pPr>
      <w:r w:rsidRPr="007B2A0D">
        <w:t>Mode, route and rate of elimination</w:t>
      </w:r>
    </w:p>
    <w:p w14:paraId="6A9AF4BB" w14:textId="77777777" w:rsidR="007B2A0D" w:rsidRDefault="007B2A0D" w:rsidP="007B2A0D">
      <w:r w:rsidRPr="007B2A0D">
        <w:t>Elimination of budesonide is rate limited by absorption. Budesonide has a high system</w:t>
      </w:r>
      <w:r w:rsidR="00F94FCE">
        <w:t>ic clearance (about 1.2 L/min).</w:t>
      </w:r>
    </w:p>
    <w:p w14:paraId="55AB9AC7" w14:textId="77777777" w:rsidR="002B604B" w:rsidRDefault="002B604B" w:rsidP="00641DE8">
      <w:pPr>
        <w:pStyle w:val="Heading4"/>
      </w:pPr>
      <w:r>
        <w:lastRenderedPageBreak/>
        <w:t xml:space="preserve">The following </w:t>
      </w:r>
      <w:r w:rsidRPr="00641DE8">
        <w:t>studies</w:t>
      </w:r>
      <w:r>
        <w:t xml:space="preserve"> were evaluated</w:t>
      </w:r>
    </w:p>
    <w:p w14:paraId="335DA3E7" w14:textId="77777777" w:rsidR="002B604B" w:rsidRDefault="002B604B" w:rsidP="00B36779">
      <w:pPr>
        <w:pStyle w:val="Heading5"/>
      </w:pPr>
      <w:r>
        <w:t>CRO-01-28</w:t>
      </w:r>
    </w:p>
    <w:p w14:paraId="2A65A611" w14:textId="77777777" w:rsidR="00B36779" w:rsidRPr="00656052" w:rsidRDefault="002B604B" w:rsidP="00656052">
      <w:r w:rsidRPr="00656052">
        <w:t xml:space="preserve">Study CRO-01-28 was a </w:t>
      </w:r>
      <w:r w:rsidR="00B36779" w:rsidRPr="00656052">
        <w:t>s</w:t>
      </w:r>
      <w:r w:rsidRPr="00656052">
        <w:t xml:space="preserve">ingle dose, </w:t>
      </w:r>
      <w:proofErr w:type="spellStart"/>
      <w:r w:rsidRPr="00656052">
        <w:t>pharmacoscintigraphic</w:t>
      </w:r>
      <w:proofErr w:type="spellEnd"/>
      <w:r w:rsidRPr="00656052">
        <w:t xml:space="preserve"> and kinetic study of the </w:t>
      </w:r>
      <w:r w:rsidR="00D2383C" w:rsidRPr="00656052">
        <w:t>GI</w:t>
      </w:r>
      <w:r w:rsidRPr="00656052">
        <w:t xml:space="preserve"> transit and release of a </w:t>
      </w:r>
      <w:r w:rsidR="00D2383C" w:rsidRPr="00656052">
        <w:t xml:space="preserve">radioactively </w:t>
      </w:r>
      <w:r w:rsidRPr="00656052">
        <w:t>152Sm-labelled controlled release formulation of budesonide, in fasting male healthy volunt</w:t>
      </w:r>
      <w:r w:rsidR="00B36779" w:rsidRPr="00656052">
        <w:t xml:space="preserve">eers. The aim was to demonstrate and quantify the release and absorption of budesonide in the proposed product in the target region (between the ascending and descending colon) by </w:t>
      </w:r>
      <w:proofErr w:type="spellStart"/>
      <w:r w:rsidR="00B36779" w:rsidRPr="00656052">
        <w:t>pharmacoscintigraphy</w:t>
      </w:r>
      <w:proofErr w:type="spellEnd"/>
      <w:r w:rsidR="00B36779" w:rsidRPr="00656052">
        <w:t xml:space="preserve"> and </w:t>
      </w:r>
      <w:r w:rsidR="00F41F93" w:rsidRPr="00656052">
        <w:t>pharmacokinetic (</w:t>
      </w:r>
      <w:r w:rsidR="00B36779" w:rsidRPr="00656052">
        <w:t>PK</w:t>
      </w:r>
      <w:r w:rsidR="00F41F93" w:rsidRPr="00656052">
        <w:t>)</w:t>
      </w:r>
      <w:r w:rsidR="00B36779" w:rsidRPr="00656052">
        <w:t xml:space="preserve"> analysis.</w:t>
      </w:r>
    </w:p>
    <w:p w14:paraId="18A0A927" w14:textId="77777777" w:rsidR="00B36779" w:rsidRPr="00B36779" w:rsidRDefault="00567F16" w:rsidP="00DE7CC3">
      <w:pPr>
        <w:pStyle w:val="Heading6"/>
      </w:pPr>
      <w:r w:rsidRPr="00DE7CC3">
        <w:t>Conclusion</w:t>
      </w:r>
    </w:p>
    <w:p w14:paraId="668601E0" w14:textId="77777777" w:rsidR="00B36779" w:rsidRPr="00B36779" w:rsidRDefault="00B36779" w:rsidP="00B36779">
      <w:r w:rsidRPr="00B36779">
        <w:t>The transit time throughout the GI tract and the systemic absorption of the proposed budesonide prolonged release tablets 9 mg demonstrated the following aspects:</w:t>
      </w:r>
    </w:p>
    <w:p w14:paraId="3E02DDDE" w14:textId="77777777" w:rsidR="00B36779" w:rsidRPr="00B36779" w:rsidRDefault="00B36779" w:rsidP="00F86A86">
      <w:pPr>
        <w:pStyle w:val="Numberbullet0"/>
      </w:pPr>
      <w:r w:rsidRPr="00B36779">
        <w:t>The tablets arrival in th</w:t>
      </w:r>
      <w:r w:rsidR="00F329C5">
        <w:t xml:space="preserve">e ascending colon occurred in 7 to </w:t>
      </w:r>
      <w:r w:rsidRPr="00B36779">
        <w:t>10 h</w:t>
      </w:r>
      <w:r w:rsidR="00F329C5">
        <w:t>ours</w:t>
      </w:r>
      <w:r w:rsidRPr="00B36779">
        <w:t xml:space="preserve"> post dosing.</w:t>
      </w:r>
    </w:p>
    <w:p w14:paraId="0F067248" w14:textId="6FBBAD26" w:rsidR="00B36779" w:rsidRPr="00B36779" w:rsidRDefault="00B36779" w:rsidP="00F86A86">
      <w:pPr>
        <w:pStyle w:val="Numberbullet0"/>
      </w:pPr>
      <w:r w:rsidRPr="00B36779">
        <w:t xml:space="preserve">Disintegration or visible erosion of the tablet started in 9.48 </w:t>
      </w:r>
      <w:r w:rsidR="00F329C5">
        <w:t xml:space="preserve">hours post </w:t>
      </w:r>
      <w:r w:rsidRPr="00B36779">
        <w:t xml:space="preserve">dosing, when the tablets were mostly in the </w:t>
      </w:r>
      <w:r w:rsidR="00A24B71">
        <w:t>ileum</w:t>
      </w:r>
      <w:r w:rsidRPr="00B36779">
        <w:t xml:space="preserve">, </w:t>
      </w:r>
      <w:r w:rsidR="00A24B71">
        <w:t>ascending colon</w:t>
      </w:r>
      <w:r w:rsidRPr="00B36779">
        <w:t xml:space="preserve"> and </w:t>
      </w:r>
      <w:r w:rsidR="00A24B71">
        <w:t>transverse colon.</w:t>
      </w:r>
    </w:p>
    <w:p w14:paraId="055AE577" w14:textId="447AC16A" w:rsidR="00B36779" w:rsidRPr="00B36779" w:rsidRDefault="00B36779" w:rsidP="00F86A86">
      <w:pPr>
        <w:pStyle w:val="Numberbullet0"/>
      </w:pPr>
      <w:r w:rsidRPr="00B36779">
        <w:t xml:space="preserve">However, the appearance of budesonide in the bloodstream occurred </w:t>
      </w:r>
      <w:r w:rsidR="00291172">
        <w:t>approximately</w:t>
      </w:r>
      <w:r w:rsidRPr="00B36779">
        <w:t xml:space="preserve"> 2 hours earlier, at </w:t>
      </w:r>
      <w:r w:rsidR="00291172">
        <w:t>approximately</w:t>
      </w:r>
      <w:r w:rsidRPr="00B36779">
        <w:t xml:space="preserve"> 6.79 ± 3.24 </w:t>
      </w:r>
      <w:r w:rsidR="00F329C5">
        <w:t xml:space="preserve">hours </w:t>
      </w:r>
      <w:r w:rsidRPr="00B36779">
        <w:t>(</w:t>
      </w:r>
      <w:proofErr w:type="spellStart"/>
      <w:r w:rsidRPr="00B36779">
        <w:t>T</w:t>
      </w:r>
      <w:r w:rsidRPr="00A24B71">
        <w:rPr>
          <w:vertAlign w:val="subscript"/>
        </w:rPr>
        <w:t>lag</w:t>
      </w:r>
      <w:proofErr w:type="spellEnd"/>
      <w:r w:rsidR="009B35E6">
        <w:t>)</w:t>
      </w:r>
    </w:p>
    <w:p w14:paraId="0B21A747" w14:textId="6E12ACBA" w:rsidR="00B36779" w:rsidRPr="00B36779" w:rsidRDefault="00B36779" w:rsidP="00F86A86">
      <w:pPr>
        <w:pStyle w:val="Numberbullet0"/>
      </w:pPr>
      <w:r w:rsidRPr="00B36779">
        <w:t xml:space="preserve">The budesonide plasma concentration peaked at </w:t>
      </w:r>
      <w:r w:rsidR="00291172">
        <w:t>approximately</w:t>
      </w:r>
      <w:r w:rsidR="00867E1F">
        <w:t>14.0</w:t>
      </w:r>
      <w:r w:rsidRPr="00B36779">
        <w:t xml:space="preserve"> hour</w:t>
      </w:r>
      <w:r w:rsidR="00D2383C">
        <w:t>s</w:t>
      </w:r>
      <w:r w:rsidRPr="00B36779">
        <w:t xml:space="preserve"> post dose (</w:t>
      </w:r>
      <w:proofErr w:type="spellStart"/>
      <w:r w:rsidRPr="00B36779">
        <w:t>T</w:t>
      </w:r>
      <w:r w:rsidRPr="00A24B71">
        <w:rPr>
          <w:vertAlign w:val="subscript"/>
        </w:rPr>
        <w:t>max</w:t>
      </w:r>
      <w:proofErr w:type="spellEnd"/>
      <w:r w:rsidRPr="00B36779">
        <w:t>), which is consis</w:t>
      </w:r>
      <w:r w:rsidR="00867E1F">
        <w:t>tent wi</w:t>
      </w:r>
      <w:r w:rsidR="002560C0">
        <w:t>th that obtained in</w:t>
      </w:r>
      <w:r w:rsidR="00867E1F">
        <w:t xml:space="preserve"> S</w:t>
      </w:r>
      <w:r w:rsidRPr="00B36779">
        <w:t>tudy CRO-PK-0</w:t>
      </w:r>
      <w:r w:rsidR="00F329C5">
        <w:t xml:space="preserve">6-178. The time taken to reach </w:t>
      </w:r>
      <w:proofErr w:type="spellStart"/>
      <w:r w:rsidR="00F329C5">
        <w:t>T</w:t>
      </w:r>
      <w:r w:rsidRPr="00F329C5">
        <w:rPr>
          <w:vertAlign w:val="subscript"/>
        </w:rPr>
        <w:t>max</w:t>
      </w:r>
      <w:proofErr w:type="spellEnd"/>
      <w:r w:rsidRPr="00B36779">
        <w:t xml:space="preserve"> from the initial active release from the tablet (</w:t>
      </w:r>
      <w:proofErr w:type="spellStart"/>
      <w:r w:rsidRPr="00B36779">
        <w:t>T</w:t>
      </w:r>
      <w:r w:rsidRPr="00F329C5">
        <w:rPr>
          <w:vertAlign w:val="subscript"/>
        </w:rPr>
        <w:t>max</w:t>
      </w:r>
      <w:r w:rsidRPr="00B36779">
        <w:t>-T</w:t>
      </w:r>
      <w:r w:rsidRPr="00F329C5">
        <w:rPr>
          <w:vertAlign w:val="subscript"/>
        </w:rPr>
        <w:t>lag</w:t>
      </w:r>
      <w:proofErr w:type="spellEnd"/>
      <w:r w:rsidRPr="00B36779">
        <w:t xml:space="preserve">) was </w:t>
      </w:r>
      <w:r w:rsidR="00291172">
        <w:t>approximately</w:t>
      </w:r>
      <w:r w:rsidRPr="00B36779">
        <w:t>7.21 hour</w:t>
      </w:r>
      <w:r w:rsidR="00567F16">
        <w:t>s</w:t>
      </w:r>
      <w:r w:rsidRPr="00B36779">
        <w:t>.</w:t>
      </w:r>
    </w:p>
    <w:p w14:paraId="251B063E" w14:textId="35184207" w:rsidR="00B36779" w:rsidRPr="00B36779" w:rsidRDefault="004215C2" w:rsidP="00F86A86">
      <w:pPr>
        <w:pStyle w:val="Numberbullet0"/>
      </w:pPr>
      <w:r>
        <w:t xml:space="preserve">The mean </w:t>
      </w:r>
      <w:proofErr w:type="spellStart"/>
      <w:r w:rsidR="00B36779" w:rsidRPr="00B36779">
        <w:t>C</w:t>
      </w:r>
      <w:r w:rsidR="00B36779" w:rsidRPr="004215C2">
        <w:rPr>
          <w:vertAlign w:val="subscript"/>
        </w:rPr>
        <w:t>max</w:t>
      </w:r>
      <w:proofErr w:type="spellEnd"/>
      <w:r w:rsidR="00B36779" w:rsidRPr="00B36779">
        <w:t xml:space="preserve"> was 1768.7 ± 1499.8 </w:t>
      </w:r>
      <w:proofErr w:type="spellStart"/>
      <w:r w:rsidR="00B36779" w:rsidRPr="00B36779">
        <w:t>pg</w:t>
      </w:r>
      <w:proofErr w:type="spellEnd"/>
      <w:r w:rsidR="00B36779" w:rsidRPr="00B36779">
        <w:t xml:space="preserve">/mL (55.24% </w:t>
      </w:r>
      <w:r w:rsidR="00867E1F">
        <w:t>coefficient of variation (</w:t>
      </w:r>
      <w:r w:rsidR="00B36779" w:rsidRPr="00B36779">
        <w:t>CV</w:t>
      </w:r>
      <w:r w:rsidR="00867E1F">
        <w:t>)</w:t>
      </w:r>
      <w:r w:rsidR="00B36779" w:rsidRPr="00B36779">
        <w:t xml:space="preserve">) and the measured average plasma </w:t>
      </w:r>
      <w:r w:rsidR="00567F16" w:rsidRPr="00567F16">
        <w:t>AUC</w:t>
      </w:r>
      <w:r w:rsidR="00567F16" w:rsidRPr="00567F16">
        <w:rPr>
          <w:vertAlign w:val="subscript"/>
        </w:rPr>
        <w:t>0-24h</w:t>
      </w:r>
      <w:r w:rsidR="00567F16" w:rsidRPr="00567F16">
        <w:t xml:space="preserve"> </w:t>
      </w:r>
      <w:r w:rsidR="00B36779" w:rsidRPr="00B36779">
        <w:t xml:space="preserve">was 15607 ± 14549 </w:t>
      </w:r>
      <w:proofErr w:type="spellStart"/>
      <w:r w:rsidR="00B36779" w:rsidRPr="00D2383C">
        <w:t>pg</w:t>
      </w:r>
      <w:proofErr w:type="spellEnd"/>
      <w:r w:rsidR="00D2383C" w:rsidRPr="00D2383C">
        <w:t xml:space="preserve"> x </w:t>
      </w:r>
      <w:r w:rsidR="00567F16" w:rsidRPr="00D2383C">
        <w:t xml:space="preserve">h/mL </w:t>
      </w:r>
      <w:r w:rsidR="00567F16">
        <w:t xml:space="preserve">(93% CV). Inter </w:t>
      </w:r>
      <w:r w:rsidR="00B36779" w:rsidRPr="00B36779">
        <w:t>subject variability was very high.</w:t>
      </w:r>
    </w:p>
    <w:p w14:paraId="18CB3BE3" w14:textId="000ABB6C" w:rsidR="00B36779" w:rsidRPr="00B36779" w:rsidRDefault="00B36779" w:rsidP="00F86A86">
      <w:pPr>
        <w:pStyle w:val="Numberbullet0"/>
      </w:pPr>
      <w:r w:rsidRPr="00B36779">
        <w:t>The percentage of drug absorption during its permanence in the region between the ascending and the descending</w:t>
      </w:r>
      <w:r w:rsidR="009B35E6">
        <w:t xml:space="preserve"> </w:t>
      </w:r>
      <w:r w:rsidRPr="00B36779">
        <w:t>sigmoid colon accounted for 95.9% of the total systemic budesonide availability.</w:t>
      </w:r>
    </w:p>
    <w:p w14:paraId="47C53241" w14:textId="77777777" w:rsidR="00B36779" w:rsidRDefault="00B36779" w:rsidP="00B36779">
      <w:pPr>
        <w:pStyle w:val="Heading5"/>
        <w:rPr>
          <w:lang w:eastAsia="en-AU"/>
        </w:rPr>
      </w:pPr>
      <w:r w:rsidRPr="00B36779">
        <w:rPr>
          <w:lang w:eastAsia="en-AU"/>
        </w:rPr>
        <w:t>CRO-PK-03-105</w:t>
      </w:r>
    </w:p>
    <w:p w14:paraId="7325C9B1" w14:textId="4CED25E6" w:rsidR="00B93B33" w:rsidRPr="00BA162D" w:rsidRDefault="00B36779" w:rsidP="00B93B33">
      <w:pPr>
        <w:jc w:val="both"/>
        <w:rPr>
          <w:sz w:val="16"/>
          <w:lang w:eastAsia="en-AU"/>
        </w:rPr>
      </w:pPr>
      <w:r>
        <w:rPr>
          <w:lang w:eastAsia="en-AU"/>
        </w:rPr>
        <w:t xml:space="preserve">Study </w:t>
      </w:r>
      <w:r w:rsidRPr="00B36779">
        <w:rPr>
          <w:lang w:eastAsia="en-AU"/>
        </w:rPr>
        <w:t>CRO-PK-03-105</w:t>
      </w:r>
      <w:r>
        <w:rPr>
          <w:lang w:eastAsia="en-AU"/>
        </w:rPr>
        <w:t xml:space="preserve"> was a m</w:t>
      </w:r>
      <w:r w:rsidRPr="00BA162D">
        <w:rPr>
          <w:lang w:eastAsia="en-AU"/>
        </w:rPr>
        <w:t xml:space="preserve">ultiple dose pharmacokinetics and food effect study of a new budesonide 9 mg extended release oral formulation in male healthy </w:t>
      </w:r>
      <w:r w:rsidRPr="00B36779">
        <w:rPr>
          <w:lang w:eastAsia="en-AU"/>
        </w:rPr>
        <w:t xml:space="preserve">volunteers. </w:t>
      </w:r>
      <w:r w:rsidR="00B93B33">
        <w:rPr>
          <w:lang w:eastAsia="en-AU"/>
        </w:rPr>
        <w:t xml:space="preserve">The study objectives were </w:t>
      </w:r>
      <w:r w:rsidR="00B93B33">
        <w:rPr>
          <w:szCs w:val="24"/>
          <w:lang w:eastAsia="en-AU"/>
        </w:rPr>
        <w:t>t</w:t>
      </w:r>
      <w:r w:rsidR="00B93B33" w:rsidRPr="00BA162D">
        <w:rPr>
          <w:szCs w:val="24"/>
          <w:lang w:eastAsia="en-AU"/>
        </w:rPr>
        <w:t>o determine in healthy volunteers the pharmacokinetic profile and the tolerability after single dose in fast</w:t>
      </w:r>
      <w:r w:rsidR="00FC3FE9">
        <w:rPr>
          <w:szCs w:val="24"/>
          <w:lang w:eastAsia="en-AU"/>
        </w:rPr>
        <w:t>ed</w:t>
      </w:r>
      <w:r w:rsidR="00B93B33" w:rsidRPr="00BA162D">
        <w:rPr>
          <w:szCs w:val="24"/>
          <w:lang w:eastAsia="en-AU"/>
        </w:rPr>
        <w:t xml:space="preserve"> and </w:t>
      </w:r>
      <w:r w:rsidR="00B93B33">
        <w:rPr>
          <w:szCs w:val="24"/>
          <w:lang w:eastAsia="en-AU"/>
        </w:rPr>
        <w:t xml:space="preserve">fed </w:t>
      </w:r>
      <w:r w:rsidR="00B93B33" w:rsidRPr="00BA162D">
        <w:rPr>
          <w:szCs w:val="24"/>
          <w:lang w:eastAsia="en-AU"/>
        </w:rPr>
        <w:t>conditions (food effect) and after repeated doses in fasting conditions</w:t>
      </w:r>
      <w:r w:rsidR="00B93B33" w:rsidRPr="00BA162D">
        <w:rPr>
          <w:sz w:val="16"/>
          <w:lang w:eastAsia="en-AU"/>
        </w:rPr>
        <w:t>.</w:t>
      </w:r>
    </w:p>
    <w:p w14:paraId="0BB78297" w14:textId="77777777" w:rsidR="00B93B33" w:rsidRPr="00B93B33" w:rsidRDefault="00B93B33" w:rsidP="00F86A86">
      <w:pPr>
        <w:pStyle w:val="Heading6"/>
      </w:pPr>
      <w:r w:rsidRPr="00B93B33">
        <w:t>C</w:t>
      </w:r>
      <w:r w:rsidR="00C468DA" w:rsidRPr="00B93B33">
        <w:t>onclusion</w:t>
      </w:r>
    </w:p>
    <w:p w14:paraId="1A1994ED" w14:textId="77777777" w:rsidR="00B93B33" w:rsidRPr="00F86A86" w:rsidRDefault="00567F16" w:rsidP="00CE5880">
      <w:pPr>
        <w:pStyle w:val="Heading7"/>
      </w:pPr>
      <w:r>
        <w:t>Food affect</w:t>
      </w:r>
    </w:p>
    <w:p w14:paraId="6273192B" w14:textId="77777777" w:rsidR="00B93B33" w:rsidRPr="00B93B33" w:rsidRDefault="00B93B33" w:rsidP="00B93B33">
      <w:r w:rsidRPr="00B93B33">
        <w:t>There is a food effect on the bioavailability of the proposed budesonide prolonged release tablet 9 mg with regards to the</w:t>
      </w:r>
      <w:r w:rsidR="00567F16">
        <w:t xml:space="preserve"> rate and extent of absorption.</w:t>
      </w:r>
      <w:r w:rsidR="0065085C">
        <w:t xml:space="preserve"> </w:t>
      </w:r>
      <w:r w:rsidRPr="00B93B33">
        <w:t xml:space="preserve">Food decreased the rate of absorption by </w:t>
      </w:r>
      <w:r w:rsidR="00291172">
        <w:t>approximately</w:t>
      </w:r>
      <w:r w:rsidRPr="00B93B33">
        <w:t xml:space="preserve"> 4 hours and lowered the </w:t>
      </w:r>
      <w:proofErr w:type="spellStart"/>
      <w:r w:rsidRPr="00B93B33">
        <w:t>C</w:t>
      </w:r>
      <w:r w:rsidRPr="00C468DA">
        <w:rPr>
          <w:vertAlign w:val="subscript"/>
        </w:rPr>
        <w:t>max</w:t>
      </w:r>
      <w:proofErr w:type="spellEnd"/>
      <w:r w:rsidRPr="00B93B33">
        <w:t xml:space="preserve"> by </w:t>
      </w:r>
      <w:r w:rsidR="00291172">
        <w:t>approximately</w:t>
      </w:r>
      <w:r w:rsidR="0065085C">
        <w:t xml:space="preserve"> </w:t>
      </w:r>
      <w:r w:rsidRPr="00B93B33">
        <w:t xml:space="preserve">27%. The extent of absorption decreased slightly by </w:t>
      </w:r>
      <w:r w:rsidR="00291172">
        <w:t>approximately</w:t>
      </w:r>
      <w:r w:rsidR="0065085C">
        <w:t xml:space="preserve"> </w:t>
      </w:r>
      <w:r w:rsidRPr="00B93B33">
        <w:t>9% when taken with food immediately prior to dosing. This is not considered to have a clinical effect on the efficacy of the product</w:t>
      </w:r>
      <w:r>
        <w:t>.</w:t>
      </w:r>
    </w:p>
    <w:p w14:paraId="749974FD" w14:textId="77777777" w:rsidR="00B93B33" w:rsidRPr="00F86A86" w:rsidRDefault="00567F16" w:rsidP="00CE5880">
      <w:pPr>
        <w:pStyle w:val="Heading7"/>
      </w:pPr>
      <w:r>
        <w:t>Repeated dose</w:t>
      </w:r>
    </w:p>
    <w:p w14:paraId="3E29FD1B" w14:textId="77777777" w:rsidR="00B93B33" w:rsidRPr="00B93B33" w:rsidRDefault="00B93B33" w:rsidP="00B93B33">
      <w:r w:rsidRPr="00B93B33">
        <w:t>Budesonide plasma levels did not accumulate after repeated doses.</w:t>
      </w:r>
      <w:r w:rsidR="0065085C">
        <w:t xml:space="preserve"> </w:t>
      </w:r>
      <w:r w:rsidRPr="00B93B33">
        <w:t xml:space="preserve">There were statistically significant differences between </w:t>
      </w:r>
      <w:proofErr w:type="spellStart"/>
      <w:r w:rsidRPr="00B93B33">
        <w:t>C</w:t>
      </w:r>
      <w:r w:rsidRPr="00C468DA">
        <w:rPr>
          <w:vertAlign w:val="subscript"/>
        </w:rPr>
        <w:t>max</w:t>
      </w:r>
      <w:proofErr w:type="spellEnd"/>
      <w:r w:rsidRPr="00B93B33">
        <w:t xml:space="preserve"> and AUC values between a single dose and repeated doses. </w:t>
      </w:r>
      <w:proofErr w:type="spellStart"/>
      <w:r w:rsidRPr="00B93B33">
        <w:t>C</w:t>
      </w:r>
      <w:r w:rsidRPr="00C468DA">
        <w:rPr>
          <w:vertAlign w:val="subscript"/>
        </w:rPr>
        <w:t>max</w:t>
      </w:r>
      <w:proofErr w:type="spellEnd"/>
      <w:r w:rsidRPr="00B93B33">
        <w:t xml:space="preserve"> and AUC decreased by </w:t>
      </w:r>
      <w:r w:rsidR="00291172">
        <w:t>approximately</w:t>
      </w:r>
      <w:r w:rsidRPr="00B93B33">
        <w:t xml:space="preserve"> 38% and </w:t>
      </w:r>
      <w:r w:rsidR="00291172">
        <w:t>approximately</w:t>
      </w:r>
      <w:r w:rsidR="0065085C">
        <w:t xml:space="preserve"> </w:t>
      </w:r>
      <w:r w:rsidRPr="00B93B33">
        <w:t xml:space="preserve">40%, respectively, after repeated </w:t>
      </w:r>
      <w:r w:rsidR="00867E1F" w:rsidRPr="00B93B33">
        <w:t>dosing</w:t>
      </w:r>
      <w:r w:rsidRPr="00B93B33">
        <w:t>.</w:t>
      </w:r>
    </w:p>
    <w:p w14:paraId="6BDFBD90" w14:textId="77777777" w:rsidR="00B93B33" w:rsidRDefault="00B93B33" w:rsidP="00B93B33">
      <w:pPr>
        <w:pStyle w:val="Heading5"/>
      </w:pPr>
      <w:bookmarkStart w:id="38" w:name="_Toc404672627"/>
      <w:r>
        <w:lastRenderedPageBreak/>
        <w:t>CRO-PK-06-178</w:t>
      </w:r>
      <w:bookmarkEnd w:id="38"/>
    </w:p>
    <w:p w14:paraId="01782578" w14:textId="6EA5AA61" w:rsidR="00B93B33" w:rsidRPr="00656052" w:rsidRDefault="00B93B33" w:rsidP="00656052">
      <w:r w:rsidRPr="00656052">
        <w:t xml:space="preserve">Study CRO-PK-06-178 was a bioavailability profile of </w:t>
      </w:r>
      <w:r w:rsidR="00FC3FE9" w:rsidRPr="00656052">
        <w:t>the</w:t>
      </w:r>
      <w:r w:rsidRPr="00656052">
        <w:t xml:space="preserve"> MMX</w:t>
      </w:r>
      <w:r w:rsidR="008A7566" w:rsidRPr="00656052">
        <w:t xml:space="preserve"> </w:t>
      </w:r>
      <w:r w:rsidR="00271024" w:rsidRPr="00656052">
        <w:t>b</w:t>
      </w:r>
      <w:r w:rsidRPr="00656052">
        <w:t xml:space="preserve">udesonide extended release formulation (6 and 9 mg tablets) </w:t>
      </w:r>
      <w:r w:rsidR="00C468DA" w:rsidRPr="00656052">
        <w:t>versus</w:t>
      </w:r>
      <w:r w:rsidRPr="00656052">
        <w:t xml:space="preserve"> a controlled </w:t>
      </w:r>
      <w:proofErr w:type="spellStart"/>
      <w:r w:rsidRPr="00656052">
        <w:t>ileal</w:t>
      </w:r>
      <w:proofErr w:type="spellEnd"/>
      <w:r w:rsidRPr="00656052">
        <w:t xml:space="preserve"> release formulation, </w:t>
      </w:r>
      <w:proofErr w:type="spellStart"/>
      <w:r w:rsidRPr="00656052">
        <w:t>Entocort</w:t>
      </w:r>
      <w:proofErr w:type="spellEnd"/>
      <w:r w:rsidRPr="00656052">
        <w:t xml:space="preserve"> 3 × 3 mg capsules, in healthy volunteers, under fasting conditions.</w:t>
      </w:r>
    </w:p>
    <w:p w14:paraId="79420C49" w14:textId="76E62393" w:rsidR="00C468DA" w:rsidRPr="00C468DA" w:rsidRDefault="00C468DA" w:rsidP="00F86A86">
      <w:pPr>
        <w:pStyle w:val="Heading6"/>
      </w:pPr>
      <w:r w:rsidRPr="00C468DA">
        <w:t>Conclusion</w:t>
      </w:r>
    </w:p>
    <w:p w14:paraId="75DE465A" w14:textId="77777777" w:rsidR="00C468DA" w:rsidRPr="00C468DA" w:rsidRDefault="00C468DA" w:rsidP="00DE7CC3">
      <w:pPr>
        <w:pStyle w:val="ListBullet"/>
      </w:pPr>
      <w:r w:rsidRPr="00C468DA">
        <w:t xml:space="preserve">Inter-subject variability was very high among both test formulations and the reference </w:t>
      </w:r>
      <w:r w:rsidRPr="00DE7CC3">
        <w:t>formulation</w:t>
      </w:r>
      <w:r w:rsidRPr="00C468DA">
        <w:t xml:space="preserve"> (all &gt; 39.78% CV for </w:t>
      </w:r>
      <w:proofErr w:type="spellStart"/>
      <w:r w:rsidRPr="00C468DA">
        <w:t>C</w:t>
      </w:r>
      <w:r w:rsidRPr="00C468DA">
        <w:rPr>
          <w:vertAlign w:val="subscript"/>
        </w:rPr>
        <w:t>max</w:t>
      </w:r>
      <w:proofErr w:type="spellEnd"/>
      <w:r w:rsidRPr="00C468DA">
        <w:rPr>
          <w:vertAlign w:val="subscript"/>
        </w:rPr>
        <w:t xml:space="preserve"> </w:t>
      </w:r>
      <w:r w:rsidRPr="00C468DA">
        <w:t xml:space="preserve">and </w:t>
      </w:r>
      <w:r w:rsidR="00996F31" w:rsidRPr="00996F31">
        <w:t>Area under the plasma concentration time curve from time 0 to time t</w:t>
      </w:r>
      <w:r w:rsidR="00996F31" w:rsidRPr="00996F31">
        <w:rPr>
          <w:bCs/>
        </w:rPr>
        <w:t xml:space="preserve"> </w:t>
      </w:r>
      <w:r w:rsidR="00996F31">
        <w:rPr>
          <w:bCs/>
        </w:rPr>
        <w:t>(</w:t>
      </w:r>
      <w:r w:rsidR="00996F31" w:rsidRPr="00996F31">
        <w:rPr>
          <w:bCs/>
          <w:szCs w:val="24"/>
          <w:lang w:eastAsia="en-AU"/>
        </w:rPr>
        <w:t>AUC</w:t>
      </w:r>
      <w:r w:rsidR="00996F31" w:rsidRPr="00996F31">
        <w:rPr>
          <w:bCs/>
          <w:szCs w:val="24"/>
          <w:vertAlign w:val="subscript"/>
          <w:lang w:eastAsia="en-AU"/>
        </w:rPr>
        <w:t>0-t</w:t>
      </w:r>
      <w:r w:rsidRPr="00C468DA">
        <w:t>)</w:t>
      </w:r>
      <w:r w:rsidR="00996F31">
        <w:t>)</w:t>
      </w:r>
      <w:r w:rsidRPr="00C468DA">
        <w:t>.</w:t>
      </w:r>
    </w:p>
    <w:p w14:paraId="6B3DDD69" w14:textId="77777777" w:rsidR="00C468DA" w:rsidRPr="00C468DA" w:rsidRDefault="00C468DA" w:rsidP="00C468DA">
      <w:pPr>
        <w:pStyle w:val="ListBullet"/>
      </w:pPr>
      <w:r w:rsidRPr="00C468DA">
        <w:t xml:space="preserve">The </w:t>
      </w:r>
      <w:proofErr w:type="spellStart"/>
      <w:r w:rsidRPr="00C468DA">
        <w:t>T</w:t>
      </w:r>
      <w:r w:rsidRPr="00C468DA">
        <w:rPr>
          <w:vertAlign w:val="subscript"/>
        </w:rPr>
        <w:t>max</w:t>
      </w:r>
      <w:proofErr w:type="spellEnd"/>
      <w:r w:rsidRPr="00C468DA">
        <w:t xml:space="preserve"> between the proposed product (1 x 9 mg) and the reference product </w:t>
      </w:r>
      <w:proofErr w:type="spellStart"/>
      <w:r w:rsidRPr="00C468DA">
        <w:t>Entocort</w:t>
      </w:r>
      <w:proofErr w:type="spellEnd"/>
      <w:r w:rsidRPr="00C468DA">
        <w:t xml:space="preserve"> (3 x 3 m</w:t>
      </w:r>
      <w:r w:rsidR="004F55AC">
        <w:t>g) are significantly different.</w:t>
      </w:r>
    </w:p>
    <w:p w14:paraId="3F63E295" w14:textId="124C0454" w:rsidR="00C468DA" w:rsidRPr="0065085C" w:rsidRDefault="00C468DA" w:rsidP="0065085C">
      <w:pPr>
        <w:pStyle w:val="ListBullet2"/>
      </w:pPr>
      <w:r w:rsidRPr="0065085C">
        <w:t xml:space="preserve">The test product reached </w:t>
      </w:r>
      <w:proofErr w:type="spellStart"/>
      <w:r w:rsidRPr="0065085C">
        <w:t>T</w:t>
      </w:r>
      <w:r w:rsidRPr="0065085C">
        <w:rPr>
          <w:vertAlign w:val="subscript"/>
        </w:rPr>
        <w:t>max</w:t>
      </w:r>
      <w:proofErr w:type="spellEnd"/>
      <w:r w:rsidRPr="0065085C">
        <w:t xml:space="preserve"> at </w:t>
      </w:r>
      <w:r w:rsidR="00291172" w:rsidRPr="0065085C">
        <w:t>approximately</w:t>
      </w:r>
      <w:r w:rsidRPr="0065085C">
        <w:t xml:space="preserve"> 12.8 hours, which is </w:t>
      </w:r>
      <w:r w:rsidR="00291172" w:rsidRPr="0065085C">
        <w:t>approximately</w:t>
      </w:r>
      <w:r w:rsidR="002560C0">
        <w:t xml:space="preserve"> </w:t>
      </w:r>
      <w:r w:rsidRPr="0065085C">
        <w:t>8 hours slower than</w:t>
      </w:r>
      <w:r w:rsidR="0065085C">
        <w:t xml:space="preserve"> that of the reference product.</w:t>
      </w:r>
    </w:p>
    <w:p w14:paraId="75F83515" w14:textId="77777777" w:rsidR="00C468DA" w:rsidRPr="0065085C" w:rsidRDefault="00C468DA" w:rsidP="0065085C">
      <w:pPr>
        <w:pStyle w:val="ListBullet2"/>
      </w:pPr>
      <w:r w:rsidRPr="0065085C">
        <w:t xml:space="preserve">This is supportive of the intended mechanism of the proposed product 9 mg, which is to delay the release of the active until it reaches the whole colon sigmoid region of the GI tract, rather than in the terminal ileum and ascending colon region as intended by </w:t>
      </w:r>
      <w:proofErr w:type="spellStart"/>
      <w:r w:rsidRPr="0065085C">
        <w:t>Entocort</w:t>
      </w:r>
      <w:proofErr w:type="spellEnd"/>
      <w:r w:rsidRPr="0065085C">
        <w:t>.</w:t>
      </w:r>
    </w:p>
    <w:p w14:paraId="193CCAA4" w14:textId="77777777" w:rsidR="00E20F06" w:rsidRDefault="00C468DA" w:rsidP="00E20F06">
      <w:pPr>
        <w:pStyle w:val="ListBullet"/>
      </w:pPr>
      <w:r w:rsidRPr="00C468DA">
        <w:t xml:space="preserve">Accordingly, the mean </w:t>
      </w:r>
      <w:proofErr w:type="spellStart"/>
      <w:r w:rsidRPr="00C468DA">
        <w:t>C</w:t>
      </w:r>
      <w:r w:rsidRPr="00C468DA">
        <w:rPr>
          <w:vertAlign w:val="subscript"/>
        </w:rPr>
        <w:t>max</w:t>
      </w:r>
      <w:proofErr w:type="spellEnd"/>
      <w:r w:rsidRPr="00C468DA">
        <w:rPr>
          <w:vertAlign w:val="subscript"/>
        </w:rPr>
        <w:t xml:space="preserve"> </w:t>
      </w:r>
      <w:r w:rsidRPr="00C468DA">
        <w:t xml:space="preserve">of the proposed product 9 mg is </w:t>
      </w:r>
      <w:r>
        <w:t xml:space="preserve">lower than that of </w:t>
      </w:r>
      <w:proofErr w:type="spellStart"/>
      <w:r w:rsidRPr="00C468DA">
        <w:t>Entocort</w:t>
      </w:r>
      <w:proofErr w:type="spellEnd"/>
      <w:r w:rsidRPr="00C468DA">
        <w:t xml:space="preserve"> and the 90% </w:t>
      </w:r>
      <w:r w:rsidR="002560C0">
        <w:t>confidence interval (</w:t>
      </w:r>
      <w:r w:rsidRPr="00C468DA">
        <w:t>CI</w:t>
      </w:r>
      <w:r w:rsidR="002560C0">
        <w:t>)</w:t>
      </w:r>
      <w:r w:rsidRPr="00C468DA">
        <w:t xml:space="preserve"> indicates that th</w:t>
      </w:r>
      <w:r w:rsidR="0065085C">
        <w:t>ey are significantly different.</w:t>
      </w:r>
    </w:p>
    <w:p w14:paraId="3F9EEA4C" w14:textId="4C36A9A8" w:rsidR="00C468DA" w:rsidRPr="00C468DA" w:rsidRDefault="00C468DA" w:rsidP="00E20F06">
      <w:pPr>
        <w:pStyle w:val="ListBullet2"/>
      </w:pPr>
      <w:r w:rsidRPr="00C468DA">
        <w:t xml:space="preserve">Similar to </w:t>
      </w:r>
      <w:proofErr w:type="spellStart"/>
      <w:r w:rsidRPr="00C468DA">
        <w:t>T</w:t>
      </w:r>
      <w:r w:rsidRPr="00E20F06">
        <w:rPr>
          <w:vertAlign w:val="subscript"/>
        </w:rPr>
        <w:t>max</w:t>
      </w:r>
      <w:proofErr w:type="spellEnd"/>
      <w:r w:rsidRPr="00C468DA">
        <w:t xml:space="preserve"> above, the lower </w:t>
      </w:r>
      <w:proofErr w:type="spellStart"/>
      <w:r w:rsidRPr="00C468DA">
        <w:t>C</w:t>
      </w:r>
      <w:r w:rsidRPr="00E20F06">
        <w:rPr>
          <w:vertAlign w:val="subscript"/>
        </w:rPr>
        <w:t>max</w:t>
      </w:r>
      <w:proofErr w:type="spellEnd"/>
      <w:r w:rsidRPr="00C468DA">
        <w:t xml:space="preserve"> is obtained due to intended drug release mechanism of the proposed tablet in the colon segment of the GI tract</w:t>
      </w:r>
      <w:r>
        <w:t>.</w:t>
      </w:r>
    </w:p>
    <w:p w14:paraId="6634AAF5" w14:textId="75EFB4A3" w:rsidR="005D320C" w:rsidRDefault="00C468DA" w:rsidP="002F6D3F">
      <w:pPr>
        <w:pStyle w:val="ListBullet"/>
      </w:pPr>
      <w:r w:rsidRPr="00C468DA">
        <w:t xml:space="preserve">The company’s conclusion stated the proposed product 9 mg and reference </w:t>
      </w:r>
      <w:r w:rsidRPr="00F86A86">
        <w:t xml:space="preserve">product </w:t>
      </w:r>
      <w:r w:rsidR="008A7566" w:rsidRPr="00F86A86">
        <w:t xml:space="preserve">(3 x 3 mg) </w:t>
      </w:r>
      <w:r w:rsidRPr="00F86A86">
        <w:t>a</w:t>
      </w:r>
      <w:r w:rsidR="002560C0">
        <w:t>re non-equivalent</w:t>
      </w:r>
      <w:r w:rsidRPr="00C468DA">
        <w:t xml:space="preserve"> in terms of the exte</w:t>
      </w:r>
      <w:r w:rsidR="0065085C">
        <w:t xml:space="preserve">nt of absorption of </w:t>
      </w:r>
      <w:proofErr w:type="spellStart"/>
      <w:r w:rsidR="0065085C">
        <w:t>budesonide.</w:t>
      </w:r>
      <w:r w:rsidRPr="00C468DA">
        <w:t>However</w:t>
      </w:r>
      <w:proofErr w:type="spellEnd"/>
      <w:r w:rsidRPr="00C468DA">
        <w:t xml:space="preserve">, the evaluator’s recalculated values for </w:t>
      </w:r>
      <w:r w:rsidR="00820B1D" w:rsidRPr="0056553B">
        <w:rPr>
          <w:bCs/>
          <w:szCs w:val="24"/>
          <w:lang w:eastAsia="en-AU"/>
        </w:rPr>
        <w:t>AUC</w:t>
      </w:r>
      <w:r w:rsidR="00820B1D" w:rsidRPr="0056553B">
        <w:rPr>
          <w:bCs/>
          <w:sz w:val="16"/>
          <w:szCs w:val="16"/>
          <w:lang w:eastAsia="en-AU"/>
        </w:rPr>
        <w:t>0-t</w:t>
      </w:r>
      <w:r w:rsidRPr="00C468DA">
        <w:t xml:space="preserve"> indicate that the proposed product 9 mg and </w:t>
      </w:r>
      <w:proofErr w:type="spellStart"/>
      <w:r w:rsidRPr="00C468DA">
        <w:t>E</w:t>
      </w:r>
      <w:r w:rsidR="00820B1D" w:rsidRPr="00C468DA">
        <w:t>ntocort</w:t>
      </w:r>
      <w:proofErr w:type="spellEnd"/>
      <w:r w:rsidRPr="00C468DA">
        <w:t xml:space="preserve"> are bioequivalent in terms of extent of absorption, indicated by the 90% CI of </w:t>
      </w:r>
      <w:r w:rsidR="00820B1D" w:rsidRPr="0056553B">
        <w:rPr>
          <w:bCs/>
          <w:szCs w:val="24"/>
          <w:lang w:eastAsia="en-AU"/>
        </w:rPr>
        <w:t>AUC</w:t>
      </w:r>
      <w:r w:rsidR="00820B1D" w:rsidRPr="0056553B">
        <w:rPr>
          <w:bCs/>
          <w:sz w:val="16"/>
          <w:szCs w:val="16"/>
          <w:lang w:eastAsia="en-AU"/>
        </w:rPr>
        <w:t>0-t</w:t>
      </w:r>
      <w:r w:rsidR="0065085C">
        <w:t xml:space="preserve"> falling within the 80 to </w:t>
      </w:r>
      <w:r w:rsidRPr="00C468DA">
        <w:t>125% range required to conclude equivalence.</w:t>
      </w:r>
    </w:p>
    <w:p w14:paraId="54381747" w14:textId="07F1C32F" w:rsidR="008A7566" w:rsidRPr="00F86A86" w:rsidRDefault="008A7566" w:rsidP="00F86A86">
      <w:r w:rsidRPr="00F86A86">
        <w:t xml:space="preserve">It is noted that all the findings listed in the conclusion above were subjected to the conditions that the sponsor providing </w:t>
      </w:r>
      <w:r w:rsidR="006170EC">
        <w:t xml:space="preserve">additional information in order to comply with the requirements of current EU guideline, as concerns </w:t>
      </w:r>
      <w:r w:rsidR="001B5F0E">
        <w:t>were raised regarding the</w:t>
      </w:r>
      <w:r w:rsidRPr="00F86A86">
        <w:t xml:space="preserve"> reference product (</w:t>
      </w:r>
      <w:proofErr w:type="spellStart"/>
      <w:r w:rsidRPr="00F86A86">
        <w:t>Entocort</w:t>
      </w:r>
      <w:proofErr w:type="spellEnd"/>
      <w:r w:rsidR="001B5F0E">
        <w:t>)</w:t>
      </w:r>
      <w:r w:rsidRPr="00F86A86">
        <w:t xml:space="preserve"> used</w:t>
      </w:r>
      <w:r w:rsidR="0065085C">
        <w:t xml:space="preserve"> in this </w:t>
      </w:r>
      <w:r w:rsidR="003E1BB1">
        <w:t xml:space="preserve">bioavailability </w:t>
      </w:r>
      <w:proofErr w:type="spellStart"/>
      <w:r w:rsidR="0065085C">
        <w:t>study.</w:t>
      </w:r>
      <w:r w:rsidRPr="00F86A86">
        <w:t>The</w:t>
      </w:r>
      <w:proofErr w:type="spellEnd"/>
      <w:r w:rsidRPr="00F86A86">
        <w:t xml:space="preserve"> Certificate of Analysis is critical in a bioequivalence study as the Assay content of budesonide in the Test product and Reference product should be within 5% difference in accordance with EU guideline. This determines whether the statistical analysis for </w:t>
      </w:r>
      <w:proofErr w:type="spellStart"/>
      <w:r w:rsidRPr="00F86A86">
        <w:t>C</w:t>
      </w:r>
      <w:r w:rsidRPr="0065085C">
        <w:rPr>
          <w:vertAlign w:val="subscript"/>
        </w:rPr>
        <w:t>max</w:t>
      </w:r>
      <w:proofErr w:type="spellEnd"/>
      <w:r w:rsidRPr="00F86A86">
        <w:t>, AUC would require adjus</w:t>
      </w:r>
      <w:r w:rsidR="0065085C">
        <w:t>tments for potency difference.</w:t>
      </w:r>
    </w:p>
    <w:p w14:paraId="06E1E9F2" w14:textId="1D37D6D0" w:rsidR="008A7566" w:rsidRPr="00F86A86" w:rsidRDefault="008A7566" w:rsidP="00F86A86">
      <w:r w:rsidRPr="00F86A86">
        <w:t>In this case, the Certificate of Analysis for the reference product (</w:t>
      </w:r>
      <w:proofErr w:type="spellStart"/>
      <w:r w:rsidRPr="00F86A86">
        <w:t>Entocort</w:t>
      </w:r>
      <w:proofErr w:type="spellEnd"/>
      <w:r w:rsidRPr="00F86A86">
        <w:t xml:space="preserve"> batch #MO0077) was </w:t>
      </w:r>
      <w:r w:rsidR="00996F31">
        <w:t xml:space="preserve">not </w:t>
      </w:r>
      <w:r w:rsidRPr="00F86A86">
        <w:t xml:space="preserve">available </w:t>
      </w:r>
      <w:r w:rsidR="00996F31">
        <w:t>from</w:t>
      </w:r>
      <w:r w:rsidRPr="00F86A86">
        <w:t xml:space="preserve"> the sponsor, due to the bioequivalence study being conducted prior to the ava</w:t>
      </w:r>
      <w:r w:rsidR="0065085C">
        <w:t xml:space="preserve">ilability of the EU guideline. </w:t>
      </w:r>
      <w:r w:rsidRPr="00F86A86">
        <w:t>Therefore, it is not known whether the assay results for the reference product and test product are within 5% difference in accordance with th</w:t>
      </w:r>
      <w:r w:rsidR="0065085C">
        <w:t>e EU guideline.</w:t>
      </w:r>
    </w:p>
    <w:p w14:paraId="49C481DB" w14:textId="64B49984" w:rsidR="004B5F35" w:rsidRPr="004B5F35" w:rsidRDefault="008A7566" w:rsidP="004B5F35">
      <w:r w:rsidRPr="004B5F35">
        <w:t xml:space="preserve">The absence of the assay value for the reference product undermined the results obtained for all PK parameters. Hence, an unequivocal conclusion cannot be drawn with regards to the equivalency (or non-equivalency) between the proposed product 9 mg prolonged </w:t>
      </w:r>
      <w:r w:rsidRPr="004B5F35">
        <w:lastRenderedPageBreak/>
        <w:t xml:space="preserve">release tablet and the reference product </w:t>
      </w:r>
      <w:proofErr w:type="spellStart"/>
      <w:r w:rsidRPr="004B5F35">
        <w:t>Entocort</w:t>
      </w:r>
      <w:proofErr w:type="spellEnd"/>
      <w:r w:rsidRPr="004B5F35">
        <w:t xml:space="preserve"> (3 x 3 mg capsule) for </w:t>
      </w:r>
      <w:proofErr w:type="spellStart"/>
      <w:r w:rsidRPr="004B5F35">
        <w:t>Tmax</w:t>
      </w:r>
      <w:proofErr w:type="spellEnd"/>
      <w:r w:rsidRPr="004B5F35">
        <w:t xml:space="preserve">, </w:t>
      </w:r>
      <w:proofErr w:type="spellStart"/>
      <w:r w:rsidRPr="004B5F35">
        <w:t>Cmax</w:t>
      </w:r>
      <w:proofErr w:type="spellEnd"/>
      <w:r w:rsidRPr="004B5F35">
        <w:t xml:space="preserve"> and </w:t>
      </w:r>
      <w:r w:rsidR="00F41F93" w:rsidRPr="004B5F35">
        <w:t>AUC</w:t>
      </w:r>
      <w:r w:rsidR="00F41F93" w:rsidRPr="004B5F35">
        <w:rPr>
          <w:vertAlign w:val="subscript"/>
        </w:rPr>
        <w:t>0-t</w:t>
      </w:r>
      <w:r w:rsidR="0065085C" w:rsidRPr="004B5F35">
        <w:t>.</w:t>
      </w:r>
      <w:r w:rsidR="004B5F35">
        <w:rPr>
          <w:rStyle w:val="FootnoteReference"/>
        </w:rPr>
        <w:footnoteReference w:id="3"/>
      </w:r>
    </w:p>
    <w:p w14:paraId="467ECAD0" w14:textId="66507B57" w:rsidR="005D320C" w:rsidRPr="00A77062" w:rsidRDefault="00F200B0" w:rsidP="004A7AD4">
      <w:pPr>
        <w:autoSpaceDE w:val="0"/>
        <w:autoSpaceDN w:val="0"/>
        <w:adjustRightInd w:val="0"/>
        <w:spacing w:before="0" w:after="0"/>
        <w:jc w:val="both"/>
      </w:pPr>
      <w:r>
        <w:t>A</w:t>
      </w:r>
      <w:r w:rsidR="00456D4D" w:rsidRPr="0056553B">
        <w:t>n unequivocal conclusion</w:t>
      </w:r>
      <w:r w:rsidR="001F72FB" w:rsidRPr="0056553B">
        <w:t xml:space="preserve"> regarding the equivalency (or </w:t>
      </w:r>
      <w:proofErr w:type="spellStart"/>
      <w:r w:rsidR="001F72FB" w:rsidRPr="0056553B">
        <w:t>non equivalency</w:t>
      </w:r>
      <w:proofErr w:type="spellEnd"/>
      <w:r w:rsidR="001F72FB" w:rsidRPr="0056553B">
        <w:t xml:space="preserve">) between the proposed </w:t>
      </w:r>
      <w:r w:rsidR="001F72FB" w:rsidRPr="00A77062">
        <w:t xml:space="preserve">product </w:t>
      </w:r>
      <w:r w:rsidR="001F72FB" w:rsidRPr="0034037B">
        <w:t xml:space="preserve">and reference product with regards to </w:t>
      </w:r>
      <w:proofErr w:type="spellStart"/>
      <w:r w:rsidR="001F72FB" w:rsidRPr="0034037B">
        <w:t>Tmax</w:t>
      </w:r>
      <w:proofErr w:type="spellEnd"/>
      <w:r w:rsidR="001F72FB" w:rsidRPr="0034037B">
        <w:t xml:space="preserve">, </w:t>
      </w:r>
      <w:proofErr w:type="spellStart"/>
      <w:r w:rsidR="001F72FB" w:rsidRPr="0034037B">
        <w:t>Cmax</w:t>
      </w:r>
      <w:proofErr w:type="spellEnd"/>
      <w:r w:rsidR="001F72FB" w:rsidRPr="0034037B">
        <w:t xml:space="preserve"> and </w:t>
      </w:r>
      <w:proofErr w:type="spellStart"/>
      <w:r w:rsidR="001F72FB" w:rsidRPr="0034037B">
        <w:t>AUCt</w:t>
      </w:r>
      <w:proofErr w:type="spellEnd"/>
      <w:r w:rsidR="001F72FB" w:rsidRPr="0034037B">
        <w:t xml:space="preserve"> </w:t>
      </w:r>
      <w:r w:rsidR="001B5F0E" w:rsidRPr="009B6EDC">
        <w:t xml:space="preserve">could </w:t>
      </w:r>
      <w:r w:rsidR="00456D4D" w:rsidRPr="009B6EDC">
        <w:t xml:space="preserve">not </w:t>
      </w:r>
      <w:r>
        <w:t xml:space="preserve">be </w:t>
      </w:r>
      <w:r w:rsidR="00456D4D" w:rsidRPr="00C473A3">
        <w:t>drawn.</w:t>
      </w:r>
    </w:p>
    <w:p w14:paraId="0937659B" w14:textId="77777777" w:rsidR="008E7846" w:rsidRPr="0056553B" w:rsidRDefault="008E7846" w:rsidP="00DE7CC3">
      <w:pPr>
        <w:pStyle w:val="Heading3"/>
        <w:rPr>
          <w:rFonts w:eastAsia="Cambria"/>
        </w:rPr>
      </w:pPr>
      <w:bookmarkStart w:id="39" w:name="_Toc247691509"/>
      <w:bookmarkStart w:id="40" w:name="_Toc314842493"/>
      <w:bookmarkStart w:id="41" w:name="_Toc442962647"/>
      <w:bookmarkEnd w:id="37"/>
      <w:r w:rsidRPr="0056553B">
        <w:rPr>
          <w:rFonts w:eastAsia="Cambria"/>
        </w:rPr>
        <w:t xml:space="preserve">Quality </w:t>
      </w:r>
      <w:r w:rsidRPr="00DE7CC3">
        <w:rPr>
          <w:rFonts w:eastAsia="Cambria"/>
        </w:rPr>
        <w:t>summary</w:t>
      </w:r>
      <w:r w:rsidRPr="0056553B">
        <w:rPr>
          <w:rFonts w:eastAsia="Cambria"/>
        </w:rPr>
        <w:t xml:space="preserve"> and conclusions</w:t>
      </w:r>
      <w:bookmarkEnd w:id="39"/>
      <w:bookmarkEnd w:id="40"/>
      <w:bookmarkEnd w:id="41"/>
    </w:p>
    <w:p w14:paraId="3898B48A" w14:textId="77777777" w:rsidR="00DE7CC3" w:rsidRDefault="00996F31" w:rsidP="00DE7CC3">
      <w:r>
        <w:t>Due to the lack</w:t>
      </w:r>
      <w:r w:rsidR="008A7566" w:rsidRPr="00F86A86">
        <w:t xml:space="preserve"> of Certificate of Analysis</w:t>
      </w:r>
      <w:r w:rsidR="0065085C">
        <w:t xml:space="preserve"> and therefore, the absence of a</w:t>
      </w:r>
      <w:r w:rsidR="008A7566" w:rsidRPr="00F86A86">
        <w:t>ssay value for the reference product</w:t>
      </w:r>
      <w:r w:rsidR="00563A64" w:rsidRPr="00F86A86">
        <w:t xml:space="preserve">, an unequivocal conclusion cannot be drawn with regards to the equivalency (or non-equivalency) between the proposed product 9 mg prolonged release tablet and the reference product </w:t>
      </w:r>
      <w:proofErr w:type="spellStart"/>
      <w:r w:rsidR="000976D3" w:rsidRPr="00F86A86">
        <w:t>Entocort</w:t>
      </w:r>
      <w:proofErr w:type="spellEnd"/>
      <w:r w:rsidR="00563A64" w:rsidRPr="00F86A86">
        <w:t xml:space="preserve"> (3 x 3 mg capsule) with regards to </w:t>
      </w:r>
      <w:proofErr w:type="spellStart"/>
      <w:r w:rsidR="00563A64" w:rsidRPr="00F86A86">
        <w:t>T</w:t>
      </w:r>
      <w:r w:rsidR="00563A64" w:rsidRPr="00F86A86">
        <w:rPr>
          <w:vertAlign w:val="subscript"/>
        </w:rPr>
        <w:t>max</w:t>
      </w:r>
      <w:proofErr w:type="spellEnd"/>
      <w:r w:rsidR="00563A64" w:rsidRPr="00F86A86">
        <w:t xml:space="preserve">, </w:t>
      </w:r>
      <w:proofErr w:type="spellStart"/>
      <w:r w:rsidR="00563A64" w:rsidRPr="00F86A86">
        <w:t>C</w:t>
      </w:r>
      <w:r w:rsidR="00563A64" w:rsidRPr="00F86A86">
        <w:rPr>
          <w:vertAlign w:val="subscript"/>
        </w:rPr>
        <w:t>max</w:t>
      </w:r>
      <w:proofErr w:type="spellEnd"/>
      <w:r w:rsidR="00563A64" w:rsidRPr="00F86A86">
        <w:t xml:space="preserve"> and </w:t>
      </w:r>
      <w:r w:rsidR="00820B1D" w:rsidRPr="00F86A86">
        <w:rPr>
          <w:szCs w:val="24"/>
          <w:lang w:eastAsia="en-AU"/>
        </w:rPr>
        <w:t>AUC</w:t>
      </w:r>
      <w:r w:rsidR="00820B1D" w:rsidRPr="00F86A86">
        <w:rPr>
          <w:sz w:val="16"/>
          <w:szCs w:val="16"/>
          <w:lang w:eastAsia="en-AU"/>
        </w:rPr>
        <w:t>0-t</w:t>
      </w:r>
      <w:r w:rsidR="00563A64" w:rsidRPr="00F86A86">
        <w:t>.</w:t>
      </w:r>
    </w:p>
    <w:p w14:paraId="4BEADA5E" w14:textId="5552D63E" w:rsidR="005D320C" w:rsidRDefault="005D320C" w:rsidP="00DE7CC3">
      <w:pPr>
        <w:pStyle w:val="Heading4"/>
      </w:pPr>
      <w:r w:rsidRPr="00F86A86">
        <w:t>Recom</w:t>
      </w:r>
      <w:r w:rsidR="003E1BB1">
        <w:t>m</w:t>
      </w:r>
      <w:r w:rsidRPr="00F86A86">
        <w:t>endation</w:t>
      </w:r>
    </w:p>
    <w:p w14:paraId="0BC833C0" w14:textId="77777777" w:rsidR="00FC66E4" w:rsidRPr="00FC66E4" w:rsidRDefault="00FC66E4" w:rsidP="00FC66E4">
      <w:r w:rsidRPr="00FC66E4">
        <w:t>Approval for registration of the proposed product can be recommended from a pharmaceutical chemistry perspective.</w:t>
      </w:r>
    </w:p>
    <w:p w14:paraId="1A75F9EF" w14:textId="1BD50897" w:rsidR="008A7566" w:rsidRPr="00F86A86" w:rsidRDefault="00996F31" w:rsidP="00F86A86">
      <w:r>
        <w:t>A</w:t>
      </w:r>
      <w:r w:rsidR="008A7566" w:rsidRPr="00F86A86">
        <w:t xml:space="preserve">pproval for registration of the proposed product from a biopharmaceutics perspective cannot be recommended, as an unequivocal conclusion cannot be drawn with regards to the equivalency (or non-equivalence) between the </w:t>
      </w:r>
      <w:r w:rsidR="0065085C">
        <w:t>proposed and reference product.</w:t>
      </w:r>
      <w:r w:rsidR="003D67B4">
        <w:t xml:space="preserve"> </w:t>
      </w:r>
      <w:r w:rsidR="008A7566" w:rsidRPr="00F86A86">
        <w:t>However, the proposed product is a locally</w:t>
      </w:r>
      <w:r>
        <w:t xml:space="preserve"> acting product</w:t>
      </w:r>
      <w:r w:rsidR="008A7566" w:rsidRPr="00F86A86">
        <w:t xml:space="preserve"> and the study above is mainly to compare systemic exposure of the proposed prod</w:t>
      </w:r>
      <w:r>
        <w:t>uct and the reference product</w:t>
      </w:r>
      <w:r w:rsidR="008A7566" w:rsidRPr="00F86A86">
        <w:t>.</w:t>
      </w:r>
    </w:p>
    <w:p w14:paraId="3B020D9B" w14:textId="77777777" w:rsidR="008E7846" w:rsidRDefault="008E7846">
      <w:pPr>
        <w:pStyle w:val="Heading2"/>
      </w:pPr>
      <w:bookmarkStart w:id="42" w:name="_Toc196046439"/>
      <w:bookmarkStart w:id="43" w:name="_Toc247691510"/>
      <w:bookmarkStart w:id="44" w:name="_Toc314842494"/>
      <w:bookmarkStart w:id="45" w:name="_Toc442962648"/>
      <w:r>
        <w:t>III. Nonclinical</w:t>
      </w:r>
      <w:bookmarkEnd w:id="42"/>
      <w:r>
        <w:t xml:space="preserve"> findings</w:t>
      </w:r>
      <w:bookmarkEnd w:id="43"/>
      <w:bookmarkEnd w:id="44"/>
      <w:bookmarkEnd w:id="45"/>
    </w:p>
    <w:p w14:paraId="58D0CD99" w14:textId="77777777" w:rsidR="008E7846" w:rsidRDefault="008E7846" w:rsidP="00940A89">
      <w:pPr>
        <w:pStyle w:val="Heading3"/>
      </w:pPr>
      <w:bookmarkStart w:id="46" w:name="_Toc247691511"/>
      <w:bookmarkStart w:id="47" w:name="_Toc314842495"/>
      <w:bookmarkStart w:id="48" w:name="_Toc442962649"/>
      <w:r>
        <w:t>Introduction</w:t>
      </w:r>
      <w:bookmarkEnd w:id="46"/>
      <w:bookmarkEnd w:id="47"/>
      <w:bookmarkEnd w:id="48"/>
    </w:p>
    <w:p w14:paraId="5D6C3BB3" w14:textId="77777777" w:rsidR="004334C7" w:rsidRPr="004334C7" w:rsidRDefault="007B2A0D" w:rsidP="004334C7">
      <w:r w:rsidRPr="007B2A0D">
        <w:t>Nonclinical pharmacology and toxicology have previously been evaluated by the TGA as part of the registration of other budesonide products. Furthermore, the toxicological profile of budesonide is well documented and there is extensive clinical experience with the medicine, in both respiratory and gastrointestinal disease.</w:t>
      </w:r>
    </w:p>
    <w:p w14:paraId="1C3B290E" w14:textId="77777777" w:rsidR="008E7846" w:rsidRDefault="008E7846" w:rsidP="008E7846">
      <w:pPr>
        <w:pStyle w:val="Heading3"/>
      </w:pPr>
      <w:bookmarkStart w:id="49" w:name="_Toc247691512"/>
      <w:bookmarkStart w:id="50" w:name="_Toc314842496"/>
      <w:bookmarkStart w:id="51" w:name="_Toc442962650"/>
      <w:r w:rsidRPr="00020030">
        <w:t>Pharmacology</w:t>
      </w:r>
      <w:bookmarkEnd w:id="49"/>
      <w:bookmarkEnd w:id="50"/>
      <w:bookmarkEnd w:id="51"/>
    </w:p>
    <w:p w14:paraId="24A2CE90" w14:textId="77777777" w:rsidR="007B2A0D" w:rsidRPr="007B2A0D" w:rsidRDefault="007B2A0D" w:rsidP="009576DD">
      <w:pPr>
        <w:pStyle w:val="Heading4"/>
      </w:pPr>
      <w:r w:rsidRPr="007B2A0D">
        <w:t>Primary pharmacology</w:t>
      </w:r>
    </w:p>
    <w:p w14:paraId="14DB20F0" w14:textId="77777777" w:rsidR="004334C7" w:rsidRPr="004334C7" w:rsidRDefault="007B2A0D" w:rsidP="004334C7">
      <w:r w:rsidRPr="007B2A0D">
        <w:t xml:space="preserve">As the pharmacology of budesonide in relation to </w:t>
      </w:r>
      <w:r w:rsidR="00833EF6">
        <w:t>IBD</w:t>
      </w:r>
      <w:r w:rsidRPr="007B2A0D">
        <w:t xml:space="preserve"> is well known, no new pharmacological data were submitted with this application. The data taken from the summary basis of approval (June 2001) for </w:t>
      </w:r>
      <w:proofErr w:type="spellStart"/>
      <w:r w:rsidR="000976D3">
        <w:t>Entocort</w:t>
      </w:r>
      <w:proofErr w:type="spellEnd"/>
      <w:r w:rsidR="003D67B4">
        <w:t xml:space="preserve"> EC modified release capsules</w:t>
      </w:r>
      <w:r w:rsidRPr="007B2A0D">
        <w:t>, together with supplementary relevant data from published literatur</w:t>
      </w:r>
      <w:r w:rsidR="00F94FCE">
        <w:t>e are referenced and discussed.</w:t>
      </w:r>
    </w:p>
    <w:p w14:paraId="358B5AA0" w14:textId="77777777" w:rsidR="008E7846" w:rsidRDefault="008E7846" w:rsidP="008E7846">
      <w:pPr>
        <w:pStyle w:val="Heading3"/>
      </w:pPr>
      <w:bookmarkStart w:id="52" w:name="_Toc247691513"/>
      <w:bookmarkStart w:id="53" w:name="_Toc314842497"/>
      <w:bookmarkStart w:id="54" w:name="_Toc442962651"/>
      <w:r>
        <w:lastRenderedPageBreak/>
        <w:t>Pharmacokinetics</w:t>
      </w:r>
      <w:bookmarkEnd w:id="52"/>
      <w:bookmarkEnd w:id="53"/>
      <w:bookmarkEnd w:id="54"/>
    </w:p>
    <w:p w14:paraId="3E2071E2" w14:textId="77777777" w:rsidR="004334C7" w:rsidRDefault="007B2A0D" w:rsidP="004334C7">
      <w:bookmarkStart w:id="55" w:name="_Toc247691514"/>
      <w:bookmarkStart w:id="56" w:name="_Toc314842498"/>
      <w:r w:rsidRPr="007B2A0D">
        <w:t>The pharmacokinetics of budesonide has been extensively documented in pre</w:t>
      </w:r>
      <w:r w:rsidR="009576DD">
        <w:t xml:space="preserve">vious submissions of budesonide </w:t>
      </w:r>
      <w:r w:rsidRPr="007B2A0D">
        <w:t>containing products (</w:t>
      </w:r>
      <w:proofErr w:type="spellStart"/>
      <w:r w:rsidR="000976D3">
        <w:t>Entocort</w:t>
      </w:r>
      <w:proofErr w:type="spellEnd"/>
      <w:r w:rsidRPr="007B2A0D">
        <w:t xml:space="preserve">, </w:t>
      </w:r>
      <w:proofErr w:type="spellStart"/>
      <w:r w:rsidRPr="007B2A0D">
        <w:t>P</w:t>
      </w:r>
      <w:r w:rsidR="009576DD" w:rsidRPr="007B2A0D">
        <w:t>ulmicort</w:t>
      </w:r>
      <w:proofErr w:type="spellEnd"/>
      <w:r w:rsidRPr="007B2A0D">
        <w:t xml:space="preserve">, </w:t>
      </w:r>
      <w:proofErr w:type="spellStart"/>
      <w:proofErr w:type="gramStart"/>
      <w:r w:rsidRPr="007B2A0D">
        <w:t>B</w:t>
      </w:r>
      <w:r w:rsidR="009576DD" w:rsidRPr="007B2A0D">
        <w:t>udamax</w:t>
      </w:r>
      <w:proofErr w:type="spellEnd"/>
      <w:proofErr w:type="gramEnd"/>
      <w:r w:rsidRPr="007B2A0D">
        <w:t xml:space="preserve">). No new animal pharmacokinetic studies were submitted with the present </w:t>
      </w:r>
      <w:r w:rsidR="000976D3">
        <w:t>Cortiment</w:t>
      </w:r>
      <w:r w:rsidRPr="007B2A0D">
        <w:t xml:space="preserve"> application.</w:t>
      </w:r>
    </w:p>
    <w:p w14:paraId="7DBDC90F" w14:textId="77777777" w:rsidR="001B5C90" w:rsidRDefault="008E7846" w:rsidP="001B5C90">
      <w:pPr>
        <w:pStyle w:val="Heading3"/>
      </w:pPr>
      <w:bookmarkStart w:id="57" w:name="_Toc442962652"/>
      <w:r>
        <w:t>Toxicology</w:t>
      </w:r>
      <w:bookmarkEnd w:id="55"/>
      <w:bookmarkEnd w:id="56"/>
      <w:bookmarkEnd w:id="57"/>
    </w:p>
    <w:p w14:paraId="74D73C1B" w14:textId="77777777" w:rsidR="007B2A0D" w:rsidRPr="007B2A0D" w:rsidRDefault="007B2A0D" w:rsidP="007B2A0D">
      <w:pPr>
        <w:pStyle w:val="Heading4"/>
      </w:pPr>
      <w:bookmarkStart w:id="58" w:name="_Toc294861727"/>
      <w:r w:rsidRPr="007B2A0D">
        <w:t>Single-dose toxicity</w:t>
      </w:r>
      <w:bookmarkEnd w:id="58"/>
    </w:p>
    <w:p w14:paraId="0029DB2A" w14:textId="77777777" w:rsidR="007B2A0D" w:rsidRPr="007B2A0D" w:rsidRDefault="007B2A0D" w:rsidP="007B2A0D">
      <w:r w:rsidRPr="007B2A0D">
        <w:t>Single dose toxicity studies with budesonide have previously been evaluated by the TGA in subm</w:t>
      </w:r>
      <w:r w:rsidR="009576DD">
        <w:t xml:space="preserve">issions for previous budesonide </w:t>
      </w:r>
      <w:r w:rsidRPr="007B2A0D">
        <w:t>containing products (</w:t>
      </w:r>
      <w:proofErr w:type="spellStart"/>
      <w:r w:rsidRPr="007B2A0D">
        <w:t>B</w:t>
      </w:r>
      <w:r w:rsidR="009576DD" w:rsidRPr="007B2A0D">
        <w:t>udenofalk</w:t>
      </w:r>
      <w:proofErr w:type="spellEnd"/>
      <w:r w:rsidRPr="007B2A0D">
        <w:t xml:space="preserve"> capsules, </w:t>
      </w:r>
      <w:proofErr w:type="spellStart"/>
      <w:r w:rsidR="000976D3">
        <w:t>Entocort</w:t>
      </w:r>
      <w:proofErr w:type="spellEnd"/>
      <w:r w:rsidRPr="007B2A0D">
        <w:t xml:space="preserve"> capsules, </w:t>
      </w:r>
      <w:proofErr w:type="spellStart"/>
      <w:r w:rsidRPr="007B2A0D">
        <w:t>B</w:t>
      </w:r>
      <w:r w:rsidR="009576DD" w:rsidRPr="007B2A0D">
        <w:t>udenofalk</w:t>
      </w:r>
      <w:proofErr w:type="spellEnd"/>
      <w:r w:rsidRPr="007B2A0D">
        <w:t xml:space="preserve"> foam).</w:t>
      </w:r>
    </w:p>
    <w:p w14:paraId="60C97767" w14:textId="77777777" w:rsidR="007B2A0D" w:rsidRPr="007B2A0D" w:rsidRDefault="00855D85" w:rsidP="007B2A0D">
      <w:pPr>
        <w:pStyle w:val="Heading4"/>
      </w:pPr>
      <w:bookmarkStart w:id="59" w:name="_Toc294861728"/>
      <w:r>
        <w:t xml:space="preserve">Repeat </w:t>
      </w:r>
      <w:r w:rsidR="007B2A0D" w:rsidRPr="007B2A0D">
        <w:t>dose toxicity</w:t>
      </w:r>
      <w:bookmarkEnd w:id="59"/>
    </w:p>
    <w:p w14:paraId="2BF69D83" w14:textId="77777777" w:rsidR="007B2A0D" w:rsidRPr="007B2A0D" w:rsidRDefault="007B2A0D" w:rsidP="007B2A0D">
      <w:r w:rsidRPr="007B2A0D">
        <w:t xml:space="preserve">The toxicity profile of budesonide has been previously evaluated in conjunction with submissions to register other dose forms, including products indicated for Crohn’s disease and UC, </w:t>
      </w:r>
      <w:r w:rsidR="00DC5FD9">
        <w:t>that is</w:t>
      </w:r>
      <w:r w:rsidRPr="007B2A0D">
        <w:t xml:space="preserve">, </w:t>
      </w:r>
      <w:proofErr w:type="spellStart"/>
      <w:r w:rsidR="000976D3">
        <w:t>Entocort</w:t>
      </w:r>
      <w:proofErr w:type="spellEnd"/>
      <w:r w:rsidRPr="007B2A0D">
        <w:t xml:space="preserve"> 3 mg</w:t>
      </w:r>
      <w:r w:rsidR="00DC5FD9" w:rsidRPr="007B2A0D">
        <w:t>,</w:t>
      </w:r>
      <w:r w:rsidR="009576DD">
        <w:t xml:space="preserve"> </w:t>
      </w:r>
      <w:proofErr w:type="spellStart"/>
      <w:r w:rsidR="009576DD">
        <w:t>Budenofalk</w:t>
      </w:r>
      <w:proofErr w:type="spellEnd"/>
      <w:r w:rsidR="009576DD">
        <w:t xml:space="preserve"> 3 mg</w:t>
      </w:r>
      <w:r w:rsidRPr="007B2A0D">
        <w:t xml:space="preserve"> and </w:t>
      </w:r>
      <w:proofErr w:type="spellStart"/>
      <w:r w:rsidRPr="007B2A0D">
        <w:t>B</w:t>
      </w:r>
      <w:r w:rsidR="009576DD" w:rsidRPr="007B2A0D">
        <w:t>udenofalk</w:t>
      </w:r>
      <w:proofErr w:type="spellEnd"/>
      <w:r w:rsidRPr="007B2A0D">
        <w:t xml:space="preserve"> foam enema 2 mg.</w:t>
      </w:r>
    </w:p>
    <w:p w14:paraId="2F056C74" w14:textId="77777777" w:rsidR="007B2A0D" w:rsidRPr="007B2A0D" w:rsidRDefault="007B2A0D" w:rsidP="007B2A0D">
      <w:r w:rsidRPr="007B2A0D">
        <w:t xml:space="preserve">A submitted bridging study conducted in </w:t>
      </w:r>
      <w:proofErr w:type="spellStart"/>
      <w:r w:rsidR="008B33FD" w:rsidRPr="007B2A0D">
        <w:t>cynomolgus</w:t>
      </w:r>
      <w:proofErr w:type="spellEnd"/>
      <w:r w:rsidRPr="007B2A0D">
        <w:t xml:space="preserve"> monkeys compared the toxicity of budesonide MMX 9 mg tablet with </w:t>
      </w:r>
      <w:r w:rsidR="003D67B4">
        <w:t>the</w:t>
      </w:r>
      <w:r w:rsidRPr="007B2A0D">
        <w:t xml:space="preserve"> reference</w:t>
      </w:r>
      <w:r w:rsidR="003D67B4">
        <w:t xml:space="preserve"> product</w:t>
      </w:r>
      <w:r w:rsidRPr="007B2A0D">
        <w:t xml:space="preserve"> </w:t>
      </w:r>
      <w:proofErr w:type="spellStart"/>
      <w:r w:rsidR="000976D3">
        <w:t>Entocort</w:t>
      </w:r>
      <w:proofErr w:type="spellEnd"/>
      <w:r w:rsidR="00855D85">
        <w:t xml:space="preserve"> 3 mg capsule. Monkeys (3 of each </w:t>
      </w:r>
      <w:r w:rsidRPr="007B2A0D">
        <w:t xml:space="preserve">sex) were given 18 mg once daily, </w:t>
      </w:r>
      <w:r w:rsidR="00DD0417">
        <w:t>that is, two b</w:t>
      </w:r>
      <w:r w:rsidRPr="007B2A0D">
        <w:t xml:space="preserve">udesonide MMX 9 mg tablets or six 3 mg </w:t>
      </w:r>
      <w:proofErr w:type="spellStart"/>
      <w:r w:rsidR="000976D3">
        <w:t>Entocort</w:t>
      </w:r>
      <w:proofErr w:type="spellEnd"/>
      <w:r w:rsidRPr="007B2A0D">
        <w:t xml:space="preserve"> EC capsules, for 28 days. An additional animal of each sex in each group received the same treatment and then maintained for a 14 day recovery period. Both budesonide treatments were well tolerated. There were no toxicological effects or significant intergroup differences in the evaluated study parameters observed in animals receiving the two treatments.</w:t>
      </w:r>
    </w:p>
    <w:p w14:paraId="7E1E6B03" w14:textId="77777777" w:rsidR="007B2A0D" w:rsidRPr="007B2A0D" w:rsidRDefault="007B2A0D" w:rsidP="00353E79">
      <w:pPr>
        <w:pStyle w:val="Heading4"/>
      </w:pPr>
      <w:r w:rsidRPr="007B2A0D">
        <w:t>Relative systemic exposure</w:t>
      </w:r>
    </w:p>
    <w:p w14:paraId="6FFC603A" w14:textId="77777777" w:rsidR="007B2A0D" w:rsidRPr="007B2A0D" w:rsidRDefault="00DD0417" w:rsidP="007B2A0D">
      <w:r>
        <w:t xml:space="preserve">The repeat </w:t>
      </w:r>
      <w:r w:rsidR="007B2A0D" w:rsidRPr="007B2A0D">
        <w:t xml:space="preserve">dose study in </w:t>
      </w:r>
      <w:r>
        <w:t>monkeys had complete plasma AUC</w:t>
      </w:r>
      <w:r w:rsidRPr="00DD0417">
        <w:rPr>
          <w:vertAlign w:val="subscript"/>
        </w:rPr>
        <w:t>0-∞</w:t>
      </w:r>
      <w:r w:rsidR="007B2A0D" w:rsidRPr="007B2A0D">
        <w:t xml:space="preserve"> data (measured after 28 days dosing)</w:t>
      </w:r>
      <w:r w:rsidR="000B1890">
        <w:t>,</w:t>
      </w:r>
      <w:r w:rsidR="007B2A0D" w:rsidRPr="007B2A0D">
        <w:t xml:space="preserve"> for males only, as there were insufficient data to enable calculation of mean AUC values for females. The only </w:t>
      </w:r>
      <w:r>
        <w:t>AUC</w:t>
      </w:r>
      <w:r w:rsidRPr="00DD0417">
        <w:rPr>
          <w:vertAlign w:val="subscript"/>
        </w:rPr>
        <w:t>0-∞</w:t>
      </w:r>
      <w:r w:rsidR="007B2A0D" w:rsidRPr="007B2A0D">
        <w:t xml:space="preserve"> data for a repeat dose study with budesonide MMX in humans was for fasted males (Study CRO-PK-03-105). Where male and female human AUC data were available, it was for single dose studies only. Hence, the human reference value was</w:t>
      </w:r>
      <w:r w:rsidR="008B33FD">
        <w:t xml:space="preserve"> taken from clinical S</w:t>
      </w:r>
      <w:r w:rsidR="007B2A0D" w:rsidRPr="007B2A0D">
        <w:t>tudy CRO-PK-03-105 (noting that this was for repeat dosing in fasted males only).</w:t>
      </w:r>
    </w:p>
    <w:p w14:paraId="400480F0" w14:textId="734E56D9" w:rsidR="005A259E" w:rsidRDefault="007F0293" w:rsidP="00DE7CC3">
      <w:pPr>
        <w:pStyle w:val="TableTitle"/>
        <w:pageBreakBefore/>
      </w:pPr>
      <w:proofErr w:type="gramStart"/>
      <w:r>
        <w:lastRenderedPageBreak/>
        <w:t>Table 2.</w:t>
      </w:r>
      <w:proofErr w:type="gramEnd"/>
      <w:r>
        <w:t xml:space="preserve"> </w:t>
      </w:r>
      <w:r w:rsidR="005A259E" w:rsidRPr="00DE7CC3">
        <w:t>Exposures</w:t>
      </w:r>
      <w:r w:rsidR="005A259E" w:rsidRPr="005A259E">
        <w:t xml:space="preserve"> in rep</w:t>
      </w:r>
      <w:r w:rsidR="004F55AC">
        <w:t xml:space="preserve">eat </w:t>
      </w:r>
      <w:r w:rsidR="005A259E" w:rsidRPr="005A259E">
        <w:t>dose toxicity studies</w:t>
      </w:r>
      <w:r w:rsidR="006C5116">
        <w:t>.</w:t>
      </w:r>
    </w:p>
    <w:tbl>
      <w:tblPr>
        <w:tblStyle w:val="TableTGAblue"/>
        <w:tblW w:w="8613" w:type="dxa"/>
        <w:tblLayout w:type="fixed"/>
        <w:tblLook w:val="01E0" w:firstRow="1" w:lastRow="1" w:firstColumn="1" w:lastColumn="1" w:noHBand="0" w:noVBand="0"/>
      </w:tblPr>
      <w:tblGrid>
        <w:gridCol w:w="1526"/>
        <w:gridCol w:w="1417"/>
        <w:gridCol w:w="1701"/>
        <w:gridCol w:w="1418"/>
        <w:gridCol w:w="1276"/>
        <w:gridCol w:w="1275"/>
      </w:tblGrid>
      <w:tr w:rsidR="005A259E" w:rsidRPr="00414B0E" w14:paraId="6BE310EF" w14:textId="77777777" w:rsidTr="007E216E">
        <w:trPr>
          <w:cnfStyle w:val="100000000000" w:firstRow="1" w:lastRow="0" w:firstColumn="0" w:lastColumn="0" w:oddVBand="0" w:evenVBand="0" w:oddHBand="0" w:evenHBand="0" w:firstRowFirstColumn="0" w:firstRowLastColumn="0" w:lastRowFirstColumn="0" w:lastRowLastColumn="0"/>
          <w:trHeight w:val="669"/>
        </w:trPr>
        <w:tc>
          <w:tcPr>
            <w:tcW w:w="1526" w:type="dxa"/>
          </w:tcPr>
          <w:p w14:paraId="07D35860"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Species</w:t>
            </w:r>
          </w:p>
        </w:tc>
        <w:tc>
          <w:tcPr>
            <w:tcW w:w="1417" w:type="dxa"/>
          </w:tcPr>
          <w:p w14:paraId="51F1FE8A"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Study duration</w:t>
            </w:r>
          </w:p>
        </w:tc>
        <w:tc>
          <w:tcPr>
            <w:tcW w:w="1701" w:type="dxa"/>
            <w:vAlign w:val="center"/>
          </w:tcPr>
          <w:p w14:paraId="4BBEDFA8"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Dose, mg/day (mg/kg/day)</w:t>
            </w:r>
          </w:p>
        </w:tc>
        <w:tc>
          <w:tcPr>
            <w:tcW w:w="1418" w:type="dxa"/>
            <w:vAlign w:val="center"/>
          </w:tcPr>
          <w:p w14:paraId="7496FC9B"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AUC</w:t>
            </w:r>
            <w:r w:rsidRPr="004A7AD4">
              <w:rPr>
                <w:rFonts w:asciiTheme="minorHAnsi" w:hAnsiTheme="minorHAnsi"/>
                <w:sz w:val="18"/>
                <w:szCs w:val="18"/>
                <w:vertAlign w:val="subscript"/>
              </w:rPr>
              <w:t>0–24h</w:t>
            </w:r>
            <w:r w:rsidRPr="004A7AD4">
              <w:rPr>
                <w:rFonts w:asciiTheme="minorHAnsi" w:hAnsiTheme="minorHAnsi"/>
                <w:sz w:val="18"/>
                <w:szCs w:val="18"/>
              </w:rPr>
              <w:t xml:space="preserve"> (</w:t>
            </w:r>
            <w:proofErr w:type="spellStart"/>
            <w:r w:rsidRPr="004A7AD4">
              <w:rPr>
                <w:rFonts w:asciiTheme="minorHAnsi" w:hAnsiTheme="minorHAnsi"/>
                <w:sz w:val="18"/>
                <w:szCs w:val="18"/>
              </w:rPr>
              <w:t>ng∙h</w:t>
            </w:r>
            <w:proofErr w:type="spellEnd"/>
            <w:r w:rsidRPr="004A7AD4">
              <w:rPr>
                <w:rFonts w:asciiTheme="minorHAnsi" w:hAnsiTheme="minorHAnsi"/>
                <w:sz w:val="18"/>
                <w:szCs w:val="18"/>
              </w:rPr>
              <w:t>/mL)</w:t>
            </w:r>
          </w:p>
        </w:tc>
        <w:tc>
          <w:tcPr>
            <w:tcW w:w="1276" w:type="dxa"/>
            <w:vAlign w:val="center"/>
          </w:tcPr>
          <w:p w14:paraId="5F65B893" w14:textId="77777777" w:rsidR="005A259E" w:rsidRPr="004A7AD4" w:rsidRDefault="00DD0417" w:rsidP="004A7AD4">
            <w:pPr>
              <w:rPr>
                <w:rFonts w:asciiTheme="minorHAnsi" w:hAnsiTheme="minorHAnsi"/>
                <w:sz w:val="18"/>
                <w:szCs w:val="18"/>
              </w:rPr>
            </w:pPr>
            <w:r w:rsidRPr="004A7AD4">
              <w:rPr>
                <w:rFonts w:asciiTheme="minorHAnsi" w:hAnsiTheme="minorHAnsi"/>
                <w:sz w:val="18"/>
                <w:szCs w:val="18"/>
              </w:rPr>
              <w:t>AUC</w:t>
            </w:r>
            <w:r w:rsidRPr="004A7AD4">
              <w:rPr>
                <w:rFonts w:asciiTheme="minorHAnsi" w:hAnsiTheme="minorHAnsi"/>
                <w:sz w:val="18"/>
                <w:szCs w:val="18"/>
                <w:vertAlign w:val="subscript"/>
              </w:rPr>
              <w:t>0-∞</w:t>
            </w:r>
            <w:r w:rsidRPr="004A7AD4">
              <w:rPr>
                <w:rFonts w:asciiTheme="minorHAnsi" w:hAnsiTheme="minorHAnsi"/>
                <w:sz w:val="18"/>
                <w:szCs w:val="18"/>
              </w:rPr>
              <w:t xml:space="preserve"> </w:t>
            </w:r>
            <w:r w:rsidR="005A259E" w:rsidRPr="004A7AD4">
              <w:rPr>
                <w:rFonts w:asciiTheme="minorHAnsi" w:hAnsiTheme="minorHAnsi"/>
                <w:sz w:val="18"/>
                <w:szCs w:val="18"/>
              </w:rPr>
              <w:t>(</w:t>
            </w:r>
            <w:proofErr w:type="spellStart"/>
            <w:r w:rsidR="005A259E" w:rsidRPr="004A7AD4">
              <w:rPr>
                <w:rFonts w:asciiTheme="minorHAnsi" w:hAnsiTheme="minorHAnsi"/>
                <w:sz w:val="18"/>
                <w:szCs w:val="18"/>
              </w:rPr>
              <w:t>ng∙h</w:t>
            </w:r>
            <w:proofErr w:type="spellEnd"/>
            <w:r w:rsidR="005A259E" w:rsidRPr="004A7AD4">
              <w:rPr>
                <w:rFonts w:asciiTheme="minorHAnsi" w:hAnsiTheme="minorHAnsi"/>
                <w:sz w:val="18"/>
                <w:szCs w:val="18"/>
              </w:rPr>
              <w:t>/mL)</w:t>
            </w:r>
          </w:p>
        </w:tc>
        <w:tc>
          <w:tcPr>
            <w:tcW w:w="1275" w:type="dxa"/>
            <w:vAlign w:val="center"/>
          </w:tcPr>
          <w:p w14:paraId="5C66B964" w14:textId="43E95BA8" w:rsidR="005A259E" w:rsidRPr="004A7AD4" w:rsidRDefault="005A259E" w:rsidP="004A7AD4">
            <w:pPr>
              <w:rPr>
                <w:rFonts w:asciiTheme="minorHAnsi" w:hAnsiTheme="minorHAnsi"/>
                <w:sz w:val="18"/>
                <w:szCs w:val="18"/>
              </w:rPr>
            </w:pPr>
            <w:r w:rsidRPr="004A7AD4">
              <w:rPr>
                <w:rFonts w:asciiTheme="minorHAnsi" w:hAnsiTheme="minorHAnsi"/>
                <w:sz w:val="18"/>
                <w:szCs w:val="18"/>
              </w:rPr>
              <w:t>AUC0–t</w:t>
            </w:r>
            <w:r w:rsidR="00414B0E" w:rsidRPr="004A7AD4">
              <w:rPr>
                <w:rFonts w:asciiTheme="minorHAnsi" w:hAnsiTheme="minorHAnsi"/>
                <w:sz w:val="18"/>
                <w:szCs w:val="18"/>
                <w:vertAlign w:val="superscript"/>
              </w:rPr>
              <w:t>#</w:t>
            </w:r>
            <w:r w:rsidRPr="004A7AD4">
              <w:rPr>
                <w:rFonts w:asciiTheme="minorHAnsi" w:hAnsiTheme="minorHAnsi"/>
                <w:sz w:val="18"/>
                <w:szCs w:val="18"/>
                <w:vertAlign w:val="superscript"/>
              </w:rPr>
              <w:t xml:space="preserve"> </w:t>
            </w:r>
            <w:r w:rsidRPr="004A7AD4">
              <w:rPr>
                <w:rFonts w:asciiTheme="minorHAnsi" w:hAnsiTheme="minorHAnsi"/>
                <w:sz w:val="18"/>
                <w:szCs w:val="18"/>
              </w:rPr>
              <w:t>(</w:t>
            </w:r>
            <w:proofErr w:type="spellStart"/>
            <w:r w:rsidRPr="004A7AD4">
              <w:rPr>
                <w:rFonts w:asciiTheme="minorHAnsi" w:hAnsiTheme="minorHAnsi"/>
                <w:sz w:val="18"/>
                <w:szCs w:val="18"/>
              </w:rPr>
              <w:t>ng∙h</w:t>
            </w:r>
            <w:proofErr w:type="spellEnd"/>
            <w:r w:rsidRPr="004A7AD4">
              <w:rPr>
                <w:rFonts w:asciiTheme="minorHAnsi" w:hAnsiTheme="minorHAnsi"/>
                <w:sz w:val="18"/>
                <w:szCs w:val="18"/>
              </w:rPr>
              <w:t>/mL)</w:t>
            </w:r>
          </w:p>
        </w:tc>
      </w:tr>
      <w:tr w:rsidR="005A259E" w:rsidRPr="00414B0E" w14:paraId="223EEE9B" w14:textId="77777777" w:rsidTr="007E216E">
        <w:trPr>
          <w:trHeight w:val="211"/>
        </w:trPr>
        <w:tc>
          <w:tcPr>
            <w:tcW w:w="1526" w:type="dxa"/>
            <w:vMerge w:val="restart"/>
            <w:vAlign w:val="center"/>
          </w:tcPr>
          <w:p w14:paraId="010D9857" w14:textId="09430F9B" w:rsidR="005A259E" w:rsidRPr="004A7AD4" w:rsidRDefault="005A259E" w:rsidP="003938EF">
            <w:pPr>
              <w:rPr>
                <w:rFonts w:asciiTheme="minorHAnsi" w:hAnsiTheme="minorHAnsi"/>
                <w:sz w:val="18"/>
                <w:szCs w:val="18"/>
              </w:rPr>
            </w:pPr>
            <w:r w:rsidRPr="004A7AD4">
              <w:rPr>
                <w:rFonts w:asciiTheme="minorHAnsi" w:hAnsiTheme="minorHAnsi"/>
                <w:sz w:val="18"/>
                <w:szCs w:val="18"/>
              </w:rPr>
              <w:t>Monkey</w:t>
            </w:r>
            <w:r w:rsidR="00414B0E" w:rsidRPr="004A7AD4">
              <w:rPr>
                <w:rFonts w:asciiTheme="minorHAnsi" w:hAnsiTheme="minorHAnsi"/>
                <w:sz w:val="18"/>
                <w:szCs w:val="18"/>
                <w:vertAlign w:val="superscript"/>
              </w:rPr>
              <w:t>%</w:t>
            </w:r>
            <w:r w:rsidRPr="004A7AD4">
              <w:rPr>
                <w:rFonts w:asciiTheme="minorHAnsi" w:hAnsiTheme="minorHAnsi"/>
                <w:sz w:val="18"/>
                <w:szCs w:val="18"/>
              </w:rPr>
              <w:t xml:space="preserve"> </w:t>
            </w:r>
            <w:proofErr w:type="spellStart"/>
            <w:r w:rsidR="008B33FD" w:rsidRPr="004A7AD4">
              <w:rPr>
                <w:rFonts w:asciiTheme="minorHAnsi" w:hAnsiTheme="minorHAnsi"/>
                <w:sz w:val="18"/>
                <w:szCs w:val="18"/>
              </w:rPr>
              <w:t>c</w:t>
            </w:r>
            <w:r w:rsidRPr="004A7AD4">
              <w:rPr>
                <w:rFonts w:asciiTheme="minorHAnsi" w:hAnsiTheme="minorHAnsi"/>
                <w:sz w:val="18"/>
                <w:szCs w:val="18"/>
              </w:rPr>
              <w:t>ynomolgus</w:t>
            </w:r>
            <w:proofErr w:type="spellEnd"/>
          </w:p>
        </w:tc>
        <w:tc>
          <w:tcPr>
            <w:tcW w:w="1417" w:type="dxa"/>
            <w:vMerge w:val="restart"/>
            <w:vAlign w:val="center"/>
          </w:tcPr>
          <w:p w14:paraId="0199EA4C"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28 days + 14 days recovery</w:t>
            </w:r>
          </w:p>
        </w:tc>
        <w:tc>
          <w:tcPr>
            <w:tcW w:w="1701" w:type="dxa"/>
            <w:vAlign w:val="center"/>
          </w:tcPr>
          <w:p w14:paraId="08BE0AEE"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budesonide MMX (male) 18 (4.7-4.9)</w:t>
            </w:r>
          </w:p>
        </w:tc>
        <w:tc>
          <w:tcPr>
            <w:tcW w:w="1418" w:type="dxa"/>
          </w:tcPr>
          <w:p w14:paraId="7DB5F69A"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11.79 [9.79]</w:t>
            </w:r>
          </w:p>
        </w:tc>
        <w:tc>
          <w:tcPr>
            <w:tcW w:w="1276" w:type="dxa"/>
          </w:tcPr>
          <w:p w14:paraId="48C274F7"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19.40 [ND]</w:t>
            </w:r>
          </w:p>
        </w:tc>
        <w:tc>
          <w:tcPr>
            <w:tcW w:w="1275" w:type="dxa"/>
          </w:tcPr>
          <w:p w14:paraId="670E14C0" w14:textId="77777777" w:rsidR="005A259E" w:rsidRPr="004A7AD4" w:rsidRDefault="005A259E" w:rsidP="004A7AD4">
            <w:pPr>
              <w:rPr>
                <w:rFonts w:asciiTheme="minorHAnsi" w:hAnsiTheme="minorHAnsi"/>
                <w:sz w:val="18"/>
                <w:szCs w:val="18"/>
              </w:rPr>
            </w:pPr>
          </w:p>
        </w:tc>
      </w:tr>
      <w:tr w:rsidR="005A259E" w:rsidRPr="00414B0E" w14:paraId="25D4BD7E" w14:textId="77777777" w:rsidTr="007E216E">
        <w:trPr>
          <w:trHeight w:val="211"/>
        </w:trPr>
        <w:tc>
          <w:tcPr>
            <w:tcW w:w="1526" w:type="dxa"/>
            <w:vMerge/>
          </w:tcPr>
          <w:p w14:paraId="63547684" w14:textId="77777777" w:rsidR="005A259E" w:rsidRPr="00614728" w:rsidRDefault="005A259E" w:rsidP="00614728">
            <w:pPr>
              <w:rPr>
                <w:rFonts w:asciiTheme="minorHAnsi" w:hAnsiTheme="minorHAnsi"/>
                <w:sz w:val="18"/>
                <w:szCs w:val="18"/>
              </w:rPr>
            </w:pPr>
          </w:p>
        </w:tc>
        <w:tc>
          <w:tcPr>
            <w:tcW w:w="1417" w:type="dxa"/>
            <w:vMerge/>
          </w:tcPr>
          <w:p w14:paraId="3A53875C" w14:textId="77777777" w:rsidR="005A259E" w:rsidRPr="00614728" w:rsidRDefault="005A259E" w:rsidP="00614728">
            <w:pPr>
              <w:rPr>
                <w:rFonts w:asciiTheme="minorHAnsi" w:hAnsiTheme="minorHAnsi"/>
                <w:sz w:val="18"/>
                <w:szCs w:val="18"/>
              </w:rPr>
            </w:pPr>
          </w:p>
        </w:tc>
        <w:tc>
          <w:tcPr>
            <w:tcW w:w="1701" w:type="dxa"/>
          </w:tcPr>
          <w:p w14:paraId="317CB35B" w14:textId="77777777" w:rsidR="005A259E" w:rsidRPr="00614728" w:rsidRDefault="005A259E" w:rsidP="00614728">
            <w:pPr>
              <w:rPr>
                <w:rFonts w:asciiTheme="minorHAnsi" w:hAnsiTheme="minorHAnsi"/>
                <w:sz w:val="18"/>
                <w:szCs w:val="18"/>
              </w:rPr>
            </w:pPr>
            <w:r w:rsidRPr="00614728">
              <w:rPr>
                <w:rFonts w:asciiTheme="minorHAnsi" w:hAnsiTheme="minorHAnsi"/>
                <w:sz w:val="18"/>
                <w:szCs w:val="18"/>
              </w:rPr>
              <w:t>budesonide MMX (female) 18 (6.4-6.7)</w:t>
            </w:r>
          </w:p>
        </w:tc>
        <w:tc>
          <w:tcPr>
            <w:tcW w:w="1418" w:type="dxa"/>
          </w:tcPr>
          <w:p w14:paraId="17F98938" w14:textId="77777777" w:rsidR="005A259E" w:rsidRPr="00614728" w:rsidRDefault="005A259E" w:rsidP="00614728">
            <w:pPr>
              <w:rPr>
                <w:rFonts w:asciiTheme="minorHAnsi" w:hAnsiTheme="minorHAnsi"/>
                <w:sz w:val="18"/>
                <w:szCs w:val="18"/>
              </w:rPr>
            </w:pPr>
            <w:r w:rsidRPr="00614728">
              <w:rPr>
                <w:rFonts w:asciiTheme="minorHAnsi" w:hAnsiTheme="minorHAnsi"/>
                <w:sz w:val="18"/>
                <w:szCs w:val="18"/>
              </w:rPr>
              <w:t>21.88 [25.66]</w:t>
            </w:r>
          </w:p>
        </w:tc>
        <w:tc>
          <w:tcPr>
            <w:tcW w:w="1276" w:type="dxa"/>
          </w:tcPr>
          <w:p w14:paraId="5B11F70B" w14:textId="77777777" w:rsidR="005A259E" w:rsidRPr="00614728" w:rsidRDefault="005A259E" w:rsidP="00614728">
            <w:pPr>
              <w:rPr>
                <w:rFonts w:asciiTheme="minorHAnsi" w:hAnsiTheme="minorHAnsi"/>
                <w:sz w:val="18"/>
                <w:szCs w:val="18"/>
              </w:rPr>
            </w:pPr>
            <w:r w:rsidRPr="00614728">
              <w:rPr>
                <w:rFonts w:asciiTheme="minorHAnsi" w:hAnsiTheme="minorHAnsi"/>
                <w:sz w:val="18"/>
                <w:szCs w:val="18"/>
              </w:rPr>
              <w:t>ND [46.03]</w:t>
            </w:r>
          </w:p>
        </w:tc>
        <w:tc>
          <w:tcPr>
            <w:tcW w:w="1275" w:type="dxa"/>
          </w:tcPr>
          <w:p w14:paraId="5B3F48B2" w14:textId="77777777" w:rsidR="005A259E" w:rsidRPr="00614728" w:rsidRDefault="005A259E" w:rsidP="00614728">
            <w:pPr>
              <w:rPr>
                <w:rFonts w:asciiTheme="minorHAnsi" w:hAnsiTheme="minorHAnsi"/>
                <w:sz w:val="18"/>
                <w:szCs w:val="18"/>
              </w:rPr>
            </w:pPr>
          </w:p>
        </w:tc>
      </w:tr>
      <w:tr w:rsidR="005A259E" w:rsidRPr="00414B0E" w14:paraId="2DE88D42" w14:textId="77777777" w:rsidTr="007E216E">
        <w:trPr>
          <w:trHeight w:val="211"/>
        </w:trPr>
        <w:tc>
          <w:tcPr>
            <w:tcW w:w="1526" w:type="dxa"/>
            <w:vMerge/>
          </w:tcPr>
          <w:p w14:paraId="6D7642AB" w14:textId="77777777" w:rsidR="005A259E" w:rsidRPr="00614728" w:rsidRDefault="005A259E" w:rsidP="00614728">
            <w:pPr>
              <w:rPr>
                <w:rFonts w:asciiTheme="minorHAnsi" w:hAnsiTheme="minorHAnsi"/>
                <w:sz w:val="18"/>
                <w:szCs w:val="18"/>
              </w:rPr>
            </w:pPr>
          </w:p>
        </w:tc>
        <w:tc>
          <w:tcPr>
            <w:tcW w:w="1417" w:type="dxa"/>
            <w:vMerge/>
          </w:tcPr>
          <w:p w14:paraId="6CE8874A" w14:textId="77777777" w:rsidR="005A259E" w:rsidRPr="00614728" w:rsidRDefault="005A259E" w:rsidP="00614728">
            <w:pPr>
              <w:rPr>
                <w:rFonts w:asciiTheme="minorHAnsi" w:hAnsiTheme="minorHAnsi"/>
                <w:sz w:val="18"/>
                <w:szCs w:val="18"/>
              </w:rPr>
            </w:pPr>
          </w:p>
        </w:tc>
        <w:tc>
          <w:tcPr>
            <w:tcW w:w="1701" w:type="dxa"/>
          </w:tcPr>
          <w:p w14:paraId="2F9B14C0" w14:textId="77777777" w:rsidR="005A259E" w:rsidRPr="00614728" w:rsidRDefault="000976D3" w:rsidP="00614728">
            <w:pPr>
              <w:rPr>
                <w:rFonts w:asciiTheme="minorHAnsi" w:hAnsiTheme="minorHAnsi"/>
                <w:sz w:val="18"/>
                <w:szCs w:val="18"/>
              </w:rPr>
            </w:pPr>
            <w:proofErr w:type="spellStart"/>
            <w:r w:rsidRPr="00614728">
              <w:rPr>
                <w:rFonts w:asciiTheme="minorHAnsi" w:hAnsiTheme="minorHAnsi"/>
                <w:sz w:val="18"/>
                <w:szCs w:val="18"/>
              </w:rPr>
              <w:t>Entocort</w:t>
            </w:r>
            <w:proofErr w:type="spellEnd"/>
            <w:r w:rsidR="005A259E" w:rsidRPr="00614728">
              <w:rPr>
                <w:rFonts w:asciiTheme="minorHAnsi" w:hAnsiTheme="minorHAnsi"/>
                <w:sz w:val="18"/>
                <w:szCs w:val="18"/>
              </w:rPr>
              <w:t xml:space="preserve"> EC (male) 18 (4.6-4.9)</w:t>
            </w:r>
          </w:p>
        </w:tc>
        <w:tc>
          <w:tcPr>
            <w:tcW w:w="1418" w:type="dxa"/>
          </w:tcPr>
          <w:p w14:paraId="6B77CEC2" w14:textId="77777777" w:rsidR="005A259E" w:rsidRPr="00614728" w:rsidRDefault="005A259E" w:rsidP="00614728">
            <w:pPr>
              <w:rPr>
                <w:rFonts w:asciiTheme="minorHAnsi" w:hAnsiTheme="minorHAnsi"/>
                <w:sz w:val="18"/>
                <w:szCs w:val="18"/>
              </w:rPr>
            </w:pPr>
            <w:r w:rsidRPr="00614728">
              <w:rPr>
                <w:rFonts w:asciiTheme="minorHAnsi" w:hAnsiTheme="minorHAnsi"/>
                <w:sz w:val="18"/>
                <w:szCs w:val="18"/>
              </w:rPr>
              <w:t>28.81 [40.28]</w:t>
            </w:r>
          </w:p>
        </w:tc>
        <w:tc>
          <w:tcPr>
            <w:tcW w:w="1276" w:type="dxa"/>
          </w:tcPr>
          <w:p w14:paraId="6E43CD7A" w14:textId="77777777" w:rsidR="005A259E" w:rsidRPr="00614728" w:rsidRDefault="005A259E" w:rsidP="00614728">
            <w:pPr>
              <w:rPr>
                <w:rFonts w:asciiTheme="minorHAnsi" w:hAnsiTheme="minorHAnsi"/>
                <w:sz w:val="18"/>
                <w:szCs w:val="18"/>
              </w:rPr>
            </w:pPr>
            <w:r w:rsidRPr="00614728">
              <w:rPr>
                <w:rFonts w:asciiTheme="minorHAnsi" w:hAnsiTheme="minorHAnsi"/>
                <w:sz w:val="18"/>
                <w:szCs w:val="18"/>
              </w:rPr>
              <w:t>30.26 [41.01]</w:t>
            </w:r>
          </w:p>
        </w:tc>
        <w:tc>
          <w:tcPr>
            <w:tcW w:w="1275" w:type="dxa"/>
          </w:tcPr>
          <w:p w14:paraId="3A2EBBD4" w14:textId="77777777" w:rsidR="005A259E" w:rsidRPr="00614728" w:rsidRDefault="005A259E" w:rsidP="00614728">
            <w:pPr>
              <w:rPr>
                <w:rFonts w:asciiTheme="minorHAnsi" w:hAnsiTheme="minorHAnsi"/>
                <w:sz w:val="18"/>
                <w:szCs w:val="18"/>
              </w:rPr>
            </w:pPr>
          </w:p>
        </w:tc>
      </w:tr>
      <w:tr w:rsidR="005A259E" w:rsidRPr="00414B0E" w14:paraId="781367E0" w14:textId="77777777" w:rsidTr="007E216E">
        <w:trPr>
          <w:trHeight w:val="211"/>
        </w:trPr>
        <w:tc>
          <w:tcPr>
            <w:tcW w:w="1526" w:type="dxa"/>
            <w:vMerge/>
          </w:tcPr>
          <w:p w14:paraId="4D7FDD44" w14:textId="77777777" w:rsidR="005A259E" w:rsidRPr="00614728" w:rsidRDefault="005A259E" w:rsidP="00614728">
            <w:pPr>
              <w:rPr>
                <w:rFonts w:asciiTheme="minorHAnsi" w:hAnsiTheme="minorHAnsi"/>
                <w:sz w:val="18"/>
                <w:szCs w:val="18"/>
              </w:rPr>
            </w:pPr>
          </w:p>
        </w:tc>
        <w:tc>
          <w:tcPr>
            <w:tcW w:w="1417" w:type="dxa"/>
            <w:vMerge/>
          </w:tcPr>
          <w:p w14:paraId="3D584DB3" w14:textId="77777777" w:rsidR="005A259E" w:rsidRPr="00614728" w:rsidRDefault="005A259E" w:rsidP="00614728">
            <w:pPr>
              <w:rPr>
                <w:rFonts w:asciiTheme="minorHAnsi" w:hAnsiTheme="minorHAnsi"/>
                <w:sz w:val="18"/>
                <w:szCs w:val="18"/>
              </w:rPr>
            </w:pPr>
          </w:p>
        </w:tc>
        <w:tc>
          <w:tcPr>
            <w:tcW w:w="1701" w:type="dxa"/>
          </w:tcPr>
          <w:p w14:paraId="7FA99740" w14:textId="77777777" w:rsidR="005A259E" w:rsidRPr="00614728" w:rsidRDefault="000976D3" w:rsidP="00614728">
            <w:pPr>
              <w:rPr>
                <w:rFonts w:asciiTheme="minorHAnsi" w:hAnsiTheme="minorHAnsi"/>
                <w:sz w:val="18"/>
                <w:szCs w:val="18"/>
              </w:rPr>
            </w:pPr>
            <w:proofErr w:type="spellStart"/>
            <w:r w:rsidRPr="00614728">
              <w:rPr>
                <w:rFonts w:asciiTheme="minorHAnsi" w:hAnsiTheme="minorHAnsi"/>
                <w:sz w:val="18"/>
                <w:szCs w:val="18"/>
              </w:rPr>
              <w:t>Entocort</w:t>
            </w:r>
            <w:proofErr w:type="spellEnd"/>
            <w:r w:rsidR="005A259E" w:rsidRPr="00614728">
              <w:rPr>
                <w:rFonts w:asciiTheme="minorHAnsi" w:hAnsiTheme="minorHAnsi"/>
                <w:sz w:val="18"/>
                <w:szCs w:val="18"/>
              </w:rPr>
              <w:t xml:space="preserve"> EC (female) 18 (6.0-6.2)</w:t>
            </w:r>
          </w:p>
        </w:tc>
        <w:tc>
          <w:tcPr>
            <w:tcW w:w="1418" w:type="dxa"/>
          </w:tcPr>
          <w:p w14:paraId="281C808A" w14:textId="77777777" w:rsidR="005A259E" w:rsidRPr="00614728" w:rsidRDefault="005A259E" w:rsidP="00614728">
            <w:pPr>
              <w:rPr>
                <w:rFonts w:asciiTheme="minorHAnsi" w:hAnsiTheme="minorHAnsi"/>
                <w:sz w:val="18"/>
                <w:szCs w:val="18"/>
              </w:rPr>
            </w:pPr>
            <w:r w:rsidRPr="00614728">
              <w:rPr>
                <w:rFonts w:asciiTheme="minorHAnsi" w:hAnsiTheme="minorHAnsi"/>
                <w:sz w:val="18"/>
                <w:szCs w:val="18"/>
              </w:rPr>
              <w:t>40.47 [48.13]</w:t>
            </w:r>
          </w:p>
        </w:tc>
        <w:tc>
          <w:tcPr>
            <w:tcW w:w="1276" w:type="dxa"/>
          </w:tcPr>
          <w:p w14:paraId="687C0592" w14:textId="77777777" w:rsidR="005A259E" w:rsidRPr="00614728" w:rsidRDefault="005A259E" w:rsidP="00614728">
            <w:pPr>
              <w:rPr>
                <w:rFonts w:asciiTheme="minorHAnsi" w:hAnsiTheme="minorHAnsi"/>
                <w:sz w:val="18"/>
                <w:szCs w:val="18"/>
              </w:rPr>
            </w:pPr>
            <w:r w:rsidRPr="00614728">
              <w:rPr>
                <w:rFonts w:asciiTheme="minorHAnsi" w:hAnsiTheme="minorHAnsi"/>
                <w:sz w:val="18"/>
                <w:szCs w:val="18"/>
              </w:rPr>
              <w:t>40.73 [48.48]</w:t>
            </w:r>
          </w:p>
        </w:tc>
        <w:tc>
          <w:tcPr>
            <w:tcW w:w="1275" w:type="dxa"/>
          </w:tcPr>
          <w:p w14:paraId="78EEB144" w14:textId="77777777" w:rsidR="005A259E" w:rsidRPr="00614728" w:rsidRDefault="005A259E" w:rsidP="00614728">
            <w:pPr>
              <w:rPr>
                <w:rFonts w:asciiTheme="minorHAnsi" w:hAnsiTheme="minorHAnsi"/>
                <w:sz w:val="18"/>
                <w:szCs w:val="18"/>
              </w:rPr>
            </w:pPr>
          </w:p>
        </w:tc>
      </w:tr>
      <w:tr w:rsidR="00BE54B7" w:rsidRPr="00414B0E" w14:paraId="62DE851B" w14:textId="77777777" w:rsidTr="007E216E">
        <w:trPr>
          <w:trHeight w:val="211"/>
        </w:trPr>
        <w:tc>
          <w:tcPr>
            <w:tcW w:w="1526" w:type="dxa"/>
            <w:vAlign w:val="center"/>
          </w:tcPr>
          <w:p w14:paraId="1B84E50D"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Human (healthy male volunteers)</w:t>
            </w:r>
          </w:p>
        </w:tc>
        <w:tc>
          <w:tcPr>
            <w:tcW w:w="1417" w:type="dxa"/>
            <w:vAlign w:val="center"/>
          </w:tcPr>
          <w:p w14:paraId="5453F41F" w14:textId="77777777" w:rsidR="005A259E" w:rsidRPr="004A7AD4" w:rsidRDefault="008B33FD" w:rsidP="004A7AD4">
            <w:pPr>
              <w:rPr>
                <w:rFonts w:asciiTheme="minorHAnsi" w:hAnsiTheme="minorHAnsi"/>
                <w:sz w:val="18"/>
                <w:szCs w:val="18"/>
              </w:rPr>
            </w:pPr>
            <w:r w:rsidRPr="004A7AD4">
              <w:rPr>
                <w:rFonts w:asciiTheme="minorHAnsi" w:hAnsiTheme="minorHAnsi"/>
                <w:sz w:val="18"/>
                <w:szCs w:val="18"/>
              </w:rPr>
              <w:t xml:space="preserve">7 </w:t>
            </w:r>
            <w:r w:rsidR="005A259E" w:rsidRPr="004A7AD4">
              <w:rPr>
                <w:rFonts w:asciiTheme="minorHAnsi" w:hAnsiTheme="minorHAnsi"/>
                <w:sz w:val="18"/>
                <w:szCs w:val="18"/>
              </w:rPr>
              <w:t>day</w:t>
            </w:r>
            <w:r w:rsidRPr="004A7AD4">
              <w:rPr>
                <w:rFonts w:asciiTheme="minorHAnsi" w:hAnsiTheme="minorHAnsi"/>
                <w:sz w:val="18"/>
                <w:szCs w:val="18"/>
              </w:rPr>
              <w:t>s</w:t>
            </w:r>
          </w:p>
        </w:tc>
        <w:tc>
          <w:tcPr>
            <w:tcW w:w="1701" w:type="dxa"/>
            <w:vAlign w:val="center"/>
          </w:tcPr>
          <w:p w14:paraId="33C91F48"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budesonide MMX 9 (0.18 mg/kg/day in a 50 kg person) (MRHD)</w:t>
            </w:r>
          </w:p>
        </w:tc>
        <w:tc>
          <w:tcPr>
            <w:tcW w:w="1418" w:type="dxa"/>
            <w:vAlign w:val="center"/>
          </w:tcPr>
          <w:p w14:paraId="45C1D4B6" w14:textId="77777777" w:rsidR="005A259E" w:rsidRPr="004A7AD4" w:rsidRDefault="005A259E" w:rsidP="004A7AD4">
            <w:pPr>
              <w:rPr>
                <w:rFonts w:asciiTheme="minorHAnsi" w:hAnsiTheme="minorHAnsi"/>
                <w:sz w:val="18"/>
                <w:szCs w:val="18"/>
              </w:rPr>
            </w:pPr>
          </w:p>
        </w:tc>
        <w:tc>
          <w:tcPr>
            <w:tcW w:w="1276" w:type="dxa"/>
            <w:vAlign w:val="center"/>
          </w:tcPr>
          <w:p w14:paraId="380A35DD" w14:textId="2293A9DA" w:rsidR="005A259E" w:rsidRPr="004A7AD4" w:rsidRDefault="005A259E" w:rsidP="004A7AD4">
            <w:pPr>
              <w:rPr>
                <w:rFonts w:asciiTheme="minorHAnsi" w:hAnsiTheme="minorHAnsi"/>
                <w:sz w:val="18"/>
                <w:szCs w:val="18"/>
              </w:rPr>
            </w:pPr>
            <w:r w:rsidRPr="004A7AD4">
              <w:rPr>
                <w:rFonts w:asciiTheme="minorHAnsi" w:hAnsiTheme="minorHAnsi"/>
                <w:sz w:val="18"/>
                <w:szCs w:val="18"/>
              </w:rPr>
              <w:t>9.29 (</w:t>
            </w:r>
            <w:proofErr w:type="spellStart"/>
            <w:r w:rsidRPr="004A7AD4">
              <w:rPr>
                <w:rFonts w:asciiTheme="minorHAnsi" w:hAnsiTheme="minorHAnsi"/>
                <w:sz w:val="18"/>
                <w:szCs w:val="18"/>
              </w:rPr>
              <w:t>AUC</w:t>
            </w:r>
            <w:r w:rsidRPr="004A7AD4">
              <w:rPr>
                <w:rFonts w:asciiTheme="minorHAnsi" w:hAnsiTheme="minorHAnsi"/>
                <w:sz w:val="18"/>
                <w:szCs w:val="18"/>
                <w:vertAlign w:val="subscript"/>
              </w:rPr>
              <w:t>ss</w:t>
            </w:r>
            <w:proofErr w:type="spellEnd"/>
            <w:r w:rsidR="00414B0E" w:rsidRPr="004A7AD4">
              <w:rPr>
                <w:rFonts w:asciiTheme="minorHAnsi" w:hAnsiTheme="minorHAnsi"/>
                <w:sz w:val="18"/>
                <w:szCs w:val="18"/>
              </w:rPr>
              <w:t>*</w:t>
            </w:r>
            <w:r w:rsidRPr="004A7AD4">
              <w:rPr>
                <w:rFonts w:asciiTheme="minorHAnsi" w:hAnsiTheme="minorHAnsi"/>
                <w:sz w:val="18"/>
                <w:szCs w:val="18"/>
              </w:rPr>
              <w:t>)</w:t>
            </w:r>
          </w:p>
        </w:tc>
        <w:tc>
          <w:tcPr>
            <w:tcW w:w="1275" w:type="dxa"/>
            <w:vAlign w:val="center"/>
          </w:tcPr>
          <w:p w14:paraId="7AC140C3" w14:textId="77777777" w:rsidR="005A259E" w:rsidRPr="004A7AD4" w:rsidRDefault="005A259E" w:rsidP="004A7AD4">
            <w:pPr>
              <w:rPr>
                <w:rFonts w:asciiTheme="minorHAnsi" w:hAnsiTheme="minorHAnsi"/>
                <w:sz w:val="18"/>
                <w:szCs w:val="18"/>
              </w:rPr>
            </w:pPr>
          </w:p>
        </w:tc>
      </w:tr>
      <w:tr w:rsidR="00BE54B7" w:rsidRPr="00414B0E" w14:paraId="1AE640EE" w14:textId="77777777" w:rsidTr="007E216E">
        <w:trPr>
          <w:trHeight w:val="211"/>
        </w:trPr>
        <w:tc>
          <w:tcPr>
            <w:tcW w:w="1526" w:type="dxa"/>
            <w:vMerge w:val="restart"/>
            <w:vAlign w:val="center"/>
          </w:tcPr>
          <w:p w14:paraId="0DA537DA"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Human (male + female)</w:t>
            </w:r>
          </w:p>
        </w:tc>
        <w:tc>
          <w:tcPr>
            <w:tcW w:w="1417" w:type="dxa"/>
            <w:vMerge w:val="restart"/>
            <w:vAlign w:val="center"/>
          </w:tcPr>
          <w:p w14:paraId="165C4DE9"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Single dose studies</w:t>
            </w:r>
          </w:p>
        </w:tc>
        <w:tc>
          <w:tcPr>
            <w:tcW w:w="1701" w:type="dxa"/>
            <w:vAlign w:val="center"/>
          </w:tcPr>
          <w:p w14:paraId="6E25A175" w14:textId="15E7D55B" w:rsidR="005A259E" w:rsidRPr="004A7AD4" w:rsidRDefault="005A259E" w:rsidP="004A7AD4">
            <w:pPr>
              <w:rPr>
                <w:rFonts w:asciiTheme="minorHAnsi" w:hAnsiTheme="minorHAnsi"/>
                <w:sz w:val="18"/>
                <w:szCs w:val="18"/>
              </w:rPr>
            </w:pPr>
            <w:r w:rsidRPr="004A7AD4">
              <w:rPr>
                <w:rFonts w:asciiTheme="minorHAnsi" w:hAnsiTheme="minorHAnsi"/>
                <w:sz w:val="18"/>
                <w:szCs w:val="18"/>
              </w:rPr>
              <w:t>budesonide MMX 9</w:t>
            </w:r>
            <w:r w:rsidR="0056553B" w:rsidRPr="004A7AD4">
              <w:rPr>
                <w:rFonts w:asciiTheme="minorHAnsi" w:hAnsiTheme="minorHAnsi"/>
                <w:sz w:val="18"/>
                <w:szCs w:val="18"/>
                <w:vertAlign w:val="superscript"/>
              </w:rPr>
              <w:t>^</w:t>
            </w:r>
            <w:r w:rsidRPr="004A7AD4">
              <w:rPr>
                <w:rFonts w:asciiTheme="minorHAnsi" w:hAnsiTheme="minorHAnsi"/>
                <w:sz w:val="18"/>
                <w:szCs w:val="18"/>
              </w:rPr>
              <w:t xml:space="preserve"> (0.18 mg/kg/day in a 50 kg person) (MRHD)</w:t>
            </w:r>
          </w:p>
        </w:tc>
        <w:tc>
          <w:tcPr>
            <w:tcW w:w="1418" w:type="dxa"/>
            <w:vAlign w:val="center"/>
          </w:tcPr>
          <w:p w14:paraId="34B00016" w14:textId="77777777" w:rsidR="005A259E" w:rsidRPr="004A7AD4" w:rsidRDefault="005A259E" w:rsidP="004A7AD4">
            <w:pPr>
              <w:rPr>
                <w:rFonts w:asciiTheme="minorHAnsi" w:hAnsiTheme="minorHAnsi"/>
                <w:sz w:val="18"/>
                <w:szCs w:val="18"/>
              </w:rPr>
            </w:pPr>
          </w:p>
        </w:tc>
        <w:tc>
          <w:tcPr>
            <w:tcW w:w="1276" w:type="dxa"/>
            <w:vAlign w:val="center"/>
          </w:tcPr>
          <w:p w14:paraId="5F002C20"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15.50 - 16.43</w:t>
            </w:r>
          </w:p>
        </w:tc>
        <w:tc>
          <w:tcPr>
            <w:tcW w:w="1275" w:type="dxa"/>
            <w:vAlign w:val="center"/>
          </w:tcPr>
          <w:p w14:paraId="24A9A330" w14:textId="77777777" w:rsidR="005A259E" w:rsidRPr="004A7AD4" w:rsidRDefault="005A259E" w:rsidP="004A7AD4">
            <w:pPr>
              <w:rPr>
                <w:rFonts w:asciiTheme="minorHAnsi" w:hAnsiTheme="minorHAnsi"/>
                <w:sz w:val="18"/>
                <w:szCs w:val="18"/>
              </w:rPr>
            </w:pPr>
            <w:r w:rsidRPr="004A7AD4">
              <w:rPr>
                <w:rFonts w:asciiTheme="minorHAnsi" w:hAnsiTheme="minorHAnsi"/>
                <w:sz w:val="18"/>
                <w:szCs w:val="18"/>
              </w:rPr>
              <w:t>13.56 – 15.61</w:t>
            </w:r>
          </w:p>
        </w:tc>
      </w:tr>
      <w:tr w:rsidR="00BE54B7" w:rsidRPr="00414B0E" w14:paraId="46F3C781" w14:textId="77777777" w:rsidTr="007E216E">
        <w:trPr>
          <w:trHeight w:val="211"/>
        </w:trPr>
        <w:tc>
          <w:tcPr>
            <w:tcW w:w="1526" w:type="dxa"/>
            <w:vMerge/>
            <w:vAlign w:val="center"/>
          </w:tcPr>
          <w:p w14:paraId="0E55B1CC" w14:textId="77777777" w:rsidR="005A259E" w:rsidRPr="00614728" w:rsidRDefault="005A259E" w:rsidP="00614728">
            <w:pPr>
              <w:rPr>
                <w:rFonts w:asciiTheme="minorHAnsi" w:hAnsiTheme="minorHAnsi"/>
                <w:sz w:val="18"/>
                <w:szCs w:val="18"/>
              </w:rPr>
            </w:pPr>
          </w:p>
        </w:tc>
        <w:tc>
          <w:tcPr>
            <w:tcW w:w="1417" w:type="dxa"/>
            <w:vMerge/>
            <w:vAlign w:val="center"/>
          </w:tcPr>
          <w:p w14:paraId="08928F97" w14:textId="77777777" w:rsidR="005A259E" w:rsidRPr="00614728" w:rsidRDefault="005A259E" w:rsidP="00614728">
            <w:pPr>
              <w:rPr>
                <w:rFonts w:asciiTheme="minorHAnsi" w:hAnsiTheme="minorHAnsi"/>
                <w:sz w:val="18"/>
                <w:szCs w:val="18"/>
              </w:rPr>
            </w:pPr>
          </w:p>
        </w:tc>
        <w:tc>
          <w:tcPr>
            <w:tcW w:w="1701" w:type="dxa"/>
            <w:vAlign w:val="center"/>
          </w:tcPr>
          <w:p w14:paraId="799B5B55" w14:textId="70DE7DF9" w:rsidR="005A259E" w:rsidRPr="003938EF" w:rsidRDefault="000976D3" w:rsidP="00614728">
            <w:pPr>
              <w:rPr>
                <w:rFonts w:asciiTheme="minorHAnsi" w:hAnsiTheme="minorHAnsi"/>
                <w:sz w:val="18"/>
                <w:szCs w:val="18"/>
              </w:rPr>
            </w:pPr>
            <w:proofErr w:type="spellStart"/>
            <w:r w:rsidRPr="003938EF">
              <w:rPr>
                <w:rFonts w:asciiTheme="minorHAnsi" w:hAnsiTheme="minorHAnsi"/>
                <w:sz w:val="18"/>
                <w:szCs w:val="18"/>
              </w:rPr>
              <w:t>Entocort</w:t>
            </w:r>
            <w:proofErr w:type="spellEnd"/>
            <w:r w:rsidR="005A259E" w:rsidRPr="003938EF">
              <w:rPr>
                <w:rFonts w:asciiTheme="minorHAnsi" w:hAnsiTheme="minorHAnsi"/>
                <w:sz w:val="18"/>
                <w:szCs w:val="18"/>
              </w:rPr>
              <w:t xml:space="preserve"> EC 9</w:t>
            </w:r>
            <w:r w:rsidR="0056553B" w:rsidRPr="003938EF">
              <w:rPr>
                <w:rFonts w:asciiTheme="minorHAnsi" w:hAnsiTheme="minorHAnsi"/>
                <w:sz w:val="18"/>
                <w:szCs w:val="18"/>
                <w:vertAlign w:val="superscript"/>
              </w:rPr>
              <w:t>&amp;</w:t>
            </w:r>
            <w:r w:rsidR="005A259E" w:rsidRPr="003938EF">
              <w:rPr>
                <w:rFonts w:asciiTheme="minorHAnsi" w:hAnsiTheme="minorHAnsi"/>
                <w:sz w:val="18"/>
                <w:szCs w:val="18"/>
              </w:rPr>
              <w:t xml:space="preserve"> (0.18 mg/kg/day in a 50 kg person) (MRHD)</w:t>
            </w:r>
          </w:p>
        </w:tc>
        <w:tc>
          <w:tcPr>
            <w:tcW w:w="1418" w:type="dxa"/>
            <w:vAlign w:val="center"/>
          </w:tcPr>
          <w:p w14:paraId="580BD705" w14:textId="77777777" w:rsidR="005A259E" w:rsidRPr="003938EF" w:rsidRDefault="005A259E" w:rsidP="00614728">
            <w:pPr>
              <w:rPr>
                <w:rFonts w:asciiTheme="minorHAnsi" w:hAnsiTheme="minorHAnsi"/>
                <w:sz w:val="18"/>
                <w:szCs w:val="18"/>
              </w:rPr>
            </w:pPr>
          </w:p>
        </w:tc>
        <w:tc>
          <w:tcPr>
            <w:tcW w:w="1276" w:type="dxa"/>
            <w:vAlign w:val="center"/>
          </w:tcPr>
          <w:p w14:paraId="5944C07E" w14:textId="77777777" w:rsidR="005A259E" w:rsidRPr="003938EF" w:rsidRDefault="005A259E" w:rsidP="00614728">
            <w:pPr>
              <w:rPr>
                <w:rFonts w:asciiTheme="minorHAnsi" w:hAnsiTheme="minorHAnsi"/>
                <w:sz w:val="18"/>
                <w:szCs w:val="18"/>
              </w:rPr>
            </w:pPr>
            <w:r w:rsidRPr="003938EF">
              <w:rPr>
                <w:rFonts w:asciiTheme="minorHAnsi" w:hAnsiTheme="minorHAnsi"/>
                <w:sz w:val="18"/>
                <w:szCs w:val="18"/>
              </w:rPr>
              <w:t>14.06</w:t>
            </w:r>
          </w:p>
        </w:tc>
        <w:tc>
          <w:tcPr>
            <w:tcW w:w="1275" w:type="dxa"/>
            <w:vAlign w:val="center"/>
          </w:tcPr>
          <w:p w14:paraId="3D998E45" w14:textId="77777777" w:rsidR="005A259E" w:rsidRPr="003938EF" w:rsidRDefault="005A259E" w:rsidP="00614728">
            <w:pPr>
              <w:rPr>
                <w:rFonts w:asciiTheme="minorHAnsi" w:hAnsiTheme="minorHAnsi"/>
                <w:sz w:val="18"/>
                <w:szCs w:val="18"/>
              </w:rPr>
            </w:pPr>
            <w:r w:rsidRPr="003938EF">
              <w:rPr>
                <w:rFonts w:asciiTheme="minorHAnsi" w:hAnsiTheme="minorHAnsi"/>
                <w:sz w:val="18"/>
                <w:szCs w:val="18"/>
              </w:rPr>
              <w:t>13.39</w:t>
            </w:r>
          </w:p>
        </w:tc>
      </w:tr>
    </w:tbl>
    <w:p w14:paraId="113982EC" w14:textId="35614D47" w:rsidR="005A259E" w:rsidRDefault="00414B0E" w:rsidP="00DE7CC3">
      <w:pPr>
        <w:pStyle w:val="TableDescription"/>
      </w:pPr>
      <w:r>
        <w:rPr>
          <w:vertAlign w:val="superscript"/>
        </w:rPr>
        <w:t>#</w:t>
      </w:r>
      <w:r w:rsidR="005A259E">
        <w:t xml:space="preserve"> </w:t>
      </w:r>
      <w:proofErr w:type="gramStart"/>
      <w:r w:rsidR="005A259E">
        <w:t>t</w:t>
      </w:r>
      <w:proofErr w:type="gramEnd"/>
      <w:r w:rsidR="005A259E">
        <w:t xml:space="preserve"> varied among studies. </w:t>
      </w:r>
      <w:r>
        <w:rPr>
          <w:vertAlign w:val="superscript"/>
        </w:rPr>
        <w:t>%</w:t>
      </w:r>
      <w:r w:rsidR="005A259E" w:rsidRPr="00BE54B7">
        <w:rPr>
          <w:vertAlign w:val="superscript"/>
        </w:rPr>
        <w:t xml:space="preserve"> </w:t>
      </w:r>
      <w:r w:rsidR="005A259E" w:rsidRPr="005A259E">
        <w:t>Tabulated AUC values are day 2</w:t>
      </w:r>
      <w:r w:rsidR="005A259E">
        <w:t>8 values; day 1 values are in [</w:t>
      </w:r>
      <w:r>
        <w:t>°</w:t>
      </w:r>
      <w:r w:rsidR="005A259E" w:rsidRPr="005A259E">
        <w:t>].</w:t>
      </w:r>
      <w:r w:rsidR="003938EF">
        <w:t xml:space="preserve"> </w:t>
      </w:r>
      <w:proofErr w:type="gramStart"/>
      <w:r w:rsidR="005A259E" w:rsidRPr="005A259E">
        <w:t>ND, no data.</w:t>
      </w:r>
      <w:proofErr w:type="gramEnd"/>
      <w:r w:rsidR="005A259E">
        <w:t xml:space="preserve"> </w:t>
      </w:r>
      <w:r>
        <w:rPr>
          <w:vertAlign w:val="superscript"/>
        </w:rPr>
        <w:t>^</w:t>
      </w:r>
      <w:r w:rsidR="00BE54B7">
        <w:t> </w:t>
      </w:r>
      <w:r w:rsidR="005A259E" w:rsidRPr="005A259E">
        <w:t>Studies CRO-PK-01-28, CRO-PK-06-178, CRO-PK-03-105</w:t>
      </w:r>
      <w:r w:rsidR="005A259E">
        <w:t xml:space="preserve">. </w:t>
      </w:r>
      <w:r>
        <w:rPr>
          <w:vertAlign w:val="superscript"/>
        </w:rPr>
        <w:t>&amp;</w:t>
      </w:r>
      <w:r w:rsidR="005A259E" w:rsidRPr="005A259E">
        <w:t xml:space="preserve"> Study CRO-PK-06-178.</w:t>
      </w:r>
      <w:r w:rsidR="00271024">
        <w:t xml:space="preserve"> Maximum </w:t>
      </w:r>
      <w:r w:rsidR="00271024" w:rsidRPr="00DE7CC3">
        <w:t>recommended</w:t>
      </w:r>
      <w:r w:rsidR="00271024">
        <w:t xml:space="preserve"> highest dose (</w:t>
      </w:r>
      <w:r w:rsidR="00271024" w:rsidRPr="00271024">
        <w:t>MRHD</w:t>
      </w:r>
      <w:r w:rsidR="00271024">
        <w:t>).</w:t>
      </w:r>
      <w:r w:rsidR="003D67B4">
        <w:t xml:space="preserve"> </w:t>
      </w:r>
      <w:r>
        <w:t>*</w:t>
      </w:r>
      <w:r w:rsidR="003D67B4">
        <w:t xml:space="preserve"> </w:t>
      </w:r>
      <w:r w:rsidR="003D67B4" w:rsidRPr="003D67B4">
        <w:t xml:space="preserve">Area under the plasma concentration time curve </w:t>
      </w:r>
      <w:r w:rsidR="003D67B4">
        <w:t>steady state (</w:t>
      </w:r>
      <w:proofErr w:type="spellStart"/>
      <w:r w:rsidR="003D67B4">
        <w:t>AUC</w:t>
      </w:r>
      <w:r w:rsidR="003D67B4" w:rsidRPr="003D67B4">
        <w:rPr>
          <w:vertAlign w:val="subscript"/>
        </w:rPr>
        <w:t>ss</w:t>
      </w:r>
      <w:proofErr w:type="spellEnd"/>
      <w:r w:rsidR="003D67B4">
        <w:t>)</w:t>
      </w:r>
    </w:p>
    <w:p w14:paraId="66605027" w14:textId="77777777" w:rsidR="00BE54B7" w:rsidRPr="00BE54B7" w:rsidRDefault="00BE54B7" w:rsidP="00BE54B7">
      <w:r w:rsidRPr="00BE54B7">
        <w:t xml:space="preserve">The monkey data indicate greater budesonide exposure following the </w:t>
      </w:r>
      <w:proofErr w:type="spellStart"/>
      <w:r w:rsidR="000976D3">
        <w:t>Entocort</w:t>
      </w:r>
      <w:proofErr w:type="spellEnd"/>
      <w:r w:rsidRPr="00BE54B7">
        <w:t xml:space="preserve"> EC treatment, possibly related to lower oral bioavailability with budesonide MMX than with </w:t>
      </w:r>
      <w:proofErr w:type="spellStart"/>
      <w:r w:rsidR="000976D3">
        <w:t>Entocort</w:t>
      </w:r>
      <w:proofErr w:type="spellEnd"/>
      <w:r w:rsidRPr="00BE54B7">
        <w:t xml:space="preserve"> EC in this species</w:t>
      </w:r>
      <w:r w:rsidR="008B33FD">
        <w:t>,</w:t>
      </w:r>
      <w:r w:rsidRPr="00BE54B7">
        <w:t xml:space="preserve"> under these dosing conditions. Thus:</w:t>
      </w:r>
    </w:p>
    <w:p w14:paraId="17EFDFC2" w14:textId="77777777" w:rsidR="00BE54B7" w:rsidRPr="00BE54B7" w:rsidRDefault="004215C2" w:rsidP="00BE54B7">
      <w:pPr>
        <w:pStyle w:val="ListBullet"/>
      </w:pPr>
      <w:r>
        <w:t xml:space="preserve">Mean </w:t>
      </w:r>
      <w:proofErr w:type="spellStart"/>
      <w:r w:rsidRPr="004215C2">
        <w:t>C</w:t>
      </w:r>
      <w:r w:rsidRPr="004215C2">
        <w:rPr>
          <w:vertAlign w:val="subscript"/>
        </w:rPr>
        <w:t>max</w:t>
      </w:r>
      <w:proofErr w:type="spellEnd"/>
      <w:r w:rsidR="00BE54B7" w:rsidRPr="00BE54B7">
        <w:t xml:space="preserve"> and total exposure (AUC</w:t>
      </w:r>
      <w:r w:rsidR="00BE54B7" w:rsidRPr="00DD0417">
        <w:rPr>
          <w:vertAlign w:val="subscript"/>
        </w:rPr>
        <w:t>0-24h</w:t>
      </w:r>
      <w:r w:rsidR="00BE54B7" w:rsidRPr="00BE54B7">
        <w:t xml:space="preserve">) for budesonide MMX were about half those for </w:t>
      </w:r>
      <w:proofErr w:type="spellStart"/>
      <w:r w:rsidR="000976D3">
        <w:t>Entocort</w:t>
      </w:r>
      <w:proofErr w:type="spellEnd"/>
      <w:r w:rsidR="00BE54B7" w:rsidRPr="00BE54B7">
        <w:t xml:space="preserve"> in femal</w:t>
      </w:r>
      <w:r w:rsidR="004F55AC">
        <w:t>es, and less than half in males</w:t>
      </w:r>
    </w:p>
    <w:p w14:paraId="6867C50E" w14:textId="77777777" w:rsidR="00BE54B7" w:rsidRPr="00BE54B7" w:rsidRDefault="00DD0417" w:rsidP="00BE54B7">
      <w:pPr>
        <w:pStyle w:val="ListBullet"/>
      </w:pPr>
      <w:proofErr w:type="spellStart"/>
      <w:r>
        <w:t>T</w:t>
      </w:r>
      <w:r w:rsidRPr="00DD0417">
        <w:rPr>
          <w:vertAlign w:val="subscript"/>
        </w:rPr>
        <w:t>max</w:t>
      </w:r>
      <w:proofErr w:type="spellEnd"/>
      <w:r>
        <w:t xml:space="preserve"> budesonide MMX </w:t>
      </w:r>
      <w:r w:rsidR="00BE54B7" w:rsidRPr="00BE54B7">
        <w:t xml:space="preserve">&gt; </w:t>
      </w:r>
      <w:proofErr w:type="spellStart"/>
      <w:r w:rsidR="00BE54B7" w:rsidRPr="00BE54B7">
        <w:t>T</w:t>
      </w:r>
      <w:r w:rsidR="00BE54B7" w:rsidRPr="00DD0417">
        <w:rPr>
          <w:vertAlign w:val="subscript"/>
        </w:rPr>
        <w:t>max</w:t>
      </w:r>
      <w:proofErr w:type="spellEnd"/>
      <w:r w:rsidR="00BE54B7" w:rsidRPr="00BE54B7">
        <w:t xml:space="preserve"> </w:t>
      </w:r>
      <w:proofErr w:type="spellStart"/>
      <w:r w:rsidR="000976D3">
        <w:t>Entocort</w:t>
      </w:r>
      <w:proofErr w:type="spellEnd"/>
      <w:r w:rsidR="00BE54B7" w:rsidRPr="00BE54B7">
        <w:t>, therefore a slower rate of absorption fo</w:t>
      </w:r>
      <w:r w:rsidR="004F55AC">
        <w:t>r budesonide MMX, in both sexes</w:t>
      </w:r>
    </w:p>
    <w:p w14:paraId="6FFF9109" w14:textId="77777777" w:rsidR="00BE54B7" w:rsidRPr="00BE54B7" w:rsidRDefault="00BE54B7" w:rsidP="00BE54B7">
      <w:pPr>
        <w:pStyle w:val="ListBullet"/>
      </w:pPr>
      <w:r w:rsidRPr="00BE54B7">
        <w:lastRenderedPageBreak/>
        <w:t xml:space="preserve">With both budesonide MMX and </w:t>
      </w:r>
      <w:proofErr w:type="spellStart"/>
      <w:r w:rsidR="000976D3">
        <w:t>Entocort</w:t>
      </w:r>
      <w:proofErr w:type="spellEnd"/>
      <w:r w:rsidRPr="00BE54B7">
        <w:t xml:space="preserve">, AUC exposures were about 15% lower after repeat dosing </w:t>
      </w:r>
      <w:r w:rsidR="00DD0417">
        <w:t>compared with</w:t>
      </w:r>
      <w:r w:rsidRPr="00BE54B7">
        <w:t xml:space="preserve"> a single dose, ind</w:t>
      </w:r>
      <w:r w:rsidR="004F55AC">
        <w:t>icative of lack of accumulation</w:t>
      </w:r>
    </w:p>
    <w:p w14:paraId="3A6BF623" w14:textId="77777777" w:rsidR="00BE54B7" w:rsidRPr="00BE54B7" w:rsidRDefault="00BE54B7" w:rsidP="00BE54B7">
      <w:pPr>
        <w:pStyle w:val="ListBullet"/>
      </w:pPr>
      <w:r w:rsidRPr="00BE54B7">
        <w:t xml:space="preserve">In general, females had higher mean peak and total exposures in comparison to males, for both budesonide MMX and </w:t>
      </w:r>
      <w:proofErr w:type="spellStart"/>
      <w:r w:rsidR="000976D3">
        <w:t>Entocort</w:t>
      </w:r>
      <w:proofErr w:type="spellEnd"/>
      <w:r w:rsidRPr="00BE54B7">
        <w:t>.</w:t>
      </w:r>
    </w:p>
    <w:p w14:paraId="5ACE7DE5" w14:textId="77777777" w:rsidR="00BE54B7" w:rsidRPr="00BE54B7" w:rsidRDefault="00BE54B7" w:rsidP="00BE54B7">
      <w:r w:rsidRPr="00BE54B7">
        <w:t>Even at up to 18 mg/monkey/day, and allowing for the observation of the higher total exposures in females, th</w:t>
      </w:r>
      <w:r w:rsidR="00271024">
        <w:t xml:space="preserve">e toxicities of budesonide MMX </w:t>
      </w:r>
      <w:r w:rsidRPr="00BE54B7">
        <w:t xml:space="preserve">and </w:t>
      </w:r>
      <w:proofErr w:type="spellStart"/>
      <w:r w:rsidR="000976D3">
        <w:t>Entocort</w:t>
      </w:r>
      <w:proofErr w:type="spellEnd"/>
      <w:r w:rsidRPr="00BE54B7">
        <w:t xml:space="preserve"> were comparable. For both budesonide MMX and </w:t>
      </w:r>
      <w:proofErr w:type="spellStart"/>
      <w:r w:rsidR="000976D3">
        <w:t>Entocort</w:t>
      </w:r>
      <w:proofErr w:type="spellEnd"/>
      <w:r w:rsidRPr="00BE54B7">
        <w:t>, the systemic exposures (AUC) achieved in the monkey study modestly exceeded the human exposures, for single dose and repeat dose/steady state comparisons.</w:t>
      </w:r>
    </w:p>
    <w:p w14:paraId="3EC0AA96" w14:textId="77777777" w:rsidR="00BE54B7" w:rsidRPr="00BE54B7" w:rsidRDefault="00BE54B7" w:rsidP="00BE54B7">
      <w:r w:rsidRPr="00BE54B7">
        <w:t xml:space="preserve">Unlike </w:t>
      </w:r>
      <w:proofErr w:type="spellStart"/>
      <w:r w:rsidR="008B33FD" w:rsidRPr="00BE54B7">
        <w:t>cynomolgus</w:t>
      </w:r>
      <w:proofErr w:type="spellEnd"/>
      <w:r w:rsidRPr="00BE54B7">
        <w:t xml:space="preserve"> monkeys, the human systemic </w:t>
      </w:r>
      <w:proofErr w:type="spellStart"/>
      <w:r w:rsidRPr="00BE54B7">
        <w:t>bioavailabilities</w:t>
      </w:r>
      <w:proofErr w:type="spellEnd"/>
      <w:r w:rsidRPr="00BE54B7">
        <w:t xml:space="preserve"> for both budesonide MMX and </w:t>
      </w:r>
      <w:proofErr w:type="spellStart"/>
      <w:r w:rsidR="000976D3">
        <w:t>Entocort</w:t>
      </w:r>
      <w:proofErr w:type="spellEnd"/>
      <w:r w:rsidRPr="00BE54B7">
        <w:t xml:space="preserve"> are comparable at </w:t>
      </w:r>
      <w:r w:rsidR="00DD0417">
        <w:t>about</w:t>
      </w:r>
      <w:r w:rsidRPr="00BE54B7">
        <w:t xml:space="preserve"> 10%. In humans at both 6 mg/day and at the </w:t>
      </w:r>
      <w:r w:rsidR="00271024">
        <w:t>maximum recommended highest dose (</w:t>
      </w:r>
      <w:r w:rsidRPr="00BE54B7">
        <w:t>MRHD</w:t>
      </w:r>
      <w:r w:rsidR="00271024">
        <w:t>)</w:t>
      </w:r>
      <w:r w:rsidRPr="00BE54B7">
        <w:t xml:space="preserve"> (9 mg), it was well tolerated with no evidence of changes in the safety profile of budesonide MMX with increasing dose (Study CB-01-02-02). Although patients receiving budesonide MMX showed a decrease in plasma cortisol concentrations, this i</w:t>
      </w:r>
      <w:r w:rsidR="000B1890">
        <w:t>s a known glucocorticoid effect</w:t>
      </w:r>
      <w:r w:rsidRPr="00BE54B7">
        <w:t xml:space="preserve"> and in general the adverse event</w:t>
      </w:r>
      <w:r w:rsidR="00FC1144">
        <w:t xml:space="preserve"> (AE)</w:t>
      </w:r>
      <w:r w:rsidRPr="00BE54B7">
        <w:t xml:space="preserve"> profile was consistent with those for other approved budesonide products.</w:t>
      </w:r>
    </w:p>
    <w:p w14:paraId="005D01A8" w14:textId="77777777" w:rsidR="00BE54B7" w:rsidRPr="00BE54B7" w:rsidRDefault="00BE54B7" w:rsidP="00BE54B7">
      <w:r w:rsidRPr="00BE54B7">
        <w:t>As a further safety assessment, the clinical exposure to budesonide at the MRHD (9 mg) of budesonide MMX (</w:t>
      </w:r>
      <w:r w:rsidR="000976D3">
        <w:t>Cortiment</w:t>
      </w:r>
      <w:r w:rsidRPr="00BE54B7">
        <w:t>) was compared with the known budesonide exposures at the MRHD</w:t>
      </w:r>
      <w:r w:rsidR="004B206B">
        <w:t xml:space="preserve"> of other registered budesonide </w:t>
      </w:r>
      <w:r w:rsidRPr="00BE54B7">
        <w:t>containing oral products (</w:t>
      </w:r>
      <w:proofErr w:type="spellStart"/>
      <w:r w:rsidR="000976D3">
        <w:t>Entocort</w:t>
      </w:r>
      <w:proofErr w:type="spellEnd"/>
      <w:r w:rsidRPr="00BE54B7">
        <w:t xml:space="preserve"> and </w:t>
      </w:r>
      <w:proofErr w:type="spellStart"/>
      <w:r w:rsidRPr="00BE54B7">
        <w:t>B</w:t>
      </w:r>
      <w:r w:rsidR="004B206B" w:rsidRPr="00BE54B7">
        <w:t>udenofalk</w:t>
      </w:r>
      <w:proofErr w:type="spellEnd"/>
      <w:r w:rsidRPr="00BE54B7">
        <w:t xml:space="preserve"> capsules), and was found to be comparable.</w:t>
      </w:r>
    </w:p>
    <w:p w14:paraId="0B153040" w14:textId="77777777" w:rsidR="00BE54B7" w:rsidRPr="00BE54B7" w:rsidRDefault="00BE54B7" w:rsidP="00BE54B7">
      <w:r w:rsidRPr="00BE54B7">
        <w:t xml:space="preserve">The results from the monkey study </w:t>
      </w:r>
      <w:r w:rsidR="000B1890">
        <w:t xml:space="preserve">therefore </w:t>
      </w:r>
      <w:r w:rsidRPr="00BE54B7">
        <w:t xml:space="preserve">suggest that the use of the budesonide MMX tablet at the proposed MRHD is unlikely to elicit any additional/unexpected systemic </w:t>
      </w:r>
      <w:proofErr w:type="gramStart"/>
      <w:r w:rsidRPr="00BE54B7">
        <w:t>toxicities</w:t>
      </w:r>
      <w:proofErr w:type="gramEnd"/>
      <w:r w:rsidRPr="00BE54B7">
        <w:t>.</w:t>
      </w:r>
    </w:p>
    <w:p w14:paraId="46E8ACCA" w14:textId="77777777" w:rsidR="00BE54B7" w:rsidRPr="00BE54B7" w:rsidRDefault="00BE54B7" w:rsidP="00DE7CC3">
      <w:pPr>
        <w:pStyle w:val="Heading4"/>
      </w:pPr>
      <w:r w:rsidRPr="00BE54B7">
        <w:t xml:space="preserve">Local toxicity </w:t>
      </w:r>
      <w:r w:rsidRPr="00DE7CC3">
        <w:t>considerations</w:t>
      </w:r>
    </w:p>
    <w:p w14:paraId="6739A9AC" w14:textId="77777777" w:rsidR="00BE54B7" w:rsidRPr="00BE54B7" w:rsidRDefault="00BE54B7" w:rsidP="00BE54B7">
      <w:r w:rsidRPr="00BE54B7">
        <w:t xml:space="preserve">Budesonide begins release from the tablet core of budesonide MMX in the terminal ileum and then continues to be released throughout the colon, so there is the potential for a differing local (GI) tolerance profile with this product </w:t>
      </w:r>
      <w:r w:rsidR="004B206B">
        <w:t>compared with</w:t>
      </w:r>
      <w:r w:rsidRPr="00BE54B7">
        <w:t xml:space="preserve"> other oral budesonide products. Local tolerance was not extensively inves</w:t>
      </w:r>
      <w:r w:rsidR="004B206B">
        <w:t xml:space="preserve">tigated in the 28 </w:t>
      </w:r>
      <w:r w:rsidRPr="00BE54B7">
        <w:t xml:space="preserve">day repeat dose monkey study (dose, 18 mg/day), and there was no placebo control group; however, there was no evidence of local intolerance based on the reported observations (‘faecal change’ was similar in both budesonide MMX and </w:t>
      </w:r>
      <w:proofErr w:type="spellStart"/>
      <w:r w:rsidR="000976D3">
        <w:t>Entocort</w:t>
      </w:r>
      <w:proofErr w:type="spellEnd"/>
      <w:r w:rsidRPr="00BE54B7">
        <w:t xml:space="preserve"> groups). The mg/kg</w:t>
      </w:r>
      <w:r w:rsidR="004B206B">
        <w:t xml:space="preserve"> doses in the monkey study (4.6 to 6.7 mg/kg/day) were 25 to 37 times</w:t>
      </w:r>
      <w:r w:rsidRPr="00BE54B7">
        <w:t xml:space="preserve"> the MRHD of 9 mg/day (0.18 mg/kg/day in a 50 kg person); this multiple of the human dose would be somewhat greater with larger patients (</w:t>
      </w:r>
      <w:r w:rsidR="004B206B">
        <w:t xml:space="preserve">for example, 35 to </w:t>
      </w:r>
      <w:r w:rsidRPr="00BE54B7">
        <w:t>51</w:t>
      </w:r>
      <w:r w:rsidR="004B206B">
        <w:t xml:space="preserve"> </w:t>
      </w:r>
      <w:r w:rsidRPr="00BE54B7">
        <w:t xml:space="preserve">x for 0.13 mg/kg/day in a 70 kg person). The absolute dose of budesonide MMX (and </w:t>
      </w:r>
      <w:proofErr w:type="spellStart"/>
      <w:r w:rsidR="000976D3">
        <w:t>Entocort</w:t>
      </w:r>
      <w:proofErr w:type="spellEnd"/>
      <w:r w:rsidRPr="00BE54B7">
        <w:t>) administered (18 mg) was 2</w:t>
      </w:r>
      <w:r w:rsidR="004B206B">
        <w:t xml:space="preserve"> </w:t>
      </w:r>
      <w:r w:rsidRPr="00BE54B7">
        <w:t xml:space="preserve">x the MRHD. These margins are considered adequate and suggest that the use of </w:t>
      </w:r>
      <w:r w:rsidR="000976D3">
        <w:t>Cortiment</w:t>
      </w:r>
      <w:r w:rsidRPr="00BE54B7">
        <w:t xml:space="preserve"> (budesonide MMX) tablets at the proposed MRHD should be well tolerated. The extensive previous clinical history with oral budesonide products also does not indicate a potential local tole</w:t>
      </w:r>
      <w:r w:rsidR="00F94FCE">
        <w:t>rance issue with this compound.</w:t>
      </w:r>
    </w:p>
    <w:p w14:paraId="2A2F1669" w14:textId="77777777" w:rsidR="00BE54B7" w:rsidRPr="00F94FCE" w:rsidRDefault="00BE54B7" w:rsidP="00BE54B7">
      <w:r w:rsidRPr="00BE54B7">
        <w:t>Taken in conjunction with ratios based on mg/kg weight and consideration of the safety profile of budesonide over many years of clinical practice, it is unlikely that the budesonide MMX will present any new local toxicity concerns. This will be confirmed for the clinical data by the clinical evaluator for the current submission</w:t>
      </w:r>
      <w:r w:rsidRPr="00F94FCE">
        <w:t>.</w:t>
      </w:r>
    </w:p>
    <w:p w14:paraId="6B7B7556" w14:textId="77777777" w:rsidR="00BE54B7" w:rsidRPr="00BE54B7" w:rsidRDefault="00BE54B7" w:rsidP="00BE54B7">
      <w:pPr>
        <w:pStyle w:val="Heading4"/>
      </w:pPr>
      <w:r w:rsidRPr="00BE54B7">
        <w:t>Genotoxicity</w:t>
      </w:r>
    </w:p>
    <w:p w14:paraId="7A51511C" w14:textId="77777777" w:rsidR="00BE54B7" w:rsidRPr="00BE54B7" w:rsidRDefault="00BE54B7" w:rsidP="00BE54B7">
      <w:r w:rsidRPr="00BE54B7">
        <w:t xml:space="preserve">Budesonide is not considered to possess genotoxic potential, based on published studies with the standard in vitro and in vivo genotoxicity assays, consistent with previous assessments for this compound (published PI documents for </w:t>
      </w:r>
      <w:proofErr w:type="spellStart"/>
      <w:r w:rsidR="000976D3">
        <w:t>Entocort</w:t>
      </w:r>
      <w:proofErr w:type="spellEnd"/>
      <w:r w:rsidRPr="00BE54B7">
        <w:t xml:space="preserve">, </w:t>
      </w:r>
      <w:proofErr w:type="spellStart"/>
      <w:r w:rsidRPr="00BE54B7">
        <w:t>P</w:t>
      </w:r>
      <w:r w:rsidR="004B206B" w:rsidRPr="00BE54B7">
        <w:t>ulmicort</w:t>
      </w:r>
      <w:proofErr w:type="spellEnd"/>
      <w:r w:rsidRPr="00BE54B7">
        <w:t xml:space="preserve">, </w:t>
      </w:r>
      <w:proofErr w:type="spellStart"/>
      <w:proofErr w:type="gramStart"/>
      <w:r w:rsidRPr="00BE54B7">
        <w:t>B</w:t>
      </w:r>
      <w:r w:rsidR="004B206B" w:rsidRPr="00BE54B7">
        <w:t>udamax</w:t>
      </w:r>
      <w:proofErr w:type="spellEnd"/>
      <w:proofErr w:type="gramEnd"/>
      <w:r w:rsidRPr="00BE54B7">
        <w:t>).</w:t>
      </w:r>
    </w:p>
    <w:p w14:paraId="1CA19C88" w14:textId="635E3B54" w:rsidR="00BE54B7" w:rsidRPr="00BE54B7" w:rsidRDefault="00BE54B7" w:rsidP="00BE54B7">
      <w:pPr>
        <w:pStyle w:val="Heading4"/>
      </w:pPr>
      <w:r w:rsidRPr="00BE54B7">
        <w:lastRenderedPageBreak/>
        <w:t>Carcinogenicity</w:t>
      </w:r>
    </w:p>
    <w:p w14:paraId="7EFEBC88" w14:textId="77777777" w:rsidR="00BE54B7" w:rsidRPr="00BE54B7" w:rsidRDefault="00BE54B7" w:rsidP="00BE54B7">
      <w:r w:rsidRPr="00BE54B7">
        <w:t>No new carcinogenicity study da</w:t>
      </w:r>
      <w:r w:rsidR="004B206B">
        <w:t>ta were submitted; however the s</w:t>
      </w:r>
      <w:r w:rsidRPr="00BE54B7">
        <w:t xml:space="preserve">ponsor referenced the carcinogenicity studies from the </w:t>
      </w:r>
      <w:r w:rsidR="00352666">
        <w:t xml:space="preserve">Summary Basis for </w:t>
      </w:r>
      <w:r w:rsidR="00352666" w:rsidRPr="00352666">
        <w:t>Approval (</w:t>
      </w:r>
      <w:r w:rsidRPr="00352666">
        <w:t>SBA</w:t>
      </w:r>
      <w:r w:rsidR="00352666" w:rsidRPr="00352666">
        <w:t>), FDA</w:t>
      </w:r>
      <w:r w:rsidRPr="00352666">
        <w:t xml:space="preserve"> document for </w:t>
      </w:r>
      <w:proofErr w:type="spellStart"/>
      <w:r w:rsidR="000976D3">
        <w:t>Entocort</w:t>
      </w:r>
      <w:proofErr w:type="spellEnd"/>
      <w:r w:rsidRPr="00BE54B7">
        <w:t xml:space="preserve"> capsules. Several studies, available in the public domain (one published and three in a product monograph for </w:t>
      </w:r>
      <w:proofErr w:type="spellStart"/>
      <w:r w:rsidR="000976D3">
        <w:t>Entocort</w:t>
      </w:r>
      <w:proofErr w:type="spellEnd"/>
      <w:r w:rsidRPr="00BE54B7">
        <w:t xml:space="preserve"> capsules), have also been previously evaluated by the TGA </w:t>
      </w:r>
      <w:r w:rsidR="00352666">
        <w:t>for earlier</w:t>
      </w:r>
      <w:r w:rsidRPr="00BE54B7">
        <w:t xml:space="preserve"> submissions, and appropriate statements appear in the PI for </w:t>
      </w:r>
      <w:proofErr w:type="spellStart"/>
      <w:r w:rsidR="000976D3">
        <w:t>Entocort</w:t>
      </w:r>
      <w:proofErr w:type="spellEnd"/>
      <w:r w:rsidRPr="00BE54B7">
        <w:t xml:space="preserve"> and other registered budesonide products for IBD (</w:t>
      </w:r>
      <w:proofErr w:type="spellStart"/>
      <w:r w:rsidRPr="00BE54B7">
        <w:t>B</w:t>
      </w:r>
      <w:r w:rsidR="004B206B" w:rsidRPr="00BE54B7">
        <w:t>udenof</w:t>
      </w:r>
      <w:r w:rsidR="004B206B">
        <w:t>alk</w:t>
      </w:r>
      <w:proofErr w:type="spellEnd"/>
      <w:r w:rsidR="00F94FCE">
        <w:t xml:space="preserve"> capsules, </w:t>
      </w:r>
      <w:proofErr w:type="spellStart"/>
      <w:r w:rsidR="00F94FCE">
        <w:t>B</w:t>
      </w:r>
      <w:r w:rsidR="004B206B">
        <w:t>udenofalk</w:t>
      </w:r>
      <w:proofErr w:type="spellEnd"/>
      <w:r w:rsidR="00F94FCE">
        <w:t xml:space="preserve"> foam).</w:t>
      </w:r>
    </w:p>
    <w:p w14:paraId="0D93B747" w14:textId="77777777" w:rsidR="00BE54B7" w:rsidRPr="00BE54B7" w:rsidRDefault="00BE54B7" w:rsidP="00BE54B7">
      <w:pPr>
        <w:pStyle w:val="Heading4"/>
      </w:pPr>
      <w:r w:rsidRPr="00BE54B7">
        <w:t>Reproductive toxicity</w:t>
      </w:r>
    </w:p>
    <w:p w14:paraId="76EADAA8" w14:textId="77777777" w:rsidR="00BE54B7" w:rsidRPr="00BE54B7" w:rsidRDefault="00BE54B7" w:rsidP="00BE54B7">
      <w:r w:rsidRPr="00BE54B7">
        <w:t>The nonclinical reproductive toxicity of budesonide has also been assessed in previous submissions to the TGA</w:t>
      </w:r>
      <w:r w:rsidR="004B206B">
        <w:t xml:space="preserve"> for registration of budesonide </w:t>
      </w:r>
      <w:r w:rsidRPr="00BE54B7">
        <w:t xml:space="preserve">containing products (refer PI documents for </w:t>
      </w:r>
      <w:proofErr w:type="spellStart"/>
      <w:r w:rsidR="000976D3">
        <w:t>Entocort</w:t>
      </w:r>
      <w:proofErr w:type="spellEnd"/>
      <w:r w:rsidRPr="00BE54B7">
        <w:t xml:space="preserve">, </w:t>
      </w:r>
      <w:proofErr w:type="spellStart"/>
      <w:r w:rsidRPr="00BE54B7">
        <w:t>P</w:t>
      </w:r>
      <w:r w:rsidR="004B206B" w:rsidRPr="00BE54B7">
        <w:t>ulmicort</w:t>
      </w:r>
      <w:proofErr w:type="spellEnd"/>
      <w:r w:rsidRPr="00BE54B7">
        <w:t xml:space="preserve">, </w:t>
      </w:r>
      <w:proofErr w:type="spellStart"/>
      <w:r w:rsidRPr="00BE54B7">
        <w:t>B</w:t>
      </w:r>
      <w:r w:rsidR="004B206B" w:rsidRPr="00BE54B7">
        <w:t>udamax</w:t>
      </w:r>
      <w:proofErr w:type="spellEnd"/>
      <w:r w:rsidRPr="00BE54B7">
        <w:t xml:space="preserve"> and </w:t>
      </w:r>
      <w:proofErr w:type="spellStart"/>
      <w:r w:rsidRPr="00BE54B7">
        <w:t>B</w:t>
      </w:r>
      <w:r w:rsidR="004B206B" w:rsidRPr="00BE54B7">
        <w:t>udenofalk</w:t>
      </w:r>
      <w:proofErr w:type="spellEnd"/>
      <w:r w:rsidRPr="00BE54B7">
        <w:t>). No new data have been provided in the current submission but would be expected to be</w:t>
      </w:r>
      <w:r w:rsidR="00352666">
        <w:t xml:space="preserve"> consistent with the previously </w:t>
      </w:r>
      <w:r w:rsidRPr="00BE54B7">
        <w:t>assessed reproductive toxicity profile.</w:t>
      </w:r>
    </w:p>
    <w:p w14:paraId="2AD36441" w14:textId="77777777" w:rsidR="00BE54B7" w:rsidRPr="00BE54B7" w:rsidRDefault="00BE54B7" w:rsidP="00BE54B7">
      <w:pPr>
        <w:pStyle w:val="Heading5"/>
      </w:pPr>
      <w:r w:rsidRPr="00BE54B7">
        <w:t>Pregnancy classification</w:t>
      </w:r>
    </w:p>
    <w:p w14:paraId="0AB9E9F5" w14:textId="291EA101" w:rsidR="00BE54B7" w:rsidRPr="00BE54B7" w:rsidRDefault="00BE54B7" w:rsidP="00BE54B7">
      <w:r w:rsidRPr="00BE54B7">
        <w:t>The sponsor has proposed pregnancy Category B3</w:t>
      </w:r>
      <w:r w:rsidR="006C5116">
        <w:t>.</w:t>
      </w:r>
      <w:r w:rsidR="004B206B">
        <w:rPr>
          <w:rStyle w:val="FootnoteReference"/>
        </w:rPr>
        <w:footnoteReference w:id="4"/>
      </w:r>
      <w:r w:rsidRPr="00BE54B7">
        <w:t xml:space="preserve"> This is consistent with the classifications for other budesonide products for UC and Crohn’s disease (</w:t>
      </w:r>
      <w:proofErr w:type="spellStart"/>
      <w:r w:rsidRPr="00BE54B7">
        <w:t>B</w:t>
      </w:r>
      <w:r w:rsidR="004B206B" w:rsidRPr="00BE54B7">
        <w:t>udenofalk</w:t>
      </w:r>
      <w:proofErr w:type="spellEnd"/>
      <w:r w:rsidRPr="00BE54B7">
        <w:t xml:space="preserve"> Foam, </w:t>
      </w:r>
      <w:proofErr w:type="spellStart"/>
      <w:r w:rsidRPr="00BE54B7">
        <w:t>B</w:t>
      </w:r>
      <w:r w:rsidR="004B206B" w:rsidRPr="00BE54B7">
        <w:t>udenofalk</w:t>
      </w:r>
      <w:proofErr w:type="spellEnd"/>
      <w:r w:rsidRPr="00BE54B7">
        <w:t xml:space="preserve"> capsules, </w:t>
      </w:r>
      <w:proofErr w:type="spellStart"/>
      <w:r w:rsidR="000976D3">
        <w:t>Entocort</w:t>
      </w:r>
      <w:proofErr w:type="spellEnd"/>
      <w:r w:rsidRPr="00BE54B7">
        <w:t xml:space="preserve"> capsules), already evaluated and registered.</w:t>
      </w:r>
    </w:p>
    <w:p w14:paraId="19511567" w14:textId="77777777" w:rsidR="00BE54B7" w:rsidRPr="00BE54B7" w:rsidRDefault="00BE54B7" w:rsidP="00BE54B7">
      <w:pPr>
        <w:pStyle w:val="Heading4"/>
      </w:pPr>
      <w:r w:rsidRPr="00BE54B7">
        <w:t>Paediatric use</w:t>
      </w:r>
    </w:p>
    <w:p w14:paraId="56AEC923" w14:textId="77777777" w:rsidR="00BE54B7" w:rsidRPr="005A259E" w:rsidRDefault="00BE54B7" w:rsidP="00521319">
      <w:r w:rsidRPr="00BE54B7">
        <w:t>Budesonide MMX is not proposed for paediatric use and no specific studies in j</w:t>
      </w:r>
      <w:r w:rsidR="00F94FCE">
        <w:t>uvenile animals were submitted.</w:t>
      </w:r>
    </w:p>
    <w:p w14:paraId="0A6730D0" w14:textId="77777777" w:rsidR="008E7846" w:rsidRDefault="008E7846" w:rsidP="00F31992">
      <w:pPr>
        <w:pStyle w:val="Heading3"/>
      </w:pPr>
      <w:bookmarkStart w:id="60" w:name="_Toc247691515"/>
      <w:bookmarkStart w:id="61" w:name="_Toc314842499"/>
      <w:bookmarkStart w:id="62" w:name="_Toc442962653"/>
      <w:r>
        <w:t>Nonclinical summary and conclusions</w:t>
      </w:r>
      <w:bookmarkEnd w:id="60"/>
      <w:bookmarkEnd w:id="61"/>
      <w:bookmarkEnd w:id="62"/>
    </w:p>
    <w:p w14:paraId="33C86106" w14:textId="77777777" w:rsidR="00B43224" w:rsidRPr="00B43224" w:rsidRDefault="00B43224" w:rsidP="00F31992">
      <w:pPr>
        <w:pStyle w:val="Heading4"/>
      </w:pPr>
      <w:bookmarkStart w:id="63" w:name="_Toc294861478"/>
      <w:bookmarkStart w:id="64" w:name="_Toc295290861"/>
      <w:bookmarkStart w:id="65" w:name="_Toc404257231"/>
      <w:r w:rsidRPr="00B43224">
        <w:t>S</w:t>
      </w:r>
      <w:r w:rsidR="00521319" w:rsidRPr="00B43224">
        <w:t>ummary</w:t>
      </w:r>
      <w:bookmarkEnd w:id="63"/>
      <w:bookmarkEnd w:id="64"/>
      <w:bookmarkEnd w:id="65"/>
    </w:p>
    <w:p w14:paraId="293EE545" w14:textId="77777777" w:rsidR="00B43224" w:rsidRPr="00B43224" w:rsidRDefault="00521319" w:rsidP="00B43224">
      <w:r>
        <w:t xml:space="preserve">A new 28 </w:t>
      </w:r>
      <w:r w:rsidR="00B43224" w:rsidRPr="00B43224">
        <w:t xml:space="preserve">day oral repeat dose bridging study in </w:t>
      </w:r>
      <w:proofErr w:type="spellStart"/>
      <w:r w:rsidR="00B43224" w:rsidRPr="00B43224">
        <w:t>cynomolgous</w:t>
      </w:r>
      <w:proofErr w:type="spellEnd"/>
      <w:r w:rsidR="00B43224" w:rsidRPr="00B43224">
        <w:t xml:space="preserve"> monkeys compared </w:t>
      </w:r>
      <w:proofErr w:type="spellStart"/>
      <w:r w:rsidR="000976D3">
        <w:t>Cortiment</w:t>
      </w:r>
      <w:proofErr w:type="spellEnd"/>
      <w:r w:rsidR="00B43224" w:rsidRPr="00B43224">
        <w:t xml:space="preserve"> tablets and </w:t>
      </w:r>
      <w:proofErr w:type="spellStart"/>
      <w:r w:rsidR="000976D3">
        <w:t>Entocort</w:t>
      </w:r>
      <w:proofErr w:type="spellEnd"/>
      <w:r w:rsidR="00B43224" w:rsidRPr="00B43224">
        <w:t xml:space="preserve"> (budesonide) enteric capsules at doses of 18 mg/day (at least 25</w:t>
      </w:r>
      <w:r>
        <w:t xml:space="preserve"> </w:t>
      </w:r>
      <w:r w:rsidR="00B43224" w:rsidRPr="00B43224">
        <w:t xml:space="preserve">x the MRHD on </w:t>
      </w:r>
      <w:proofErr w:type="gramStart"/>
      <w:r w:rsidR="00B43224" w:rsidRPr="00B43224">
        <w:t>a</w:t>
      </w:r>
      <w:proofErr w:type="gramEnd"/>
      <w:r w:rsidR="00B43224" w:rsidRPr="00B43224">
        <w:t xml:space="preserve"> mg/kg basis). Systemic budesonide exposure following </w:t>
      </w:r>
      <w:r w:rsidR="000976D3">
        <w:t>Cortiment</w:t>
      </w:r>
      <w:r w:rsidR="00B43224" w:rsidRPr="00B43224">
        <w:t xml:space="preserve"> was about half that following </w:t>
      </w:r>
      <w:proofErr w:type="spellStart"/>
      <w:r w:rsidR="000976D3">
        <w:t>Entocort</w:t>
      </w:r>
      <w:proofErr w:type="spellEnd"/>
      <w:r w:rsidR="00B43224" w:rsidRPr="00B43224">
        <w:t xml:space="preserve">, and exceeded clinical systemic exposure at the MRHD. There were no discernible toxicological differences between </w:t>
      </w:r>
      <w:proofErr w:type="spellStart"/>
      <w:r w:rsidR="000976D3">
        <w:t>Cortiment</w:t>
      </w:r>
      <w:proofErr w:type="spellEnd"/>
      <w:r w:rsidR="00B43224" w:rsidRPr="00B43224">
        <w:t xml:space="preserve"> and </w:t>
      </w:r>
      <w:proofErr w:type="spellStart"/>
      <w:r w:rsidR="000976D3">
        <w:t>Entocort</w:t>
      </w:r>
      <w:proofErr w:type="spellEnd"/>
      <w:r w:rsidR="00B43224" w:rsidRPr="00B43224">
        <w:t xml:space="preserve"> treatment groups, and no evidence of local (</w:t>
      </w:r>
      <w:r w:rsidR="00F94FCE">
        <w:t>gastrointestinal) intolerance.</w:t>
      </w:r>
    </w:p>
    <w:p w14:paraId="6CEE437B" w14:textId="77777777" w:rsidR="00B43224" w:rsidRPr="00B43224" w:rsidRDefault="00521319" w:rsidP="00F31992">
      <w:pPr>
        <w:pStyle w:val="Heading4"/>
      </w:pPr>
      <w:bookmarkStart w:id="66" w:name="_Toc294861479"/>
      <w:bookmarkStart w:id="67" w:name="_Toc295290862"/>
      <w:bookmarkStart w:id="68" w:name="_Toc404257232"/>
      <w:r>
        <w:t>C</w:t>
      </w:r>
      <w:r w:rsidRPr="00B43224">
        <w:t>onclusions and recommendation</w:t>
      </w:r>
      <w:bookmarkEnd w:id="66"/>
      <w:bookmarkEnd w:id="67"/>
      <w:bookmarkEnd w:id="68"/>
    </w:p>
    <w:p w14:paraId="0B9FC777" w14:textId="77777777" w:rsidR="00B43224" w:rsidRPr="00B43224" w:rsidRDefault="00B43224" w:rsidP="00B43224">
      <w:r w:rsidRPr="00B43224">
        <w:t xml:space="preserve">There is extensive clinical experience with budesonide through the use of several </w:t>
      </w:r>
      <w:r w:rsidR="00271024">
        <w:t xml:space="preserve">budesonide </w:t>
      </w:r>
      <w:r w:rsidRPr="00B43224">
        <w:t xml:space="preserve">containing products, and its clinical efficacy and safety profile are well established. Of particular relevance to the current submission are the registered </w:t>
      </w:r>
      <w:proofErr w:type="spellStart"/>
      <w:r w:rsidR="000976D3">
        <w:t>Entocort</w:t>
      </w:r>
      <w:proofErr w:type="spellEnd"/>
      <w:r w:rsidRPr="00B43224">
        <w:t xml:space="preserve"> capsules and </w:t>
      </w:r>
      <w:proofErr w:type="spellStart"/>
      <w:r w:rsidRPr="00B43224">
        <w:t>B</w:t>
      </w:r>
      <w:r w:rsidR="00521319" w:rsidRPr="00521319">
        <w:t>udenofalk</w:t>
      </w:r>
      <w:proofErr w:type="spellEnd"/>
      <w:r w:rsidRPr="00B43224">
        <w:t xml:space="preserve"> capsules for induction o</w:t>
      </w:r>
      <w:r w:rsidR="00521319">
        <w:t xml:space="preserve">f remission in adults with mild to </w:t>
      </w:r>
      <w:r w:rsidRPr="00B43224">
        <w:t>moderate Crohn’s disease affecting the il</w:t>
      </w:r>
      <w:r w:rsidR="00521319">
        <w:t xml:space="preserve">eum and/or the ascending colon </w:t>
      </w:r>
      <w:r w:rsidRPr="00B43224">
        <w:t xml:space="preserve">and </w:t>
      </w:r>
      <w:proofErr w:type="spellStart"/>
      <w:r w:rsidRPr="00B43224">
        <w:t>B</w:t>
      </w:r>
      <w:r w:rsidR="00521319" w:rsidRPr="00B43224">
        <w:t>udenofalk</w:t>
      </w:r>
      <w:proofErr w:type="spellEnd"/>
      <w:r w:rsidRPr="00B43224">
        <w:t xml:space="preserve"> foam enema for the treatment of active rectal and </w:t>
      </w:r>
      <w:proofErr w:type="spellStart"/>
      <w:r w:rsidRPr="00B43224">
        <w:t>rectosigmoid</w:t>
      </w:r>
      <w:proofErr w:type="spellEnd"/>
      <w:r w:rsidR="00521319">
        <w:t xml:space="preserve"> disease in ulcerative </w:t>
      </w:r>
      <w:proofErr w:type="gramStart"/>
      <w:r w:rsidR="00521319">
        <w:t>colitis.</w:t>
      </w:r>
      <w:proofErr w:type="gramEnd"/>
    </w:p>
    <w:p w14:paraId="0BB3C46D" w14:textId="77777777" w:rsidR="00B43224" w:rsidRDefault="00B43224" w:rsidP="00B43224">
      <w:r w:rsidRPr="00B43224">
        <w:lastRenderedPageBreak/>
        <w:t xml:space="preserve">The toxicological bridging study in monkeys did not provide any evidence of a potential for increased systemic glucocorticoid toxicity or local (gastrointestinal) intolerance with </w:t>
      </w:r>
      <w:r w:rsidR="000976D3">
        <w:t>Cortiment</w:t>
      </w:r>
      <w:r w:rsidRPr="00B43224">
        <w:t xml:space="preserve"> prolonged release tablets </w:t>
      </w:r>
      <w:r w:rsidR="00F329C5">
        <w:t>compared</w:t>
      </w:r>
      <w:r w:rsidR="00521319">
        <w:t xml:space="preserve"> with</w:t>
      </w:r>
      <w:r w:rsidRPr="00B43224">
        <w:t xml:space="preserve"> </w:t>
      </w:r>
      <w:proofErr w:type="spellStart"/>
      <w:r w:rsidR="000976D3">
        <w:t>Entocort</w:t>
      </w:r>
      <w:proofErr w:type="spellEnd"/>
      <w:r w:rsidRPr="00B43224">
        <w:t xml:space="preserve"> enteric capsules. The clinical exposure to budesonide at the MRHD of </w:t>
      </w:r>
      <w:r w:rsidR="000976D3">
        <w:t>Cortiment</w:t>
      </w:r>
      <w:r w:rsidRPr="00B43224">
        <w:t xml:space="preserve"> is comparable to the known exposures at the MRHD of other regis</w:t>
      </w:r>
      <w:r w:rsidR="00521319">
        <w:t>tered oral budesonide products.</w:t>
      </w:r>
    </w:p>
    <w:p w14:paraId="0A8332D0" w14:textId="54300589" w:rsidR="00D1081A" w:rsidRPr="00B43224" w:rsidRDefault="00D1081A" w:rsidP="00B43224">
      <w:r>
        <w:t>The</w:t>
      </w:r>
      <w:r w:rsidR="00FB2FF9">
        <w:t xml:space="preserve"> nonclinical evaluator also</w:t>
      </w:r>
      <w:r>
        <w:t xml:space="preserve"> recommend</w:t>
      </w:r>
      <w:r w:rsidR="00FB2FF9">
        <w:t>ed amendments to the draft Product Information document but these are beyond the scope of this AusPAR.</w:t>
      </w:r>
    </w:p>
    <w:p w14:paraId="6641054A" w14:textId="77777777" w:rsidR="008E7846" w:rsidRPr="00254787" w:rsidRDefault="008E7846" w:rsidP="00F31992">
      <w:pPr>
        <w:pStyle w:val="Heading2"/>
      </w:pPr>
      <w:bookmarkStart w:id="69" w:name="_Toc196046462"/>
      <w:bookmarkStart w:id="70" w:name="_Toc247691516"/>
      <w:bookmarkStart w:id="71" w:name="_Toc314842500"/>
      <w:bookmarkStart w:id="72" w:name="_Toc163441353"/>
      <w:bookmarkStart w:id="73" w:name="_Toc163441348"/>
      <w:bookmarkStart w:id="74" w:name="_Toc442962654"/>
      <w:r>
        <w:t xml:space="preserve">IV. </w:t>
      </w:r>
      <w:r w:rsidRPr="00254787">
        <w:t>Clinical</w:t>
      </w:r>
      <w:bookmarkEnd w:id="69"/>
      <w:r>
        <w:t xml:space="preserve"> </w:t>
      </w:r>
      <w:r w:rsidR="003A7F6C" w:rsidRPr="00F31992">
        <w:t>f</w:t>
      </w:r>
      <w:r w:rsidRPr="00F31992">
        <w:t>indings</w:t>
      </w:r>
      <w:bookmarkEnd w:id="70"/>
      <w:bookmarkEnd w:id="71"/>
      <w:bookmarkEnd w:id="74"/>
    </w:p>
    <w:p w14:paraId="6774DCC5" w14:textId="77777777" w:rsidR="00C80137" w:rsidRDefault="00C80137" w:rsidP="00D425BB">
      <w:bookmarkStart w:id="75"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09465932" w14:textId="2AD90EBC" w:rsidR="00605AD4" w:rsidRDefault="00F31992" w:rsidP="00641DE8">
      <w:pPr>
        <w:pStyle w:val="Heading3"/>
      </w:pPr>
      <w:bookmarkStart w:id="76" w:name="_Toc196046464"/>
      <w:bookmarkStart w:id="77" w:name="_Toc247691518"/>
      <w:bookmarkStart w:id="78" w:name="_Toc314842502"/>
      <w:bookmarkStart w:id="79" w:name="_Toc442962655"/>
      <w:bookmarkEnd w:id="75"/>
      <w:r>
        <w:t>Clinical r</w:t>
      </w:r>
      <w:r w:rsidR="00605AD4" w:rsidRPr="00605AD4">
        <w:t>ationale</w:t>
      </w:r>
      <w:bookmarkEnd w:id="79"/>
    </w:p>
    <w:p w14:paraId="6AD88EA8" w14:textId="77777777" w:rsidR="00DA12A3" w:rsidRPr="00DA12A3" w:rsidRDefault="00DA12A3" w:rsidP="00DA12A3">
      <w:r w:rsidRPr="00DA12A3">
        <w:t xml:space="preserve">As a synthetic glucocorticoid, budesonide is known to possess anti-inflammatory effects comparable to those of conventional glucocorticoids. There are three budesonide products currently registered on the ARTG for the treatment of IBD, of which two are oral capsules for induction of remission </w:t>
      </w:r>
      <w:r w:rsidRPr="00F31992">
        <w:t>i</w:t>
      </w:r>
      <w:r w:rsidRPr="00DA12A3">
        <w:t>n mild to moderate Crohn's disease affecting the ileum and/or the ascending colon (</w:t>
      </w:r>
      <w:proofErr w:type="spellStart"/>
      <w:r w:rsidR="000976D3">
        <w:t>Entocort</w:t>
      </w:r>
      <w:proofErr w:type="spellEnd"/>
      <w:r w:rsidRPr="00DA12A3">
        <w:t xml:space="preserve"> and </w:t>
      </w:r>
      <w:proofErr w:type="spellStart"/>
      <w:r w:rsidRPr="00DA12A3">
        <w:t>B</w:t>
      </w:r>
      <w:r w:rsidR="00291172" w:rsidRPr="00DA12A3">
        <w:t>udenofal</w:t>
      </w:r>
      <w:r w:rsidR="00291172">
        <w:t>k</w:t>
      </w:r>
      <w:proofErr w:type="spellEnd"/>
      <w:r w:rsidRPr="00DA12A3">
        <w:t xml:space="preserve">), and one is enema for use in active rectal and </w:t>
      </w:r>
      <w:proofErr w:type="spellStart"/>
      <w:r w:rsidRPr="00DA12A3">
        <w:t>rectosigmoid</w:t>
      </w:r>
      <w:proofErr w:type="spellEnd"/>
      <w:r w:rsidRPr="00DA12A3">
        <w:t xml:space="preserve"> UC (</w:t>
      </w:r>
      <w:proofErr w:type="spellStart"/>
      <w:r w:rsidRPr="00DA12A3">
        <w:t>B</w:t>
      </w:r>
      <w:r w:rsidR="00291172" w:rsidRPr="00DA12A3">
        <w:t>udenofalk</w:t>
      </w:r>
      <w:proofErr w:type="spellEnd"/>
      <w:r w:rsidRPr="00DA12A3">
        <w:t xml:space="preserve"> Foam Enema).</w:t>
      </w:r>
    </w:p>
    <w:p w14:paraId="10E5A56A" w14:textId="77777777" w:rsidR="00DA12A3" w:rsidRPr="00DA12A3" w:rsidRDefault="00DA12A3" w:rsidP="00F31992">
      <w:r w:rsidRPr="00DA12A3">
        <w:t xml:space="preserve">Due to extensive absorption from the small intestine and right ascending colon, the currently available oral budesonide formulations are deemed to be unsuitable for the treatment of distal colonic lesions, notably in UC. Using the patented </w:t>
      </w:r>
      <w:r w:rsidR="00271024">
        <w:t>MMX</w:t>
      </w:r>
      <w:r w:rsidRPr="00DA12A3">
        <w:t xml:space="preserve"> system, the proposed </w:t>
      </w:r>
      <w:r w:rsidR="000976D3">
        <w:t>Cortiment</w:t>
      </w:r>
      <w:r w:rsidR="00271024">
        <w:t xml:space="preserve"> prolonged </w:t>
      </w:r>
      <w:r w:rsidRPr="00DA12A3">
        <w:t xml:space="preserve">release tablets </w:t>
      </w:r>
      <w:r w:rsidR="00271024">
        <w:t xml:space="preserve">(also referred to as budesonide </w:t>
      </w:r>
      <w:r w:rsidRPr="00DA12A3">
        <w:t>MMX) are designed to deliver budesonide at a controlled manner throughout the colon, making it a potential alternative for clinical management of UC. Thus, this product represents a new dosage form of orally administered and topically acting budesonide for a new clinical indication.</w:t>
      </w:r>
    </w:p>
    <w:p w14:paraId="55079A04" w14:textId="77777777" w:rsidR="00605AD4" w:rsidRPr="00605AD4" w:rsidRDefault="00605AD4" w:rsidP="00641DE8">
      <w:pPr>
        <w:pStyle w:val="Heading3"/>
      </w:pPr>
      <w:bookmarkStart w:id="80" w:name="_Toc442962656"/>
      <w:r w:rsidRPr="00F31992">
        <w:t>Guidance</w:t>
      </w:r>
      <w:bookmarkEnd w:id="80"/>
    </w:p>
    <w:p w14:paraId="1FAC625F" w14:textId="77777777" w:rsidR="00605AD4" w:rsidRDefault="00605AD4" w:rsidP="00641DE8">
      <w:pPr>
        <w:pStyle w:val="Heading4"/>
      </w:pPr>
      <w:r w:rsidRPr="00605AD4">
        <w:t>Contents of the clinical dossier</w:t>
      </w:r>
    </w:p>
    <w:p w14:paraId="3346A4F6" w14:textId="77777777" w:rsidR="00DA12A3" w:rsidRPr="00DA12A3" w:rsidRDefault="00521319" w:rsidP="00DA12A3">
      <w:r>
        <w:t>T</w:t>
      </w:r>
      <w:r w:rsidR="00DA12A3" w:rsidRPr="00DA12A3">
        <w:t>his application comprises of the fo</w:t>
      </w:r>
      <w:r>
        <w:t>llowing seven clinical studies:</w:t>
      </w:r>
    </w:p>
    <w:p w14:paraId="38335207" w14:textId="77777777" w:rsidR="00DA12A3" w:rsidRPr="00DA12A3" w:rsidRDefault="00291172" w:rsidP="00291172">
      <w:pPr>
        <w:pStyle w:val="ListBullet"/>
      </w:pPr>
      <w:r w:rsidRPr="00291172">
        <w:t>CRO-01-28</w:t>
      </w:r>
      <w:r>
        <w:t xml:space="preserve">; </w:t>
      </w:r>
      <w:r w:rsidR="00521319">
        <w:t>A P</w:t>
      </w:r>
      <w:r w:rsidR="00DA12A3" w:rsidRPr="00DA12A3">
        <w:t xml:space="preserve">hase I pilot </w:t>
      </w:r>
      <w:proofErr w:type="spellStart"/>
      <w:r w:rsidR="00DA12A3" w:rsidRPr="00DA12A3">
        <w:t>ph</w:t>
      </w:r>
      <w:r w:rsidR="00E72851">
        <w:t>armaco</w:t>
      </w:r>
      <w:proofErr w:type="spellEnd"/>
      <w:r w:rsidR="00E72851">
        <w:t xml:space="preserve"> </w:t>
      </w:r>
      <w:proofErr w:type="spellStart"/>
      <w:r w:rsidR="00DA12A3" w:rsidRPr="00DA12A3">
        <w:t>scintigraphic</w:t>
      </w:r>
      <w:proofErr w:type="spellEnd"/>
      <w:r w:rsidR="00DA12A3" w:rsidRPr="00DA12A3">
        <w:t xml:space="preserve"> study in healthy volunteers</w:t>
      </w:r>
      <w:r>
        <w:t>.</w:t>
      </w:r>
      <w:bookmarkStart w:id="81" w:name="_Ref432692467"/>
      <w:r>
        <w:rPr>
          <w:rStyle w:val="FootnoteReference"/>
        </w:rPr>
        <w:footnoteReference w:id="5"/>
      </w:r>
      <w:bookmarkEnd w:id="81"/>
    </w:p>
    <w:p w14:paraId="23DE9629" w14:textId="201E4618" w:rsidR="00DA12A3" w:rsidRPr="00DA12A3" w:rsidRDefault="00291172" w:rsidP="00291172">
      <w:pPr>
        <w:pStyle w:val="ListBullet"/>
      </w:pPr>
      <w:r w:rsidRPr="00291172">
        <w:t>CRO-PK-03-105</w:t>
      </w:r>
      <w:r>
        <w:t>; A P</w:t>
      </w:r>
      <w:r w:rsidR="00DA12A3" w:rsidRPr="00DA12A3">
        <w:t xml:space="preserve">hase I study in healthy volunteers, exploring the effects of food on budesonide bioavailability after the administration of a single dose of </w:t>
      </w:r>
      <w:r w:rsidR="000976D3">
        <w:t>Cortiment</w:t>
      </w:r>
      <w:r w:rsidR="00DA12A3" w:rsidRPr="00DA12A3">
        <w:t xml:space="preserve">, in addition to characterising pharmacokinetics following 7 consecutive daily doses of </w:t>
      </w:r>
      <w:r w:rsidR="000976D3">
        <w:t>Cortiment</w:t>
      </w:r>
      <w:r w:rsidR="007E216E">
        <w:t>.</w:t>
      </w:r>
      <w:r w:rsidR="007E216E">
        <w:rPr>
          <w:rStyle w:val="FootnoteReference"/>
        </w:rPr>
        <w:footnoteReference w:id="6"/>
      </w:r>
    </w:p>
    <w:p w14:paraId="2D335E8A" w14:textId="77777777" w:rsidR="00DA12A3" w:rsidRPr="00DA12A3" w:rsidRDefault="00291172" w:rsidP="00291172">
      <w:pPr>
        <w:pStyle w:val="ListBullet"/>
      </w:pPr>
      <w:r w:rsidRPr="00291172">
        <w:t>CRO-PK-06-178</w:t>
      </w:r>
      <w:r>
        <w:t>; An additional P</w:t>
      </w:r>
      <w:r w:rsidR="00DA12A3" w:rsidRPr="00DA12A3">
        <w:t xml:space="preserve">hase I study in healthy volunteers, comparing budesonide pharmacokinetics following singles doses of </w:t>
      </w:r>
      <w:r w:rsidR="000976D3">
        <w:t>Cortiment</w:t>
      </w:r>
      <w:r w:rsidR="00DA12A3" w:rsidRPr="00DA12A3">
        <w:t xml:space="preserve"> 6 and 9 mg and </w:t>
      </w:r>
      <w:proofErr w:type="spellStart"/>
      <w:r w:rsidR="000976D3">
        <w:t>Entocort</w:t>
      </w:r>
      <w:proofErr w:type="spellEnd"/>
      <w:r>
        <w:t xml:space="preserve"> 9 mg (3 x 3 mg) capsules</w:t>
      </w:r>
      <w:r w:rsidR="00DA12A3" w:rsidRPr="00DA12A3">
        <w:t>.</w:t>
      </w:r>
    </w:p>
    <w:p w14:paraId="26BE9E17" w14:textId="77777777" w:rsidR="00DA12A3" w:rsidRPr="00DA12A3" w:rsidRDefault="00291172" w:rsidP="00291172">
      <w:pPr>
        <w:pStyle w:val="ListBullet"/>
      </w:pPr>
      <w:r w:rsidRPr="00291172">
        <w:lastRenderedPageBreak/>
        <w:t>CRO-03-53</w:t>
      </w:r>
      <w:r>
        <w:t>; A P</w:t>
      </w:r>
      <w:r w:rsidR="00DA12A3" w:rsidRPr="00DA12A3">
        <w:t xml:space="preserve">hase II study in patients with active mild or moderate left-sided UC, evaluating the safety and efficacy of </w:t>
      </w:r>
      <w:r w:rsidR="000976D3">
        <w:t>Cortiment</w:t>
      </w:r>
      <w:r>
        <w:t>.</w:t>
      </w:r>
      <w:r>
        <w:rPr>
          <w:rStyle w:val="FootnoteReference"/>
        </w:rPr>
        <w:footnoteReference w:id="7"/>
      </w:r>
    </w:p>
    <w:p w14:paraId="79C3968B" w14:textId="77777777" w:rsidR="00DA12A3" w:rsidRPr="00DA12A3" w:rsidRDefault="00291172" w:rsidP="00291172">
      <w:pPr>
        <w:pStyle w:val="ListBullet"/>
      </w:pPr>
      <w:r w:rsidRPr="00291172">
        <w:t>CB-01-02/05</w:t>
      </w:r>
      <w:r>
        <w:t xml:space="preserve">; A Phase II dose </w:t>
      </w:r>
      <w:r w:rsidR="00DA12A3" w:rsidRPr="00DA12A3">
        <w:t xml:space="preserve">finding study in patients with active mild or moderate UC, comparing the efficacy and safety of 3 and 9 mg OD doses of </w:t>
      </w:r>
      <w:r w:rsidR="000976D3">
        <w:t>Cortiment</w:t>
      </w:r>
      <w:r w:rsidR="00DA12A3" w:rsidRPr="00DA12A3">
        <w:t>.</w:t>
      </w:r>
    </w:p>
    <w:p w14:paraId="5F73498E" w14:textId="77777777" w:rsidR="00DA12A3" w:rsidRPr="00291172" w:rsidRDefault="00291172" w:rsidP="00291172">
      <w:pPr>
        <w:pStyle w:val="ListBullet"/>
      </w:pPr>
      <w:r>
        <w:t>CB-01-02/01 and</w:t>
      </w:r>
      <w:r w:rsidRPr="00291172">
        <w:t xml:space="preserve"> CB-01-02/02</w:t>
      </w:r>
      <w:r>
        <w:t>; Two P</w:t>
      </w:r>
      <w:r w:rsidR="00DA12A3" w:rsidRPr="00DA12A3">
        <w:t xml:space="preserve">hase Ill studies, evaluating the efficacy and safety of </w:t>
      </w:r>
      <w:r w:rsidR="000976D3">
        <w:t>Cortiment</w:t>
      </w:r>
      <w:r>
        <w:t xml:space="preserve"> 9 mg</w:t>
      </w:r>
      <w:r w:rsidR="00DA12A3" w:rsidRPr="00DA12A3">
        <w:t>.</w:t>
      </w:r>
    </w:p>
    <w:p w14:paraId="64D9BE8D" w14:textId="77777777" w:rsidR="00DA12A3" w:rsidRPr="00DA12A3" w:rsidRDefault="00DA12A3" w:rsidP="00DA12A3">
      <w:r w:rsidRPr="00DA12A3">
        <w:t>O</w:t>
      </w:r>
      <w:r w:rsidR="00291172">
        <w:t>f these seven studies, the two P</w:t>
      </w:r>
      <w:r w:rsidRPr="00DA12A3">
        <w:t>hase III trials (CB-01-02/01 and CB-01-02/02) are pivotal, with the remaining five being supportive.</w:t>
      </w:r>
    </w:p>
    <w:p w14:paraId="10700BA1" w14:textId="77777777" w:rsidR="00DA12A3" w:rsidRPr="00DA12A3" w:rsidRDefault="00DA12A3" w:rsidP="00DA12A3">
      <w:r w:rsidRPr="00DA12A3">
        <w:t>In addition, this application also contains the following:</w:t>
      </w:r>
    </w:p>
    <w:p w14:paraId="357AE240" w14:textId="77777777" w:rsidR="00DA12A3" w:rsidRPr="00DA12A3" w:rsidRDefault="00DA12A3" w:rsidP="002B049F">
      <w:pPr>
        <w:pStyle w:val="ListBullet"/>
      </w:pPr>
      <w:r w:rsidRPr="00DA12A3">
        <w:t>Clinical Overview, Summary of Biopharmaceutical Studies and Associated Analytical Methods, Summary of Clinical Pharmacology Studies, Summary of Clinical Efficacy and Summary of Clinical Safety.</w:t>
      </w:r>
    </w:p>
    <w:p w14:paraId="46468505" w14:textId="4005572E" w:rsidR="00DA12A3" w:rsidRPr="00DA12A3" w:rsidRDefault="00352666" w:rsidP="00DA12A3">
      <w:r>
        <w:t>The s</w:t>
      </w:r>
      <w:r w:rsidR="00DA12A3" w:rsidRPr="00DA12A3">
        <w:t>ponsor indicated that the dossier submitted in Australia is essentially the same as that submitted in the EU. However, the clinical dataset submitted to the US also contains two additional clinical studies</w:t>
      </w:r>
      <w:r w:rsidR="00291172">
        <w:t xml:space="preserve">, CB-01-02/04 and CB-01-02/06. </w:t>
      </w:r>
      <w:r w:rsidR="00DA12A3" w:rsidRPr="00DA12A3">
        <w:t xml:space="preserve">The CB-01-02/04 study was a trial for maintenance of remission using a 6 mg once daily dose in inpatients </w:t>
      </w:r>
      <w:proofErr w:type="gramStart"/>
      <w:r w:rsidR="00DA12A3" w:rsidRPr="00DA12A3">
        <w:t>who</w:t>
      </w:r>
      <w:proofErr w:type="gramEnd"/>
      <w:r w:rsidR="00DA12A3" w:rsidRPr="00DA12A3">
        <w:t xml:space="preserve"> had already completed the pivotal </w:t>
      </w:r>
      <w:r w:rsidR="00291172">
        <w:t>Phase</w:t>
      </w:r>
      <w:r w:rsidR="00DA12A3" w:rsidRPr="00DA12A3">
        <w:t xml:space="preserve"> III studies CB-01-02/01 and CB-01-02/02. This study was conducted to address a specific request by the FDA over concerns with potential use of the product beyond the recommended 8-week regimen. </w:t>
      </w:r>
      <w:r w:rsidR="004E0A3D">
        <w:t>The CB 01 02/06 study was an open label trial with 9 mg treatment, and patients who completed this study were also included in the CB 01 02/04 study.</w:t>
      </w:r>
    </w:p>
    <w:p w14:paraId="1A69ED81" w14:textId="77777777" w:rsidR="00605AD4" w:rsidRDefault="00605AD4" w:rsidP="00641DE8">
      <w:pPr>
        <w:pStyle w:val="Heading3"/>
      </w:pPr>
      <w:bookmarkStart w:id="82" w:name="_Toc442962657"/>
      <w:r w:rsidRPr="00605AD4">
        <w:t xml:space="preserve">Paediatric </w:t>
      </w:r>
      <w:r w:rsidRPr="00F31992">
        <w:t>data</w:t>
      </w:r>
      <w:bookmarkEnd w:id="82"/>
    </w:p>
    <w:p w14:paraId="6CC93BC9" w14:textId="77777777" w:rsidR="00DA12A3" w:rsidRPr="00DA12A3" w:rsidRDefault="00DA12A3" w:rsidP="00DA12A3">
      <w:r w:rsidRPr="00DA12A3">
        <w:t>The submission did not include paediatric data.</w:t>
      </w:r>
    </w:p>
    <w:p w14:paraId="7F078A9F" w14:textId="77777777" w:rsidR="00605AD4" w:rsidRDefault="00E72851" w:rsidP="00641DE8">
      <w:pPr>
        <w:pStyle w:val="Heading3"/>
      </w:pPr>
      <w:bookmarkStart w:id="83" w:name="_Toc442962658"/>
      <w:r>
        <w:t>Good Clinical P</w:t>
      </w:r>
      <w:r w:rsidR="00605AD4" w:rsidRPr="00605AD4">
        <w:t>ractice</w:t>
      </w:r>
      <w:bookmarkEnd w:id="83"/>
    </w:p>
    <w:p w14:paraId="5F5DF8A9" w14:textId="77777777" w:rsidR="00DA12A3" w:rsidRPr="00DA12A3" w:rsidRDefault="00DA12A3" w:rsidP="00DA12A3">
      <w:bookmarkStart w:id="84" w:name="_Toc241374282"/>
      <w:r w:rsidRPr="00DA12A3">
        <w:t xml:space="preserve">All studies submitted in the clinical dossier were conducted in accordance to </w:t>
      </w:r>
      <w:r w:rsidR="00E72851">
        <w:t>Good Clinical P</w:t>
      </w:r>
      <w:r w:rsidR="00291172">
        <w:t>ractice (</w:t>
      </w:r>
      <w:r w:rsidRPr="00DA12A3">
        <w:t>GCP</w:t>
      </w:r>
      <w:r w:rsidR="00291172">
        <w:t>)</w:t>
      </w:r>
      <w:r w:rsidRPr="00DA12A3">
        <w:t xml:space="preserve"> standards, except for four sites in the pivotal </w:t>
      </w:r>
      <w:r w:rsidR="00291172">
        <w:t>Phase</w:t>
      </w:r>
      <w:r w:rsidR="00E72851">
        <w:t xml:space="preserve"> III S</w:t>
      </w:r>
      <w:r w:rsidRPr="00DA12A3">
        <w:t>tudies CB-01-02/01 and CB-01-02/02, where major GCP violations and efficacy results deemed biologically not plausible were reported during auditing. Consequently, all patients at these four site</w:t>
      </w:r>
      <w:r w:rsidR="00880E68">
        <w:t xml:space="preserve">s were excluded from the intent to </w:t>
      </w:r>
      <w:r w:rsidRPr="00DA12A3">
        <w:t>treat (ITT) population for efficacy analysis, but remained in the safety population for safety analysis.</w:t>
      </w:r>
      <w:bookmarkEnd w:id="84"/>
    </w:p>
    <w:p w14:paraId="331951D3" w14:textId="77777777" w:rsidR="008E7846" w:rsidRPr="00254787" w:rsidRDefault="008E7846" w:rsidP="00641DE8">
      <w:pPr>
        <w:pStyle w:val="Heading3"/>
      </w:pPr>
      <w:bookmarkStart w:id="85" w:name="_Toc442962659"/>
      <w:r w:rsidRPr="00254787">
        <w:t>Pharmacokinetics</w:t>
      </w:r>
      <w:bookmarkEnd w:id="72"/>
      <w:bookmarkEnd w:id="76"/>
      <w:bookmarkEnd w:id="77"/>
      <w:bookmarkEnd w:id="78"/>
      <w:bookmarkEnd w:id="85"/>
    </w:p>
    <w:p w14:paraId="6D64CABD" w14:textId="77777777" w:rsidR="00605AD4" w:rsidRDefault="00605AD4" w:rsidP="00605AD4">
      <w:pPr>
        <w:pStyle w:val="Heading4"/>
      </w:pPr>
      <w:r>
        <w:t>Studies providing pharmacok</w:t>
      </w:r>
      <w:r w:rsidR="00160E79">
        <w:t>inetic data</w:t>
      </w:r>
    </w:p>
    <w:p w14:paraId="4EC2B29D" w14:textId="77777777" w:rsidR="00DA12A3" w:rsidRDefault="00DA12A3" w:rsidP="00DA12A3">
      <w:r>
        <w:t>A total of three PK studies were submitted, all were conducted in</w:t>
      </w:r>
      <w:r w:rsidR="00E72851">
        <w:t xml:space="preserve"> healthy volunteers (see Table 3</w:t>
      </w:r>
      <w:r>
        <w:t xml:space="preserve"> below).</w:t>
      </w:r>
    </w:p>
    <w:p w14:paraId="1E4B17EA" w14:textId="77777777" w:rsidR="00DA12A3" w:rsidRPr="00DA12A3" w:rsidRDefault="00DA12A3" w:rsidP="00291172">
      <w:pPr>
        <w:keepNext/>
        <w:rPr>
          <w:b/>
        </w:rPr>
      </w:pPr>
      <w:bookmarkStart w:id="86" w:name="_Ref272426277"/>
      <w:bookmarkStart w:id="87" w:name="_Toc404856303"/>
      <w:proofErr w:type="gramStart"/>
      <w:r w:rsidRPr="00F31992">
        <w:rPr>
          <w:rStyle w:val="TableTitleChar"/>
        </w:rPr>
        <w:lastRenderedPageBreak/>
        <w:t>Table</w:t>
      </w:r>
      <w:bookmarkEnd w:id="86"/>
      <w:r w:rsidR="007F0293" w:rsidRPr="00F31992">
        <w:rPr>
          <w:rStyle w:val="TableTitleChar"/>
        </w:rPr>
        <w:t xml:space="preserve"> 3</w:t>
      </w:r>
      <w:r w:rsidRPr="00F31992">
        <w:rPr>
          <w:rStyle w:val="TableTitleChar"/>
        </w:rPr>
        <w:t>: Submitted pharmacokinetic</w:t>
      </w:r>
      <w:r w:rsidRPr="00DA12A3">
        <w:rPr>
          <w:b/>
        </w:rPr>
        <w:t xml:space="preserve"> studies</w:t>
      </w:r>
      <w:bookmarkEnd w:id="87"/>
      <w:r w:rsidR="00E72851">
        <w:rPr>
          <w:b/>
        </w:rPr>
        <w:t>.</w:t>
      </w:r>
      <w:proofErr w:type="gramEnd"/>
    </w:p>
    <w:p w14:paraId="41E12E8B" w14:textId="77777777" w:rsidR="00DA12A3" w:rsidRDefault="00DA12A3" w:rsidP="00DA12A3">
      <w:r>
        <w:rPr>
          <w:noProof/>
          <w:lang w:eastAsia="en-AU"/>
        </w:rPr>
        <w:drawing>
          <wp:inline distT="0" distB="0" distL="0" distR="0" wp14:anchorId="74EB0768" wp14:editId="778817B0">
            <wp:extent cx="5400040" cy="5293810"/>
            <wp:effectExtent l="0" t="0" r="0" b="2540"/>
            <wp:docPr id="1" name="Picture 1" descr="Table 3: Submitted pharmacokinetic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00040" cy="5293810"/>
                    </a:xfrm>
                    <a:prstGeom prst="rect">
                      <a:avLst/>
                    </a:prstGeom>
                  </pic:spPr>
                </pic:pic>
              </a:graphicData>
            </a:graphic>
          </wp:inline>
        </w:drawing>
      </w:r>
    </w:p>
    <w:p w14:paraId="76C36FB9" w14:textId="77777777" w:rsidR="00DA12A3" w:rsidRDefault="00DA12A3" w:rsidP="00DA12A3">
      <w:pPr>
        <w:pStyle w:val="Comment"/>
        <w:ind w:left="1134" w:hanging="1134"/>
      </w:pPr>
      <w:r w:rsidRPr="00BB615C">
        <w:rPr>
          <w:b/>
        </w:rPr>
        <w:t>Comment:</w:t>
      </w:r>
      <w:r>
        <w:t xml:space="preserve"> T</w:t>
      </w:r>
      <w:r w:rsidRPr="00BB615C">
        <w:t xml:space="preserve">he </w:t>
      </w:r>
      <w:proofErr w:type="spellStart"/>
      <w:r w:rsidRPr="00BB615C">
        <w:t>T</w:t>
      </w:r>
      <w:r w:rsidRPr="003F5E54">
        <w:rPr>
          <w:vertAlign w:val="subscript"/>
        </w:rPr>
        <w:t>max</w:t>
      </w:r>
      <w:proofErr w:type="spellEnd"/>
      <w:r w:rsidRPr="00BB615C">
        <w:t xml:space="preserve"> value for Part 1 of </w:t>
      </w:r>
      <w:r>
        <w:t>Study</w:t>
      </w:r>
      <w:r w:rsidRPr="00BB615C">
        <w:t xml:space="preserve"> CRO-PK-03-105 was incorrectly stated as </w:t>
      </w:r>
      <w:r>
        <w:t>‘</w:t>
      </w:r>
      <w:r w:rsidRPr="00BB615C">
        <w:t>6.</w:t>
      </w:r>
      <w:r w:rsidR="00E72851">
        <w:t> </w:t>
      </w:r>
      <w:proofErr w:type="gramStart"/>
      <w:r w:rsidRPr="00BB615C">
        <w:t>±</w:t>
      </w:r>
      <w:r w:rsidR="00E72851">
        <w:t xml:space="preserve"> </w:t>
      </w:r>
      <w:r w:rsidRPr="00BB615C">
        <w:t>3.4</w:t>
      </w:r>
      <w:r>
        <w:t>’</w:t>
      </w:r>
      <w:r w:rsidRPr="00BB615C">
        <w:t xml:space="preserve"> </w:t>
      </w:r>
      <w:r w:rsidR="00F329C5">
        <w:t xml:space="preserve">hours </w:t>
      </w:r>
      <w:r w:rsidRPr="00BB615C">
        <w:t>in the clinical summary, while the correct value is 16.0</w:t>
      </w:r>
      <w:r w:rsidR="00E72851">
        <w:t xml:space="preserve"> </w:t>
      </w:r>
      <w:r w:rsidRPr="00BB615C">
        <w:t>±</w:t>
      </w:r>
      <w:r w:rsidR="00E72851">
        <w:t xml:space="preserve"> </w:t>
      </w:r>
      <w:r w:rsidRPr="00BB615C">
        <w:t>3.4 h.</w:t>
      </w:r>
      <w:proofErr w:type="gramEnd"/>
    </w:p>
    <w:p w14:paraId="42A1F542" w14:textId="77777777" w:rsidR="00DA12A3" w:rsidRPr="00DA12A3" w:rsidRDefault="00DA12A3" w:rsidP="00F31992">
      <w:r w:rsidRPr="008E0219">
        <w:t>None of the PK studies had significant deficiencies that excluded their results from consideration.</w:t>
      </w:r>
    </w:p>
    <w:p w14:paraId="5A4AB1ED" w14:textId="77777777" w:rsidR="00605AD4" w:rsidRDefault="00605AD4" w:rsidP="00F31992">
      <w:pPr>
        <w:pStyle w:val="Heading4"/>
      </w:pPr>
      <w:r w:rsidRPr="00F31992">
        <w:t>Evaluator’s</w:t>
      </w:r>
      <w:r>
        <w:t xml:space="preserve"> conclusions on pharmacokinetics</w:t>
      </w:r>
    </w:p>
    <w:p w14:paraId="7E98BFD7" w14:textId="77777777" w:rsidR="00DA12A3" w:rsidRDefault="00DA12A3" w:rsidP="00DA12A3">
      <w:r w:rsidRPr="007675F3">
        <w:t>As an established medicinal product, the PK of budesonide has previously been well characterised and documented. No data were submitted in this application on physicochemical characteristics, distribution, metabolism, excretion, PK/PD interaction, or population PK. This is considered acceptable. The absolute bioavailabi</w:t>
      </w:r>
      <w:r w:rsidR="00271024">
        <w:t xml:space="preserve">lity of the proposed budesonide </w:t>
      </w:r>
      <w:r w:rsidRPr="007675F3">
        <w:t>MMX 9 mg tablet has not been investigated in the submitted clinical studies; however, given that the product is intended to act locally in the lower GIT, the absence of such data is not considered a major deficiency of the application.</w:t>
      </w:r>
    </w:p>
    <w:p w14:paraId="450486C7" w14:textId="77777777" w:rsidR="00DA12A3" w:rsidRPr="00DA12A3" w:rsidRDefault="00DA12A3" w:rsidP="00DA12A3">
      <w:r w:rsidRPr="007675F3">
        <w:t>The PK data submitted in this applica</w:t>
      </w:r>
      <w:r w:rsidR="00291172">
        <w:t xml:space="preserve">tion for the proposed prolonged </w:t>
      </w:r>
      <w:r w:rsidR="00271024">
        <w:t xml:space="preserve">release tablet (budesonide </w:t>
      </w:r>
      <w:r w:rsidRPr="007675F3">
        <w:t>MMX) focus primarily on GIT transit, release and absorption, bioavailability</w:t>
      </w:r>
      <w:r>
        <w:t xml:space="preserve"> and</w:t>
      </w:r>
      <w:r w:rsidRPr="007675F3">
        <w:t xml:space="preserve"> influence of food and multiple administrations. All studies were conducted in healthy volunteers. No PK study was conducted in the targeted patient population. Given the common clinical presentations (especially diarrhoea) in UC patients, it is likely that the </w:t>
      </w:r>
      <w:r w:rsidRPr="007675F3">
        <w:lastRenderedPageBreak/>
        <w:t>GIT transit, absorption and bioavailability of the product in the targeted patient population can be significantly different to those in healthy volunteers. It would therefore be more appropriate to have conducted a PK study in UC patients to further characterise the PK profile of the product in the targeted patient population. Nevertheless, the available PK data submitted in this application provided sufficient evidence for the targeted and controlled delivery of budesonide to the lower GIT</w:t>
      </w:r>
      <w:r>
        <w:t xml:space="preserve"> and supported the proposed once </w:t>
      </w:r>
      <w:r w:rsidRPr="007675F3">
        <w:t>daily dosing regimen.</w:t>
      </w:r>
    </w:p>
    <w:p w14:paraId="59B35AE1" w14:textId="77777777" w:rsidR="008E7846" w:rsidRDefault="008E7846" w:rsidP="008E7846">
      <w:pPr>
        <w:pStyle w:val="Heading3"/>
      </w:pPr>
      <w:bookmarkStart w:id="88" w:name="_Toc196046481"/>
      <w:bookmarkStart w:id="89" w:name="_Toc247691520"/>
      <w:bookmarkStart w:id="90" w:name="_Toc314842503"/>
      <w:bookmarkStart w:id="91" w:name="_Toc442962660"/>
      <w:r w:rsidRPr="00254787">
        <w:t>Pharmacodynamics</w:t>
      </w:r>
      <w:bookmarkEnd w:id="73"/>
      <w:bookmarkEnd w:id="88"/>
      <w:bookmarkEnd w:id="89"/>
      <w:bookmarkEnd w:id="90"/>
      <w:bookmarkEnd w:id="91"/>
    </w:p>
    <w:p w14:paraId="50B25ABB" w14:textId="77777777" w:rsidR="00605AD4" w:rsidRDefault="00605AD4" w:rsidP="00605AD4">
      <w:pPr>
        <w:pStyle w:val="Heading4"/>
      </w:pPr>
      <w:r>
        <w:t>Studies providing pharmacodynamic data</w:t>
      </w:r>
    </w:p>
    <w:p w14:paraId="654F8E79" w14:textId="77777777" w:rsidR="00DA12A3" w:rsidRPr="007675F3" w:rsidRDefault="00DA12A3" w:rsidP="00DA12A3">
      <w:r w:rsidRPr="007675F3">
        <w:t xml:space="preserve">No </w:t>
      </w:r>
      <w:r w:rsidR="00E72851">
        <w:t>new studies</w:t>
      </w:r>
      <w:r w:rsidRPr="007675F3">
        <w:t xml:space="preserve"> provided.</w:t>
      </w:r>
    </w:p>
    <w:p w14:paraId="3819B04B" w14:textId="77777777" w:rsidR="008E7846" w:rsidRDefault="00605AD4" w:rsidP="00605AD4">
      <w:pPr>
        <w:pStyle w:val="Heading3"/>
      </w:pPr>
      <w:bookmarkStart w:id="92" w:name="_Toc442962661"/>
      <w:r>
        <w:t>Dosage selection for the pivotal studies</w:t>
      </w:r>
      <w:bookmarkEnd w:id="92"/>
    </w:p>
    <w:p w14:paraId="4C8CFC25" w14:textId="77777777" w:rsidR="00DA12A3" w:rsidRPr="00DA12A3" w:rsidRDefault="00DA12A3" w:rsidP="00DA12A3">
      <w:r w:rsidRPr="00DA12A3">
        <w:t>The dosage of budesonide (9 mg/day) selected for the two pivotal Phase III studies (CB-01-02/01 and CB-01-02/02) were based on information from the following two sources:</w:t>
      </w:r>
    </w:p>
    <w:p w14:paraId="57B1FB8B" w14:textId="77777777" w:rsidR="00DA12A3" w:rsidRPr="00DA12A3" w:rsidRDefault="00DA12A3" w:rsidP="00DA12A3">
      <w:pPr>
        <w:pStyle w:val="ListBullet"/>
      </w:pPr>
      <w:r w:rsidRPr="00DA12A3">
        <w:t>published literature reporting that single daily oral doses of budesonide 9 mg are more efficacious than multiple daily divided doses in patients with active distal UC</w:t>
      </w:r>
      <w:r w:rsidR="00291172">
        <w:rPr>
          <w:rStyle w:val="FootnoteReference"/>
        </w:rPr>
        <w:footnoteReference w:id="8"/>
      </w:r>
    </w:p>
    <w:p w14:paraId="620BF71C" w14:textId="77777777" w:rsidR="00DA12A3" w:rsidRDefault="00DA12A3" w:rsidP="008E7846">
      <w:pPr>
        <w:pStyle w:val="ListBullet"/>
      </w:pPr>
      <w:r w:rsidRPr="00DA12A3">
        <w:t>results from the Phase II dose finding study in patients with mild or moderate active UC, comparing the efficacy and safety o</w:t>
      </w:r>
      <w:r w:rsidR="00271024">
        <w:t xml:space="preserve">f daily doses of the budesonide </w:t>
      </w:r>
      <w:r w:rsidR="00271024" w:rsidRPr="00160E79">
        <w:t xml:space="preserve">MMX 3 mg </w:t>
      </w:r>
      <w:r w:rsidR="00271024">
        <w:t xml:space="preserve">and budesonide </w:t>
      </w:r>
      <w:r w:rsidRPr="00DA12A3">
        <w:t>MMX 9 mg tablet (CB-01-02/05). In addition, on recommendation by the FDA, the dose of 6 mg/day budesonide was also included in the Phase III studies to try to identify the lowest effective dose for the treatment of patients with active, mild to moderate UC.</w:t>
      </w:r>
      <w:bookmarkStart w:id="93" w:name="_Toc163441372"/>
      <w:bookmarkStart w:id="94" w:name="_Toc196046485"/>
      <w:bookmarkStart w:id="95" w:name="_Toc247691521"/>
      <w:bookmarkStart w:id="96" w:name="_Toc314842504"/>
    </w:p>
    <w:p w14:paraId="0013D16E" w14:textId="77777777" w:rsidR="008E7846" w:rsidRPr="00254787" w:rsidRDefault="008E7846" w:rsidP="00067049">
      <w:pPr>
        <w:pStyle w:val="Heading3"/>
      </w:pPr>
      <w:bookmarkStart w:id="97" w:name="_Toc442962662"/>
      <w:r w:rsidRPr="00254787">
        <w:t>Efficacy</w:t>
      </w:r>
      <w:bookmarkEnd w:id="93"/>
      <w:bookmarkEnd w:id="94"/>
      <w:bookmarkEnd w:id="95"/>
      <w:bookmarkEnd w:id="96"/>
      <w:bookmarkEnd w:id="97"/>
    </w:p>
    <w:p w14:paraId="13561DCA" w14:textId="77777777" w:rsidR="00605AD4" w:rsidRDefault="00605AD4" w:rsidP="00F31992">
      <w:pPr>
        <w:pStyle w:val="Heading4"/>
      </w:pPr>
      <w:bookmarkStart w:id="98" w:name="_Toc184439992"/>
      <w:bookmarkStart w:id="99" w:name="_Toc184440279"/>
      <w:bookmarkStart w:id="100" w:name="_Toc184444657"/>
      <w:bookmarkStart w:id="101" w:name="_Toc196046487"/>
      <w:r>
        <w:t>Studies providing efficacy data</w:t>
      </w:r>
    </w:p>
    <w:p w14:paraId="69C18408" w14:textId="77777777" w:rsidR="00067049" w:rsidRDefault="00067049" w:rsidP="00067049">
      <w:r w:rsidRPr="00067049">
        <w:t>Two pivotal Phase III studies (CB-01-02/01 and CB-01-02/02) were submitted, providing efficacy data for the proposed Cortiment 9 mg prolonged release tablet.</w:t>
      </w:r>
    </w:p>
    <w:p w14:paraId="3FF31080" w14:textId="77777777" w:rsidR="00067049" w:rsidRPr="00067049" w:rsidRDefault="00067049" w:rsidP="00F31992">
      <w:pPr>
        <w:pStyle w:val="Heading5"/>
      </w:pPr>
      <w:bookmarkStart w:id="102" w:name="_Ref271037188"/>
      <w:bookmarkStart w:id="103" w:name="_Ref271037210"/>
      <w:bookmarkStart w:id="104" w:name="_Toc272414655"/>
      <w:bookmarkStart w:id="105" w:name="_Toc290846277"/>
      <w:bookmarkStart w:id="106" w:name="_Toc404856242"/>
      <w:bookmarkStart w:id="107" w:name="_Toc431464365"/>
      <w:bookmarkStart w:id="108" w:name="_Toc241374311"/>
      <w:bookmarkStart w:id="109" w:name="_Ref243294291"/>
      <w:r w:rsidRPr="00067049">
        <w:t xml:space="preserve">Other efficacy </w:t>
      </w:r>
      <w:r w:rsidRPr="00F31992">
        <w:t>studies</w:t>
      </w:r>
      <w:bookmarkEnd w:id="102"/>
      <w:bookmarkEnd w:id="103"/>
      <w:bookmarkEnd w:id="104"/>
      <w:bookmarkEnd w:id="105"/>
      <w:bookmarkEnd w:id="106"/>
      <w:bookmarkEnd w:id="107"/>
    </w:p>
    <w:p w14:paraId="6ACCCDD9" w14:textId="77777777" w:rsidR="00067049" w:rsidRDefault="00067049" w:rsidP="00067049">
      <w:r w:rsidRPr="00067049">
        <w:t>Two Phase II studies (CRO-03-53 and CB-01-02/05) were submitted, providing preliminary efficacy data for the proposed Cortiment 9 mg prolonged release tablet.</w:t>
      </w:r>
    </w:p>
    <w:p w14:paraId="4E01E562" w14:textId="77777777" w:rsidR="00291172" w:rsidRPr="00067049" w:rsidRDefault="00291172" w:rsidP="00067049">
      <w:r>
        <w:t>For details of these studies please see Attachment 2.</w:t>
      </w:r>
    </w:p>
    <w:bookmarkEnd w:id="108"/>
    <w:bookmarkEnd w:id="109"/>
    <w:p w14:paraId="39C9BBA4" w14:textId="77777777" w:rsidR="008E7846" w:rsidRDefault="00605AD4" w:rsidP="00605AD4">
      <w:pPr>
        <w:pStyle w:val="Heading4"/>
      </w:pPr>
      <w:r>
        <w:t>Evaluator’s conclusions on efficacy</w:t>
      </w:r>
    </w:p>
    <w:p w14:paraId="0B3050A8" w14:textId="14081F24" w:rsidR="00067049" w:rsidRPr="004F643F" w:rsidRDefault="00067049" w:rsidP="00067049">
      <w:r w:rsidRPr="004F643F">
        <w:t xml:space="preserve">Efficacy data were generated primarily from the two pivotal </w:t>
      </w:r>
      <w:r>
        <w:t>Phase</w:t>
      </w:r>
      <w:r w:rsidRPr="004F643F">
        <w:t xml:space="preserve"> III studies (CB-01-02/01 </w:t>
      </w:r>
      <w:r>
        <w:t>and</w:t>
      </w:r>
      <w:r w:rsidRPr="004F643F">
        <w:t xml:space="preserve"> CB-01-02/02), with limited preliminary data also from the two</w:t>
      </w:r>
      <w:r>
        <w:t>, non</w:t>
      </w:r>
      <w:r w:rsidR="00641DE8">
        <w:t>-</w:t>
      </w:r>
      <w:r w:rsidRPr="004F643F">
        <w:t xml:space="preserve">pivotal </w:t>
      </w:r>
      <w:r>
        <w:t>Phase</w:t>
      </w:r>
      <w:r w:rsidRPr="004F643F">
        <w:t xml:space="preserve"> II studies (CB-01-02/05 </w:t>
      </w:r>
      <w:r>
        <w:t>and</w:t>
      </w:r>
      <w:r w:rsidRPr="004F643F">
        <w:t xml:space="preserve"> CRO-03-53).</w:t>
      </w:r>
    </w:p>
    <w:p w14:paraId="5792FAD9" w14:textId="70D26DE7" w:rsidR="00067049" w:rsidRPr="004F643F" w:rsidRDefault="00067049" w:rsidP="00641DE8">
      <w:r w:rsidRPr="004F643F">
        <w:lastRenderedPageBreak/>
        <w:t xml:space="preserve">In the pivotal studies, almost identical study design was used, with the exception of the concurrent comparator (active control) which was </w:t>
      </w:r>
      <w:proofErr w:type="spellStart"/>
      <w:r w:rsidRPr="004F643F">
        <w:t>mesalazine</w:t>
      </w:r>
      <w:proofErr w:type="spellEnd"/>
      <w:r w:rsidRPr="004F643F">
        <w:t xml:space="preserve"> (</w:t>
      </w:r>
      <w:proofErr w:type="spellStart"/>
      <w:r w:rsidRPr="004F643F">
        <w:t>Asacol</w:t>
      </w:r>
      <w:proofErr w:type="spellEnd"/>
      <w:r w:rsidRPr="004F643F">
        <w:t xml:space="preserve">) in </w:t>
      </w:r>
      <w:r>
        <w:t>Study</w:t>
      </w:r>
      <w:r w:rsidRPr="004F643F">
        <w:t xml:space="preserve"> CB-01-02/01</w:t>
      </w:r>
      <w:r>
        <w:t xml:space="preserve"> and</w:t>
      </w:r>
      <w:r w:rsidRPr="004F643F">
        <w:t xml:space="preserve"> budesonide capsules (</w:t>
      </w:r>
      <w:proofErr w:type="spellStart"/>
      <w:r w:rsidRPr="004F643F">
        <w:t>Entocort</w:t>
      </w:r>
      <w:proofErr w:type="spellEnd"/>
      <w:r w:rsidRPr="004F643F">
        <w:t xml:space="preserve">) in </w:t>
      </w:r>
      <w:r>
        <w:t>Study</w:t>
      </w:r>
      <w:r w:rsidRPr="004F643F">
        <w:t xml:space="preserve"> CB-01-02/02. The dose of </w:t>
      </w:r>
      <w:proofErr w:type="spellStart"/>
      <w:r w:rsidRPr="004F643F">
        <w:t>mesalazine</w:t>
      </w:r>
      <w:proofErr w:type="spellEnd"/>
      <w:r w:rsidRPr="004F643F">
        <w:t xml:space="preserve"> used in </w:t>
      </w:r>
      <w:r>
        <w:t>Study</w:t>
      </w:r>
      <w:r w:rsidRPr="004F643F">
        <w:t xml:space="preserve"> CB-01-02/01 was 800 mg </w:t>
      </w:r>
      <w:r w:rsidR="00F41F93" w:rsidRPr="00F41F93">
        <w:t xml:space="preserve">three times daily </w:t>
      </w:r>
      <w:r w:rsidR="00F41F93">
        <w:t>(</w:t>
      </w:r>
      <w:r w:rsidR="00414B0E" w:rsidRPr="004F643F">
        <w:t>TDS</w:t>
      </w:r>
      <w:r w:rsidR="00F41F93">
        <w:t>)</w:t>
      </w:r>
      <w:r w:rsidRPr="004F643F">
        <w:t xml:space="preserve"> (2.4 g/day) which is the dose currently recommended in the US PI for </w:t>
      </w:r>
      <w:proofErr w:type="spellStart"/>
      <w:r w:rsidRPr="004F643F">
        <w:t>Asacol</w:t>
      </w:r>
      <w:proofErr w:type="spellEnd"/>
      <w:r w:rsidRPr="004F643F">
        <w:t xml:space="preserve"> and w</w:t>
      </w:r>
      <w:r>
        <w:t xml:space="preserve">ithin the daily dose range of 2 to </w:t>
      </w:r>
      <w:r w:rsidRPr="004F643F">
        <w:t xml:space="preserve">4 g/day (given in 2 divided doses) currently recommended in the Australian Therapeutic Guidelines for induction of remission in mild to moderate active UC. </w:t>
      </w:r>
      <w:proofErr w:type="spellStart"/>
      <w:r w:rsidRPr="004F643F">
        <w:t>Entocort</w:t>
      </w:r>
      <w:proofErr w:type="spellEnd"/>
      <w:r w:rsidRPr="004F643F">
        <w:t xml:space="preserve"> is not currently registered for the treatment of UC in Australia, EU or USA; thus, the appropriateness of using </w:t>
      </w:r>
      <w:proofErr w:type="spellStart"/>
      <w:r w:rsidRPr="004F643F">
        <w:t>Entocort</w:t>
      </w:r>
      <w:proofErr w:type="spellEnd"/>
      <w:r w:rsidRPr="004F643F">
        <w:t xml:space="preserve"> as an active efficacy comparator in </w:t>
      </w:r>
      <w:r>
        <w:t>Study</w:t>
      </w:r>
      <w:r w:rsidRPr="004F643F">
        <w:t xml:space="preserve"> CB</w:t>
      </w:r>
      <w:r>
        <w:t>-01-02/02 remains questionable.</w:t>
      </w:r>
    </w:p>
    <w:p w14:paraId="3CAE2B0D" w14:textId="00DEB619" w:rsidR="00067049" w:rsidRPr="004F643F" w:rsidRDefault="00067049" w:rsidP="00067049">
      <w:r w:rsidRPr="004F643F">
        <w:t>All patients in the pivotal studies had histological proof of mild or moderate UC prior to entering the studies. The primary efficacy endpoint in both studies was pre-defined clinical remission, which included normalisation of stool freque</w:t>
      </w:r>
      <w:r w:rsidR="0050278E">
        <w:t>ncy, absence of rectal bleeding</w:t>
      </w:r>
      <w:r w:rsidRPr="004F643F">
        <w:t xml:space="preserve"> </w:t>
      </w:r>
      <w:r w:rsidR="0050278E">
        <w:t>and improvement</w:t>
      </w:r>
      <w:r>
        <w:t xml:space="preserve"> of endoscopic score</w:t>
      </w:r>
      <w:r w:rsidRPr="004F643F">
        <w:t xml:space="preserve"> and p</w:t>
      </w:r>
      <w:r>
        <w:t xml:space="preserve">hysician’s assessment of </w:t>
      </w:r>
      <w:r w:rsidR="00291172" w:rsidRPr="00291172">
        <w:t xml:space="preserve">Ulcerative Colitis Disease Activity Index </w:t>
      </w:r>
      <w:r w:rsidR="00291172">
        <w:t>(</w:t>
      </w:r>
      <w:r>
        <w:t>UCDAI</w:t>
      </w:r>
      <w:r w:rsidR="00291172">
        <w:t>)</w:t>
      </w:r>
      <w:r w:rsidRPr="004F643F">
        <w:t>. This is considered appropriate and compliant with the current regulatory guidelines</w:t>
      </w:r>
      <w:bookmarkStart w:id="110" w:name="_Ref433374519"/>
      <w:r w:rsidR="00251851">
        <w:t>.</w:t>
      </w:r>
      <w:r w:rsidR="0050278E">
        <w:rPr>
          <w:rStyle w:val="FootnoteReference"/>
        </w:rPr>
        <w:footnoteReference w:id="9"/>
      </w:r>
      <w:bookmarkEnd w:id="110"/>
      <w:r w:rsidRPr="004F643F">
        <w:t xml:space="preserve"> The definition of clinical remission used in these studies was noticeably more rigorous than that described in the clinical trials section of the Australian PI for </w:t>
      </w:r>
      <w:proofErr w:type="spellStart"/>
      <w:r w:rsidRPr="004F643F">
        <w:t>Budenofal</w:t>
      </w:r>
      <w:r>
        <w:t>k</w:t>
      </w:r>
      <w:proofErr w:type="spellEnd"/>
      <w:r w:rsidRPr="004F643F">
        <w:t xml:space="preserve"> Foam Enema. Results from both pivotal studies demonstrated that 8 </w:t>
      </w:r>
      <w:r w:rsidR="00271024">
        <w:t xml:space="preserve">weeks treatment with budesonide </w:t>
      </w:r>
      <w:r w:rsidRPr="004F643F">
        <w:t xml:space="preserve">MMX 9 mg was associated with a statistically significant improvement in the rate of clinical remission </w:t>
      </w:r>
      <w:r>
        <w:t>compared to</w:t>
      </w:r>
      <w:r w:rsidRPr="004F643F">
        <w:t xml:space="preserve"> placebo. The placebo rate of remission was 7.4% (95% CI: 2.8-12.1%) in </w:t>
      </w:r>
      <w:r>
        <w:t>Study</w:t>
      </w:r>
      <w:r w:rsidRPr="004F643F">
        <w:t xml:space="preserve"> CB</w:t>
      </w:r>
      <w:r>
        <w:t xml:space="preserve">-01-02/01 and 4.5% (95% CI: 0.2 to </w:t>
      </w:r>
      <w:r w:rsidRPr="004F643F">
        <w:t xml:space="preserve">8.8%) in </w:t>
      </w:r>
      <w:r>
        <w:t>Study</w:t>
      </w:r>
      <w:r w:rsidRPr="004F643F">
        <w:t xml:space="preserve"> CB-01-02/02, both were somewhat lower tha</w:t>
      </w:r>
      <w:r>
        <w:t xml:space="preserve">n the value of 13% (95% CI of 9 to </w:t>
      </w:r>
      <w:r w:rsidRPr="004F643F">
        <w:t>18%) reported in the published literature</w:t>
      </w:r>
      <w:r w:rsidR="00291172">
        <w:t>.</w:t>
      </w:r>
      <w:bookmarkStart w:id="111" w:name="_Ref432777037"/>
      <w:r w:rsidR="00291172">
        <w:rPr>
          <w:rStyle w:val="FootnoteReference"/>
        </w:rPr>
        <w:footnoteReference w:id="10"/>
      </w:r>
      <w:bookmarkEnd w:id="111"/>
      <w:r w:rsidRPr="004F643F">
        <w:t xml:space="preserve"> Following 8 wee</w:t>
      </w:r>
      <w:r w:rsidR="00271024">
        <w:t xml:space="preserve">ks of treatment with budesonide </w:t>
      </w:r>
      <w:r w:rsidRPr="004F643F">
        <w:t>MMX 9 mg, the remissi</w:t>
      </w:r>
      <w:r>
        <w:t xml:space="preserve">on rate was 17.9% (95% CI: 11.1 to </w:t>
      </w:r>
      <w:r w:rsidRPr="004F643F">
        <w:t>24.7%) in CB-0</w:t>
      </w:r>
      <w:r>
        <w:t xml:space="preserve">1-02/01 and 17.4% (95% CI: 10.3 to </w:t>
      </w:r>
      <w:r w:rsidRPr="004F643F">
        <w:t xml:space="preserve">24.6%) in </w:t>
      </w:r>
      <w:r>
        <w:t>Study</w:t>
      </w:r>
      <w:r w:rsidRPr="004F643F">
        <w:t xml:space="preserve"> CB-01-02/02, both were higher than the placebo values in the studies and also the published literature, suggesting that the proposed product was effective for induction of clinical remission in the targeted patient population.</w:t>
      </w:r>
    </w:p>
    <w:p w14:paraId="00B671DC" w14:textId="77777777" w:rsidR="00067049" w:rsidRPr="004F643F" w:rsidRDefault="00067049" w:rsidP="00641DE8">
      <w:r w:rsidRPr="004F643F">
        <w:t>Supportive evidence was also observed in some of the other efficacy endpoints (most noticeably symptom resolution</w:t>
      </w:r>
      <w:r>
        <w:t xml:space="preserve"> and</w:t>
      </w:r>
      <w:r w:rsidRPr="004F643F">
        <w:t xml:space="preserve"> less so histological healing), especially in </w:t>
      </w:r>
      <w:r>
        <w:t>Study</w:t>
      </w:r>
      <w:r w:rsidRPr="004F643F">
        <w:t xml:space="preserve"> CB-01-02/02. Nevertheless, no significant change in the secondary efficacy endpoints (clinical improvement and endoscopic improvement) was apparent in either of the pivotal studies foll</w:t>
      </w:r>
      <w:r w:rsidR="00271024">
        <w:t xml:space="preserve">owing treatment with budesonide </w:t>
      </w:r>
      <w:r w:rsidRPr="004F643F">
        <w:t>MMX 9 mg, casting some doubt on the actual clinical benefits of the proposed product. In both studies, clinical improvement was linked with endoscopic improvement which was part of the UCDAI used for the measurement of clinical improvement. It is therefore possible that the lack of clinical improv</w:t>
      </w:r>
      <w:r w:rsidR="00291172">
        <w:t>ement in these studies may have</w:t>
      </w:r>
      <w:r w:rsidRPr="004F643F">
        <w:t xml:space="preserve"> at least in part, reflected disagreements and/or variations in endoscopic evaluation especially of proximal colonic lesions, leading to underestimates of changes in the patients (especially those with extensive </w:t>
      </w:r>
      <w:proofErr w:type="spellStart"/>
      <w:r w:rsidRPr="004F643F">
        <w:t>pancolonic</w:t>
      </w:r>
      <w:proofErr w:type="spellEnd"/>
      <w:r w:rsidRPr="004F643F">
        <w:t xml:space="preserve"> lesions). Due to differences in patient population, definition of primary endp</w:t>
      </w:r>
      <w:r>
        <w:t>oint and other study conditions</w:t>
      </w:r>
      <w:r w:rsidRPr="004F643F">
        <w:t xml:space="preserve"> it is obviously inappropriate to directly compare the efficacy resul</w:t>
      </w:r>
      <w:r w:rsidR="00271024">
        <w:t xml:space="preserve">ts in the studies of budesonide </w:t>
      </w:r>
      <w:r w:rsidRPr="004F643F">
        <w:t>MMX 9 mg with those of the currently approved topical budesonide (</w:t>
      </w:r>
      <w:proofErr w:type="spellStart"/>
      <w:r w:rsidRPr="004F643F">
        <w:t>Budenofal</w:t>
      </w:r>
      <w:r>
        <w:t>k</w:t>
      </w:r>
      <w:proofErr w:type="spellEnd"/>
      <w:r w:rsidRPr="004F643F">
        <w:t xml:space="preserve"> Foam Enema</w:t>
      </w:r>
      <w:r>
        <w:t>).</w:t>
      </w:r>
    </w:p>
    <w:p w14:paraId="723ABA1E" w14:textId="6330CCC3" w:rsidR="00067049" w:rsidRPr="00067049" w:rsidRDefault="00291172" w:rsidP="00067049">
      <w:r>
        <w:t>With regards to the non</w:t>
      </w:r>
      <w:r w:rsidR="00F31992">
        <w:t>-</w:t>
      </w:r>
      <w:r w:rsidR="00067049" w:rsidRPr="004F643F">
        <w:t xml:space="preserve">pivotal studies, there were some significant shortcomings in the design and conduct of these studies. In </w:t>
      </w:r>
      <w:r w:rsidR="00067049">
        <w:t>Study</w:t>
      </w:r>
      <w:r w:rsidR="00067049" w:rsidRPr="004F643F">
        <w:t xml:space="preserve"> CRO</w:t>
      </w:r>
      <w:r w:rsidR="00067049">
        <w:t xml:space="preserve">-03-53, patients with only left </w:t>
      </w:r>
      <w:r w:rsidR="00067049" w:rsidRPr="004F643F">
        <w:t xml:space="preserve">sided UC were recruited. In </w:t>
      </w:r>
      <w:r w:rsidR="00067049">
        <w:t>Study</w:t>
      </w:r>
      <w:r>
        <w:t xml:space="preserve"> CB-01-02/05</w:t>
      </w:r>
      <w:r w:rsidR="00067049" w:rsidRPr="004F643F">
        <w:t xml:space="preserve"> histological proof of UC was not required </w:t>
      </w:r>
      <w:r>
        <w:t xml:space="preserve">for </w:t>
      </w:r>
      <w:r>
        <w:lastRenderedPageBreak/>
        <w:t>patients entering the study which may, at least in part</w:t>
      </w:r>
      <w:r w:rsidR="00067049" w:rsidRPr="004F643F">
        <w:t xml:space="preserve"> attribute to its substantially higher remission rates than in other studies. </w:t>
      </w:r>
      <w:r w:rsidR="006C54C2">
        <w:t>The current regulatory guideline</w:t>
      </w:r>
      <w:r w:rsidR="00067049" w:rsidRPr="004F643F">
        <w:t xml:space="preserve"> requires that </w:t>
      </w:r>
      <w:r w:rsidR="00067049">
        <w:t>‘</w:t>
      </w:r>
      <w:r w:rsidR="00067049" w:rsidRPr="004A7AD4">
        <w:rPr>
          <w:i/>
        </w:rPr>
        <w:t>only patients having confirmed ulcerative colitis should be included in trials’</w:t>
      </w:r>
      <w:r w:rsidR="00067049" w:rsidRPr="004F643F">
        <w:t>. Caution should therefore be exercised when interpreting the potential clinical relevance of the prelimin</w:t>
      </w:r>
      <w:r w:rsidR="00067049">
        <w:t>ary efficacy results in the non</w:t>
      </w:r>
      <w:r w:rsidR="00F31992">
        <w:t>-</w:t>
      </w:r>
      <w:r w:rsidR="00067049" w:rsidRPr="004F643F">
        <w:t>pivotal studies</w:t>
      </w:r>
      <w:r w:rsidR="00067049">
        <w:t>.</w:t>
      </w:r>
    </w:p>
    <w:p w14:paraId="52030FC1" w14:textId="77777777" w:rsidR="008E7846" w:rsidRPr="002E238E" w:rsidRDefault="008E7846" w:rsidP="008E7846">
      <w:pPr>
        <w:pStyle w:val="Heading3"/>
      </w:pPr>
      <w:bookmarkStart w:id="112" w:name="_Toc163441378"/>
      <w:bookmarkStart w:id="113" w:name="_Toc196046495"/>
      <w:bookmarkStart w:id="114" w:name="_Toc247691522"/>
      <w:bookmarkStart w:id="115" w:name="_Toc314842505"/>
      <w:bookmarkStart w:id="116" w:name="_Toc442962663"/>
      <w:bookmarkEnd w:id="98"/>
      <w:bookmarkEnd w:id="99"/>
      <w:bookmarkEnd w:id="100"/>
      <w:bookmarkEnd w:id="101"/>
      <w:r w:rsidRPr="002E238E">
        <w:t>Safety</w:t>
      </w:r>
      <w:bookmarkEnd w:id="112"/>
      <w:bookmarkEnd w:id="113"/>
      <w:bookmarkEnd w:id="114"/>
      <w:bookmarkEnd w:id="115"/>
      <w:bookmarkEnd w:id="116"/>
    </w:p>
    <w:p w14:paraId="5A80320F" w14:textId="77777777" w:rsidR="00605AD4" w:rsidRDefault="00605AD4" w:rsidP="00F31992">
      <w:pPr>
        <w:pStyle w:val="Heading4"/>
      </w:pPr>
      <w:bookmarkStart w:id="117" w:name="_Toc247691524"/>
      <w:bookmarkStart w:id="118" w:name="_Toc314842508"/>
      <w:bookmarkStart w:id="119" w:name="_Toc196046504"/>
      <w:bookmarkStart w:id="120" w:name="_Toc163441390"/>
      <w:r w:rsidRPr="00605AD4">
        <w:t>Studies providing safety data</w:t>
      </w:r>
    </w:p>
    <w:p w14:paraId="030D4637" w14:textId="77777777" w:rsidR="00067049" w:rsidRPr="004F643F" w:rsidRDefault="00067049" w:rsidP="00067049">
      <w:bookmarkStart w:id="121" w:name="_Ref268776745"/>
      <w:r w:rsidRPr="004F643F">
        <w:t>Safety data in UC patients were mainly generated from the two pivotal efficacy studies (CB-01-02/01 and CB-01-02/02), with additional safety data also provided in the two preliminary efficacy studies (CRO-03-53 and CB-01-02/05). In addition, limited safety data in healthy volunteers were collected in the three PK studies (CRO-01-28, CRO-PK-03-105</w:t>
      </w:r>
      <w:r>
        <w:t xml:space="preserve"> and CRO-PK-06-178).</w:t>
      </w:r>
    </w:p>
    <w:p w14:paraId="2F4B5A83" w14:textId="77777777" w:rsidR="00067049" w:rsidRPr="00067049" w:rsidRDefault="00067049" w:rsidP="00067049">
      <w:r w:rsidRPr="004F643F">
        <w:t>Safety assessments were condu</w:t>
      </w:r>
      <w:r>
        <w:t xml:space="preserve">cted by evaluation of treatment </w:t>
      </w:r>
      <w:r w:rsidRPr="004F643F">
        <w:t>emergent adverse events (TEAEs), serious adverse events (SAEs), deaths and discontinuations due to TEAEs, clinical laboratory tests (including cortisol concentrations and</w:t>
      </w:r>
      <w:r w:rsidR="00FC1144">
        <w:t xml:space="preserve"> a</w:t>
      </w:r>
      <w:r w:rsidR="00FC1144" w:rsidRPr="00FC1144">
        <w:t>drenocorticotropic hormone</w:t>
      </w:r>
      <w:r w:rsidRPr="004F643F">
        <w:t xml:space="preserve"> </w:t>
      </w:r>
      <w:r w:rsidR="00FC1144">
        <w:t>(</w:t>
      </w:r>
      <w:r w:rsidRPr="004F643F">
        <w:t>ACTH</w:t>
      </w:r>
      <w:r w:rsidR="00FC1144">
        <w:t>)</w:t>
      </w:r>
      <w:r w:rsidRPr="004F643F">
        <w:t xml:space="preserve"> stimulation tests), glucocorticoid</w:t>
      </w:r>
      <w:r>
        <w:t xml:space="preserve"> effects, physical examinations</w:t>
      </w:r>
      <w:r w:rsidRPr="004F643F">
        <w:t xml:space="preserve"> and vital signs.</w:t>
      </w:r>
      <w:bookmarkEnd w:id="121"/>
    </w:p>
    <w:p w14:paraId="78DC25B6" w14:textId="77777777" w:rsidR="00605AD4" w:rsidRDefault="00605AD4" w:rsidP="00605AD4">
      <w:pPr>
        <w:pStyle w:val="Heading4"/>
      </w:pPr>
      <w:r w:rsidRPr="00605AD4">
        <w:t>Patient exposure</w:t>
      </w:r>
    </w:p>
    <w:p w14:paraId="5DEE2FF6" w14:textId="08D1B49C" w:rsidR="00704CBF" w:rsidRDefault="00067049" w:rsidP="00F31992">
      <w:pPr>
        <w:rPr>
          <w:b/>
        </w:rPr>
      </w:pPr>
      <w:r w:rsidRPr="00067049">
        <w:t xml:space="preserve">A total of 613 subjects received </w:t>
      </w:r>
      <w:r w:rsidR="00271024">
        <w:t xml:space="preserve">as least one dose of budesonide </w:t>
      </w:r>
      <w:r w:rsidRPr="00067049">
        <w:t>MMX treatment, with 36 as healthy volunteers and 577 as UC patients.</w:t>
      </w:r>
      <w:r>
        <w:t xml:space="preserve"> </w:t>
      </w:r>
      <w:r w:rsidRPr="004F643F">
        <w:t xml:space="preserve">In the 36 healthy volunteers, </w:t>
      </w:r>
      <w:r>
        <w:t xml:space="preserve">there were a total of 48 single </w:t>
      </w:r>
      <w:r w:rsidRPr="004F643F">
        <w:t>dose episodes, with 12 episodes at the dose of 6 mg and 36 episodes at the dose of 9 mg. In addition, of the 36 healthy volunteers, 12 received multiple daily doses of 9 mg for 7 days. Of the 577 patients with mild or moderate active UC,</w:t>
      </w:r>
      <w:r w:rsidR="00271024">
        <w:t xml:space="preserve"> 509 were exposed to budesonide </w:t>
      </w:r>
      <w:r w:rsidRPr="004F643F">
        <w:t>MMX at daily dose of either 6 mg (</w:t>
      </w:r>
      <w:r>
        <w:t xml:space="preserve">n = </w:t>
      </w:r>
      <w:r w:rsidRPr="004F643F">
        <w:t>254) or 9 mg (n</w:t>
      </w:r>
      <w:r>
        <w:t xml:space="preserve"> </w:t>
      </w:r>
      <w:r w:rsidRPr="004F643F">
        <w:t>=</w:t>
      </w:r>
      <w:r>
        <w:t xml:space="preserve"> </w:t>
      </w:r>
      <w:r w:rsidRPr="004F643F">
        <w:t>255) for up to 56 days in the two pivotal efficacy studies. The remaining 68 UC patients were expos</w:t>
      </w:r>
      <w:r w:rsidR="00271024">
        <w:t xml:space="preserve">ed to daily doses of budesonide </w:t>
      </w:r>
      <w:r w:rsidRPr="004F643F">
        <w:t>MMX at either 3 mg (</w:t>
      </w:r>
      <w:r>
        <w:t xml:space="preserve">n = </w:t>
      </w:r>
      <w:r w:rsidRPr="004F643F">
        <w:t>17) for up to 56 days, or at 9 mg for up to 28 days (</w:t>
      </w:r>
      <w:r>
        <w:t xml:space="preserve">n = </w:t>
      </w:r>
      <w:r w:rsidRPr="004F643F">
        <w:t>18) or 56 days (</w:t>
      </w:r>
      <w:r>
        <w:t xml:space="preserve">n = </w:t>
      </w:r>
      <w:r w:rsidRPr="004F643F">
        <w:t xml:space="preserve">33) in the two preliminary efficacy studies. A summary of the patient exposure data is shown in Table </w:t>
      </w:r>
      <w:r w:rsidR="007F0293">
        <w:t>4</w:t>
      </w:r>
      <w:r>
        <w:t>.</w:t>
      </w:r>
      <w:bookmarkStart w:id="122" w:name="_Toc404856311"/>
    </w:p>
    <w:p w14:paraId="786E4BF2" w14:textId="6F5F87AD" w:rsidR="00067049" w:rsidRDefault="007F0293" w:rsidP="00F31992">
      <w:pPr>
        <w:pStyle w:val="TableTitle"/>
      </w:pPr>
      <w:r>
        <w:t>Table 4</w:t>
      </w:r>
      <w:r w:rsidR="00271024">
        <w:t xml:space="preserve">: Exposure to budesonide </w:t>
      </w:r>
      <w:r w:rsidR="00067049" w:rsidRPr="00067049">
        <w:t>MMX in clinical studies according to dose and duration</w:t>
      </w:r>
      <w:bookmarkEnd w:id="122"/>
      <w:r w:rsidR="00067049" w:rsidRPr="00067049">
        <w:t>.</w:t>
      </w:r>
      <w:r w:rsidR="008B763A">
        <w:t>-+</w:t>
      </w:r>
    </w:p>
    <w:tbl>
      <w:tblPr>
        <w:tblStyle w:val="TableTGAblue"/>
        <w:tblW w:w="0" w:type="auto"/>
        <w:tblLook w:val="04A0" w:firstRow="1" w:lastRow="0" w:firstColumn="1" w:lastColumn="0" w:noHBand="0" w:noVBand="1"/>
      </w:tblPr>
      <w:tblGrid>
        <w:gridCol w:w="1796"/>
        <w:gridCol w:w="2245"/>
        <w:gridCol w:w="1029"/>
        <w:gridCol w:w="1106"/>
        <w:gridCol w:w="1263"/>
        <w:gridCol w:w="1281"/>
      </w:tblGrid>
      <w:tr w:rsidR="00880E68" w:rsidRPr="00414B0E" w14:paraId="577A46E0" w14:textId="77777777" w:rsidTr="00F31992">
        <w:trPr>
          <w:cnfStyle w:val="100000000000" w:firstRow="1" w:lastRow="0" w:firstColumn="0" w:lastColumn="0" w:oddVBand="0" w:evenVBand="0" w:oddHBand="0" w:evenHBand="0" w:firstRowFirstColumn="0" w:firstRowLastColumn="0" w:lastRowFirstColumn="0" w:lastRowLastColumn="0"/>
          <w:trHeight w:val="480"/>
        </w:trPr>
        <w:tc>
          <w:tcPr>
            <w:tcW w:w="1796" w:type="dxa"/>
            <w:vMerge w:val="restart"/>
            <w:tcBorders>
              <w:right w:val="single" w:sz="4" w:space="0" w:color="FFFFFF" w:themeColor="background1"/>
            </w:tcBorders>
            <w:shd w:val="clear" w:color="auto" w:fill="0070B5" w:themeFill="accent1" w:themeFillTint="BF"/>
          </w:tcPr>
          <w:p w14:paraId="3A64860A" w14:textId="77777777" w:rsidR="00880E68" w:rsidRPr="004A7AD4" w:rsidRDefault="00271024" w:rsidP="00F31992">
            <w:pPr>
              <w:ind w:left="0" w:right="0"/>
              <w:rPr>
                <w:rFonts w:asciiTheme="minorHAnsi" w:hAnsiTheme="minorHAnsi"/>
                <w:sz w:val="20"/>
                <w:szCs w:val="20"/>
              </w:rPr>
            </w:pPr>
            <w:r w:rsidRPr="004A7AD4">
              <w:rPr>
                <w:rFonts w:asciiTheme="minorHAnsi" w:hAnsiTheme="minorHAnsi"/>
                <w:sz w:val="20"/>
                <w:szCs w:val="20"/>
              </w:rPr>
              <w:t xml:space="preserve">Budesonide </w:t>
            </w:r>
            <w:r w:rsidR="00880E68" w:rsidRPr="004A7AD4">
              <w:rPr>
                <w:rFonts w:asciiTheme="minorHAnsi" w:hAnsiTheme="minorHAnsi"/>
                <w:sz w:val="20"/>
                <w:szCs w:val="20"/>
              </w:rPr>
              <w:t>MMX</w:t>
            </w:r>
          </w:p>
        </w:tc>
        <w:tc>
          <w:tcPr>
            <w:tcW w:w="2245" w:type="dxa"/>
            <w:vMerge w:val="restart"/>
            <w:tcBorders>
              <w:left w:val="single" w:sz="4" w:space="0" w:color="FFFFFF" w:themeColor="background1"/>
              <w:right w:val="single" w:sz="4" w:space="0" w:color="FFFFFF" w:themeColor="background1"/>
            </w:tcBorders>
            <w:shd w:val="clear" w:color="auto" w:fill="0070B5" w:themeFill="accent1" w:themeFillTint="BF"/>
          </w:tcPr>
          <w:p w14:paraId="3D7702AD" w14:textId="77777777" w:rsidR="00880E68" w:rsidRPr="004A7AD4" w:rsidRDefault="00880E68" w:rsidP="00F31992">
            <w:pPr>
              <w:ind w:left="0" w:right="0"/>
              <w:rPr>
                <w:rFonts w:asciiTheme="minorHAnsi" w:hAnsiTheme="minorHAnsi"/>
                <w:sz w:val="20"/>
                <w:szCs w:val="20"/>
              </w:rPr>
            </w:pPr>
            <w:r w:rsidRPr="00F31992">
              <w:rPr>
                <w:rFonts w:asciiTheme="minorHAnsi" w:hAnsiTheme="minorHAnsi"/>
                <w:sz w:val="20"/>
                <w:szCs w:val="20"/>
              </w:rPr>
              <w:t>Subjects</w:t>
            </w:r>
          </w:p>
        </w:tc>
        <w:tc>
          <w:tcPr>
            <w:tcW w:w="4679" w:type="dxa"/>
            <w:gridSpan w:val="4"/>
            <w:tcBorders>
              <w:left w:val="single" w:sz="4" w:space="0" w:color="FFFFFF" w:themeColor="background1"/>
            </w:tcBorders>
            <w:shd w:val="clear" w:color="auto" w:fill="0070B5" w:themeFill="accent1" w:themeFillTint="BF"/>
          </w:tcPr>
          <w:p w14:paraId="19AE86E9" w14:textId="77777777" w:rsidR="00880E68" w:rsidRPr="004A7AD4" w:rsidRDefault="00880E68" w:rsidP="00F31992">
            <w:pPr>
              <w:ind w:left="0" w:right="0"/>
              <w:rPr>
                <w:rFonts w:asciiTheme="minorHAnsi" w:hAnsiTheme="minorHAnsi"/>
                <w:sz w:val="20"/>
                <w:szCs w:val="20"/>
              </w:rPr>
            </w:pPr>
            <w:r w:rsidRPr="004A7AD4">
              <w:rPr>
                <w:rFonts w:asciiTheme="minorHAnsi" w:hAnsiTheme="minorHAnsi"/>
                <w:sz w:val="20"/>
                <w:szCs w:val="20"/>
              </w:rPr>
              <w:t>Duration</w:t>
            </w:r>
          </w:p>
        </w:tc>
      </w:tr>
      <w:tr w:rsidR="00880E68" w:rsidRPr="00414B0E" w14:paraId="44ACB468" w14:textId="77777777" w:rsidTr="00F31992">
        <w:trPr>
          <w:trHeight w:val="143"/>
        </w:trPr>
        <w:tc>
          <w:tcPr>
            <w:tcW w:w="1796" w:type="dxa"/>
            <w:vMerge/>
            <w:tcBorders>
              <w:right w:val="single" w:sz="4" w:space="0" w:color="FFFFFF" w:themeColor="background1"/>
            </w:tcBorders>
            <w:shd w:val="clear" w:color="auto" w:fill="0070B5" w:themeFill="accent1" w:themeFillTint="BF"/>
          </w:tcPr>
          <w:p w14:paraId="08FDDBFD" w14:textId="77777777" w:rsidR="00880E68" w:rsidRPr="00614728" w:rsidRDefault="00880E68" w:rsidP="00F31992">
            <w:pPr>
              <w:ind w:left="0" w:right="0"/>
              <w:rPr>
                <w:rFonts w:asciiTheme="minorHAnsi" w:hAnsiTheme="minorHAnsi"/>
                <w:sz w:val="20"/>
                <w:szCs w:val="20"/>
              </w:rPr>
            </w:pPr>
          </w:p>
        </w:tc>
        <w:tc>
          <w:tcPr>
            <w:tcW w:w="2245" w:type="dxa"/>
            <w:vMerge/>
            <w:tcBorders>
              <w:left w:val="single" w:sz="4" w:space="0" w:color="FFFFFF" w:themeColor="background1"/>
              <w:right w:val="single" w:sz="4" w:space="0" w:color="FFFFFF" w:themeColor="background1"/>
            </w:tcBorders>
            <w:shd w:val="clear" w:color="auto" w:fill="0070B5" w:themeFill="accent1" w:themeFillTint="BF"/>
          </w:tcPr>
          <w:p w14:paraId="0DED3FDF" w14:textId="77777777" w:rsidR="00880E68" w:rsidRPr="00614728" w:rsidRDefault="00880E68" w:rsidP="00F31992">
            <w:pPr>
              <w:ind w:left="0" w:right="0"/>
              <w:rPr>
                <w:rFonts w:asciiTheme="minorHAnsi" w:hAnsiTheme="minorHAnsi"/>
                <w:sz w:val="20"/>
                <w:szCs w:val="20"/>
              </w:rPr>
            </w:pPr>
          </w:p>
        </w:tc>
        <w:tc>
          <w:tcPr>
            <w:tcW w:w="1029" w:type="dxa"/>
            <w:tcBorders>
              <w:top w:val="single" w:sz="4" w:space="0" w:color="FFFFFF" w:themeColor="background1"/>
              <w:left w:val="single" w:sz="4" w:space="0" w:color="FFFFFF" w:themeColor="background1"/>
              <w:right w:val="single" w:sz="4" w:space="0" w:color="FFFFFF" w:themeColor="background1"/>
            </w:tcBorders>
            <w:shd w:val="clear" w:color="auto" w:fill="0070B5" w:themeFill="accent1" w:themeFillTint="BF"/>
          </w:tcPr>
          <w:p w14:paraId="61B80203" w14:textId="77777777" w:rsidR="00880E68" w:rsidRPr="004A7AD4" w:rsidRDefault="00880E68" w:rsidP="00F31992">
            <w:pPr>
              <w:ind w:left="0" w:right="0"/>
              <w:rPr>
                <w:rFonts w:asciiTheme="minorHAnsi" w:hAnsiTheme="minorHAnsi"/>
                <w:color w:val="FFFFFF" w:themeColor="background1"/>
                <w:sz w:val="20"/>
                <w:szCs w:val="20"/>
              </w:rPr>
            </w:pPr>
            <w:r w:rsidRPr="004A7AD4">
              <w:rPr>
                <w:rFonts w:asciiTheme="minorHAnsi" w:hAnsiTheme="minorHAnsi"/>
                <w:color w:val="FFFFFF" w:themeColor="background1"/>
                <w:sz w:val="20"/>
                <w:szCs w:val="20"/>
              </w:rPr>
              <w:t>1 day</w:t>
            </w:r>
          </w:p>
        </w:tc>
        <w:tc>
          <w:tcPr>
            <w:tcW w:w="1106" w:type="dxa"/>
            <w:tcBorders>
              <w:top w:val="single" w:sz="4" w:space="0" w:color="FFFFFF" w:themeColor="background1"/>
              <w:left w:val="single" w:sz="4" w:space="0" w:color="FFFFFF" w:themeColor="background1"/>
              <w:right w:val="single" w:sz="4" w:space="0" w:color="FFFFFF" w:themeColor="background1"/>
            </w:tcBorders>
            <w:shd w:val="clear" w:color="auto" w:fill="0070B5" w:themeFill="accent1" w:themeFillTint="BF"/>
          </w:tcPr>
          <w:p w14:paraId="6B32092D" w14:textId="77777777" w:rsidR="00880E68" w:rsidRPr="004A7AD4" w:rsidRDefault="00880E68" w:rsidP="00F31992">
            <w:pPr>
              <w:ind w:left="0" w:right="0"/>
              <w:rPr>
                <w:rFonts w:asciiTheme="minorHAnsi" w:hAnsiTheme="minorHAnsi"/>
                <w:color w:val="FFFFFF" w:themeColor="background1"/>
                <w:sz w:val="20"/>
                <w:szCs w:val="20"/>
              </w:rPr>
            </w:pPr>
            <w:r w:rsidRPr="004A7AD4">
              <w:rPr>
                <w:rFonts w:asciiTheme="minorHAnsi" w:hAnsiTheme="minorHAnsi"/>
                <w:color w:val="FFFFFF" w:themeColor="background1"/>
                <w:sz w:val="20"/>
                <w:szCs w:val="20"/>
              </w:rPr>
              <w:t>7 days</w:t>
            </w:r>
          </w:p>
        </w:tc>
        <w:tc>
          <w:tcPr>
            <w:tcW w:w="1263" w:type="dxa"/>
            <w:tcBorders>
              <w:left w:val="single" w:sz="4" w:space="0" w:color="FFFFFF" w:themeColor="background1"/>
              <w:right w:val="single" w:sz="4" w:space="0" w:color="FFFFFF" w:themeColor="background1"/>
            </w:tcBorders>
            <w:shd w:val="clear" w:color="auto" w:fill="0070B5" w:themeFill="accent1" w:themeFillTint="BF"/>
          </w:tcPr>
          <w:p w14:paraId="7996E640" w14:textId="77777777" w:rsidR="00880E68" w:rsidRPr="004A7AD4" w:rsidRDefault="00880E68" w:rsidP="00F31992">
            <w:pPr>
              <w:ind w:left="0" w:right="0"/>
              <w:rPr>
                <w:rFonts w:asciiTheme="minorHAnsi" w:hAnsiTheme="minorHAnsi"/>
                <w:color w:val="FFFFFF" w:themeColor="background1"/>
                <w:sz w:val="20"/>
                <w:szCs w:val="20"/>
              </w:rPr>
            </w:pPr>
            <w:r w:rsidRPr="004A7AD4">
              <w:rPr>
                <w:rFonts w:asciiTheme="minorHAnsi" w:hAnsiTheme="minorHAnsi"/>
                <w:color w:val="FFFFFF" w:themeColor="background1"/>
                <w:sz w:val="20"/>
                <w:szCs w:val="20"/>
              </w:rPr>
              <w:t>28 days</w:t>
            </w:r>
          </w:p>
        </w:tc>
        <w:tc>
          <w:tcPr>
            <w:tcW w:w="1281" w:type="dxa"/>
            <w:tcBorders>
              <w:left w:val="single" w:sz="4" w:space="0" w:color="FFFFFF" w:themeColor="background1"/>
            </w:tcBorders>
            <w:shd w:val="clear" w:color="auto" w:fill="0070B5" w:themeFill="accent1" w:themeFillTint="BF"/>
          </w:tcPr>
          <w:p w14:paraId="2D0C1C76" w14:textId="6AE359AB" w:rsidR="00880E68" w:rsidRPr="004A7AD4" w:rsidRDefault="00880E68" w:rsidP="00F31992">
            <w:pPr>
              <w:ind w:left="0" w:right="0"/>
              <w:rPr>
                <w:rFonts w:asciiTheme="minorHAnsi" w:hAnsiTheme="minorHAnsi"/>
                <w:color w:val="FFFFFF" w:themeColor="background1"/>
                <w:sz w:val="20"/>
                <w:szCs w:val="20"/>
              </w:rPr>
            </w:pPr>
            <w:r w:rsidRPr="004A7AD4">
              <w:rPr>
                <w:rFonts w:asciiTheme="minorHAnsi" w:hAnsiTheme="minorHAnsi"/>
                <w:color w:val="FFFFFF" w:themeColor="background1"/>
                <w:sz w:val="20"/>
                <w:szCs w:val="20"/>
              </w:rPr>
              <w:t>56 days</w:t>
            </w:r>
            <w:r w:rsidR="00414B0E" w:rsidRPr="004A7AD4">
              <w:rPr>
                <w:rFonts w:asciiTheme="minorHAnsi" w:hAnsiTheme="minorHAnsi"/>
                <w:color w:val="FFFFFF" w:themeColor="background1"/>
                <w:sz w:val="20"/>
                <w:szCs w:val="20"/>
                <w:vertAlign w:val="superscript"/>
              </w:rPr>
              <w:t>#</w:t>
            </w:r>
          </w:p>
        </w:tc>
      </w:tr>
      <w:tr w:rsidR="00880E68" w:rsidRPr="00414B0E" w14:paraId="61697165" w14:textId="77777777" w:rsidTr="0050278E">
        <w:trPr>
          <w:trHeight w:val="587"/>
        </w:trPr>
        <w:tc>
          <w:tcPr>
            <w:tcW w:w="1796" w:type="dxa"/>
            <w:vMerge w:val="restart"/>
          </w:tcPr>
          <w:p w14:paraId="3091D5F2"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3 mg</w:t>
            </w:r>
          </w:p>
        </w:tc>
        <w:tc>
          <w:tcPr>
            <w:tcW w:w="2245" w:type="dxa"/>
          </w:tcPr>
          <w:p w14:paraId="65C9686C"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Health volunteers</w:t>
            </w:r>
          </w:p>
        </w:tc>
        <w:tc>
          <w:tcPr>
            <w:tcW w:w="1029" w:type="dxa"/>
          </w:tcPr>
          <w:p w14:paraId="7AB7EA52" w14:textId="77777777" w:rsidR="00880E68" w:rsidRPr="004A7AD4" w:rsidRDefault="00880E68" w:rsidP="004A7AD4">
            <w:pPr>
              <w:rPr>
                <w:rFonts w:asciiTheme="minorHAnsi" w:hAnsiTheme="minorHAnsi"/>
                <w:sz w:val="20"/>
                <w:szCs w:val="20"/>
              </w:rPr>
            </w:pPr>
          </w:p>
        </w:tc>
        <w:tc>
          <w:tcPr>
            <w:tcW w:w="1106" w:type="dxa"/>
          </w:tcPr>
          <w:p w14:paraId="7CA54BFD" w14:textId="77777777" w:rsidR="00880E68" w:rsidRPr="004A7AD4" w:rsidRDefault="00880E68" w:rsidP="004A7AD4">
            <w:pPr>
              <w:rPr>
                <w:rFonts w:asciiTheme="minorHAnsi" w:hAnsiTheme="minorHAnsi"/>
                <w:sz w:val="20"/>
                <w:szCs w:val="20"/>
              </w:rPr>
            </w:pPr>
          </w:p>
        </w:tc>
        <w:tc>
          <w:tcPr>
            <w:tcW w:w="1263" w:type="dxa"/>
          </w:tcPr>
          <w:p w14:paraId="6C612105" w14:textId="77777777" w:rsidR="00880E68" w:rsidRPr="004A7AD4" w:rsidRDefault="00880E68" w:rsidP="004A7AD4">
            <w:pPr>
              <w:rPr>
                <w:rFonts w:asciiTheme="minorHAnsi" w:hAnsiTheme="minorHAnsi"/>
                <w:sz w:val="20"/>
                <w:szCs w:val="20"/>
              </w:rPr>
            </w:pPr>
          </w:p>
        </w:tc>
        <w:tc>
          <w:tcPr>
            <w:tcW w:w="1281" w:type="dxa"/>
          </w:tcPr>
          <w:p w14:paraId="653C9D3F" w14:textId="77777777" w:rsidR="00880E68" w:rsidRPr="004A7AD4" w:rsidRDefault="00880E68" w:rsidP="004A7AD4">
            <w:pPr>
              <w:rPr>
                <w:rFonts w:asciiTheme="minorHAnsi" w:hAnsiTheme="minorHAnsi"/>
                <w:sz w:val="20"/>
                <w:szCs w:val="20"/>
              </w:rPr>
            </w:pPr>
          </w:p>
        </w:tc>
      </w:tr>
      <w:tr w:rsidR="00880E68" w:rsidRPr="00414B0E" w14:paraId="1BA9EF37" w14:textId="77777777" w:rsidTr="00880E68">
        <w:trPr>
          <w:trHeight w:val="143"/>
        </w:trPr>
        <w:tc>
          <w:tcPr>
            <w:tcW w:w="1796" w:type="dxa"/>
            <w:vMerge/>
          </w:tcPr>
          <w:p w14:paraId="25302508" w14:textId="77777777" w:rsidR="00880E68" w:rsidRPr="00614728" w:rsidRDefault="00880E68" w:rsidP="00614728">
            <w:pPr>
              <w:rPr>
                <w:rFonts w:asciiTheme="minorHAnsi" w:hAnsiTheme="minorHAnsi"/>
                <w:sz w:val="20"/>
                <w:szCs w:val="20"/>
              </w:rPr>
            </w:pPr>
          </w:p>
        </w:tc>
        <w:tc>
          <w:tcPr>
            <w:tcW w:w="2245" w:type="dxa"/>
          </w:tcPr>
          <w:p w14:paraId="4309689E" w14:textId="77777777" w:rsidR="00880E68" w:rsidRPr="00614728" w:rsidRDefault="00880E68" w:rsidP="00614728">
            <w:pPr>
              <w:rPr>
                <w:rFonts w:asciiTheme="minorHAnsi" w:hAnsiTheme="minorHAnsi"/>
                <w:sz w:val="20"/>
                <w:szCs w:val="20"/>
              </w:rPr>
            </w:pPr>
            <w:r w:rsidRPr="00614728">
              <w:rPr>
                <w:rFonts w:asciiTheme="minorHAnsi" w:hAnsiTheme="minorHAnsi"/>
                <w:sz w:val="20"/>
                <w:szCs w:val="20"/>
              </w:rPr>
              <w:t>UC patients</w:t>
            </w:r>
          </w:p>
        </w:tc>
        <w:tc>
          <w:tcPr>
            <w:tcW w:w="1029" w:type="dxa"/>
          </w:tcPr>
          <w:p w14:paraId="5AFF3E87" w14:textId="77777777" w:rsidR="00880E68" w:rsidRPr="00614728" w:rsidRDefault="00880E68" w:rsidP="004A7AD4">
            <w:pPr>
              <w:rPr>
                <w:rFonts w:asciiTheme="minorHAnsi" w:hAnsiTheme="minorHAnsi"/>
                <w:sz w:val="20"/>
                <w:szCs w:val="20"/>
              </w:rPr>
            </w:pPr>
          </w:p>
        </w:tc>
        <w:tc>
          <w:tcPr>
            <w:tcW w:w="1106" w:type="dxa"/>
          </w:tcPr>
          <w:p w14:paraId="0D0EA5AD" w14:textId="77777777" w:rsidR="00880E68" w:rsidRPr="00614728" w:rsidRDefault="00880E68" w:rsidP="004A7AD4">
            <w:pPr>
              <w:rPr>
                <w:rFonts w:asciiTheme="minorHAnsi" w:hAnsiTheme="minorHAnsi"/>
                <w:sz w:val="20"/>
                <w:szCs w:val="20"/>
              </w:rPr>
            </w:pPr>
          </w:p>
        </w:tc>
        <w:tc>
          <w:tcPr>
            <w:tcW w:w="1263" w:type="dxa"/>
          </w:tcPr>
          <w:p w14:paraId="05F68F28" w14:textId="77777777" w:rsidR="00880E68" w:rsidRPr="00614728" w:rsidRDefault="00880E68" w:rsidP="004A7AD4">
            <w:pPr>
              <w:rPr>
                <w:rFonts w:asciiTheme="minorHAnsi" w:hAnsiTheme="minorHAnsi"/>
                <w:sz w:val="20"/>
                <w:szCs w:val="20"/>
              </w:rPr>
            </w:pPr>
          </w:p>
        </w:tc>
        <w:tc>
          <w:tcPr>
            <w:tcW w:w="1281" w:type="dxa"/>
          </w:tcPr>
          <w:p w14:paraId="5EDE9293" w14:textId="77777777" w:rsidR="00880E68" w:rsidRPr="00614728" w:rsidRDefault="00880E68" w:rsidP="004A7AD4">
            <w:pPr>
              <w:rPr>
                <w:rFonts w:asciiTheme="minorHAnsi" w:hAnsiTheme="minorHAnsi"/>
                <w:sz w:val="20"/>
                <w:szCs w:val="20"/>
              </w:rPr>
            </w:pPr>
            <w:r w:rsidRPr="00614728">
              <w:rPr>
                <w:rFonts w:asciiTheme="minorHAnsi" w:hAnsiTheme="minorHAnsi"/>
                <w:sz w:val="20"/>
                <w:szCs w:val="20"/>
              </w:rPr>
              <w:t>17</w:t>
            </w:r>
          </w:p>
        </w:tc>
      </w:tr>
      <w:tr w:rsidR="00880E68" w:rsidRPr="00414B0E" w14:paraId="25B7686B" w14:textId="77777777" w:rsidTr="0050278E">
        <w:trPr>
          <w:trHeight w:val="478"/>
        </w:trPr>
        <w:tc>
          <w:tcPr>
            <w:tcW w:w="1796" w:type="dxa"/>
            <w:vMerge w:val="restart"/>
          </w:tcPr>
          <w:p w14:paraId="614AD457"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6 mg</w:t>
            </w:r>
          </w:p>
        </w:tc>
        <w:tc>
          <w:tcPr>
            <w:tcW w:w="2245" w:type="dxa"/>
          </w:tcPr>
          <w:p w14:paraId="0EC0F2C3"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Health volunteers</w:t>
            </w:r>
          </w:p>
        </w:tc>
        <w:tc>
          <w:tcPr>
            <w:tcW w:w="1029" w:type="dxa"/>
          </w:tcPr>
          <w:p w14:paraId="1B2DDE8F"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12</w:t>
            </w:r>
          </w:p>
        </w:tc>
        <w:tc>
          <w:tcPr>
            <w:tcW w:w="1106" w:type="dxa"/>
          </w:tcPr>
          <w:p w14:paraId="49BFE4DF" w14:textId="77777777" w:rsidR="00880E68" w:rsidRPr="004A7AD4" w:rsidRDefault="00880E68" w:rsidP="004A7AD4">
            <w:pPr>
              <w:rPr>
                <w:rFonts w:asciiTheme="minorHAnsi" w:hAnsiTheme="minorHAnsi"/>
                <w:sz w:val="20"/>
                <w:szCs w:val="20"/>
              </w:rPr>
            </w:pPr>
          </w:p>
        </w:tc>
        <w:tc>
          <w:tcPr>
            <w:tcW w:w="1263" w:type="dxa"/>
          </w:tcPr>
          <w:p w14:paraId="61BC1F71" w14:textId="77777777" w:rsidR="00880E68" w:rsidRPr="004A7AD4" w:rsidRDefault="00880E68" w:rsidP="004A7AD4">
            <w:pPr>
              <w:rPr>
                <w:rFonts w:asciiTheme="minorHAnsi" w:hAnsiTheme="minorHAnsi"/>
                <w:sz w:val="20"/>
                <w:szCs w:val="20"/>
              </w:rPr>
            </w:pPr>
          </w:p>
        </w:tc>
        <w:tc>
          <w:tcPr>
            <w:tcW w:w="1281" w:type="dxa"/>
          </w:tcPr>
          <w:p w14:paraId="090F297D" w14:textId="77777777" w:rsidR="00880E68" w:rsidRPr="004A7AD4" w:rsidRDefault="00880E68" w:rsidP="004A7AD4">
            <w:pPr>
              <w:rPr>
                <w:rFonts w:asciiTheme="minorHAnsi" w:hAnsiTheme="minorHAnsi"/>
                <w:sz w:val="20"/>
                <w:szCs w:val="20"/>
              </w:rPr>
            </w:pPr>
          </w:p>
        </w:tc>
      </w:tr>
      <w:tr w:rsidR="00880E68" w:rsidRPr="00414B0E" w14:paraId="282430F6" w14:textId="77777777" w:rsidTr="00880E68">
        <w:trPr>
          <w:trHeight w:val="143"/>
        </w:trPr>
        <w:tc>
          <w:tcPr>
            <w:tcW w:w="1796" w:type="dxa"/>
            <w:vMerge/>
          </w:tcPr>
          <w:p w14:paraId="082D99B5" w14:textId="77777777" w:rsidR="00880E68" w:rsidRPr="004A7AD4" w:rsidRDefault="00880E68" w:rsidP="004A7AD4">
            <w:pPr>
              <w:rPr>
                <w:rFonts w:asciiTheme="minorHAnsi" w:hAnsiTheme="minorHAnsi"/>
                <w:sz w:val="20"/>
                <w:szCs w:val="20"/>
              </w:rPr>
            </w:pPr>
          </w:p>
        </w:tc>
        <w:tc>
          <w:tcPr>
            <w:tcW w:w="2245" w:type="dxa"/>
          </w:tcPr>
          <w:p w14:paraId="586E5725"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UC patients</w:t>
            </w:r>
          </w:p>
        </w:tc>
        <w:tc>
          <w:tcPr>
            <w:tcW w:w="1029" w:type="dxa"/>
          </w:tcPr>
          <w:p w14:paraId="1C120E98" w14:textId="77777777" w:rsidR="00880E68" w:rsidRPr="004A7AD4" w:rsidRDefault="00880E68" w:rsidP="004A7AD4">
            <w:pPr>
              <w:rPr>
                <w:rFonts w:asciiTheme="minorHAnsi" w:hAnsiTheme="minorHAnsi"/>
                <w:sz w:val="20"/>
                <w:szCs w:val="20"/>
              </w:rPr>
            </w:pPr>
          </w:p>
        </w:tc>
        <w:tc>
          <w:tcPr>
            <w:tcW w:w="1106" w:type="dxa"/>
          </w:tcPr>
          <w:p w14:paraId="7BC6A320" w14:textId="77777777" w:rsidR="00880E68" w:rsidRPr="004A7AD4" w:rsidRDefault="00880E68" w:rsidP="004A7AD4">
            <w:pPr>
              <w:rPr>
                <w:rFonts w:asciiTheme="minorHAnsi" w:hAnsiTheme="minorHAnsi"/>
                <w:sz w:val="20"/>
                <w:szCs w:val="20"/>
              </w:rPr>
            </w:pPr>
          </w:p>
        </w:tc>
        <w:tc>
          <w:tcPr>
            <w:tcW w:w="1263" w:type="dxa"/>
          </w:tcPr>
          <w:p w14:paraId="0E6CEE86" w14:textId="77777777" w:rsidR="00880E68" w:rsidRPr="004A7AD4" w:rsidRDefault="00880E68" w:rsidP="004A7AD4">
            <w:pPr>
              <w:rPr>
                <w:rFonts w:asciiTheme="minorHAnsi" w:hAnsiTheme="minorHAnsi"/>
                <w:sz w:val="20"/>
                <w:szCs w:val="20"/>
              </w:rPr>
            </w:pPr>
          </w:p>
        </w:tc>
        <w:tc>
          <w:tcPr>
            <w:tcW w:w="1281" w:type="dxa"/>
          </w:tcPr>
          <w:p w14:paraId="040753BD"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254</w:t>
            </w:r>
          </w:p>
        </w:tc>
      </w:tr>
      <w:tr w:rsidR="00880E68" w:rsidRPr="00414B0E" w14:paraId="6F75215A" w14:textId="77777777" w:rsidTr="0050278E">
        <w:trPr>
          <w:trHeight w:val="477"/>
        </w:trPr>
        <w:tc>
          <w:tcPr>
            <w:tcW w:w="1796" w:type="dxa"/>
            <w:vMerge w:val="restart"/>
          </w:tcPr>
          <w:p w14:paraId="0F7702CB"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9 mg</w:t>
            </w:r>
          </w:p>
        </w:tc>
        <w:tc>
          <w:tcPr>
            <w:tcW w:w="2245" w:type="dxa"/>
          </w:tcPr>
          <w:p w14:paraId="63B2ECC7"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Health volunteers</w:t>
            </w:r>
          </w:p>
        </w:tc>
        <w:tc>
          <w:tcPr>
            <w:tcW w:w="1029" w:type="dxa"/>
          </w:tcPr>
          <w:p w14:paraId="62326FA0"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36</w:t>
            </w:r>
          </w:p>
        </w:tc>
        <w:tc>
          <w:tcPr>
            <w:tcW w:w="1106" w:type="dxa"/>
          </w:tcPr>
          <w:p w14:paraId="43F12517"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12</w:t>
            </w:r>
          </w:p>
        </w:tc>
        <w:tc>
          <w:tcPr>
            <w:tcW w:w="1263" w:type="dxa"/>
          </w:tcPr>
          <w:p w14:paraId="1528C6A3" w14:textId="77777777" w:rsidR="00880E68" w:rsidRPr="004A7AD4" w:rsidRDefault="00880E68" w:rsidP="004A7AD4">
            <w:pPr>
              <w:rPr>
                <w:rFonts w:asciiTheme="minorHAnsi" w:hAnsiTheme="minorHAnsi"/>
                <w:sz w:val="20"/>
                <w:szCs w:val="20"/>
              </w:rPr>
            </w:pPr>
          </w:p>
        </w:tc>
        <w:tc>
          <w:tcPr>
            <w:tcW w:w="1281" w:type="dxa"/>
          </w:tcPr>
          <w:p w14:paraId="5859288A" w14:textId="77777777" w:rsidR="00880E68" w:rsidRPr="004A7AD4" w:rsidRDefault="00880E68" w:rsidP="004A7AD4">
            <w:pPr>
              <w:rPr>
                <w:rFonts w:asciiTheme="minorHAnsi" w:hAnsiTheme="minorHAnsi"/>
                <w:sz w:val="20"/>
                <w:szCs w:val="20"/>
              </w:rPr>
            </w:pPr>
          </w:p>
        </w:tc>
      </w:tr>
      <w:tr w:rsidR="00880E68" w:rsidRPr="00414B0E" w14:paraId="1CE6B761" w14:textId="77777777" w:rsidTr="0050278E">
        <w:trPr>
          <w:trHeight w:val="208"/>
        </w:trPr>
        <w:tc>
          <w:tcPr>
            <w:tcW w:w="1796" w:type="dxa"/>
            <w:vMerge/>
          </w:tcPr>
          <w:p w14:paraId="7B8D771F" w14:textId="77777777" w:rsidR="00880E68" w:rsidRPr="004A7AD4" w:rsidRDefault="00880E68" w:rsidP="004A7AD4">
            <w:pPr>
              <w:rPr>
                <w:rFonts w:asciiTheme="minorHAnsi" w:hAnsiTheme="minorHAnsi"/>
                <w:sz w:val="20"/>
                <w:szCs w:val="20"/>
              </w:rPr>
            </w:pPr>
          </w:p>
        </w:tc>
        <w:tc>
          <w:tcPr>
            <w:tcW w:w="2245" w:type="dxa"/>
          </w:tcPr>
          <w:p w14:paraId="7D1FE328"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UC patients</w:t>
            </w:r>
          </w:p>
        </w:tc>
        <w:tc>
          <w:tcPr>
            <w:tcW w:w="1029" w:type="dxa"/>
          </w:tcPr>
          <w:p w14:paraId="4B5A8252" w14:textId="77777777" w:rsidR="00880E68" w:rsidRPr="004A7AD4" w:rsidRDefault="00880E68" w:rsidP="004A7AD4">
            <w:pPr>
              <w:rPr>
                <w:rFonts w:asciiTheme="minorHAnsi" w:hAnsiTheme="minorHAnsi"/>
                <w:sz w:val="20"/>
                <w:szCs w:val="20"/>
              </w:rPr>
            </w:pPr>
          </w:p>
        </w:tc>
        <w:tc>
          <w:tcPr>
            <w:tcW w:w="1106" w:type="dxa"/>
          </w:tcPr>
          <w:p w14:paraId="6A466951" w14:textId="77777777" w:rsidR="00880E68" w:rsidRPr="004A7AD4" w:rsidRDefault="00880E68" w:rsidP="004A7AD4">
            <w:pPr>
              <w:rPr>
                <w:rFonts w:asciiTheme="minorHAnsi" w:hAnsiTheme="minorHAnsi"/>
                <w:sz w:val="20"/>
                <w:szCs w:val="20"/>
              </w:rPr>
            </w:pPr>
          </w:p>
        </w:tc>
        <w:tc>
          <w:tcPr>
            <w:tcW w:w="1263" w:type="dxa"/>
          </w:tcPr>
          <w:p w14:paraId="2A4326FD"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18</w:t>
            </w:r>
          </w:p>
        </w:tc>
        <w:tc>
          <w:tcPr>
            <w:tcW w:w="1281" w:type="dxa"/>
          </w:tcPr>
          <w:p w14:paraId="6D3B743A" w14:textId="77777777" w:rsidR="00880E68" w:rsidRPr="004A7AD4" w:rsidRDefault="00880E68" w:rsidP="004A7AD4">
            <w:pPr>
              <w:rPr>
                <w:rFonts w:asciiTheme="minorHAnsi" w:hAnsiTheme="minorHAnsi"/>
                <w:sz w:val="20"/>
                <w:szCs w:val="20"/>
              </w:rPr>
            </w:pPr>
            <w:r w:rsidRPr="004A7AD4">
              <w:rPr>
                <w:rFonts w:asciiTheme="minorHAnsi" w:hAnsiTheme="minorHAnsi"/>
                <w:sz w:val="20"/>
                <w:szCs w:val="20"/>
              </w:rPr>
              <w:t>288</w:t>
            </w:r>
          </w:p>
        </w:tc>
      </w:tr>
    </w:tbl>
    <w:p w14:paraId="5A15C3B4" w14:textId="77777777" w:rsidR="00067049" w:rsidRPr="00067049" w:rsidRDefault="00880E68" w:rsidP="004A7AD4">
      <w:pPr>
        <w:pStyle w:val="TableDescription"/>
      </w:pPr>
      <w:r w:rsidRPr="00880E68">
        <w:rPr>
          <w:vertAlign w:val="superscript"/>
        </w:rPr>
        <w:t>#</w:t>
      </w:r>
      <w:r>
        <w:t xml:space="preserve"> </w:t>
      </w:r>
      <w:proofErr w:type="gramStart"/>
      <w:r>
        <w:t>Not</w:t>
      </w:r>
      <w:proofErr w:type="gramEnd"/>
      <w:r>
        <w:t xml:space="preserve"> </w:t>
      </w:r>
      <w:r w:rsidRPr="005655AD">
        <w:t xml:space="preserve">all </w:t>
      </w:r>
      <w:r>
        <w:t xml:space="preserve">UC </w:t>
      </w:r>
      <w:r w:rsidRPr="005655AD">
        <w:t xml:space="preserve">patients completed the scheduled 8 weeks </w:t>
      </w:r>
      <w:r>
        <w:t xml:space="preserve">of </w:t>
      </w:r>
      <w:r w:rsidRPr="005655AD">
        <w:t>treatment.</w:t>
      </w:r>
    </w:p>
    <w:p w14:paraId="1001A477" w14:textId="77777777" w:rsidR="00605AD4" w:rsidRDefault="00605AD4" w:rsidP="00605AD4">
      <w:pPr>
        <w:pStyle w:val="Heading4"/>
      </w:pPr>
      <w:r w:rsidRPr="00605AD4">
        <w:lastRenderedPageBreak/>
        <w:t>Safety issues with the potential for major regulatory impact</w:t>
      </w:r>
    </w:p>
    <w:p w14:paraId="2A0F1511" w14:textId="77777777" w:rsidR="005F6484" w:rsidRPr="005F6484" w:rsidRDefault="005F6484" w:rsidP="005F6484">
      <w:pPr>
        <w:pStyle w:val="Heading5"/>
      </w:pPr>
      <w:bookmarkStart w:id="123" w:name="_Ref404335454"/>
      <w:bookmarkStart w:id="124" w:name="_Toc404856268"/>
      <w:r w:rsidRPr="005F6484">
        <w:t>Morning plasma cortisol</w:t>
      </w:r>
      <w:bookmarkEnd w:id="123"/>
      <w:bookmarkEnd w:id="124"/>
    </w:p>
    <w:p w14:paraId="1FA7EA9F" w14:textId="77777777" w:rsidR="005F6484" w:rsidRPr="005F6484" w:rsidRDefault="005F6484" w:rsidP="005F6484">
      <w:pPr>
        <w:pStyle w:val="Heading6"/>
      </w:pPr>
      <w:bookmarkStart w:id="125" w:name="_Toc404856269"/>
      <w:r w:rsidRPr="005F6484">
        <w:t>Pivotal studies</w:t>
      </w:r>
      <w:bookmarkEnd w:id="125"/>
    </w:p>
    <w:p w14:paraId="07E08725" w14:textId="77777777" w:rsidR="005F6484" w:rsidRPr="005F6484" w:rsidRDefault="005F6484" w:rsidP="005F6484">
      <w:r w:rsidRPr="005F6484">
        <w:t xml:space="preserve">Morning plasma cortisol levels at baseline and changes from baseline by visit in studies CB-01-02/01 and CB-01-02/02 </w:t>
      </w:r>
      <w:r>
        <w:t>were</w:t>
      </w:r>
      <w:r w:rsidRPr="005F6484">
        <w:t xml:space="preserve"> </w:t>
      </w:r>
      <w:r>
        <w:t>summar</w:t>
      </w:r>
      <w:r w:rsidR="0050278E">
        <w:t>ise</w:t>
      </w:r>
      <w:r>
        <w:t>d. T</w:t>
      </w:r>
      <w:r w:rsidRPr="005F6484">
        <w:t xml:space="preserve">here </w:t>
      </w:r>
      <w:r>
        <w:t xml:space="preserve">were large inter </w:t>
      </w:r>
      <w:r w:rsidRPr="005F6484">
        <w:t xml:space="preserve">subject variations in the data (evident by large </w:t>
      </w:r>
      <w:r w:rsidR="00F41F93">
        <w:t>s</w:t>
      </w:r>
      <w:r w:rsidR="00F41F93" w:rsidRPr="00F41F93">
        <w:t xml:space="preserve">tandard deviation </w:t>
      </w:r>
      <w:r w:rsidR="00F41F93">
        <w:t>(</w:t>
      </w:r>
      <w:r w:rsidRPr="005F6484">
        <w:t>SD</w:t>
      </w:r>
      <w:r w:rsidR="00F41F93">
        <w:t>)</w:t>
      </w:r>
      <w:r w:rsidRPr="005F6484">
        <w:t xml:space="preserve"> values). Overall, d</w:t>
      </w:r>
      <w:r>
        <w:t xml:space="preserve">ose </w:t>
      </w:r>
      <w:r w:rsidRPr="005F6484">
        <w:t>dependent decreases from baseline in mean morning plasma cortisol leve</w:t>
      </w:r>
      <w:r w:rsidR="00271024">
        <w:t xml:space="preserve">ls were noted in the budesonide </w:t>
      </w:r>
      <w:r w:rsidRPr="005F6484">
        <w:t>MMX 6 mg and 9 mg groups at all study visits. The mean decreases ranged from 52.9 t</w:t>
      </w:r>
      <w:r w:rsidR="00271024">
        <w:t xml:space="preserve">o 91.2 </w:t>
      </w:r>
      <w:proofErr w:type="spellStart"/>
      <w:r w:rsidR="00271024">
        <w:t>nmol</w:t>
      </w:r>
      <w:proofErr w:type="spellEnd"/>
      <w:r w:rsidR="00271024">
        <w:t xml:space="preserve">/L in the budesonide </w:t>
      </w:r>
      <w:r w:rsidRPr="005F6484">
        <w:t>MMX 6 mg group, and 98.6 to</w:t>
      </w:r>
      <w:r w:rsidR="00271024">
        <w:t xml:space="preserve"> 175.7 </w:t>
      </w:r>
      <w:proofErr w:type="spellStart"/>
      <w:r w:rsidR="00271024">
        <w:t>nmol</w:t>
      </w:r>
      <w:proofErr w:type="spellEnd"/>
      <w:r w:rsidR="00271024">
        <w:t xml:space="preserve">/L in the budesonide </w:t>
      </w:r>
      <w:r w:rsidR="00E0305A">
        <w:t>MMX 9 mg group of S</w:t>
      </w:r>
      <w:r w:rsidRPr="005F6484">
        <w:t>tudy CB-01-02/01, and from 48.3 t</w:t>
      </w:r>
      <w:r w:rsidR="00271024">
        <w:t xml:space="preserve">o 89.2 </w:t>
      </w:r>
      <w:proofErr w:type="spellStart"/>
      <w:r w:rsidR="00271024">
        <w:t>nmol</w:t>
      </w:r>
      <w:proofErr w:type="spellEnd"/>
      <w:r w:rsidR="00271024">
        <w:t xml:space="preserve">/L in the budesonide </w:t>
      </w:r>
      <w:r w:rsidRPr="005F6484">
        <w:t>MMX 6 mg group, and 103.3 to</w:t>
      </w:r>
      <w:r w:rsidR="00271024">
        <w:t xml:space="preserve"> 150.1 </w:t>
      </w:r>
      <w:proofErr w:type="spellStart"/>
      <w:r w:rsidR="00271024">
        <w:t>nmol</w:t>
      </w:r>
      <w:proofErr w:type="spellEnd"/>
      <w:r w:rsidR="00271024">
        <w:t xml:space="preserve">/L in the budesonide </w:t>
      </w:r>
      <w:r w:rsidR="00E0305A">
        <w:t>MMX 9 mg group of S</w:t>
      </w:r>
      <w:r w:rsidRPr="005F6484">
        <w:t>tudy CB-01-02/02. The decreases</w:t>
      </w:r>
      <w:r>
        <w:t xml:space="preserve"> did not appear to be time </w:t>
      </w:r>
      <w:r w:rsidRPr="005F6484">
        <w:t>dependent, as the mean decreases at Visit 5/Final Visit were not greater than a</w:t>
      </w:r>
      <w:r w:rsidR="00271024">
        <w:t>t the earlier visits (Visits 3 and</w:t>
      </w:r>
      <w:r w:rsidRPr="005F6484">
        <w:t xml:space="preserve"> 4). The reported decrease in morning cortisol also did not appear to be associated with an increase in clinical glucocorticoid effects.</w:t>
      </w:r>
    </w:p>
    <w:p w14:paraId="4BAD3E74" w14:textId="77777777" w:rsidR="005F6484" w:rsidRPr="005F6484" w:rsidRDefault="005F6484" w:rsidP="005F6484">
      <w:pPr>
        <w:pStyle w:val="Heading6"/>
      </w:pPr>
      <w:bookmarkStart w:id="126" w:name="_Toc404856270"/>
      <w:r w:rsidRPr="005F6484">
        <w:t>Other studies</w:t>
      </w:r>
      <w:bookmarkEnd w:id="126"/>
    </w:p>
    <w:p w14:paraId="5041C1D4" w14:textId="497437C0" w:rsidR="005F6484" w:rsidRPr="005F6484" w:rsidRDefault="005F6484" w:rsidP="005F6484">
      <w:r w:rsidRPr="005F6484">
        <w:t>Morning plasma cortisol levels were</w:t>
      </w:r>
      <w:r w:rsidR="0044317A">
        <w:t xml:space="preserve"> also determined in the two non-</w:t>
      </w:r>
      <w:r w:rsidRPr="005F6484">
        <w:t>pivot</w:t>
      </w:r>
      <w:r w:rsidR="0000594F">
        <w:t>al Phase II Studies CRO-03-53 and CB-01-02/05</w:t>
      </w:r>
      <w:r w:rsidRPr="005F6484">
        <w:t>.</w:t>
      </w:r>
    </w:p>
    <w:p w14:paraId="05B5CC1E" w14:textId="77777777" w:rsidR="005F6484" w:rsidRPr="005F6484" w:rsidRDefault="0000594F" w:rsidP="005F6484">
      <w:r>
        <w:t>Data for S</w:t>
      </w:r>
      <w:r w:rsidR="005F6484" w:rsidRPr="005F6484">
        <w:t xml:space="preserve">tudy CRO-03-53 </w:t>
      </w:r>
      <w:r w:rsidR="005F6484">
        <w:t>were summar</w:t>
      </w:r>
      <w:r w:rsidR="0050278E">
        <w:t>ise</w:t>
      </w:r>
      <w:r w:rsidR="005F6484">
        <w:t>d. T</w:t>
      </w:r>
      <w:r w:rsidR="00271024">
        <w:t xml:space="preserve">reatment with budesonide </w:t>
      </w:r>
      <w:r w:rsidR="005F6484" w:rsidRPr="005F6484">
        <w:t xml:space="preserve">MMX 9 mg </w:t>
      </w:r>
      <w:r w:rsidR="002575E7">
        <w:t xml:space="preserve">was associated with a decrease </w:t>
      </w:r>
      <w:r w:rsidR="005F6484" w:rsidRPr="005F6484">
        <w:t xml:space="preserve">in morning plasma cortisol, more pronounced after 8 weeks of treatment than after 4 weeks of treatment. After </w:t>
      </w:r>
      <w:r w:rsidR="00E0305A">
        <w:t>a</w:t>
      </w:r>
      <w:r w:rsidR="00E0305A" w:rsidRPr="00E0305A">
        <w:t xml:space="preserve">drenocorticotropic hormone </w:t>
      </w:r>
      <w:r w:rsidR="00E0305A">
        <w:t>(</w:t>
      </w:r>
      <w:r w:rsidR="005F6484" w:rsidRPr="005F6484">
        <w:t>ACTH</w:t>
      </w:r>
      <w:r w:rsidR="00E0305A">
        <w:t>)</w:t>
      </w:r>
      <w:r w:rsidR="005F6484" w:rsidRPr="005F6484">
        <w:t xml:space="preserve"> stimulation in the short </w:t>
      </w:r>
      <w:proofErr w:type="spellStart"/>
      <w:r w:rsidR="005F6484" w:rsidRPr="005F6484">
        <w:t>Synacthen</w:t>
      </w:r>
      <w:proofErr w:type="spellEnd"/>
      <w:r w:rsidR="005F6484" w:rsidRPr="005F6484">
        <w:t xml:space="preserve"> </w:t>
      </w:r>
      <w:r w:rsidR="005F6484">
        <w:t>test during the final visit at W</w:t>
      </w:r>
      <w:r w:rsidR="005F6484" w:rsidRPr="005F6484">
        <w:t>eek 8, normal response in hypothalamus pituitary</w:t>
      </w:r>
      <w:r w:rsidR="005F6484">
        <w:t xml:space="preserve"> </w:t>
      </w:r>
      <w:r w:rsidR="005F6484" w:rsidRPr="005F6484">
        <w:t xml:space="preserve">adrenal (HPA) </w:t>
      </w:r>
      <w:r>
        <w:t xml:space="preserve">axis function was detected in 9 out of </w:t>
      </w:r>
      <w:r w:rsidR="005F6484" w:rsidRPr="005F6484">
        <w:t>15 (60%) p</w:t>
      </w:r>
      <w:r w:rsidR="00271024">
        <w:t xml:space="preserve">atients treated with budesonide </w:t>
      </w:r>
      <w:r w:rsidR="005F6484" w:rsidRPr="005F6484">
        <w:t xml:space="preserve">MMX 9 mg for </w:t>
      </w:r>
      <w:r>
        <w:t xml:space="preserve">the last 4 weeks, but only in 6 out of </w:t>
      </w:r>
      <w:r w:rsidR="005F6484" w:rsidRPr="005F6484">
        <w:t>14 (43%) p</w:t>
      </w:r>
      <w:r w:rsidR="00271024">
        <w:t xml:space="preserve">atients treated with budesonide </w:t>
      </w:r>
      <w:r w:rsidR="005F6484" w:rsidRPr="005F6484">
        <w:t>MMX 9 mg for 8 weeks, indicating suppression of the HPA axis following treatment with the product.</w:t>
      </w:r>
    </w:p>
    <w:p w14:paraId="2A64562B" w14:textId="77777777" w:rsidR="005F6484" w:rsidRDefault="005F6484" w:rsidP="005F6484">
      <w:r w:rsidRPr="005F6484">
        <w:t xml:space="preserve">Data for study </w:t>
      </w:r>
      <w:r w:rsidRPr="0000594F">
        <w:t>CB-01-</w:t>
      </w:r>
      <w:r w:rsidRPr="00E0305A">
        <w:t>02/05 are summarised in</w:t>
      </w:r>
      <w:r w:rsidR="0000594F" w:rsidRPr="00E0305A">
        <w:t xml:space="preserve"> Table </w:t>
      </w:r>
      <w:r w:rsidR="00E0305A" w:rsidRPr="00E0305A">
        <w:t>5</w:t>
      </w:r>
      <w:r w:rsidRPr="00E0305A">
        <w:t xml:space="preserve">. </w:t>
      </w:r>
      <w:r w:rsidR="00E0305A" w:rsidRPr="00E0305A">
        <w:t>D</w:t>
      </w:r>
      <w:r w:rsidRPr="00E0305A">
        <w:t xml:space="preserve">ecreases </w:t>
      </w:r>
      <w:r w:rsidRPr="005F6484">
        <w:t xml:space="preserve">in mean morning plasma cortisol levels were apparent in the </w:t>
      </w:r>
      <w:r w:rsidR="00271024">
        <w:t xml:space="preserve">budesonide </w:t>
      </w:r>
      <w:r w:rsidRPr="005F6484">
        <w:t xml:space="preserve">MMX 9 mg group, seemingly more marked following 8 weeks of treatment (by -154.2 </w:t>
      </w:r>
      <w:proofErr w:type="spellStart"/>
      <w:r w:rsidRPr="005F6484">
        <w:t>nmol</w:t>
      </w:r>
      <w:proofErr w:type="spellEnd"/>
      <w:r w:rsidRPr="005F6484">
        <w:t xml:space="preserve">/L at Visit 2) than following 4 weeks of treatment (by -133.5 </w:t>
      </w:r>
      <w:proofErr w:type="spellStart"/>
      <w:r w:rsidRPr="005F6484">
        <w:t>nmol</w:t>
      </w:r>
      <w:proofErr w:type="spellEnd"/>
      <w:r w:rsidRPr="005F6484">
        <w:t xml:space="preserve">/L at Visit 1). Two patients </w:t>
      </w:r>
      <w:r w:rsidR="002575E7" w:rsidRPr="002575E7">
        <w:t>[information redacted]</w:t>
      </w:r>
      <w:r w:rsidR="00271024">
        <w:t xml:space="preserve"> treated with budesonide </w:t>
      </w:r>
      <w:r w:rsidRPr="005F6484">
        <w:t xml:space="preserve">MMX 9 mg were reported with </w:t>
      </w:r>
      <w:r w:rsidR="002575E7">
        <w:t>‘clinically relevant abnormal’</w:t>
      </w:r>
      <w:r w:rsidR="00E0305A">
        <w:t xml:space="preserve"> values at V</w:t>
      </w:r>
      <w:r w:rsidRPr="005F6484">
        <w:t xml:space="preserve">isit 1, with morning plasma cortisol in subject </w:t>
      </w:r>
      <w:r w:rsidR="002575E7">
        <w:t>[information redacted]</w:t>
      </w:r>
      <w:r w:rsidRPr="005F6484">
        <w:t xml:space="preserve"> falling from 875.9 </w:t>
      </w:r>
      <w:proofErr w:type="spellStart"/>
      <w:r w:rsidRPr="005F6484">
        <w:t>nmol</w:t>
      </w:r>
      <w:proofErr w:type="spellEnd"/>
      <w:r w:rsidRPr="005F6484">
        <w:t>/L a</w:t>
      </w:r>
      <w:r w:rsidR="00E0305A">
        <w:t>t screening to 23.06 </w:t>
      </w:r>
      <w:proofErr w:type="spellStart"/>
      <w:r w:rsidR="00E0305A">
        <w:t>nmol</w:t>
      </w:r>
      <w:proofErr w:type="spellEnd"/>
      <w:r w:rsidR="00E0305A">
        <w:t>/L at V</w:t>
      </w:r>
      <w:r w:rsidRPr="005F6484">
        <w:t xml:space="preserve">isit 1 (a decrease of 97.4%), and that in subject </w:t>
      </w:r>
      <w:r w:rsidR="002575E7" w:rsidRPr="002575E7">
        <w:t>[information redacted]</w:t>
      </w:r>
      <w:r w:rsidRPr="005F6484">
        <w:t xml:space="preserve"> from 614.0 </w:t>
      </w:r>
      <w:proofErr w:type="spellStart"/>
      <w:r w:rsidRPr="005F6484">
        <w:t>nmol</w:t>
      </w:r>
      <w:proofErr w:type="spellEnd"/>
      <w:r w:rsidRPr="005F6484">
        <w:t xml:space="preserve">/L at screening to 6.98 </w:t>
      </w:r>
      <w:proofErr w:type="spellStart"/>
      <w:r w:rsidRPr="005F6484">
        <w:t>nmol</w:t>
      </w:r>
      <w:proofErr w:type="spellEnd"/>
      <w:r w:rsidRPr="005F6484">
        <w:t>/L at visit 1 (a decrease of 98.9%). It was concluded by the investigator</w:t>
      </w:r>
      <w:r w:rsidR="00271024">
        <w:t xml:space="preserve"> that treatment with budesonide </w:t>
      </w:r>
      <w:r w:rsidRPr="005F6484">
        <w:t>MMX at</w:t>
      </w:r>
      <w:r w:rsidR="00271024">
        <w:t xml:space="preserve"> 9 mg, but not at 3 </w:t>
      </w:r>
      <w:r>
        <w:t>mg, was associate</w:t>
      </w:r>
      <w:r w:rsidR="00E0305A">
        <w:t>d</w:t>
      </w:r>
      <w:r>
        <w:t xml:space="preserve"> with a moderate inhibition of cortisol production.</w:t>
      </w:r>
    </w:p>
    <w:p w14:paraId="664A7D18" w14:textId="04B4CD4E" w:rsidR="0000594F" w:rsidRDefault="0000594F" w:rsidP="007B7D12">
      <w:pPr>
        <w:pStyle w:val="TableTitle"/>
        <w:pageBreakBefore/>
      </w:pPr>
      <w:bookmarkStart w:id="127" w:name="_Ref404335357"/>
      <w:bookmarkStart w:id="128" w:name="_Toc404856336"/>
      <w:proofErr w:type="gramStart"/>
      <w:r w:rsidRPr="0000594F">
        <w:lastRenderedPageBreak/>
        <w:t>Table</w:t>
      </w:r>
      <w:bookmarkEnd w:id="127"/>
      <w:r w:rsidR="00E0305A">
        <w:t xml:space="preserve"> 5</w:t>
      </w:r>
      <w:r w:rsidRPr="0000594F">
        <w:t>: Morning plasma cortisol (</w:t>
      </w:r>
      <w:proofErr w:type="spellStart"/>
      <w:r w:rsidRPr="0000594F">
        <w:t>nmol</w:t>
      </w:r>
      <w:proofErr w:type="spellEnd"/>
      <w:r w:rsidRPr="0000594F">
        <w:t>/L) at baseline screening and changes from baseline screening by visit in study CB-01-02/05</w:t>
      </w:r>
      <w:bookmarkEnd w:id="128"/>
      <w:r w:rsidR="00E0305A">
        <w:t>.</w:t>
      </w:r>
      <w:proofErr w:type="gramEnd"/>
    </w:p>
    <w:tbl>
      <w:tblPr>
        <w:tblStyle w:val="TableTGAblue"/>
        <w:tblW w:w="8582" w:type="dxa"/>
        <w:tblLayout w:type="fixed"/>
        <w:tblLook w:val="04A0" w:firstRow="1" w:lastRow="0" w:firstColumn="1" w:lastColumn="0" w:noHBand="0" w:noVBand="1"/>
      </w:tblPr>
      <w:tblGrid>
        <w:gridCol w:w="1878"/>
        <w:gridCol w:w="1228"/>
        <w:gridCol w:w="1910"/>
        <w:gridCol w:w="1910"/>
        <w:gridCol w:w="1656"/>
      </w:tblGrid>
      <w:tr w:rsidR="00E0305A" w:rsidRPr="00A77062" w14:paraId="079D9F8F" w14:textId="77777777" w:rsidTr="003408E2">
        <w:trPr>
          <w:cnfStyle w:val="100000000000" w:firstRow="1" w:lastRow="0" w:firstColumn="0" w:lastColumn="0" w:oddVBand="0" w:evenVBand="0" w:oddHBand="0" w:evenHBand="0" w:firstRowFirstColumn="0" w:firstRowLastColumn="0" w:lastRowFirstColumn="0" w:lastRowLastColumn="0"/>
          <w:trHeight w:val="258"/>
        </w:trPr>
        <w:tc>
          <w:tcPr>
            <w:tcW w:w="3106" w:type="dxa"/>
            <w:gridSpan w:val="2"/>
          </w:tcPr>
          <w:p w14:paraId="52ADFAE1" w14:textId="77777777" w:rsidR="0000594F" w:rsidRPr="004A7AD4" w:rsidRDefault="0000594F" w:rsidP="004A7AD4">
            <w:pPr>
              <w:rPr>
                <w:rFonts w:asciiTheme="minorHAnsi" w:hAnsiTheme="minorHAnsi"/>
                <w:sz w:val="18"/>
                <w:szCs w:val="18"/>
              </w:rPr>
            </w:pPr>
          </w:p>
        </w:tc>
        <w:tc>
          <w:tcPr>
            <w:tcW w:w="1910" w:type="dxa"/>
          </w:tcPr>
          <w:p w14:paraId="777E588F"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budesonide-MMX 3 mg</w:t>
            </w:r>
          </w:p>
        </w:tc>
        <w:tc>
          <w:tcPr>
            <w:tcW w:w="1910" w:type="dxa"/>
          </w:tcPr>
          <w:p w14:paraId="45186973"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budesonide-MMX 9 mg</w:t>
            </w:r>
          </w:p>
        </w:tc>
        <w:tc>
          <w:tcPr>
            <w:tcW w:w="1656" w:type="dxa"/>
          </w:tcPr>
          <w:p w14:paraId="54923239"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Placebo</w:t>
            </w:r>
          </w:p>
        </w:tc>
      </w:tr>
      <w:tr w:rsidR="003408E2" w:rsidRPr="00A77062" w14:paraId="339C8F47" w14:textId="77777777" w:rsidTr="003408E2">
        <w:trPr>
          <w:trHeight w:val="258"/>
        </w:trPr>
        <w:tc>
          <w:tcPr>
            <w:tcW w:w="1878" w:type="dxa"/>
            <w:vMerge w:val="restart"/>
            <w:vAlign w:val="center"/>
          </w:tcPr>
          <w:p w14:paraId="44FEE52D"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Screening visit</w:t>
            </w:r>
          </w:p>
        </w:tc>
        <w:tc>
          <w:tcPr>
            <w:tcW w:w="1228" w:type="dxa"/>
          </w:tcPr>
          <w:p w14:paraId="01AAB9FB"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N</w:t>
            </w:r>
          </w:p>
        </w:tc>
        <w:tc>
          <w:tcPr>
            <w:tcW w:w="1910" w:type="dxa"/>
          </w:tcPr>
          <w:p w14:paraId="0DAD825E"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17</w:t>
            </w:r>
          </w:p>
        </w:tc>
        <w:tc>
          <w:tcPr>
            <w:tcW w:w="1910" w:type="dxa"/>
          </w:tcPr>
          <w:p w14:paraId="546EFBC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15</w:t>
            </w:r>
          </w:p>
        </w:tc>
        <w:tc>
          <w:tcPr>
            <w:tcW w:w="1656" w:type="dxa"/>
          </w:tcPr>
          <w:p w14:paraId="40BD2761"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17</w:t>
            </w:r>
          </w:p>
        </w:tc>
      </w:tr>
      <w:tr w:rsidR="003408E2" w:rsidRPr="00A77062" w14:paraId="5B3D2AAB" w14:textId="77777777" w:rsidTr="003408E2">
        <w:trPr>
          <w:trHeight w:val="258"/>
        </w:trPr>
        <w:tc>
          <w:tcPr>
            <w:tcW w:w="1878" w:type="dxa"/>
            <w:vMerge/>
          </w:tcPr>
          <w:p w14:paraId="183164DF" w14:textId="77777777" w:rsidR="0000594F" w:rsidRPr="004A7AD4" w:rsidRDefault="0000594F" w:rsidP="004A7AD4">
            <w:pPr>
              <w:rPr>
                <w:rFonts w:asciiTheme="minorHAnsi" w:hAnsiTheme="minorHAnsi"/>
                <w:sz w:val="18"/>
                <w:szCs w:val="18"/>
              </w:rPr>
            </w:pPr>
          </w:p>
        </w:tc>
        <w:tc>
          <w:tcPr>
            <w:tcW w:w="1228" w:type="dxa"/>
          </w:tcPr>
          <w:p w14:paraId="39F77CD4"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Mean</w:t>
            </w:r>
          </w:p>
        </w:tc>
        <w:tc>
          <w:tcPr>
            <w:tcW w:w="1910" w:type="dxa"/>
          </w:tcPr>
          <w:p w14:paraId="667CA53C"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458.77</w:t>
            </w:r>
          </w:p>
        </w:tc>
        <w:tc>
          <w:tcPr>
            <w:tcW w:w="1910" w:type="dxa"/>
          </w:tcPr>
          <w:p w14:paraId="56DBCEEE"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507.82</w:t>
            </w:r>
          </w:p>
        </w:tc>
        <w:tc>
          <w:tcPr>
            <w:tcW w:w="1656" w:type="dxa"/>
          </w:tcPr>
          <w:p w14:paraId="499E5C06"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424.30</w:t>
            </w:r>
          </w:p>
        </w:tc>
      </w:tr>
      <w:tr w:rsidR="003408E2" w:rsidRPr="00A77062" w14:paraId="7BB3E1F3" w14:textId="77777777" w:rsidTr="003408E2">
        <w:trPr>
          <w:trHeight w:val="258"/>
        </w:trPr>
        <w:tc>
          <w:tcPr>
            <w:tcW w:w="1878" w:type="dxa"/>
            <w:vMerge/>
          </w:tcPr>
          <w:p w14:paraId="549ACFD1" w14:textId="77777777" w:rsidR="0000594F" w:rsidRPr="004A7AD4" w:rsidRDefault="0000594F" w:rsidP="004A7AD4">
            <w:pPr>
              <w:rPr>
                <w:rFonts w:asciiTheme="minorHAnsi" w:hAnsiTheme="minorHAnsi"/>
                <w:sz w:val="18"/>
                <w:szCs w:val="18"/>
              </w:rPr>
            </w:pPr>
          </w:p>
        </w:tc>
        <w:tc>
          <w:tcPr>
            <w:tcW w:w="1228" w:type="dxa"/>
          </w:tcPr>
          <w:p w14:paraId="52235BC4"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SD</w:t>
            </w:r>
          </w:p>
        </w:tc>
        <w:tc>
          <w:tcPr>
            <w:tcW w:w="1910" w:type="dxa"/>
          </w:tcPr>
          <w:p w14:paraId="31845C0D"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219.43</w:t>
            </w:r>
          </w:p>
        </w:tc>
        <w:tc>
          <w:tcPr>
            <w:tcW w:w="1910" w:type="dxa"/>
          </w:tcPr>
          <w:p w14:paraId="3DCC1D23"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155.89</w:t>
            </w:r>
          </w:p>
        </w:tc>
        <w:tc>
          <w:tcPr>
            <w:tcW w:w="1656" w:type="dxa"/>
          </w:tcPr>
          <w:p w14:paraId="5A86AD51"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170.93</w:t>
            </w:r>
          </w:p>
        </w:tc>
      </w:tr>
      <w:tr w:rsidR="003408E2" w:rsidRPr="00A77062" w14:paraId="6DB4FBB8" w14:textId="77777777" w:rsidTr="003408E2">
        <w:trPr>
          <w:trHeight w:val="258"/>
        </w:trPr>
        <w:tc>
          <w:tcPr>
            <w:tcW w:w="1878" w:type="dxa"/>
            <w:vMerge/>
          </w:tcPr>
          <w:p w14:paraId="3EF02C33" w14:textId="77777777" w:rsidR="0000594F" w:rsidRPr="004A7AD4" w:rsidRDefault="0000594F" w:rsidP="004A7AD4">
            <w:pPr>
              <w:rPr>
                <w:rFonts w:asciiTheme="minorHAnsi" w:hAnsiTheme="minorHAnsi"/>
                <w:sz w:val="18"/>
                <w:szCs w:val="18"/>
              </w:rPr>
            </w:pPr>
          </w:p>
        </w:tc>
        <w:tc>
          <w:tcPr>
            <w:tcW w:w="1228" w:type="dxa"/>
          </w:tcPr>
          <w:p w14:paraId="1EDC835C"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Median</w:t>
            </w:r>
          </w:p>
        </w:tc>
        <w:tc>
          <w:tcPr>
            <w:tcW w:w="1910" w:type="dxa"/>
          </w:tcPr>
          <w:p w14:paraId="0CA82A4E"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377.50</w:t>
            </w:r>
          </w:p>
        </w:tc>
        <w:tc>
          <w:tcPr>
            <w:tcW w:w="1910" w:type="dxa"/>
          </w:tcPr>
          <w:p w14:paraId="2A6BA98F"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445.10</w:t>
            </w:r>
          </w:p>
        </w:tc>
        <w:tc>
          <w:tcPr>
            <w:tcW w:w="1656" w:type="dxa"/>
          </w:tcPr>
          <w:p w14:paraId="7F54A7C4"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387.00</w:t>
            </w:r>
          </w:p>
        </w:tc>
      </w:tr>
      <w:tr w:rsidR="003408E2" w:rsidRPr="00A77062" w14:paraId="32AE5C30" w14:textId="77777777" w:rsidTr="003408E2">
        <w:trPr>
          <w:trHeight w:val="258"/>
        </w:trPr>
        <w:tc>
          <w:tcPr>
            <w:tcW w:w="1878" w:type="dxa"/>
            <w:vMerge/>
          </w:tcPr>
          <w:p w14:paraId="5329A2E0" w14:textId="77777777" w:rsidR="0000594F" w:rsidRPr="004A7AD4" w:rsidRDefault="0000594F" w:rsidP="004A7AD4">
            <w:pPr>
              <w:rPr>
                <w:rFonts w:asciiTheme="minorHAnsi" w:hAnsiTheme="minorHAnsi"/>
                <w:sz w:val="18"/>
                <w:szCs w:val="18"/>
              </w:rPr>
            </w:pPr>
          </w:p>
        </w:tc>
        <w:tc>
          <w:tcPr>
            <w:tcW w:w="1228" w:type="dxa"/>
          </w:tcPr>
          <w:p w14:paraId="7F5A4DE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Min, Max</w:t>
            </w:r>
          </w:p>
        </w:tc>
        <w:tc>
          <w:tcPr>
            <w:tcW w:w="1910" w:type="dxa"/>
          </w:tcPr>
          <w:p w14:paraId="466B91A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221.18, 1088.0</w:t>
            </w:r>
          </w:p>
        </w:tc>
        <w:tc>
          <w:tcPr>
            <w:tcW w:w="1910" w:type="dxa"/>
          </w:tcPr>
          <w:p w14:paraId="27BF7B8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255.95, 875.90</w:t>
            </w:r>
          </w:p>
        </w:tc>
        <w:tc>
          <w:tcPr>
            <w:tcW w:w="1656" w:type="dxa"/>
          </w:tcPr>
          <w:p w14:paraId="77F2A4EF"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198.00, 919.70</w:t>
            </w:r>
          </w:p>
        </w:tc>
      </w:tr>
      <w:tr w:rsidR="003408E2" w:rsidRPr="00A77062" w14:paraId="6E6946AF" w14:textId="77777777" w:rsidTr="003408E2">
        <w:trPr>
          <w:trHeight w:val="258"/>
        </w:trPr>
        <w:tc>
          <w:tcPr>
            <w:tcW w:w="1878" w:type="dxa"/>
            <w:vMerge w:val="restart"/>
            <w:vAlign w:val="center"/>
          </w:tcPr>
          <w:p w14:paraId="66135E8C"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Change from Screening at Visit 0 (day 0)</w:t>
            </w:r>
          </w:p>
        </w:tc>
        <w:tc>
          <w:tcPr>
            <w:tcW w:w="1228" w:type="dxa"/>
          </w:tcPr>
          <w:p w14:paraId="101F1B25"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N</w:t>
            </w:r>
          </w:p>
        </w:tc>
        <w:tc>
          <w:tcPr>
            <w:tcW w:w="1910" w:type="dxa"/>
          </w:tcPr>
          <w:p w14:paraId="14611EB4"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17</w:t>
            </w:r>
          </w:p>
        </w:tc>
        <w:tc>
          <w:tcPr>
            <w:tcW w:w="1910" w:type="dxa"/>
          </w:tcPr>
          <w:p w14:paraId="6CE3A51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15</w:t>
            </w:r>
          </w:p>
        </w:tc>
        <w:tc>
          <w:tcPr>
            <w:tcW w:w="1656" w:type="dxa"/>
          </w:tcPr>
          <w:p w14:paraId="7440A0E4"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17</w:t>
            </w:r>
          </w:p>
        </w:tc>
      </w:tr>
      <w:tr w:rsidR="003408E2" w:rsidRPr="00A77062" w14:paraId="488D6D58" w14:textId="77777777" w:rsidTr="003408E2">
        <w:trPr>
          <w:trHeight w:val="258"/>
        </w:trPr>
        <w:tc>
          <w:tcPr>
            <w:tcW w:w="1878" w:type="dxa"/>
            <w:vMerge/>
          </w:tcPr>
          <w:p w14:paraId="57C98B27" w14:textId="77777777" w:rsidR="0000594F" w:rsidRPr="004A7AD4" w:rsidRDefault="0000594F" w:rsidP="004A7AD4">
            <w:pPr>
              <w:rPr>
                <w:rFonts w:asciiTheme="minorHAnsi" w:hAnsiTheme="minorHAnsi"/>
                <w:sz w:val="18"/>
                <w:szCs w:val="18"/>
              </w:rPr>
            </w:pPr>
          </w:p>
        </w:tc>
        <w:tc>
          <w:tcPr>
            <w:tcW w:w="1228" w:type="dxa"/>
          </w:tcPr>
          <w:p w14:paraId="69EC4071"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Mean</w:t>
            </w:r>
          </w:p>
        </w:tc>
        <w:tc>
          <w:tcPr>
            <w:tcW w:w="1910" w:type="dxa"/>
          </w:tcPr>
          <w:p w14:paraId="277110C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-31.94</w:t>
            </w:r>
          </w:p>
        </w:tc>
        <w:tc>
          <w:tcPr>
            <w:tcW w:w="1910" w:type="dxa"/>
          </w:tcPr>
          <w:p w14:paraId="379CB6EC"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-19.99</w:t>
            </w:r>
          </w:p>
        </w:tc>
        <w:tc>
          <w:tcPr>
            <w:tcW w:w="1656" w:type="dxa"/>
          </w:tcPr>
          <w:p w14:paraId="12224A6A"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-79.09</w:t>
            </w:r>
          </w:p>
        </w:tc>
      </w:tr>
      <w:tr w:rsidR="003408E2" w:rsidRPr="00A77062" w14:paraId="16D63A21" w14:textId="77777777" w:rsidTr="003408E2">
        <w:trPr>
          <w:trHeight w:val="258"/>
        </w:trPr>
        <w:tc>
          <w:tcPr>
            <w:tcW w:w="1878" w:type="dxa"/>
            <w:vMerge/>
          </w:tcPr>
          <w:p w14:paraId="74A8A295" w14:textId="77777777" w:rsidR="0000594F" w:rsidRPr="004A7AD4" w:rsidRDefault="0000594F" w:rsidP="004A7AD4">
            <w:pPr>
              <w:rPr>
                <w:rFonts w:asciiTheme="minorHAnsi" w:hAnsiTheme="minorHAnsi"/>
                <w:sz w:val="18"/>
                <w:szCs w:val="18"/>
              </w:rPr>
            </w:pPr>
          </w:p>
        </w:tc>
        <w:tc>
          <w:tcPr>
            <w:tcW w:w="1228" w:type="dxa"/>
          </w:tcPr>
          <w:p w14:paraId="04721143"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SD</w:t>
            </w:r>
          </w:p>
        </w:tc>
        <w:tc>
          <w:tcPr>
            <w:tcW w:w="1910" w:type="dxa"/>
          </w:tcPr>
          <w:p w14:paraId="270CF6CE"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188.74</w:t>
            </w:r>
          </w:p>
        </w:tc>
        <w:tc>
          <w:tcPr>
            <w:tcW w:w="1910" w:type="dxa"/>
          </w:tcPr>
          <w:p w14:paraId="376510E8"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188.72</w:t>
            </w:r>
          </w:p>
        </w:tc>
        <w:tc>
          <w:tcPr>
            <w:tcW w:w="1656" w:type="dxa"/>
          </w:tcPr>
          <w:p w14:paraId="3B46667A"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168.98</w:t>
            </w:r>
          </w:p>
        </w:tc>
      </w:tr>
      <w:tr w:rsidR="003408E2" w:rsidRPr="00A77062" w14:paraId="7F3D2A8D" w14:textId="77777777" w:rsidTr="003408E2">
        <w:trPr>
          <w:trHeight w:val="258"/>
        </w:trPr>
        <w:tc>
          <w:tcPr>
            <w:tcW w:w="1878" w:type="dxa"/>
            <w:vMerge/>
          </w:tcPr>
          <w:p w14:paraId="3380B55E" w14:textId="77777777" w:rsidR="0000594F" w:rsidRPr="004A7AD4" w:rsidRDefault="0000594F" w:rsidP="004A7AD4">
            <w:pPr>
              <w:rPr>
                <w:rFonts w:asciiTheme="minorHAnsi" w:hAnsiTheme="minorHAnsi"/>
                <w:sz w:val="18"/>
                <w:szCs w:val="18"/>
              </w:rPr>
            </w:pPr>
          </w:p>
        </w:tc>
        <w:tc>
          <w:tcPr>
            <w:tcW w:w="1228" w:type="dxa"/>
          </w:tcPr>
          <w:p w14:paraId="6BBAA585"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Median</w:t>
            </w:r>
          </w:p>
        </w:tc>
        <w:tc>
          <w:tcPr>
            <w:tcW w:w="1910" w:type="dxa"/>
          </w:tcPr>
          <w:p w14:paraId="726CDF5E"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30.34</w:t>
            </w:r>
          </w:p>
        </w:tc>
        <w:tc>
          <w:tcPr>
            <w:tcW w:w="1910" w:type="dxa"/>
          </w:tcPr>
          <w:p w14:paraId="55C2035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-4.60</w:t>
            </w:r>
          </w:p>
        </w:tc>
        <w:tc>
          <w:tcPr>
            <w:tcW w:w="1656" w:type="dxa"/>
          </w:tcPr>
          <w:p w14:paraId="0F064978"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-54.00</w:t>
            </w:r>
          </w:p>
        </w:tc>
      </w:tr>
      <w:tr w:rsidR="003408E2" w:rsidRPr="00A77062" w14:paraId="0C58158B" w14:textId="77777777" w:rsidTr="003408E2">
        <w:trPr>
          <w:trHeight w:val="258"/>
        </w:trPr>
        <w:tc>
          <w:tcPr>
            <w:tcW w:w="1878" w:type="dxa"/>
            <w:vMerge/>
          </w:tcPr>
          <w:p w14:paraId="689658A2" w14:textId="77777777" w:rsidR="0000594F" w:rsidRPr="004A7AD4" w:rsidRDefault="0000594F" w:rsidP="004A7AD4">
            <w:pPr>
              <w:rPr>
                <w:rFonts w:asciiTheme="minorHAnsi" w:hAnsiTheme="minorHAnsi"/>
                <w:sz w:val="18"/>
                <w:szCs w:val="18"/>
              </w:rPr>
            </w:pPr>
          </w:p>
        </w:tc>
        <w:tc>
          <w:tcPr>
            <w:tcW w:w="1228" w:type="dxa"/>
          </w:tcPr>
          <w:p w14:paraId="6AD330F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Min, Max</w:t>
            </w:r>
          </w:p>
        </w:tc>
        <w:tc>
          <w:tcPr>
            <w:tcW w:w="1910" w:type="dxa"/>
          </w:tcPr>
          <w:p w14:paraId="430A661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-707.5, 108.30</w:t>
            </w:r>
          </w:p>
        </w:tc>
        <w:tc>
          <w:tcPr>
            <w:tcW w:w="1910" w:type="dxa"/>
          </w:tcPr>
          <w:p w14:paraId="00FAA193"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-467.0, 332.10</w:t>
            </w:r>
          </w:p>
        </w:tc>
        <w:tc>
          <w:tcPr>
            <w:tcW w:w="1656" w:type="dxa"/>
          </w:tcPr>
          <w:p w14:paraId="2A15407F"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-588.9, 170.90</w:t>
            </w:r>
          </w:p>
        </w:tc>
      </w:tr>
      <w:tr w:rsidR="003408E2" w:rsidRPr="00A77062" w14:paraId="3DA4C937" w14:textId="77777777" w:rsidTr="003408E2">
        <w:trPr>
          <w:trHeight w:val="258"/>
        </w:trPr>
        <w:tc>
          <w:tcPr>
            <w:tcW w:w="1878" w:type="dxa"/>
            <w:vMerge w:val="restart"/>
            <w:vAlign w:val="center"/>
          </w:tcPr>
          <w:p w14:paraId="2A3F267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Change from Screening at Visit 1 (day 28±2)</w:t>
            </w:r>
          </w:p>
        </w:tc>
        <w:tc>
          <w:tcPr>
            <w:tcW w:w="1228" w:type="dxa"/>
          </w:tcPr>
          <w:p w14:paraId="53B35E76"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N</w:t>
            </w:r>
          </w:p>
        </w:tc>
        <w:tc>
          <w:tcPr>
            <w:tcW w:w="1910" w:type="dxa"/>
          </w:tcPr>
          <w:p w14:paraId="233BB20B"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17</w:t>
            </w:r>
          </w:p>
        </w:tc>
        <w:tc>
          <w:tcPr>
            <w:tcW w:w="1910" w:type="dxa"/>
          </w:tcPr>
          <w:p w14:paraId="442A11A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13</w:t>
            </w:r>
          </w:p>
        </w:tc>
        <w:tc>
          <w:tcPr>
            <w:tcW w:w="1656" w:type="dxa"/>
          </w:tcPr>
          <w:p w14:paraId="1CF35230"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15</w:t>
            </w:r>
          </w:p>
        </w:tc>
      </w:tr>
      <w:tr w:rsidR="003408E2" w:rsidRPr="00A77062" w14:paraId="180BB350" w14:textId="77777777" w:rsidTr="003408E2">
        <w:trPr>
          <w:trHeight w:val="258"/>
        </w:trPr>
        <w:tc>
          <w:tcPr>
            <w:tcW w:w="1878" w:type="dxa"/>
            <w:vMerge/>
          </w:tcPr>
          <w:p w14:paraId="75C80B49" w14:textId="77777777" w:rsidR="0000594F" w:rsidRPr="004A7AD4" w:rsidRDefault="0000594F" w:rsidP="004A7AD4">
            <w:pPr>
              <w:rPr>
                <w:rFonts w:asciiTheme="minorHAnsi" w:hAnsiTheme="minorHAnsi"/>
                <w:sz w:val="18"/>
                <w:szCs w:val="18"/>
              </w:rPr>
            </w:pPr>
          </w:p>
        </w:tc>
        <w:tc>
          <w:tcPr>
            <w:tcW w:w="1228" w:type="dxa"/>
          </w:tcPr>
          <w:p w14:paraId="1665D43A"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Mean</w:t>
            </w:r>
          </w:p>
        </w:tc>
        <w:tc>
          <w:tcPr>
            <w:tcW w:w="1910" w:type="dxa"/>
          </w:tcPr>
          <w:p w14:paraId="5B8B6D5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-83.86</w:t>
            </w:r>
          </w:p>
        </w:tc>
        <w:tc>
          <w:tcPr>
            <w:tcW w:w="1910" w:type="dxa"/>
          </w:tcPr>
          <w:p w14:paraId="0EEE8C4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-133.5</w:t>
            </w:r>
          </w:p>
        </w:tc>
        <w:tc>
          <w:tcPr>
            <w:tcW w:w="1656" w:type="dxa"/>
          </w:tcPr>
          <w:p w14:paraId="708777CC"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-78.10</w:t>
            </w:r>
          </w:p>
        </w:tc>
      </w:tr>
      <w:tr w:rsidR="003408E2" w:rsidRPr="00A77062" w14:paraId="313A9F76" w14:textId="77777777" w:rsidTr="003408E2">
        <w:trPr>
          <w:trHeight w:val="258"/>
        </w:trPr>
        <w:tc>
          <w:tcPr>
            <w:tcW w:w="1878" w:type="dxa"/>
            <w:vMerge/>
          </w:tcPr>
          <w:p w14:paraId="13EAD49D" w14:textId="77777777" w:rsidR="0000594F" w:rsidRPr="004A7AD4" w:rsidRDefault="0000594F" w:rsidP="004A7AD4">
            <w:pPr>
              <w:rPr>
                <w:rFonts w:asciiTheme="minorHAnsi" w:hAnsiTheme="minorHAnsi"/>
                <w:sz w:val="18"/>
                <w:szCs w:val="18"/>
              </w:rPr>
            </w:pPr>
          </w:p>
        </w:tc>
        <w:tc>
          <w:tcPr>
            <w:tcW w:w="1228" w:type="dxa"/>
          </w:tcPr>
          <w:p w14:paraId="32EB48A1"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SD</w:t>
            </w:r>
          </w:p>
        </w:tc>
        <w:tc>
          <w:tcPr>
            <w:tcW w:w="1910" w:type="dxa"/>
          </w:tcPr>
          <w:p w14:paraId="074E07CE"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232.87</w:t>
            </w:r>
          </w:p>
        </w:tc>
        <w:tc>
          <w:tcPr>
            <w:tcW w:w="1910" w:type="dxa"/>
          </w:tcPr>
          <w:p w14:paraId="578E2FF8"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363.16</w:t>
            </w:r>
          </w:p>
        </w:tc>
        <w:tc>
          <w:tcPr>
            <w:tcW w:w="1656" w:type="dxa"/>
          </w:tcPr>
          <w:p w14:paraId="04D31789"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213.20</w:t>
            </w:r>
          </w:p>
        </w:tc>
      </w:tr>
      <w:tr w:rsidR="003408E2" w:rsidRPr="00A77062" w14:paraId="7A57F722" w14:textId="77777777" w:rsidTr="003408E2">
        <w:trPr>
          <w:trHeight w:val="258"/>
        </w:trPr>
        <w:tc>
          <w:tcPr>
            <w:tcW w:w="1878" w:type="dxa"/>
            <w:vMerge/>
          </w:tcPr>
          <w:p w14:paraId="310450A7" w14:textId="77777777" w:rsidR="0000594F" w:rsidRPr="004A7AD4" w:rsidRDefault="0000594F" w:rsidP="004A7AD4">
            <w:pPr>
              <w:rPr>
                <w:rFonts w:asciiTheme="minorHAnsi" w:hAnsiTheme="minorHAnsi"/>
                <w:sz w:val="18"/>
                <w:szCs w:val="18"/>
              </w:rPr>
            </w:pPr>
          </w:p>
        </w:tc>
        <w:tc>
          <w:tcPr>
            <w:tcW w:w="1228" w:type="dxa"/>
          </w:tcPr>
          <w:p w14:paraId="0D96E7E5"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Median</w:t>
            </w:r>
          </w:p>
        </w:tc>
        <w:tc>
          <w:tcPr>
            <w:tcW w:w="1910" w:type="dxa"/>
          </w:tcPr>
          <w:p w14:paraId="714AEBC5"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-53.60</w:t>
            </w:r>
          </w:p>
        </w:tc>
        <w:tc>
          <w:tcPr>
            <w:tcW w:w="1910" w:type="dxa"/>
          </w:tcPr>
          <w:p w14:paraId="6243CB84"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-97.20</w:t>
            </w:r>
          </w:p>
        </w:tc>
        <w:tc>
          <w:tcPr>
            <w:tcW w:w="1656" w:type="dxa"/>
          </w:tcPr>
          <w:p w14:paraId="5DE376F8"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-68.20</w:t>
            </w:r>
          </w:p>
        </w:tc>
      </w:tr>
      <w:tr w:rsidR="003408E2" w:rsidRPr="00A77062" w14:paraId="71B96B89" w14:textId="77777777" w:rsidTr="003408E2">
        <w:trPr>
          <w:trHeight w:val="258"/>
        </w:trPr>
        <w:tc>
          <w:tcPr>
            <w:tcW w:w="1878" w:type="dxa"/>
            <w:vMerge/>
          </w:tcPr>
          <w:p w14:paraId="1BB0DAE6" w14:textId="77777777" w:rsidR="0000594F" w:rsidRPr="004A7AD4" w:rsidRDefault="0000594F" w:rsidP="004A7AD4">
            <w:pPr>
              <w:rPr>
                <w:rFonts w:asciiTheme="minorHAnsi" w:hAnsiTheme="minorHAnsi"/>
                <w:sz w:val="18"/>
                <w:szCs w:val="18"/>
              </w:rPr>
            </w:pPr>
          </w:p>
        </w:tc>
        <w:tc>
          <w:tcPr>
            <w:tcW w:w="1228" w:type="dxa"/>
          </w:tcPr>
          <w:p w14:paraId="6ACA73A8"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Min, Max</w:t>
            </w:r>
          </w:p>
        </w:tc>
        <w:tc>
          <w:tcPr>
            <w:tcW w:w="1910" w:type="dxa"/>
          </w:tcPr>
          <w:p w14:paraId="73C3E685"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 xml:space="preserve">-730.80, 312.10 </w:t>
            </w:r>
          </w:p>
        </w:tc>
        <w:tc>
          <w:tcPr>
            <w:tcW w:w="1910" w:type="dxa"/>
          </w:tcPr>
          <w:p w14:paraId="3D6F6B23"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-852.80, 594.80</w:t>
            </w:r>
          </w:p>
        </w:tc>
        <w:tc>
          <w:tcPr>
            <w:tcW w:w="1656" w:type="dxa"/>
          </w:tcPr>
          <w:p w14:paraId="766DEA10"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-679.60, 232.90</w:t>
            </w:r>
          </w:p>
        </w:tc>
      </w:tr>
      <w:tr w:rsidR="003408E2" w:rsidRPr="00A77062" w14:paraId="4754CF2C" w14:textId="77777777" w:rsidTr="003408E2">
        <w:trPr>
          <w:trHeight w:val="258"/>
        </w:trPr>
        <w:tc>
          <w:tcPr>
            <w:tcW w:w="1878" w:type="dxa"/>
            <w:vMerge w:val="restart"/>
            <w:vAlign w:val="center"/>
          </w:tcPr>
          <w:p w14:paraId="715F4D3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Change from Screening at Visit 2 (day 56</w:t>
            </w:r>
            <w:r w:rsidR="00E0305A" w:rsidRPr="004A7AD4">
              <w:rPr>
                <w:rFonts w:asciiTheme="minorHAnsi" w:hAnsiTheme="minorHAnsi"/>
                <w:sz w:val="18"/>
                <w:szCs w:val="18"/>
              </w:rPr>
              <w:t> </w:t>
            </w:r>
            <w:r w:rsidRPr="004A7AD4">
              <w:rPr>
                <w:rFonts w:asciiTheme="minorHAnsi" w:hAnsiTheme="minorHAnsi"/>
                <w:sz w:val="18"/>
                <w:szCs w:val="18"/>
              </w:rPr>
              <w:t>±</w:t>
            </w:r>
            <w:r w:rsidR="00E0305A" w:rsidRPr="004A7AD4">
              <w:rPr>
                <w:rFonts w:asciiTheme="minorHAnsi" w:hAnsiTheme="minorHAnsi"/>
                <w:sz w:val="18"/>
                <w:szCs w:val="18"/>
              </w:rPr>
              <w:t> </w:t>
            </w:r>
            <w:r w:rsidRPr="004A7AD4">
              <w:rPr>
                <w:rFonts w:asciiTheme="minorHAnsi" w:hAnsiTheme="minorHAnsi"/>
                <w:sz w:val="18"/>
                <w:szCs w:val="18"/>
              </w:rPr>
              <w:t>2)</w:t>
            </w:r>
          </w:p>
        </w:tc>
        <w:tc>
          <w:tcPr>
            <w:tcW w:w="1228" w:type="dxa"/>
          </w:tcPr>
          <w:p w14:paraId="70215CB0"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N</w:t>
            </w:r>
          </w:p>
        </w:tc>
        <w:tc>
          <w:tcPr>
            <w:tcW w:w="1910" w:type="dxa"/>
          </w:tcPr>
          <w:p w14:paraId="4AEDD0EF"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15</w:t>
            </w:r>
          </w:p>
        </w:tc>
        <w:tc>
          <w:tcPr>
            <w:tcW w:w="1910" w:type="dxa"/>
          </w:tcPr>
          <w:p w14:paraId="20754A8D"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14</w:t>
            </w:r>
          </w:p>
        </w:tc>
        <w:tc>
          <w:tcPr>
            <w:tcW w:w="1656" w:type="dxa"/>
          </w:tcPr>
          <w:p w14:paraId="4EB9C203"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16</w:t>
            </w:r>
          </w:p>
        </w:tc>
      </w:tr>
      <w:tr w:rsidR="003408E2" w:rsidRPr="00A77062" w14:paraId="694F466C" w14:textId="77777777" w:rsidTr="003408E2">
        <w:trPr>
          <w:trHeight w:val="258"/>
        </w:trPr>
        <w:tc>
          <w:tcPr>
            <w:tcW w:w="1878" w:type="dxa"/>
            <w:vMerge/>
          </w:tcPr>
          <w:p w14:paraId="1B9C9BE9" w14:textId="77777777" w:rsidR="0000594F" w:rsidRPr="004A7AD4" w:rsidRDefault="0000594F" w:rsidP="004A7AD4">
            <w:pPr>
              <w:rPr>
                <w:rFonts w:asciiTheme="minorHAnsi" w:hAnsiTheme="minorHAnsi"/>
                <w:sz w:val="18"/>
                <w:szCs w:val="18"/>
              </w:rPr>
            </w:pPr>
          </w:p>
        </w:tc>
        <w:tc>
          <w:tcPr>
            <w:tcW w:w="1228" w:type="dxa"/>
          </w:tcPr>
          <w:p w14:paraId="6215F3B6"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Mean</w:t>
            </w:r>
          </w:p>
        </w:tc>
        <w:tc>
          <w:tcPr>
            <w:tcW w:w="1910" w:type="dxa"/>
          </w:tcPr>
          <w:p w14:paraId="7F33848D"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11.03</w:t>
            </w:r>
          </w:p>
        </w:tc>
        <w:tc>
          <w:tcPr>
            <w:tcW w:w="1910" w:type="dxa"/>
          </w:tcPr>
          <w:p w14:paraId="7671039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-154.2</w:t>
            </w:r>
          </w:p>
        </w:tc>
        <w:tc>
          <w:tcPr>
            <w:tcW w:w="1656" w:type="dxa"/>
          </w:tcPr>
          <w:p w14:paraId="68A3A71F"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-7.19</w:t>
            </w:r>
          </w:p>
        </w:tc>
      </w:tr>
      <w:tr w:rsidR="003408E2" w:rsidRPr="00A77062" w14:paraId="1AE8FF2C" w14:textId="77777777" w:rsidTr="003408E2">
        <w:trPr>
          <w:trHeight w:val="258"/>
        </w:trPr>
        <w:tc>
          <w:tcPr>
            <w:tcW w:w="1878" w:type="dxa"/>
            <w:vMerge/>
          </w:tcPr>
          <w:p w14:paraId="214D883C" w14:textId="77777777" w:rsidR="0000594F" w:rsidRPr="004A7AD4" w:rsidRDefault="0000594F" w:rsidP="004A7AD4">
            <w:pPr>
              <w:rPr>
                <w:rFonts w:asciiTheme="minorHAnsi" w:hAnsiTheme="minorHAnsi"/>
                <w:sz w:val="18"/>
                <w:szCs w:val="18"/>
              </w:rPr>
            </w:pPr>
          </w:p>
        </w:tc>
        <w:tc>
          <w:tcPr>
            <w:tcW w:w="1228" w:type="dxa"/>
          </w:tcPr>
          <w:p w14:paraId="367027F6"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SD</w:t>
            </w:r>
          </w:p>
        </w:tc>
        <w:tc>
          <w:tcPr>
            <w:tcW w:w="1910" w:type="dxa"/>
          </w:tcPr>
          <w:p w14:paraId="07B9CAC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195.47</w:t>
            </w:r>
          </w:p>
        </w:tc>
        <w:tc>
          <w:tcPr>
            <w:tcW w:w="1910" w:type="dxa"/>
          </w:tcPr>
          <w:p w14:paraId="7DA4256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264.47</w:t>
            </w:r>
          </w:p>
        </w:tc>
        <w:tc>
          <w:tcPr>
            <w:tcW w:w="1656" w:type="dxa"/>
          </w:tcPr>
          <w:p w14:paraId="1D3BD1B6"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227.09</w:t>
            </w:r>
          </w:p>
        </w:tc>
      </w:tr>
      <w:tr w:rsidR="003408E2" w:rsidRPr="00A77062" w14:paraId="2AC78FF5" w14:textId="77777777" w:rsidTr="003408E2">
        <w:trPr>
          <w:trHeight w:val="258"/>
        </w:trPr>
        <w:tc>
          <w:tcPr>
            <w:tcW w:w="1878" w:type="dxa"/>
            <w:vMerge/>
          </w:tcPr>
          <w:p w14:paraId="7791FC78" w14:textId="77777777" w:rsidR="0000594F" w:rsidRPr="004A7AD4" w:rsidRDefault="0000594F" w:rsidP="004A7AD4">
            <w:pPr>
              <w:rPr>
                <w:rFonts w:asciiTheme="minorHAnsi" w:hAnsiTheme="minorHAnsi"/>
                <w:sz w:val="18"/>
                <w:szCs w:val="18"/>
              </w:rPr>
            </w:pPr>
          </w:p>
        </w:tc>
        <w:tc>
          <w:tcPr>
            <w:tcW w:w="1228" w:type="dxa"/>
          </w:tcPr>
          <w:p w14:paraId="368F7E5B"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Median</w:t>
            </w:r>
          </w:p>
        </w:tc>
        <w:tc>
          <w:tcPr>
            <w:tcW w:w="1910" w:type="dxa"/>
          </w:tcPr>
          <w:p w14:paraId="39EF3F27"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22.90</w:t>
            </w:r>
          </w:p>
        </w:tc>
        <w:tc>
          <w:tcPr>
            <w:tcW w:w="1910" w:type="dxa"/>
          </w:tcPr>
          <w:p w14:paraId="2A5689B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-113.7</w:t>
            </w:r>
          </w:p>
        </w:tc>
        <w:tc>
          <w:tcPr>
            <w:tcW w:w="1656" w:type="dxa"/>
          </w:tcPr>
          <w:p w14:paraId="54ED32ED"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17.71</w:t>
            </w:r>
          </w:p>
        </w:tc>
      </w:tr>
      <w:tr w:rsidR="003408E2" w:rsidRPr="00A77062" w14:paraId="3765091A" w14:textId="77777777" w:rsidTr="003408E2">
        <w:trPr>
          <w:trHeight w:val="258"/>
        </w:trPr>
        <w:tc>
          <w:tcPr>
            <w:tcW w:w="1878" w:type="dxa"/>
            <w:vMerge/>
          </w:tcPr>
          <w:p w14:paraId="44EA6606" w14:textId="77777777" w:rsidR="0000594F" w:rsidRPr="004A7AD4" w:rsidRDefault="0000594F" w:rsidP="004A7AD4">
            <w:pPr>
              <w:rPr>
                <w:rFonts w:asciiTheme="minorHAnsi" w:hAnsiTheme="minorHAnsi"/>
                <w:sz w:val="18"/>
                <w:szCs w:val="18"/>
              </w:rPr>
            </w:pPr>
          </w:p>
        </w:tc>
        <w:tc>
          <w:tcPr>
            <w:tcW w:w="1228" w:type="dxa"/>
          </w:tcPr>
          <w:p w14:paraId="6F58BA9C"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Min, Max</w:t>
            </w:r>
          </w:p>
        </w:tc>
        <w:tc>
          <w:tcPr>
            <w:tcW w:w="1910" w:type="dxa"/>
          </w:tcPr>
          <w:p w14:paraId="39FBE8FC"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 xml:space="preserve">-368.00, 320.00 </w:t>
            </w:r>
          </w:p>
        </w:tc>
        <w:tc>
          <w:tcPr>
            <w:tcW w:w="1910" w:type="dxa"/>
          </w:tcPr>
          <w:p w14:paraId="1025DE3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-589.00, 186.30</w:t>
            </w:r>
          </w:p>
        </w:tc>
        <w:tc>
          <w:tcPr>
            <w:tcW w:w="1656" w:type="dxa"/>
          </w:tcPr>
          <w:p w14:paraId="17C9E50E"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-604.10, 497.00</w:t>
            </w:r>
          </w:p>
        </w:tc>
      </w:tr>
      <w:tr w:rsidR="0000594F" w:rsidRPr="00A77062" w14:paraId="381EA619" w14:textId="77777777" w:rsidTr="003408E2">
        <w:trPr>
          <w:trHeight w:val="258"/>
        </w:trPr>
        <w:tc>
          <w:tcPr>
            <w:tcW w:w="8582" w:type="dxa"/>
            <w:gridSpan w:val="5"/>
          </w:tcPr>
          <w:p w14:paraId="3A1AFB12" w14:textId="77777777" w:rsidR="0000594F" w:rsidRPr="004A7AD4" w:rsidRDefault="0000594F" w:rsidP="004A7AD4">
            <w:pPr>
              <w:rPr>
                <w:rFonts w:asciiTheme="minorHAnsi" w:hAnsiTheme="minorHAnsi"/>
                <w:sz w:val="18"/>
                <w:szCs w:val="18"/>
              </w:rPr>
            </w:pPr>
            <w:r w:rsidRPr="004A7AD4">
              <w:rPr>
                <w:rFonts w:asciiTheme="minorHAnsi" w:hAnsiTheme="minorHAnsi"/>
                <w:sz w:val="18"/>
                <w:szCs w:val="18"/>
              </w:rPr>
              <w:t>NB: Normal reference range for morning cortisol not specified in the study</w:t>
            </w:r>
          </w:p>
        </w:tc>
      </w:tr>
    </w:tbl>
    <w:p w14:paraId="0AD6EEA4" w14:textId="77777777" w:rsidR="00067049" w:rsidRPr="00067049" w:rsidRDefault="005F6484" w:rsidP="00A021C3">
      <w:r w:rsidRPr="005F6484">
        <w:t>For further details of the safety evaluation please see Attachment 2.</w:t>
      </w:r>
    </w:p>
    <w:p w14:paraId="728DD015" w14:textId="1EC79728" w:rsidR="00605AD4" w:rsidRDefault="00605AD4" w:rsidP="00605AD4">
      <w:pPr>
        <w:pStyle w:val="Heading4"/>
      </w:pPr>
      <w:r w:rsidRPr="00605AD4">
        <w:lastRenderedPageBreak/>
        <w:t>Post</w:t>
      </w:r>
      <w:r w:rsidR="00BD2E7F">
        <w:t xml:space="preserve"> </w:t>
      </w:r>
      <w:r w:rsidRPr="00605AD4">
        <w:t>marketing data</w:t>
      </w:r>
    </w:p>
    <w:p w14:paraId="4574B2E9" w14:textId="77777777" w:rsidR="00067049" w:rsidRPr="00067049" w:rsidRDefault="00067049" w:rsidP="00067049">
      <w:r w:rsidRPr="0068475E">
        <w:t xml:space="preserve">One </w:t>
      </w:r>
      <w:r w:rsidR="0000594F">
        <w:t>periodic safety update report (</w:t>
      </w:r>
      <w:r w:rsidRPr="0068475E">
        <w:t>PSU</w:t>
      </w:r>
      <w:r>
        <w:t>R</w:t>
      </w:r>
      <w:r w:rsidR="0000594F">
        <w:t>)</w:t>
      </w:r>
      <w:r>
        <w:t xml:space="preserve"> for the period of 14 January to</w:t>
      </w:r>
      <w:r w:rsidRPr="0068475E">
        <w:t xml:space="preserve"> 30 April 2013 was submitted. This </w:t>
      </w:r>
      <w:r w:rsidR="00271024">
        <w:t xml:space="preserve">is the first PSUR on budesonide </w:t>
      </w:r>
      <w:r w:rsidRPr="0068475E">
        <w:t xml:space="preserve">MMX since the product was first authorised as </w:t>
      </w:r>
      <w:proofErr w:type="spellStart"/>
      <w:r w:rsidRPr="0068475E">
        <w:t>Uceris</w:t>
      </w:r>
      <w:proofErr w:type="spellEnd"/>
      <w:r w:rsidRPr="0068475E">
        <w:t xml:space="preserve"> in the USA on 14 January 2013</w:t>
      </w:r>
      <w:r>
        <w:t xml:space="preserve"> and</w:t>
      </w:r>
      <w:r w:rsidRPr="0068475E">
        <w:t xml:space="preserve"> as Cortiment in Netherlands on 28 February 2013. This report requires evaluation by the TGA.</w:t>
      </w:r>
    </w:p>
    <w:p w14:paraId="29006319" w14:textId="77777777" w:rsidR="00605AD4" w:rsidRPr="00605AD4" w:rsidRDefault="00605AD4" w:rsidP="00605AD4">
      <w:pPr>
        <w:pStyle w:val="Heading4"/>
      </w:pPr>
      <w:r w:rsidRPr="00605AD4">
        <w:t>Evaluator’s conclusions on safety</w:t>
      </w:r>
    </w:p>
    <w:p w14:paraId="0EE67061" w14:textId="460DE849" w:rsidR="00067049" w:rsidRPr="00067049" w:rsidRDefault="00067049" w:rsidP="00A021C3">
      <w:r w:rsidRPr="00067049">
        <w:t>As an established glucocorticoid, the pharmacological and toxicological profile of budesonide has previously been well characterised and documented. With regard to the clinical safety pro</w:t>
      </w:r>
      <w:r w:rsidR="00271024">
        <w:t xml:space="preserve">file of the proposed budesonide </w:t>
      </w:r>
      <w:r w:rsidRPr="00067049">
        <w:t>MMX 9 mg tablet, relevant data from the pivotal Phase III and non</w:t>
      </w:r>
      <w:r w:rsidR="00A021C3">
        <w:t>-</w:t>
      </w:r>
      <w:r w:rsidRPr="00067049">
        <w:t xml:space="preserve">pivotal Phase II studies showed that the product was safe and generally well tolerated by patients with mild to moderate active UC. The incidences and severity of AEs, </w:t>
      </w:r>
      <w:r w:rsidR="00FC1144">
        <w:t>TE</w:t>
      </w:r>
      <w:r w:rsidRPr="00067049">
        <w:t xml:space="preserve">AEs and SAEs were generally similar across all treatment groups in these studies. No deaths have been reported and the reported SAEs were consistent with the events that would be expected in the targeted patient population with a relapsing and remitting disease. The overall safety profile of the product was generally comparable with that of </w:t>
      </w:r>
      <w:proofErr w:type="spellStart"/>
      <w:r w:rsidRPr="00067049">
        <w:t>Entocort</w:t>
      </w:r>
      <w:proofErr w:type="spellEnd"/>
      <w:r w:rsidRPr="00067049">
        <w:t xml:space="preserve"> which was used as an active comparator in Study CB-01-02/02.</w:t>
      </w:r>
    </w:p>
    <w:p w14:paraId="3971F8DA" w14:textId="77777777" w:rsidR="00067049" w:rsidRPr="00067049" w:rsidRDefault="00067049" w:rsidP="00067049">
      <w:r w:rsidRPr="00067049">
        <w:t>Clinically, one of the main concerns over long term systemic use of a glucocorticoid is the potential for glucocorticoid effects and for suppression of the HPA axis. Indeed, data provided in the clinical</w:t>
      </w:r>
      <w:r w:rsidR="00271024">
        <w:t xml:space="preserve"> studies showed that budesonide </w:t>
      </w:r>
      <w:r w:rsidRPr="00067049">
        <w:t xml:space="preserve">MMX treatment was associated with dose dependent decreases in morning plasma cortisol levels. Results of the short </w:t>
      </w:r>
      <w:proofErr w:type="spellStart"/>
      <w:r w:rsidRPr="00067049">
        <w:t>Synacthen</w:t>
      </w:r>
      <w:proofErr w:type="spellEnd"/>
      <w:r w:rsidRPr="00067049">
        <w:t xml:space="preserve"> test in Study CRO-03-53 also showed evidence of inhibitory effects on the HPA axis foll</w:t>
      </w:r>
      <w:r w:rsidR="00271024">
        <w:t xml:space="preserve">owing treatment with budesonide </w:t>
      </w:r>
      <w:r w:rsidRPr="00067049">
        <w:t>MMX 9 mg. Nevertheless, no unequivocal evidence of glucocorticoid effects was apparent clinically in the submitted studies. Long term systemic use of glucocorticoids is known to potentially cause osteoporosis. No clinical data were provided by the sponsor for the potential adverse effects of budes</w:t>
      </w:r>
      <w:r w:rsidR="00271024">
        <w:t xml:space="preserve">onide </w:t>
      </w:r>
      <w:r w:rsidRPr="00067049">
        <w:t>MMX on bone mineral density. However, given that the product is proposed for use of up to only 8 weeks for induction of remission, the absence of such data is not considered a major deficiency of this application.</w:t>
      </w:r>
    </w:p>
    <w:p w14:paraId="6464A533" w14:textId="77777777" w:rsidR="00605AD4" w:rsidRPr="00605AD4" w:rsidRDefault="00067049" w:rsidP="00605AD4">
      <w:r w:rsidRPr="00067049">
        <w:t xml:space="preserve">Overall, the clinical safety profile of the proposed </w:t>
      </w:r>
      <w:r w:rsidR="00271024">
        <w:t xml:space="preserve">budesonide </w:t>
      </w:r>
      <w:r w:rsidRPr="00067049">
        <w:t>MMX 9 mg tablet is considered to have been adequately characterised and similar to the known profile of oral budesonide. No new safety issue was identified from analysis of the submitted clinical safety data. However, it should be noted that safety assessment of the product was conducted only during the intended 8 week period of clinical use. Thus, the actual clinical safety of the product beyond the intended 8 week regimen remains largely unknown. It would therefore be prudent to consider limiting the clinical use of this product for up to 8 weeks, thereafter all patients should cease the treatment regardless of being responsive to the treatment or not. This consideration is also consistent with the current Therapeutic Guidelines which state that corticosteroids do not prevent relapse of UC and have unacceptable long term adverse effects.</w:t>
      </w:r>
    </w:p>
    <w:p w14:paraId="042285D9" w14:textId="62C893F5" w:rsidR="00605AD4" w:rsidRPr="00605AD4" w:rsidRDefault="00605AD4" w:rsidP="00605AD4">
      <w:pPr>
        <w:pStyle w:val="Heading3"/>
        <w:rPr>
          <w:rFonts w:eastAsia="Cambria"/>
        </w:rPr>
      </w:pPr>
      <w:bookmarkStart w:id="129" w:name="_Toc442962664"/>
      <w:r w:rsidRPr="00605AD4">
        <w:rPr>
          <w:rFonts w:eastAsia="Cambria"/>
        </w:rPr>
        <w:t xml:space="preserve">First </w:t>
      </w:r>
      <w:r w:rsidR="00BD2E7F">
        <w:rPr>
          <w:rFonts w:eastAsia="Cambria"/>
        </w:rPr>
        <w:t>r</w:t>
      </w:r>
      <w:r w:rsidRPr="00605AD4">
        <w:rPr>
          <w:rFonts w:eastAsia="Cambria"/>
        </w:rPr>
        <w:t xml:space="preserve">ound </w:t>
      </w:r>
      <w:r w:rsidR="00BD2E7F">
        <w:rPr>
          <w:rFonts w:eastAsia="Cambria"/>
        </w:rPr>
        <w:t>b</w:t>
      </w:r>
      <w:r w:rsidRPr="00605AD4">
        <w:rPr>
          <w:rFonts w:eastAsia="Cambria"/>
        </w:rPr>
        <w:t>enefit-</w:t>
      </w:r>
      <w:r w:rsidR="00BD2E7F">
        <w:rPr>
          <w:rFonts w:eastAsia="Cambria"/>
        </w:rPr>
        <w:t>r</w:t>
      </w:r>
      <w:r w:rsidRPr="00605AD4">
        <w:rPr>
          <w:rFonts w:eastAsia="Cambria"/>
        </w:rPr>
        <w:t xml:space="preserve">isk </w:t>
      </w:r>
      <w:r w:rsidR="00BD2E7F">
        <w:rPr>
          <w:rFonts w:eastAsia="Cambria"/>
        </w:rPr>
        <w:t>a</w:t>
      </w:r>
      <w:r w:rsidRPr="00605AD4">
        <w:rPr>
          <w:rFonts w:eastAsia="Cambria"/>
        </w:rPr>
        <w:t>ssessment</w:t>
      </w:r>
      <w:bookmarkEnd w:id="129"/>
    </w:p>
    <w:p w14:paraId="3B759406" w14:textId="77777777" w:rsidR="00605AD4" w:rsidRDefault="00605AD4" w:rsidP="00605AD4">
      <w:pPr>
        <w:pStyle w:val="Heading4"/>
      </w:pPr>
      <w:r w:rsidRPr="00605AD4">
        <w:t>First round assessment of benefits</w:t>
      </w:r>
    </w:p>
    <w:p w14:paraId="28BC7AE1" w14:textId="5575C18B" w:rsidR="000976D3" w:rsidRPr="000976D3" w:rsidRDefault="000976D3" w:rsidP="00A021C3">
      <w:r w:rsidRPr="0068475E">
        <w:t>The current standard of treatment for induction of remission in mild to moderate active UC is a 5-aminosalicylate</w:t>
      </w:r>
      <w:r w:rsidR="00824829">
        <w:t xml:space="preserve"> </w:t>
      </w:r>
      <w:r w:rsidRPr="0068475E">
        <w:t xml:space="preserve">oral preparation (sulfasalazine, </w:t>
      </w:r>
      <w:proofErr w:type="spellStart"/>
      <w:r w:rsidRPr="0068475E">
        <w:t>mesalazine</w:t>
      </w:r>
      <w:proofErr w:type="spellEnd"/>
      <w:r w:rsidRPr="0068475E">
        <w:t xml:space="preserve">, </w:t>
      </w:r>
      <w:proofErr w:type="spellStart"/>
      <w:r w:rsidRPr="0068475E">
        <w:t>balsalazide</w:t>
      </w:r>
      <w:proofErr w:type="spellEnd"/>
      <w:r w:rsidRPr="0068475E">
        <w:t xml:space="preserve"> or </w:t>
      </w:r>
      <w:proofErr w:type="spellStart"/>
      <w:r w:rsidRPr="0068475E">
        <w:t>olsalazine</w:t>
      </w:r>
      <w:proofErr w:type="spellEnd"/>
      <w:r w:rsidRPr="0068475E">
        <w:t xml:space="preserve">) with or without a conventional systemic </w:t>
      </w:r>
      <w:proofErr w:type="spellStart"/>
      <w:r w:rsidRPr="0068475E">
        <w:t>glucocorticosteroid</w:t>
      </w:r>
      <w:proofErr w:type="spellEnd"/>
      <w:r w:rsidRPr="0068475E">
        <w:t xml:space="preserve"> (prednisone or prednisolone). Budesonide is an established synthetic</w:t>
      </w:r>
      <w:r w:rsidR="00824829">
        <w:t xml:space="preserve"> </w:t>
      </w:r>
      <w:proofErr w:type="spellStart"/>
      <w:r w:rsidR="00824829">
        <w:t>glucocorticosteroid</w:t>
      </w:r>
      <w:proofErr w:type="spellEnd"/>
      <w:r w:rsidR="00824829">
        <w:t>, with anti</w:t>
      </w:r>
      <w:r w:rsidR="00A021C3">
        <w:t>-</w:t>
      </w:r>
      <w:r w:rsidRPr="0068475E">
        <w:t>inflammatory effects comparable to those of conventional glucocortico</w:t>
      </w:r>
      <w:r>
        <w:t xml:space="preserve">ids. There are three budesonide </w:t>
      </w:r>
      <w:r w:rsidRPr="0068475E">
        <w:t xml:space="preserve">containing products currently registered </w:t>
      </w:r>
      <w:r w:rsidR="003F568D">
        <w:t>in Australia</w:t>
      </w:r>
      <w:r w:rsidRPr="0068475E">
        <w:t xml:space="preserve"> for the treatment o</w:t>
      </w:r>
      <w:r>
        <w:t xml:space="preserve">f IBD, </w:t>
      </w:r>
      <w:r>
        <w:lastRenderedPageBreak/>
        <w:t xml:space="preserve">two of which are delayed </w:t>
      </w:r>
      <w:r w:rsidRPr="0068475E">
        <w:t>release oral formulations (</w:t>
      </w:r>
      <w:proofErr w:type="spellStart"/>
      <w:r w:rsidRPr="0068475E">
        <w:t>Entocort</w:t>
      </w:r>
      <w:proofErr w:type="spellEnd"/>
      <w:r w:rsidRPr="0068475E">
        <w:t xml:space="preserve"> modified release capsules</w:t>
      </w:r>
      <w:r>
        <w:t xml:space="preserve"> and</w:t>
      </w:r>
      <w:r w:rsidRPr="0068475E">
        <w:t xml:space="preserve"> </w:t>
      </w:r>
      <w:proofErr w:type="spellStart"/>
      <w:r>
        <w:t>Budenofalk</w:t>
      </w:r>
      <w:proofErr w:type="spellEnd"/>
      <w:r w:rsidRPr="0068475E">
        <w:t xml:space="preserve"> Enteric capsules) for the induction of remission in mild to moderate Crohn's disease</w:t>
      </w:r>
      <w:r>
        <w:t xml:space="preserve"> and</w:t>
      </w:r>
      <w:r w:rsidRPr="0068475E">
        <w:t xml:space="preserve"> the other is a topical product (</w:t>
      </w:r>
      <w:proofErr w:type="spellStart"/>
      <w:r w:rsidRPr="0068475E">
        <w:t>Budenofal</w:t>
      </w:r>
      <w:r>
        <w:t>k</w:t>
      </w:r>
      <w:proofErr w:type="spellEnd"/>
      <w:r w:rsidRPr="0068475E">
        <w:t xml:space="preserve"> Foam Enema) for use in active rectal and </w:t>
      </w:r>
      <w:proofErr w:type="spellStart"/>
      <w:r w:rsidRPr="0068475E">
        <w:t>rectosigmoid</w:t>
      </w:r>
      <w:proofErr w:type="spellEnd"/>
      <w:r w:rsidRPr="0068475E">
        <w:t xml:space="preserve"> UC. The proposed </w:t>
      </w:r>
      <w:r w:rsidR="00271024">
        <w:t xml:space="preserve">budesonide </w:t>
      </w:r>
      <w:r w:rsidRPr="0068475E">
        <w:t xml:space="preserve">MMX 9 mg tablet (Cortiment) represents a new formulation of orally administered and topically acting budesonide for the induction of remission in mild to moderate active UC. Given that no oral budesonide formulation is currently available for the treatment of UC and the currently registered </w:t>
      </w:r>
      <w:proofErr w:type="spellStart"/>
      <w:r>
        <w:t>Budenofalk</w:t>
      </w:r>
      <w:proofErr w:type="spellEnd"/>
      <w:r w:rsidRPr="0068475E">
        <w:t xml:space="preserve"> Enema is suita</w:t>
      </w:r>
      <w:r>
        <w:t xml:space="preserve">ble only for patients with left </w:t>
      </w:r>
      <w:r w:rsidRPr="0068475E">
        <w:t>sided disease, the proposed Cortiment tablet offers the potential benefit as an alternative option for the proposed indication, especially in patients with proximal involvement of the disease (</w:t>
      </w:r>
      <w:r>
        <w:t xml:space="preserve">for example, </w:t>
      </w:r>
      <w:proofErr w:type="spellStart"/>
      <w:r>
        <w:t>pancolitis</w:t>
      </w:r>
      <w:proofErr w:type="spellEnd"/>
      <w:r>
        <w:t xml:space="preserve">). The intended once </w:t>
      </w:r>
      <w:r w:rsidRPr="0068475E">
        <w:t>daily dosing regimen for the product also offers a convenient method of treatment and hence potentially assists in better compliance.</w:t>
      </w:r>
    </w:p>
    <w:p w14:paraId="61C2D544" w14:textId="77777777" w:rsidR="00605AD4" w:rsidRDefault="00605AD4" w:rsidP="00605AD4">
      <w:pPr>
        <w:pStyle w:val="Heading4"/>
      </w:pPr>
      <w:r w:rsidRPr="00605AD4">
        <w:t>First round assessment of risks</w:t>
      </w:r>
    </w:p>
    <w:p w14:paraId="0A7C6F24" w14:textId="77777777" w:rsidR="000976D3" w:rsidRPr="0068475E" w:rsidRDefault="000976D3" w:rsidP="000976D3">
      <w:r w:rsidRPr="0068475E">
        <w:t xml:space="preserve">The overall safety profile of the proposed Cortiment tablet following the intended clinical use of 8 weeks has been found to be generally comparable with that </w:t>
      </w:r>
      <w:r w:rsidR="003F568D">
        <w:t xml:space="preserve">of </w:t>
      </w:r>
      <w:proofErr w:type="spellStart"/>
      <w:r w:rsidR="003F568D">
        <w:t>Entocort</w:t>
      </w:r>
      <w:proofErr w:type="spellEnd"/>
      <w:r w:rsidR="003F568D">
        <w:t xml:space="preserve">, another controlled </w:t>
      </w:r>
      <w:r w:rsidRPr="0068475E">
        <w:t xml:space="preserve">release oral budesonide formulation currently registered </w:t>
      </w:r>
      <w:r w:rsidR="003F568D">
        <w:t xml:space="preserve">in Australia </w:t>
      </w:r>
      <w:r w:rsidRPr="0068475E">
        <w:t>for the treatment of Crohn's disease. Cross study comparison on the safety profile of the product is generally not considered appropriate due to the fact that the clinical studies were conducted under different conditions.</w:t>
      </w:r>
    </w:p>
    <w:p w14:paraId="62C07EF5" w14:textId="77777777" w:rsidR="000976D3" w:rsidRPr="000976D3" w:rsidRDefault="000976D3" w:rsidP="000976D3">
      <w:r w:rsidRPr="0068475E">
        <w:t>Evidence for suppression of the HPA axis was observed, although no unequivocal evidence for glucocorticoid effects was apparent clinically in the submitted studies. The absence of unequivocal evidence for clinically noticeable glucocorticoid effects is not unexpected given the relatively short duration of the clinical studies. The</w:t>
      </w:r>
      <w:r w:rsidR="003408E2">
        <w:t xml:space="preserve"> safety profile of Cortiment</w:t>
      </w:r>
      <w:r w:rsidRPr="0068475E">
        <w:t xml:space="preserve"> following a longer period of clinical use has not been investigated in the submitted clinical studies. Thus, the actual clinical safety of the product beyond the intend</w:t>
      </w:r>
      <w:r>
        <w:t xml:space="preserve">ed 8 </w:t>
      </w:r>
      <w:r w:rsidRPr="0068475E">
        <w:t>week regimen remains largely unknown. In other words, from a regulatory view point, the potential risks of the product a</w:t>
      </w:r>
      <w:r>
        <w:t xml:space="preserve">ssociated with its possible off </w:t>
      </w:r>
      <w:r w:rsidRPr="0068475E">
        <w:t>label use (</w:t>
      </w:r>
      <w:r>
        <w:t>for example,</w:t>
      </w:r>
      <w:r w:rsidRPr="0068475E">
        <w:t xml:space="preserve"> for prolonged treatment in maintenance of remission) represent a safety concern, especially given that corticosteroids are deemed to have no role in maintenance therapy as they do not prevent relapse o</w:t>
      </w:r>
      <w:r>
        <w:t xml:space="preserve">f UC and have unacceptable long </w:t>
      </w:r>
      <w:r w:rsidRPr="0068475E">
        <w:t>term adverse effects (Therapeutic Guidelines, Gastrointestinal)</w:t>
      </w:r>
      <w:r>
        <w:t>.</w:t>
      </w:r>
    </w:p>
    <w:p w14:paraId="0DD376C4" w14:textId="77777777" w:rsidR="00605AD4" w:rsidRPr="00605AD4" w:rsidRDefault="00605AD4" w:rsidP="00605AD4">
      <w:pPr>
        <w:pStyle w:val="Heading4"/>
      </w:pPr>
      <w:r w:rsidRPr="00605AD4">
        <w:t>First round assessment of benefit-risk balance</w:t>
      </w:r>
    </w:p>
    <w:p w14:paraId="047FF70D" w14:textId="77777777" w:rsidR="00605AD4" w:rsidRPr="00605AD4" w:rsidRDefault="000976D3" w:rsidP="00605AD4">
      <w:r w:rsidRPr="0068475E">
        <w:t>The benefit-risk balance of the proposed Cortiment tablet, given its intended clinical usage, is considered favourable, as it offers a convenient alternative for the proposed clinical indication with an overall safety profile similar to that of other oral budesonide.</w:t>
      </w:r>
    </w:p>
    <w:p w14:paraId="3C3569E4" w14:textId="2AD0C8E7" w:rsidR="00605AD4" w:rsidRPr="00605AD4" w:rsidRDefault="00605AD4" w:rsidP="00605AD4">
      <w:pPr>
        <w:pStyle w:val="Heading3"/>
        <w:rPr>
          <w:rFonts w:eastAsia="Cambria"/>
        </w:rPr>
      </w:pPr>
      <w:bookmarkStart w:id="130" w:name="_Toc442962665"/>
      <w:r w:rsidRPr="00605AD4">
        <w:rPr>
          <w:rFonts w:eastAsia="Cambria"/>
        </w:rPr>
        <w:t xml:space="preserve">First </w:t>
      </w:r>
      <w:r w:rsidR="00BD2E7F">
        <w:rPr>
          <w:rFonts w:eastAsia="Cambria"/>
        </w:rPr>
        <w:t>r</w:t>
      </w:r>
      <w:r w:rsidRPr="00605AD4">
        <w:rPr>
          <w:rFonts w:eastAsia="Cambria"/>
        </w:rPr>
        <w:t xml:space="preserve">ound </w:t>
      </w:r>
      <w:r w:rsidR="00BD2E7F">
        <w:rPr>
          <w:rFonts w:eastAsia="Cambria"/>
        </w:rPr>
        <w:t>r</w:t>
      </w:r>
      <w:r w:rsidRPr="00605AD4">
        <w:rPr>
          <w:rFonts w:eastAsia="Cambria"/>
        </w:rPr>
        <w:t xml:space="preserve">ecommendation </w:t>
      </w:r>
      <w:r w:rsidR="00BD2E7F">
        <w:rPr>
          <w:rFonts w:eastAsia="Cambria"/>
        </w:rPr>
        <w:t>r</w:t>
      </w:r>
      <w:r w:rsidRPr="00605AD4">
        <w:rPr>
          <w:rFonts w:eastAsia="Cambria"/>
        </w:rPr>
        <w:t xml:space="preserve">egarding </w:t>
      </w:r>
      <w:r w:rsidR="00BD2E7F">
        <w:rPr>
          <w:rFonts w:eastAsia="Cambria"/>
        </w:rPr>
        <w:t>a</w:t>
      </w:r>
      <w:r w:rsidRPr="00605AD4">
        <w:rPr>
          <w:rFonts w:eastAsia="Cambria"/>
        </w:rPr>
        <w:t>uthorisation</w:t>
      </w:r>
      <w:bookmarkEnd w:id="130"/>
    </w:p>
    <w:p w14:paraId="682C2432" w14:textId="77777777" w:rsidR="00605AD4" w:rsidRPr="00605AD4" w:rsidRDefault="000976D3" w:rsidP="00605AD4">
      <w:r w:rsidRPr="0068475E">
        <w:t>There is no clinical objection to registration of the proposed Cortiment tablet for use of up to 8 weeks for induction of remission in patients with mild to moderate active UC.</w:t>
      </w:r>
    </w:p>
    <w:p w14:paraId="0075803D" w14:textId="725D9753" w:rsidR="00605AD4" w:rsidRPr="00605AD4" w:rsidRDefault="00605AD4" w:rsidP="00605AD4">
      <w:pPr>
        <w:pStyle w:val="Heading3"/>
        <w:rPr>
          <w:rFonts w:eastAsia="Cambria"/>
        </w:rPr>
      </w:pPr>
      <w:bookmarkStart w:id="131" w:name="_Toc442962666"/>
      <w:r w:rsidRPr="00605AD4">
        <w:rPr>
          <w:rFonts w:eastAsia="Cambria"/>
        </w:rPr>
        <w:t xml:space="preserve">Clinical </w:t>
      </w:r>
      <w:r w:rsidR="002340F6">
        <w:rPr>
          <w:rFonts w:eastAsia="Cambria"/>
        </w:rPr>
        <w:t>q</w:t>
      </w:r>
      <w:r w:rsidRPr="00605AD4">
        <w:rPr>
          <w:rFonts w:eastAsia="Cambria"/>
        </w:rPr>
        <w:t>uestions</w:t>
      </w:r>
      <w:bookmarkEnd w:id="131"/>
    </w:p>
    <w:p w14:paraId="36C5511E" w14:textId="279701BD" w:rsidR="00605AD4" w:rsidRPr="00605AD4" w:rsidRDefault="000976D3" w:rsidP="00605AD4">
      <w:r w:rsidRPr="0068475E">
        <w:t xml:space="preserve">No specific clinical question </w:t>
      </w:r>
      <w:r>
        <w:t>i</w:t>
      </w:r>
      <w:r w:rsidR="00FC66E4">
        <w:t>s raised to the sponsor in the F</w:t>
      </w:r>
      <w:r>
        <w:t xml:space="preserve">irst </w:t>
      </w:r>
      <w:r w:rsidR="00FC66E4">
        <w:t>round clinical evaluation r</w:t>
      </w:r>
      <w:r w:rsidRPr="0068475E">
        <w:t>eport.</w:t>
      </w:r>
      <w:r>
        <w:t xml:space="preserve"> However, it </w:t>
      </w:r>
      <w:r w:rsidR="00826D8B">
        <w:t>is</w:t>
      </w:r>
      <w:r w:rsidR="000413B5">
        <w:t xml:space="preserve"> </w:t>
      </w:r>
      <w:r>
        <w:t xml:space="preserve">noted that long </w:t>
      </w:r>
      <w:r w:rsidRPr="0068475E">
        <w:t xml:space="preserve">term safety and efficacy data were made available to </w:t>
      </w:r>
      <w:r w:rsidRPr="0068475E">
        <w:lastRenderedPageBreak/>
        <w:t>the FDA but were no</w:t>
      </w:r>
      <w:r>
        <w:t xml:space="preserve">t included in this submission. </w:t>
      </w:r>
      <w:r w:rsidRPr="0068475E">
        <w:t xml:space="preserve">A summary of the maintenance </w:t>
      </w:r>
      <w:r>
        <w:t>Study</w:t>
      </w:r>
      <w:r w:rsidRPr="0068475E">
        <w:t xml:space="preserve"> CB-01-02/04 should therefore </w:t>
      </w:r>
      <w:r>
        <w:t>be requested for consideration.</w:t>
      </w:r>
      <w:r w:rsidR="004E0A3D">
        <w:rPr>
          <w:rStyle w:val="FootnoteReference"/>
        </w:rPr>
        <w:footnoteReference w:id="11"/>
      </w:r>
    </w:p>
    <w:p w14:paraId="4AC5C524" w14:textId="1AD2A077" w:rsidR="00605AD4" w:rsidRPr="00605AD4" w:rsidRDefault="00605AD4" w:rsidP="00605AD4">
      <w:pPr>
        <w:pStyle w:val="Heading3"/>
        <w:rPr>
          <w:rFonts w:eastAsia="Cambria"/>
        </w:rPr>
      </w:pPr>
      <w:bookmarkStart w:id="132" w:name="_Toc442962667"/>
      <w:r w:rsidRPr="00605AD4">
        <w:rPr>
          <w:rFonts w:eastAsia="Cambria"/>
        </w:rPr>
        <w:t xml:space="preserve">Second </w:t>
      </w:r>
      <w:r w:rsidR="00AB4920">
        <w:rPr>
          <w:rFonts w:eastAsia="Cambria"/>
        </w:rPr>
        <w:t>r</w:t>
      </w:r>
      <w:r w:rsidRPr="00605AD4">
        <w:rPr>
          <w:rFonts w:eastAsia="Cambria"/>
        </w:rPr>
        <w:t xml:space="preserve">ound </w:t>
      </w:r>
      <w:r w:rsidR="00AB4920">
        <w:rPr>
          <w:rFonts w:eastAsia="Cambria"/>
        </w:rPr>
        <w:t>e</w:t>
      </w:r>
      <w:r w:rsidRPr="00605AD4">
        <w:rPr>
          <w:rFonts w:eastAsia="Cambria"/>
        </w:rPr>
        <w:t>valuation of clinical data submitted in response to questions</w:t>
      </w:r>
      <w:bookmarkEnd w:id="132"/>
    </w:p>
    <w:p w14:paraId="2028C1D5" w14:textId="77777777" w:rsidR="00605AD4" w:rsidRPr="00605AD4" w:rsidRDefault="00FC66E4" w:rsidP="00605AD4">
      <w:r>
        <w:t>No separate S</w:t>
      </w:r>
      <w:r w:rsidR="000976D3">
        <w:t>econd round clinical evaluation was performed.</w:t>
      </w:r>
    </w:p>
    <w:p w14:paraId="56A0D45B" w14:textId="05046565" w:rsidR="00605AD4" w:rsidRPr="00605AD4" w:rsidRDefault="00605AD4" w:rsidP="00546154">
      <w:pPr>
        <w:pStyle w:val="Heading3"/>
        <w:rPr>
          <w:rFonts w:eastAsia="Cambria"/>
        </w:rPr>
      </w:pPr>
      <w:bookmarkStart w:id="133" w:name="_Toc442962668"/>
      <w:r w:rsidRPr="00605AD4">
        <w:rPr>
          <w:rFonts w:eastAsia="Cambria"/>
        </w:rPr>
        <w:t xml:space="preserve">Second </w:t>
      </w:r>
      <w:r w:rsidR="00AB4920">
        <w:rPr>
          <w:rFonts w:eastAsia="Cambria"/>
        </w:rPr>
        <w:t>r</w:t>
      </w:r>
      <w:r w:rsidRPr="00605AD4">
        <w:rPr>
          <w:rFonts w:eastAsia="Cambria"/>
        </w:rPr>
        <w:t xml:space="preserve">ound </w:t>
      </w:r>
      <w:r w:rsidR="00AB4920">
        <w:rPr>
          <w:rFonts w:eastAsia="Cambria"/>
        </w:rPr>
        <w:t>b</w:t>
      </w:r>
      <w:r w:rsidRPr="00605AD4">
        <w:rPr>
          <w:rFonts w:eastAsia="Cambria"/>
        </w:rPr>
        <w:t>enefit-</w:t>
      </w:r>
      <w:r w:rsidR="00AB4920">
        <w:rPr>
          <w:rFonts w:eastAsia="Cambria"/>
        </w:rPr>
        <w:t>r</w:t>
      </w:r>
      <w:r w:rsidRPr="00605AD4">
        <w:rPr>
          <w:rFonts w:eastAsia="Cambria"/>
        </w:rPr>
        <w:t xml:space="preserve">isk </w:t>
      </w:r>
      <w:r w:rsidR="00AB4920">
        <w:rPr>
          <w:rFonts w:eastAsia="Cambria"/>
        </w:rPr>
        <w:t>a</w:t>
      </w:r>
      <w:r w:rsidRPr="00605AD4">
        <w:rPr>
          <w:rFonts w:eastAsia="Cambria"/>
        </w:rPr>
        <w:t>ssessment</w:t>
      </w:r>
      <w:bookmarkEnd w:id="133"/>
    </w:p>
    <w:p w14:paraId="72FF87F0" w14:textId="77777777" w:rsidR="000976D3" w:rsidRPr="000976D3" w:rsidRDefault="00FC66E4" w:rsidP="000976D3">
      <w:r>
        <w:t>No separate S</w:t>
      </w:r>
      <w:r w:rsidR="000976D3" w:rsidRPr="000976D3">
        <w:t>econd round clinical evaluation</w:t>
      </w:r>
      <w:r w:rsidR="000976D3">
        <w:t xml:space="preserve"> was performed.</w:t>
      </w:r>
    </w:p>
    <w:p w14:paraId="6A0F712E" w14:textId="77777777" w:rsidR="008E7846" w:rsidRPr="00E41208" w:rsidRDefault="008E7846" w:rsidP="00546154">
      <w:pPr>
        <w:pStyle w:val="Heading2"/>
      </w:pPr>
      <w:bookmarkStart w:id="134" w:name="_Toc442962669"/>
      <w:r w:rsidRPr="00E41208">
        <w:t xml:space="preserve">V. Pharmacovigilance </w:t>
      </w:r>
      <w:r>
        <w:t>f</w:t>
      </w:r>
      <w:r w:rsidRPr="00E41208">
        <w:t>indings</w:t>
      </w:r>
      <w:bookmarkEnd w:id="117"/>
      <w:bookmarkEnd w:id="118"/>
      <w:bookmarkEnd w:id="134"/>
    </w:p>
    <w:p w14:paraId="6D75E326" w14:textId="14B28872" w:rsidR="00546154" w:rsidRDefault="00546154" w:rsidP="00546154">
      <w:bookmarkStart w:id="135" w:name="_Toc247691526"/>
      <w:bookmarkStart w:id="136" w:name="_Toc314842509"/>
      <w:r w:rsidRPr="00443686">
        <w:t>The TGA granted a waiver</w:t>
      </w:r>
      <w:r w:rsidRPr="00215262">
        <w:t xml:space="preserve"> from the </w:t>
      </w:r>
      <w:r w:rsidRPr="00443686">
        <w:t xml:space="preserve">requirement for a Risk Management Plan </w:t>
      </w:r>
      <w:r w:rsidR="00AB4920">
        <w:t xml:space="preserve">(RMP) </w:t>
      </w:r>
      <w:r w:rsidRPr="00443686">
        <w:t>for this application.</w:t>
      </w:r>
    </w:p>
    <w:p w14:paraId="5E982928" w14:textId="77777777" w:rsidR="008E7846" w:rsidRPr="00792A32" w:rsidRDefault="008E7846" w:rsidP="008E7846">
      <w:pPr>
        <w:pStyle w:val="Heading2"/>
      </w:pPr>
      <w:bookmarkStart w:id="137" w:name="_Toc247691527"/>
      <w:bookmarkStart w:id="138" w:name="_Toc314842510"/>
      <w:bookmarkStart w:id="139" w:name="_Toc442962670"/>
      <w:bookmarkEnd w:id="135"/>
      <w:bookmarkEnd w:id="136"/>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9"/>
      <w:bookmarkEnd w:id="137"/>
      <w:bookmarkEnd w:id="138"/>
      <w:bookmarkEnd w:id="139"/>
    </w:p>
    <w:p w14:paraId="0E6FC338" w14:textId="77777777" w:rsidR="008E7846" w:rsidRDefault="008E7846" w:rsidP="008E7846">
      <w:bookmarkStart w:id="140" w:name="_Toc247691528"/>
      <w:r>
        <w:t xml:space="preserve">The submission was summarised in the following </w:t>
      </w:r>
      <w:r w:rsidRPr="00EF5C48">
        <w:t xml:space="preserve">Delegate’s </w:t>
      </w:r>
      <w:r>
        <w:t>overview</w:t>
      </w:r>
      <w:r w:rsidRPr="00EF5C48">
        <w:t xml:space="preserve"> and recommendation</w:t>
      </w:r>
      <w:r>
        <w:t>s:</w:t>
      </w:r>
    </w:p>
    <w:p w14:paraId="70A0ED18" w14:textId="77777777" w:rsidR="003F568D" w:rsidRPr="003F568D" w:rsidRDefault="003F568D" w:rsidP="008E01AD">
      <w:pPr>
        <w:pStyle w:val="Heading3"/>
      </w:pPr>
      <w:bookmarkStart w:id="141" w:name="_Toc314842511"/>
      <w:bookmarkStart w:id="142" w:name="_Toc442962671"/>
      <w:r w:rsidRPr="003F568D">
        <w:t>Method of administration</w:t>
      </w:r>
      <w:bookmarkEnd w:id="142"/>
    </w:p>
    <w:p w14:paraId="68B4A2EF" w14:textId="77777777" w:rsidR="003F568D" w:rsidRPr="003F568D" w:rsidRDefault="003F568D" w:rsidP="003F568D">
      <w:r w:rsidRPr="003F568D">
        <w:t>One tablet of Cortiment is taken orally in the morning, with or without food. The tablet should be swallowed with a glass of water and must not be broken, crushed or chewed as the film coating is intended to ensure prolonged release.</w:t>
      </w:r>
    </w:p>
    <w:p w14:paraId="74DB9658" w14:textId="77777777" w:rsidR="008E7846" w:rsidRDefault="008E7846" w:rsidP="008E01AD">
      <w:pPr>
        <w:pStyle w:val="Heading3"/>
      </w:pPr>
      <w:bookmarkStart w:id="143" w:name="_Toc442962672"/>
      <w:r w:rsidRPr="008E01AD">
        <w:t>Quality</w:t>
      </w:r>
      <w:bookmarkEnd w:id="140"/>
      <w:bookmarkEnd w:id="141"/>
      <w:bookmarkEnd w:id="143"/>
    </w:p>
    <w:p w14:paraId="7E17E3FC" w14:textId="544B7289" w:rsidR="0004029F" w:rsidRPr="0004029F" w:rsidRDefault="0004029F" w:rsidP="0004029F">
      <w:r w:rsidRPr="0004029F">
        <w:t>Approval for registration of the proposed product can be recommended from a</w:t>
      </w:r>
      <w:r>
        <w:t xml:space="preserve"> </w:t>
      </w:r>
      <w:r w:rsidRPr="0004029F">
        <w:t>pharmaceutical chemistry perspective.</w:t>
      </w:r>
    </w:p>
    <w:p w14:paraId="3E3EE192" w14:textId="7BA9455D" w:rsidR="0004029F" w:rsidRPr="0004029F" w:rsidRDefault="0004029F" w:rsidP="0004029F">
      <w:r w:rsidRPr="0004029F">
        <w:t xml:space="preserve">However, approval for registration of the proposed product </w:t>
      </w:r>
      <w:r w:rsidRPr="0004029F">
        <w:rPr>
          <w:i/>
        </w:rPr>
        <w:t>cannot</w:t>
      </w:r>
      <w:r w:rsidRPr="0004029F">
        <w:t xml:space="preserve"> </w:t>
      </w:r>
      <w:r>
        <w:t xml:space="preserve">be recommended from a </w:t>
      </w:r>
      <w:r w:rsidRPr="0004029F">
        <w:t>biopharmaceutics perspective. In particular, there is a lac</w:t>
      </w:r>
      <w:r>
        <w:t xml:space="preserve">k of unequivocal conclusion [in </w:t>
      </w:r>
      <w:r w:rsidRPr="0004029F">
        <w:t>terms of the rate and extent of absorption of the propose</w:t>
      </w:r>
      <w:r>
        <w:t xml:space="preserve">d test product Cortiment (1 x 9 </w:t>
      </w:r>
      <w:r w:rsidRPr="0004029F">
        <w:t>mg prolonged release tablet) in comparison with the refer</w:t>
      </w:r>
      <w:r>
        <w:t xml:space="preserve">ence product </w:t>
      </w:r>
      <w:proofErr w:type="spellStart"/>
      <w:r>
        <w:t>Entocort</w:t>
      </w:r>
      <w:proofErr w:type="spellEnd"/>
      <w:r>
        <w:t xml:space="preserve"> (3 x 3 mg </w:t>
      </w:r>
      <w:r w:rsidRPr="0004029F">
        <w:t xml:space="preserve">capsule) in </w:t>
      </w:r>
      <w:r w:rsidR="006E015D">
        <w:t>S</w:t>
      </w:r>
      <w:r w:rsidRPr="0004029F">
        <w:t>tudy CRO-PK-06-178.</w:t>
      </w:r>
    </w:p>
    <w:p w14:paraId="3FC97982" w14:textId="7EB816CB" w:rsidR="0004029F" w:rsidRPr="0004029F" w:rsidRDefault="0004029F" w:rsidP="0004029F">
      <w:r w:rsidRPr="0004029F">
        <w:t>However, whether this lack of unequivocal conclusion has a sig</w:t>
      </w:r>
      <w:r>
        <w:t xml:space="preserve">nificant effect on the efficacy </w:t>
      </w:r>
      <w:r w:rsidRPr="0004029F">
        <w:t xml:space="preserve">and safety profile of the proposed product will be a decision of the clinical </w:t>
      </w:r>
      <w:r w:rsidR="006E015D">
        <w:t>D</w:t>
      </w:r>
      <w:r w:rsidRPr="0004029F">
        <w:t>elegate.</w:t>
      </w:r>
    </w:p>
    <w:p w14:paraId="78995283" w14:textId="77777777" w:rsidR="008E7846" w:rsidRDefault="008E7846" w:rsidP="008E7846">
      <w:pPr>
        <w:pStyle w:val="Heading3"/>
      </w:pPr>
      <w:bookmarkStart w:id="144" w:name="_Toc314842512"/>
      <w:bookmarkStart w:id="145" w:name="_Toc442962673"/>
      <w:r>
        <w:t>Nonclinical</w:t>
      </w:r>
      <w:bookmarkEnd w:id="144"/>
      <w:bookmarkEnd w:id="145"/>
    </w:p>
    <w:p w14:paraId="2CFF625A" w14:textId="77777777" w:rsidR="00D1081A" w:rsidRPr="00D1081A" w:rsidRDefault="00D1081A" w:rsidP="00D1081A">
      <w:r w:rsidRPr="00D1081A">
        <w:t xml:space="preserve">There </w:t>
      </w:r>
      <w:r>
        <w:t>we</w:t>
      </w:r>
      <w:r w:rsidRPr="00D1081A">
        <w:t>re no objections on nonclinical grounds to the registration of Cortiment (budesonide MMX) tablets for the proposed indication.</w:t>
      </w:r>
    </w:p>
    <w:p w14:paraId="5C6CECC9" w14:textId="77777777" w:rsidR="008E7846" w:rsidRDefault="008E7846" w:rsidP="008E7846">
      <w:pPr>
        <w:pStyle w:val="Heading3"/>
      </w:pPr>
      <w:bookmarkStart w:id="146" w:name="_Toc247691530"/>
      <w:bookmarkStart w:id="147" w:name="_Toc314842513"/>
      <w:bookmarkStart w:id="148" w:name="_Toc442962674"/>
      <w:r>
        <w:lastRenderedPageBreak/>
        <w:t>Clinical</w:t>
      </w:r>
      <w:bookmarkEnd w:id="146"/>
      <w:bookmarkEnd w:id="147"/>
      <w:bookmarkEnd w:id="148"/>
    </w:p>
    <w:p w14:paraId="59C4CFE8" w14:textId="77777777" w:rsidR="00936E62" w:rsidRPr="00936E62" w:rsidRDefault="000976D3" w:rsidP="00936E62">
      <w:bookmarkStart w:id="149" w:name="_Toc314842514"/>
      <w:r>
        <w:t>The clinical evaluator identified three</w:t>
      </w:r>
      <w:r w:rsidR="001C7C27">
        <w:t xml:space="preserve"> studies (one study has Parts 1 and </w:t>
      </w:r>
      <w:r w:rsidR="00B61B08">
        <w:t>2)</w:t>
      </w:r>
      <w:r w:rsidR="00F41F93">
        <w:t xml:space="preserve"> with PK</w:t>
      </w:r>
      <w:r>
        <w:t xml:space="preserve"> data, and three</w:t>
      </w:r>
      <w:r w:rsidR="00936E62" w:rsidRPr="00936E62">
        <w:t xml:space="preserve"> s</w:t>
      </w:r>
      <w:r w:rsidR="001C7C27">
        <w:t xml:space="preserve">tudies on efficacy and safety which </w:t>
      </w:r>
      <w:r w:rsidR="00936E62" w:rsidRPr="00936E62">
        <w:t>cou</w:t>
      </w:r>
      <w:r>
        <w:t>ld be taken as a total of seven studies altogether.</w:t>
      </w:r>
    </w:p>
    <w:p w14:paraId="6E68DEE8" w14:textId="77777777" w:rsidR="00936E62" w:rsidRPr="00936E62" w:rsidRDefault="000976D3" w:rsidP="00B61B08">
      <w:pPr>
        <w:pStyle w:val="Heading4"/>
      </w:pPr>
      <w:r>
        <w:t xml:space="preserve">Studies with </w:t>
      </w:r>
      <w:r w:rsidR="00F41F93">
        <w:t>Pharmacokinetic</w:t>
      </w:r>
      <w:r>
        <w:t xml:space="preserve"> data:</w:t>
      </w:r>
    </w:p>
    <w:p w14:paraId="483C4C23" w14:textId="5F79D8B5" w:rsidR="00936E62" w:rsidRPr="00936E62" w:rsidRDefault="00BB59AF" w:rsidP="00110964">
      <w:pPr>
        <w:pStyle w:val="ListBullet"/>
      </w:pPr>
      <w:r>
        <w:t>CRO-01-28; a</w:t>
      </w:r>
      <w:r w:rsidR="00B61B08">
        <w:t xml:space="preserve"> </w:t>
      </w:r>
      <w:r w:rsidR="00291172">
        <w:t>Phase</w:t>
      </w:r>
      <w:r w:rsidR="00B61B08">
        <w:t xml:space="preserve"> I pilot </w:t>
      </w:r>
      <w:proofErr w:type="spellStart"/>
      <w:r w:rsidR="00B61B08">
        <w:t>pharmaco</w:t>
      </w:r>
      <w:proofErr w:type="spellEnd"/>
      <w:r w:rsidR="00A003E2">
        <w:t xml:space="preserve"> </w:t>
      </w:r>
      <w:proofErr w:type="spellStart"/>
      <w:r w:rsidR="00936E62" w:rsidRPr="00936E62">
        <w:t>scintigrap</w:t>
      </w:r>
      <w:r w:rsidR="00160E79">
        <w:t>hic</w:t>
      </w:r>
      <w:proofErr w:type="spellEnd"/>
      <w:r w:rsidR="00160E79">
        <w:t xml:space="preserve"> study in healthy volunteers</w:t>
      </w:r>
    </w:p>
    <w:p w14:paraId="4C41BD3F" w14:textId="607B76FC" w:rsidR="00936E62" w:rsidRPr="00936E62" w:rsidRDefault="00B61B08" w:rsidP="00110964">
      <w:pPr>
        <w:pStyle w:val="ListBullet"/>
      </w:pPr>
      <w:r>
        <w:t xml:space="preserve">CRO-PK-03-105; </w:t>
      </w:r>
      <w:r w:rsidR="00BB59AF">
        <w:t>a</w:t>
      </w:r>
      <w:r w:rsidR="00936E62" w:rsidRPr="00936E62">
        <w:t xml:space="preserve"> </w:t>
      </w:r>
      <w:r w:rsidR="00291172">
        <w:t>Phase</w:t>
      </w:r>
      <w:r w:rsidR="00936E62" w:rsidRPr="00936E62">
        <w:t xml:space="preserve"> I study in healthy volunteers, exploring the effects of food on budesonide bioavailability after the administration of a single dose of </w:t>
      </w:r>
      <w:r w:rsidR="000976D3">
        <w:t>Cortiment</w:t>
      </w:r>
      <w:r w:rsidR="00936E62" w:rsidRPr="00936E62">
        <w:t xml:space="preserve">, in addition to characterising pharmacokinetics following 7 consecutive daily doses of </w:t>
      </w:r>
      <w:r w:rsidR="000976D3">
        <w:t>Cortiment</w:t>
      </w:r>
    </w:p>
    <w:p w14:paraId="1105EE42" w14:textId="77777777" w:rsidR="00936E62" w:rsidRPr="00936E62" w:rsidRDefault="00B61B08" w:rsidP="00110964">
      <w:pPr>
        <w:pStyle w:val="ListBullet"/>
      </w:pPr>
      <w:r>
        <w:t>CRO-PK-06-178;</w:t>
      </w:r>
      <w:r w:rsidR="00936E62" w:rsidRPr="00936E62">
        <w:t xml:space="preserve"> An additional </w:t>
      </w:r>
      <w:r w:rsidR="00291172">
        <w:t>Phase</w:t>
      </w:r>
      <w:r w:rsidR="00936E62" w:rsidRPr="00936E62">
        <w:t xml:space="preserve"> I study in healthy volunteers, comparing budesonide pharmacokinetics following singles doses of </w:t>
      </w:r>
      <w:r w:rsidR="000976D3">
        <w:t>Cortiment</w:t>
      </w:r>
      <w:r w:rsidR="00936E62" w:rsidRPr="00936E62">
        <w:t xml:space="preserve"> 6</w:t>
      </w:r>
      <w:r w:rsidR="00504E34">
        <w:t xml:space="preserve"> mg</w:t>
      </w:r>
      <w:r w:rsidR="00936E62" w:rsidRPr="00936E62">
        <w:t xml:space="preserve"> and 9 mg and </w:t>
      </w:r>
      <w:proofErr w:type="spellStart"/>
      <w:r w:rsidR="000976D3">
        <w:t>Entocort</w:t>
      </w:r>
      <w:proofErr w:type="spellEnd"/>
      <w:r w:rsidR="00936E62" w:rsidRPr="00936E62">
        <w:t xml:space="preserve"> 9 mg (3 x</w:t>
      </w:r>
      <w:r w:rsidR="00160E79">
        <w:t xml:space="preserve"> 3 mg) capsules (CRO-PK-06-178)</w:t>
      </w:r>
    </w:p>
    <w:p w14:paraId="2B9221AF" w14:textId="77777777" w:rsidR="00936E62" w:rsidRPr="00936E62" w:rsidRDefault="00B61B08" w:rsidP="00936E62">
      <w:r>
        <w:t>T</w:t>
      </w:r>
      <w:r w:rsidR="00936E62" w:rsidRPr="00936E62">
        <w:t xml:space="preserve">he </w:t>
      </w:r>
      <w:r w:rsidR="000976D3" w:rsidRPr="000976D3">
        <w:t>clinical evaluator</w:t>
      </w:r>
      <w:r w:rsidR="00936E62" w:rsidRPr="00936E62">
        <w:t xml:space="preserve"> made the</w:t>
      </w:r>
      <w:r w:rsidR="000976D3">
        <w:t xml:space="preserve"> following overall conclusions</w:t>
      </w:r>
      <w:r>
        <w:t xml:space="preserve"> on pharmacokinetics</w:t>
      </w:r>
      <w:r w:rsidR="000976D3">
        <w:t>:</w:t>
      </w:r>
    </w:p>
    <w:p w14:paraId="202309E6" w14:textId="77777777" w:rsidR="00936E62" w:rsidRPr="00936E62" w:rsidRDefault="00936E62" w:rsidP="00110964">
      <w:pPr>
        <w:pStyle w:val="ListBullet"/>
      </w:pPr>
      <w:r w:rsidRPr="00936E62">
        <w:t>As an established medicinal product, the PK of budesonide has previously been well characterised and documented. No data were submitted in this application on physicochemical characteristics, distribution, metabolism, excretion, PK/PD interaction, or population PK. This is</w:t>
      </w:r>
      <w:r w:rsidR="00160E79">
        <w:t xml:space="preserve"> considered acceptable</w:t>
      </w:r>
    </w:p>
    <w:p w14:paraId="7B3F6F6D" w14:textId="77777777" w:rsidR="00936E62" w:rsidRPr="00936E62" w:rsidRDefault="00936E62" w:rsidP="00110964">
      <w:pPr>
        <w:pStyle w:val="ListBullet"/>
      </w:pPr>
      <w:r w:rsidRPr="00936E62">
        <w:t>The absolute bioavailability</w:t>
      </w:r>
      <w:r w:rsidR="000976D3">
        <w:t xml:space="preserve"> of the proposed </w:t>
      </w:r>
      <w:r w:rsidR="00271024">
        <w:t xml:space="preserve">budesonide </w:t>
      </w:r>
      <w:r w:rsidR="000976D3">
        <w:t>MMX</w:t>
      </w:r>
      <w:r w:rsidRPr="00936E62">
        <w:t xml:space="preserve"> 9 mg tablet has not been investigated in the subm</w:t>
      </w:r>
      <w:r w:rsidR="00110964">
        <w:t>itted clinical studies; however</w:t>
      </w:r>
      <w:r w:rsidRPr="00936E62">
        <w:t xml:space="preserve"> given that the product is intended t</w:t>
      </w:r>
      <w:r w:rsidR="00110964">
        <w:t xml:space="preserve">o act locally in the lower GIT </w:t>
      </w:r>
      <w:r w:rsidRPr="00936E62">
        <w:t>the absence of such data is not considered a major</w:t>
      </w:r>
      <w:r w:rsidR="00160E79">
        <w:t xml:space="preserve"> deficiency of the application</w:t>
      </w:r>
    </w:p>
    <w:p w14:paraId="4BA2B59D" w14:textId="77777777" w:rsidR="00936E62" w:rsidRPr="00936E62" w:rsidRDefault="00936E62" w:rsidP="00110964">
      <w:pPr>
        <w:pStyle w:val="ListBullet"/>
      </w:pPr>
      <w:r w:rsidRPr="00936E62">
        <w:t>The PK data submitted in this application for the proposed prolonged</w:t>
      </w:r>
      <w:r w:rsidR="00B61B08">
        <w:t xml:space="preserve"> </w:t>
      </w:r>
      <w:r w:rsidR="000976D3">
        <w:t>release tablet (</w:t>
      </w:r>
      <w:r w:rsidR="00271024">
        <w:t xml:space="preserve">budesonide </w:t>
      </w:r>
      <w:r w:rsidR="000976D3">
        <w:t>MMX</w:t>
      </w:r>
      <w:r w:rsidRPr="00936E62">
        <w:t xml:space="preserve">) focus primarily on GIT transit, release and absorption, bioavailability and influence of food and multiple administrations. All studies were conducted in healthy volunteers. No PK study was conducted in the targeted patient population. Given the common clinical presentations (especially diarrhoea) in UC patients, it is likely that the GIT transit, absorption and bioavailability of the product in the targeted patient population can be significantly different to those in healthy volunteers. It would therefore be more appropriate to have conducted a PK study in the UC patients to further characterise the PK profile of the product in the targeted patient population. Nevertheless, the available PK data submitted in this application provided sufficient evidence for the targeted and controlled delivery of budesonide to the lower GIT, </w:t>
      </w:r>
      <w:r w:rsidR="00504E34">
        <w:t xml:space="preserve">and supported the proposed once </w:t>
      </w:r>
      <w:r w:rsidR="00160E79">
        <w:t>daily dosing regimen.</w:t>
      </w:r>
    </w:p>
    <w:p w14:paraId="3C1E1C2E" w14:textId="75D3BD58" w:rsidR="00936E62" w:rsidRPr="00936E62" w:rsidRDefault="00A003E2" w:rsidP="008E01AD">
      <w:pPr>
        <w:pStyle w:val="Heading4"/>
      </w:pPr>
      <w:r>
        <w:t xml:space="preserve">Studies </w:t>
      </w:r>
      <w:r w:rsidRPr="008E01AD">
        <w:t>with</w:t>
      </w:r>
      <w:r>
        <w:t xml:space="preserve"> efficacy data</w:t>
      </w:r>
    </w:p>
    <w:p w14:paraId="6A2BE9E0" w14:textId="77777777" w:rsidR="00936E62" w:rsidRPr="00936E62" w:rsidRDefault="00936E62" w:rsidP="00B61B08">
      <w:pPr>
        <w:pStyle w:val="Heading5"/>
      </w:pPr>
      <w:r w:rsidRPr="00936E62">
        <w:t>Pivotal efficacy/safety studies</w:t>
      </w:r>
    </w:p>
    <w:p w14:paraId="31B8160F" w14:textId="77777777" w:rsidR="00936E62" w:rsidRPr="00936E62" w:rsidRDefault="00936E62" w:rsidP="00B61B08">
      <w:pPr>
        <w:pStyle w:val="Heading6"/>
      </w:pPr>
      <w:r w:rsidRPr="00936E62">
        <w:t>Study CB-01-01/01</w:t>
      </w:r>
    </w:p>
    <w:p w14:paraId="7E331590" w14:textId="77777777" w:rsidR="00936E62" w:rsidRDefault="00B61B08" w:rsidP="00936E62">
      <w:r>
        <w:t>This was a multi-</w:t>
      </w:r>
      <w:r w:rsidRPr="00936E62">
        <w:t>centre</w:t>
      </w:r>
      <w:r>
        <w:t xml:space="preserve">, randomised, double blind, double dummy, parallel </w:t>
      </w:r>
      <w:r w:rsidR="00936E62" w:rsidRPr="00936E62">
        <w:t xml:space="preserve">group comparative study in patients with mild or moderate active UC. The study compared the efficacy and safety of </w:t>
      </w:r>
      <w:r w:rsidR="00271024">
        <w:t xml:space="preserve">budesonide </w:t>
      </w:r>
      <w:r w:rsidR="00936E62" w:rsidRPr="00936E62">
        <w:t>MMX 6</w:t>
      </w:r>
      <w:r w:rsidR="00504E34">
        <w:t xml:space="preserve"> </w:t>
      </w:r>
      <w:r w:rsidR="00936E62" w:rsidRPr="00936E62">
        <w:t>mg and 9</w:t>
      </w:r>
      <w:r w:rsidR="00504E34">
        <w:t xml:space="preserve"> </w:t>
      </w:r>
      <w:r w:rsidR="00936E62" w:rsidRPr="00936E62">
        <w:t xml:space="preserve">mg tablets with placebo and, also compared </w:t>
      </w:r>
      <w:proofErr w:type="spellStart"/>
      <w:r w:rsidR="00936E62" w:rsidRPr="00936E62">
        <w:t>Asacol</w:t>
      </w:r>
      <w:proofErr w:type="spellEnd"/>
      <w:r w:rsidR="00936E62" w:rsidRPr="00936E62">
        <w:t xml:space="preserve"> 6</w:t>
      </w:r>
      <w:r>
        <w:t xml:space="preserve"> </w:t>
      </w:r>
      <w:r w:rsidR="00936E62" w:rsidRPr="00936E62">
        <w:t>x</w:t>
      </w:r>
      <w:r>
        <w:t xml:space="preserve"> </w:t>
      </w:r>
      <w:r w:rsidR="00936E62" w:rsidRPr="00936E62">
        <w:t>400</w:t>
      </w:r>
      <w:r>
        <w:t xml:space="preserve"> mg over </w:t>
      </w:r>
      <w:r w:rsidR="00936E62" w:rsidRPr="00936E62">
        <w:t xml:space="preserve">encapsulated tablets with placebo in </w:t>
      </w:r>
      <w:r>
        <w:t xml:space="preserve">four treatment groups over an 8 </w:t>
      </w:r>
      <w:r w:rsidR="00936E62" w:rsidRPr="00936E62">
        <w:t xml:space="preserve">week treatment period. The </w:t>
      </w:r>
      <w:proofErr w:type="spellStart"/>
      <w:r w:rsidR="00936E62" w:rsidRPr="00936E62">
        <w:t>Asacol</w:t>
      </w:r>
      <w:proofErr w:type="spellEnd"/>
      <w:r>
        <w:t xml:space="preserve"> over </w:t>
      </w:r>
      <w:r w:rsidR="00936E62" w:rsidRPr="00936E62">
        <w:t>encapsulated tablet is a</w:t>
      </w:r>
      <w:r>
        <w:t>n</w:t>
      </w:r>
      <w:r w:rsidR="00936E62" w:rsidRPr="00936E62">
        <w:t xml:space="preserve"> USA registered product containing 400 mg </w:t>
      </w:r>
      <w:proofErr w:type="spellStart"/>
      <w:r w:rsidR="00936E62" w:rsidRPr="00936E62">
        <w:t>mesalaz</w:t>
      </w:r>
      <w:r w:rsidR="00504E34">
        <w:t>ine</w:t>
      </w:r>
      <w:proofErr w:type="spellEnd"/>
      <w:r w:rsidR="00504E34">
        <w:t xml:space="preserve"> (also known as </w:t>
      </w:r>
      <w:proofErr w:type="spellStart"/>
      <w:r w:rsidR="00504E34">
        <w:t>mesalamine</w:t>
      </w:r>
      <w:proofErr w:type="spellEnd"/>
      <w:r w:rsidR="00504E34">
        <w:t xml:space="preserve"> a</w:t>
      </w:r>
      <w:r w:rsidR="00936E62" w:rsidRPr="00936E62">
        <w:t xml:space="preserve"> </w:t>
      </w:r>
      <w:r w:rsidR="00504E34">
        <w:t>United States Adopted Name (</w:t>
      </w:r>
      <w:r w:rsidR="00936E62" w:rsidRPr="00936E62">
        <w:t>USAN</w:t>
      </w:r>
      <w:r w:rsidR="00504E34">
        <w:t>)</w:t>
      </w:r>
      <w:r w:rsidR="00936E62" w:rsidRPr="00936E62">
        <w:t>). Eli</w:t>
      </w:r>
      <w:r>
        <w:t xml:space="preserve">gible patients underwent a wash </w:t>
      </w:r>
      <w:r w:rsidR="00936E62" w:rsidRPr="00936E62">
        <w:t>out period of 2 days, prior to being randomised to one of the following four treatment groups:</w:t>
      </w:r>
    </w:p>
    <w:p w14:paraId="08CF2688" w14:textId="5FAF24A5" w:rsidR="00236E52" w:rsidRPr="00236E52" w:rsidRDefault="00292310" w:rsidP="00EC19CA">
      <w:pPr>
        <w:pStyle w:val="ListBullet"/>
      </w:pPr>
      <w:r>
        <w:lastRenderedPageBreak/>
        <w:t>Group 1 (</w:t>
      </w:r>
      <w:r w:rsidR="00271024">
        <w:t xml:space="preserve">budesonide </w:t>
      </w:r>
      <w:r w:rsidR="00236E52" w:rsidRPr="00236E52">
        <w:t>MMX</w:t>
      </w:r>
      <w:r w:rsidR="00BB59AF">
        <w:t xml:space="preserve"> </w:t>
      </w:r>
      <w:r w:rsidR="00236E52" w:rsidRPr="00236E52">
        <w:t>6</w:t>
      </w:r>
      <w:r w:rsidR="00BB59AF">
        <w:t xml:space="preserve"> </w:t>
      </w:r>
      <w:r w:rsidR="00236E52" w:rsidRPr="00236E52">
        <w:t xml:space="preserve">mg); One </w:t>
      </w:r>
      <w:r w:rsidR="00271024">
        <w:t xml:space="preserve">budesonide </w:t>
      </w:r>
      <w:r w:rsidR="00236E52" w:rsidRPr="00236E52">
        <w:t xml:space="preserve">MMX 6 mg tablet, </w:t>
      </w:r>
      <w:r w:rsidR="00271024" w:rsidRPr="00271024">
        <w:t xml:space="preserve">in the morning </w:t>
      </w:r>
      <w:r w:rsidR="00271024">
        <w:t>(</w:t>
      </w:r>
      <w:r w:rsidR="00236E52" w:rsidRPr="00236E52">
        <w:t>mane</w:t>
      </w:r>
      <w:r w:rsidR="00271024">
        <w:t>)</w:t>
      </w:r>
      <w:r w:rsidR="00236E52" w:rsidRPr="00236E52">
        <w:t xml:space="preserve">; and two placebo </w:t>
      </w:r>
      <w:proofErr w:type="spellStart"/>
      <w:r w:rsidR="00236E52" w:rsidRPr="00236E52">
        <w:t>Asacol</w:t>
      </w:r>
      <w:proofErr w:type="spellEnd"/>
      <w:r w:rsidR="00236E52" w:rsidRPr="00236E52">
        <w:t xml:space="preserve"> tablets, </w:t>
      </w:r>
      <w:r w:rsidR="00414B0E" w:rsidRPr="00236E52">
        <w:t>TDS</w:t>
      </w:r>
    </w:p>
    <w:p w14:paraId="0E05F492" w14:textId="5713C23E" w:rsidR="00236E52" w:rsidRPr="00236E52" w:rsidRDefault="00292310" w:rsidP="00236E52">
      <w:pPr>
        <w:pStyle w:val="ListBullet"/>
      </w:pPr>
      <w:r>
        <w:t>Group 2 (</w:t>
      </w:r>
      <w:r w:rsidR="00271024">
        <w:t xml:space="preserve">budesonide </w:t>
      </w:r>
      <w:r w:rsidR="00236E52" w:rsidRPr="00236E52">
        <w:t>MMX 9</w:t>
      </w:r>
      <w:r w:rsidR="00BB59AF">
        <w:t xml:space="preserve"> </w:t>
      </w:r>
      <w:r w:rsidR="00236E52" w:rsidRPr="00236E52">
        <w:t>mg)</w:t>
      </w:r>
      <w:r w:rsidR="00BB59AF">
        <w:t>;</w:t>
      </w:r>
      <w:r w:rsidR="00236E52" w:rsidRPr="00236E52">
        <w:t xml:space="preserve"> One </w:t>
      </w:r>
      <w:r w:rsidR="00271024">
        <w:t xml:space="preserve">budesonide </w:t>
      </w:r>
      <w:r w:rsidR="00236E52" w:rsidRPr="00236E52">
        <w:t xml:space="preserve">MMX 9 mg tablet, mane; and </w:t>
      </w:r>
      <w:r w:rsidR="00160E79">
        <w:t xml:space="preserve">two placebo </w:t>
      </w:r>
      <w:proofErr w:type="spellStart"/>
      <w:r w:rsidR="00160E79">
        <w:t>Asacol</w:t>
      </w:r>
      <w:proofErr w:type="spellEnd"/>
      <w:r w:rsidR="00160E79">
        <w:t xml:space="preserve"> tablets, </w:t>
      </w:r>
      <w:r w:rsidR="00414B0E" w:rsidRPr="00414B0E">
        <w:t>TDS</w:t>
      </w:r>
    </w:p>
    <w:p w14:paraId="15842B41" w14:textId="5288109B" w:rsidR="00236E52" w:rsidRPr="00236E52" w:rsidRDefault="00236E52" w:rsidP="00236E52">
      <w:pPr>
        <w:pStyle w:val="ListBullet"/>
      </w:pPr>
      <w:r w:rsidRPr="00236E52">
        <w:t xml:space="preserve">Group 3 (Placebo) One placebo </w:t>
      </w:r>
      <w:r w:rsidR="00271024">
        <w:t xml:space="preserve">budesonide </w:t>
      </w:r>
      <w:r w:rsidRPr="00236E52">
        <w:t xml:space="preserve">MMX tablet, mane; and </w:t>
      </w:r>
      <w:r w:rsidR="00160E79">
        <w:t xml:space="preserve">two placebo </w:t>
      </w:r>
      <w:proofErr w:type="spellStart"/>
      <w:r w:rsidR="00160E79">
        <w:t>Asacol</w:t>
      </w:r>
      <w:proofErr w:type="spellEnd"/>
      <w:r w:rsidR="00160E79">
        <w:t xml:space="preserve"> tablets, </w:t>
      </w:r>
      <w:r w:rsidR="00414B0E" w:rsidRPr="00414B0E">
        <w:t>TDS</w:t>
      </w:r>
    </w:p>
    <w:p w14:paraId="0A7C2885" w14:textId="48F1FB13" w:rsidR="00236E52" w:rsidRPr="00236E52" w:rsidRDefault="00236E52" w:rsidP="00236E52">
      <w:pPr>
        <w:pStyle w:val="ListBullet"/>
      </w:pPr>
      <w:r w:rsidRPr="00236E52">
        <w:t>Group 4 (</w:t>
      </w:r>
      <w:proofErr w:type="spellStart"/>
      <w:r w:rsidRPr="00236E52">
        <w:t>Asacol</w:t>
      </w:r>
      <w:proofErr w:type="spellEnd"/>
      <w:r w:rsidRPr="00236E52">
        <w:t xml:space="preserve">) One placebo </w:t>
      </w:r>
      <w:r w:rsidR="00271024">
        <w:t xml:space="preserve">budesonide </w:t>
      </w:r>
      <w:r w:rsidRPr="00236E52">
        <w:t>MMX tablet, mane; and</w:t>
      </w:r>
      <w:r w:rsidR="00160E79">
        <w:t xml:space="preserve"> two </w:t>
      </w:r>
      <w:proofErr w:type="spellStart"/>
      <w:r w:rsidR="00160E79">
        <w:t>Asacol</w:t>
      </w:r>
      <w:proofErr w:type="spellEnd"/>
      <w:r w:rsidR="00160E79">
        <w:t xml:space="preserve"> 400 mg tablets, </w:t>
      </w:r>
      <w:r w:rsidR="00414B0E" w:rsidRPr="00414B0E">
        <w:t>TDS</w:t>
      </w:r>
      <w:r w:rsidR="00A77062">
        <w:t>.</w:t>
      </w:r>
    </w:p>
    <w:p w14:paraId="582B29DE" w14:textId="77777777" w:rsidR="00936E62" w:rsidRPr="00236E52" w:rsidRDefault="00936E62" w:rsidP="00236E52">
      <w:r w:rsidRPr="00236E52">
        <w:t>During the study, five visits to the study centre were scheduled: one at s</w:t>
      </w:r>
      <w:r w:rsidR="00236E52" w:rsidRPr="00236E52">
        <w:t xml:space="preserve">creening and four in the double </w:t>
      </w:r>
      <w:r w:rsidRPr="00236E52">
        <w:t>blind treatment period (Day 1, and Wee</w:t>
      </w:r>
      <w:r w:rsidR="00236E52" w:rsidRPr="00236E52">
        <w:t xml:space="preserve">ks 2, 4 and 8). A safety follow </w:t>
      </w:r>
      <w:r w:rsidRPr="00236E52">
        <w:t>up visit took place about 2 weeks after the final study visit.</w:t>
      </w:r>
    </w:p>
    <w:p w14:paraId="0AF2024B" w14:textId="77777777" w:rsidR="00936E62" w:rsidRPr="00236E52" w:rsidRDefault="00936E62" w:rsidP="00236E52">
      <w:r w:rsidRPr="00236E52">
        <w:t xml:space="preserve">The primary objective was to evaluate the efficacy and safety of </w:t>
      </w:r>
      <w:r w:rsidR="00271024">
        <w:t xml:space="preserve">budesonide </w:t>
      </w:r>
      <w:r w:rsidRPr="00236E52">
        <w:t>MMX 6 mg and 9 mg oral tablets when compared to placebo for the induction of remission in patients with mild or moderate active UC, when administered for 8 weeks.</w:t>
      </w:r>
    </w:p>
    <w:p w14:paraId="014EA628" w14:textId="77777777" w:rsidR="00936E62" w:rsidRPr="00236E52" w:rsidRDefault="00936E62" w:rsidP="00236E52">
      <w:r w:rsidRPr="00236E52">
        <w:t xml:space="preserve">The secondary objective was to evaluate the clinical improvement and endoscopic improvement after 8 weeks treatment with </w:t>
      </w:r>
      <w:r w:rsidR="00271024">
        <w:t xml:space="preserve">budesonide </w:t>
      </w:r>
      <w:r w:rsidRPr="00236E52">
        <w:t>MMX 6 mg and 9 mg oral tablets when compared to placebo in patients with mild or moderate active UC.</w:t>
      </w:r>
    </w:p>
    <w:p w14:paraId="4148F4C5" w14:textId="0639EFE8" w:rsidR="00936E62" w:rsidRPr="00236E52" w:rsidRDefault="00936E62" w:rsidP="00236E52">
      <w:r w:rsidRPr="00236E52">
        <w:t>Other objectives were to evaluate symptom resolution a</w:t>
      </w:r>
      <w:r w:rsidR="00C41C51">
        <w:t>nd histological healing after 8 </w:t>
      </w:r>
      <w:r w:rsidRPr="00236E52">
        <w:t xml:space="preserve">weeks of treatment with </w:t>
      </w:r>
      <w:r w:rsidR="00271024">
        <w:t xml:space="preserve">budesonide </w:t>
      </w:r>
      <w:r w:rsidRPr="00236E52">
        <w:t xml:space="preserve">MMX, the </w:t>
      </w:r>
      <w:r w:rsidR="00236E52">
        <w:t xml:space="preserve">improvement in clinical and bio </w:t>
      </w:r>
      <w:r w:rsidRPr="00236E52">
        <w:t xml:space="preserve">humoral parameters and in </w:t>
      </w:r>
      <w:r w:rsidR="00236E52">
        <w:t xml:space="preserve">the Inflammatory Bowel Disease Quality of Life (IBD </w:t>
      </w:r>
      <w:proofErr w:type="spellStart"/>
      <w:r w:rsidRPr="00236E52">
        <w:t>QoL</w:t>
      </w:r>
      <w:proofErr w:type="spellEnd"/>
      <w:r w:rsidRPr="00236E52">
        <w:t xml:space="preserve">) questionnaire after 8 weeks of treatment with </w:t>
      </w:r>
      <w:r w:rsidR="00271024">
        <w:t xml:space="preserve">budesonide </w:t>
      </w:r>
      <w:r w:rsidRPr="00236E52">
        <w:t>MMX, and the efficacy and</w:t>
      </w:r>
      <w:r>
        <w:t xml:space="preserve"> </w:t>
      </w:r>
      <w:r w:rsidRPr="00236E52">
        <w:t xml:space="preserve">safety of </w:t>
      </w:r>
      <w:proofErr w:type="spellStart"/>
      <w:r w:rsidRPr="00236E52">
        <w:t>Asacol</w:t>
      </w:r>
      <w:proofErr w:type="spellEnd"/>
      <w:r w:rsidR="00236E52">
        <w:t xml:space="preserve"> over </w:t>
      </w:r>
      <w:r w:rsidRPr="00236E52">
        <w:t xml:space="preserve">encapsulated tablets (2 x 400 mg </w:t>
      </w:r>
      <w:r w:rsidR="00414B0E" w:rsidRPr="00414B0E">
        <w:t>TDS</w:t>
      </w:r>
      <w:r w:rsidRPr="00236E52">
        <w:t>) when administered for 8 weeks in patients with mild or moderate active UC.</w:t>
      </w:r>
    </w:p>
    <w:p w14:paraId="26E2F1CD" w14:textId="77777777" w:rsidR="00936E62" w:rsidRPr="00236E52" w:rsidRDefault="00936E62" w:rsidP="00236E52">
      <w:r w:rsidRPr="00236E52">
        <w:t xml:space="preserve">The primary efficacy end point was the percentage of patients with clinical remission after 8 weeks of treatment. Clinical remission was defined as a UCDAI score of </w:t>
      </w:r>
      <w:r w:rsidR="00292310">
        <w:t>≤</w:t>
      </w:r>
      <w:r w:rsidR="00236E52">
        <w:t xml:space="preserve"> </w:t>
      </w:r>
      <w:r w:rsidRPr="00236E52">
        <w:t>1, with all of the following:</w:t>
      </w:r>
    </w:p>
    <w:p w14:paraId="6B63084E" w14:textId="77777777" w:rsidR="00936E62" w:rsidRPr="00236E52" w:rsidRDefault="00936E62" w:rsidP="00236E52">
      <w:pPr>
        <w:pStyle w:val="ListBullet"/>
      </w:pPr>
      <w:r w:rsidRPr="00236E52">
        <w:t>A score of 0 for rectal bleeding and stool frequency (a</w:t>
      </w:r>
      <w:r w:rsidR="00C41C51">
        <w:t>ssessed from the patient diary)</w:t>
      </w:r>
    </w:p>
    <w:p w14:paraId="51429970" w14:textId="77777777" w:rsidR="00936E62" w:rsidRPr="00236E52" w:rsidRDefault="00936E62" w:rsidP="00236E52">
      <w:pPr>
        <w:pStyle w:val="ListBullet"/>
      </w:pPr>
      <w:r w:rsidRPr="00236E52">
        <w:t>A normal mucosa (no evidence of mucosal friabil</w:t>
      </w:r>
      <w:r w:rsidR="00C41C51">
        <w:t>ity as determined by endoscopy)</w:t>
      </w:r>
    </w:p>
    <w:p w14:paraId="03053655" w14:textId="77777777" w:rsidR="00936E62" w:rsidRPr="00236E52" w:rsidRDefault="00936E62" w:rsidP="00236E52">
      <w:pPr>
        <w:pStyle w:val="ListBullet"/>
      </w:pPr>
      <w:r w:rsidRPr="00236E52">
        <w:t xml:space="preserve">A </w:t>
      </w:r>
      <w:r w:rsidR="00236E52">
        <w:t xml:space="preserve">≤ </w:t>
      </w:r>
      <w:r w:rsidRPr="00236E52">
        <w:t>1point reduction in the endosco</w:t>
      </w:r>
      <w:r w:rsidR="00236E52">
        <w:t xml:space="preserve">py score from baseline to Visit </w:t>
      </w:r>
      <w:r w:rsidRPr="00236E52">
        <w:t>5/Final Visit.</w:t>
      </w:r>
    </w:p>
    <w:p w14:paraId="7A0209C8" w14:textId="77777777" w:rsidR="00936E62" w:rsidRPr="00236E52" w:rsidRDefault="00936E62" w:rsidP="00236E52">
      <w:r w:rsidRPr="00236E52">
        <w:t>The secondary efficacy endpoints were:</w:t>
      </w:r>
    </w:p>
    <w:p w14:paraId="3B3E329F" w14:textId="77777777" w:rsidR="00936E62" w:rsidRPr="00236E52" w:rsidRDefault="00936E62" w:rsidP="00236E52">
      <w:pPr>
        <w:pStyle w:val="ListBullet"/>
      </w:pPr>
      <w:r w:rsidRPr="00236E52">
        <w:t xml:space="preserve">Clinical improvement, defined as a </w:t>
      </w:r>
      <w:r w:rsidR="00236E52">
        <w:t xml:space="preserve">≥ 3 </w:t>
      </w:r>
      <w:r w:rsidRPr="00236E52">
        <w:t xml:space="preserve">point improvement in UCDAI score </w:t>
      </w:r>
      <w:r w:rsidR="00C41C51">
        <w:t>from baseline to Visit 5/Week 8</w:t>
      </w:r>
    </w:p>
    <w:p w14:paraId="5C28DCFF" w14:textId="77777777" w:rsidR="00936E62" w:rsidRPr="00236E52" w:rsidRDefault="00936E62" w:rsidP="00236E52">
      <w:pPr>
        <w:pStyle w:val="ListBullet"/>
      </w:pPr>
      <w:r w:rsidRPr="00236E52">
        <w:t>Endoscopic improvement, defined as ≥</w:t>
      </w:r>
      <w:r w:rsidR="00236E52">
        <w:t xml:space="preserve"> 1 </w:t>
      </w:r>
      <w:r w:rsidRPr="00236E52">
        <w:t xml:space="preserve">point improvement in the mucosal appearance </w:t>
      </w:r>
      <w:r w:rsidR="00B5374C" w:rsidRPr="00236E52">
        <w:t>sub score</w:t>
      </w:r>
      <w:r w:rsidRPr="00236E52">
        <w:t xml:space="preserve"> of the UCDAI from baseline to Visit 5/Week 8.</w:t>
      </w:r>
    </w:p>
    <w:p w14:paraId="26B2F74F" w14:textId="77777777" w:rsidR="00936E62" w:rsidRPr="00E87C57" w:rsidRDefault="00936E62" w:rsidP="00E87C57">
      <w:r w:rsidRPr="00E87C57">
        <w:t>The other efficacy end points included the following:</w:t>
      </w:r>
    </w:p>
    <w:p w14:paraId="3AC64EEB" w14:textId="77777777" w:rsidR="00936E62" w:rsidRPr="00E87C57" w:rsidRDefault="00936E62" w:rsidP="00E87C57">
      <w:pPr>
        <w:pStyle w:val="ListBullet"/>
      </w:pPr>
      <w:r w:rsidRPr="00E87C57">
        <w:t>Symptom resolution, defined as having score of 0 for both rectal bleeding and stool frequency f</w:t>
      </w:r>
      <w:r w:rsidR="00C41C51">
        <w:t>rom the UCDAI at Visit 5/Week 8</w:t>
      </w:r>
    </w:p>
    <w:p w14:paraId="64CE5035" w14:textId="77777777" w:rsidR="00936E62" w:rsidRPr="00292310" w:rsidRDefault="00936E62" w:rsidP="00E87C57">
      <w:pPr>
        <w:pStyle w:val="ListBullet"/>
      </w:pPr>
      <w:r w:rsidRPr="00E87C57">
        <w:t xml:space="preserve">Histological healing, defined as total histological assessment score of </w:t>
      </w:r>
      <w:r w:rsidR="00E87C57">
        <w:t xml:space="preserve">≤ </w:t>
      </w:r>
      <w:r w:rsidRPr="00E87C57">
        <w:t xml:space="preserve">1 on all biopsy specimens at Visit 5/Week 8, according </w:t>
      </w:r>
      <w:r w:rsidRPr="00292310">
        <w:t xml:space="preserve">to </w:t>
      </w:r>
      <w:proofErr w:type="spellStart"/>
      <w:r w:rsidRPr="00292310">
        <w:t>Saverymuttu</w:t>
      </w:r>
      <w:proofErr w:type="spellEnd"/>
      <w:r w:rsidR="00292310">
        <w:rPr>
          <w:rStyle w:val="FootnoteReference"/>
        </w:rPr>
        <w:footnoteReference w:id="12"/>
      </w:r>
    </w:p>
    <w:p w14:paraId="59E7DBFE" w14:textId="77777777" w:rsidR="00936E62" w:rsidRPr="00E87C57" w:rsidRDefault="00936E62" w:rsidP="00E87C57">
      <w:pPr>
        <w:pStyle w:val="ListBullet"/>
      </w:pPr>
      <w:r w:rsidRPr="00E87C57">
        <w:lastRenderedPageBreak/>
        <w:t xml:space="preserve">Proportion of patients with a Clinical Activity Index (CAI) score </w:t>
      </w:r>
      <w:r w:rsidR="00E87C57">
        <w:t xml:space="preserve">≤ </w:t>
      </w:r>
      <w:r w:rsidRPr="00E87C57">
        <w:t>4 at Visit 3/Week 2, Vi</w:t>
      </w:r>
      <w:r w:rsidR="00C41C51">
        <w:t>sit</w:t>
      </w:r>
      <w:r w:rsidR="00504E34">
        <w:t xml:space="preserve"> </w:t>
      </w:r>
      <w:r w:rsidR="00C41C51">
        <w:t>4/Week 4, and Visit 5/Week 8</w:t>
      </w:r>
    </w:p>
    <w:p w14:paraId="2EEF77D7" w14:textId="77777777" w:rsidR="00936E62" w:rsidRPr="00E87C57" w:rsidRDefault="00936E62" w:rsidP="00E87C57">
      <w:pPr>
        <w:pStyle w:val="ListBullet"/>
      </w:pPr>
      <w:r w:rsidRPr="00E87C57">
        <w:t>Treatment failure, defined as worsening of UC, requiring specific medical treatment; the proportion of patients who discontinued from the study due treatment failure at Visit 3/Week 2, Vi</w:t>
      </w:r>
      <w:r w:rsidR="00C41C51">
        <w:t>sit 4/Week 4, and Visit5/Week 8</w:t>
      </w:r>
    </w:p>
    <w:p w14:paraId="33D54168" w14:textId="77777777" w:rsidR="00936E62" w:rsidRPr="00E87C57" w:rsidRDefault="00936E62" w:rsidP="00E87C57">
      <w:pPr>
        <w:pStyle w:val="ListBullet"/>
      </w:pPr>
      <w:r w:rsidRPr="00E87C57">
        <w:t xml:space="preserve">Change in </w:t>
      </w:r>
      <w:r w:rsidR="00504E34">
        <w:t>erythrocyte sedimentation rate (</w:t>
      </w:r>
      <w:r w:rsidRPr="00E87C57">
        <w:t>ESR</w:t>
      </w:r>
      <w:r w:rsidR="00504E34">
        <w:t>)</w:t>
      </w:r>
      <w:r w:rsidRPr="00E87C57">
        <w:t xml:space="preserve"> and </w:t>
      </w:r>
      <w:r w:rsidR="00504E34">
        <w:t>C-reactive protein (</w:t>
      </w:r>
      <w:r w:rsidRPr="00E87C57">
        <w:t>CRP</w:t>
      </w:r>
      <w:r w:rsidR="00504E34">
        <w:t>) at Visit </w:t>
      </w:r>
      <w:r w:rsidRPr="00E87C57">
        <w:t>3/Week 2, Visi</w:t>
      </w:r>
      <w:r w:rsidR="00504E34">
        <w:t>t 4/</w:t>
      </w:r>
      <w:r w:rsidR="00C41C51">
        <w:t>Week 4, and Visit 5/Week 8</w:t>
      </w:r>
    </w:p>
    <w:p w14:paraId="173B0581" w14:textId="77777777" w:rsidR="00936E62" w:rsidRDefault="00E87C57" w:rsidP="00E87C57">
      <w:pPr>
        <w:pStyle w:val="ListBullet"/>
      </w:pPr>
      <w:r>
        <w:t xml:space="preserve">Change in the IBD </w:t>
      </w:r>
      <w:proofErr w:type="spellStart"/>
      <w:r w:rsidR="00936E62" w:rsidRPr="00E87C57">
        <w:t>QoL</w:t>
      </w:r>
      <w:proofErr w:type="spellEnd"/>
      <w:r w:rsidR="00936E62" w:rsidRPr="00E87C57">
        <w:t xml:space="preserve"> questionnaire at Visit 3/Week 2, Visit 4/Week 4, and Visit 5/Week 8.</w:t>
      </w:r>
    </w:p>
    <w:p w14:paraId="4E4EEDB8" w14:textId="77777777" w:rsidR="00936E62" w:rsidRPr="00E87C57" w:rsidRDefault="00936E62" w:rsidP="00E87C57">
      <w:r w:rsidRPr="00E87C57">
        <w:t>For efficacy endpoint analysis, the level of statistical significance was set at p</w:t>
      </w:r>
      <w:r w:rsidR="00E87C57">
        <w:t xml:space="preserve"> ≤</w:t>
      </w:r>
      <w:r w:rsidRPr="00E87C57">
        <w:t xml:space="preserve"> 0.025 for </w:t>
      </w:r>
      <w:r w:rsidR="00271024">
        <w:t xml:space="preserve">budesonide </w:t>
      </w:r>
      <w:r w:rsidR="0027069D">
        <w:t>MMX 6 mg and 9 mg groups versu</w:t>
      </w:r>
      <w:r w:rsidRPr="00E87C57">
        <w:t>s placebo, and at p</w:t>
      </w:r>
      <w:r w:rsidR="00E87C57">
        <w:t xml:space="preserve"> ≤</w:t>
      </w:r>
      <w:r w:rsidRPr="00E87C57">
        <w:t xml:space="preserve"> </w:t>
      </w:r>
      <w:r w:rsidR="0027069D">
        <w:t xml:space="preserve">0.05 for all other comparisons. </w:t>
      </w:r>
      <w:r w:rsidRPr="00E87C57">
        <w:t>Initially, 492 patients (123 per group) were planned for randomisation to ensure evaluation of 440 patients (110 per group). Subsequently, a total of 803 patients were screened, of whom 510 were random</w:t>
      </w:r>
      <w:r w:rsidR="0050278E">
        <w:t>ise</w:t>
      </w:r>
      <w:r w:rsidRPr="00E87C57">
        <w:t>d, but only 349 completed the study.</w:t>
      </w:r>
    </w:p>
    <w:p w14:paraId="45028D1A" w14:textId="77777777" w:rsidR="00936E62" w:rsidRPr="00E87C57" w:rsidRDefault="00936E62" w:rsidP="00E87C57">
      <w:r w:rsidRPr="00E87C57">
        <w:t>Primary effi</w:t>
      </w:r>
      <w:r w:rsidR="003E7621">
        <w:t>cacy outcome according to the clinical evaluator</w:t>
      </w:r>
      <w:r w:rsidRPr="00E87C57">
        <w:t>:</w:t>
      </w:r>
    </w:p>
    <w:p w14:paraId="0DEBEF72" w14:textId="77777777" w:rsidR="00936E62" w:rsidRDefault="003E7621" w:rsidP="00E87C57">
      <w:pPr>
        <w:pStyle w:val="ListBullet"/>
      </w:pPr>
      <w:r>
        <w:t>As shown in T</w:t>
      </w:r>
      <w:r w:rsidR="00936E62" w:rsidRPr="00E87C57">
        <w:t xml:space="preserve">able </w:t>
      </w:r>
      <w:r w:rsidR="000D7501">
        <w:t>6</w:t>
      </w:r>
      <w:r w:rsidR="00936E62" w:rsidRPr="00E87C57">
        <w:t xml:space="preserve"> </w:t>
      </w:r>
      <w:r w:rsidR="000D7501">
        <w:t>and Table 7</w:t>
      </w:r>
      <w:r w:rsidR="00870137">
        <w:t xml:space="preserve"> </w:t>
      </w:r>
      <w:r w:rsidR="00936E62" w:rsidRPr="00E87C57">
        <w:t xml:space="preserve">a statistically significant difference in the percentage of patients with clinical remission after 8 weeks of treatment was noted for the </w:t>
      </w:r>
      <w:r w:rsidR="00271024">
        <w:t xml:space="preserve">budesonide </w:t>
      </w:r>
      <w:r w:rsidR="00936E62" w:rsidRPr="00E87C57">
        <w:t xml:space="preserve">MMX 9 mg group compared to placebo group, in both the </w:t>
      </w:r>
      <w:r w:rsidR="00E70E10">
        <w:t>intent to treat (</w:t>
      </w:r>
      <w:r w:rsidR="00936E62" w:rsidRPr="00E87C57">
        <w:t>ITT</w:t>
      </w:r>
      <w:r w:rsidR="00E70E10">
        <w:t>)</w:t>
      </w:r>
      <w:r w:rsidR="00936E62" w:rsidRPr="00E87C57">
        <w:t xml:space="preserve"> (p</w:t>
      </w:r>
      <w:r w:rsidR="00E87C57">
        <w:t xml:space="preserve"> </w:t>
      </w:r>
      <w:r w:rsidR="00936E62" w:rsidRPr="00E87C57">
        <w:t>=</w:t>
      </w:r>
      <w:r w:rsidR="00E87C57">
        <w:t xml:space="preserve"> </w:t>
      </w:r>
      <w:r w:rsidR="00936E62" w:rsidRPr="00E87C57">
        <w:t xml:space="preserve">0.0143) and </w:t>
      </w:r>
      <w:r w:rsidR="00504E34">
        <w:t xml:space="preserve">per protocol </w:t>
      </w:r>
      <w:r w:rsidR="00E70E10">
        <w:t>(</w:t>
      </w:r>
      <w:r w:rsidR="00936E62" w:rsidRPr="00E87C57">
        <w:t>PP</w:t>
      </w:r>
      <w:r w:rsidR="00E70E10">
        <w:t>)</w:t>
      </w:r>
      <w:r w:rsidR="00936E62" w:rsidRPr="00E87C57">
        <w:t xml:space="preserve"> (p</w:t>
      </w:r>
      <w:r w:rsidR="00E87C57">
        <w:t xml:space="preserve"> </w:t>
      </w:r>
      <w:r w:rsidR="00936E62" w:rsidRPr="00E87C57">
        <w:t>=</w:t>
      </w:r>
      <w:r w:rsidR="00E87C57">
        <w:t xml:space="preserve"> </w:t>
      </w:r>
      <w:r w:rsidR="00936E62" w:rsidRPr="00E87C57">
        <w:t>0.0027) populations.</w:t>
      </w:r>
    </w:p>
    <w:p w14:paraId="2F4DA974" w14:textId="77777777" w:rsidR="003E7621" w:rsidRPr="003E7621" w:rsidRDefault="000D7501" w:rsidP="003E7621">
      <w:pPr>
        <w:pStyle w:val="TableTitle"/>
      </w:pPr>
      <w:proofErr w:type="gramStart"/>
      <w:r>
        <w:t>Table 6</w:t>
      </w:r>
      <w:r w:rsidR="003E7621">
        <w:t>.</w:t>
      </w:r>
      <w:proofErr w:type="gramEnd"/>
      <w:r w:rsidR="003E7621">
        <w:t xml:space="preserve"> Study </w:t>
      </w:r>
      <w:r w:rsidR="003E7621" w:rsidRPr="003E7621">
        <w:t>CB-01-01/01</w:t>
      </w:r>
      <w:r w:rsidR="003E7621">
        <w:t>. Rem</w:t>
      </w:r>
      <w:r w:rsidR="00870137">
        <w:t xml:space="preserve">ission rates for the ITT </w:t>
      </w:r>
      <w:r w:rsidR="003E7621">
        <w:t>populati</w:t>
      </w:r>
      <w:r w:rsidR="00870137">
        <w:t>on</w:t>
      </w:r>
      <w:r w:rsidR="003E7621">
        <w:t xml:space="preserve"> after 8 weeks.</w:t>
      </w:r>
    </w:p>
    <w:tbl>
      <w:tblPr>
        <w:tblStyle w:val="TableTGAblue"/>
        <w:tblW w:w="8880" w:type="dxa"/>
        <w:tblLook w:val="04A0" w:firstRow="1" w:lastRow="0" w:firstColumn="1" w:lastColumn="0" w:noHBand="0" w:noVBand="1"/>
      </w:tblPr>
      <w:tblGrid>
        <w:gridCol w:w="3085"/>
        <w:gridCol w:w="1559"/>
        <w:gridCol w:w="1418"/>
        <w:gridCol w:w="1417"/>
        <w:gridCol w:w="1401"/>
      </w:tblGrid>
      <w:tr w:rsidR="00936E62" w:rsidRPr="00042C07" w14:paraId="0DE829AF" w14:textId="77777777" w:rsidTr="00E70E10">
        <w:trPr>
          <w:cnfStyle w:val="100000000000" w:firstRow="1" w:lastRow="0" w:firstColumn="0" w:lastColumn="0" w:oddVBand="0" w:evenVBand="0" w:oddHBand="0" w:evenHBand="0" w:firstRowFirstColumn="0" w:firstRowLastColumn="0" w:lastRowFirstColumn="0" w:lastRowLastColumn="0"/>
          <w:trHeight w:val="814"/>
        </w:trPr>
        <w:tc>
          <w:tcPr>
            <w:tcW w:w="3085" w:type="dxa"/>
          </w:tcPr>
          <w:p w14:paraId="516A9417" w14:textId="77777777" w:rsidR="00936E62" w:rsidRPr="004A7AD4" w:rsidRDefault="003E602C" w:rsidP="004A7AD4">
            <w:pPr>
              <w:rPr>
                <w:sz w:val="18"/>
                <w:szCs w:val="18"/>
              </w:rPr>
            </w:pPr>
            <w:r w:rsidRPr="004A7AD4">
              <w:rPr>
                <w:sz w:val="18"/>
                <w:szCs w:val="18"/>
              </w:rPr>
              <w:t>ITT population</w:t>
            </w:r>
          </w:p>
        </w:tc>
        <w:tc>
          <w:tcPr>
            <w:tcW w:w="1559" w:type="dxa"/>
          </w:tcPr>
          <w:p w14:paraId="00C0251B" w14:textId="77777777" w:rsidR="00936E62" w:rsidRPr="004A7AD4" w:rsidRDefault="00E70E10" w:rsidP="004A7AD4">
            <w:pPr>
              <w:rPr>
                <w:sz w:val="18"/>
                <w:szCs w:val="18"/>
              </w:rPr>
            </w:pPr>
            <w:r w:rsidRPr="004A7AD4">
              <w:rPr>
                <w:sz w:val="18"/>
                <w:szCs w:val="18"/>
              </w:rPr>
              <w:t xml:space="preserve">Placebo </w:t>
            </w:r>
            <w:r w:rsidR="00936E62" w:rsidRPr="004A7AD4">
              <w:rPr>
                <w:sz w:val="18"/>
                <w:szCs w:val="18"/>
              </w:rPr>
              <w:t>N=121</w:t>
            </w:r>
          </w:p>
        </w:tc>
        <w:tc>
          <w:tcPr>
            <w:tcW w:w="1418" w:type="dxa"/>
          </w:tcPr>
          <w:p w14:paraId="665C1BC1" w14:textId="77777777" w:rsidR="00936E62" w:rsidRPr="004A7AD4" w:rsidRDefault="00870137" w:rsidP="004A7AD4">
            <w:pPr>
              <w:rPr>
                <w:sz w:val="18"/>
                <w:szCs w:val="18"/>
              </w:rPr>
            </w:pPr>
            <w:r w:rsidRPr="004A7AD4">
              <w:rPr>
                <w:sz w:val="18"/>
                <w:szCs w:val="18"/>
              </w:rPr>
              <w:t>MMX 9 </w:t>
            </w:r>
            <w:r w:rsidR="00E70E10" w:rsidRPr="004A7AD4">
              <w:rPr>
                <w:sz w:val="18"/>
                <w:szCs w:val="18"/>
              </w:rPr>
              <w:t xml:space="preserve">mg </w:t>
            </w:r>
            <w:r w:rsidR="00936E62" w:rsidRPr="004A7AD4">
              <w:rPr>
                <w:sz w:val="18"/>
                <w:szCs w:val="18"/>
              </w:rPr>
              <w:t>N=123</w:t>
            </w:r>
          </w:p>
        </w:tc>
        <w:tc>
          <w:tcPr>
            <w:tcW w:w="1417" w:type="dxa"/>
          </w:tcPr>
          <w:p w14:paraId="76A195A0" w14:textId="77777777" w:rsidR="00936E62" w:rsidRPr="004A7AD4" w:rsidRDefault="00936E62" w:rsidP="004A7AD4">
            <w:pPr>
              <w:rPr>
                <w:sz w:val="18"/>
                <w:szCs w:val="18"/>
              </w:rPr>
            </w:pPr>
            <w:r w:rsidRPr="004A7AD4">
              <w:rPr>
                <w:sz w:val="18"/>
                <w:szCs w:val="18"/>
              </w:rPr>
              <w:t>MMX</w:t>
            </w:r>
            <w:r w:rsidR="00870137" w:rsidRPr="004A7AD4">
              <w:rPr>
                <w:sz w:val="18"/>
                <w:szCs w:val="18"/>
              </w:rPr>
              <w:t xml:space="preserve"> 6 </w:t>
            </w:r>
            <w:r w:rsidR="00E70E10" w:rsidRPr="004A7AD4">
              <w:rPr>
                <w:sz w:val="18"/>
                <w:szCs w:val="18"/>
              </w:rPr>
              <w:t xml:space="preserve">mg </w:t>
            </w:r>
            <w:r w:rsidRPr="004A7AD4">
              <w:rPr>
                <w:sz w:val="18"/>
                <w:szCs w:val="18"/>
              </w:rPr>
              <w:t>N=121</w:t>
            </w:r>
          </w:p>
        </w:tc>
        <w:tc>
          <w:tcPr>
            <w:tcW w:w="1401" w:type="dxa"/>
          </w:tcPr>
          <w:p w14:paraId="2FF6109D" w14:textId="58B3AF8C" w:rsidR="00936E62" w:rsidRPr="004A7AD4" w:rsidRDefault="00936E62" w:rsidP="004A7AD4">
            <w:pPr>
              <w:rPr>
                <w:sz w:val="18"/>
                <w:szCs w:val="18"/>
              </w:rPr>
            </w:pPr>
            <w:proofErr w:type="spellStart"/>
            <w:r w:rsidRPr="004A7AD4">
              <w:rPr>
                <w:sz w:val="18"/>
                <w:szCs w:val="18"/>
              </w:rPr>
              <w:t>Asacol</w:t>
            </w:r>
            <w:r w:rsidR="00042C07">
              <w:rPr>
                <w:sz w:val="18"/>
                <w:szCs w:val="18"/>
                <w:vertAlign w:val="superscript"/>
              </w:rPr>
              <w:t>Ɨ</w:t>
            </w:r>
            <w:proofErr w:type="spellEnd"/>
            <w:r w:rsidR="00E70E10" w:rsidRPr="004A7AD4">
              <w:rPr>
                <w:sz w:val="18"/>
                <w:szCs w:val="18"/>
                <w:vertAlign w:val="superscript"/>
              </w:rPr>
              <w:t xml:space="preserve"> </w:t>
            </w:r>
            <w:r w:rsidRPr="004A7AD4">
              <w:rPr>
                <w:sz w:val="18"/>
                <w:szCs w:val="18"/>
              </w:rPr>
              <w:t>N=124</w:t>
            </w:r>
          </w:p>
        </w:tc>
      </w:tr>
      <w:tr w:rsidR="003E602C" w:rsidRPr="00042C07" w14:paraId="6BCDBF71" w14:textId="77777777" w:rsidTr="00E70E10">
        <w:trPr>
          <w:trHeight w:val="456"/>
        </w:trPr>
        <w:tc>
          <w:tcPr>
            <w:tcW w:w="3085" w:type="dxa"/>
          </w:tcPr>
          <w:p w14:paraId="1E93DF77" w14:textId="77777777" w:rsidR="003E602C" w:rsidRPr="004A7AD4" w:rsidRDefault="00E70E10" w:rsidP="004A7AD4">
            <w:pPr>
              <w:rPr>
                <w:sz w:val="18"/>
                <w:szCs w:val="18"/>
              </w:rPr>
            </w:pPr>
            <w:r w:rsidRPr="004A7AD4">
              <w:rPr>
                <w:sz w:val="18"/>
                <w:szCs w:val="18"/>
              </w:rPr>
              <w:t>Remission:</w:t>
            </w:r>
            <w:r w:rsidR="00870137" w:rsidRPr="004A7AD4">
              <w:rPr>
                <w:sz w:val="18"/>
                <w:szCs w:val="18"/>
              </w:rPr>
              <w:t xml:space="preserve"> </w:t>
            </w:r>
            <w:r w:rsidR="003E602C" w:rsidRPr="004A7AD4">
              <w:rPr>
                <w:sz w:val="18"/>
                <w:szCs w:val="18"/>
              </w:rPr>
              <w:t>n (%)</w:t>
            </w:r>
          </w:p>
        </w:tc>
        <w:tc>
          <w:tcPr>
            <w:tcW w:w="1559" w:type="dxa"/>
          </w:tcPr>
          <w:p w14:paraId="29F0973F" w14:textId="77777777" w:rsidR="003E602C" w:rsidRPr="004A7AD4" w:rsidRDefault="003E602C" w:rsidP="004A7AD4">
            <w:pPr>
              <w:rPr>
                <w:sz w:val="18"/>
                <w:szCs w:val="18"/>
              </w:rPr>
            </w:pPr>
            <w:r w:rsidRPr="004A7AD4">
              <w:rPr>
                <w:sz w:val="18"/>
                <w:szCs w:val="18"/>
              </w:rPr>
              <w:t>9 (7.4)</w:t>
            </w:r>
          </w:p>
        </w:tc>
        <w:tc>
          <w:tcPr>
            <w:tcW w:w="1418" w:type="dxa"/>
          </w:tcPr>
          <w:p w14:paraId="0DE71C83" w14:textId="77777777" w:rsidR="003E602C" w:rsidRPr="004A7AD4" w:rsidRDefault="003E602C" w:rsidP="004A7AD4">
            <w:pPr>
              <w:rPr>
                <w:sz w:val="18"/>
                <w:szCs w:val="18"/>
              </w:rPr>
            </w:pPr>
            <w:r w:rsidRPr="004A7AD4">
              <w:rPr>
                <w:sz w:val="18"/>
                <w:szCs w:val="18"/>
              </w:rPr>
              <w:t>22 (17.9)</w:t>
            </w:r>
          </w:p>
        </w:tc>
        <w:tc>
          <w:tcPr>
            <w:tcW w:w="1417" w:type="dxa"/>
          </w:tcPr>
          <w:p w14:paraId="763D9225" w14:textId="77777777" w:rsidR="003E602C" w:rsidRPr="004A7AD4" w:rsidRDefault="003E602C" w:rsidP="004A7AD4">
            <w:pPr>
              <w:rPr>
                <w:sz w:val="18"/>
                <w:szCs w:val="18"/>
              </w:rPr>
            </w:pPr>
            <w:r w:rsidRPr="004A7AD4">
              <w:rPr>
                <w:sz w:val="18"/>
                <w:szCs w:val="18"/>
              </w:rPr>
              <w:t>16 (13.2)</w:t>
            </w:r>
          </w:p>
        </w:tc>
        <w:tc>
          <w:tcPr>
            <w:tcW w:w="1401" w:type="dxa"/>
          </w:tcPr>
          <w:p w14:paraId="331C9D5D" w14:textId="77777777" w:rsidR="003E602C" w:rsidRPr="004A7AD4" w:rsidRDefault="003E602C" w:rsidP="004A7AD4">
            <w:pPr>
              <w:rPr>
                <w:sz w:val="18"/>
                <w:szCs w:val="18"/>
              </w:rPr>
            </w:pPr>
            <w:r w:rsidRPr="004A7AD4">
              <w:rPr>
                <w:sz w:val="18"/>
                <w:szCs w:val="18"/>
              </w:rPr>
              <w:t>15 (12.1)</w:t>
            </w:r>
          </w:p>
        </w:tc>
      </w:tr>
      <w:tr w:rsidR="003E602C" w:rsidRPr="00042C07" w14:paraId="303CF4DA" w14:textId="77777777" w:rsidTr="00E70E10">
        <w:trPr>
          <w:trHeight w:val="506"/>
        </w:trPr>
        <w:tc>
          <w:tcPr>
            <w:tcW w:w="3085" w:type="dxa"/>
          </w:tcPr>
          <w:p w14:paraId="4F3636E7" w14:textId="77777777" w:rsidR="003E602C" w:rsidRPr="004A7AD4" w:rsidRDefault="003E602C" w:rsidP="004A7AD4">
            <w:pPr>
              <w:rPr>
                <w:sz w:val="18"/>
                <w:szCs w:val="18"/>
              </w:rPr>
            </w:pPr>
            <w:r w:rsidRPr="004A7AD4">
              <w:rPr>
                <w:sz w:val="18"/>
                <w:szCs w:val="18"/>
              </w:rPr>
              <w:t>95% CI</w:t>
            </w:r>
          </w:p>
        </w:tc>
        <w:tc>
          <w:tcPr>
            <w:tcW w:w="1559" w:type="dxa"/>
          </w:tcPr>
          <w:p w14:paraId="6DE528A3" w14:textId="77777777" w:rsidR="003E602C" w:rsidRPr="004A7AD4" w:rsidRDefault="00936E62" w:rsidP="004A7AD4">
            <w:pPr>
              <w:rPr>
                <w:sz w:val="18"/>
                <w:szCs w:val="18"/>
              </w:rPr>
            </w:pPr>
            <w:r w:rsidRPr="004A7AD4">
              <w:rPr>
                <w:sz w:val="18"/>
                <w:szCs w:val="18"/>
              </w:rPr>
              <w:t>2.8, 12.1</w:t>
            </w:r>
          </w:p>
        </w:tc>
        <w:tc>
          <w:tcPr>
            <w:tcW w:w="1418" w:type="dxa"/>
          </w:tcPr>
          <w:p w14:paraId="0B54E490" w14:textId="77777777" w:rsidR="003E602C" w:rsidRPr="004A7AD4" w:rsidRDefault="003E602C" w:rsidP="004A7AD4">
            <w:pPr>
              <w:rPr>
                <w:sz w:val="18"/>
                <w:szCs w:val="18"/>
              </w:rPr>
            </w:pPr>
            <w:r w:rsidRPr="004A7AD4">
              <w:rPr>
                <w:sz w:val="18"/>
                <w:szCs w:val="18"/>
              </w:rPr>
              <w:t>11.1, 24.7</w:t>
            </w:r>
          </w:p>
        </w:tc>
        <w:tc>
          <w:tcPr>
            <w:tcW w:w="1417" w:type="dxa"/>
          </w:tcPr>
          <w:p w14:paraId="52D118CA" w14:textId="77777777" w:rsidR="003E602C" w:rsidRPr="004A7AD4" w:rsidRDefault="003E602C" w:rsidP="004A7AD4">
            <w:pPr>
              <w:rPr>
                <w:sz w:val="18"/>
                <w:szCs w:val="18"/>
              </w:rPr>
            </w:pPr>
            <w:r w:rsidRPr="004A7AD4">
              <w:rPr>
                <w:sz w:val="18"/>
                <w:szCs w:val="18"/>
              </w:rPr>
              <w:t>7.2, 19.3</w:t>
            </w:r>
          </w:p>
        </w:tc>
        <w:tc>
          <w:tcPr>
            <w:tcW w:w="1401" w:type="dxa"/>
          </w:tcPr>
          <w:p w14:paraId="3AB0EB3A" w14:textId="77777777" w:rsidR="003E602C" w:rsidRPr="004A7AD4" w:rsidRDefault="003E602C" w:rsidP="004A7AD4">
            <w:pPr>
              <w:rPr>
                <w:sz w:val="18"/>
                <w:szCs w:val="18"/>
              </w:rPr>
            </w:pPr>
            <w:r w:rsidRPr="004A7AD4">
              <w:rPr>
                <w:sz w:val="18"/>
                <w:szCs w:val="18"/>
              </w:rPr>
              <w:t>6.4, 17.8</w:t>
            </w:r>
          </w:p>
        </w:tc>
      </w:tr>
      <w:tr w:rsidR="003E602C" w:rsidRPr="00042C07" w14:paraId="43B8A66C" w14:textId="77777777" w:rsidTr="00E70E10">
        <w:trPr>
          <w:trHeight w:val="478"/>
        </w:trPr>
        <w:tc>
          <w:tcPr>
            <w:tcW w:w="3085" w:type="dxa"/>
          </w:tcPr>
          <w:p w14:paraId="2D8A0E70" w14:textId="77777777" w:rsidR="003E602C" w:rsidRPr="004A7AD4" w:rsidRDefault="003E602C" w:rsidP="004A7AD4">
            <w:pPr>
              <w:rPr>
                <w:sz w:val="18"/>
                <w:szCs w:val="18"/>
              </w:rPr>
            </w:pPr>
            <w:r w:rsidRPr="004A7AD4">
              <w:rPr>
                <w:sz w:val="18"/>
                <w:szCs w:val="18"/>
              </w:rPr>
              <w:t>Difference between active and placebo:</w:t>
            </w:r>
          </w:p>
        </w:tc>
        <w:tc>
          <w:tcPr>
            <w:tcW w:w="1559" w:type="dxa"/>
          </w:tcPr>
          <w:p w14:paraId="24589DDB" w14:textId="77777777" w:rsidR="003E602C" w:rsidRPr="004A7AD4" w:rsidRDefault="003E602C" w:rsidP="004A7AD4">
            <w:pPr>
              <w:rPr>
                <w:sz w:val="18"/>
                <w:szCs w:val="18"/>
              </w:rPr>
            </w:pPr>
          </w:p>
        </w:tc>
        <w:tc>
          <w:tcPr>
            <w:tcW w:w="1418" w:type="dxa"/>
          </w:tcPr>
          <w:p w14:paraId="76AC92C0" w14:textId="77777777" w:rsidR="003E602C" w:rsidRPr="004A7AD4" w:rsidRDefault="003E602C" w:rsidP="004A7AD4">
            <w:pPr>
              <w:rPr>
                <w:sz w:val="18"/>
                <w:szCs w:val="18"/>
              </w:rPr>
            </w:pPr>
            <w:r w:rsidRPr="004A7AD4">
              <w:rPr>
                <w:sz w:val="18"/>
                <w:szCs w:val="18"/>
              </w:rPr>
              <w:t>10.4</w:t>
            </w:r>
          </w:p>
        </w:tc>
        <w:tc>
          <w:tcPr>
            <w:tcW w:w="1417" w:type="dxa"/>
          </w:tcPr>
          <w:p w14:paraId="5586D8CB" w14:textId="77777777" w:rsidR="003E602C" w:rsidRPr="004A7AD4" w:rsidRDefault="003E602C" w:rsidP="004A7AD4">
            <w:pPr>
              <w:rPr>
                <w:sz w:val="18"/>
                <w:szCs w:val="18"/>
              </w:rPr>
            </w:pPr>
            <w:r w:rsidRPr="004A7AD4">
              <w:rPr>
                <w:sz w:val="18"/>
                <w:szCs w:val="18"/>
              </w:rPr>
              <w:t>5.8</w:t>
            </w:r>
          </w:p>
        </w:tc>
        <w:tc>
          <w:tcPr>
            <w:tcW w:w="1401" w:type="dxa"/>
          </w:tcPr>
          <w:p w14:paraId="3137C621" w14:textId="77777777" w:rsidR="003E602C" w:rsidRPr="004A7AD4" w:rsidRDefault="003E602C" w:rsidP="004A7AD4">
            <w:pPr>
              <w:rPr>
                <w:sz w:val="18"/>
                <w:szCs w:val="18"/>
              </w:rPr>
            </w:pPr>
            <w:r w:rsidRPr="004A7AD4">
              <w:rPr>
                <w:sz w:val="18"/>
                <w:szCs w:val="18"/>
              </w:rPr>
              <w:t>4.7</w:t>
            </w:r>
          </w:p>
        </w:tc>
      </w:tr>
      <w:tr w:rsidR="003E602C" w:rsidRPr="00042C07" w14:paraId="54FF05F1" w14:textId="77777777" w:rsidTr="00E70E10">
        <w:trPr>
          <w:trHeight w:val="478"/>
        </w:trPr>
        <w:tc>
          <w:tcPr>
            <w:tcW w:w="3085" w:type="dxa"/>
          </w:tcPr>
          <w:p w14:paraId="1DD54D2F" w14:textId="77777777" w:rsidR="003E602C" w:rsidRPr="004A7AD4" w:rsidRDefault="003E602C" w:rsidP="004A7AD4">
            <w:pPr>
              <w:rPr>
                <w:sz w:val="18"/>
                <w:szCs w:val="18"/>
              </w:rPr>
            </w:pPr>
            <w:r w:rsidRPr="004A7AD4">
              <w:rPr>
                <w:sz w:val="18"/>
                <w:szCs w:val="18"/>
              </w:rPr>
              <w:t>95% CI</w:t>
            </w:r>
          </w:p>
        </w:tc>
        <w:tc>
          <w:tcPr>
            <w:tcW w:w="1559" w:type="dxa"/>
          </w:tcPr>
          <w:p w14:paraId="1AFED6A6" w14:textId="77777777" w:rsidR="003E602C" w:rsidRPr="004A7AD4" w:rsidRDefault="003E602C" w:rsidP="004A7AD4">
            <w:pPr>
              <w:rPr>
                <w:sz w:val="18"/>
                <w:szCs w:val="18"/>
              </w:rPr>
            </w:pPr>
          </w:p>
        </w:tc>
        <w:tc>
          <w:tcPr>
            <w:tcW w:w="1418" w:type="dxa"/>
          </w:tcPr>
          <w:p w14:paraId="3D7D583A" w14:textId="77777777" w:rsidR="003E602C" w:rsidRPr="004A7AD4" w:rsidRDefault="003E602C" w:rsidP="004A7AD4">
            <w:pPr>
              <w:rPr>
                <w:sz w:val="18"/>
                <w:szCs w:val="18"/>
              </w:rPr>
            </w:pPr>
            <w:r w:rsidRPr="004A7AD4">
              <w:rPr>
                <w:sz w:val="18"/>
                <w:szCs w:val="18"/>
              </w:rPr>
              <w:t>2.2, 18.7</w:t>
            </w:r>
          </w:p>
        </w:tc>
        <w:tc>
          <w:tcPr>
            <w:tcW w:w="1417" w:type="dxa"/>
          </w:tcPr>
          <w:p w14:paraId="0CAE6C36" w14:textId="77777777" w:rsidR="003E602C" w:rsidRPr="004A7AD4" w:rsidRDefault="003E602C" w:rsidP="004A7AD4">
            <w:pPr>
              <w:rPr>
                <w:sz w:val="18"/>
                <w:szCs w:val="18"/>
              </w:rPr>
            </w:pPr>
            <w:r w:rsidRPr="004A7AD4">
              <w:rPr>
                <w:sz w:val="18"/>
                <w:szCs w:val="18"/>
              </w:rPr>
              <w:t>-1.8, 13.4</w:t>
            </w:r>
          </w:p>
        </w:tc>
        <w:tc>
          <w:tcPr>
            <w:tcW w:w="1401" w:type="dxa"/>
          </w:tcPr>
          <w:p w14:paraId="1A79FD81" w14:textId="77777777" w:rsidR="003E602C" w:rsidRPr="004A7AD4" w:rsidRDefault="003E602C" w:rsidP="004A7AD4">
            <w:pPr>
              <w:rPr>
                <w:sz w:val="18"/>
                <w:szCs w:val="18"/>
              </w:rPr>
            </w:pPr>
            <w:r w:rsidRPr="004A7AD4">
              <w:rPr>
                <w:sz w:val="18"/>
                <w:szCs w:val="18"/>
              </w:rPr>
              <w:t>-2.7, 12.1</w:t>
            </w:r>
          </w:p>
        </w:tc>
      </w:tr>
      <w:tr w:rsidR="00936E62" w:rsidRPr="00042C07" w14:paraId="0DBF2C85" w14:textId="77777777" w:rsidTr="00E70E10">
        <w:trPr>
          <w:trHeight w:val="446"/>
        </w:trPr>
        <w:tc>
          <w:tcPr>
            <w:tcW w:w="3085" w:type="dxa"/>
          </w:tcPr>
          <w:p w14:paraId="5693E4B6" w14:textId="77777777" w:rsidR="00936E62" w:rsidRPr="004A7AD4" w:rsidRDefault="00936E62" w:rsidP="004A7AD4">
            <w:pPr>
              <w:rPr>
                <w:sz w:val="18"/>
                <w:szCs w:val="18"/>
              </w:rPr>
            </w:pPr>
            <w:r w:rsidRPr="004A7AD4">
              <w:rPr>
                <w:sz w:val="18"/>
                <w:szCs w:val="18"/>
              </w:rPr>
              <w:t>p-value</w:t>
            </w:r>
          </w:p>
        </w:tc>
        <w:tc>
          <w:tcPr>
            <w:tcW w:w="1559" w:type="dxa"/>
          </w:tcPr>
          <w:p w14:paraId="02BA051E" w14:textId="77777777" w:rsidR="00936E62" w:rsidRPr="004A7AD4" w:rsidRDefault="00936E62" w:rsidP="004A7AD4">
            <w:pPr>
              <w:rPr>
                <w:sz w:val="18"/>
                <w:szCs w:val="18"/>
              </w:rPr>
            </w:pPr>
          </w:p>
        </w:tc>
        <w:tc>
          <w:tcPr>
            <w:tcW w:w="1418" w:type="dxa"/>
          </w:tcPr>
          <w:p w14:paraId="35631210" w14:textId="00626442" w:rsidR="00936E62" w:rsidRPr="004A7AD4" w:rsidRDefault="00936E62" w:rsidP="004A7AD4">
            <w:pPr>
              <w:rPr>
                <w:sz w:val="18"/>
                <w:szCs w:val="18"/>
              </w:rPr>
            </w:pPr>
            <w:r w:rsidRPr="004A7AD4">
              <w:rPr>
                <w:sz w:val="18"/>
                <w:szCs w:val="18"/>
              </w:rPr>
              <w:t>0.0143</w:t>
            </w:r>
          </w:p>
        </w:tc>
        <w:tc>
          <w:tcPr>
            <w:tcW w:w="1417" w:type="dxa"/>
          </w:tcPr>
          <w:p w14:paraId="34B8B234" w14:textId="77777777" w:rsidR="00936E62" w:rsidRPr="004A7AD4" w:rsidRDefault="00936E62" w:rsidP="004A7AD4">
            <w:pPr>
              <w:rPr>
                <w:sz w:val="18"/>
                <w:szCs w:val="18"/>
              </w:rPr>
            </w:pPr>
            <w:r w:rsidRPr="004A7AD4">
              <w:rPr>
                <w:sz w:val="18"/>
                <w:szCs w:val="18"/>
              </w:rPr>
              <w:t>0.1393</w:t>
            </w:r>
          </w:p>
        </w:tc>
        <w:tc>
          <w:tcPr>
            <w:tcW w:w="1401" w:type="dxa"/>
          </w:tcPr>
          <w:p w14:paraId="2C993CD3" w14:textId="77777777" w:rsidR="00936E62" w:rsidRPr="004A7AD4" w:rsidRDefault="00936E62" w:rsidP="004A7AD4">
            <w:pPr>
              <w:rPr>
                <w:sz w:val="18"/>
                <w:szCs w:val="18"/>
              </w:rPr>
            </w:pPr>
            <w:r w:rsidRPr="004A7AD4">
              <w:rPr>
                <w:sz w:val="18"/>
                <w:szCs w:val="18"/>
              </w:rPr>
              <w:t>0.2200</w:t>
            </w:r>
          </w:p>
        </w:tc>
      </w:tr>
    </w:tbl>
    <w:p w14:paraId="7A1B90D4" w14:textId="435CF639" w:rsidR="00936E62" w:rsidRDefault="00042C07" w:rsidP="009C4AE7">
      <w:pPr>
        <w:pStyle w:val="TableDescription"/>
      </w:pPr>
      <w:r>
        <w:rPr>
          <w:rFonts w:cstheme="minorHAnsi"/>
          <w:sz w:val="18"/>
          <w:szCs w:val="18"/>
        </w:rPr>
        <w:t>Ɨ</w:t>
      </w:r>
      <w:r w:rsidR="00936E62">
        <w:t xml:space="preserve"> </w:t>
      </w:r>
      <w:proofErr w:type="gramStart"/>
      <w:r w:rsidR="00936E62" w:rsidRPr="00122F89">
        <w:t>No</w:t>
      </w:r>
      <w:r w:rsidR="00936E62">
        <w:t>t</w:t>
      </w:r>
      <w:proofErr w:type="gramEnd"/>
      <w:r w:rsidR="00936E62">
        <w:t xml:space="preserve"> powered to show statistical significance </w:t>
      </w:r>
      <w:r w:rsidR="00D47D3B">
        <w:t>versus</w:t>
      </w:r>
      <w:r w:rsidR="00936E62">
        <w:t xml:space="preserve"> the </w:t>
      </w:r>
      <w:r w:rsidR="00271024">
        <w:t xml:space="preserve">budesonide </w:t>
      </w:r>
      <w:r w:rsidR="00936E62">
        <w:t>MMX</w:t>
      </w:r>
      <w:r w:rsidR="00E87C57">
        <w:t xml:space="preserve"> groups.</w:t>
      </w:r>
    </w:p>
    <w:p w14:paraId="0E8FFCCB" w14:textId="3AEB1D39" w:rsidR="00870137" w:rsidRDefault="000D7501" w:rsidP="00401F64">
      <w:pPr>
        <w:pStyle w:val="TableTitle"/>
        <w:pageBreakBefore/>
      </w:pPr>
      <w:proofErr w:type="gramStart"/>
      <w:r>
        <w:lastRenderedPageBreak/>
        <w:t>Table 7</w:t>
      </w:r>
      <w:r w:rsidR="00870137" w:rsidRPr="00870137">
        <w:t>.</w:t>
      </w:r>
      <w:proofErr w:type="gramEnd"/>
      <w:r w:rsidR="00870137" w:rsidRPr="00870137">
        <w:t xml:space="preserve"> Study CB-01-01/01. </w:t>
      </w:r>
      <w:r w:rsidR="00870137">
        <w:t xml:space="preserve">Remission rates for the </w:t>
      </w:r>
      <w:r w:rsidR="00870137" w:rsidRPr="00870137">
        <w:t>PP populati</w:t>
      </w:r>
      <w:r w:rsidR="00870137">
        <w:t>on</w:t>
      </w:r>
      <w:r w:rsidR="00870137" w:rsidRPr="00870137">
        <w:t xml:space="preserve"> after 8 weeks.</w:t>
      </w:r>
    </w:p>
    <w:tbl>
      <w:tblPr>
        <w:tblStyle w:val="TableTGAblue"/>
        <w:tblW w:w="8880" w:type="dxa"/>
        <w:tblLook w:val="04A0" w:firstRow="1" w:lastRow="0" w:firstColumn="1" w:lastColumn="0" w:noHBand="0" w:noVBand="1"/>
      </w:tblPr>
      <w:tblGrid>
        <w:gridCol w:w="3085"/>
        <w:gridCol w:w="1559"/>
        <w:gridCol w:w="1418"/>
        <w:gridCol w:w="1417"/>
        <w:gridCol w:w="1401"/>
      </w:tblGrid>
      <w:tr w:rsidR="00E70E10" w:rsidRPr="00042C07" w14:paraId="5B342B44" w14:textId="77777777" w:rsidTr="00E70E10">
        <w:trPr>
          <w:cnfStyle w:val="100000000000" w:firstRow="1" w:lastRow="0" w:firstColumn="0" w:lastColumn="0" w:oddVBand="0" w:evenVBand="0" w:oddHBand="0" w:evenHBand="0" w:firstRowFirstColumn="0" w:firstRowLastColumn="0" w:lastRowFirstColumn="0" w:lastRowLastColumn="0"/>
          <w:trHeight w:val="734"/>
        </w:trPr>
        <w:tc>
          <w:tcPr>
            <w:tcW w:w="3085" w:type="dxa"/>
          </w:tcPr>
          <w:p w14:paraId="44E1C140" w14:textId="77777777" w:rsidR="00E70E10" w:rsidRPr="004A7AD4" w:rsidRDefault="00E70E10" w:rsidP="004A7AD4">
            <w:pPr>
              <w:rPr>
                <w:sz w:val="18"/>
                <w:szCs w:val="18"/>
              </w:rPr>
            </w:pPr>
            <w:r w:rsidRPr="004A7AD4">
              <w:rPr>
                <w:sz w:val="18"/>
                <w:szCs w:val="18"/>
              </w:rPr>
              <w:t>PP population</w:t>
            </w:r>
          </w:p>
        </w:tc>
        <w:tc>
          <w:tcPr>
            <w:tcW w:w="1559" w:type="dxa"/>
          </w:tcPr>
          <w:p w14:paraId="23BF955C" w14:textId="77777777" w:rsidR="00E70E10" w:rsidRPr="004A7AD4" w:rsidRDefault="00E70E10" w:rsidP="004A7AD4">
            <w:pPr>
              <w:rPr>
                <w:sz w:val="18"/>
                <w:szCs w:val="18"/>
              </w:rPr>
            </w:pPr>
            <w:r w:rsidRPr="004A7AD4">
              <w:rPr>
                <w:sz w:val="18"/>
                <w:szCs w:val="18"/>
              </w:rPr>
              <w:t>Placebo N=61</w:t>
            </w:r>
          </w:p>
        </w:tc>
        <w:tc>
          <w:tcPr>
            <w:tcW w:w="1418" w:type="dxa"/>
          </w:tcPr>
          <w:p w14:paraId="07D1AD7D" w14:textId="77777777" w:rsidR="00E70E10" w:rsidRPr="004A7AD4" w:rsidRDefault="00E70E10" w:rsidP="004A7AD4">
            <w:pPr>
              <w:rPr>
                <w:sz w:val="18"/>
                <w:szCs w:val="18"/>
              </w:rPr>
            </w:pPr>
            <w:r w:rsidRPr="004A7AD4">
              <w:rPr>
                <w:sz w:val="18"/>
                <w:szCs w:val="18"/>
              </w:rPr>
              <w:t>MMX 9 mg N=69</w:t>
            </w:r>
          </w:p>
        </w:tc>
        <w:tc>
          <w:tcPr>
            <w:tcW w:w="1417" w:type="dxa"/>
          </w:tcPr>
          <w:p w14:paraId="11F93754" w14:textId="77777777" w:rsidR="00E70E10" w:rsidRPr="004A7AD4" w:rsidRDefault="00E70E10" w:rsidP="004A7AD4">
            <w:pPr>
              <w:rPr>
                <w:sz w:val="18"/>
                <w:szCs w:val="18"/>
              </w:rPr>
            </w:pPr>
            <w:r w:rsidRPr="004A7AD4">
              <w:rPr>
                <w:sz w:val="18"/>
                <w:szCs w:val="18"/>
              </w:rPr>
              <w:t>MMX 6 mg N=72</w:t>
            </w:r>
          </w:p>
        </w:tc>
        <w:tc>
          <w:tcPr>
            <w:tcW w:w="1401" w:type="dxa"/>
          </w:tcPr>
          <w:p w14:paraId="20CC5DB8" w14:textId="59ACD5A6" w:rsidR="00E70E10" w:rsidRPr="004A7AD4" w:rsidRDefault="00E70E10" w:rsidP="004A7AD4">
            <w:pPr>
              <w:rPr>
                <w:sz w:val="18"/>
                <w:szCs w:val="18"/>
              </w:rPr>
            </w:pPr>
            <w:proofErr w:type="spellStart"/>
            <w:r w:rsidRPr="004A7AD4">
              <w:rPr>
                <w:sz w:val="18"/>
                <w:szCs w:val="18"/>
              </w:rPr>
              <w:t>Asacol</w:t>
            </w:r>
            <w:proofErr w:type="spellEnd"/>
            <w:r w:rsidRPr="004A7AD4">
              <w:rPr>
                <w:sz w:val="18"/>
                <w:szCs w:val="18"/>
              </w:rPr>
              <w:t xml:space="preserve"> </w:t>
            </w:r>
            <w:r w:rsidRPr="004A7AD4">
              <w:rPr>
                <w:sz w:val="18"/>
                <w:szCs w:val="18"/>
                <w:vertAlign w:val="superscript"/>
              </w:rPr>
              <w:t>Ɨ</w:t>
            </w:r>
            <w:r w:rsidR="00042C07">
              <w:rPr>
                <w:sz w:val="18"/>
                <w:szCs w:val="18"/>
              </w:rPr>
              <w:t xml:space="preserve"> </w:t>
            </w:r>
            <w:r w:rsidRPr="004A7AD4">
              <w:rPr>
                <w:sz w:val="18"/>
                <w:szCs w:val="18"/>
              </w:rPr>
              <w:t>N=73</w:t>
            </w:r>
          </w:p>
        </w:tc>
      </w:tr>
      <w:tr w:rsidR="00E70E10" w:rsidRPr="00042C07" w14:paraId="09C9C15A" w14:textId="77777777" w:rsidTr="00E70E10">
        <w:trPr>
          <w:trHeight w:val="477"/>
        </w:trPr>
        <w:tc>
          <w:tcPr>
            <w:tcW w:w="3085" w:type="dxa"/>
          </w:tcPr>
          <w:p w14:paraId="7B6CBE38" w14:textId="77777777" w:rsidR="00E70E10" w:rsidRPr="004A7AD4" w:rsidRDefault="00E70E10" w:rsidP="004A7AD4">
            <w:pPr>
              <w:rPr>
                <w:sz w:val="18"/>
                <w:szCs w:val="18"/>
              </w:rPr>
            </w:pPr>
            <w:r w:rsidRPr="004A7AD4">
              <w:rPr>
                <w:sz w:val="18"/>
                <w:szCs w:val="18"/>
              </w:rPr>
              <w:t>Remission: n (%)</w:t>
            </w:r>
          </w:p>
        </w:tc>
        <w:tc>
          <w:tcPr>
            <w:tcW w:w="1559" w:type="dxa"/>
          </w:tcPr>
          <w:p w14:paraId="15CA677A" w14:textId="77777777" w:rsidR="00E70E10" w:rsidRPr="004A7AD4" w:rsidRDefault="00E70E10" w:rsidP="004A7AD4">
            <w:pPr>
              <w:rPr>
                <w:sz w:val="18"/>
                <w:szCs w:val="18"/>
              </w:rPr>
            </w:pPr>
            <w:r w:rsidRPr="004A7AD4">
              <w:rPr>
                <w:sz w:val="18"/>
                <w:szCs w:val="18"/>
              </w:rPr>
              <w:t>5 (8.2)</w:t>
            </w:r>
          </w:p>
        </w:tc>
        <w:tc>
          <w:tcPr>
            <w:tcW w:w="1418" w:type="dxa"/>
          </w:tcPr>
          <w:p w14:paraId="10F073FD" w14:textId="77777777" w:rsidR="00E70E10" w:rsidRPr="004A7AD4" w:rsidRDefault="00E70E10" w:rsidP="004A7AD4">
            <w:pPr>
              <w:rPr>
                <w:sz w:val="18"/>
                <w:szCs w:val="18"/>
              </w:rPr>
            </w:pPr>
            <w:r w:rsidRPr="004A7AD4">
              <w:rPr>
                <w:sz w:val="18"/>
                <w:szCs w:val="18"/>
              </w:rPr>
              <w:t>20 (29.0)</w:t>
            </w:r>
          </w:p>
        </w:tc>
        <w:tc>
          <w:tcPr>
            <w:tcW w:w="1417" w:type="dxa"/>
          </w:tcPr>
          <w:p w14:paraId="739E5B04" w14:textId="77777777" w:rsidR="00E70E10" w:rsidRPr="004A7AD4" w:rsidRDefault="00E70E10" w:rsidP="004A7AD4">
            <w:pPr>
              <w:rPr>
                <w:sz w:val="18"/>
                <w:szCs w:val="18"/>
              </w:rPr>
            </w:pPr>
            <w:r w:rsidRPr="004A7AD4">
              <w:rPr>
                <w:sz w:val="18"/>
                <w:szCs w:val="18"/>
              </w:rPr>
              <w:t>11 (15.30)</w:t>
            </w:r>
          </w:p>
        </w:tc>
        <w:tc>
          <w:tcPr>
            <w:tcW w:w="1401" w:type="dxa"/>
          </w:tcPr>
          <w:p w14:paraId="1D16ABCE" w14:textId="77777777" w:rsidR="00E70E10" w:rsidRPr="004A7AD4" w:rsidRDefault="00E70E10" w:rsidP="004A7AD4">
            <w:pPr>
              <w:rPr>
                <w:sz w:val="18"/>
                <w:szCs w:val="18"/>
              </w:rPr>
            </w:pPr>
            <w:r w:rsidRPr="004A7AD4">
              <w:rPr>
                <w:sz w:val="18"/>
                <w:szCs w:val="18"/>
              </w:rPr>
              <w:t>10 (13.7)</w:t>
            </w:r>
          </w:p>
        </w:tc>
      </w:tr>
      <w:tr w:rsidR="00E70E10" w:rsidRPr="00042C07" w14:paraId="1F0BCDE5" w14:textId="77777777" w:rsidTr="00E70E10">
        <w:trPr>
          <w:trHeight w:val="477"/>
        </w:trPr>
        <w:tc>
          <w:tcPr>
            <w:tcW w:w="3085" w:type="dxa"/>
          </w:tcPr>
          <w:p w14:paraId="1C0B4010" w14:textId="77777777" w:rsidR="00E70E10" w:rsidRPr="004A7AD4" w:rsidRDefault="00E70E10" w:rsidP="004A7AD4">
            <w:pPr>
              <w:rPr>
                <w:sz w:val="18"/>
                <w:szCs w:val="18"/>
              </w:rPr>
            </w:pPr>
            <w:r w:rsidRPr="004A7AD4">
              <w:rPr>
                <w:sz w:val="18"/>
                <w:szCs w:val="18"/>
              </w:rPr>
              <w:t>95% CI for remission rate (%)</w:t>
            </w:r>
          </w:p>
        </w:tc>
        <w:tc>
          <w:tcPr>
            <w:tcW w:w="1559" w:type="dxa"/>
          </w:tcPr>
          <w:p w14:paraId="76A55949" w14:textId="77777777" w:rsidR="00E70E10" w:rsidRPr="004A7AD4" w:rsidRDefault="00E70E10" w:rsidP="004A7AD4">
            <w:pPr>
              <w:rPr>
                <w:sz w:val="18"/>
                <w:szCs w:val="18"/>
              </w:rPr>
            </w:pPr>
            <w:r w:rsidRPr="004A7AD4">
              <w:rPr>
                <w:sz w:val="18"/>
                <w:szCs w:val="18"/>
              </w:rPr>
              <w:t>1.3, 15.1</w:t>
            </w:r>
          </w:p>
        </w:tc>
        <w:tc>
          <w:tcPr>
            <w:tcW w:w="1418" w:type="dxa"/>
          </w:tcPr>
          <w:p w14:paraId="405F3D8E" w14:textId="77777777" w:rsidR="00E70E10" w:rsidRPr="004A7AD4" w:rsidRDefault="00E70E10" w:rsidP="004A7AD4">
            <w:pPr>
              <w:rPr>
                <w:sz w:val="18"/>
                <w:szCs w:val="18"/>
              </w:rPr>
            </w:pPr>
            <w:r w:rsidRPr="004A7AD4">
              <w:rPr>
                <w:sz w:val="18"/>
                <w:szCs w:val="18"/>
              </w:rPr>
              <w:t>18.3, 39.7</w:t>
            </w:r>
          </w:p>
        </w:tc>
        <w:tc>
          <w:tcPr>
            <w:tcW w:w="1417" w:type="dxa"/>
          </w:tcPr>
          <w:p w14:paraId="20C94A21" w14:textId="77777777" w:rsidR="00E70E10" w:rsidRPr="004A7AD4" w:rsidRDefault="00E70E10" w:rsidP="004A7AD4">
            <w:pPr>
              <w:rPr>
                <w:sz w:val="18"/>
                <w:szCs w:val="18"/>
              </w:rPr>
            </w:pPr>
            <w:r w:rsidRPr="004A7AD4">
              <w:rPr>
                <w:sz w:val="18"/>
                <w:szCs w:val="18"/>
              </w:rPr>
              <w:t>7.0, 23.6</w:t>
            </w:r>
          </w:p>
        </w:tc>
        <w:tc>
          <w:tcPr>
            <w:tcW w:w="1401" w:type="dxa"/>
          </w:tcPr>
          <w:p w14:paraId="652D89C9" w14:textId="77777777" w:rsidR="00E70E10" w:rsidRPr="004A7AD4" w:rsidRDefault="00E70E10" w:rsidP="004A7AD4">
            <w:pPr>
              <w:rPr>
                <w:sz w:val="18"/>
                <w:szCs w:val="18"/>
              </w:rPr>
            </w:pPr>
            <w:r w:rsidRPr="004A7AD4">
              <w:rPr>
                <w:sz w:val="18"/>
                <w:szCs w:val="18"/>
              </w:rPr>
              <w:t>5.8, 21.6</w:t>
            </w:r>
          </w:p>
        </w:tc>
      </w:tr>
      <w:tr w:rsidR="00E70E10" w:rsidRPr="00042C07" w14:paraId="18526C15" w14:textId="77777777" w:rsidTr="00E70E10">
        <w:trPr>
          <w:trHeight w:val="489"/>
        </w:trPr>
        <w:tc>
          <w:tcPr>
            <w:tcW w:w="3085" w:type="dxa"/>
          </w:tcPr>
          <w:p w14:paraId="22E696EC" w14:textId="77777777" w:rsidR="00E70E10" w:rsidRPr="004A7AD4" w:rsidRDefault="00E70E10" w:rsidP="004A7AD4">
            <w:pPr>
              <w:rPr>
                <w:sz w:val="18"/>
                <w:szCs w:val="18"/>
              </w:rPr>
            </w:pPr>
            <w:r w:rsidRPr="004A7AD4">
              <w:rPr>
                <w:sz w:val="18"/>
                <w:szCs w:val="18"/>
              </w:rPr>
              <w:t>Difference between active and placebo:</w:t>
            </w:r>
          </w:p>
        </w:tc>
        <w:tc>
          <w:tcPr>
            <w:tcW w:w="1559" w:type="dxa"/>
          </w:tcPr>
          <w:p w14:paraId="03388F37" w14:textId="77777777" w:rsidR="00E70E10" w:rsidRPr="004A7AD4" w:rsidRDefault="00E70E10" w:rsidP="004A7AD4">
            <w:pPr>
              <w:rPr>
                <w:sz w:val="18"/>
                <w:szCs w:val="18"/>
              </w:rPr>
            </w:pPr>
          </w:p>
        </w:tc>
        <w:tc>
          <w:tcPr>
            <w:tcW w:w="1418" w:type="dxa"/>
          </w:tcPr>
          <w:p w14:paraId="2BDADC4A" w14:textId="77777777" w:rsidR="00E70E10" w:rsidRPr="004A7AD4" w:rsidRDefault="00E70E10" w:rsidP="004A7AD4">
            <w:pPr>
              <w:rPr>
                <w:sz w:val="18"/>
                <w:szCs w:val="18"/>
              </w:rPr>
            </w:pPr>
            <w:r w:rsidRPr="004A7AD4">
              <w:rPr>
                <w:sz w:val="18"/>
                <w:szCs w:val="18"/>
              </w:rPr>
              <w:t>20.8</w:t>
            </w:r>
          </w:p>
        </w:tc>
        <w:tc>
          <w:tcPr>
            <w:tcW w:w="1417" w:type="dxa"/>
          </w:tcPr>
          <w:p w14:paraId="0641DC47" w14:textId="77777777" w:rsidR="00E70E10" w:rsidRPr="004A7AD4" w:rsidRDefault="00E70E10" w:rsidP="004A7AD4">
            <w:pPr>
              <w:rPr>
                <w:sz w:val="18"/>
                <w:szCs w:val="18"/>
              </w:rPr>
            </w:pPr>
            <w:r w:rsidRPr="004A7AD4">
              <w:rPr>
                <w:sz w:val="18"/>
                <w:szCs w:val="18"/>
              </w:rPr>
              <w:t>7.1</w:t>
            </w:r>
          </w:p>
        </w:tc>
        <w:tc>
          <w:tcPr>
            <w:tcW w:w="1401" w:type="dxa"/>
          </w:tcPr>
          <w:p w14:paraId="27AC4EA9" w14:textId="77777777" w:rsidR="00E70E10" w:rsidRPr="004A7AD4" w:rsidRDefault="00E70E10" w:rsidP="004A7AD4">
            <w:pPr>
              <w:rPr>
                <w:sz w:val="18"/>
                <w:szCs w:val="18"/>
              </w:rPr>
            </w:pPr>
            <w:r w:rsidRPr="004A7AD4">
              <w:rPr>
                <w:sz w:val="18"/>
                <w:szCs w:val="18"/>
              </w:rPr>
              <w:t>5.5</w:t>
            </w:r>
          </w:p>
        </w:tc>
      </w:tr>
      <w:tr w:rsidR="00E70E10" w:rsidRPr="00042C07" w14:paraId="04A2A962" w14:textId="77777777" w:rsidTr="00E70E10">
        <w:trPr>
          <w:trHeight w:val="477"/>
        </w:trPr>
        <w:tc>
          <w:tcPr>
            <w:tcW w:w="3085" w:type="dxa"/>
          </w:tcPr>
          <w:p w14:paraId="2D092E6F" w14:textId="77777777" w:rsidR="00E70E10" w:rsidRPr="004A7AD4" w:rsidRDefault="00E70E10" w:rsidP="004A7AD4">
            <w:pPr>
              <w:rPr>
                <w:sz w:val="18"/>
                <w:szCs w:val="18"/>
              </w:rPr>
            </w:pPr>
            <w:r w:rsidRPr="004A7AD4">
              <w:rPr>
                <w:sz w:val="18"/>
                <w:szCs w:val="18"/>
              </w:rPr>
              <w:t>95%CI</w:t>
            </w:r>
          </w:p>
        </w:tc>
        <w:tc>
          <w:tcPr>
            <w:tcW w:w="1559" w:type="dxa"/>
          </w:tcPr>
          <w:p w14:paraId="544712C4" w14:textId="77777777" w:rsidR="00E70E10" w:rsidRPr="004A7AD4" w:rsidRDefault="00E70E10" w:rsidP="004A7AD4">
            <w:pPr>
              <w:rPr>
                <w:sz w:val="18"/>
                <w:szCs w:val="18"/>
              </w:rPr>
            </w:pPr>
          </w:p>
        </w:tc>
        <w:tc>
          <w:tcPr>
            <w:tcW w:w="1418" w:type="dxa"/>
          </w:tcPr>
          <w:p w14:paraId="45A7DD1E" w14:textId="77777777" w:rsidR="00E70E10" w:rsidRPr="004A7AD4" w:rsidRDefault="00E70E10" w:rsidP="004A7AD4">
            <w:pPr>
              <w:rPr>
                <w:sz w:val="18"/>
                <w:szCs w:val="18"/>
              </w:rPr>
            </w:pPr>
            <w:r w:rsidRPr="004A7AD4">
              <w:rPr>
                <w:sz w:val="18"/>
                <w:szCs w:val="18"/>
              </w:rPr>
              <w:t>8.1, 33.5</w:t>
            </w:r>
          </w:p>
        </w:tc>
        <w:tc>
          <w:tcPr>
            <w:tcW w:w="1417" w:type="dxa"/>
          </w:tcPr>
          <w:p w14:paraId="53DAA1A9" w14:textId="77777777" w:rsidR="00E70E10" w:rsidRPr="004A7AD4" w:rsidRDefault="00E70E10" w:rsidP="004A7AD4">
            <w:pPr>
              <w:rPr>
                <w:sz w:val="18"/>
                <w:szCs w:val="18"/>
              </w:rPr>
            </w:pPr>
            <w:r w:rsidRPr="004A7AD4">
              <w:rPr>
                <w:sz w:val="18"/>
                <w:szCs w:val="18"/>
              </w:rPr>
              <w:t>-3.7, 17.9</w:t>
            </w:r>
          </w:p>
        </w:tc>
        <w:tc>
          <w:tcPr>
            <w:tcW w:w="1401" w:type="dxa"/>
          </w:tcPr>
          <w:p w14:paraId="0578C177" w14:textId="77777777" w:rsidR="00E70E10" w:rsidRPr="004A7AD4" w:rsidRDefault="00E70E10" w:rsidP="004A7AD4">
            <w:pPr>
              <w:rPr>
                <w:sz w:val="18"/>
                <w:szCs w:val="18"/>
              </w:rPr>
            </w:pPr>
            <w:r w:rsidRPr="004A7AD4">
              <w:rPr>
                <w:sz w:val="18"/>
                <w:szCs w:val="18"/>
              </w:rPr>
              <w:t>-5.0, 16.0</w:t>
            </w:r>
          </w:p>
        </w:tc>
      </w:tr>
      <w:tr w:rsidR="00E70E10" w:rsidRPr="00042C07" w14:paraId="2EF2AEE6" w14:textId="77777777" w:rsidTr="00E70E10">
        <w:trPr>
          <w:trHeight w:val="489"/>
        </w:trPr>
        <w:tc>
          <w:tcPr>
            <w:tcW w:w="3085" w:type="dxa"/>
          </w:tcPr>
          <w:p w14:paraId="6F48BC16" w14:textId="77777777" w:rsidR="00E70E10" w:rsidRPr="004A7AD4" w:rsidRDefault="00E70E10" w:rsidP="004A7AD4">
            <w:pPr>
              <w:rPr>
                <w:sz w:val="18"/>
                <w:szCs w:val="18"/>
              </w:rPr>
            </w:pPr>
            <w:r w:rsidRPr="004A7AD4">
              <w:rPr>
                <w:sz w:val="18"/>
                <w:szCs w:val="18"/>
              </w:rPr>
              <w:t>p-value</w:t>
            </w:r>
          </w:p>
        </w:tc>
        <w:tc>
          <w:tcPr>
            <w:tcW w:w="1559" w:type="dxa"/>
          </w:tcPr>
          <w:p w14:paraId="54648DA1" w14:textId="77777777" w:rsidR="00E70E10" w:rsidRPr="004A7AD4" w:rsidRDefault="00E70E10" w:rsidP="004A7AD4">
            <w:pPr>
              <w:rPr>
                <w:sz w:val="18"/>
                <w:szCs w:val="18"/>
              </w:rPr>
            </w:pPr>
          </w:p>
        </w:tc>
        <w:tc>
          <w:tcPr>
            <w:tcW w:w="1418" w:type="dxa"/>
          </w:tcPr>
          <w:p w14:paraId="309A3A39" w14:textId="77777777" w:rsidR="00E70E10" w:rsidRPr="004A7AD4" w:rsidRDefault="00E70E10" w:rsidP="004A7AD4">
            <w:pPr>
              <w:rPr>
                <w:sz w:val="18"/>
                <w:szCs w:val="18"/>
              </w:rPr>
            </w:pPr>
            <w:r w:rsidRPr="004A7AD4">
              <w:rPr>
                <w:sz w:val="18"/>
                <w:szCs w:val="18"/>
              </w:rPr>
              <w:t>0.0027*</w:t>
            </w:r>
          </w:p>
        </w:tc>
        <w:tc>
          <w:tcPr>
            <w:tcW w:w="1417" w:type="dxa"/>
          </w:tcPr>
          <w:p w14:paraId="27B8634B" w14:textId="77777777" w:rsidR="00E70E10" w:rsidRPr="004A7AD4" w:rsidRDefault="00E70E10" w:rsidP="004A7AD4">
            <w:pPr>
              <w:rPr>
                <w:sz w:val="18"/>
                <w:szCs w:val="18"/>
              </w:rPr>
            </w:pPr>
            <w:r w:rsidRPr="004A7AD4">
              <w:rPr>
                <w:sz w:val="18"/>
                <w:szCs w:val="18"/>
              </w:rPr>
              <w:t>0.2110</w:t>
            </w:r>
          </w:p>
        </w:tc>
        <w:tc>
          <w:tcPr>
            <w:tcW w:w="1401" w:type="dxa"/>
          </w:tcPr>
          <w:p w14:paraId="67C5EBC4" w14:textId="77777777" w:rsidR="00E70E10" w:rsidRPr="004A7AD4" w:rsidRDefault="00E70E10" w:rsidP="004A7AD4">
            <w:pPr>
              <w:rPr>
                <w:sz w:val="18"/>
                <w:szCs w:val="18"/>
              </w:rPr>
            </w:pPr>
            <w:r w:rsidRPr="004A7AD4">
              <w:rPr>
                <w:sz w:val="18"/>
                <w:szCs w:val="18"/>
              </w:rPr>
              <w:t>0.3144</w:t>
            </w:r>
          </w:p>
        </w:tc>
      </w:tr>
    </w:tbl>
    <w:p w14:paraId="2F2C683A" w14:textId="77777777" w:rsidR="00E70E10" w:rsidRPr="00936E62" w:rsidRDefault="00870137" w:rsidP="004A7AD4">
      <w:pPr>
        <w:pStyle w:val="TableDescription"/>
      </w:pPr>
      <w:r w:rsidRPr="00870137">
        <w:t xml:space="preserve">Ɨ </w:t>
      </w:r>
      <w:proofErr w:type="gramStart"/>
      <w:r w:rsidRPr="00870137">
        <w:t>Not</w:t>
      </w:r>
      <w:proofErr w:type="gramEnd"/>
      <w:r w:rsidRPr="00870137">
        <w:t xml:space="preserve"> powered to show statistical significance versus the budesonide MMX groups.</w:t>
      </w:r>
    </w:p>
    <w:p w14:paraId="55A73529" w14:textId="77777777" w:rsidR="00936E62" w:rsidRPr="00E87C57" w:rsidRDefault="00936E62" w:rsidP="00E87C57">
      <w:pPr>
        <w:pStyle w:val="ListBullet"/>
      </w:pPr>
      <w:r w:rsidRPr="00E87C57">
        <w:t>Subgroup analysis of remission by gender, age and geographic region revealed that females appeared to respond better than males, patients in the great median age subgroup appeared to respond better than others, and India showed greater remission rates than patients from other countries.</w:t>
      </w:r>
    </w:p>
    <w:p w14:paraId="0AAF59AA" w14:textId="77777777" w:rsidR="00936E62" w:rsidRPr="00E87C57" w:rsidRDefault="00936E62" w:rsidP="00E87C57">
      <w:r w:rsidRPr="00E87C57">
        <w:t>Secondary and other efficacy outcomes as per the CE:</w:t>
      </w:r>
    </w:p>
    <w:p w14:paraId="040F743A" w14:textId="77777777" w:rsidR="00936E62" w:rsidRPr="00E87C57" w:rsidRDefault="00936E62" w:rsidP="00C54E04">
      <w:pPr>
        <w:pStyle w:val="ListBullet"/>
      </w:pPr>
      <w:r w:rsidRPr="00E87C57">
        <w:t>With the exception of symptom resolution, the differences between the treatment and placebo groups regarding both the secondary and other efficacy endpoints were not statistically significant.</w:t>
      </w:r>
    </w:p>
    <w:p w14:paraId="5FEA81A7" w14:textId="77777777" w:rsidR="00936E62" w:rsidRPr="00E87C57" w:rsidRDefault="00936E62" w:rsidP="00C54E04">
      <w:pPr>
        <w:pStyle w:val="ListBullet"/>
      </w:pPr>
      <w:r w:rsidRPr="00E87C57">
        <w:t xml:space="preserve">For symptom resolution, the changes in both </w:t>
      </w:r>
      <w:r w:rsidR="00271024">
        <w:t xml:space="preserve">budesonide </w:t>
      </w:r>
      <w:r w:rsidRPr="00E87C57">
        <w:t>MMX 9 mg and 6 mg groups when compared with the placebo group, reached st</w:t>
      </w:r>
      <w:r w:rsidR="00E87C57">
        <w:t xml:space="preserve">atistical significance in worse </w:t>
      </w:r>
      <w:r w:rsidRPr="00E87C57">
        <w:t>case analysis (</w:t>
      </w:r>
      <w:r w:rsidR="00845F42">
        <w:t xml:space="preserve">p </w:t>
      </w:r>
      <w:r w:rsidR="00D47D3B">
        <w:t>=</w:t>
      </w:r>
      <w:r w:rsidR="00845F42">
        <w:t xml:space="preserve"> </w:t>
      </w:r>
      <w:r w:rsidR="00D47D3B">
        <w:t>0.0258 and</w:t>
      </w:r>
      <w:r w:rsidR="00845F42">
        <w:t xml:space="preserve"> 0.0214</w:t>
      </w:r>
      <w:r w:rsidRPr="00E87C57">
        <w:t xml:space="preserve"> respectively). Neverth</w:t>
      </w:r>
      <w:r w:rsidR="00E87C57">
        <w:t xml:space="preserve">eless, analysis of the observed </w:t>
      </w:r>
      <w:r w:rsidRPr="00E87C57">
        <w:t>case data did not demonstrate a statistically significant difference between the placebo and any of the treatment g</w:t>
      </w:r>
      <w:r w:rsidR="00D47D3B">
        <w:t>roups (44.9%, 43.2% and</w:t>
      </w:r>
      <w:r w:rsidRPr="00E87C57">
        <w:t xml:space="preserve"> 36.0% in the </w:t>
      </w:r>
      <w:r w:rsidR="00271024">
        <w:t xml:space="preserve">budesonide </w:t>
      </w:r>
      <w:r w:rsidRPr="00E87C57">
        <w:t xml:space="preserve">MMX 9 mg, </w:t>
      </w:r>
      <w:r w:rsidR="00271024">
        <w:t xml:space="preserve">budesonide </w:t>
      </w:r>
      <w:r w:rsidR="00870137">
        <w:t>MMX 6 mg and</w:t>
      </w:r>
      <w:r w:rsidRPr="00E87C57">
        <w:t xml:space="preserve"> </w:t>
      </w:r>
      <w:proofErr w:type="spellStart"/>
      <w:r w:rsidRPr="00E87C57">
        <w:t>Asacol</w:t>
      </w:r>
      <w:proofErr w:type="spellEnd"/>
      <w:r w:rsidRPr="00E87C57">
        <w:t xml:space="preserve"> groups, respectively </w:t>
      </w:r>
      <w:r w:rsidR="00E87C57">
        <w:t xml:space="preserve">versus placebo 29.9%) with </w:t>
      </w:r>
      <w:r w:rsidRPr="00E87C57">
        <w:t>respec</w:t>
      </w:r>
      <w:r w:rsidR="00D47D3B">
        <w:t>tive p values of 0.0631, 0.0941 and</w:t>
      </w:r>
      <w:r w:rsidRPr="00E87C57">
        <w:t xml:space="preserve"> 0.4199 for the three treatment groups.</w:t>
      </w:r>
    </w:p>
    <w:p w14:paraId="427CC06E" w14:textId="77777777" w:rsidR="00936E62" w:rsidRPr="00E87C57" w:rsidRDefault="00936E62" w:rsidP="00C54E04">
      <w:pPr>
        <w:pStyle w:val="ListBullet"/>
      </w:pPr>
      <w:r w:rsidRPr="00E87C57">
        <w:t>In case of histological healing, the percentage of patients with this endpoint parameter was less in t</w:t>
      </w:r>
      <w:r w:rsidR="00D47D3B">
        <w:t xml:space="preserve">he </w:t>
      </w:r>
      <w:r w:rsidR="00271024">
        <w:t xml:space="preserve">budesonide </w:t>
      </w:r>
      <w:r w:rsidR="00D47D3B">
        <w:t>MMX 9</w:t>
      </w:r>
      <w:r w:rsidR="00870137">
        <w:t xml:space="preserve"> </w:t>
      </w:r>
      <w:r w:rsidR="00D47D3B">
        <w:t>mg (4.1%) compared with</w:t>
      </w:r>
      <w:r w:rsidRPr="00E87C57">
        <w:t xml:space="preserve"> the placebo (6.6%) group, although the difference was not statistically significant.</w:t>
      </w:r>
    </w:p>
    <w:p w14:paraId="46EF10DB" w14:textId="77777777" w:rsidR="00936E62" w:rsidRPr="00E87C57" w:rsidRDefault="00936E62" w:rsidP="00C54E04">
      <w:pPr>
        <w:pStyle w:val="ListBullet"/>
      </w:pPr>
      <w:r w:rsidRPr="00E87C57">
        <w:t>Overall, while somewhat supportive, results for the secondary and other efficacy endpoints did not appear to be very convincing.</w:t>
      </w:r>
    </w:p>
    <w:p w14:paraId="5C6673AE" w14:textId="77777777" w:rsidR="00936E62" w:rsidRPr="00936E62" w:rsidRDefault="00936E62" w:rsidP="00E87C57">
      <w:pPr>
        <w:pStyle w:val="Heading6"/>
      </w:pPr>
      <w:r w:rsidRPr="00936E62">
        <w:t>Study CB-01-02/02</w:t>
      </w:r>
    </w:p>
    <w:p w14:paraId="6170B70C" w14:textId="77777777" w:rsidR="00936E62" w:rsidRDefault="00936E62" w:rsidP="00936E62">
      <w:r w:rsidRPr="00936E62">
        <w:t xml:space="preserve">This multi-centre </w:t>
      </w:r>
      <w:r w:rsidR="00E87C57">
        <w:t xml:space="preserve">study was of randomised, double blind, double dummy, parallel </w:t>
      </w:r>
      <w:r w:rsidRPr="00936E62">
        <w:t xml:space="preserve">group comparative design in patients with mild or moderate active UC. The study compared the </w:t>
      </w:r>
      <w:r w:rsidR="00271024">
        <w:t xml:space="preserve">budesonide </w:t>
      </w:r>
      <w:r w:rsidRPr="00936E62">
        <w:t xml:space="preserve">MMX 6 mg and 9 mg tablets to placebo and also compared </w:t>
      </w:r>
      <w:proofErr w:type="spellStart"/>
      <w:r w:rsidRPr="00936E62">
        <w:t>Entocort</w:t>
      </w:r>
      <w:proofErr w:type="spellEnd"/>
      <w:r w:rsidRPr="00936E62">
        <w:t xml:space="preserve"> 3 x 3 mg capsu</w:t>
      </w:r>
      <w:r w:rsidR="00E87C57">
        <w:t xml:space="preserve">les (9 mg) to placebo over an 8 </w:t>
      </w:r>
      <w:r w:rsidRPr="00936E62">
        <w:t>week treatment period. Eli</w:t>
      </w:r>
      <w:r w:rsidR="00E87C57">
        <w:t xml:space="preserve">gible patients underwent a wash </w:t>
      </w:r>
      <w:r w:rsidRPr="00936E62">
        <w:t>out period of 2 days, prior to being randomised to one of the following treatment groups:</w:t>
      </w:r>
    </w:p>
    <w:p w14:paraId="3C2B2339" w14:textId="77777777" w:rsidR="003E7621" w:rsidRPr="003E7621" w:rsidRDefault="003E7621" w:rsidP="003E7621">
      <w:pPr>
        <w:pStyle w:val="ListBullet"/>
      </w:pPr>
      <w:r w:rsidRPr="003E7621">
        <w:t>Group 1 (</w:t>
      </w:r>
      <w:r w:rsidR="00271024">
        <w:t xml:space="preserve">Budesonide </w:t>
      </w:r>
      <w:r w:rsidRPr="003E7621">
        <w:t xml:space="preserve">MMX 6 mg): One </w:t>
      </w:r>
      <w:r w:rsidR="00271024">
        <w:t xml:space="preserve">budesonide </w:t>
      </w:r>
      <w:r w:rsidRPr="003E7621">
        <w:t>MMX 6 mg tablet plu</w:t>
      </w:r>
      <w:r w:rsidR="00C41C51">
        <w:t xml:space="preserve">s three placebo </w:t>
      </w:r>
      <w:proofErr w:type="spellStart"/>
      <w:r w:rsidR="00C41C51">
        <w:t>Entocort</w:t>
      </w:r>
      <w:proofErr w:type="spellEnd"/>
      <w:r w:rsidR="00C41C51">
        <w:t xml:space="preserve"> capsules, mane</w:t>
      </w:r>
    </w:p>
    <w:p w14:paraId="5DF30FB5" w14:textId="77777777" w:rsidR="003E7621" w:rsidRPr="003E7621" w:rsidRDefault="003E7621" w:rsidP="003E7621">
      <w:pPr>
        <w:pStyle w:val="ListBullet"/>
      </w:pPr>
      <w:r w:rsidRPr="003E7621">
        <w:t>Group 2 (</w:t>
      </w:r>
      <w:r w:rsidR="00271024">
        <w:t xml:space="preserve">Budesonide </w:t>
      </w:r>
      <w:r w:rsidRPr="003E7621">
        <w:t xml:space="preserve">MMX 9 mg): One </w:t>
      </w:r>
      <w:r w:rsidR="00271024">
        <w:t xml:space="preserve">budesonide </w:t>
      </w:r>
      <w:r w:rsidRPr="003E7621">
        <w:t>MMX 9 mg tablet plu</w:t>
      </w:r>
      <w:r w:rsidR="00C41C51">
        <w:t xml:space="preserve">s three placebo </w:t>
      </w:r>
      <w:proofErr w:type="spellStart"/>
      <w:r w:rsidR="00C41C51">
        <w:t>Entocort</w:t>
      </w:r>
      <w:proofErr w:type="spellEnd"/>
      <w:r w:rsidR="00C41C51">
        <w:t xml:space="preserve"> capsules, mane</w:t>
      </w:r>
    </w:p>
    <w:p w14:paraId="50AE6FF7" w14:textId="77777777" w:rsidR="003E7621" w:rsidRPr="003E7621" w:rsidRDefault="003E7621" w:rsidP="003E7621">
      <w:pPr>
        <w:pStyle w:val="ListBullet"/>
      </w:pPr>
      <w:r w:rsidRPr="003E7621">
        <w:lastRenderedPageBreak/>
        <w:t>Group 3 (</w:t>
      </w:r>
      <w:proofErr w:type="spellStart"/>
      <w:r w:rsidRPr="003E7621">
        <w:t>Entocort</w:t>
      </w:r>
      <w:proofErr w:type="spellEnd"/>
      <w:r w:rsidRPr="003E7621">
        <w:t xml:space="preserve"> 9 mg): Three </w:t>
      </w:r>
      <w:proofErr w:type="spellStart"/>
      <w:r w:rsidRPr="003E7621">
        <w:t>Entocort</w:t>
      </w:r>
      <w:proofErr w:type="spellEnd"/>
      <w:r w:rsidRPr="003E7621">
        <w:t xml:space="preserve"> 3 mg capsules plus one plac</w:t>
      </w:r>
      <w:r w:rsidR="00C41C51">
        <w:t xml:space="preserve">ebo </w:t>
      </w:r>
      <w:r w:rsidR="00271024">
        <w:t xml:space="preserve">budesonide </w:t>
      </w:r>
      <w:r w:rsidR="00C41C51">
        <w:t>MMX tablet, mane</w:t>
      </w:r>
    </w:p>
    <w:p w14:paraId="4F0A2F12" w14:textId="77777777" w:rsidR="003E7621" w:rsidRPr="003E7621" w:rsidRDefault="003E7621" w:rsidP="003E7621">
      <w:pPr>
        <w:pStyle w:val="ListBullet"/>
      </w:pPr>
      <w:r w:rsidRPr="003E7621">
        <w:t xml:space="preserve">Group 4 (Placebo): One placebo </w:t>
      </w:r>
      <w:r w:rsidR="00271024">
        <w:t xml:space="preserve">budesonide </w:t>
      </w:r>
      <w:r w:rsidRPr="003E7621">
        <w:t xml:space="preserve">MMX tablet plus three </w:t>
      </w:r>
      <w:r w:rsidR="00C41C51">
        <w:t xml:space="preserve">placebo </w:t>
      </w:r>
      <w:proofErr w:type="spellStart"/>
      <w:r w:rsidR="00C41C51">
        <w:t>Entocort</w:t>
      </w:r>
      <w:proofErr w:type="spellEnd"/>
      <w:r w:rsidR="00C41C51">
        <w:t xml:space="preserve"> capsules, mane</w:t>
      </w:r>
    </w:p>
    <w:p w14:paraId="54BCA54C" w14:textId="77777777" w:rsidR="00936E62" w:rsidRDefault="00936E62" w:rsidP="00936E62">
      <w:r w:rsidRPr="00936E62">
        <w:t>Study visits</w:t>
      </w:r>
      <w:r w:rsidR="00E87C57">
        <w:t xml:space="preserve"> were as for Study CB-01-02/01.</w:t>
      </w:r>
    </w:p>
    <w:p w14:paraId="641E33B1" w14:textId="77777777" w:rsidR="00936E62" w:rsidRPr="00E87C57" w:rsidRDefault="00936E62" w:rsidP="00E87C57">
      <w:r w:rsidRPr="00E87C57">
        <w:t xml:space="preserve">The primary objective was to evaluate the efficacy and safety of </w:t>
      </w:r>
      <w:r w:rsidR="00271024">
        <w:t xml:space="preserve">budesonide </w:t>
      </w:r>
      <w:r w:rsidRPr="00E87C57">
        <w:t>MMX 6 mg and 9 mg oral tablets when compared to placebo in patients with mild or moderate active UC, when administered for 8 weeks.</w:t>
      </w:r>
    </w:p>
    <w:p w14:paraId="75B1FA65" w14:textId="77777777" w:rsidR="00936E62" w:rsidRPr="00936E62" w:rsidRDefault="00936E62" w:rsidP="00936E62">
      <w:r w:rsidRPr="00E87C57">
        <w:t xml:space="preserve">The secondary objective was to evaluate the clinical improvement and endoscopic improvement after 8 weeks treatment with </w:t>
      </w:r>
      <w:r w:rsidR="00271024">
        <w:t xml:space="preserve">budesonide </w:t>
      </w:r>
      <w:r w:rsidRPr="00E87C57">
        <w:t>MMX 6 mg and 9 mg oral tablets when compared to placebo in patients w</w:t>
      </w:r>
      <w:r w:rsidR="00E87C57">
        <w:t>ith mild or moderate active UC.</w:t>
      </w:r>
    </w:p>
    <w:p w14:paraId="47DFE083" w14:textId="77777777" w:rsidR="00936E62" w:rsidRPr="00936E62" w:rsidRDefault="00936E62" w:rsidP="00936E62">
      <w:r w:rsidRPr="00936E62">
        <w:t xml:space="preserve">Other objectives were to evaluate symptom resolution and histologic healing after 8 weeks of treatment with </w:t>
      </w:r>
      <w:r w:rsidR="00271024">
        <w:t xml:space="preserve">budesonide </w:t>
      </w:r>
      <w:r w:rsidRPr="00936E62">
        <w:t xml:space="preserve">MMX, the </w:t>
      </w:r>
      <w:r w:rsidR="00E87C57">
        <w:t xml:space="preserve">improvement in clinical and bio </w:t>
      </w:r>
      <w:r w:rsidRPr="00936E62">
        <w:t>hu</w:t>
      </w:r>
      <w:r w:rsidR="00E87C57">
        <w:t xml:space="preserve">moral parameters and in the IBD </w:t>
      </w:r>
      <w:proofErr w:type="spellStart"/>
      <w:r w:rsidRPr="00936E62">
        <w:t>QoL</w:t>
      </w:r>
      <w:proofErr w:type="spellEnd"/>
      <w:r w:rsidRPr="00936E62">
        <w:t xml:space="preserve"> questionnaire after 8 weeks of treatment with </w:t>
      </w:r>
      <w:r w:rsidR="00271024">
        <w:t xml:space="preserve">budesonide </w:t>
      </w:r>
      <w:r w:rsidRPr="00936E62">
        <w:t xml:space="preserve">MMX, and the efficacy and safety of </w:t>
      </w:r>
      <w:proofErr w:type="spellStart"/>
      <w:r w:rsidRPr="00936E62">
        <w:t>Entocort</w:t>
      </w:r>
      <w:proofErr w:type="spellEnd"/>
      <w:r w:rsidRPr="00936E62">
        <w:t xml:space="preserve"> capsules (3 x 3 mg/day) when administered for 8 weeks in patients with mild or moderate active UC.</w:t>
      </w:r>
    </w:p>
    <w:p w14:paraId="72B4EA1D" w14:textId="77777777" w:rsidR="00936E62" w:rsidRPr="00936E62" w:rsidRDefault="00936E62" w:rsidP="00936E62">
      <w:r w:rsidRPr="00E87C57">
        <w:t>The primary, secondary and other efficacy end points of this study were identical to those of Study CB-01-01/01.</w:t>
      </w:r>
    </w:p>
    <w:p w14:paraId="21864349" w14:textId="77777777" w:rsidR="00936E62" w:rsidRPr="00936E62" w:rsidRDefault="00936E62" w:rsidP="00936E62">
      <w:r w:rsidRPr="00936E62">
        <w:t>For efficacy end point analysis, the level of statistical significance was set at p</w:t>
      </w:r>
      <w:r w:rsidR="00E87C57">
        <w:t xml:space="preserve"> </w:t>
      </w:r>
      <w:r w:rsidRPr="00936E62">
        <w:t>≤</w:t>
      </w:r>
      <w:r w:rsidR="0082753E">
        <w:t xml:space="preserve"> </w:t>
      </w:r>
      <w:r w:rsidRPr="00936E62">
        <w:t xml:space="preserve">0.025 for the </w:t>
      </w:r>
      <w:r w:rsidR="00271024">
        <w:t xml:space="preserve">budesonide </w:t>
      </w:r>
      <w:r w:rsidRPr="00936E62">
        <w:t xml:space="preserve">MMX 6 mg and 9 mg groups </w:t>
      </w:r>
      <w:r w:rsidR="00E87C57">
        <w:t>versus</w:t>
      </w:r>
      <w:r w:rsidRPr="00936E62">
        <w:t xml:space="preserve"> placebo and at p</w:t>
      </w:r>
      <w:r w:rsidR="00E87C57">
        <w:t xml:space="preserve"> </w:t>
      </w:r>
      <w:r w:rsidRPr="00936E62">
        <w:t>≤ 0.05for all other comparisons. Initially, 492 patients (123 per group) were planned for randomisation to ensure evaluation of 440 patients (110 per group). Subsequently, a total of 613 patients were screened, of whom 512 were randomised, but only 272 completed the study.</w:t>
      </w:r>
    </w:p>
    <w:p w14:paraId="36D01EF6" w14:textId="605EC94A" w:rsidR="00936E62" w:rsidRPr="00CE5880" w:rsidRDefault="00936E62" w:rsidP="00CE5880">
      <w:pPr>
        <w:pStyle w:val="Heading7"/>
      </w:pPr>
      <w:r w:rsidRPr="00CE5880">
        <w:t>Primary effi</w:t>
      </w:r>
      <w:r w:rsidR="003E7621" w:rsidRPr="00CE5880">
        <w:t>cacy outcome according to the clinical evaluation</w:t>
      </w:r>
    </w:p>
    <w:p w14:paraId="69409C3B" w14:textId="77777777" w:rsidR="00936E62" w:rsidRDefault="003E7621" w:rsidP="00936E62">
      <w:r>
        <w:t>As per T</w:t>
      </w:r>
      <w:r w:rsidR="00936E62" w:rsidRPr="00936E62">
        <w:t>able</w:t>
      </w:r>
      <w:r w:rsidR="00870137">
        <w:t>s</w:t>
      </w:r>
      <w:r w:rsidR="00936E62" w:rsidRPr="00936E62">
        <w:t xml:space="preserve"> </w:t>
      </w:r>
      <w:r w:rsidR="000D7501">
        <w:t>8</w:t>
      </w:r>
      <w:r>
        <w:t xml:space="preserve"> </w:t>
      </w:r>
      <w:r w:rsidR="000D7501">
        <w:t>and 9</w:t>
      </w:r>
      <w:r w:rsidR="00870137">
        <w:t xml:space="preserve"> </w:t>
      </w:r>
      <w:r w:rsidR="00936E62" w:rsidRPr="00936E62">
        <w:t xml:space="preserve">below, data on the percentage of patients </w:t>
      </w:r>
      <w:r w:rsidR="0082753E">
        <w:t>with clinical remission after 8 </w:t>
      </w:r>
      <w:r w:rsidR="00936E62" w:rsidRPr="00936E62">
        <w:t>weeks of treatment revealed a statistically significant difference (p</w:t>
      </w:r>
      <w:r w:rsidR="0082753E">
        <w:t xml:space="preserve"> </w:t>
      </w:r>
      <w:r w:rsidR="00936E62" w:rsidRPr="00936E62">
        <w:t>=</w:t>
      </w:r>
      <w:r w:rsidR="0082753E">
        <w:t xml:space="preserve"> </w:t>
      </w:r>
      <w:r w:rsidR="00936E62" w:rsidRPr="00936E62">
        <w:t xml:space="preserve">0.0047) between </w:t>
      </w:r>
      <w:r w:rsidR="00271024">
        <w:t xml:space="preserve">budesonide </w:t>
      </w:r>
      <w:r w:rsidR="00936E62" w:rsidRPr="00936E62">
        <w:t xml:space="preserve">MMX 9 mg group and the placebo group in both the ITT and PP populations. A statistically significant difference was also noted for the </w:t>
      </w:r>
      <w:proofErr w:type="spellStart"/>
      <w:r w:rsidR="00936E62" w:rsidRPr="00936E62">
        <w:t>Entocort</w:t>
      </w:r>
      <w:proofErr w:type="spellEnd"/>
      <w:r w:rsidR="00936E62" w:rsidRPr="00936E62">
        <w:t xml:space="preserve"> 9 mg group compared to the placebo group, although the difference was less marked than the </w:t>
      </w:r>
      <w:r w:rsidR="00271024">
        <w:t xml:space="preserve">budesonide </w:t>
      </w:r>
      <w:r w:rsidR="00936E62" w:rsidRPr="00936E62">
        <w:t>MMX 9 mg group (8.1% versus 12.9% in the ITT, 10.7% versus 16.6% in PP population).</w:t>
      </w:r>
    </w:p>
    <w:p w14:paraId="6EB66D9B" w14:textId="77777777" w:rsidR="003E7621" w:rsidRPr="00936E62" w:rsidRDefault="000D7501" w:rsidP="005227F3">
      <w:pPr>
        <w:pStyle w:val="TableTitle"/>
      </w:pPr>
      <w:proofErr w:type="gramStart"/>
      <w:r>
        <w:t>Table 8</w:t>
      </w:r>
      <w:r w:rsidR="005227F3">
        <w:t>.</w:t>
      </w:r>
      <w:proofErr w:type="gramEnd"/>
      <w:r w:rsidR="005227F3">
        <w:t xml:space="preserve"> </w:t>
      </w:r>
      <w:r w:rsidR="005227F3" w:rsidRPr="005227F3">
        <w:t>Study CB-01-02/02</w:t>
      </w:r>
      <w:r w:rsidR="005227F3">
        <w:t xml:space="preserve">: Patients with clinical remission after 8 weeks of treatment in the ITT </w:t>
      </w:r>
      <w:r w:rsidR="00870137">
        <w:t>population</w:t>
      </w:r>
      <w:r w:rsidR="005227F3">
        <w:t>.</w:t>
      </w:r>
    </w:p>
    <w:tbl>
      <w:tblPr>
        <w:tblStyle w:val="TableTGAblue"/>
        <w:tblW w:w="8256" w:type="dxa"/>
        <w:tblLook w:val="04A0" w:firstRow="1" w:lastRow="0" w:firstColumn="1" w:lastColumn="0" w:noHBand="0" w:noVBand="1"/>
      </w:tblPr>
      <w:tblGrid>
        <w:gridCol w:w="3534"/>
        <w:gridCol w:w="1015"/>
        <w:gridCol w:w="1270"/>
        <w:gridCol w:w="1268"/>
        <w:gridCol w:w="1169"/>
      </w:tblGrid>
      <w:tr w:rsidR="00936E62" w:rsidRPr="00042C07" w14:paraId="347785A0" w14:textId="77777777" w:rsidTr="00870137">
        <w:trPr>
          <w:cnfStyle w:val="100000000000" w:firstRow="1" w:lastRow="0" w:firstColumn="0" w:lastColumn="0" w:oddVBand="0" w:evenVBand="0" w:oddHBand="0" w:evenHBand="0" w:firstRowFirstColumn="0" w:firstRowLastColumn="0" w:lastRowFirstColumn="0" w:lastRowLastColumn="0"/>
          <w:trHeight w:val="735"/>
        </w:trPr>
        <w:tc>
          <w:tcPr>
            <w:tcW w:w="3556" w:type="dxa"/>
          </w:tcPr>
          <w:p w14:paraId="6797BBE8" w14:textId="77777777" w:rsidR="00936E62" w:rsidRPr="004A7AD4" w:rsidRDefault="00936E62" w:rsidP="00CE5880">
            <w:pPr>
              <w:ind w:left="0" w:right="36"/>
              <w:rPr>
                <w:sz w:val="18"/>
                <w:szCs w:val="18"/>
              </w:rPr>
            </w:pPr>
            <w:r w:rsidRPr="004A7AD4">
              <w:rPr>
                <w:sz w:val="18"/>
                <w:szCs w:val="18"/>
              </w:rPr>
              <w:t>ITT population</w:t>
            </w:r>
          </w:p>
        </w:tc>
        <w:tc>
          <w:tcPr>
            <w:tcW w:w="1016" w:type="dxa"/>
          </w:tcPr>
          <w:p w14:paraId="4310A300" w14:textId="77777777" w:rsidR="00936E62" w:rsidRPr="004A7AD4" w:rsidRDefault="00870137" w:rsidP="00CE5880">
            <w:pPr>
              <w:ind w:left="0" w:right="36"/>
              <w:rPr>
                <w:sz w:val="18"/>
                <w:szCs w:val="18"/>
              </w:rPr>
            </w:pPr>
            <w:r w:rsidRPr="004A7AD4">
              <w:rPr>
                <w:sz w:val="18"/>
                <w:szCs w:val="18"/>
              </w:rPr>
              <w:t xml:space="preserve">Placebo </w:t>
            </w:r>
            <w:r w:rsidR="00936E62" w:rsidRPr="004A7AD4">
              <w:rPr>
                <w:sz w:val="18"/>
                <w:szCs w:val="18"/>
              </w:rPr>
              <w:t>N=89</w:t>
            </w:r>
          </w:p>
        </w:tc>
        <w:tc>
          <w:tcPr>
            <w:tcW w:w="1271" w:type="dxa"/>
          </w:tcPr>
          <w:p w14:paraId="704A0A2B" w14:textId="77777777" w:rsidR="00936E62" w:rsidRPr="004A7AD4" w:rsidRDefault="00870137" w:rsidP="00CE5880">
            <w:pPr>
              <w:ind w:left="0" w:right="36"/>
              <w:rPr>
                <w:sz w:val="18"/>
                <w:szCs w:val="18"/>
              </w:rPr>
            </w:pPr>
            <w:r w:rsidRPr="004A7AD4">
              <w:rPr>
                <w:sz w:val="18"/>
                <w:szCs w:val="18"/>
              </w:rPr>
              <w:t xml:space="preserve">MMX  9 mg </w:t>
            </w:r>
            <w:r w:rsidR="00936E62" w:rsidRPr="004A7AD4">
              <w:rPr>
                <w:sz w:val="18"/>
                <w:szCs w:val="18"/>
              </w:rPr>
              <w:t>N=109</w:t>
            </w:r>
          </w:p>
        </w:tc>
        <w:tc>
          <w:tcPr>
            <w:tcW w:w="1270" w:type="dxa"/>
          </w:tcPr>
          <w:p w14:paraId="63750549" w14:textId="77777777" w:rsidR="00936E62" w:rsidRPr="004A7AD4" w:rsidRDefault="00936E62" w:rsidP="00CE5880">
            <w:pPr>
              <w:ind w:left="0" w:right="36"/>
              <w:rPr>
                <w:sz w:val="18"/>
                <w:szCs w:val="18"/>
              </w:rPr>
            </w:pPr>
            <w:r w:rsidRPr="004A7AD4">
              <w:rPr>
                <w:sz w:val="18"/>
                <w:szCs w:val="18"/>
              </w:rPr>
              <w:t>MMX</w:t>
            </w:r>
            <w:r w:rsidR="00870137" w:rsidRPr="004A7AD4">
              <w:rPr>
                <w:sz w:val="18"/>
                <w:szCs w:val="18"/>
              </w:rPr>
              <w:t xml:space="preserve"> 6 mg </w:t>
            </w:r>
            <w:r w:rsidRPr="004A7AD4">
              <w:rPr>
                <w:sz w:val="18"/>
                <w:szCs w:val="18"/>
              </w:rPr>
              <w:t>N=109</w:t>
            </w:r>
          </w:p>
        </w:tc>
        <w:tc>
          <w:tcPr>
            <w:tcW w:w="1143" w:type="dxa"/>
          </w:tcPr>
          <w:p w14:paraId="1B58B07E" w14:textId="77777777" w:rsidR="00936E62" w:rsidRPr="004A7AD4" w:rsidRDefault="00936E62" w:rsidP="00CE5880">
            <w:pPr>
              <w:ind w:left="0" w:right="36"/>
              <w:rPr>
                <w:sz w:val="18"/>
                <w:szCs w:val="18"/>
              </w:rPr>
            </w:pPr>
            <w:proofErr w:type="spellStart"/>
            <w:r w:rsidRPr="004A7AD4">
              <w:rPr>
                <w:sz w:val="18"/>
                <w:szCs w:val="18"/>
              </w:rPr>
              <w:t>Entocort</w:t>
            </w:r>
            <w:r w:rsidRPr="004A7AD4">
              <w:rPr>
                <w:sz w:val="18"/>
                <w:szCs w:val="18"/>
                <w:vertAlign w:val="superscript"/>
              </w:rPr>
              <w:t>Ɨ</w:t>
            </w:r>
            <w:proofErr w:type="spellEnd"/>
            <w:r w:rsidR="00870137" w:rsidRPr="004A7AD4">
              <w:rPr>
                <w:sz w:val="18"/>
                <w:szCs w:val="18"/>
              </w:rPr>
              <w:t xml:space="preserve"> </w:t>
            </w:r>
            <w:r w:rsidRPr="004A7AD4">
              <w:rPr>
                <w:sz w:val="18"/>
                <w:szCs w:val="18"/>
              </w:rPr>
              <w:t>N=103</w:t>
            </w:r>
          </w:p>
        </w:tc>
      </w:tr>
      <w:tr w:rsidR="003E7621" w:rsidRPr="00042C07" w14:paraId="096ACC59" w14:textId="77777777" w:rsidTr="00870137">
        <w:trPr>
          <w:trHeight w:val="412"/>
        </w:trPr>
        <w:tc>
          <w:tcPr>
            <w:tcW w:w="3556" w:type="dxa"/>
          </w:tcPr>
          <w:p w14:paraId="684E1946" w14:textId="77777777" w:rsidR="003E7621" w:rsidRPr="004A7AD4" w:rsidRDefault="00936E62" w:rsidP="00CE5880">
            <w:pPr>
              <w:ind w:left="0" w:right="36"/>
              <w:rPr>
                <w:sz w:val="18"/>
                <w:szCs w:val="18"/>
              </w:rPr>
            </w:pPr>
            <w:r w:rsidRPr="004A7AD4">
              <w:rPr>
                <w:sz w:val="18"/>
                <w:szCs w:val="18"/>
              </w:rPr>
              <w:t>Remission: n (%)</w:t>
            </w:r>
          </w:p>
        </w:tc>
        <w:tc>
          <w:tcPr>
            <w:tcW w:w="1016" w:type="dxa"/>
          </w:tcPr>
          <w:p w14:paraId="172C7D94" w14:textId="77777777" w:rsidR="003E7621" w:rsidRPr="004A7AD4" w:rsidRDefault="00936E62" w:rsidP="00CE5880">
            <w:pPr>
              <w:ind w:left="0" w:right="36"/>
              <w:rPr>
                <w:sz w:val="18"/>
                <w:szCs w:val="18"/>
              </w:rPr>
            </w:pPr>
            <w:r w:rsidRPr="004A7AD4">
              <w:rPr>
                <w:sz w:val="18"/>
                <w:szCs w:val="18"/>
              </w:rPr>
              <w:t>4 (4.5)</w:t>
            </w:r>
          </w:p>
        </w:tc>
        <w:tc>
          <w:tcPr>
            <w:tcW w:w="1271" w:type="dxa"/>
          </w:tcPr>
          <w:p w14:paraId="20DA66DE" w14:textId="77777777" w:rsidR="003E7621" w:rsidRPr="004A7AD4" w:rsidRDefault="00936E62" w:rsidP="00CE5880">
            <w:pPr>
              <w:ind w:left="0" w:right="36"/>
              <w:rPr>
                <w:sz w:val="18"/>
                <w:szCs w:val="18"/>
              </w:rPr>
            </w:pPr>
            <w:r w:rsidRPr="004A7AD4">
              <w:rPr>
                <w:sz w:val="18"/>
                <w:szCs w:val="18"/>
              </w:rPr>
              <w:t>19 (17.4)</w:t>
            </w:r>
          </w:p>
        </w:tc>
        <w:tc>
          <w:tcPr>
            <w:tcW w:w="1270" w:type="dxa"/>
          </w:tcPr>
          <w:p w14:paraId="75A90CCA" w14:textId="77777777" w:rsidR="003E7621" w:rsidRPr="004A7AD4" w:rsidRDefault="00936E62" w:rsidP="00CE5880">
            <w:pPr>
              <w:ind w:left="0" w:right="36"/>
              <w:rPr>
                <w:sz w:val="18"/>
                <w:szCs w:val="18"/>
              </w:rPr>
            </w:pPr>
            <w:r w:rsidRPr="004A7AD4">
              <w:rPr>
                <w:sz w:val="18"/>
                <w:szCs w:val="18"/>
              </w:rPr>
              <w:t>9 (8.3)</w:t>
            </w:r>
          </w:p>
        </w:tc>
        <w:tc>
          <w:tcPr>
            <w:tcW w:w="1143" w:type="dxa"/>
          </w:tcPr>
          <w:p w14:paraId="715C9FC9" w14:textId="77777777" w:rsidR="003E7621" w:rsidRPr="004A7AD4" w:rsidRDefault="00936E62" w:rsidP="00CE5880">
            <w:pPr>
              <w:ind w:left="0" w:right="36"/>
              <w:rPr>
                <w:sz w:val="18"/>
                <w:szCs w:val="18"/>
              </w:rPr>
            </w:pPr>
            <w:r w:rsidRPr="004A7AD4">
              <w:rPr>
                <w:sz w:val="18"/>
                <w:szCs w:val="18"/>
              </w:rPr>
              <w:t>13 (12.6)</w:t>
            </w:r>
          </w:p>
        </w:tc>
      </w:tr>
      <w:tr w:rsidR="003E7621" w:rsidRPr="00042C07" w14:paraId="4769859E" w14:textId="77777777" w:rsidTr="00870137">
        <w:trPr>
          <w:trHeight w:val="503"/>
        </w:trPr>
        <w:tc>
          <w:tcPr>
            <w:tcW w:w="3556" w:type="dxa"/>
          </w:tcPr>
          <w:p w14:paraId="612E1C37" w14:textId="77777777" w:rsidR="003E7621" w:rsidRPr="004A7AD4" w:rsidRDefault="00936E62" w:rsidP="00CE5880">
            <w:pPr>
              <w:ind w:left="0" w:right="36"/>
              <w:rPr>
                <w:sz w:val="18"/>
                <w:szCs w:val="18"/>
              </w:rPr>
            </w:pPr>
            <w:r w:rsidRPr="004A7AD4">
              <w:rPr>
                <w:sz w:val="18"/>
                <w:szCs w:val="18"/>
              </w:rPr>
              <w:t>95% CI</w:t>
            </w:r>
          </w:p>
        </w:tc>
        <w:tc>
          <w:tcPr>
            <w:tcW w:w="1016" w:type="dxa"/>
          </w:tcPr>
          <w:p w14:paraId="40FD586D" w14:textId="77777777" w:rsidR="003E7621" w:rsidRPr="004A7AD4" w:rsidRDefault="00936E62" w:rsidP="00CE5880">
            <w:pPr>
              <w:ind w:left="0" w:right="36"/>
              <w:rPr>
                <w:sz w:val="18"/>
                <w:szCs w:val="18"/>
              </w:rPr>
            </w:pPr>
            <w:r w:rsidRPr="004A7AD4">
              <w:rPr>
                <w:sz w:val="18"/>
                <w:szCs w:val="18"/>
              </w:rPr>
              <w:t>0.2, 8.8</w:t>
            </w:r>
          </w:p>
        </w:tc>
        <w:tc>
          <w:tcPr>
            <w:tcW w:w="1271" w:type="dxa"/>
          </w:tcPr>
          <w:p w14:paraId="52361D65" w14:textId="77777777" w:rsidR="003E7621" w:rsidRPr="004A7AD4" w:rsidRDefault="002E5D0F" w:rsidP="00CE5880">
            <w:pPr>
              <w:ind w:left="0" w:right="36"/>
              <w:rPr>
                <w:sz w:val="18"/>
                <w:szCs w:val="18"/>
              </w:rPr>
            </w:pPr>
            <w:r w:rsidRPr="004A7AD4">
              <w:rPr>
                <w:sz w:val="18"/>
                <w:szCs w:val="18"/>
              </w:rPr>
              <w:t>10.3, 24.6</w:t>
            </w:r>
          </w:p>
        </w:tc>
        <w:tc>
          <w:tcPr>
            <w:tcW w:w="1270" w:type="dxa"/>
          </w:tcPr>
          <w:p w14:paraId="011296B1" w14:textId="77777777" w:rsidR="003E7621" w:rsidRPr="004A7AD4" w:rsidRDefault="002E5D0F" w:rsidP="00CE5880">
            <w:pPr>
              <w:ind w:left="0" w:right="36"/>
              <w:rPr>
                <w:sz w:val="18"/>
                <w:szCs w:val="18"/>
              </w:rPr>
            </w:pPr>
            <w:r w:rsidRPr="004A7AD4">
              <w:rPr>
                <w:sz w:val="18"/>
                <w:szCs w:val="18"/>
              </w:rPr>
              <w:t>3.1, 13.4</w:t>
            </w:r>
          </w:p>
        </w:tc>
        <w:tc>
          <w:tcPr>
            <w:tcW w:w="1143" w:type="dxa"/>
          </w:tcPr>
          <w:p w14:paraId="412BC676" w14:textId="77777777" w:rsidR="003E7621" w:rsidRPr="004A7AD4" w:rsidRDefault="002E5D0F" w:rsidP="00CE5880">
            <w:pPr>
              <w:ind w:left="0" w:right="36"/>
              <w:rPr>
                <w:sz w:val="18"/>
                <w:szCs w:val="18"/>
              </w:rPr>
            </w:pPr>
            <w:r w:rsidRPr="004A7AD4">
              <w:rPr>
                <w:sz w:val="18"/>
                <w:szCs w:val="18"/>
              </w:rPr>
              <w:t>6.2, 19.0</w:t>
            </w:r>
          </w:p>
        </w:tc>
      </w:tr>
      <w:tr w:rsidR="002E5D0F" w:rsidRPr="00042C07" w14:paraId="2FDDEB37" w14:textId="77777777" w:rsidTr="00870137">
        <w:trPr>
          <w:trHeight w:val="503"/>
        </w:trPr>
        <w:tc>
          <w:tcPr>
            <w:tcW w:w="3556" w:type="dxa"/>
          </w:tcPr>
          <w:p w14:paraId="3637E128" w14:textId="77777777" w:rsidR="002E5D0F" w:rsidRPr="004A7AD4" w:rsidRDefault="002E5D0F" w:rsidP="00CE5880">
            <w:pPr>
              <w:ind w:left="0" w:right="36"/>
              <w:rPr>
                <w:sz w:val="18"/>
                <w:szCs w:val="18"/>
              </w:rPr>
            </w:pPr>
            <w:r w:rsidRPr="004A7AD4">
              <w:rPr>
                <w:sz w:val="18"/>
                <w:szCs w:val="18"/>
              </w:rPr>
              <w:t>Difference between active and placebo:</w:t>
            </w:r>
          </w:p>
        </w:tc>
        <w:tc>
          <w:tcPr>
            <w:tcW w:w="1016" w:type="dxa"/>
          </w:tcPr>
          <w:p w14:paraId="18C57E72" w14:textId="77777777" w:rsidR="002E5D0F" w:rsidRPr="004A7AD4" w:rsidRDefault="002E5D0F" w:rsidP="00CE5880">
            <w:pPr>
              <w:ind w:left="0" w:right="36"/>
              <w:rPr>
                <w:sz w:val="18"/>
                <w:szCs w:val="18"/>
              </w:rPr>
            </w:pPr>
          </w:p>
        </w:tc>
        <w:tc>
          <w:tcPr>
            <w:tcW w:w="1271" w:type="dxa"/>
          </w:tcPr>
          <w:p w14:paraId="6B9096C1" w14:textId="77777777" w:rsidR="002E5D0F" w:rsidRPr="004A7AD4" w:rsidRDefault="002E5D0F" w:rsidP="00CE5880">
            <w:pPr>
              <w:ind w:left="0" w:right="36"/>
              <w:rPr>
                <w:sz w:val="18"/>
                <w:szCs w:val="18"/>
              </w:rPr>
            </w:pPr>
            <w:r w:rsidRPr="004A7AD4">
              <w:rPr>
                <w:sz w:val="18"/>
                <w:szCs w:val="18"/>
              </w:rPr>
              <w:t>12.9</w:t>
            </w:r>
          </w:p>
        </w:tc>
        <w:tc>
          <w:tcPr>
            <w:tcW w:w="1270" w:type="dxa"/>
          </w:tcPr>
          <w:p w14:paraId="24F464EC" w14:textId="77777777" w:rsidR="002E5D0F" w:rsidRPr="004A7AD4" w:rsidRDefault="002E5D0F" w:rsidP="00CE5880">
            <w:pPr>
              <w:ind w:left="0" w:right="36"/>
              <w:rPr>
                <w:sz w:val="18"/>
                <w:szCs w:val="18"/>
              </w:rPr>
            </w:pPr>
            <w:r w:rsidRPr="004A7AD4">
              <w:rPr>
                <w:sz w:val="18"/>
                <w:szCs w:val="18"/>
              </w:rPr>
              <w:t>3.8</w:t>
            </w:r>
          </w:p>
        </w:tc>
        <w:tc>
          <w:tcPr>
            <w:tcW w:w="1143" w:type="dxa"/>
          </w:tcPr>
          <w:p w14:paraId="4ED0807C" w14:textId="77777777" w:rsidR="002E5D0F" w:rsidRPr="004A7AD4" w:rsidRDefault="002E5D0F" w:rsidP="00CE5880">
            <w:pPr>
              <w:ind w:left="0" w:right="36"/>
              <w:rPr>
                <w:sz w:val="18"/>
                <w:szCs w:val="18"/>
              </w:rPr>
            </w:pPr>
            <w:r w:rsidRPr="004A7AD4">
              <w:rPr>
                <w:sz w:val="18"/>
                <w:szCs w:val="18"/>
              </w:rPr>
              <w:t>8.1</w:t>
            </w:r>
          </w:p>
        </w:tc>
      </w:tr>
      <w:tr w:rsidR="002E5D0F" w:rsidRPr="00042C07" w14:paraId="1B8E04D9" w14:textId="77777777" w:rsidTr="00870137">
        <w:trPr>
          <w:trHeight w:val="503"/>
        </w:trPr>
        <w:tc>
          <w:tcPr>
            <w:tcW w:w="3556" w:type="dxa"/>
          </w:tcPr>
          <w:p w14:paraId="6F957279" w14:textId="77777777" w:rsidR="002E5D0F" w:rsidRPr="004A7AD4" w:rsidRDefault="002E5D0F" w:rsidP="00CE5880">
            <w:pPr>
              <w:ind w:left="0" w:right="36"/>
              <w:rPr>
                <w:sz w:val="18"/>
                <w:szCs w:val="18"/>
              </w:rPr>
            </w:pPr>
            <w:r w:rsidRPr="004A7AD4">
              <w:rPr>
                <w:sz w:val="18"/>
                <w:szCs w:val="18"/>
              </w:rPr>
              <w:t>95 % CI</w:t>
            </w:r>
          </w:p>
        </w:tc>
        <w:tc>
          <w:tcPr>
            <w:tcW w:w="1016" w:type="dxa"/>
          </w:tcPr>
          <w:p w14:paraId="53556F76" w14:textId="77777777" w:rsidR="002E5D0F" w:rsidRPr="004A7AD4" w:rsidRDefault="002E5D0F" w:rsidP="00CE5880">
            <w:pPr>
              <w:ind w:left="0" w:right="36"/>
              <w:rPr>
                <w:sz w:val="18"/>
                <w:szCs w:val="18"/>
              </w:rPr>
            </w:pPr>
          </w:p>
        </w:tc>
        <w:tc>
          <w:tcPr>
            <w:tcW w:w="1271" w:type="dxa"/>
          </w:tcPr>
          <w:p w14:paraId="0FA1E41A" w14:textId="77777777" w:rsidR="002E5D0F" w:rsidRPr="004A7AD4" w:rsidRDefault="002E5D0F" w:rsidP="00CE5880">
            <w:pPr>
              <w:ind w:left="0" w:right="36"/>
              <w:rPr>
                <w:sz w:val="18"/>
                <w:szCs w:val="18"/>
              </w:rPr>
            </w:pPr>
            <w:r w:rsidRPr="004A7AD4">
              <w:rPr>
                <w:sz w:val="18"/>
                <w:szCs w:val="18"/>
              </w:rPr>
              <w:t>4.6, 21.3</w:t>
            </w:r>
          </w:p>
        </w:tc>
        <w:tc>
          <w:tcPr>
            <w:tcW w:w="1270" w:type="dxa"/>
          </w:tcPr>
          <w:p w14:paraId="50B871F1" w14:textId="77777777" w:rsidR="002E5D0F" w:rsidRPr="004A7AD4" w:rsidRDefault="002E5D0F" w:rsidP="00CE5880">
            <w:pPr>
              <w:ind w:left="0" w:right="36"/>
              <w:rPr>
                <w:sz w:val="18"/>
                <w:szCs w:val="18"/>
              </w:rPr>
            </w:pPr>
            <w:r w:rsidRPr="004A7AD4">
              <w:rPr>
                <w:sz w:val="18"/>
                <w:szCs w:val="18"/>
              </w:rPr>
              <w:t>-3.0, 10.5</w:t>
            </w:r>
          </w:p>
        </w:tc>
        <w:tc>
          <w:tcPr>
            <w:tcW w:w="1143" w:type="dxa"/>
          </w:tcPr>
          <w:p w14:paraId="4EF802BE" w14:textId="77777777" w:rsidR="002E5D0F" w:rsidRPr="004A7AD4" w:rsidRDefault="002E5D0F" w:rsidP="00CE5880">
            <w:pPr>
              <w:ind w:left="0" w:right="36"/>
              <w:rPr>
                <w:sz w:val="18"/>
                <w:szCs w:val="18"/>
              </w:rPr>
            </w:pPr>
            <w:r w:rsidRPr="004A7AD4">
              <w:rPr>
                <w:sz w:val="18"/>
                <w:szCs w:val="18"/>
              </w:rPr>
              <w:t>-0.4, 15.9</w:t>
            </w:r>
          </w:p>
        </w:tc>
      </w:tr>
      <w:tr w:rsidR="002E5D0F" w:rsidRPr="00042C07" w14:paraId="204A894E" w14:textId="77777777" w:rsidTr="00870137">
        <w:trPr>
          <w:trHeight w:val="503"/>
        </w:trPr>
        <w:tc>
          <w:tcPr>
            <w:tcW w:w="3556" w:type="dxa"/>
          </w:tcPr>
          <w:p w14:paraId="325CB9CC" w14:textId="77777777" w:rsidR="002E5D0F" w:rsidRPr="004A7AD4" w:rsidRDefault="002E5D0F" w:rsidP="004A7AD4">
            <w:pPr>
              <w:rPr>
                <w:sz w:val="18"/>
                <w:szCs w:val="18"/>
              </w:rPr>
            </w:pPr>
            <w:r w:rsidRPr="004A7AD4">
              <w:rPr>
                <w:sz w:val="18"/>
                <w:szCs w:val="18"/>
              </w:rPr>
              <w:t>p-value</w:t>
            </w:r>
          </w:p>
        </w:tc>
        <w:tc>
          <w:tcPr>
            <w:tcW w:w="1016" w:type="dxa"/>
          </w:tcPr>
          <w:p w14:paraId="2A508D18" w14:textId="77777777" w:rsidR="002E5D0F" w:rsidRPr="004A7AD4" w:rsidRDefault="002E5D0F" w:rsidP="00CE5880">
            <w:pPr>
              <w:ind w:left="0"/>
              <w:rPr>
                <w:sz w:val="18"/>
                <w:szCs w:val="18"/>
              </w:rPr>
            </w:pPr>
          </w:p>
        </w:tc>
        <w:tc>
          <w:tcPr>
            <w:tcW w:w="1271" w:type="dxa"/>
          </w:tcPr>
          <w:p w14:paraId="6F419E38" w14:textId="77777777" w:rsidR="002E5D0F" w:rsidRPr="004A7AD4" w:rsidRDefault="002E5D0F" w:rsidP="004A7AD4">
            <w:pPr>
              <w:rPr>
                <w:sz w:val="18"/>
                <w:szCs w:val="18"/>
              </w:rPr>
            </w:pPr>
            <w:r w:rsidRPr="004A7AD4">
              <w:rPr>
                <w:sz w:val="18"/>
                <w:szCs w:val="18"/>
              </w:rPr>
              <w:t>0.0047*</w:t>
            </w:r>
          </w:p>
        </w:tc>
        <w:tc>
          <w:tcPr>
            <w:tcW w:w="1270" w:type="dxa"/>
          </w:tcPr>
          <w:p w14:paraId="435FB5A4" w14:textId="77777777" w:rsidR="002E5D0F" w:rsidRPr="004A7AD4" w:rsidRDefault="002E5D0F" w:rsidP="004A7AD4">
            <w:pPr>
              <w:rPr>
                <w:sz w:val="18"/>
                <w:szCs w:val="18"/>
              </w:rPr>
            </w:pPr>
            <w:r w:rsidRPr="004A7AD4">
              <w:rPr>
                <w:sz w:val="18"/>
                <w:szCs w:val="18"/>
              </w:rPr>
              <w:t>0.2876</w:t>
            </w:r>
          </w:p>
        </w:tc>
        <w:tc>
          <w:tcPr>
            <w:tcW w:w="1143" w:type="dxa"/>
          </w:tcPr>
          <w:p w14:paraId="49C8329D" w14:textId="77777777" w:rsidR="002E5D0F" w:rsidRPr="004A7AD4" w:rsidRDefault="002E5D0F" w:rsidP="004A7AD4">
            <w:pPr>
              <w:rPr>
                <w:sz w:val="18"/>
                <w:szCs w:val="18"/>
              </w:rPr>
            </w:pPr>
            <w:r w:rsidRPr="004A7AD4">
              <w:rPr>
                <w:sz w:val="18"/>
                <w:szCs w:val="18"/>
              </w:rPr>
              <w:t>0.0481*</w:t>
            </w:r>
          </w:p>
        </w:tc>
      </w:tr>
    </w:tbl>
    <w:p w14:paraId="668227C3" w14:textId="77777777" w:rsidR="00936E62" w:rsidRDefault="00936E62" w:rsidP="009C4AE7">
      <w:pPr>
        <w:pStyle w:val="TableDescription"/>
      </w:pPr>
      <w:r w:rsidRPr="005227F3">
        <w:rPr>
          <w:sz w:val="20"/>
          <w:szCs w:val="20"/>
        </w:rPr>
        <w:t>Ɨ</w:t>
      </w:r>
      <w:r w:rsidR="005227F3">
        <w:rPr>
          <w:sz w:val="20"/>
          <w:szCs w:val="20"/>
        </w:rPr>
        <w:t xml:space="preserve"> </w:t>
      </w:r>
      <w:proofErr w:type="gramStart"/>
      <w:r w:rsidRPr="00AA6188">
        <w:t>Not</w:t>
      </w:r>
      <w:proofErr w:type="gramEnd"/>
      <w:r w:rsidRPr="00AA6188">
        <w:t xml:space="preserve"> powered to show statistical significance vs</w:t>
      </w:r>
      <w:r>
        <w:t>.</w:t>
      </w:r>
      <w:r w:rsidRPr="00AA6188">
        <w:t xml:space="preserve"> the budesonide –MMX groups</w:t>
      </w:r>
      <w:r>
        <w:t>.</w:t>
      </w:r>
    </w:p>
    <w:p w14:paraId="2A3C470C" w14:textId="77777777" w:rsidR="00870137" w:rsidRDefault="00870137" w:rsidP="00870137">
      <w:pPr>
        <w:pStyle w:val="TableTitle"/>
      </w:pPr>
      <w:proofErr w:type="gramStart"/>
      <w:r w:rsidRPr="00870137">
        <w:lastRenderedPageBreak/>
        <w:t xml:space="preserve">Table </w:t>
      </w:r>
      <w:r w:rsidR="000D7501">
        <w:t>9</w:t>
      </w:r>
      <w:r w:rsidRPr="00870137">
        <w:t>.</w:t>
      </w:r>
      <w:proofErr w:type="gramEnd"/>
      <w:r w:rsidRPr="00870137">
        <w:t xml:space="preserve"> Study CB-01-02/02: Patients with clinical remission after 8 weeks of treatment in the </w:t>
      </w:r>
      <w:r>
        <w:t>PP population</w:t>
      </w:r>
      <w:r w:rsidRPr="00870137">
        <w:t>.</w:t>
      </w:r>
    </w:p>
    <w:tbl>
      <w:tblPr>
        <w:tblStyle w:val="TableTGAblue"/>
        <w:tblW w:w="8256" w:type="dxa"/>
        <w:tblLook w:val="04A0" w:firstRow="1" w:lastRow="0" w:firstColumn="1" w:lastColumn="0" w:noHBand="0" w:noVBand="1"/>
      </w:tblPr>
      <w:tblGrid>
        <w:gridCol w:w="3556"/>
        <w:gridCol w:w="1016"/>
        <w:gridCol w:w="1271"/>
        <w:gridCol w:w="1270"/>
        <w:gridCol w:w="1143"/>
      </w:tblGrid>
      <w:tr w:rsidR="00870137" w:rsidRPr="00042C07" w14:paraId="0A5A41A0" w14:textId="77777777" w:rsidTr="00870137">
        <w:trPr>
          <w:cnfStyle w:val="100000000000" w:firstRow="1" w:lastRow="0" w:firstColumn="0" w:lastColumn="0" w:oddVBand="0" w:evenVBand="0" w:oddHBand="0" w:evenHBand="0" w:firstRowFirstColumn="0" w:firstRowLastColumn="0" w:lastRowFirstColumn="0" w:lastRowLastColumn="0"/>
          <w:trHeight w:val="735"/>
        </w:trPr>
        <w:tc>
          <w:tcPr>
            <w:tcW w:w="3556" w:type="dxa"/>
          </w:tcPr>
          <w:p w14:paraId="657E5DB7" w14:textId="77777777" w:rsidR="00870137" w:rsidRPr="004A7AD4" w:rsidRDefault="00870137" w:rsidP="00CE5880">
            <w:pPr>
              <w:ind w:left="0" w:right="0"/>
              <w:rPr>
                <w:sz w:val="18"/>
                <w:szCs w:val="18"/>
              </w:rPr>
            </w:pPr>
            <w:r w:rsidRPr="004A7AD4">
              <w:rPr>
                <w:sz w:val="18"/>
                <w:szCs w:val="18"/>
              </w:rPr>
              <w:t>PP population</w:t>
            </w:r>
          </w:p>
        </w:tc>
        <w:tc>
          <w:tcPr>
            <w:tcW w:w="1016" w:type="dxa"/>
          </w:tcPr>
          <w:p w14:paraId="3BDE24D3" w14:textId="77777777" w:rsidR="00870137" w:rsidRPr="004A7AD4" w:rsidRDefault="00870137" w:rsidP="00CE5880">
            <w:pPr>
              <w:ind w:left="0" w:right="0"/>
              <w:rPr>
                <w:sz w:val="18"/>
                <w:szCs w:val="18"/>
              </w:rPr>
            </w:pPr>
            <w:r w:rsidRPr="004A7AD4">
              <w:rPr>
                <w:sz w:val="18"/>
                <w:szCs w:val="18"/>
              </w:rPr>
              <w:t>Placebo N=67</w:t>
            </w:r>
          </w:p>
        </w:tc>
        <w:tc>
          <w:tcPr>
            <w:tcW w:w="1271" w:type="dxa"/>
          </w:tcPr>
          <w:p w14:paraId="54378958" w14:textId="77777777" w:rsidR="00870137" w:rsidRPr="004A7AD4" w:rsidRDefault="00870137" w:rsidP="00CE5880">
            <w:pPr>
              <w:ind w:left="0" w:right="0"/>
              <w:rPr>
                <w:sz w:val="18"/>
                <w:szCs w:val="18"/>
              </w:rPr>
            </w:pPr>
            <w:r w:rsidRPr="004A7AD4">
              <w:rPr>
                <w:sz w:val="18"/>
                <w:szCs w:val="18"/>
              </w:rPr>
              <w:t>MMX 9 mg N=84</w:t>
            </w:r>
          </w:p>
        </w:tc>
        <w:tc>
          <w:tcPr>
            <w:tcW w:w="1270" w:type="dxa"/>
          </w:tcPr>
          <w:p w14:paraId="719CD4E0" w14:textId="77777777" w:rsidR="00870137" w:rsidRPr="004A7AD4" w:rsidRDefault="00870137" w:rsidP="00CE5880">
            <w:pPr>
              <w:ind w:left="0" w:right="0"/>
              <w:rPr>
                <w:sz w:val="18"/>
                <w:szCs w:val="18"/>
              </w:rPr>
            </w:pPr>
            <w:r w:rsidRPr="004A7AD4">
              <w:rPr>
                <w:sz w:val="18"/>
                <w:szCs w:val="18"/>
              </w:rPr>
              <w:t>MMX 6 mg N=73</w:t>
            </w:r>
          </w:p>
        </w:tc>
        <w:tc>
          <w:tcPr>
            <w:tcW w:w="1143" w:type="dxa"/>
          </w:tcPr>
          <w:p w14:paraId="289F8266" w14:textId="77777777" w:rsidR="00870137" w:rsidRPr="004A7AD4" w:rsidRDefault="00870137" w:rsidP="00CE5880">
            <w:pPr>
              <w:ind w:left="0" w:right="0"/>
              <w:rPr>
                <w:sz w:val="18"/>
                <w:szCs w:val="18"/>
              </w:rPr>
            </w:pPr>
            <w:proofErr w:type="spellStart"/>
            <w:r w:rsidRPr="004A7AD4">
              <w:rPr>
                <w:sz w:val="18"/>
                <w:szCs w:val="18"/>
              </w:rPr>
              <w:t>EntocortƗ</w:t>
            </w:r>
            <w:proofErr w:type="spellEnd"/>
            <w:r w:rsidRPr="004A7AD4">
              <w:rPr>
                <w:sz w:val="18"/>
                <w:szCs w:val="18"/>
              </w:rPr>
              <w:t xml:space="preserve"> N=72</w:t>
            </w:r>
          </w:p>
        </w:tc>
      </w:tr>
      <w:tr w:rsidR="00870137" w:rsidRPr="00042C07" w14:paraId="5797F263" w14:textId="77777777" w:rsidTr="00870137">
        <w:trPr>
          <w:trHeight w:val="574"/>
        </w:trPr>
        <w:tc>
          <w:tcPr>
            <w:tcW w:w="3556" w:type="dxa"/>
          </w:tcPr>
          <w:p w14:paraId="43943DF0" w14:textId="77777777" w:rsidR="00870137" w:rsidRPr="004A7AD4" w:rsidRDefault="00870137" w:rsidP="00CE5880">
            <w:pPr>
              <w:ind w:left="0" w:right="0"/>
              <w:rPr>
                <w:sz w:val="18"/>
                <w:szCs w:val="18"/>
              </w:rPr>
            </w:pPr>
            <w:r w:rsidRPr="004A7AD4">
              <w:rPr>
                <w:sz w:val="18"/>
                <w:szCs w:val="18"/>
              </w:rPr>
              <w:t>Remission: n (%)</w:t>
            </w:r>
          </w:p>
        </w:tc>
        <w:tc>
          <w:tcPr>
            <w:tcW w:w="1016" w:type="dxa"/>
          </w:tcPr>
          <w:p w14:paraId="2918FD7A" w14:textId="77777777" w:rsidR="00870137" w:rsidRPr="004A7AD4" w:rsidRDefault="00870137" w:rsidP="00CE5880">
            <w:pPr>
              <w:ind w:left="0" w:right="0"/>
              <w:rPr>
                <w:sz w:val="18"/>
                <w:szCs w:val="18"/>
              </w:rPr>
            </w:pPr>
            <w:r w:rsidRPr="004A7AD4">
              <w:rPr>
                <w:sz w:val="18"/>
                <w:szCs w:val="18"/>
              </w:rPr>
              <w:t>4(6.0)</w:t>
            </w:r>
          </w:p>
        </w:tc>
        <w:tc>
          <w:tcPr>
            <w:tcW w:w="1271" w:type="dxa"/>
          </w:tcPr>
          <w:p w14:paraId="3EC0EA44" w14:textId="77777777" w:rsidR="00870137" w:rsidRPr="004A7AD4" w:rsidRDefault="00870137" w:rsidP="00CE5880">
            <w:pPr>
              <w:ind w:left="0" w:right="0"/>
              <w:rPr>
                <w:sz w:val="18"/>
                <w:szCs w:val="18"/>
              </w:rPr>
            </w:pPr>
            <w:r w:rsidRPr="004A7AD4">
              <w:rPr>
                <w:sz w:val="18"/>
                <w:szCs w:val="18"/>
              </w:rPr>
              <w:t>19 (22.6)</w:t>
            </w:r>
          </w:p>
        </w:tc>
        <w:tc>
          <w:tcPr>
            <w:tcW w:w="1270" w:type="dxa"/>
          </w:tcPr>
          <w:p w14:paraId="09E80E58" w14:textId="77777777" w:rsidR="00870137" w:rsidRPr="004A7AD4" w:rsidRDefault="00870137" w:rsidP="00CE5880">
            <w:pPr>
              <w:ind w:left="0" w:right="0"/>
              <w:rPr>
                <w:sz w:val="18"/>
                <w:szCs w:val="18"/>
              </w:rPr>
            </w:pPr>
            <w:r w:rsidRPr="004A7AD4">
              <w:rPr>
                <w:sz w:val="18"/>
                <w:szCs w:val="18"/>
              </w:rPr>
              <w:t>8 (11.0)</w:t>
            </w:r>
          </w:p>
        </w:tc>
        <w:tc>
          <w:tcPr>
            <w:tcW w:w="1143" w:type="dxa"/>
          </w:tcPr>
          <w:p w14:paraId="267AFF11" w14:textId="77777777" w:rsidR="00870137" w:rsidRPr="004A7AD4" w:rsidRDefault="00870137" w:rsidP="00CE5880">
            <w:pPr>
              <w:ind w:left="0" w:right="0"/>
              <w:rPr>
                <w:sz w:val="18"/>
                <w:szCs w:val="18"/>
              </w:rPr>
            </w:pPr>
            <w:r w:rsidRPr="004A7AD4">
              <w:rPr>
                <w:sz w:val="18"/>
                <w:szCs w:val="18"/>
              </w:rPr>
              <w:t>12 (16.7)</w:t>
            </w:r>
          </w:p>
        </w:tc>
      </w:tr>
      <w:tr w:rsidR="00870137" w:rsidRPr="00042C07" w14:paraId="70E4CB44" w14:textId="77777777" w:rsidTr="00870137">
        <w:trPr>
          <w:trHeight w:val="528"/>
        </w:trPr>
        <w:tc>
          <w:tcPr>
            <w:tcW w:w="3556" w:type="dxa"/>
          </w:tcPr>
          <w:p w14:paraId="7B3A972E" w14:textId="77777777" w:rsidR="00870137" w:rsidRPr="004A7AD4" w:rsidRDefault="00870137" w:rsidP="00CE5880">
            <w:pPr>
              <w:ind w:left="0" w:right="0"/>
              <w:rPr>
                <w:sz w:val="18"/>
                <w:szCs w:val="18"/>
              </w:rPr>
            </w:pPr>
            <w:r w:rsidRPr="004A7AD4">
              <w:rPr>
                <w:sz w:val="18"/>
                <w:szCs w:val="18"/>
              </w:rPr>
              <w:t xml:space="preserve">95% CI </w:t>
            </w:r>
          </w:p>
        </w:tc>
        <w:tc>
          <w:tcPr>
            <w:tcW w:w="1016" w:type="dxa"/>
          </w:tcPr>
          <w:p w14:paraId="11C6AA0A" w14:textId="77777777" w:rsidR="00870137" w:rsidRPr="004A7AD4" w:rsidRDefault="00870137" w:rsidP="00CE5880">
            <w:pPr>
              <w:ind w:left="0" w:right="0"/>
              <w:rPr>
                <w:sz w:val="18"/>
                <w:szCs w:val="18"/>
              </w:rPr>
            </w:pPr>
            <w:r w:rsidRPr="004A7AD4">
              <w:rPr>
                <w:sz w:val="18"/>
                <w:szCs w:val="18"/>
              </w:rPr>
              <w:t>0.3, 11.6</w:t>
            </w:r>
          </w:p>
        </w:tc>
        <w:tc>
          <w:tcPr>
            <w:tcW w:w="1271" w:type="dxa"/>
          </w:tcPr>
          <w:p w14:paraId="0D75EB85" w14:textId="77777777" w:rsidR="00870137" w:rsidRPr="004A7AD4" w:rsidRDefault="00870137" w:rsidP="00CE5880">
            <w:pPr>
              <w:ind w:left="0" w:right="0"/>
              <w:rPr>
                <w:sz w:val="18"/>
                <w:szCs w:val="18"/>
              </w:rPr>
            </w:pPr>
            <w:r w:rsidRPr="004A7AD4">
              <w:rPr>
                <w:sz w:val="18"/>
                <w:szCs w:val="18"/>
              </w:rPr>
              <w:t>13.7, 31.6</w:t>
            </w:r>
          </w:p>
        </w:tc>
        <w:tc>
          <w:tcPr>
            <w:tcW w:w="1270" w:type="dxa"/>
          </w:tcPr>
          <w:p w14:paraId="7FD91565" w14:textId="77777777" w:rsidR="00870137" w:rsidRPr="004A7AD4" w:rsidRDefault="00870137" w:rsidP="00CE5880">
            <w:pPr>
              <w:ind w:left="0" w:right="0"/>
              <w:rPr>
                <w:sz w:val="18"/>
                <w:szCs w:val="18"/>
              </w:rPr>
            </w:pPr>
            <w:r w:rsidRPr="004A7AD4">
              <w:rPr>
                <w:sz w:val="18"/>
                <w:szCs w:val="18"/>
              </w:rPr>
              <w:t>3.8, 18.1</w:t>
            </w:r>
          </w:p>
        </w:tc>
        <w:tc>
          <w:tcPr>
            <w:tcW w:w="1143" w:type="dxa"/>
          </w:tcPr>
          <w:p w14:paraId="4616B9DA" w14:textId="77777777" w:rsidR="00870137" w:rsidRPr="004A7AD4" w:rsidRDefault="00870137" w:rsidP="00CE5880">
            <w:pPr>
              <w:ind w:left="0" w:right="0"/>
              <w:rPr>
                <w:sz w:val="18"/>
                <w:szCs w:val="18"/>
              </w:rPr>
            </w:pPr>
            <w:r w:rsidRPr="004A7AD4">
              <w:rPr>
                <w:sz w:val="18"/>
                <w:szCs w:val="18"/>
              </w:rPr>
              <w:t>8.1, 25.3</w:t>
            </w:r>
          </w:p>
        </w:tc>
      </w:tr>
      <w:tr w:rsidR="00870137" w:rsidRPr="00042C07" w14:paraId="70A50685" w14:textId="77777777" w:rsidTr="00870137">
        <w:trPr>
          <w:trHeight w:val="525"/>
        </w:trPr>
        <w:tc>
          <w:tcPr>
            <w:tcW w:w="3556" w:type="dxa"/>
          </w:tcPr>
          <w:p w14:paraId="1456DF33" w14:textId="77777777" w:rsidR="00870137" w:rsidRPr="004A7AD4" w:rsidRDefault="00870137" w:rsidP="00CE5880">
            <w:pPr>
              <w:ind w:left="0" w:right="0"/>
              <w:rPr>
                <w:sz w:val="18"/>
                <w:szCs w:val="18"/>
              </w:rPr>
            </w:pPr>
            <w:r w:rsidRPr="004A7AD4">
              <w:rPr>
                <w:sz w:val="18"/>
                <w:szCs w:val="18"/>
              </w:rPr>
              <w:t>Difference between active and placebo</w:t>
            </w:r>
          </w:p>
        </w:tc>
        <w:tc>
          <w:tcPr>
            <w:tcW w:w="1016" w:type="dxa"/>
          </w:tcPr>
          <w:p w14:paraId="63BD65CA" w14:textId="77777777" w:rsidR="00870137" w:rsidRPr="004A7AD4" w:rsidRDefault="00870137" w:rsidP="00CE5880">
            <w:pPr>
              <w:ind w:left="0" w:right="0"/>
              <w:rPr>
                <w:sz w:val="18"/>
                <w:szCs w:val="18"/>
              </w:rPr>
            </w:pPr>
          </w:p>
        </w:tc>
        <w:tc>
          <w:tcPr>
            <w:tcW w:w="1271" w:type="dxa"/>
          </w:tcPr>
          <w:p w14:paraId="73F6F469" w14:textId="77777777" w:rsidR="00870137" w:rsidRPr="004A7AD4" w:rsidRDefault="00870137" w:rsidP="00CE5880">
            <w:pPr>
              <w:ind w:left="0" w:right="0"/>
              <w:rPr>
                <w:sz w:val="18"/>
                <w:szCs w:val="18"/>
              </w:rPr>
            </w:pPr>
            <w:r w:rsidRPr="004A7AD4">
              <w:rPr>
                <w:sz w:val="18"/>
                <w:szCs w:val="18"/>
              </w:rPr>
              <w:t>16.6</w:t>
            </w:r>
          </w:p>
        </w:tc>
        <w:tc>
          <w:tcPr>
            <w:tcW w:w="1270" w:type="dxa"/>
          </w:tcPr>
          <w:p w14:paraId="640B4DEA" w14:textId="77777777" w:rsidR="00870137" w:rsidRPr="004A7AD4" w:rsidRDefault="00870137" w:rsidP="00CE5880">
            <w:pPr>
              <w:ind w:left="0" w:right="0"/>
              <w:rPr>
                <w:sz w:val="18"/>
                <w:szCs w:val="18"/>
              </w:rPr>
            </w:pPr>
            <w:r w:rsidRPr="004A7AD4">
              <w:rPr>
                <w:sz w:val="18"/>
                <w:szCs w:val="18"/>
              </w:rPr>
              <w:t>5.0</w:t>
            </w:r>
          </w:p>
        </w:tc>
        <w:tc>
          <w:tcPr>
            <w:tcW w:w="1143" w:type="dxa"/>
          </w:tcPr>
          <w:p w14:paraId="20B8E7E5" w14:textId="77777777" w:rsidR="00870137" w:rsidRPr="004A7AD4" w:rsidRDefault="00870137" w:rsidP="00CE5880">
            <w:pPr>
              <w:ind w:left="0" w:right="0"/>
              <w:rPr>
                <w:sz w:val="18"/>
                <w:szCs w:val="18"/>
              </w:rPr>
            </w:pPr>
            <w:r w:rsidRPr="004A7AD4">
              <w:rPr>
                <w:sz w:val="18"/>
                <w:szCs w:val="18"/>
              </w:rPr>
              <w:t>10.7</w:t>
            </w:r>
          </w:p>
        </w:tc>
      </w:tr>
      <w:tr w:rsidR="00870137" w:rsidRPr="00042C07" w14:paraId="20DA266D" w14:textId="77777777" w:rsidTr="00870137">
        <w:trPr>
          <w:trHeight w:val="508"/>
        </w:trPr>
        <w:tc>
          <w:tcPr>
            <w:tcW w:w="3556" w:type="dxa"/>
          </w:tcPr>
          <w:p w14:paraId="05F7FD5A" w14:textId="77777777" w:rsidR="00870137" w:rsidRPr="004A7AD4" w:rsidRDefault="00870137" w:rsidP="00CE5880">
            <w:pPr>
              <w:ind w:left="0" w:right="0"/>
              <w:rPr>
                <w:sz w:val="18"/>
                <w:szCs w:val="18"/>
              </w:rPr>
            </w:pPr>
            <w:r w:rsidRPr="004A7AD4">
              <w:rPr>
                <w:sz w:val="18"/>
                <w:szCs w:val="18"/>
              </w:rPr>
              <w:t>95%</w:t>
            </w:r>
          </w:p>
        </w:tc>
        <w:tc>
          <w:tcPr>
            <w:tcW w:w="1016" w:type="dxa"/>
          </w:tcPr>
          <w:p w14:paraId="15BF21DE" w14:textId="77777777" w:rsidR="00870137" w:rsidRPr="004A7AD4" w:rsidRDefault="00870137" w:rsidP="00CE5880">
            <w:pPr>
              <w:ind w:left="0" w:right="0"/>
              <w:rPr>
                <w:sz w:val="18"/>
                <w:szCs w:val="18"/>
              </w:rPr>
            </w:pPr>
          </w:p>
        </w:tc>
        <w:tc>
          <w:tcPr>
            <w:tcW w:w="1271" w:type="dxa"/>
          </w:tcPr>
          <w:p w14:paraId="6082EFA7" w14:textId="77777777" w:rsidR="00870137" w:rsidRPr="004A7AD4" w:rsidRDefault="00870137" w:rsidP="00CE5880">
            <w:pPr>
              <w:ind w:left="0" w:right="0"/>
              <w:rPr>
                <w:sz w:val="18"/>
                <w:szCs w:val="18"/>
              </w:rPr>
            </w:pPr>
            <w:r w:rsidRPr="004A7AD4">
              <w:rPr>
                <w:sz w:val="18"/>
                <w:szCs w:val="18"/>
              </w:rPr>
              <w:t>6.1, 27.2</w:t>
            </w:r>
          </w:p>
        </w:tc>
        <w:tc>
          <w:tcPr>
            <w:tcW w:w="1270" w:type="dxa"/>
          </w:tcPr>
          <w:p w14:paraId="1A30C7BE" w14:textId="77777777" w:rsidR="00870137" w:rsidRPr="004A7AD4" w:rsidRDefault="00870137" w:rsidP="00CE5880">
            <w:pPr>
              <w:ind w:left="0" w:right="0"/>
              <w:rPr>
                <w:sz w:val="18"/>
                <w:szCs w:val="18"/>
              </w:rPr>
            </w:pPr>
            <w:r w:rsidRPr="004A7AD4">
              <w:rPr>
                <w:sz w:val="18"/>
                <w:szCs w:val="18"/>
              </w:rPr>
              <w:t>-4.2, 14.1</w:t>
            </w:r>
          </w:p>
        </w:tc>
        <w:tc>
          <w:tcPr>
            <w:tcW w:w="1143" w:type="dxa"/>
          </w:tcPr>
          <w:p w14:paraId="5C6B70FB" w14:textId="77777777" w:rsidR="00870137" w:rsidRPr="004A7AD4" w:rsidRDefault="00870137" w:rsidP="00CE5880">
            <w:pPr>
              <w:ind w:left="0" w:right="0"/>
              <w:rPr>
                <w:sz w:val="18"/>
                <w:szCs w:val="18"/>
              </w:rPr>
            </w:pPr>
            <w:r w:rsidRPr="004A7AD4">
              <w:rPr>
                <w:sz w:val="18"/>
                <w:szCs w:val="18"/>
              </w:rPr>
              <w:t>0.4, 21.0</w:t>
            </w:r>
          </w:p>
        </w:tc>
      </w:tr>
      <w:tr w:rsidR="00870137" w:rsidRPr="00042C07" w14:paraId="47E070B0" w14:textId="77777777" w:rsidTr="00870137">
        <w:trPr>
          <w:trHeight w:val="462"/>
        </w:trPr>
        <w:tc>
          <w:tcPr>
            <w:tcW w:w="3556" w:type="dxa"/>
          </w:tcPr>
          <w:p w14:paraId="6C00E3E2" w14:textId="77777777" w:rsidR="00870137" w:rsidRPr="004A7AD4" w:rsidRDefault="00870137" w:rsidP="00CE5880">
            <w:pPr>
              <w:ind w:left="0" w:right="0"/>
              <w:rPr>
                <w:sz w:val="18"/>
                <w:szCs w:val="18"/>
              </w:rPr>
            </w:pPr>
            <w:r w:rsidRPr="004A7AD4">
              <w:rPr>
                <w:sz w:val="18"/>
                <w:szCs w:val="18"/>
              </w:rPr>
              <w:t>p-value</w:t>
            </w:r>
          </w:p>
        </w:tc>
        <w:tc>
          <w:tcPr>
            <w:tcW w:w="1016" w:type="dxa"/>
          </w:tcPr>
          <w:p w14:paraId="79334F75" w14:textId="77777777" w:rsidR="00870137" w:rsidRPr="004A7AD4" w:rsidRDefault="00870137" w:rsidP="00CE5880">
            <w:pPr>
              <w:ind w:left="0" w:right="0"/>
              <w:rPr>
                <w:sz w:val="18"/>
                <w:szCs w:val="18"/>
              </w:rPr>
            </w:pPr>
          </w:p>
        </w:tc>
        <w:tc>
          <w:tcPr>
            <w:tcW w:w="1271" w:type="dxa"/>
          </w:tcPr>
          <w:p w14:paraId="407C2D2C" w14:textId="77777777" w:rsidR="00870137" w:rsidRPr="004A7AD4" w:rsidRDefault="00870137" w:rsidP="00CE5880">
            <w:pPr>
              <w:ind w:left="0" w:right="0"/>
              <w:rPr>
                <w:sz w:val="18"/>
                <w:szCs w:val="18"/>
              </w:rPr>
            </w:pPr>
            <w:r w:rsidRPr="004A7AD4">
              <w:rPr>
                <w:sz w:val="18"/>
                <w:szCs w:val="18"/>
              </w:rPr>
              <w:t>0.0047*</w:t>
            </w:r>
          </w:p>
        </w:tc>
        <w:tc>
          <w:tcPr>
            <w:tcW w:w="1270" w:type="dxa"/>
          </w:tcPr>
          <w:p w14:paraId="76DDB996" w14:textId="77777777" w:rsidR="00870137" w:rsidRPr="004A7AD4" w:rsidRDefault="00870137" w:rsidP="00CE5880">
            <w:pPr>
              <w:ind w:left="0" w:right="0"/>
              <w:rPr>
                <w:sz w:val="18"/>
                <w:szCs w:val="18"/>
              </w:rPr>
            </w:pPr>
            <w:r w:rsidRPr="004A7AD4">
              <w:rPr>
                <w:sz w:val="18"/>
                <w:szCs w:val="18"/>
              </w:rPr>
              <w:t>0.2922</w:t>
            </w:r>
          </w:p>
        </w:tc>
        <w:tc>
          <w:tcPr>
            <w:tcW w:w="1143" w:type="dxa"/>
          </w:tcPr>
          <w:p w14:paraId="3325B012" w14:textId="77777777" w:rsidR="00870137" w:rsidRPr="004A7AD4" w:rsidRDefault="00870137" w:rsidP="00CE5880">
            <w:pPr>
              <w:ind w:left="0" w:right="0"/>
              <w:rPr>
                <w:sz w:val="18"/>
                <w:szCs w:val="18"/>
              </w:rPr>
            </w:pPr>
            <w:r w:rsidRPr="004A7AD4">
              <w:rPr>
                <w:sz w:val="18"/>
                <w:szCs w:val="18"/>
              </w:rPr>
              <w:t>0.0483#</w:t>
            </w:r>
          </w:p>
        </w:tc>
      </w:tr>
    </w:tbl>
    <w:p w14:paraId="084FFB17" w14:textId="77777777" w:rsidR="00870137" w:rsidRPr="00936E62" w:rsidRDefault="00870137" w:rsidP="004A7AD4">
      <w:pPr>
        <w:pStyle w:val="TableDescription"/>
      </w:pPr>
      <w:r w:rsidRPr="00870137">
        <w:t xml:space="preserve">Ɨ </w:t>
      </w:r>
      <w:proofErr w:type="gramStart"/>
      <w:r w:rsidRPr="00870137">
        <w:t>Not</w:t>
      </w:r>
      <w:proofErr w:type="gramEnd"/>
      <w:r w:rsidRPr="00870137">
        <w:t xml:space="preserve"> powered to show statistical significance vs. the budesonide –MMX groups.</w:t>
      </w:r>
    </w:p>
    <w:p w14:paraId="7F604B16" w14:textId="77777777" w:rsidR="00936E62" w:rsidRPr="00936E62" w:rsidRDefault="00936E62" w:rsidP="00936E62">
      <w:r w:rsidRPr="00936E62">
        <w:t>Subgroup analysis of remission by gender, age and geographic region revealed that males appeared to respond better than females, patients in the less than median age subgroup appeared to respond better than others, and patients from Russia and Eastern Europe showed greater remission rates than patients from other countries.</w:t>
      </w:r>
    </w:p>
    <w:p w14:paraId="2C2D91DD" w14:textId="77777777" w:rsidR="00936E62" w:rsidRPr="00936E62" w:rsidRDefault="00936E62" w:rsidP="00936E62">
      <w:r w:rsidRPr="00936E62">
        <w:t>Overall, the findings in the subgroup analysis were inconsistent w</w:t>
      </w:r>
      <w:r w:rsidR="00E87C57">
        <w:t>ith those in Study CB-01-02/01.</w:t>
      </w:r>
    </w:p>
    <w:p w14:paraId="6B41A353" w14:textId="2F5CFAE5" w:rsidR="00936E62" w:rsidRPr="009C4AE7" w:rsidRDefault="00936E62" w:rsidP="00CE5880">
      <w:pPr>
        <w:pStyle w:val="Heading7"/>
      </w:pPr>
      <w:r w:rsidRPr="009C4AE7">
        <w:t xml:space="preserve">Secondary and other efficacy outcomes as per the </w:t>
      </w:r>
      <w:r w:rsidR="00170494" w:rsidRPr="009C4AE7">
        <w:t>clinical evaluation</w:t>
      </w:r>
    </w:p>
    <w:p w14:paraId="50239166" w14:textId="77777777" w:rsidR="00936E62" w:rsidRPr="00936E62" w:rsidRDefault="00936E62" w:rsidP="00936E62">
      <w:r w:rsidRPr="00936E62">
        <w:t>With the exemption of symptom resolution, the differences between the treatment and placebo groups regarding both the secondary and other efficacy endpoints were not statistically significant.</w:t>
      </w:r>
    </w:p>
    <w:p w14:paraId="7F8DE5C5" w14:textId="77777777" w:rsidR="00936E62" w:rsidRPr="00936E62" w:rsidRDefault="00936E62" w:rsidP="00936E62">
      <w:r w:rsidRPr="00936E62">
        <w:t xml:space="preserve">For symptom resolution, a statistically significant difference was noted in the </w:t>
      </w:r>
      <w:r w:rsidR="00271024">
        <w:t xml:space="preserve">budesonide </w:t>
      </w:r>
      <w:r w:rsidRPr="00936E62">
        <w:t>MMX 9 mg group (23.9%) when compared to the placebo group (11.2%) in worse case analysis (</w:t>
      </w:r>
      <w:r w:rsidR="0082753E">
        <w:t xml:space="preserve">p = </w:t>
      </w:r>
      <w:r w:rsidRPr="00936E62">
        <w:t xml:space="preserve">0.0220). A similar statistically significant difference in symptom resolution was also noted between the </w:t>
      </w:r>
      <w:r w:rsidR="00271024">
        <w:t xml:space="preserve">budesonide </w:t>
      </w:r>
      <w:r w:rsidRPr="00936E62">
        <w:t>MMX 9 mg group (36.1%) and the placebo group (17.5%) in observed case analysis (</w:t>
      </w:r>
      <w:r w:rsidR="0082753E">
        <w:t xml:space="preserve">p = </w:t>
      </w:r>
      <w:r w:rsidRPr="00936E62">
        <w:t>0.0196; data not presented in the table above).</w:t>
      </w:r>
    </w:p>
    <w:p w14:paraId="01B4B01B" w14:textId="77777777" w:rsidR="00936E62" w:rsidRPr="00936E62" w:rsidRDefault="00936E62" w:rsidP="00936E62">
      <w:r w:rsidRPr="00936E62">
        <w:t xml:space="preserve">In the case of histological healing, there appeared to be a clinical meaningful improvement in the </w:t>
      </w:r>
      <w:r w:rsidR="00271024">
        <w:t xml:space="preserve">budesonide </w:t>
      </w:r>
      <w:r w:rsidRPr="00936E62">
        <w:t>MMX 9 mg group (16.5%) compared to the placebo group (6.7%) in worse case analysis, although the difference (9.8%) was not statistically significant (</w:t>
      </w:r>
      <w:r w:rsidR="0082753E">
        <w:t>p = </w:t>
      </w:r>
      <w:r w:rsidRPr="00936E62">
        <w:t xml:space="preserve">0.00361). In observed case analysis for histological healing, a similar improvement was also noted in the </w:t>
      </w:r>
      <w:r w:rsidR="00271024">
        <w:t xml:space="preserve">budesonide </w:t>
      </w:r>
      <w:r w:rsidRPr="00936E62">
        <w:t>MMX 9</w:t>
      </w:r>
      <w:r w:rsidR="00870137">
        <w:t xml:space="preserve"> </w:t>
      </w:r>
      <w:r w:rsidRPr="00936E62">
        <w:t xml:space="preserve">mg group compared with the placebo group (25.4% versus 10.3%, </w:t>
      </w:r>
      <w:r w:rsidR="0082753E">
        <w:t xml:space="preserve">p = </w:t>
      </w:r>
      <w:r w:rsidRPr="00936E62">
        <w:t>0.0293), although the difference (15.0%) did not reach the study protocol predefined statistical significance level at p</w:t>
      </w:r>
      <w:r w:rsidR="0082753E">
        <w:t xml:space="preserve"> </w:t>
      </w:r>
      <w:r w:rsidRPr="00936E62">
        <w:t>≤</w:t>
      </w:r>
      <w:r w:rsidR="0082753E">
        <w:t xml:space="preserve"> </w:t>
      </w:r>
      <w:r w:rsidRPr="00936E62">
        <w:t>0.025.</w:t>
      </w:r>
    </w:p>
    <w:p w14:paraId="0BD4A0E7" w14:textId="77777777" w:rsidR="00936E62" w:rsidRPr="00936E62" w:rsidRDefault="00936E62" w:rsidP="00936E62">
      <w:r w:rsidRPr="00936E62">
        <w:t>Overall, results for the secondary and other efficacy endpoints in this study appeared to be more supportive and convincing t</w:t>
      </w:r>
      <w:r w:rsidR="00170494">
        <w:t>han those in Study CB-01-02/01.</w:t>
      </w:r>
    </w:p>
    <w:p w14:paraId="772D6E05" w14:textId="77777777" w:rsidR="00936E62" w:rsidRPr="00936E62" w:rsidRDefault="00936E62" w:rsidP="00170494">
      <w:pPr>
        <w:pStyle w:val="Heading5"/>
      </w:pPr>
      <w:r w:rsidRPr="00936E62">
        <w:t>Other efficacy studies</w:t>
      </w:r>
    </w:p>
    <w:p w14:paraId="24E2BE2E" w14:textId="77777777" w:rsidR="00936E62" w:rsidRPr="00936E62" w:rsidRDefault="00936E62" w:rsidP="00170494">
      <w:pPr>
        <w:pStyle w:val="Heading6"/>
      </w:pPr>
      <w:r w:rsidRPr="00936E62">
        <w:t>Study CRO-03-53</w:t>
      </w:r>
    </w:p>
    <w:p w14:paraId="29A6A588" w14:textId="77777777" w:rsidR="00936E62" w:rsidRPr="00936E62" w:rsidRDefault="00936E62" w:rsidP="00936E62">
      <w:r w:rsidRPr="00936E62">
        <w:t>This wa</w:t>
      </w:r>
      <w:r w:rsidR="00170494">
        <w:t xml:space="preserve">s a multi-centre, randomised, 2 </w:t>
      </w:r>
      <w:r w:rsidRPr="00936E62">
        <w:t xml:space="preserve">period, placebo controlled study, with 4 weeks of blinded treatment (Period 1) followed by 4 weeks of open label extension (Period 2). The main objective of the study was to assess whether the </w:t>
      </w:r>
      <w:r w:rsidR="00271024">
        <w:t xml:space="preserve">budesonide </w:t>
      </w:r>
      <w:r w:rsidRPr="00936E62">
        <w:t>MMX 9 mg tablet was able to induce a clinical improvement in patients wi</w:t>
      </w:r>
      <w:r w:rsidR="00170494">
        <w:t>th mild to moderate active left sided UC.</w:t>
      </w:r>
    </w:p>
    <w:p w14:paraId="79291C6F" w14:textId="77777777" w:rsidR="00936E62" w:rsidRPr="00936E62" w:rsidRDefault="00936E62" w:rsidP="00936E62">
      <w:r w:rsidRPr="00936E62">
        <w:lastRenderedPageBreak/>
        <w:t>A total of 21 male and 15 female pat</w:t>
      </w:r>
      <w:r w:rsidR="00170494">
        <w:t xml:space="preserve">ients, aged 18 to 65, with left </w:t>
      </w:r>
      <w:r w:rsidRPr="00936E62">
        <w:t xml:space="preserve">sided UC and a </w:t>
      </w:r>
      <w:r w:rsidR="00826812">
        <w:t>clinical activity index (</w:t>
      </w:r>
      <w:r w:rsidRPr="00936E62">
        <w:t>CAI</w:t>
      </w:r>
      <w:r w:rsidR="00826812">
        <w:t>)</w:t>
      </w:r>
      <w:r w:rsidRPr="00936E62">
        <w:t xml:space="preserve"> &lt;</w:t>
      </w:r>
      <w:r w:rsidR="00170494">
        <w:t xml:space="preserve"> </w:t>
      </w:r>
      <w:r w:rsidRPr="00936E62">
        <w:t xml:space="preserve">14, were randomised to the placebo and </w:t>
      </w:r>
      <w:r w:rsidR="00271024">
        <w:t xml:space="preserve">budesonide </w:t>
      </w:r>
      <w:r w:rsidRPr="00936E62">
        <w:t xml:space="preserve">MMX 9 mg groups. Of the 36 patients, only 32 were evaluable (ITT population), and the other 4 were excluded due to protocol violations. During Period 1, the patients were treated daily with either </w:t>
      </w:r>
      <w:r w:rsidR="00271024">
        <w:t xml:space="preserve">budesonide </w:t>
      </w:r>
      <w:r w:rsidRPr="00936E62">
        <w:t xml:space="preserve">MMX 9 mg or matched placebo for 4 weeks. During Period 2, all patients in both groups were treated daily with </w:t>
      </w:r>
      <w:r w:rsidR="00271024">
        <w:t xml:space="preserve">budesonide </w:t>
      </w:r>
      <w:r w:rsidR="00170494">
        <w:t>MMX 9 mg for a further 4 weeks.</w:t>
      </w:r>
    </w:p>
    <w:p w14:paraId="3934B9D9" w14:textId="77777777" w:rsidR="00936E62" w:rsidRPr="00936E62" w:rsidRDefault="00936E62" w:rsidP="00936E62">
      <w:r w:rsidRPr="00936E62">
        <w:t xml:space="preserve">The primary efficacy endpoint was the number of patients achieving a reduction by at least 50% of baseline CAI or remission (CAI </w:t>
      </w:r>
      <w:r w:rsidR="00170494">
        <w:t xml:space="preserve">≤ </w:t>
      </w:r>
      <w:r w:rsidRPr="00936E62">
        <w:t xml:space="preserve">4) after 4 weeks of treatment with </w:t>
      </w:r>
      <w:r w:rsidR="00271024">
        <w:t xml:space="preserve">budesonide </w:t>
      </w:r>
      <w:r w:rsidR="00170494">
        <w:t>MMX 9 mg or placebo.</w:t>
      </w:r>
    </w:p>
    <w:p w14:paraId="36CA867C" w14:textId="77777777" w:rsidR="00936E62" w:rsidRPr="00936E62" w:rsidRDefault="00936E62" w:rsidP="00936E62">
      <w:r w:rsidRPr="00936E62">
        <w:t>The secondary efficacy endpoints were the number of patients achieving a reduction by at least 70% of baseline CAI or remission (CAI ≤</w:t>
      </w:r>
      <w:r w:rsidR="0082753E">
        <w:t xml:space="preserve"> </w:t>
      </w:r>
      <w:r w:rsidRPr="00936E62">
        <w:t xml:space="preserve">4) after 8 weeks, endoscopic improvement in rectal biopsies, and changes </w:t>
      </w:r>
      <w:r w:rsidR="0082753E">
        <w:t>in CRP levels at W</w:t>
      </w:r>
      <w:r w:rsidR="00170494">
        <w:t>eeks 4 and 8.</w:t>
      </w:r>
    </w:p>
    <w:p w14:paraId="129615EC" w14:textId="403D0E12" w:rsidR="00936E62" w:rsidRPr="000C4DF6" w:rsidRDefault="00936E62" w:rsidP="00CE5880">
      <w:pPr>
        <w:pStyle w:val="Heading7"/>
      </w:pPr>
      <w:r w:rsidRPr="000C4DF6">
        <w:t xml:space="preserve">The preliminary efficacy outcome as per the </w:t>
      </w:r>
      <w:r w:rsidR="00CE5880">
        <w:t>clinical evaluation</w:t>
      </w:r>
    </w:p>
    <w:p w14:paraId="22D3AE2B" w14:textId="77777777" w:rsidR="00936E62" w:rsidRPr="00936E62" w:rsidRDefault="00936E62" w:rsidP="00936E62">
      <w:r w:rsidRPr="00936E62">
        <w:t xml:space="preserve">Overall, there appeared to be a greater number of patients achieving a response to </w:t>
      </w:r>
      <w:r w:rsidR="00271024">
        <w:t xml:space="preserve">budesonide </w:t>
      </w:r>
      <w:r w:rsidRPr="00936E62">
        <w:t>MMX 9 mg treatment in the efficacy parameters. However, the differences between the two study groups were not statistically significant.</w:t>
      </w:r>
    </w:p>
    <w:p w14:paraId="2DCD5A46" w14:textId="77777777" w:rsidR="00936E62" w:rsidRPr="00936E62" w:rsidRDefault="00936E62" w:rsidP="00936E62">
      <w:r w:rsidRPr="00936E62">
        <w:t xml:space="preserve">In terms of changes from baseline, the </w:t>
      </w:r>
      <w:r w:rsidR="00271024">
        <w:t xml:space="preserve">budesonide </w:t>
      </w:r>
      <w:r w:rsidRPr="00936E62">
        <w:t>MMX 9 mg group showed clinically meaningful CAI and endoscopic improvements following 8 weeks of treatment, but generally not after 4 weeks of treatment, suggesting that treatment for 8 weeks was necessary for a meaningful ther</w:t>
      </w:r>
      <w:r w:rsidR="00170494">
        <w:t>apeutic benefit of the product.</w:t>
      </w:r>
    </w:p>
    <w:p w14:paraId="3A0D012D" w14:textId="77777777" w:rsidR="00936E62" w:rsidRPr="00936E62" w:rsidRDefault="00936E62" w:rsidP="00170494">
      <w:pPr>
        <w:pStyle w:val="Heading6"/>
      </w:pPr>
      <w:r w:rsidRPr="00936E62">
        <w:t>Study CB-01-02/05</w:t>
      </w:r>
    </w:p>
    <w:p w14:paraId="1FF2FBB5" w14:textId="77777777" w:rsidR="00936E62" w:rsidRPr="00936E62" w:rsidRDefault="00170494" w:rsidP="00936E62">
      <w:r>
        <w:t>This was a multi-</w:t>
      </w:r>
      <w:r w:rsidRPr="00936E62">
        <w:t>centre</w:t>
      </w:r>
      <w:r w:rsidR="00936E62" w:rsidRPr="00936E62">
        <w:t>, ran</w:t>
      </w:r>
      <w:r>
        <w:t xml:space="preserve">domised, double blind, placebo </w:t>
      </w:r>
      <w:r w:rsidR="00936E62" w:rsidRPr="00936E62">
        <w:t xml:space="preserve">controlled study. The objective of the study was to evaluate the dose response of </w:t>
      </w:r>
      <w:r w:rsidR="00271024">
        <w:t xml:space="preserve">budesonide </w:t>
      </w:r>
      <w:r w:rsidR="00936E62" w:rsidRPr="00936E62">
        <w:t xml:space="preserve">MMX 3 mg and 9 mg oral tablets compared to placebo in patients </w:t>
      </w:r>
      <w:r w:rsidR="000C4DF6">
        <w:t>with mild or moderate active UC</w:t>
      </w:r>
      <w:r>
        <w:t xml:space="preserve"> when administered for 8 weeks.</w:t>
      </w:r>
    </w:p>
    <w:p w14:paraId="47AF18DC" w14:textId="77777777" w:rsidR="00936E62" w:rsidRPr="00936E62" w:rsidRDefault="00936E62" w:rsidP="00936E62">
      <w:r w:rsidRPr="00936E62">
        <w:t xml:space="preserve">A total of 24 male </w:t>
      </w:r>
      <w:r w:rsidR="00170494">
        <w:t xml:space="preserve">and 25 female patients, aged 18 to </w:t>
      </w:r>
      <w:r w:rsidRPr="00936E62">
        <w:t xml:space="preserve">75, with a UCDAI </w:t>
      </w:r>
      <w:r w:rsidR="00170494">
        <w:t xml:space="preserve">≥ </w:t>
      </w:r>
      <w:r w:rsidRPr="00936E62">
        <w:t xml:space="preserve">4 and </w:t>
      </w:r>
      <w:r w:rsidR="00170494">
        <w:t xml:space="preserve">≤ </w:t>
      </w:r>
      <w:r w:rsidRPr="00936E62">
        <w:t xml:space="preserve">10, were randomised to the placebo, </w:t>
      </w:r>
      <w:r w:rsidR="00271024">
        <w:t xml:space="preserve">budesonide </w:t>
      </w:r>
      <w:r w:rsidRPr="00936E62">
        <w:t xml:space="preserve">MMX 9 mg, and </w:t>
      </w:r>
      <w:r w:rsidR="00271024">
        <w:t xml:space="preserve">budesonide </w:t>
      </w:r>
      <w:r w:rsidRPr="00936E62">
        <w:t>MMX 3 mg groups. Of the 49 pat</w:t>
      </w:r>
      <w:r w:rsidR="00170494">
        <w:t xml:space="preserve">ients, 37 had at least one post </w:t>
      </w:r>
      <w:r w:rsidRPr="00936E62">
        <w:t>baseline evaluation completed and were included in the ITT efficacy analyses, but only 35 completed the study as per protocol. Treatment was given once a day for 8 week</w:t>
      </w:r>
      <w:r w:rsidR="00170494">
        <w:t xml:space="preserve">s. All patients received a wash </w:t>
      </w:r>
      <w:r w:rsidRPr="00936E62">
        <w:t>out period of 2 days prior to the commencement of treatment. Histological proof of UC at study entry was not a stated req</w:t>
      </w:r>
      <w:r w:rsidR="00170494">
        <w:t>uirement in the study protocol.</w:t>
      </w:r>
    </w:p>
    <w:p w14:paraId="23597C0D" w14:textId="77777777" w:rsidR="00936E62" w:rsidRPr="00936E62" w:rsidRDefault="00936E62" w:rsidP="00936E62">
      <w:r w:rsidRPr="00936E62">
        <w:t>The primary efficacy endpoint was the percentage of patient</w:t>
      </w:r>
      <w:r w:rsidR="000C4DF6">
        <w:t>s achieving UCDAI remission at W</w:t>
      </w:r>
      <w:r w:rsidRPr="00936E62">
        <w:t>eek 8. UCDAI remission was defined as a UCDAI score ≤</w:t>
      </w:r>
      <w:r w:rsidR="00170494">
        <w:t xml:space="preserve"> </w:t>
      </w:r>
      <w:r w:rsidRPr="00936E62">
        <w:t>1 with a score of 0 for rectal bleeding and stool frequency, and ≥</w:t>
      </w:r>
      <w:r w:rsidR="00170494">
        <w:t xml:space="preserve"> </w:t>
      </w:r>
      <w:r w:rsidRPr="00936E62">
        <w:t>1 point reduction from baseline in the endosco</w:t>
      </w:r>
      <w:r w:rsidR="00170494">
        <w:t>py score.</w:t>
      </w:r>
    </w:p>
    <w:p w14:paraId="3AF8C72E" w14:textId="77777777" w:rsidR="00936E62" w:rsidRPr="00936E62" w:rsidRDefault="00936E62" w:rsidP="00936E62">
      <w:r w:rsidRPr="00936E62">
        <w:t>The secondary efficacy endpoints were: percentage of patients with score 0 for blood in stools and stool frequency after 4 and 8 weeks of treatment; percentage of patients with CAI ≤</w:t>
      </w:r>
      <w:r w:rsidR="00071587">
        <w:t xml:space="preserve"> </w:t>
      </w:r>
      <w:r w:rsidRPr="00936E62">
        <w:t>4 after 4 and 8 weeks of treatment; percentage of patients with endoscopic healing (score 0) after 8 weeks of treatment; degree of CAI improvement after 4 and 8 weeks of treatment; and degree of UCDAI improvement after 8 weeks of treatment.</w:t>
      </w:r>
    </w:p>
    <w:p w14:paraId="74FDFBFC" w14:textId="3281C3EA" w:rsidR="00936E62" w:rsidRPr="000C4DF6" w:rsidRDefault="00936E62" w:rsidP="00CE5880">
      <w:pPr>
        <w:pStyle w:val="Heading7"/>
      </w:pPr>
      <w:r w:rsidRPr="000C4DF6">
        <w:t xml:space="preserve">The preliminary efficacy outcome as per the </w:t>
      </w:r>
      <w:r w:rsidR="00CE5880">
        <w:t>clinical evaluation</w:t>
      </w:r>
    </w:p>
    <w:p w14:paraId="4EB8EF4D" w14:textId="77777777" w:rsidR="00936E62" w:rsidRPr="00936E62" w:rsidRDefault="00936E62" w:rsidP="00936E62">
      <w:r w:rsidRPr="00936E62">
        <w:t>A greater proportion of patients with a clinically meaningful improvement in mo</w:t>
      </w:r>
      <w:r w:rsidR="000C4DF6">
        <w:t>st of the efficacy endpoints were</w:t>
      </w:r>
      <w:r w:rsidRPr="00936E62">
        <w:t xml:space="preserve"> noted in the </w:t>
      </w:r>
      <w:r w:rsidR="00271024">
        <w:t xml:space="preserve">budesonide </w:t>
      </w:r>
      <w:r w:rsidRPr="00936E62">
        <w:t xml:space="preserve">MMX 9 mg group, compared to the placebo and </w:t>
      </w:r>
      <w:r w:rsidR="00271024">
        <w:t xml:space="preserve">budesonide </w:t>
      </w:r>
      <w:r w:rsidRPr="00936E62">
        <w:t>MMX 3 mg group.</w:t>
      </w:r>
    </w:p>
    <w:p w14:paraId="27C14773" w14:textId="77777777" w:rsidR="00936E62" w:rsidRPr="00936E62" w:rsidRDefault="00936E62" w:rsidP="00936E62">
      <w:r w:rsidRPr="00936E62">
        <w:t xml:space="preserve">As with the other preliminary </w:t>
      </w:r>
      <w:r w:rsidR="00291172">
        <w:t>Phase</w:t>
      </w:r>
      <w:r w:rsidR="000C4DF6">
        <w:t xml:space="preserve"> II S</w:t>
      </w:r>
      <w:r w:rsidRPr="00936E62">
        <w:t xml:space="preserve">tudy </w:t>
      </w:r>
      <w:r w:rsidR="000C4DF6">
        <w:t>CRO-03-53</w:t>
      </w:r>
      <w:r w:rsidRPr="00936E62">
        <w:t>, a greater CAI improvement was apparent following 8 weeks of treatment compared to 4 weeks of treatment.</w:t>
      </w:r>
    </w:p>
    <w:p w14:paraId="3CDEBE86" w14:textId="77777777" w:rsidR="00936E62" w:rsidRPr="00936E62" w:rsidRDefault="00936E62" w:rsidP="00936E62">
      <w:r w:rsidRPr="00936E62">
        <w:lastRenderedPageBreak/>
        <w:t xml:space="preserve">It is noteworthy that due to the small group size, a statistical analysis was not conducted for the efficacy results, and thus the level of statistical significance in the differences between the study </w:t>
      </w:r>
      <w:r w:rsidR="00170494">
        <w:t>groups remains largely unknown.</w:t>
      </w:r>
    </w:p>
    <w:p w14:paraId="483FF9EA" w14:textId="183B5E87" w:rsidR="00936E62" w:rsidRPr="000C4DF6" w:rsidRDefault="00936E62" w:rsidP="00CE5880">
      <w:pPr>
        <w:pStyle w:val="Heading7"/>
      </w:pPr>
      <w:r w:rsidRPr="000C4DF6">
        <w:t xml:space="preserve">On the overall efficacy, the </w:t>
      </w:r>
      <w:r w:rsidR="00071587" w:rsidRPr="000C4DF6">
        <w:t>clinical evaluator</w:t>
      </w:r>
      <w:r w:rsidR="00C658FF">
        <w:t xml:space="preserve"> made the following conclusions</w:t>
      </w:r>
    </w:p>
    <w:p w14:paraId="59635AAD" w14:textId="610532AE" w:rsidR="00936E62" w:rsidRPr="00936E62" w:rsidRDefault="00936E62" w:rsidP="000707EB">
      <w:pPr>
        <w:pStyle w:val="ListBullet"/>
      </w:pPr>
      <w:r w:rsidRPr="00936E62">
        <w:t xml:space="preserve">Efficacy data were generated primarily from the two pivotal </w:t>
      </w:r>
      <w:r w:rsidR="00291172">
        <w:t>Phase</w:t>
      </w:r>
      <w:r w:rsidR="000707EB">
        <w:t xml:space="preserve"> III Studies (CB-01-02/01 and CB-01-02/02)</w:t>
      </w:r>
      <w:r w:rsidRPr="00936E62">
        <w:t xml:space="preserve"> with limited prelimi</w:t>
      </w:r>
      <w:r w:rsidR="00C658FF">
        <w:t>nary data also from the two non-</w:t>
      </w:r>
      <w:r w:rsidRPr="00936E62">
        <w:t xml:space="preserve">pivotal </w:t>
      </w:r>
      <w:r w:rsidR="00291172">
        <w:t>Phase</w:t>
      </w:r>
      <w:r w:rsidR="000707EB">
        <w:t>s II Studies (CB-01-02/05 and</w:t>
      </w:r>
      <w:r w:rsidRPr="00936E62">
        <w:t xml:space="preserve"> CRO-03-53). The appropriateness of using </w:t>
      </w:r>
      <w:proofErr w:type="spellStart"/>
      <w:r w:rsidRPr="00936E62">
        <w:t>Entocort</w:t>
      </w:r>
      <w:proofErr w:type="spellEnd"/>
      <w:r w:rsidRPr="00936E62">
        <w:t xml:space="preserve"> as an active efficacy comparator in Study CB-01-02/02 is questionable.</w:t>
      </w:r>
    </w:p>
    <w:p w14:paraId="539A826D" w14:textId="251E0847" w:rsidR="00936E62" w:rsidRPr="00936E62" w:rsidRDefault="00936E62" w:rsidP="000707EB">
      <w:pPr>
        <w:pStyle w:val="ListBullet"/>
      </w:pPr>
      <w:r w:rsidRPr="00936E62">
        <w:t xml:space="preserve">Results from both pivotal studies demonstrated that 8 weeks treatment with </w:t>
      </w:r>
      <w:r w:rsidR="00271024">
        <w:t xml:space="preserve">budesonide </w:t>
      </w:r>
      <w:r w:rsidRPr="00936E62">
        <w:t xml:space="preserve">MMX 9 mg was associated with a statistically significant improvement in the rate of clinical remission cf. placebo. The placebo rate of </w:t>
      </w:r>
      <w:r w:rsidR="000707EB">
        <w:t xml:space="preserve">remission was 7.4% (95% CI: 2.8 to </w:t>
      </w:r>
      <w:r w:rsidRPr="00936E62">
        <w:t>12.1%) in Study CB</w:t>
      </w:r>
      <w:r w:rsidR="000707EB">
        <w:t xml:space="preserve">-01-02/01 and 4.5% (95% CI: 0.2 to </w:t>
      </w:r>
      <w:r w:rsidRPr="00936E62">
        <w:t>8.8%) in Study CB-01-02/02; both were somewhat lower tha</w:t>
      </w:r>
      <w:r w:rsidR="000707EB">
        <w:t xml:space="preserve">n the value of 13% (95% CI of 9 to </w:t>
      </w:r>
      <w:r w:rsidRPr="00936E62">
        <w:t>18%) reported in the published literature</w:t>
      </w:r>
      <w:r w:rsidR="009C4AE7">
        <w:t>.</w:t>
      </w:r>
      <w:r w:rsidR="009C4AE7">
        <w:rPr>
          <w:rStyle w:val="FootnoteReference"/>
        </w:rPr>
        <w:footnoteReference w:id="13"/>
      </w:r>
      <w:r w:rsidRPr="00936E62">
        <w:t xml:space="preserve"> Following 8 weeks of treatment with </w:t>
      </w:r>
      <w:r w:rsidR="00271024">
        <w:t xml:space="preserve">budesonide </w:t>
      </w:r>
      <w:r w:rsidRPr="00936E62">
        <w:t>MMX 9 mg, the remissi</w:t>
      </w:r>
      <w:r w:rsidR="000707EB">
        <w:t xml:space="preserve">on rate was 17.9% (95% CI: 11.1 to </w:t>
      </w:r>
      <w:r w:rsidRPr="00936E62">
        <w:t>24.7%) in CB-01-02/01 and 17.4% (9</w:t>
      </w:r>
      <w:r w:rsidR="000707EB">
        <w:t xml:space="preserve">5% CI: 10.3 to </w:t>
      </w:r>
      <w:r w:rsidRPr="00936E62">
        <w:t>24.6%) in Study CB-01-02/02; both were higher than the placebo values in the studies and for values in the published literature, suggesting that the proposed product was effective for induction of clinical remission in the targeted patient population.</w:t>
      </w:r>
    </w:p>
    <w:p w14:paraId="698A78CB" w14:textId="77777777" w:rsidR="00936E62" w:rsidRPr="00936E62" w:rsidRDefault="00936E62" w:rsidP="000707EB">
      <w:pPr>
        <w:pStyle w:val="ListBullet"/>
      </w:pPr>
      <w:r w:rsidRPr="00936E62">
        <w:t>Supportive evidence was also observed in some of the other efficacy endpoints (most noticeably symptom resolution, and le</w:t>
      </w:r>
      <w:r w:rsidR="000707EB">
        <w:t>ss so for histological healing)</w:t>
      </w:r>
      <w:r w:rsidRPr="00936E62">
        <w:t xml:space="preserve"> especially in Study</w:t>
      </w:r>
      <w:r w:rsidR="0082753E">
        <w:t> </w:t>
      </w:r>
      <w:r w:rsidR="000707EB">
        <w:t>CB-01-02/02. Nevertheless</w:t>
      </w:r>
      <w:r w:rsidRPr="00936E62">
        <w:t xml:space="preserve"> no significant change in the secondary efficacy endpoints (clinical improvement and endoscopic improvement) was apparent in </w:t>
      </w:r>
      <w:r w:rsidRPr="00845F42">
        <w:t>either</w:t>
      </w:r>
      <w:r w:rsidRPr="00936E62">
        <w:t xml:space="preserve"> of the pivotal studies following treatment with </w:t>
      </w:r>
      <w:r w:rsidR="00271024">
        <w:t xml:space="preserve">budesonide </w:t>
      </w:r>
      <w:r w:rsidRPr="00936E62">
        <w:t xml:space="preserve">MMX 9 mg, casting some doubt on the actual clinical benefits of the proposed product. In both studies, clinical improvement was linked with endoscopic improvement which was part of the UCDAI used for the measurement of clinical improvement. It is therefore possible that the lack of clinical improvement in these studies may have, at least in part, reflected disagreements and/or variations in endoscopic evaluation especially of proximal colonic lesions, leading to underestimations of changes in the patients (especially those with extensive </w:t>
      </w:r>
      <w:proofErr w:type="spellStart"/>
      <w:r w:rsidRPr="00936E62">
        <w:t>pancolonic</w:t>
      </w:r>
      <w:proofErr w:type="spellEnd"/>
      <w:r w:rsidRPr="00936E62">
        <w:t xml:space="preserve"> lesions).</w:t>
      </w:r>
    </w:p>
    <w:p w14:paraId="004904DA" w14:textId="1750D84F" w:rsidR="00936E62" w:rsidRPr="00936E62" w:rsidRDefault="00DC2351" w:rsidP="000707EB">
      <w:pPr>
        <w:pStyle w:val="ListBullet"/>
      </w:pPr>
      <w:r>
        <w:t>With regards to the non-</w:t>
      </w:r>
      <w:r w:rsidR="00936E62" w:rsidRPr="00936E62">
        <w:t>pivotal studies, there were some significant shortcomings in the design and conduct of these studies. In Study CRO</w:t>
      </w:r>
      <w:r w:rsidR="000707EB">
        <w:t xml:space="preserve">-03-53, patients with only left </w:t>
      </w:r>
      <w:r w:rsidR="00936E62" w:rsidRPr="00936E62">
        <w:t xml:space="preserve">sided UC were recruited. In Study CB-01-02/05, histological proof of UC was not required </w:t>
      </w:r>
      <w:r w:rsidR="000707EB">
        <w:t>for patients entering the study which may</w:t>
      </w:r>
      <w:r w:rsidR="00936E62" w:rsidRPr="00936E62">
        <w:t xml:space="preserve"> at least i</w:t>
      </w:r>
      <w:r w:rsidR="000707EB">
        <w:t xml:space="preserve">n part </w:t>
      </w:r>
      <w:r w:rsidR="00936E62" w:rsidRPr="00936E62">
        <w:t xml:space="preserve">attribute to its substantially higher remission rates than in other studies. The current regulatory guideline requires that </w:t>
      </w:r>
      <w:r w:rsidR="000707EB">
        <w:t>‘</w:t>
      </w:r>
      <w:r w:rsidR="00936E62" w:rsidRPr="00936E62">
        <w:t>only patients having confirmed ulcerative colit</w:t>
      </w:r>
      <w:r w:rsidR="000707EB">
        <w:t>is should be included in trials’</w:t>
      </w:r>
      <w:r w:rsidR="00936E62" w:rsidRPr="00936E62">
        <w:t>. Caution should therefore be exercised when interpreting the potential clinical relevance of the prelimin</w:t>
      </w:r>
      <w:r w:rsidR="000707EB">
        <w:t xml:space="preserve">ary efficacy results in the </w:t>
      </w:r>
      <w:proofErr w:type="spellStart"/>
      <w:r w:rsidR="000707EB">
        <w:t xml:space="preserve">non </w:t>
      </w:r>
      <w:r w:rsidR="00936E62" w:rsidRPr="00936E62">
        <w:t>pivotal</w:t>
      </w:r>
      <w:proofErr w:type="spellEnd"/>
      <w:r w:rsidR="00936E62" w:rsidRPr="00936E62">
        <w:t xml:space="preserve"> studies.</w:t>
      </w:r>
    </w:p>
    <w:p w14:paraId="0C4BD167" w14:textId="313D1DDD" w:rsidR="00936E62" w:rsidRPr="000C4DF6" w:rsidRDefault="00936E62" w:rsidP="00CE5880">
      <w:pPr>
        <w:pStyle w:val="Heading7"/>
      </w:pPr>
      <w:r w:rsidRPr="000C4DF6">
        <w:t xml:space="preserve">Regarding overall conclusion on safety, the </w:t>
      </w:r>
      <w:r w:rsidR="000707EB" w:rsidRPr="000C4DF6">
        <w:t>clinical evaluator</w:t>
      </w:r>
      <w:r w:rsidR="005E1482">
        <w:t xml:space="preserve"> stated that:</w:t>
      </w:r>
    </w:p>
    <w:p w14:paraId="53AD045B" w14:textId="77777777" w:rsidR="00936E62" w:rsidRPr="00936E62" w:rsidRDefault="00936E62" w:rsidP="000707EB">
      <w:pPr>
        <w:pStyle w:val="ListBullet"/>
      </w:pPr>
      <w:r w:rsidRPr="00936E62">
        <w:t>As an established glucocorticoid, the pharmacological and toxicological profile of budesonide has previously been well characterised and documented.</w:t>
      </w:r>
    </w:p>
    <w:p w14:paraId="2F8CF828" w14:textId="4DA3666D" w:rsidR="00936E62" w:rsidRPr="00936E62" w:rsidRDefault="00936E62" w:rsidP="000707EB">
      <w:pPr>
        <w:pStyle w:val="ListBullet"/>
      </w:pPr>
      <w:r w:rsidRPr="00936E62">
        <w:t xml:space="preserve">With regard to the clinical safety profile of the proposed </w:t>
      </w:r>
      <w:r w:rsidR="00271024">
        <w:t xml:space="preserve">budesonide </w:t>
      </w:r>
      <w:r w:rsidRPr="00936E62">
        <w:t xml:space="preserve">MMX 9 mg tablet, relevant data from the pivotal </w:t>
      </w:r>
      <w:r w:rsidR="00291172">
        <w:t>Phase</w:t>
      </w:r>
      <w:r w:rsidR="005E1482">
        <w:t xml:space="preserve"> III and non-</w:t>
      </w:r>
      <w:r w:rsidRPr="00936E62">
        <w:t xml:space="preserve">pivotal </w:t>
      </w:r>
      <w:r w:rsidR="00291172">
        <w:t>Phase</w:t>
      </w:r>
      <w:r w:rsidR="000707EB">
        <w:t xml:space="preserve"> II s</w:t>
      </w:r>
      <w:r w:rsidRPr="00936E62">
        <w:t xml:space="preserve">tudies showed that the product was safe and generally well tolerated by patients with mild to moderate </w:t>
      </w:r>
      <w:r w:rsidRPr="00936E62">
        <w:lastRenderedPageBreak/>
        <w:t>active UC. The incidences</w:t>
      </w:r>
      <w:r w:rsidR="000707EB">
        <w:t xml:space="preserve"> and severity of AEs, treatment </w:t>
      </w:r>
      <w:r w:rsidRPr="00936E62">
        <w:t xml:space="preserve">related AEs and SAEs were generally similar across all treatment groups in these studies. No deaths have been reported and the reported SAEs were consistent with the events that would be expected, in the targeted patient population with a relapsing and remitting disease. The overall safety profile of the product was generally comparable with that of </w:t>
      </w:r>
      <w:proofErr w:type="spellStart"/>
      <w:r w:rsidRPr="00936E62">
        <w:t>Entocort</w:t>
      </w:r>
      <w:proofErr w:type="spellEnd"/>
      <w:r w:rsidRPr="00936E62">
        <w:t xml:space="preserve"> which was used as an active comparator in Study CB-01-02/02.</w:t>
      </w:r>
    </w:p>
    <w:p w14:paraId="4E18F0AB" w14:textId="77777777" w:rsidR="00936E62" w:rsidRPr="00936E62" w:rsidRDefault="00936E62" w:rsidP="00936E62">
      <w:pPr>
        <w:pStyle w:val="ListBullet"/>
      </w:pPr>
      <w:r w:rsidRPr="00936E62">
        <w:t>No unequivocal evidence of glucocorticoid effect was apparent clinically in the submitted studies evaluated. No data on long term use of budesonide was provided. Data was limited to 8 weeks of budesonide treatment.</w:t>
      </w:r>
    </w:p>
    <w:p w14:paraId="2DD5BDAB" w14:textId="77777777" w:rsidR="00936E62" w:rsidRPr="00936E62" w:rsidRDefault="00936E62" w:rsidP="00936E62">
      <w:r w:rsidRPr="00936E62">
        <w:t>Following th</w:t>
      </w:r>
      <w:r w:rsidR="000707EB">
        <w:t>e first round assessment, the clinical evaluator</w:t>
      </w:r>
      <w:r w:rsidRPr="00936E62">
        <w:t xml:space="preserve"> stated th</w:t>
      </w:r>
      <w:r w:rsidR="000707EB">
        <w:t>at the clinical aspects of the draft Product Information</w:t>
      </w:r>
      <w:r w:rsidRPr="00936E62">
        <w:t xml:space="preserve"> are not entirely satisfactory and suggested revision.</w:t>
      </w:r>
      <w:r w:rsidR="000707EB">
        <w:t xml:space="preserve"> Discussion of this is beyond the scope of the AusPAR.</w:t>
      </w:r>
    </w:p>
    <w:p w14:paraId="7BDA1206" w14:textId="5679DB39" w:rsidR="00936E62" w:rsidRPr="00936E62" w:rsidRDefault="005E1482" w:rsidP="000707EB">
      <w:pPr>
        <w:pStyle w:val="Heading5"/>
      </w:pPr>
      <w:r>
        <w:t>Benefit – r</w:t>
      </w:r>
      <w:r w:rsidR="00936E62" w:rsidRPr="00936E62">
        <w:t xml:space="preserve">isk assessment as per the </w:t>
      </w:r>
      <w:r w:rsidR="000707EB">
        <w:t>clinical evaluation</w:t>
      </w:r>
      <w:r w:rsidR="000C4DF6">
        <w:t xml:space="preserve"> -</w:t>
      </w:r>
      <w:r>
        <w:t xml:space="preserve"> f</w:t>
      </w:r>
      <w:r w:rsidR="000C4DF6">
        <w:t>irst round</w:t>
      </w:r>
    </w:p>
    <w:p w14:paraId="77F26643" w14:textId="77777777" w:rsidR="00936E62" w:rsidRPr="00936E62" w:rsidRDefault="00936E62" w:rsidP="000707EB">
      <w:pPr>
        <w:pStyle w:val="Heading6"/>
      </w:pPr>
      <w:r w:rsidRPr="00936E62">
        <w:t>Benefits</w:t>
      </w:r>
    </w:p>
    <w:p w14:paraId="294A22BC" w14:textId="77777777" w:rsidR="00936E62" w:rsidRPr="00936E62" w:rsidRDefault="00936E62" w:rsidP="00936E62">
      <w:r w:rsidRPr="00936E62">
        <w:t xml:space="preserve">The proposed </w:t>
      </w:r>
      <w:r w:rsidR="00271024">
        <w:t xml:space="preserve">budesonide </w:t>
      </w:r>
      <w:r w:rsidRPr="00936E62">
        <w:t xml:space="preserve">MMX 9 mg tablet (Cortiment) represents a new formulation of orally administered and topically acting budesonide for the induction of remission in mild to moderate active UC. Given that no oral budesonide formulation is currently available for the treatment of UC and the currently registered </w:t>
      </w:r>
      <w:proofErr w:type="spellStart"/>
      <w:r w:rsidR="0082753E" w:rsidRPr="0082753E">
        <w:t>Budenofalk</w:t>
      </w:r>
      <w:proofErr w:type="spellEnd"/>
      <w:r w:rsidRPr="0082753E">
        <w:t xml:space="preserve"> </w:t>
      </w:r>
      <w:r w:rsidR="000C4DF6">
        <w:t>e</w:t>
      </w:r>
      <w:r w:rsidRPr="00936E62">
        <w:t>nema is suita</w:t>
      </w:r>
      <w:r w:rsidR="000707EB">
        <w:t xml:space="preserve">ble only for patients with left </w:t>
      </w:r>
      <w:r w:rsidRPr="00936E62">
        <w:t>sided disease, the proposed Cortiment tablet offers the potential benefit as an alternative option for the proposed indication, especially in patients with proximal involvement of</w:t>
      </w:r>
      <w:r w:rsidR="000707EB">
        <w:t xml:space="preserve"> the disease (</w:t>
      </w:r>
      <w:r w:rsidR="000C4DF6">
        <w:t>for example,</w:t>
      </w:r>
      <w:r w:rsidR="000707EB">
        <w:t xml:space="preserve"> </w:t>
      </w:r>
      <w:proofErr w:type="spellStart"/>
      <w:r w:rsidR="000707EB">
        <w:t>pancolitis</w:t>
      </w:r>
      <w:proofErr w:type="spellEnd"/>
      <w:r w:rsidR="000707EB">
        <w:t>).</w:t>
      </w:r>
    </w:p>
    <w:p w14:paraId="1C234CA8" w14:textId="77777777" w:rsidR="00936E62" w:rsidRPr="00936E62" w:rsidRDefault="000707EB" w:rsidP="00936E62">
      <w:r>
        <w:t xml:space="preserve">The intended once </w:t>
      </w:r>
      <w:r w:rsidR="00936E62" w:rsidRPr="00936E62">
        <w:t>daily dosing regimen for the product also offers a convenient method of treatment and hence potentially assists in better compliance.</w:t>
      </w:r>
    </w:p>
    <w:p w14:paraId="11409204" w14:textId="77777777" w:rsidR="00936E62" w:rsidRPr="00936E62" w:rsidRDefault="00936E62" w:rsidP="000707EB">
      <w:pPr>
        <w:pStyle w:val="Heading6"/>
      </w:pPr>
      <w:r w:rsidRPr="00936E62">
        <w:t>Risks</w:t>
      </w:r>
    </w:p>
    <w:p w14:paraId="752E53C7" w14:textId="77777777" w:rsidR="00936E62" w:rsidRPr="00936E62" w:rsidRDefault="00936E62" w:rsidP="00936E62">
      <w:r w:rsidRPr="00936E62">
        <w:t xml:space="preserve">The overall safety profile of the proposed Cortiment tablet following the intended clinical use of 8 weeks has been found to be generally comparable with that </w:t>
      </w:r>
      <w:r w:rsidR="0082753E">
        <w:t xml:space="preserve">of </w:t>
      </w:r>
      <w:proofErr w:type="spellStart"/>
      <w:r w:rsidR="0082753E">
        <w:t>Entocort</w:t>
      </w:r>
      <w:proofErr w:type="spellEnd"/>
      <w:r w:rsidR="0082753E">
        <w:t xml:space="preserve">, another controlled </w:t>
      </w:r>
      <w:r w:rsidRPr="00936E62">
        <w:t>release oral budesonide formulation currently registered on the ARTG for the treatment of Crohn's disease.</w:t>
      </w:r>
    </w:p>
    <w:p w14:paraId="0D50FF91" w14:textId="77777777" w:rsidR="00936E62" w:rsidRPr="00936E62" w:rsidRDefault="00936E62" w:rsidP="00936E62">
      <w:r w:rsidRPr="00936E62">
        <w:t>Evidence for suppression of the HPA axis was observed, although no unequivocal evidence for glucocorticoid effects was apparent clinically in the submitted studies. The absence of unequivocal evidence for clinically noticeable glucocorticoid effects is not unexpected given the relatively short duration of the clinical studies. The safety profile of the product (Cortiment) following a longer period of clinical use has not been investigated in the submitted clinical studies. Thus, the actual clinical safety of th</w:t>
      </w:r>
      <w:r w:rsidR="0082753E">
        <w:t xml:space="preserve">e product beyond the intended 8 </w:t>
      </w:r>
      <w:r w:rsidRPr="00936E62">
        <w:t>week regimen remains largely unknown.</w:t>
      </w:r>
    </w:p>
    <w:p w14:paraId="77692455" w14:textId="094BA5AE" w:rsidR="00936E62" w:rsidRPr="00936E62" w:rsidRDefault="003C691A" w:rsidP="000707EB">
      <w:pPr>
        <w:pStyle w:val="Heading6"/>
      </w:pPr>
      <w:r>
        <w:t>Assessment of benefit-</w:t>
      </w:r>
      <w:r w:rsidR="00936E62" w:rsidRPr="00936E62">
        <w:t>risk bala</w:t>
      </w:r>
      <w:r w:rsidR="000C4DF6">
        <w:t>nce as per the clinical evaluation (first round)</w:t>
      </w:r>
    </w:p>
    <w:p w14:paraId="17A3B5BC" w14:textId="77777777" w:rsidR="00936E62" w:rsidRPr="00936E62" w:rsidRDefault="00936E62" w:rsidP="00936E62">
      <w:r w:rsidRPr="00936E62">
        <w:t>The benefit-risk balance of the proposed Cortiment tablet, given its intended clinical usage, is considered favourable, as it offers a convenient alternative for the proposed clinical indication with an overall safety profile similar to that of other oral budesonide.</w:t>
      </w:r>
    </w:p>
    <w:p w14:paraId="7E7FB3A7" w14:textId="77777777" w:rsidR="00936E62" w:rsidRPr="00936E62" w:rsidRDefault="00936E62" w:rsidP="000707EB">
      <w:pPr>
        <w:pStyle w:val="Heading6"/>
      </w:pPr>
      <w:r w:rsidRPr="00936E62">
        <w:t>Recommendation regarding authorisat</w:t>
      </w:r>
      <w:r w:rsidR="000C4DF6">
        <w:t xml:space="preserve">ion as per the </w:t>
      </w:r>
      <w:r w:rsidR="000C4DF6" w:rsidRPr="000C4DF6">
        <w:t>clinical evaluation</w:t>
      </w:r>
      <w:r w:rsidR="000C4DF6">
        <w:t xml:space="preserve"> (first round)</w:t>
      </w:r>
    </w:p>
    <w:p w14:paraId="041BFD04" w14:textId="77777777" w:rsidR="00936E62" w:rsidRPr="00936E62" w:rsidRDefault="00936E62" w:rsidP="00936E62">
      <w:r w:rsidRPr="00936E62">
        <w:t>There is no clinical objection to registration of the proposed Cortiment tablet for use of up to 8 weeks for induction of remission in patients with mild to moderate active UC.</w:t>
      </w:r>
    </w:p>
    <w:p w14:paraId="40C632EF" w14:textId="77777777" w:rsidR="00936E62" w:rsidRPr="00936E62" w:rsidRDefault="00936E62" w:rsidP="000707EB">
      <w:pPr>
        <w:pStyle w:val="Heading5"/>
      </w:pPr>
      <w:r w:rsidRPr="00936E62">
        <w:t>Second round evaluation of clinical data submitted in</w:t>
      </w:r>
      <w:r w:rsidR="000D7501">
        <w:t xml:space="preserve"> response to clinical questions</w:t>
      </w:r>
    </w:p>
    <w:p w14:paraId="0E9CC24F" w14:textId="77777777" w:rsidR="00936E62" w:rsidRPr="00936E62" w:rsidRDefault="00936E62" w:rsidP="00936E62">
      <w:r w:rsidRPr="00936E62">
        <w:t>The sponsor provided a summary of the maintenance (</w:t>
      </w:r>
      <w:r w:rsidR="00F86A1B">
        <w:t>that is</w:t>
      </w:r>
      <w:r w:rsidRPr="00936E62">
        <w:t xml:space="preserve"> long term of up to 12 weeks) Study CB-01-02/04 as requested by the </w:t>
      </w:r>
      <w:r w:rsidR="00F86A1B">
        <w:t>clinical evaluator</w:t>
      </w:r>
      <w:r w:rsidRPr="00936E62">
        <w:t xml:space="preserve">. Efficacy analyses revealed no statistically significant differences in the percentages of patients in clinical remission </w:t>
      </w:r>
      <w:r w:rsidRPr="00936E62">
        <w:lastRenderedPageBreak/>
        <w:t xml:space="preserve">between </w:t>
      </w:r>
      <w:r w:rsidR="00271024">
        <w:t xml:space="preserve">budesonide </w:t>
      </w:r>
      <w:r w:rsidRPr="00936E62">
        <w:t>MMX 6 mg and placebo. No long ter</w:t>
      </w:r>
      <w:r w:rsidR="00F86A1B">
        <w:t>m safety data on the proposed 9 </w:t>
      </w:r>
      <w:r w:rsidRPr="00936E62">
        <w:t xml:space="preserve">mg daily dose of </w:t>
      </w:r>
      <w:r w:rsidR="00271024">
        <w:t xml:space="preserve">budesonide </w:t>
      </w:r>
      <w:r w:rsidRPr="00936E62">
        <w:t>MMX was provided.</w:t>
      </w:r>
    </w:p>
    <w:p w14:paraId="2ED70F1E" w14:textId="77777777" w:rsidR="008E7846" w:rsidRDefault="00386150" w:rsidP="007B6132">
      <w:pPr>
        <w:pStyle w:val="Heading3"/>
        <w:rPr>
          <w:lang w:eastAsia="en-AU"/>
        </w:rPr>
      </w:pPr>
      <w:bookmarkStart w:id="150" w:name="_Toc442962675"/>
      <w:r>
        <w:rPr>
          <w:lang w:eastAsia="en-AU"/>
        </w:rPr>
        <w:t>Risk m</w:t>
      </w:r>
      <w:r w:rsidR="008E7846">
        <w:rPr>
          <w:lang w:eastAsia="en-AU"/>
        </w:rPr>
        <w:t xml:space="preserve">anagement </w:t>
      </w:r>
      <w:r>
        <w:rPr>
          <w:lang w:eastAsia="en-AU"/>
        </w:rPr>
        <w:t>p</w:t>
      </w:r>
      <w:r w:rsidR="008E7846">
        <w:rPr>
          <w:lang w:eastAsia="en-AU"/>
        </w:rPr>
        <w:t>lan</w:t>
      </w:r>
      <w:bookmarkEnd w:id="149"/>
      <w:bookmarkEnd w:id="150"/>
    </w:p>
    <w:p w14:paraId="0B6BB124" w14:textId="77777777" w:rsidR="008E7846" w:rsidRDefault="00301EA0" w:rsidP="00301EA0">
      <w:r w:rsidRPr="00301EA0">
        <w:t>An RMP was not required for this submission.</w:t>
      </w:r>
    </w:p>
    <w:p w14:paraId="3D77713E" w14:textId="77777777" w:rsidR="007F0293" w:rsidRDefault="007F0293" w:rsidP="007F0293">
      <w:pPr>
        <w:pStyle w:val="Heading4"/>
      </w:pPr>
      <w:r w:rsidRPr="007F0293">
        <w:t>Delegate’s discussion</w:t>
      </w:r>
    </w:p>
    <w:p w14:paraId="2A403616" w14:textId="3677F315" w:rsidR="00E94DAC" w:rsidRPr="00E94DAC" w:rsidRDefault="005A6156" w:rsidP="00E94DAC">
      <w:pPr>
        <w:pStyle w:val="Heading5"/>
      </w:pPr>
      <w:r>
        <w:t>Summary of i</w:t>
      </w:r>
      <w:r w:rsidR="00E94DAC" w:rsidRPr="00E94DAC">
        <w:t>ssues</w:t>
      </w:r>
    </w:p>
    <w:p w14:paraId="7C67A64E" w14:textId="7FAFA3D1" w:rsidR="00E94DAC" w:rsidRPr="00E94DAC" w:rsidRDefault="00E94DAC" w:rsidP="00E94DAC">
      <w:r w:rsidRPr="00E94DAC">
        <w:t xml:space="preserve">There were 3 studies with PK data in healthy volunteers (CRO-01-28, CRO-PK-03-105 </w:t>
      </w:r>
      <w:r>
        <w:t>and</w:t>
      </w:r>
      <w:r w:rsidRPr="00E94DAC">
        <w:t xml:space="preserve"> CRO-PK-06-178) by Brunner</w:t>
      </w:r>
      <w:r w:rsidRPr="00E94DAC">
        <w:rPr>
          <w:vertAlign w:val="superscript"/>
        </w:rPr>
        <w:fldChar w:fldCharType="begin"/>
      </w:r>
      <w:r w:rsidRPr="00E94DAC">
        <w:rPr>
          <w:vertAlign w:val="superscript"/>
        </w:rPr>
        <w:instrText xml:space="preserve"> NOTEREF _Ref432692467 \h </w:instrText>
      </w:r>
      <w:r>
        <w:rPr>
          <w:vertAlign w:val="superscript"/>
        </w:rPr>
        <w:instrText xml:space="preserve"> \* MERGEFORMAT </w:instrText>
      </w:r>
      <w:r w:rsidRPr="00E94DAC">
        <w:rPr>
          <w:vertAlign w:val="superscript"/>
        </w:rPr>
      </w:r>
      <w:r w:rsidRPr="00E94DAC">
        <w:rPr>
          <w:vertAlign w:val="superscript"/>
        </w:rPr>
        <w:fldChar w:fldCharType="end"/>
      </w:r>
      <w:r>
        <w:t>.</w:t>
      </w:r>
      <w:r w:rsidR="00594CFB">
        <w:rPr>
          <w:rStyle w:val="FootnoteReference"/>
        </w:rPr>
        <w:footnoteReference w:id="14"/>
      </w:r>
      <w:r>
        <w:t xml:space="preserve"> The clinical evaluator</w:t>
      </w:r>
      <w:r w:rsidRPr="00E94DAC">
        <w:t xml:space="preserve"> stated that the standard PK parameters and absolute bioavailability were not measured at such in these studies but focus rather primarily on GIT transit, release, absorption, bioavailability and influence of food and multiple administrations. The clinical evaluator further stated that no PK study was conducted in the targeted patient population and given the common clinical presentations (especially diarrhoea) in UC patients; it is likely that the GIT transit, absorption and bioavailability of the product in the targeted patient population can be significantly different to those in healthy volunteers. Nevertheless, the available PK data submitted in this application provided sufficient evidence for the targeted and controlled delivery of budesonide to the lower GIT, </w:t>
      </w:r>
      <w:r>
        <w:t xml:space="preserve">and supported the proposed once </w:t>
      </w:r>
      <w:r w:rsidRPr="00E94DAC">
        <w:t xml:space="preserve">daily dosing regimen as per the </w:t>
      </w:r>
      <w:r>
        <w:t>clinical evaluation</w:t>
      </w:r>
      <w:r w:rsidRPr="00E94DAC">
        <w:t>.</w:t>
      </w:r>
    </w:p>
    <w:p w14:paraId="2F640702" w14:textId="3FC2FEF8" w:rsidR="00E94DAC" w:rsidRPr="00E94DAC" w:rsidRDefault="00E94DAC" w:rsidP="00E94DAC">
      <w:r w:rsidRPr="00E94DAC">
        <w:t xml:space="preserve">The </w:t>
      </w:r>
      <w:r>
        <w:t>quality</w:t>
      </w:r>
      <w:r w:rsidRPr="00E94DAC">
        <w:t xml:space="preserve"> evaluator stated that while approval for registration of the proposed product can be recommended from a pharmaceutical chemistry perspective, approval cannot be recommended from a biopharmaceutics perspective. In particular, it is stated that there is a lack of unequivocal conclusion, in terms of the rate and extent of absorption, between the proposed test product Cortiment (1 x 9 mg prolonged release tablet) and the reference product </w:t>
      </w:r>
      <w:proofErr w:type="spellStart"/>
      <w:r w:rsidRPr="00E94DAC">
        <w:t>Entocort</w:t>
      </w:r>
      <w:proofErr w:type="spellEnd"/>
      <w:r w:rsidRPr="00E94DAC">
        <w:t xml:space="preserve"> (3 x 3 mg capsule) in Study CRO-PK-06-178. </w:t>
      </w:r>
      <w:r>
        <w:t>‘</w:t>
      </w:r>
      <w:r w:rsidRPr="00E94DAC">
        <w:rPr>
          <w:i/>
        </w:rPr>
        <w:t>However, whether this lack of unequivocal conclusion has a significant effect on the efficacy and safety profile of the proposed product will be a decision of the Delegate.’</w:t>
      </w:r>
    </w:p>
    <w:p w14:paraId="2B6D9731" w14:textId="77777777" w:rsidR="00601EF9" w:rsidRDefault="00E94DAC" w:rsidP="00E94DAC">
      <w:r w:rsidRPr="00E94DAC">
        <w:t>There were two pivo</w:t>
      </w:r>
      <w:r w:rsidR="000C4DF6">
        <w:t xml:space="preserve">tal </w:t>
      </w:r>
      <w:proofErr w:type="gramStart"/>
      <w:r w:rsidR="000C4DF6">
        <w:t>efficacy</w:t>
      </w:r>
      <w:proofErr w:type="gramEnd"/>
      <w:r w:rsidR="000C4DF6">
        <w:t xml:space="preserve"> S</w:t>
      </w:r>
      <w:r>
        <w:t xml:space="preserve">tudies </w:t>
      </w:r>
      <w:r w:rsidR="000C4DF6">
        <w:t>CB-01-01/01 and</w:t>
      </w:r>
      <w:r w:rsidR="000C4DF6" w:rsidRPr="000C4DF6">
        <w:t xml:space="preserve"> CB-01-02/02</w:t>
      </w:r>
      <w:r w:rsidR="000D7501">
        <w:t>.</w:t>
      </w:r>
    </w:p>
    <w:p w14:paraId="264E06DF" w14:textId="77777777" w:rsidR="00601EF9" w:rsidRDefault="00601EF9" w:rsidP="00E94DAC">
      <w:r>
        <w:t xml:space="preserve">Study </w:t>
      </w:r>
      <w:r w:rsidRPr="00601EF9">
        <w:t>CB-01-01/01</w:t>
      </w:r>
      <w:r>
        <w:t xml:space="preserve">was </w:t>
      </w:r>
      <w:r w:rsidR="00E94DAC" w:rsidRPr="00E94DAC">
        <w:t>a m</w:t>
      </w:r>
      <w:r w:rsidR="00E94DAC">
        <w:t xml:space="preserve">ulti-centre, randomised, double blind, double dummy, parallel </w:t>
      </w:r>
      <w:r w:rsidR="00E94DAC" w:rsidRPr="00E94DAC">
        <w:t>group comparative study in patients with mild or moderate active UC. T</w:t>
      </w:r>
      <w:r w:rsidR="00E94DAC">
        <w:t xml:space="preserve">he study compared the efficacy </w:t>
      </w:r>
      <w:r w:rsidR="00E94DAC" w:rsidRPr="00E94DAC">
        <w:t xml:space="preserve">and safety of </w:t>
      </w:r>
      <w:r w:rsidR="00271024">
        <w:t xml:space="preserve">budesonide </w:t>
      </w:r>
      <w:r w:rsidR="00E94DAC" w:rsidRPr="00E94DAC">
        <w:t>MMX 6</w:t>
      </w:r>
      <w:r w:rsidR="00E94DAC">
        <w:t xml:space="preserve"> </w:t>
      </w:r>
      <w:r w:rsidR="00E94DAC" w:rsidRPr="00E94DAC">
        <w:t>mg and 9</w:t>
      </w:r>
      <w:r w:rsidR="00E94DAC">
        <w:t xml:space="preserve"> </w:t>
      </w:r>
      <w:r w:rsidR="00E94DAC" w:rsidRPr="00E94DAC">
        <w:t xml:space="preserve">mg tablets with placebo and, also compared </w:t>
      </w:r>
      <w:proofErr w:type="spellStart"/>
      <w:r w:rsidR="00E94DAC" w:rsidRPr="00E94DAC">
        <w:t>Asacol</w:t>
      </w:r>
      <w:proofErr w:type="spellEnd"/>
      <w:r w:rsidR="00E94DAC" w:rsidRPr="00E94DAC">
        <w:t xml:space="preserve"> 6</w:t>
      </w:r>
      <w:r w:rsidR="00E94DAC">
        <w:t xml:space="preserve"> </w:t>
      </w:r>
      <w:r w:rsidR="00E94DAC" w:rsidRPr="00E94DAC">
        <w:t>x</w:t>
      </w:r>
      <w:r w:rsidR="00E94DAC">
        <w:t xml:space="preserve"> </w:t>
      </w:r>
      <w:r w:rsidR="00E94DAC" w:rsidRPr="00E94DAC">
        <w:t>400</w:t>
      </w:r>
      <w:r w:rsidR="00E94DAC">
        <w:t xml:space="preserve"> mg over </w:t>
      </w:r>
      <w:r w:rsidR="00E94DAC" w:rsidRPr="00E94DAC">
        <w:t xml:space="preserve">encapsulated tablets with placebo in </w:t>
      </w:r>
      <w:r w:rsidR="00E94DAC">
        <w:t xml:space="preserve">four treatment groups over an 8 </w:t>
      </w:r>
      <w:r w:rsidR="00E94DAC" w:rsidRPr="00E94DAC">
        <w:t>week tre</w:t>
      </w:r>
      <w:r w:rsidR="00E94DAC">
        <w:t>atment period</w:t>
      </w:r>
      <w:r>
        <w:t>.</w:t>
      </w:r>
    </w:p>
    <w:p w14:paraId="1A6A6B36" w14:textId="77777777" w:rsidR="00601EF9" w:rsidRDefault="00601EF9" w:rsidP="00E94DAC">
      <w:r>
        <w:t>Study CB-01-02/02 was</w:t>
      </w:r>
      <w:r w:rsidR="00E94DAC">
        <w:t xml:space="preserve"> </w:t>
      </w:r>
      <w:r w:rsidR="00E94DAC" w:rsidRPr="00E94DAC">
        <w:t>a m</w:t>
      </w:r>
      <w:r w:rsidR="00E94DAC">
        <w:t xml:space="preserve">ulti-centre, randomised, double blind, double dummy, parallel </w:t>
      </w:r>
      <w:r w:rsidR="00E94DAC" w:rsidRPr="00E94DAC">
        <w:t xml:space="preserve">group comparative design in patients with mild or moderate active UC. The study compared the </w:t>
      </w:r>
      <w:r w:rsidR="00271024">
        <w:t xml:space="preserve">budesonide </w:t>
      </w:r>
      <w:r w:rsidR="00E94DAC" w:rsidRPr="00E94DAC">
        <w:t>MMX 6 mg and 9 mg tablets to placebo and also compa</w:t>
      </w:r>
      <w:r w:rsidR="00E94DAC">
        <w:t xml:space="preserve">red </w:t>
      </w:r>
      <w:proofErr w:type="spellStart"/>
      <w:r w:rsidR="00E94DAC">
        <w:t>Entocort</w:t>
      </w:r>
      <w:proofErr w:type="spellEnd"/>
      <w:r w:rsidR="00E94DAC">
        <w:t xml:space="preserve"> 3 x 3 mg capsules (9 mg) to placebo over an 8 week treatment period</w:t>
      </w:r>
      <w:r w:rsidR="00E94DAC" w:rsidRPr="00E94DAC">
        <w:t xml:space="preserve"> and two other efficacy studies (CRO-03-53- a multi-cent</w:t>
      </w:r>
      <w:r w:rsidR="00E94DAC">
        <w:t xml:space="preserve">re, randomised, 2 </w:t>
      </w:r>
      <w:r w:rsidR="00E94DAC" w:rsidRPr="00E94DAC">
        <w:t xml:space="preserve">period, placebo controlled study, with 4 weeks of blinded treatment (Period 1) followed by 4 weeks of open label extension (Period 2). The main objective of the study was to assess whether the </w:t>
      </w:r>
      <w:r w:rsidR="00271024">
        <w:t xml:space="preserve">budesonide </w:t>
      </w:r>
      <w:r w:rsidR="00E94DAC" w:rsidRPr="00E94DAC">
        <w:t>MMX 9 mg tablet was able to induce a clinical improvement in patients with mild to mod</w:t>
      </w:r>
      <w:r w:rsidR="000D7501">
        <w:t>erate active left-sided UC.</w:t>
      </w:r>
    </w:p>
    <w:p w14:paraId="7F9FB40E" w14:textId="77777777" w:rsidR="00E94DAC" w:rsidRPr="00E94DAC" w:rsidRDefault="00601EF9" w:rsidP="00E94DAC">
      <w:r>
        <w:lastRenderedPageBreak/>
        <w:t xml:space="preserve">An additional Study CB-01-02/05 was </w:t>
      </w:r>
      <w:r w:rsidR="00E94DAC" w:rsidRPr="00E94DAC">
        <w:t>a m</w:t>
      </w:r>
      <w:r w:rsidR="00E94DAC">
        <w:t xml:space="preserve">ulti-centre, randomised, double blind, placebo </w:t>
      </w:r>
      <w:r w:rsidR="00E94DAC" w:rsidRPr="00E94DAC">
        <w:t>controlled study. The objective of the study was to evaluate the dose respon</w:t>
      </w:r>
      <w:r w:rsidR="00E94DAC">
        <w:t xml:space="preserve">se of </w:t>
      </w:r>
      <w:r w:rsidR="00271024">
        <w:t xml:space="preserve">budesonide </w:t>
      </w:r>
      <w:r w:rsidR="00E94DAC">
        <w:t>MMX 3 mg and 9 </w:t>
      </w:r>
      <w:r w:rsidR="00E94DAC" w:rsidRPr="00E94DAC">
        <w:t>mg oral tablets compared to placebo in patients with mild or moderate active UC, when administered for 8 weeks).</w:t>
      </w:r>
    </w:p>
    <w:p w14:paraId="2CCB7B31" w14:textId="77777777" w:rsidR="00E94DAC" w:rsidRPr="00E94DAC" w:rsidRDefault="00E94DAC" w:rsidP="00E94DAC">
      <w:r w:rsidRPr="00E94DAC">
        <w:t xml:space="preserve">Having commented on the appropriateness of using </w:t>
      </w:r>
      <w:proofErr w:type="spellStart"/>
      <w:r w:rsidRPr="00E94DAC">
        <w:t>Entocort</w:t>
      </w:r>
      <w:proofErr w:type="spellEnd"/>
      <w:r w:rsidRPr="00E94DAC">
        <w:t xml:space="preserve"> as an active efficacy comparator in Study CB-01-02/02, the </w:t>
      </w:r>
      <w:r w:rsidR="00601EF9">
        <w:t>clinical evaluator</w:t>
      </w:r>
      <w:r w:rsidRPr="00E94DAC">
        <w:t xml:space="preserve"> stated that the efficacy data from the pivotal studies indicated that the proposed product was effective for induction of clinical remission in the targeted patient population.</w:t>
      </w:r>
    </w:p>
    <w:p w14:paraId="1541D541" w14:textId="77777777" w:rsidR="00E94DAC" w:rsidRDefault="00E94DAC" w:rsidP="00E94DAC">
      <w:r w:rsidRPr="00E94DAC">
        <w:t xml:space="preserve">With regard to the clinical safety profile of the proposed </w:t>
      </w:r>
      <w:r w:rsidR="00271024">
        <w:t xml:space="preserve">budesonide </w:t>
      </w:r>
      <w:r w:rsidRPr="00E94DAC">
        <w:t xml:space="preserve">MMX 9 mg tablet, the </w:t>
      </w:r>
      <w:r>
        <w:t>clinical evaluator</w:t>
      </w:r>
      <w:r w:rsidRPr="00E94DAC">
        <w:t xml:space="preserve"> stated that relevant data from the pivotal Phase</w:t>
      </w:r>
      <w:r>
        <w:t xml:space="preserve"> III and </w:t>
      </w:r>
      <w:proofErr w:type="spellStart"/>
      <w:r>
        <w:t xml:space="preserve">non </w:t>
      </w:r>
      <w:r w:rsidRPr="00E94DAC">
        <w:t>pivotal</w:t>
      </w:r>
      <w:proofErr w:type="spellEnd"/>
      <w:r w:rsidRPr="00E94DAC">
        <w:t xml:space="preserve"> Phase</w:t>
      </w:r>
      <w:r>
        <w:t xml:space="preserve"> II s</w:t>
      </w:r>
      <w:r w:rsidRPr="00E94DAC">
        <w:t>tudies showed that the product was safe and generally well tolerated by patients with mild to moderate active UC and that, no data on long term use of budesonide (</w:t>
      </w:r>
      <w:r>
        <w:t>that is</w:t>
      </w:r>
      <w:r w:rsidRPr="00E94DAC">
        <w:t xml:space="preserve"> &gt;</w:t>
      </w:r>
      <w:r>
        <w:t xml:space="preserve"> </w:t>
      </w:r>
      <w:r w:rsidRPr="00E94DAC">
        <w:t>8 weeks) was provided.</w:t>
      </w:r>
    </w:p>
    <w:p w14:paraId="199ED8E9" w14:textId="77777777" w:rsidR="00E94DAC" w:rsidRPr="00E94DAC" w:rsidRDefault="00E94DAC" w:rsidP="00E94DAC">
      <w:pPr>
        <w:pStyle w:val="Heading5"/>
      </w:pPr>
      <w:r w:rsidRPr="00E94DAC">
        <w:t>Conclusions</w:t>
      </w:r>
    </w:p>
    <w:p w14:paraId="7DF42241" w14:textId="00B46902" w:rsidR="007F0293" w:rsidRPr="007F0293" w:rsidRDefault="007F0293" w:rsidP="007F0293">
      <w:r w:rsidRPr="007F0293">
        <w:t>The Delegate concurs with the clinical evaluator, that there is sufficient efficacy and safety data to support the registration of budesonide (Cortiment) 9 mg tablet, for the proposed indication of remission in adult patients with mild to moderate active ulcerative col</w:t>
      </w:r>
      <w:r w:rsidR="00980C76">
        <w:t>itis for up to 8 weeks. The non-</w:t>
      </w:r>
      <w:r w:rsidRPr="007F0293">
        <w:t>clinical evaluator also aligns with such support. The quality evaluator also supports the registration but has some biopharmaceutical issue concerns. That is, lack of bioequivalence between two different preparations of budesonide (</w:t>
      </w:r>
      <w:proofErr w:type="spellStart"/>
      <w:r w:rsidRPr="007F0293">
        <w:t>Cortiment</w:t>
      </w:r>
      <w:proofErr w:type="spellEnd"/>
      <w:r w:rsidRPr="007F0293">
        <w:t xml:space="preserve"> and </w:t>
      </w:r>
      <w:proofErr w:type="spellStart"/>
      <w:r w:rsidRPr="007F0293">
        <w:t>Entocort</w:t>
      </w:r>
      <w:proofErr w:type="spellEnd"/>
      <w:r w:rsidRPr="007F0293">
        <w:t xml:space="preserve">) in terms of </w:t>
      </w:r>
      <w:proofErr w:type="spellStart"/>
      <w:r w:rsidRPr="007F0293">
        <w:t>C</w:t>
      </w:r>
      <w:r w:rsidRPr="007F0293">
        <w:rPr>
          <w:vertAlign w:val="subscript"/>
        </w:rPr>
        <w:t>max</w:t>
      </w:r>
      <w:proofErr w:type="spellEnd"/>
      <w:r w:rsidRPr="007F0293">
        <w:t xml:space="preserve"> and </w:t>
      </w:r>
      <w:proofErr w:type="spellStart"/>
      <w:r w:rsidRPr="007F0293">
        <w:t>T</w:t>
      </w:r>
      <w:r w:rsidRPr="007F0293">
        <w:rPr>
          <w:vertAlign w:val="subscript"/>
        </w:rPr>
        <w:t>max</w:t>
      </w:r>
      <w:proofErr w:type="spellEnd"/>
      <w:r w:rsidRPr="007F0293">
        <w:t xml:space="preserve">. Both </w:t>
      </w:r>
      <w:proofErr w:type="spellStart"/>
      <w:r w:rsidRPr="007F0293">
        <w:t>C</w:t>
      </w:r>
      <w:r w:rsidRPr="007F0293">
        <w:rPr>
          <w:vertAlign w:val="subscript"/>
        </w:rPr>
        <w:t>max</w:t>
      </w:r>
      <w:proofErr w:type="spellEnd"/>
      <w:r w:rsidRPr="007F0293">
        <w:t xml:space="preserve"> and </w:t>
      </w:r>
      <w:proofErr w:type="spellStart"/>
      <w:r w:rsidRPr="007F0293">
        <w:t>T</w:t>
      </w:r>
      <w:r w:rsidRPr="007F0293">
        <w:rPr>
          <w:vertAlign w:val="subscript"/>
        </w:rPr>
        <w:t>max</w:t>
      </w:r>
      <w:proofErr w:type="spellEnd"/>
      <w:r w:rsidRPr="007F0293">
        <w:t xml:space="preserve"> values for Cortiment (test product) are lower than those for </w:t>
      </w:r>
      <w:proofErr w:type="spellStart"/>
      <w:r w:rsidRPr="007F0293">
        <w:t>Entocort</w:t>
      </w:r>
      <w:proofErr w:type="spellEnd"/>
      <w:r w:rsidRPr="007F0293">
        <w:t xml:space="preserve"> (reference product). The Delegate believes that those two parameters are not too relevant, considering the local action mechanism of budesonide in the GI</w:t>
      </w:r>
      <w:r w:rsidR="00F41F93">
        <w:t>T (Cortiment for active UC</w:t>
      </w:r>
      <w:r w:rsidRPr="007F0293">
        <w:t xml:space="preserve"> and </w:t>
      </w:r>
      <w:proofErr w:type="spellStart"/>
      <w:r w:rsidRPr="007F0293">
        <w:t>Entocort</w:t>
      </w:r>
      <w:proofErr w:type="spellEnd"/>
      <w:r w:rsidRPr="007F0293">
        <w:t xml:space="preserve"> for Crohn’s disease (CD)). That is, efficacy of budesonide in UC and CD is not dependent on its systemic pharmacokinetics per se. There are no safety issues of concern either systemically or locally from the evaluated data.</w:t>
      </w:r>
    </w:p>
    <w:p w14:paraId="19D31FFC" w14:textId="72ED8E14" w:rsidR="007F0293" w:rsidRPr="007F0293" w:rsidRDefault="007F0293" w:rsidP="007F0293">
      <w:r w:rsidRPr="007F0293">
        <w:t>The recommended changes to the PI by both the clinical and non</w:t>
      </w:r>
      <w:r w:rsidR="00980C76">
        <w:t>-</w:t>
      </w:r>
      <w:r w:rsidRPr="007F0293">
        <w:t xml:space="preserve">clinical evaluators are </w:t>
      </w:r>
      <w:r w:rsidR="00601EF9">
        <w:t xml:space="preserve">considered </w:t>
      </w:r>
      <w:r w:rsidRPr="007F0293">
        <w:t>acceptable and need to be implemented by the sponsor before finalisation of the application.</w:t>
      </w:r>
    </w:p>
    <w:p w14:paraId="537ED080" w14:textId="77777777" w:rsidR="007F0293" w:rsidRPr="00301EA0" w:rsidRDefault="007F0293" w:rsidP="00301EA0">
      <w:r w:rsidRPr="007F0293">
        <w:t>The word ‘topical’ should be replaced with ‘local’ when describing the action of budesonide. The rationale is that budesonide is taken either orally or rectally to evoke its local action in UC and CD.</w:t>
      </w:r>
    </w:p>
    <w:p w14:paraId="4311A30E" w14:textId="77777777" w:rsidR="00301EA0" w:rsidRPr="00E94DAC" w:rsidRDefault="00601EF9" w:rsidP="00301EA0">
      <w:bookmarkStart w:id="151" w:name="_Toc196046505"/>
      <w:bookmarkStart w:id="152" w:name="_Toc196046949"/>
      <w:r w:rsidRPr="00CE052B">
        <w:t>The view of the D</w:t>
      </w:r>
      <w:r w:rsidR="00301EA0" w:rsidRPr="00CE052B">
        <w:t xml:space="preserve">elegate </w:t>
      </w:r>
      <w:r w:rsidRPr="00CE052B">
        <w:t xml:space="preserve">is </w:t>
      </w:r>
      <w:r w:rsidR="00301EA0" w:rsidRPr="00CE052B">
        <w:t>that systemic pharmacokinetics of budesonide is not too relevant in this application.</w:t>
      </w:r>
    </w:p>
    <w:p w14:paraId="16A920C9" w14:textId="77777777" w:rsidR="00D23139" w:rsidRPr="00E94DAC" w:rsidRDefault="00D23139" w:rsidP="00D23139">
      <w:pPr>
        <w:pStyle w:val="Heading4"/>
      </w:pPr>
      <w:r w:rsidRPr="00E94DAC">
        <w:t>Proposed action</w:t>
      </w:r>
    </w:p>
    <w:p w14:paraId="715B8A8B" w14:textId="77777777" w:rsidR="00301EA0" w:rsidRPr="00301EA0" w:rsidRDefault="00E94DAC" w:rsidP="00301EA0">
      <w:r>
        <w:t>The Delegate had</w:t>
      </w:r>
      <w:r w:rsidR="00301EA0" w:rsidRPr="00E94DAC">
        <w:t xml:space="preserve"> no reason to say, at this time, th</w:t>
      </w:r>
      <w:r w:rsidR="0082753E" w:rsidRPr="00E94DAC">
        <w:t>at the application to register new dosage form</w:t>
      </w:r>
      <w:r w:rsidR="00301EA0" w:rsidRPr="00E94DAC">
        <w:t xml:space="preserve"> of budesoni</w:t>
      </w:r>
      <w:r w:rsidR="0082753E" w:rsidRPr="00E94DAC">
        <w:t xml:space="preserve">de (Cortiment) for the proposed </w:t>
      </w:r>
      <w:r w:rsidR="00301EA0" w:rsidRPr="00E94DAC">
        <w:t>indication should not be approv</w:t>
      </w:r>
      <w:r w:rsidR="0082753E" w:rsidRPr="00E94DAC">
        <w:t xml:space="preserve">ed for registration subject to resolving issues, arising from the </w:t>
      </w:r>
      <w:r w:rsidR="00601EF9" w:rsidRPr="00601EF9">
        <w:t>Advisory Committee for Prescription Medicines (ACPM)</w:t>
      </w:r>
      <w:r w:rsidR="0082753E" w:rsidRPr="00E94DAC">
        <w:t xml:space="preserve"> deliberations and </w:t>
      </w:r>
      <w:r w:rsidR="00301EA0" w:rsidRPr="00E94DAC">
        <w:t>finalisatio</w:t>
      </w:r>
      <w:r w:rsidR="0082753E" w:rsidRPr="00E94DAC">
        <w:t>n of matters pertaining to the PI to the satisfaction of the TGA.</w:t>
      </w:r>
    </w:p>
    <w:p w14:paraId="5FDEFA4B" w14:textId="77777777" w:rsidR="00D23139" w:rsidRDefault="00D23139" w:rsidP="00D23139">
      <w:pPr>
        <w:pStyle w:val="Heading4"/>
      </w:pPr>
      <w:r w:rsidRPr="00D23139">
        <w:t>Request for ACPM advice</w:t>
      </w:r>
    </w:p>
    <w:p w14:paraId="0834FC92" w14:textId="77777777" w:rsidR="00301EA0" w:rsidRPr="00301EA0" w:rsidRDefault="00301EA0" w:rsidP="005A6156">
      <w:r w:rsidRPr="00301EA0">
        <w:t>The committee is requested to provide advice on the following specific issue:</w:t>
      </w:r>
    </w:p>
    <w:p w14:paraId="73CA2109" w14:textId="77777777" w:rsidR="00301EA0" w:rsidRPr="00301EA0" w:rsidRDefault="0082753E" w:rsidP="005A6156">
      <w:pPr>
        <w:pStyle w:val="Numberbullet0"/>
        <w:numPr>
          <w:ilvl w:val="0"/>
          <w:numId w:val="8"/>
        </w:numPr>
      </w:pPr>
      <w:r>
        <w:t>The view of the D</w:t>
      </w:r>
      <w:r w:rsidR="00301EA0" w:rsidRPr="00301EA0">
        <w:t xml:space="preserve">elegate that systemic pharmacokinetics of budesonide is not too relevant in this </w:t>
      </w:r>
      <w:r w:rsidR="00301EA0" w:rsidRPr="005A6156">
        <w:t>application</w:t>
      </w:r>
      <w:r w:rsidR="00301EA0" w:rsidRPr="00301EA0">
        <w:t>.</w:t>
      </w:r>
    </w:p>
    <w:p w14:paraId="2C6258B9" w14:textId="77777777" w:rsidR="00301EA0" w:rsidRPr="00301EA0" w:rsidRDefault="00301EA0" w:rsidP="00301EA0">
      <w:r w:rsidRPr="00301EA0">
        <w:lastRenderedPageBreak/>
        <w:t>The committee is also requested to provide advice on any other issues that it thinks may be relevant to a decision on whether or not to approve this application.</w:t>
      </w:r>
    </w:p>
    <w:p w14:paraId="53F26DD3" w14:textId="673F0EF5" w:rsidR="00D23139" w:rsidRDefault="00352666" w:rsidP="005A6156">
      <w:pPr>
        <w:pStyle w:val="Heading3"/>
      </w:pPr>
      <w:bookmarkStart w:id="153" w:name="_Toc442962676"/>
      <w:r>
        <w:t xml:space="preserve">Response </w:t>
      </w:r>
      <w:r w:rsidRPr="005A6156">
        <w:t>from</w:t>
      </w:r>
      <w:r>
        <w:t xml:space="preserve"> s</w:t>
      </w:r>
      <w:r w:rsidR="00D23139" w:rsidRPr="00D23139">
        <w:t>ponsor</w:t>
      </w:r>
      <w:bookmarkEnd w:id="153"/>
    </w:p>
    <w:p w14:paraId="166C0F79" w14:textId="77777777" w:rsidR="00634EC4" w:rsidRPr="00634EC4" w:rsidRDefault="00634EC4" w:rsidP="005A6156">
      <w:pPr>
        <w:pStyle w:val="Heading4"/>
      </w:pPr>
      <w:r>
        <w:t>Introduction</w:t>
      </w:r>
    </w:p>
    <w:p w14:paraId="4A9A43F0" w14:textId="49FFC7E8" w:rsidR="00C440A4" w:rsidRPr="00C440A4" w:rsidRDefault="00634EC4" w:rsidP="00C440A4">
      <w:r>
        <w:t>The sponsor</w:t>
      </w:r>
      <w:r w:rsidR="00C440A4" w:rsidRPr="00C440A4">
        <w:t xml:space="preserve"> </w:t>
      </w:r>
      <w:r w:rsidR="00594CFB">
        <w:t xml:space="preserve">welcomes the TGA Delegate’s pre </w:t>
      </w:r>
      <w:r w:rsidR="00C440A4" w:rsidRPr="00C440A4">
        <w:t xml:space="preserve">ACPM preliminary assessment in which </w:t>
      </w:r>
      <w:r w:rsidR="00601EF9">
        <w:t>t</w:t>
      </w:r>
      <w:r w:rsidR="00C440A4" w:rsidRPr="00C440A4">
        <w:t xml:space="preserve">he </w:t>
      </w:r>
      <w:r w:rsidR="00601EF9">
        <w:t xml:space="preserve">Delegate </w:t>
      </w:r>
      <w:r w:rsidR="00C440A4" w:rsidRPr="00C440A4">
        <w:t>states</w:t>
      </w:r>
      <w:r w:rsidR="00C440A4">
        <w:t xml:space="preserve"> </w:t>
      </w:r>
      <w:r w:rsidR="00335FA3">
        <w:t>‘</w:t>
      </w:r>
      <w:r w:rsidR="00C440A4" w:rsidRPr="00335FA3">
        <w:rPr>
          <w:i/>
        </w:rPr>
        <w:t>I have no reason to say, at this time, that the application to register new dosage form of budesonide (Cortiment) for the proposed indication should not be approved for registration</w:t>
      </w:r>
      <w:r w:rsidR="00335FA3">
        <w:t>’</w:t>
      </w:r>
      <w:r w:rsidR="00C440A4" w:rsidRPr="00C440A4">
        <w:t>.</w:t>
      </w:r>
    </w:p>
    <w:p w14:paraId="1B2D23C2" w14:textId="77777777" w:rsidR="00C440A4" w:rsidRPr="00C440A4" w:rsidRDefault="00C440A4" w:rsidP="00C440A4">
      <w:r w:rsidRPr="00C440A4">
        <w:t>The Delegate has, however, noted one outstanding c</w:t>
      </w:r>
      <w:r>
        <w:t xml:space="preserve">oncern, from the </w:t>
      </w:r>
      <w:r w:rsidR="00BA7D9F">
        <w:t>quality</w:t>
      </w:r>
      <w:r w:rsidRPr="00C440A4">
        <w:t xml:space="preserve"> evaluation, on the outcomes of t</w:t>
      </w:r>
      <w:r w:rsidR="00601EF9">
        <w:t>he comparative bioavailability S</w:t>
      </w:r>
      <w:r w:rsidRPr="00C440A4">
        <w:t>tudy CRO-PK-06-</w:t>
      </w:r>
      <w:r>
        <w:t xml:space="preserve"> </w:t>
      </w:r>
      <w:r w:rsidRPr="00C440A4">
        <w:t>178. The clinical relevance of this concern has been referred to the Delegate,</w:t>
      </w:r>
      <w:r w:rsidR="009B1AFF">
        <w:t xml:space="preserve"> </w:t>
      </w:r>
      <w:r w:rsidRPr="00C440A4">
        <w:t xml:space="preserve">who has conveyed the view that the </w:t>
      </w:r>
      <w:r w:rsidR="00BA7D9F">
        <w:t>‘</w:t>
      </w:r>
      <w:r w:rsidRPr="00BA7D9F">
        <w:rPr>
          <w:i/>
        </w:rPr>
        <w:t>systemic pharmacoki</w:t>
      </w:r>
      <w:r w:rsidR="009B1AFF" w:rsidRPr="00BA7D9F">
        <w:rPr>
          <w:i/>
        </w:rPr>
        <w:t xml:space="preserve">netics of budesonide is not too </w:t>
      </w:r>
      <w:r w:rsidRPr="00BA7D9F">
        <w:rPr>
          <w:i/>
        </w:rPr>
        <w:t>relevant in this application</w:t>
      </w:r>
      <w:r w:rsidR="00BA7D9F">
        <w:t>’</w:t>
      </w:r>
      <w:r w:rsidRPr="00C440A4">
        <w:t>, but has sought the advice of the</w:t>
      </w:r>
      <w:r w:rsidR="009B1AFF">
        <w:t xml:space="preserve"> ACPM on this position. </w:t>
      </w:r>
      <w:r w:rsidR="00634EC4">
        <w:t>The sponsor</w:t>
      </w:r>
      <w:r w:rsidR="009B1AFF">
        <w:t xml:space="preserve"> </w:t>
      </w:r>
      <w:r w:rsidRPr="00C440A4">
        <w:t>will comment on this concern in the following section of this response.</w:t>
      </w:r>
    </w:p>
    <w:p w14:paraId="2DC18D96" w14:textId="77777777" w:rsidR="00C440A4" w:rsidRPr="00C440A4" w:rsidRDefault="00C440A4" w:rsidP="005A6156">
      <w:pPr>
        <w:pStyle w:val="Heading4"/>
      </w:pPr>
      <w:r w:rsidRPr="00C440A4">
        <w:t>Biopharmaceutics</w:t>
      </w:r>
    </w:p>
    <w:p w14:paraId="75619199" w14:textId="77777777" w:rsidR="009B1AFF" w:rsidRDefault="00C440A4" w:rsidP="00C440A4">
      <w:r w:rsidRPr="00C440A4">
        <w:t xml:space="preserve">As part of the </w:t>
      </w:r>
      <w:r w:rsidR="00BA7D9F">
        <w:t>quality e</w:t>
      </w:r>
      <w:r w:rsidRPr="00C440A4">
        <w:t>valuation of the C</w:t>
      </w:r>
      <w:r w:rsidR="00BA7D9F" w:rsidRPr="00C440A4">
        <w:t>orti</w:t>
      </w:r>
      <w:r w:rsidR="00BA7D9F">
        <w:t>ment</w:t>
      </w:r>
      <w:r w:rsidR="009B1AFF">
        <w:t xml:space="preserve"> application, the evaluator </w:t>
      </w:r>
      <w:r w:rsidRPr="00C440A4">
        <w:t>raised some technical questions concerning</w:t>
      </w:r>
      <w:r w:rsidR="00BA7D9F">
        <w:t xml:space="preserve"> S</w:t>
      </w:r>
      <w:r w:rsidRPr="00C440A4">
        <w:t>tudy CRO-PK-</w:t>
      </w:r>
      <w:r w:rsidR="009B1AFF">
        <w:t xml:space="preserve">06-178. This study compared the </w:t>
      </w:r>
      <w:r w:rsidRPr="00C440A4">
        <w:t>rate and extent of systemic budesonide absorption fro</w:t>
      </w:r>
      <w:r w:rsidR="009B1AFF">
        <w:t>m C</w:t>
      </w:r>
      <w:r w:rsidR="00BA7D9F">
        <w:t>ortiment</w:t>
      </w:r>
      <w:r w:rsidR="009B1AFF">
        <w:t xml:space="preserve"> 9 mg tablets (1 x 9 </w:t>
      </w:r>
      <w:r w:rsidRPr="00C440A4">
        <w:t xml:space="preserve">mg) and three </w:t>
      </w:r>
      <w:proofErr w:type="spellStart"/>
      <w:r w:rsidRPr="00C440A4">
        <w:t>E</w:t>
      </w:r>
      <w:r w:rsidR="00BA7D9F" w:rsidRPr="00C440A4">
        <w:t>ntocort</w:t>
      </w:r>
      <w:proofErr w:type="spellEnd"/>
      <w:r w:rsidRPr="00C440A4">
        <w:t xml:space="preserve"> 3 mg capsules (3 x 3 mg).</w:t>
      </w:r>
    </w:p>
    <w:p w14:paraId="3B1BA02E" w14:textId="77777777" w:rsidR="009B1AFF" w:rsidRDefault="009B1AFF" w:rsidP="009B1AFF">
      <w:proofErr w:type="spellStart"/>
      <w:r w:rsidRPr="009B1AFF">
        <w:t>E</w:t>
      </w:r>
      <w:r w:rsidR="00BA7D9F" w:rsidRPr="009B1AFF">
        <w:t>ntocort</w:t>
      </w:r>
      <w:proofErr w:type="spellEnd"/>
      <w:r w:rsidRPr="009B1AFF">
        <w:t xml:space="preserve"> capsules, registered for use in Crohn’s disease, are designed to delay</w:t>
      </w:r>
      <w:r>
        <w:t xml:space="preserve"> </w:t>
      </w:r>
      <w:r w:rsidRPr="009B1AFF">
        <w:t>commencement o</w:t>
      </w:r>
      <w:r w:rsidR="00BA7D9F">
        <w:t xml:space="preserve">f drug release until the dosage </w:t>
      </w:r>
      <w:r w:rsidRPr="009B1AFF">
        <w:t xml:space="preserve">form reaches the </w:t>
      </w:r>
      <w:proofErr w:type="spellStart"/>
      <w:r w:rsidRPr="009B1AFF">
        <w:t>ileal</w:t>
      </w:r>
      <w:proofErr w:type="spellEnd"/>
      <w:r w:rsidRPr="009B1AFF">
        <w:t xml:space="preserve"> region, but then to</w:t>
      </w:r>
      <w:r w:rsidR="00335FA3">
        <w:t xml:space="preserve"> </w:t>
      </w:r>
      <w:r w:rsidR="00BA7D9F">
        <w:t xml:space="preserve">release most of its drug </w:t>
      </w:r>
      <w:r w:rsidRPr="009B1AFF">
        <w:t>load when transiting through the ileum and ascending colon, areas of</w:t>
      </w:r>
      <w:r w:rsidR="00335FA3">
        <w:t xml:space="preserve"> </w:t>
      </w:r>
      <w:r w:rsidRPr="009B1AFF">
        <w:t xml:space="preserve">the </w:t>
      </w:r>
      <w:r w:rsidR="00601EF9">
        <w:t>GIT</w:t>
      </w:r>
      <w:r w:rsidRPr="009B1AFF">
        <w:t xml:space="preserve"> most affected by Crohn’s disease. Unlike Crohn’s disease, UC</w:t>
      </w:r>
      <w:r w:rsidR="00335FA3">
        <w:t xml:space="preserve"> </w:t>
      </w:r>
      <w:r w:rsidRPr="009B1AFF">
        <w:t>affects only the colorectal regions of the GIT. Hence, C</w:t>
      </w:r>
      <w:r w:rsidR="00BA7D9F" w:rsidRPr="009B1AFF">
        <w:t>ortiment</w:t>
      </w:r>
      <w:r w:rsidRPr="009B1AFF">
        <w:t xml:space="preserve"> has been developed to</w:t>
      </w:r>
      <w:r w:rsidR="00335FA3">
        <w:t xml:space="preserve"> </w:t>
      </w:r>
      <w:r w:rsidRPr="009B1AFF">
        <w:t>preferentially deliver budesonide homogenously along the whole colon.</w:t>
      </w:r>
    </w:p>
    <w:p w14:paraId="2DDCD975" w14:textId="77777777" w:rsidR="00335FA3" w:rsidRPr="00335FA3" w:rsidRDefault="00601EF9" w:rsidP="00335FA3">
      <w:r>
        <w:t>It is important to put S</w:t>
      </w:r>
      <w:r w:rsidR="00335FA3" w:rsidRPr="00335FA3">
        <w:t>tudy CRO-PK-06-178 into perspective. Its objective was not to</w:t>
      </w:r>
      <w:r w:rsidR="00335FA3">
        <w:t xml:space="preserve"> </w:t>
      </w:r>
      <w:r w:rsidR="00335FA3" w:rsidRPr="00335FA3">
        <w:t xml:space="preserve">establish bioequivalence between </w:t>
      </w:r>
      <w:proofErr w:type="spellStart"/>
      <w:r w:rsidR="00335FA3" w:rsidRPr="00335FA3">
        <w:t>C</w:t>
      </w:r>
      <w:r w:rsidR="00BA7D9F" w:rsidRPr="00335FA3">
        <w:t>ortimen</w:t>
      </w:r>
      <w:r w:rsidR="00BA7D9F">
        <w:t>t</w:t>
      </w:r>
      <w:proofErr w:type="spellEnd"/>
      <w:r w:rsidR="00335FA3">
        <w:t xml:space="preserve"> and </w:t>
      </w:r>
      <w:proofErr w:type="spellStart"/>
      <w:r w:rsidR="00335FA3">
        <w:t>E</w:t>
      </w:r>
      <w:r w:rsidR="00BA7D9F">
        <w:t>ntocort</w:t>
      </w:r>
      <w:proofErr w:type="spellEnd"/>
      <w:r w:rsidR="00335FA3">
        <w:t xml:space="preserve">, as </w:t>
      </w:r>
      <w:proofErr w:type="spellStart"/>
      <w:r w:rsidR="00335FA3">
        <w:t>C</w:t>
      </w:r>
      <w:r w:rsidR="00BA7D9F">
        <w:t>ortiment</w:t>
      </w:r>
      <w:proofErr w:type="spellEnd"/>
      <w:r w:rsidR="00335FA3">
        <w:t xml:space="preserve"> is </w:t>
      </w:r>
      <w:r w:rsidR="00335FA3" w:rsidRPr="00335FA3">
        <w:t xml:space="preserve">strictly not a generic of </w:t>
      </w:r>
      <w:proofErr w:type="spellStart"/>
      <w:r w:rsidR="00335FA3" w:rsidRPr="00335FA3">
        <w:t>E</w:t>
      </w:r>
      <w:r w:rsidR="00BA7D9F" w:rsidRPr="00335FA3">
        <w:t>ntocort</w:t>
      </w:r>
      <w:proofErr w:type="spellEnd"/>
      <w:r w:rsidR="00335FA3" w:rsidRPr="00335FA3">
        <w:t>, given that both product</w:t>
      </w:r>
      <w:r w:rsidR="00335FA3">
        <w:t xml:space="preserve">s have been designed to release </w:t>
      </w:r>
      <w:r w:rsidR="00335FA3" w:rsidRPr="00335FA3">
        <w:t xml:space="preserve">budesonide differently. Indeed, the primary purpose of the </w:t>
      </w:r>
      <w:r w:rsidR="00335FA3">
        <w:t xml:space="preserve">trial was to confirm, by way of </w:t>
      </w:r>
      <w:r w:rsidR="00335FA3" w:rsidRPr="00335FA3">
        <w:t>measuring differences in serum concentration profiles, that budesonide release within th</w:t>
      </w:r>
      <w:r w:rsidR="00335FA3">
        <w:t xml:space="preserve">e GIT </w:t>
      </w:r>
      <w:r w:rsidR="00335FA3" w:rsidRPr="00335FA3">
        <w:t xml:space="preserve">occurs later and in a more prolonged manner with </w:t>
      </w:r>
      <w:proofErr w:type="spellStart"/>
      <w:r w:rsidR="00335FA3" w:rsidRPr="00335FA3">
        <w:t>C</w:t>
      </w:r>
      <w:r w:rsidR="00BA7D9F">
        <w:t>ortiment</w:t>
      </w:r>
      <w:proofErr w:type="spellEnd"/>
      <w:r w:rsidR="00335FA3">
        <w:t xml:space="preserve"> than with </w:t>
      </w:r>
      <w:proofErr w:type="spellStart"/>
      <w:r w:rsidR="00335FA3">
        <w:t>E</w:t>
      </w:r>
      <w:r w:rsidR="00BA7D9F">
        <w:t>ntocort</w:t>
      </w:r>
      <w:proofErr w:type="spellEnd"/>
      <w:r w:rsidR="00335FA3">
        <w:t xml:space="preserve">, in </w:t>
      </w:r>
      <w:r w:rsidR="00335FA3" w:rsidRPr="00335FA3">
        <w:t>line with the difference in formulation design betw</w:t>
      </w:r>
      <w:r w:rsidR="00335FA3">
        <w:t xml:space="preserve">een the two products. As orally </w:t>
      </w:r>
      <w:r w:rsidR="00335FA3" w:rsidRPr="00335FA3">
        <w:t>administered budesonide is thought to act topically on inflamed gastrointestinal muco</w:t>
      </w:r>
      <w:r w:rsidR="00335FA3">
        <w:t xml:space="preserve">sa, any </w:t>
      </w:r>
      <w:r w:rsidR="00335FA3" w:rsidRPr="00335FA3">
        <w:t>differences in the systemic pharmacokinetic characteristics o</w:t>
      </w:r>
      <w:r w:rsidR="00335FA3">
        <w:t xml:space="preserve">f the two products, as might be </w:t>
      </w:r>
      <w:r>
        <w:t>borne out in S</w:t>
      </w:r>
      <w:r w:rsidR="00335FA3" w:rsidRPr="00335FA3">
        <w:t xml:space="preserve">tudy CRO-PK-06-178, are not thought to have any direct bearing on the efficacy and safety of these products. Hence </w:t>
      </w:r>
      <w:r>
        <w:t>the sponsor</w:t>
      </w:r>
      <w:r w:rsidR="00335FA3" w:rsidRPr="00335FA3">
        <w:t xml:space="preserve"> concurs with the Delegate’s view that</w:t>
      </w:r>
      <w:r w:rsidR="00335FA3">
        <w:t xml:space="preserve"> </w:t>
      </w:r>
      <w:r w:rsidR="00335FA3" w:rsidRPr="00335FA3">
        <w:t xml:space="preserve">the </w:t>
      </w:r>
      <w:r w:rsidR="00BA7D9F">
        <w:t>‘</w:t>
      </w:r>
      <w:r w:rsidR="00335FA3" w:rsidRPr="00BA7D9F">
        <w:rPr>
          <w:i/>
        </w:rPr>
        <w:t>systemic pharmacokinetics of budesonide is not too relevant in this application</w:t>
      </w:r>
      <w:r w:rsidR="00BA7D9F">
        <w:t>’</w:t>
      </w:r>
      <w:r w:rsidR="00335FA3" w:rsidRPr="00335FA3">
        <w:t>.</w:t>
      </w:r>
    </w:p>
    <w:p w14:paraId="0C8F21B1" w14:textId="77777777" w:rsidR="00335FA3" w:rsidRPr="00335FA3" w:rsidRDefault="00335FA3" w:rsidP="00335FA3">
      <w:r w:rsidRPr="00335FA3">
        <w:t xml:space="preserve">Notwithstanding </w:t>
      </w:r>
      <w:r w:rsidR="009138A7">
        <w:t>the sponsor</w:t>
      </w:r>
      <w:r w:rsidRPr="00335FA3">
        <w:t xml:space="preserve">’s and the Delegate’s position on the </w:t>
      </w:r>
      <w:r>
        <w:t xml:space="preserve">questionable clinical relevance </w:t>
      </w:r>
      <w:r w:rsidR="009138A7">
        <w:t>of the outcomes of S</w:t>
      </w:r>
      <w:r w:rsidRPr="00335FA3">
        <w:t xml:space="preserve">tudy CRO-PK-06-178, it </w:t>
      </w:r>
      <w:r>
        <w:t xml:space="preserve">is unclear why the </w:t>
      </w:r>
      <w:r w:rsidR="00BA7D9F">
        <w:t xml:space="preserve">quality </w:t>
      </w:r>
      <w:r w:rsidRPr="00335FA3">
        <w:t xml:space="preserve">evaluator remains concerned about </w:t>
      </w:r>
      <w:r>
        <w:t xml:space="preserve">the biopharmaceutics results of </w:t>
      </w:r>
      <w:r w:rsidRPr="00335FA3">
        <w:t>this study. During two rounds of evaluations, questions on the</w:t>
      </w:r>
      <w:r>
        <w:t xml:space="preserve"> study were raised, and </w:t>
      </w:r>
      <w:r w:rsidR="009138A7">
        <w:t xml:space="preserve">the sponsor </w:t>
      </w:r>
      <w:r w:rsidRPr="00335FA3">
        <w:t>provided answers to these. The matter f</w:t>
      </w:r>
      <w:r>
        <w:t xml:space="preserve">rom </w:t>
      </w:r>
      <w:r w:rsidR="009138A7">
        <w:t>the sponsor</w:t>
      </w:r>
      <w:r>
        <w:t xml:space="preserve">’s perspective is as </w:t>
      </w:r>
      <w:r w:rsidRPr="00335FA3">
        <w:t>follows.</w:t>
      </w:r>
    </w:p>
    <w:p w14:paraId="6A0C4203" w14:textId="16E94604" w:rsidR="00335FA3" w:rsidRPr="00CE052B" w:rsidRDefault="00335FA3" w:rsidP="00335FA3">
      <w:r w:rsidRPr="00335FA3">
        <w:t xml:space="preserve">In the </w:t>
      </w:r>
      <w:r w:rsidR="00BA7D9F">
        <w:t>second round</w:t>
      </w:r>
      <w:r w:rsidR="00634EC4">
        <w:t xml:space="preserve"> evaluation on quality and biopharmaceutics data, </w:t>
      </w:r>
      <w:r w:rsidRPr="00335FA3">
        <w:t>the e</w:t>
      </w:r>
      <w:r w:rsidR="009138A7">
        <w:t>valuator had accepted that the S</w:t>
      </w:r>
      <w:r w:rsidRPr="00335FA3">
        <w:t>tudy CRO-PK-06-178 did show that, while</w:t>
      </w:r>
      <w:r>
        <w:t xml:space="preserve"> </w:t>
      </w:r>
      <w:r w:rsidRPr="00335FA3">
        <w:t xml:space="preserve">the extent of systemic budesonide absorption was similar for </w:t>
      </w:r>
      <w:proofErr w:type="spellStart"/>
      <w:r w:rsidRPr="00335FA3">
        <w:t>C</w:t>
      </w:r>
      <w:r w:rsidR="00BA7D9F" w:rsidRPr="00335FA3">
        <w:t>ortiment</w:t>
      </w:r>
      <w:proofErr w:type="spellEnd"/>
      <w:r w:rsidRPr="00335FA3">
        <w:t xml:space="preserve"> and</w:t>
      </w:r>
      <w:r>
        <w:t xml:space="preserve"> </w:t>
      </w:r>
      <w:proofErr w:type="spellStart"/>
      <w:r w:rsidRPr="00335FA3">
        <w:t>E</w:t>
      </w:r>
      <w:r w:rsidR="00BA7D9F" w:rsidRPr="00335FA3">
        <w:t>ntocort</w:t>
      </w:r>
      <w:proofErr w:type="spellEnd"/>
      <w:r w:rsidRPr="00335FA3">
        <w:t xml:space="preserve">, the determined </w:t>
      </w:r>
      <w:proofErr w:type="spellStart"/>
      <w:r w:rsidRPr="00335FA3">
        <w:t>T</w:t>
      </w:r>
      <w:r w:rsidRPr="00634EC4">
        <w:rPr>
          <w:vertAlign w:val="subscript"/>
        </w:rPr>
        <w:t>max</w:t>
      </w:r>
      <w:proofErr w:type="spellEnd"/>
      <w:r w:rsidRPr="00335FA3">
        <w:t xml:space="preserve"> occurred later and </w:t>
      </w:r>
      <w:proofErr w:type="spellStart"/>
      <w:r w:rsidRPr="00335FA3">
        <w:t>C</w:t>
      </w:r>
      <w:r w:rsidRPr="00634EC4">
        <w:rPr>
          <w:vertAlign w:val="subscript"/>
        </w:rPr>
        <w:t>max</w:t>
      </w:r>
      <w:proofErr w:type="spellEnd"/>
      <w:r w:rsidRPr="00335FA3">
        <w:t xml:space="preserve"> was lower for C</w:t>
      </w:r>
      <w:r w:rsidR="00BA7D9F" w:rsidRPr="00335FA3">
        <w:t>ortiment</w:t>
      </w:r>
      <w:r w:rsidRPr="00335FA3">
        <w:t>,</w:t>
      </w:r>
      <w:r>
        <w:t xml:space="preserve"> </w:t>
      </w:r>
      <w:r w:rsidRPr="00335FA3">
        <w:t xml:space="preserve">consistent with later and more prolonged </w:t>
      </w:r>
      <w:r w:rsidRPr="00335FA3">
        <w:lastRenderedPageBreak/>
        <w:t xml:space="preserve">release of the budesonide from </w:t>
      </w:r>
      <w:r w:rsidR="00634EC4">
        <w:t xml:space="preserve">the dose </w:t>
      </w:r>
      <w:r w:rsidRPr="00335FA3">
        <w:t>form.</w:t>
      </w:r>
      <w:r>
        <w:t xml:space="preserve"> </w:t>
      </w:r>
      <w:r w:rsidRPr="00335FA3">
        <w:t xml:space="preserve">However, the evaluator did not consider this conclusion </w:t>
      </w:r>
      <w:r w:rsidRPr="00CE052B">
        <w:t xml:space="preserve">unequivocal because </w:t>
      </w:r>
      <w:r w:rsidR="00943437" w:rsidRPr="00CE052B">
        <w:t xml:space="preserve">the information available at that time on the reference product were not fully compliant </w:t>
      </w:r>
      <w:proofErr w:type="gramStart"/>
      <w:r w:rsidR="00943437" w:rsidRPr="00CE052B">
        <w:t xml:space="preserve">with  </w:t>
      </w:r>
      <w:r w:rsidRPr="00CE052B">
        <w:t>requir</w:t>
      </w:r>
      <w:r w:rsidR="003E1BB1" w:rsidRPr="00CE052B">
        <w:t>e</w:t>
      </w:r>
      <w:r w:rsidR="00943437" w:rsidRPr="00CE052B">
        <w:t>ments</w:t>
      </w:r>
      <w:proofErr w:type="gramEnd"/>
      <w:r w:rsidR="00943437" w:rsidRPr="00CE052B">
        <w:t xml:space="preserve"> </w:t>
      </w:r>
      <w:r w:rsidRPr="00CE052B">
        <w:t xml:space="preserve"> </w:t>
      </w:r>
      <w:r w:rsidR="00943437" w:rsidRPr="00CE052B">
        <w:t>of</w:t>
      </w:r>
      <w:r w:rsidRPr="00CE052B">
        <w:t xml:space="preserve"> current EU guidelines. </w:t>
      </w:r>
      <w:r w:rsidR="009138A7" w:rsidRPr="00CE052B">
        <w:t>The sponsor</w:t>
      </w:r>
      <w:r w:rsidRPr="00CE052B">
        <w:t xml:space="preserve"> was therefore asked to justify the absence of </w:t>
      </w:r>
      <w:r w:rsidR="00943437" w:rsidRPr="00CE052B">
        <w:t xml:space="preserve">this information for </w:t>
      </w:r>
      <w:r w:rsidRPr="00CE052B">
        <w:t>the reference product.</w:t>
      </w:r>
    </w:p>
    <w:p w14:paraId="734D6E90" w14:textId="7B0D1EA4" w:rsidR="00335FA3" w:rsidRDefault="00335FA3" w:rsidP="00335FA3">
      <w:r w:rsidRPr="00CE052B">
        <w:t xml:space="preserve">In </w:t>
      </w:r>
      <w:r w:rsidR="00634EC4" w:rsidRPr="00CE052B">
        <w:t>the</w:t>
      </w:r>
      <w:r w:rsidRPr="00CE052B">
        <w:t xml:space="preserve"> response, </w:t>
      </w:r>
      <w:r w:rsidR="00634EC4" w:rsidRPr="00CE052B">
        <w:t>the sponsor</w:t>
      </w:r>
      <w:r w:rsidR="009138A7" w:rsidRPr="00CE052B">
        <w:t xml:space="preserve"> explained that, at the time S</w:t>
      </w:r>
      <w:r w:rsidRPr="00641798">
        <w:t>tudy CRO-PK-06</w:t>
      </w:r>
      <w:r w:rsidR="0080278D">
        <w:t>-</w:t>
      </w:r>
      <w:r w:rsidRPr="00641798">
        <w:t>178 was</w:t>
      </w:r>
      <w:r w:rsidRPr="00335FA3">
        <w:t xml:space="preserve"> conducted (2007)</w:t>
      </w:r>
      <w:proofErr w:type="gramStart"/>
      <w:r w:rsidRPr="00335FA3">
        <w:t>,</w:t>
      </w:r>
      <w:proofErr w:type="gramEnd"/>
      <w:r w:rsidRPr="00335FA3">
        <w:t xml:space="preserve"> it was not an EU requirement to </w:t>
      </w:r>
      <w:r w:rsidR="00943437">
        <w:t xml:space="preserve">provide this kind of information for an </w:t>
      </w:r>
      <w:r w:rsidRPr="00335FA3">
        <w:t xml:space="preserve">unmodified reference product. </w:t>
      </w:r>
      <w:r w:rsidR="004943DA">
        <w:t>A</w:t>
      </w:r>
      <w:r w:rsidR="004943DA" w:rsidRPr="00335FA3">
        <w:t xml:space="preserve"> </w:t>
      </w:r>
      <w:r w:rsidRPr="00335FA3">
        <w:t xml:space="preserve">sensitivity analysis was </w:t>
      </w:r>
      <w:r w:rsidR="00943437">
        <w:t xml:space="preserve">also </w:t>
      </w:r>
      <w:r>
        <w:t>performed</w:t>
      </w:r>
      <w:r w:rsidR="00943437">
        <w:t xml:space="preserve"> and submitted showing results </w:t>
      </w:r>
      <w:r w:rsidRPr="00335FA3">
        <w:t>in broad agreement with the results of the original calculations</w:t>
      </w:r>
      <w:r>
        <w:t xml:space="preserve">. Hence, </w:t>
      </w:r>
      <w:r w:rsidR="009138A7">
        <w:t>the sponsor</w:t>
      </w:r>
      <w:r>
        <w:t xml:space="preserve"> considers that </w:t>
      </w:r>
      <w:r w:rsidRPr="00335FA3">
        <w:t xml:space="preserve">its response to the </w:t>
      </w:r>
      <w:r w:rsidR="00634EC4">
        <w:t>second round</w:t>
      </w:r>
      <w:r w:rsidRPr="00335FA3">
        <w:t xml:space="preserve"> evaluation satisfactorily justified th</w:t>
      </w:r>
      <w:r w:rsidR="003C691A">
        <w:t>e absence of</w:t>
      </w:r>
      <w:r w:rsidR="00943437">
        <w:t xml:space="preserve"> the requested information and</w:t>
      </w:r>
      <w:r w:rsidR="009138A7">
        <w:t xml:space="preserve"> that the conclusions of S</w:t>
      </w:r>
      <w:r w:rsidRPr="00335FA3">
        <w:t>tudy CRO-PK-06-178 are valid.</w:t>
      </w:r>
    </w:p>
    <w:p w14:paraId="7C9785B7" w14:textId="77777777" w:rsidR="00335FA3" w:rsidRPr="00335FA3" w:rsidRDefault="00335FA3" w:rsidP="005A6156">
      <w:pPr>
        <w:pStyle w:val="Heading4"/>
      </w:pPr>
      <w:r w:rsidRPr="00335FA3">
        <w:t>Conclusion</w:t>
      </w:r>
    </w:p>
    <w:p w14:paraId="5BF1C3FA" w14:textId="77777777" w:rsidR="00335FA3" w:rsidRPr="00335FA3" w:rsidRDefault="00335FA3" w:rsidP="00335FA3">
      <w:r w:rsidRPr="00335FA3">
        <w:t>C</w:t>
      </w:r>
      <w:r w:rsidR="00634EC4" w:rsidRPr="00335FA3">
        <w:t>ortiment</w:t>
      </w:r>
      <w:r w:rsidRPr="00335FA3">
        <w:t xml:space="preserve"> 9 mg tablets are approved in 25 countries an</w:t>
      </w:r>
      <w:r>
        <w:t xml:space="preserve">d now commercially available in </w:t>
      </w:r>
      <w:r w:rsidRPr="00335FA3">
        <w:t xml:space="preserve">six of these (the </w:t>
      </w:r>
      <w:r w:rsidR="009138A7">
        <w:t>United Kingdom (</w:t>
      </w:r>
      <w:r w:rsidRPr="00335FA3">
        <w:t>UK</w:t>
      </w:r>
      <w:r w:rsidR="009138A7">
        <w:t>)</w:t>
      </w:r>
      <w:r w:rsidRPr="00335FA3">
        <w:t>, Finland, Germany, Ireland, Austria a</w:t>
      </w:r>
      <w:r>
        <w:t xml:space="preserve">nd the Netherlands). It is also </w:t>
      </w:r>
      <w:r w:rsidRPr="00335FA3">
        <w:t xml:space="preserve">registered and available in the USA under the </w:t>
      </w:r>
      <w:r w:rsidR="007E79F4" w:rsidRPr="00335FA3">
        <w:t>trade name</w:t>
      </w:r>
      <w:r w:rsidRPr="00335FA3">
        <w:t xml:space="preserve"> </w:t>
      </w:r>
      <w:proofErr w:type="spellStart"/>
      <w:r w:rsidRPr="00335FA3">
        <w:t>U</w:t>
      </w:r>
      <w:r w:rsidR="00634EC4">
        <w:t>ceris</w:t>
      </w:r>
      <w:proofErr w:type="spellEnd"/>
      <w:r w:rsidR="009138A7">
        <w:t xml:space="preserve"> 9 </w:t>
      </w:r>
      <w:r>
        <w:t xml:space="preserve">mg tablets. The product </w:t>
      </w:r>
      <w:r w:rsidR="00634EC4">
        <w:t xml:space="preserve">represents the first orally administered, locally </w:t>
      </w:r>
      <w:r w:rsidRPr="00335FA3">
        <w:t xml:space="preserve">acting </w:t>
      </w:r>
      <w:r>
        <w:t xml:space="preserve">corticosteroid formulation that </w:t>
      </w:r>
      <w:r w:rsidRPr="00335FA3">
        <w:t>specifically targets drug delivery to the entire colon, the regio</w:t>
      </w:r>
      <w:r>
        <w:t xml:space="preserve">n of the </w:t>
      </w:r>
      <w:r w:rsidR="009138A7">
        <w:t>GI</w:t>
      </w:r>
      <w:r>
        <w:t xml:space="preserve"> tract </w:t>
      </w:r>
      <w:r w:rsidRPr="00335FA3">
        <w:t>affected</w:t>
      </w:r>
      <w:r w:rsidR="009138A7">
        <w:t xml:space="preserve"> by UC. As acknowledged by the clinical e</w:t>
      </w:r>
      <w:r w:rsidRPr="00335FA3">
        <w:t xml:space="preserve">valuator, the </w:t>
      </w:r>
      <w:r>
        <w:t xml:space="preserve">results of the pivotal clinical </w:t>
      </w:r>
      <w:r w:rsidRPr="00335FA3">
        <w:t>trials submitted with this application have confirmed that C</w:t>
      </w:r>
      <w:r w:rsidR="00634EC4" w:rsidRPr="00335FA3">
        <w:t>orti</w:t>
      </w:r>
      <w:r w:rsidR="00634EC4">
        <w:t>ment</w:t>
      </w:r>
      <w:r>
        <w:t xml:space="preserve"> is effective and safe </w:t>
      </w:r>
      <w:r w:rsidRPr="00335FA3">
        <w:t>in the treatment of mild to moderate active UC. C</w:t>
      </w:r>
      <w:r w:rsidR="00634EC4" w:rsidRPr="00335FA3">
        <w:t>orti</w:t>
      </w:r>
      <w:r w:rsidR="00634EC4">
        <w:t>ment</w:t>
      </w:r>
      <w:r>
        <w:t xml:space="preserve"> would therefore be a novel </w:t>
      </w:r>
      <w:r w:rsidRPr="00335FA3">
        <w:t>and valuable addition to the therapeutic options available to Australian clinicians.</w:t>
      </w:r>
    </w:p>
    <w:p w14:paraId="64F82975" w14:textId="16833A85" w:rsidR="008E7846" w:rsidRPr="00C440A4" w:rsidRDefault="005A6156" w:rsidP="005A6156">
      <w:pPr>
        <w:pStyle w:val="Heading3"/>
      </w:pPr>
      <w:bookmarkStart w:id="154" w:name="_Toc442962677"/>
      <w:r>
        <w:t xml:space="preserve">Advisory </w:t>
      </w:r>
      <w:r w:rsidRPr="005A6156">
        <w:t>c</w:t>
      </w:r>
      <w:r w:rsidR="008E7846" w:rsidRPr="005A6156">
        <w:t>ommittee</w:t>
      </w:r>
      <w:r w:rsidR="008E7846" w:rsidRPr="00C440A4">
        <w:t xml:space="preserve"> </w:t>
      </w:r>
      <w:r w:rsidR="003C691A">
        <w:t>c</w:t>
      </w:r>
      <w:r w:rsidR="008E7846" w:rsidRPr="00C440A4">
        <w:t>onsiderations</w:t>
      </w:r>
      <w:bookmarkEnd w:id="154"/>
    </w:p>
    <w:p w14:paraId="1F5B4CF7" w14:textId="77777777"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14:paraId="0CA462F2" w14:textId="77777777" w:rsidR="009C7781" w:rsidRPr="009C7781" w:rsidRDefault="009C7781" w:rsidP="009C7781">
      <w:r w:rsidRPr="009C7781">
        <w:t>The ACPM, taking into account the submitted evidence of efficacy, safet</w:t>
      </w:r>
      <w:r>
        <w:t>y and quality, agreed with the D</w:t>
      </w:r>
      <w:r w:rsidRPr="009C7781">
        <w:t xml:space="preserve">elegate and considered Cortiment </w:t>
      </w:r>
      <w:r>
        <w:t xml:space="preserve">micronized </w:t>
      </w:r>
      <w:r w:rsidRPr="009C7781">
        <w:t>prolonged-release tablet containing 9 mg of budesonide to have an overall positive benefit–risk profile for the amended indication</w:t>
      </w:r>
      <w:r>
        <w:t>;</w:t>
      </w:r>
    </w:p>
    <w:p w14:paraId="19748EC5" w14:textId="77777777" w:rsidR="009C7781" w:rsidRPr="009C7781" w:rsidRDefault="009C7781" w:rsidP="009C7781">
      <w:pPr>
        <w:ind w:left="720"/>
        <w:rPr>
          <w:i/>
        </w:rPr>
      </w:pPr>
      <w:r w:rsidRPr="009C7781">
        <w:rPr>
          <w:i/>
        </w:rPr>
        <w:t>Cortiment is indicated in adults for induction of remission in patients with mild to moderate active ulcerative colitis (UC) where 5-ASA treatment is not sufficient.</w:t>
      </w:r>
    </w:p>
    <w:p w14:paraId="2795DF87" w14:textId="77777777" w:rsidR="009C7781" w:rsidRPr="009C7781" w:rsidRDefault="009C7781" w:rsidP="009C7781">
      <w:r w:rsidRPr="009C7781">
        <w:t>In makin</w:t>
      </w:r>
      <w:r>
        <w:t>g this recommendation the ACPM;</w:t>
      </w:r>
    </w:p>
    <w:p w14:paraId="3BAD0E38" w14:textId="77777777" w:rsidR="009C7781" w:rsidRPr="009C7781" w:rsidRDefault="009C7781" w:rsidP="009C7781">
      <w:pPr>
        <w:pStyle w:val="ListBullet"/>
      </w:pPr>
      <w:r w:rsidRPr="009C7781">
        <w:t>Noted the PK data presented in healthy individuals were just barely adequate to support the application, given no data were provided in the target population.</w:t>
      </w:r>
    </w:p>
    <w:p w14:paraId="79073B74" w14:textId="77777777" w:rsidR="009C7781" w:rsidRPr="009C7781" w:rsidRDefault="009C7781" w:rsidP="009C7781">
      <w:pPr>
        <w:pStyle w:val="ListBullet"/>
      </w:pPr>
      <w:r w:rsidRPr="009C7781">
        <w:t>Noted the clinical data did support modest efficacy, however the effect did take 8 weeks.</w:t>
      </w:r>
    </w:p>
    <w:p w14:paraId="2580CB6D" w14:textId="77777777" w:rsidR="009C7781" w:rsidRPr="009C7781" w:rsidRDefault="009C7781" w:rsidP="009C7781">
      <w:pPr>
        <w:pStyle w:val="ListBullet"/>
      </w:pPr>
      <w:r w:rsidRPr="009C7781">
        <w:t xml:space="preserve">Noted the safety profile from the pivotal trials showed that the incidence and rates of </w:t>
      </w:r>
      <w:r w:rsidR="00FC1144" w:rsidRPr="00FC1144">
        <w:t>AE</w:t>
      </w:r>
      <w:r w:rsidRPr="009C7781">
        <w:t xml:space="preserve">s of the proposed </w:t>
      </w:r>
      <w:r w:rsidR="00271024">
        <w:t xml:space="preserve">budesonide </w:t>
      </w:r>
      <w:r w:rsidRPr="009C7781">
        <w:t>MMX 9 mg tablet was generally well tolerated by patients with mild to moderate active UC.</w:t>
      </w:r>
    </w:p>
    <w:p w14:paraId="5908D8DB" w14:textId="77777777" w:rsidR="009C7781" w:rsidRPr="009C7781" w:rsidRDefault="009C7781" w:rsidP="009C7781">
      <w:pPr>
        <w:pStyle w:val="ListBullet"/>
      </w:pPr>
      <w:r w:rsidRPr="009C7781">
        <w:t>Noted, however, no data on long term use of budesonide (</w:t>
      </w:r>
      <w:r w:rsidR="00E94DAC">
        <w:t>that is,</w:t>
      </w:r>
      <w:r w:rsidRPr="009C7781">
        <w:t xml:space="preserve"> greater than 8 weeks) were provided.</w:t>
      </w:r>
    </w:p>
    <w:p w14:paraId="4374359B" w14:textId="77777777" w:rsidR="009C7781" w:rsidRPr="009C7781" w:rsidRDefault="009C7781" w:rsidP="005A6156">
      <w:pPr>
        <w:pStyle w:val="Heading4"/>
      </w:pPr>
      <w:r w:rsidRPr="009C7781">
        <w:lastRenderedPageBreak/>
        <w:t>Proposed conditions of r</w:t>
      </w:r>
      <w:r w:rsidRPr="005A6156">
        <w:rPr>
          <w:rStyle w:val="Heading4Char"/>
        </w:rPr>
        <w:t>e</w:t>
      </w:r>
      <w:r w:rsidRPr="009C7781">
        <w:t>gistration</w:t>
      </w:r>
    </w:p>
    <w:p w14:paraId="5C39524D" w14:textId="77777777" w:rsidR="009C7781" w:rsidRPr="009C7781" w:rsidRDefault="003814EA" w:rsidP="009C7781">
      <w:r>
        <w:t>The ACPM agreed with the D</w:t>
      </w:r>
      <w:r w:rsidR="009C7781" w:rsidRPr="009C7781">
        <w:t>elegate on the proposed conditions of registration.</w:t>
      </w:r>
    </w:p>
    <w:p w14:paraId="1E172965" w14:textId="77777777" w:rsidR="009C7781" w:rsidRPr="009C7781" w:rsidRDefault="009C7781" w:rsidP="009C7781">
      <w:r w:rsidRPr="009C7781">
        <w:t>Proposed Product Information (PI)/Consumer Medicine Information (CMI) amendments</w:t>
      </w:r>
    </w:p>
    <w:p w14:paraId="799BBDDD" w14:textId="77777777" w:rsidR="009C7781" w:rsidRPr="009C7781" w:rsidRDefault="009C7781" w:rsidP="009C7781">
      <w:r w:rsidRPr="009C7781">
        <w:t>The ACPM agreed w</w:t>
      </w:r>
      <w:r w:rsidR="009138A7">
        <w:t>ith the D</w:t>
      </w:r>
      <w:r w:rsidRPr="009C7781">
        <w:t>elegate to the proposed amendments to the Product Information (PI) and Consumer Medicine Information (CMI).</w:t>
      </w:r>
    </w:p>
    <w:p w14:paraId="66CFADA3" w14:textId="650A891C" w:rsidR="009C7781" w:rsidRPr="009C7781" w:rsidRDefault="009C7781" w:rsidP="005A6156">
      <w:pPr>
        <w:pStyle w:val="Heading4"/>
        <w:rPr>
          <w:highlight w:val="yellow"/>
        </w:rPr>
      </w:pPr>
      <w:r w:rsidRPr="009C7781">
        <w:t xml:space="preserve">Specific </w:t>
      </w:r>
      <w:r w:rsidR="00A74D76">
        <w:t>a</w:t>
      </w:r>
      <w:r w:rsidRPr="009C7781">
        <w:t>dvice</w:t>
      </w:r>
    </w:p>
    <w:p w14:paraId="484524D9" w14:textId="77777777" w:rsidR="009C7781" w:rsidRPr="009C7781" w:rsidRDefault="009C7781" w:rsidP="009C7781">
      <w:pPr>
        <w:rPr>
          <w:highlight w:val="yellow"/>
        </w:rPr>
      </w:pPr>
      <w:r w:rsidRPr="009C7781">
        <w:t>The ACPM advised th</w:t>
      </w:r>
      <w:r w:rsidR="003814EA">
        <w:t>e following in response to the D</w:t>
      </w:r>
      <w:r w:rsidRPr="009C7781">
        <w:t>elegate’s specific questions on this submission:</w:t>
      </w:r>
    </w:p>
    <w:p w14:paraId="1FA3827C" w14:textId="77777777" w:rsidR="009C7781" w:rsidRPr="00C440A4" w:rsidRDefault="00E333F0" w:rsidP="005A6156">
      <w:pPr>
        <w:pStyle w:val="Numberbullet0"/>
        <w:numPr>
          <w:ilvl w:val="0"/>
          <w:numId w:val="16"/>
        </w:numPr>
      </w:pPr>
      <w:r w:rsidRPr="00C440A4">
        <w:t xml:space="preserve">The view of the </w:t>
      </w:r>
      <w:r w:rsidRPr="005A6156">
        <w:t>D</w:t>
      </w:r>
      <w:r w:rsidR="009C7781" w:rsidRPr="005A6156">
        <w:t>elegate</w:t>
      </w:r>
      <w:r w:rsidR="009C7781" w:rsidRPr="00C440A4">
        <w:t xml:space="preserve"> that systemic pharmacokinetics (PK) of budesonide is not too relevant in this application.</w:t>
      </w:r>
    </w:p>
    <w:p w14:paraId="5ED186DE" w14:textId="77777777" w:rsidR="009C7781" w:rsidRPr="009C7781" w:rsidRDefault="009C7781" w:rsidP="009C7781">
      <w:r w:rsidRPr="009C7781">
        <w:t>The ACPM agreed overall with the Delegate’s view that the PK data provided were just sufficient to reassure but was disappointed that no PK data in Ulcerative Colitis patients were presented, particularly when transit times in the healthy subjects showed such marked variability. It was likely that the GIT transit, absorption and bioavailability of the product in the targeted patient population would be significantly different to those in healthy volunteers. Nevertheless, the PK data submitted in this application provided sufficient evidence for the targeted and controlled delivery of budesonide to the lower GIT, and supported the proposed once-daily dosing regimen.</w:t>
      </w:r>
    </w:p>
    <w:p w14:paraId="272FD8DA" w14:textId="77777777" w:rsidR="009C7781" w:rsidRDefault="009C7781" w:rsidP="008E7846">
      <w:r w:rsidRPr="009C7781">
        <w:t xml:space="preserve">The ACPM advised that implementation by the sponsor of the recommendations outlined above to the satisfaction of the TGA, in addition to the evidence of efficacy and safety provided would support the safe and </w:t>
      </w:r>
      <w:r w:rsidR="00E333F0">
        <w:t>effective use of this product.</w:t>
      </w:r>
    </w:p>
    <w:p w14:paraId="719EF3BE" w14:textId="4F7083B9" w:rsidR="0096779C" w:rsidRDefault="0096779C" w:rsidP="005A6156">
      <w:pPr>
        <w:pStyle w:val="Heading3"/>
      </w:pPr>
      <w:bookmarkStart w:id="155" w:name="_Toc442962678"/>
      <w:r>
        <w:t xml:space="preserve">Post ACPM </w:t>
      </w:r>
      <w:r w:rsidR="00A74D76" w:rsidRPr="005A6156">
        <w:t>n</w:t>
      </w:r>
      <w:r w:rsidRPr="005A6156">
        <w:t>egotiations</w:t>
      </w:r>
      <w:bookmarkEnd w:id="155"/>
    </w:p>
    <w:p w14:paraId="79F9A3F9" w14:textId="77777777" w:rsidR="0096779C" w:rsidRDefault="0096779C" w:rsidP="0096779C">
      <w:r>
        <w:t>The ACPM recommended the amended indication for the use of Cortiment.</w:t>
      </w:r>
    </w:p>
    <w:p w14:paraId="791493A5" w14:textId="77777777" w:rsidR="0096779C" w:rsidRDefault="0096779C" w:rsidP="0096779C">
      <w:pPr>
        <w:ind w:left="720"/>
        <w:rPr>
          <w:i/>
        </w:rPr>
      </w:pPr>
      <w:r w:rsidRPr="0096779C">
        <w:rPr>
          <w:i/>
        </w:rPr>
        <w:t>Cortiment is indicated in adults for induction of remission in patients with mild to moderate active ulcerative colitis (UC) where 5-ASA treatment is not sufficient</w:t>
      </w:r>
      <w:r>
        <w:rPr>
          <w:i/>
        </w:rPr>
        <w:t>.</w:t>
      </w:r>
    </w:p>
    <w:p w14:paraId="25711B73" w14:textId="77777777" w:rsidR="00A1232F" w:rsidRDefault="00A1232F" w:rsidP="0096779C">
      <w:r w:rsidRPr="00A1232F">
        <w:t>The sponsor raised concerns that patients who were intolerant to 5-ASA treatment would be precluded under the indication recommended by the ACPM.</w:t>
      </w:r>
    </w:p>
    <w:p w14:paraId="7F36E403" w14:textId="77777777" w:rsidR="0096779C" w:rsidRDefault="00A1232F" w:rsidP="0096779C">
      <w:r w:rsidRPr="00A1232F">
        <w:t xml:space="preserve">The sponsor </w:t>
      </w:r>
      <w:r>
        <w:t>in correspondence with the Delegate requested an amendment to the indication recommended by the ACPM to:</w:t>
      </w:r>
    </w:p>
    <w:p w14:paraId="77D6541A" w14:textId="77777777" w:rsidR="00A1232F" w:rsidRPr="00A1232F" w:rsidRDefault="00A1232F" w:rsidP="00A1232F">
      <w:pPr>
        <w:ind w:left="720"/>
        <w:rPr>
          <w:i/>
        </w:rPr>
      </w:pPr>
      <w:r w:rsidRPr="00A1232F">
        <w:rPr>
          <w:i/>
        </w:rPr>
        <w:t>Cortiment is indicated in adults for induction of remission in patients with mild to moderate active ulcerative colitis (UC) where 5-ASA treatment is not sufficient or not tolerated.</w:t>
      </w:r>
    </w:p>
    <w:p w14:paraId="746563F3" w14:textId="77777777" w:rsidR="00A1232F" w:rsidRPr="00A1232F" w:rsidRDefault="00A1232F" w:rsidP="0096779C">
      <w:r>
        <w:t>The Delegate agreed to the sponsor’s proposed amendment to the indication.</w:t>
      </w:r>
    </w:p>
    <w:p w14:paraId="70B860E1" w14:textId="0F820FA9" w:rsidR="008E7846" w:rsidRPr="002E238E" w:rsidRDefault="008E7846" w:rsidP="005A6156">
      <w:pPr>
        <w:pStyle w:val="Heading3"/>
      </w:pPr>
      <w:bookmarkStart w:id="156" w:name="_Toc247691532"/>
      <w:bookmarkStart w:id="157" w:name="_Toc314842516"/>
      <w:bookmarkStart w:id="158" w:name="_Toc442962679"/>
      <w:bookmarkEnd w:id="120"/>
      <w:bookmarkEnd w:id="151"/>
      <w:bookmarkEnd w:id="152"/>
      <w:r w:rsidRPr="005A6156">
        <w:t>Outcome</w:t>
      </w:r>
      <w:bookmarkEnd w:id="156"/>
      <w:bookmarkEnd w:id="157"/>
      <w:bookmarkEnd w:id="158"/>
    </w:p>
    <w:p w14:paraId="6C697E76" w14:textId="77777777" w:rsidR="00D23139" w:rsidRPr="00D23139" w:rsidRDefault="00D23139" w:rsidP="00D23139">
      <w:bookmarkStart w:id="159" w:name="_Toc247691533"/>
      <w:bookmarkStart w:id="160" w:name="_Toc314842517"/>
      <w:r w:rsidRPr="00D23139">
        <w:t xml:space="preserve">Based on a review of quality, safety and efficacy, TGA approved the registration of </w:t>
      </w:r>
      <w:r w:rsidR="00E333F0">
        <w:t xml:space="preserve">Cortiment budesonide 9 mg prolonged release tablet </w:t>
      </w:r>
      <w:r w:rsidR="00C440A4">
        <w:t xml:space="preserve">for oral administration </w:t>
      </w:r>
      <w:r w:rsidR="00E333F0">
        <w:t>blister pack</w:t>
      </w:r>
      <w:r w:rsidRPr="00D23139">
        <w:t>, indicated for:</w:t>
      </w:r>
    </w:p>
    <w:p w14:paraId="26257645" w14:textId="77777777" w:rsidR="00D23139" w:rsidRPr="00E333F0" w:rsidRDefault="003814EA" w:rsidP="00E333F0">
      <w:pPr>
        <w:ind w:left="720"/>
        <w:rPr>
          <w:i/>
        </w:rPr>
      </w:pPr>
      <w:r w:rsidRPr="003814EA">
        <w:rPr>
          <w:i/>
        </w:rPr>
        <w:t>Cortiment is indicated in adults for induction of remission in patients with mild to moderate active ulcerative colitis (UC) where 5-ASA treatment is not sufficient</w:t>
      </w:r>
      <w:r w:rsidR="00515C25">
        <w:rPr>
          <w:i/>
        </w:rPr>
        <w:t xml:space="preserve"> or not tolerated.</w:t>
      </w:r>
    </w:p>
    <w:p w14:paraId="06370338" w14:textId="77777777" w:rsidR="00D23139" w:rsidRPr="00D23139" w:rsidRDefault="00D23139" w:rsidP="005A6156">
      <w:pPr>
        <w:pStyle w:val="Heading4"/>
      </w:pPr>
      <w:r w:rsidRPr="00D23139">
        <w:lastRenderedPageBreak/>
        <w:t xml:space="preserve">Specific conditions of registration </w:t>
      </w:r>
      <w:r w:rsidRPr="005A6156">
        <w:t>applying</w:t>
      </w:r>
      <w:r w:rsidRPr="00D23139">
        <w:t xml:space="preserve"> to these goods</w:t>
      </w:r>
    </w:p>
    <w:p w14:paraId="07834022" w14:textId="77777777" w:rsidR="00E333F0" w:rsidRDefault="00E333F0" w:rsidP="00E333F0">
      <w:r w:rsidRPr="00E333F0">
        <w:t>Periodic Safety Update Reports (PSURs) are to be provided annually until the period</w:t>
      </w:r>
      <w:r>
        <w:t xml:space="preserve"> </w:t>
      </w:r>
      <w:r w:rsidRPr="00E333F0">
        <w:t>covered by such reports is not</w:t>
      </w:r>
      <w:r>
        <w:t xml:space="preserve"> </w:t>
      </w:r>
      <w:r w:rsidRPr="00E333F0">
        <w:t>less than three years</w:t>
      </w:r>
      <w:r>
        <w:t xml:space="preserve"> from the date of this approval </w:t>
      </w:r>
      <w:r w:rsidRPr="00E333F0">
        <w:t>letter. No fewer than three annual reports are required. T</w:t>
      </w:r>
      <w:r>
        <w:t xml:space="preserve">he reports are to at least meet </w:t>
      </w:r>
      <w:r w:rsidRPr="00E333F0">
        <w:t>the requirements for PSURs as described in the Europe</w:t>
      </w:r>
      <w:r>
        <w:t xml:space="preserve">an Medicines Agency's </w:t>
      </w:r>
      <w:r w:rsidRPr="00C440A4">
        <w:rPr>
          <w:i/>
        </w:rPr>
        <w:t xml:space="preserve">Guideline on good </w:t>
      </w:r>
      <w:r w:rsidR="00C440A4" w:rsidRPr="00C440A4">
        <w:rPr>
          <w:i/>
        </w:rPr>
        <w:t>pharma</w:t>
      </w:r>
      <w:r w:rsidRPr="00C440A4">
        <w:rPr>
          <w:i/>
        </w:rPr>
        <w:t>covi</w:t>
      </w:r>
      <w:r w:rsidR="00C440A4" w:rsidRPr="00C440A4">
        <w:rPr>
          <w:i/>
        </w:rPr>
        <w:t>gila</w:t>
      </w:r>
      <w:r w:rsidRPr="00C440A4">
        <w:rPr>
          <w:i/>
        </w:rPr>
        <w:t xml:space="preserve">nce </w:t>
      </w:r>
      <w:r w:rsidR="00C440A4" w:rsidRPr="00C440A4">
        <w:rPr>
          <w:i/>
        </w:rPr>
        <w:t>practices</w:t>
      </w:r>
      <w:r w:rsidRPr="00C440A4">
        <w:rPr>
          <w:i/>
        </w:rPr>
        <w:t xml:space="preserve"> (GVP) Module </w:t>
      </w:r>
      <w:proofErr w:type="spellStart"/>
      <w:r w:rsidRPr="00C440A4">
        <w:rPr>
          <w:i/>
        </w:rPr>
        <w:t>Vll</w:t>
      </w:r>
      <w:proofErr w:type="spellEnd"/>
      <w:r w:rsidRPr="00C440A4">
        <w:rPr>
          <w:i/>
        </w:rPr>
        <w:t>-Periodic</w:t>
      </w:r>
      <w:r w:rsidR="00C440A4" w:rsidRPr="00C440A4">
        <w:rPr>
          <w:i/>
        </w:rPr>
        <w:t xml:space="preserve"> Safety Upda</w:t>
      </w:r>
      <w:r w:rsidRPr="00C440A4">
        <w:rPr>
          <w:i/>
        </w:rPr>
        <w:t>te Report</w:t>
      </w:r>
      <w:r w:rsidRPr="00C440A4">
        <w:t xml:space="preserve"> (Rev I),</w:t>
      </w:r>
      <w:r w:rsidR="00C440A4">
        <w:t xml:space="preserve"> Part </w:t>
      </w:r>
      <w:proofErr w:type="spellStart"/>
      <w:r w:rsidR="00C440A4">
        <w:t>Vll</w:t>
      </w:r>
      <w:proofErr w:type="spellEnd"/>
      <w:r w:rsidR="00C440A4">
        <w:t xml:space="preserve">. B. </w:t>
      </w:r>
      <w:r w:rsidR="00C440A4" w:rsidRPr="00C440A4">
        <w:rPr>
          <w:i/>
        </w:rPr>
        <w:t>Structures a</w:t>
      </w:r>
      <w:r w:rsidRPr="00C440A4">
        <w:rPr>
          <w:i/>
        </w:rPr>
        <w:t>nd processes</w:t>
      </w:r>
      <w:r w:rsidRPr="00E333F0">
        <w:t>. Note tha</w:t>
      </w:r>
      <w:r>
        <w:t xml:space="preserve">t submission of a PSUR does not </w:t>
      </w:r>
      <w:r w:rsidRPr="00E333F0">
        <w:t>constitute an application to vary the registration. Each</w:t>
      </w:r>
      <w:r>
        <w:t xml:space="preserve"> report must have been prepared </w:t>
      </w:r>
      <w:r w:rsidRPr="00E333F0">
        <w:t>within ninety calendar days of the data lock point for that report</w:t>
      </w:r>
      <w:r w:rsidR="00C440A4">
        <w:t>.</w:t>
      </w:r>
    </w:p>
    <w:p w14:paraId="51400216" w14:textId="77777777" w:rsidR="008E7846" w:rsidRDefault="00A80B5B" w:rsidP="005A6156">
      <w:pPr>
        <w:pStyle w:val="Heading2"/>
      </w:pPr>
      <w:bookmarkStart w:id="161" w:name="_Toc442962680"/>
      <w:proofErr w:type="gramStart"/>
      <w:r>
        <w:t>Attachment 1.</w:t>
      </w:r>
      <w:proofErr w:type="gramEnd"/>
      <w:r>
        <w:t xml:space="preserve"> </w:t>
      </w:r>
      <w:r w:rsidR="008E7846">
        <w:t xml:space="preserve">Product </w:t>
      </w:r>
      <w:r w:rsidR="00AA0ED0">
        <w:t>I</w:t>
      </w:r>
      <w:r w:rsidR="008E7846">
        <w:t>nformation</w:t>
      </w:r>
      <w:bookmarkEnd w:id="159"/>
      <w:bookmarkEnd w:id="160"/>
      <w:bookmarkEnd w:id="161"/>
    </w:p>
    <w:p w14:paraId="1F9CE681" w14:textId="0EF73352" w:rsidR="00C80137" w:rsidRDefault="002B3624" w:rsidP="00C80137">
      <w:pPr>
        <w:rPr>
          <w:color w:val="000000"/>
          <w:lang w:eastAsia="en-AU"/>
        </w:rPr>
      </w:pPr>
      <w:r w:rsidRPr="002B3624">
        <w:t xml:space="preserve">The Product Information approved for </w:t>
      </w:r>
      <w:proofErr w:type="spellStart"/>
      <w:r w:rsidR="003814EA">
        <w:t>Cortiment</w:t>
      </w:r>
      <w:proofErr w:type="spellEnd"/>
      <w:r w:rsidRPr="002B3624">
        <w:t xml:space="preserve"> at the time this AusPAR was published is at Attachment 1. For the most recent Product Information please refer to the TGA website at &lt;</w:t>
      </w:r>
      <w:hyperlink r:id="rId17" w:history="1">
        <w:r w:rsidR="00383221">
          <w:rPr>
            <w:rStyle w:val="Hyperlink"/>
          </w:rPr>
          <w:t>https://www.tga.gov.au/product-information-pi</w:t>
        </w:r>
      </w:hyperlink>
      <w:r w:rsidR="003814EA">
        <w:t>&gt;.</w:t>
      </w:r>
    </w:p>
    <w:p w14:paraId="6143948A" w14:textId="77777777" w:rsidR="00C80137" w:rsidRDefault="00C80137" w:rsidP="005A6156">
      <w:pPr>
        <w:pStyle w:val="Heading2"/>
        <w:rPr>
          <w:lang w:eastAsia="en-AU"/>
        </w:rPr>
      </w:pPr>
      <w:bookmarkStart w:id="162" w:name="_Toc442962681"/>
      <w:proofErr w:type="gramStart"/>
      <w:r>
        <w:rPr>
          <w:lang w:eastAsia="en-AU"/>
        </w:rPr>
        <w:t>Attachment 2.</w:t>
      </w:r>
      <w:proofErr w:type="gramEnd"/>
      <w:r w:rsidR="00A80B5B">
        <w:rPr>
          <w:lang w:eastAsia="en-AU"/>
        </w:rPr>
        <w:t xml:space="preserve"> </w:t>
      </w:r>
      <w:r>
        <w:rPr>
          <w:lang w:eastAsia="en-AU"/>
        </w:rPr>
        <w:t>Extract from the Clinical Evaluation Report</w:t>
      </w:r>
      <w:bookmarkEnd w:id="162"/>
    </w:p>
    <w:p w14:paraId="78A65C61" w14:textId="77777777" w:rsidR="00291957" w:rsidRDefault="00291957" w:rsidP="00291957">
      <w:pPr>
        <w:rPr>
          <w:lang w:eastAsia="ja-JP"/>
        </w:rPr>
      </w:pPr>
    </w:p>
    <w:p w14:paraId="2132E4CF" w14:textId="77777777"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394DBBBE" w14:textId="77777777" w:rsidTr="00A05FA4">
        <w:trPr>
          <w:trHeight w:hRule="exact" w:val="704"/>
        </w:trPr>
        <w:tc>
          <w:tcPr>
            <w:tcW w:w="9175" w:type="dxa"/>
          </w:tcPr>
          <w:p w14:paraId="38809E82" w14:textId="77777777" w:rsidR="001C32CD" w:rsidRPr="00487162" w:rsidRDefault="001C32CD" w:rsidP="00A05FA4">
            <w:pPr>
              <w:pStyle w:val="TGASignoff"/>
            </w:pPr>
            <w:r w:rsidRPr="00487162">
              <w:lastRenderedPageBreak/>
              <w:t>Therapeutic Goods Administration</w:t>
            </w:r>
          </w:p>
        </w:tc>
      </w:tr>
      <w:tr w:rsidR="001C32CD" w:rsidRPr="004C239D" w14:paraId="6D5B30B6" w14:textId="77777777" w:rsidTr="00A05FA4">
        <w:trPr>
          <w:trHeight w:val="1221"/>
        </w:trPr>
        <w:tc>
          <w:tcPr>
            <w:tcW w:w="9175" w:type="dxa"/>
            <w:tcMar>
              <w:top w:w="28" w:type="dxa"/>
            </w:tcMar>
          </w:tcPr>
          <w:p w14:paraId="76282BAE" w14:textId="77777777" w:rsidR="001C32CD" w:rsidRPr="00487162" w:rsidRDefault="001C32CD" w:rsidP="00A05FA4">
            <w:pPr>
              <w:pStyle w:val="Address"/>
            </w:pPr>
            <w:r w:rsidRPr="00487162">
              <w:t>PO Box 100 Woden ACT 2606 Australia</w:t>
            </w:r>
          </w:p>
          <w:p w14:paraId="7E20B33C" w14:textId="77777777" w:rsidR="001C32CD" w:rsidRPr="00487162" w:rsidRDefault="001C32CD" w:rsidP="00A05FA4">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14:paraId="4788FCE8" w14:textId="77777777" w:rsidR="001C32CD" w:rsidRPr="004C239D" w:rsidRDefault="00B00F45" w:rsidP="00A05FA4">
            <w:pPr>
              <w:pStyle w:val="Address"/>
              <w:spacing w:line="260" w:lineRule="atLeast"/>
              <w:rPr>
                <w:b/>
                <w:color w:val="0000FF"/>
                <w:u w:val="single"/>
              </w:rPr>
            </w:pPr>
            <w:hyperlink r:id="rId23" w:history="1">
              <w:r w:rsidR="004F47D6">
                <w:rPr>
                  <w:rStyle w:val="Hyperlink"/>
                  <w:b/>
                </w:rPr>
                <w:t>https://www.tga.gov.au</w:t>
              </w:r>
            </w:hyperlink>
          </w:p>
        </w:tc>
      </w:tr>
    </w:tbl>
    <w:p w14:paraId="5E68AD8D" w14:textId="77777777"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DED51" w15:done="0"/>
  <w15:commentEx w15:paraId="2950C8D6" w15:done="0"/>
  <w15:commentEx w15:paraId="506AB3FC" w15:done="0"/>
  <w15:commentEx w15:paraId="4ED91344" w15:done="0"/>
  <w15:commentEx w15:paraId="195D5120" w15:done="0"/>
  <w15:commentEx w15:paraId="796CC8C7" w15:done="0"/>
  <w15:commentEx w15:paraId="419480DA" w15:done="0"/>
  <w15:commentEx w15:paraId="5A9352BF" w15:done="0"/>
  <w15:commentEx w15:paraId="15C965FA" w15:done="0"/>
  <w15:commentEx w15:paraId="4BF25CF2" w15:done="0"/>
  <w15:commentEx w15:paraId="6A515B31" w15:done="0"/>
  <w15:commentEx w15:paraId="62A783B8" w15:done="0"/>
  <w15:commentEx w15:paraId="33A5D959" w15:done="0"/>
  <w15:commentEx w15:paraId="549CCE3F" w15:done="0"/>
  <w15:commentEx w15:paraId="3A534947" w15:done="0"/>
  <w15:commentEx w15:paraId="05FCB5BB" w15:done="0"/>
  <w15:commentEx w15:paraId="728CBAFE" w15:done="0"/>
  <w15:commentEx w15:paraId="49FFC88C" w15:done="0"/>
  <w15:commentEx w15:paraId="4AD9A81F" w15:done="0"/>
  <w15:commentEx w15:paraId="516ABF3C" w15:done="0"/>
  <w15:commentEx w15:paraId="25DB5FE4" w15:done="0"/>
  <w15:commentEx w15:paraId="6606AA1A" w15:done="0"/>
  <w15:commentEx w15:paraId="188C5AB0" w15:done="0"/>
  <w15:commentEx w15:paraId="3A31C357" w15:done="0"/>
  <w15:commentEx w15:paraId="2360A6C5" w15:done="0"/>
  <w15:commentEx w15:paraId="05D0EEF7" w15:done="0"/>
  <w15:commentEx w15:paraId="370E9CC0" w15:done="0"/>
  <w15:commentEx w15:paraId="6D29FC67" w15:done="0"/>
  <w15:commentEx w15:paraId="2B3F6B8B" w15:done="0"/>
  <w15:commentEx w15:paraId="3ABD5C28" w15:done="0"/>
  <w15:commentEx w15:paraId="7717D3F8" w15:done="0"/>
  <w15:commentEx w15:paraId="11F7F630" w15:done="0"/>
  <w15:commentEx w15:paraId="2A28B252" w15:done="0"/>
  <w15:commentEx w15:paraId="050033FE" w15:done="0"/>
  <w15:commentEx w15:paraId="094EC3B1" w15:done="0"/>
  <w15:commentEx w15:paraId="5C6C8008" w15:done="0"/>
  <w15:commentEx w15:paraId="6AA2C4FF" w15:done="0"/>
  <w15:commentEx w15:paraId="2CCE7325" w15:done="0"/>
  <w15:commentEx w15:paraId="29525BED" w15:done="0"/>
  <w15:commentEx w15:paraId="3CC467DE" w15:done="0"/>
  <w15:commentEx w15:paraId="40939717" w15:paraIdParent="3CC467DE" w15:done="0"/>
  <w15:commentEx w15:paraId="5A8B2305" w15:paraIdParent="3CC467DE" w15:done="0"/>
  <w15:commentEx w15:paraId="05758AB1" w15:paraIdParent="3CC467DE" w15:done="0"/>
  <w15:commentEx w15:paraId="7165B278" w15:done="0"/>
  <w15:commentEx w15:paraId="2443F18B" w15:done="0"/>
  <w15:commentEx w15:paraId="13F74CDD" w15:done="0"/>
  <w15:commentEx w15:paraId="034A886F" w15:done="0"/>
  <w15:commentEx w15:paraId="2F7E95E3" w15:done="0"/>
  <w15:commentEx w15:paraId="57690A8B" w15:done="0"/>
  <w15:commentEx w15:paraId="680D8D7B" w15:done="0"/>
  <w15:commentEx w15:paraId="3B883731" w15:done="0"/>
  <w15:commentEx w15:paraId="3C18BAE9" w15:done="0"/>
  <w15:commentEx w15:paraId="56B74E51" w15:done="0"/>
  <w15:commentEx w15:paraId="358A14D0" w15:done="0"/>
  <w15:commentEx w15:paraId="6E74B967" w15:done="0"/>
  <w15:commentEx w15:paraId="6A2C426C" w15:done="0"/>
  <w15:commentEx w15:paraId="5317141C" w15:done="0"/>
  <w15:commentEx w15:paraId="55748B9C" w15:done="0"/>
  <w15:commentEx w15:paraId="44A49372" w15:done="0"/>
  <w15:commentEx w15:paraId="78B951C1" w15:done="0"/>
  <w15:commentEx w15:paraId="7285C08D" w15:done="0"/>
  <w15:commentEx w15:paraId="209F3BCC" w15:done="0"/>
  <w15:commentEx w15:paraId="0F46ACDE" w15:done="0"/>
  <w15:commentEx w15:paraId="79235B3E" w15:done="0"/>
  <w15:commentEx w15:paraId="2B2F917B" w15:done="0"/>
  <w15:commentEx w15:paraId="36EFCB9A" w15:done="0"/>
  <w15:commentEx w15:paraId="36BC4E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EE77F" w14:textId="77777777" w:rsidR="00A021C3" w:rsidRDefault="00A021C3" w:rsidP="00C40A36">
      <w:pPr>
        <w:spacing w:after="0"/>
      </w:pPr>
      <w:r>
        <w:separator/>
      </w:r>
    </w:p>
    <w:p w14:paraId="08B0ABCE" w14:textId="77777777" w:rsidR="00A021C3" w:rsidRDefault="00A021C3"/>
  </w:endnote>
  <w:endnote w:type="continuationSeparator" w:id="0">
    <w:p w14:paraId="4B0031A0" w14:textId="77777777" w:rsidR="00A021C3" w:rsidRDefault="00A021C3" w:rsidP="00C40A36">
      <w:pPr>
        <w:spacing w:after="0"/>
      </w:pPr>
      <w:r>
        <w:continuationSeparator/>
      </w:r>
    </w:p>
    <w:p w14:paraId="042ADC12" w14:textId="77777777" w:rsidR="00A021C3" w:rsidRDefault="00A02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021C3" w:rsidRPr="00487162" w14:paraId="2803AD88" w14:textId="77777777" w:rsidTr="00DB750B">
      <w:trPr>
        <w:trHeight w:val="269"/>
      </w:trPr>
      <w:tc>
        <w:tcPr>
          <w:tcW w:w="7371" w:type="dxa"/>
          <w:tcMar>
            <w:top w:w="142" w:type="dxa"/>
            <w:bottom w:w="0" w:type="dxa"/>
          </w:tcMar>
        </w:tcPr>
        <w:p w14:paraId="387FEBE7" w14:textId="1D8C8430" w:rsidR="00A021C3" w:rsidRPr="00487162" w:rsidRDefault="00A021C3" w:rsidP="007E216E">
          <w:pPr>
            <w:pStyle w:val="Footer"/>
          </w:pPr>
          <w:r w:rsidRPr="00487162">
            <w:t xml:space="preserve">AusPAR </w:t>
          </w:r>
          <w:r>
            <w:t xml:space="preserve">Cortiment Ferring Pharmaceuticals Pty Ltd </w:t>
          </w:r>
          <w:r w:rsidRPr="00487162">
            <w:t>PM</w:t>
          </w:r>
          <w:r>
            <w:t>-2014-04155</w:t>
          </w:r>
          <w:r w:rsidRPr="00487162">
            <w:t>-</w:t>
          </w:r>
          <w:r>
            <w:t>1-1</w:t>
          </w:r>
          <w:r>
            <w:br/>
            <w:t>Final 11 January 2016</w:t>
          </w:r>
        </w:p>
      </w:tc>
      <w:tc>
        <w:tcPr>
          <w:tcW w:w="1490" w:type="dxa"/>
          <w:tcMar>
            <w:top w:w="142" w:type="dxa"/>
            <w:bottom w:w="0" w:type="dxa"/>
          </w:tcMar>
        </w:tcPr>
        <w:p w14:paraId="1E89D02A" w14:textId="77777777" w:rsidR="00A021C3" w:rsidRPr="00487162" w:rsidRDefault="00A021C3" w:rsidP="00DB750B">
          <w:pPr>
            <w:pStyle w:val="Footer"/>
            <w:jc w:val="right"/>
          </w:pPr>
          <w:r w:rsidRPr="00487162">
            <w:t xml:space="preserve">Page </w:t>
          </w:r>
          <w:r>
            <w:fldChar w:fldCharType="begin"/>
          </w:r>
          <w:r>
            <w:instrText xml:space="preserve"> PAGE  \* Arabic </w:instrText>
          </w:r>
          <w:r>
            <w:fldChar w:fldCharType="separate"/>
          </w:r>
          <w:r w:rsidR="00B00F45">
            <w:rPr>
              <w:noProof/>
            </w:rPr>
            <w:t>4</w:t>
          </w:r>
          <w:r>
            <w:fldChar w:fldCharType="end"/>
          </w:r>
          <w:r w:rsidRPr="00487162">
            <w:t xml:space="preserve"> of </w:t>
          </w:r>
          <w:r w:rsidR="00B00F45">
            <w:fldChar w:fldCharType="begin"/>
          </w:r>
          <w:r w:rsidR="00B00F45">
            <w:instrText xml:space="preserve"> NUMPAGES  \* Arabic </w:instrText>
          </w:r>
          <w:r w:rsidR="00B00F45">
            <w:fldChar w:fldCharType="separate"/>
          </w:r>
          <w:r w:rsidR="00B00F45">
            <w:rPr>
              <w:noProof/>
            </w:rPr>
            <w:t>46</w:t>
          </w:r>
          <w:r w:rsidR="00B00F45">
            <w:rPr>
              <w:noProof/>
            </w:rPr>
            <w:fldChar w:fldCharType="end"/>
          </w:r>
        </w:p>
      </w:tc>
    </w:tr>
  </w:tbl>
  <w:p w14:paraId="3024FED1" w14:textId="77777777" w:rsidR="00A021C3" w:rsidRDefault="00A021C3"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021C3" w:rsidRPr="00487162" w14:paraId="4C44CFBA" w14:textId="77777777" w:rsidTr="00E45619">
      <w:trPr>
        <w:trHeight w:val="269"/>
      </w:trPr>
      <w:tc>
        <w:tcPr>
          <w:tcW w:w="4519" w:type="dxa"/>
          <w:tcBorders>
            <w:top w:val="single" w:sz="4" w:space="0" w:color="auto"/>
          </w:tcBorders>
          <w:tcMar>
            <w:top w:w="142" w:type="dxa"/>
            <w:bottom w:w="0" w:type="dxa"/>
          </w:tcMar>
        </w:tcPr>
        <w:p w14:paraId="0A26FFA2" w14:textId="77777777" w:rsidR="00A021C3" w:rsidRPr="00487162" w:rsidRDefault="00A021C3" w:rsidP="00FE1DEE">
          <w:pPr>
            <w:pStyle w:val="Footer"/>
          </w:pPr>
          <w:r w:rsidRPr="00487162">
            <w:t>Document title, Part #, Section # - Section title</w:t>
          </w:r>
        </w:p>
        <w:p w14:paraId="15298FB1" w14:textId="77777777" w:rsidR="00A021C3" w:rsidRPr="00487162" w:rsidRDefault="00A021C3" w:rsidP="00FE1DEE">
          <w:pPr>
            <w:pStyle w:val="Footer"/>
          </w:pPr>
          <w:r w:rsidRPr="00487162">
            <w:t>V1.0 October 2010</w:t>
          </w:r>
        </w:p>
      </w:tc>
      <w:tc>
        <w:tcPr>
          <w:tcW w:w="4342" w:type="dxa"/>
          <w:tcBorders>
            <w:top w:val="single" w:sz="4" w:space="0" w:color="auto"/>
          </w:tcBorders>
          <w:tcMar>
            <w:top w:w="142" w:type="dxa"/>
            <w:bottom w:w="0" w:type="dxa"/>
          </w:tcMar>
        </w:tcPr>
        <w:p w14:paraId="767A48B9" w14:textId="0F6DC82B" w:rsidR="00A021C3" w:rsidRPr="00487162" w:rsidRDefault="00A021C3"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B00F45">
            <w:fldChar w:fldCharType="begin"/>
          </w:r>
          <w:r w:rsidR="00B00F45">
            <w:instrText xml:space="preserve"> NUMPAGES  </w:instrText>
          </w:r>
          <w:r w:rsidR="00B00F45">
            <w:fldChar w:fldCharType="separate"/>
          </w:r>
          <w:r>
            <w:rPr>
              <w:noProof/>
            </w:rPr>
            <w:t>45</w:t>
          </w:r>
          <w:r w:rsidR="00B00F45">
            <w:rPr>
              <w:noProof/>
            </w:rPr>
            <w:fldChar w:fldCharType="end"/>
          </w:r>
        </w:p>
      </w:tc>
    </w:tr>
  </w:tbl>
  <w:p w14:paraId="06E1E96A" w14:textId="77777777" w:rsidR="00A021C3" w:rsidRDefault="00A021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76853" w14:textId="77777777" w:rsidR="00A021C3" w:rsidRPr="001C32CD" w:rsidRDefault="00A021C3" w:rsidP="001C32CD">
    <w:pPr>
      <w:pStyle w:val="Footer"/>
    </w:pPr>
  </w:p>
  <w:p w14:paraId="5228FAF0" w14:textId="77777777" w:rsidR="00A021C3" w:rsidRDefault="00A021C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021C3" w14:paraId="1412990F" w14:textId="77777777" w:rsidTr="0010601F">
      <w:trPr>
        <w:trHeight w:val="108"/>
      </w:trPr>
      <w:tc>
        <w:tcPr>
          <w:tcW w:w="8875" w:type="dxa"/>
          <w:gridSpan w:val="2"/>
          <w:tcBorders>
            <w:bottom w:val="single" w:sz="4" w:space="0" w:color="auto"/>
          </w:tcBorders>
          <w:tcMar>
            <w:right w:w="284" w:type="dxa"/>
          </w:tcMar>
        </w:tcPr>
        <w:p w14:paraId="4693CEAC" w14:textId="77777777" w:rsidR="00A021C3" w:rsidRDefault="00A021C3" w:rsidP="006E08B3">
          <w:pPr>
            <w:pStyle w:val="Heading3"/>
          </w:pPr>
          <w:r>
            <w:t>Copyright</w:t>
          </w:r>
        </w:p>
        <w:p w14:paraId="2F6C7786" w14:textId="77777777" w:rsidR="00A021C3" w:rsidRDefault="00A021C3" w:rsidP="006E08B3">
          <w:r>
            <w:rPr>
              <w:rFonts w:cs="Arial"/>
            </w:rPr>
            <w:t>©</w:t>
          </w:r>
          <w:r>
            <w:t xml:space="preserve"> Commonwealth of Australia [add year]</w:t>
          </w:r>
        </w:p>
        <w:p w14:paraId="6F321DC1" w14:textId="77777777" w:rsidR="00A021C3" w:rsidRDefault="00A021C3" w:rsidP="006E08B3"/>
        <w:p w14:paraId="70AC594A" w14:textId="77777777" w:rsidR="00A021C3" w:rsidRDefault="00A021C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EEA668B" w14:textId="77777777" w:rsidR="00A021C3" w:rsidRDefault="00A021C3" w:rsidP="006E08B3"/>
        <w:p w14:paraId="216CA350" w14:textId="77777777" w:rsidR="00A021C3" w:rsidRDefault="00A021C3" w:rsidP="006E08B3">
          <w:pPr>
            <w:pStyle w:val="Heading3"/>
          </w:pPr>
          <w:r>
            <w:t>Confidentiality</w:t>
          </w:r>
        </w:p>
        <w:p w14:paraId="5FC1EC1B" w14:textId="77777777" w:rsidR="00A021C3" w:rsidRDefault="00A021C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D8BC2EB" w14:textId="77777777" w:rsidR="00A021C3" w:rsidRDefault="00A021C3" w:rsidP="006E08B3"/>
        <w:p w14:paraId="65C1758E" w14:textId="77777777" w:rsidR="00A021C3" w:rsidRDefault="00A021C3" w:rsidP="006E08B3">
          <w:r>
            <w:t>For submission made by individuals, all personal details, other than your name, will be removed from your submission before it is published on the TGA’s Internet site.</w:t>
          </w:r>
        </w:p>
        <w:p w14:paraId="49C7ADAA" w14:textId="77777777" w:rsidR="00A021C3" w:rsidRDefault="00A021C3" w:rsidP="006E08B3"/>
        <w:p w14:paraId="0C5E2DE0" w14:textId="77777777" w:rsidR="00A021C3" w:rsidRDefault="00A021C3"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A021C3" w14:paraId="71140C0E" w14:textId="77777777" w:rsidTr="0010601F">
      <w:trPr>
        <w:trHeight w:val="417"/>
      </w:trPr>
      <w:tc>
        <w:tcPr>
          <w:tcW w:w="4519" w:type="dxa"/>
          <w:tcBorders>
            <w:top w:val="single" w:sz="4" w:space="0" w:color="auto"/>
          </w:tcBorders>
          <w:tcMar>
            <w:top w:w="142" w:type="dxa"/>
            <w:bottom w:w="0" w:type="dxa"/>
          </w:tcMar>
        </w:tcPr>
        <w:p w14:paraId="28868E25" w14:textId="77777777" w:rsidR="00A021C3" w:rsidRDefault="00A021C3" w:rsidP="006E08B3">
          <w:r>
            <w:t>Document title, Part #, Section # - Section title</w:t>
          </w:r>
        </w:p>
        <w:p w14:paraId="4D07F609" w14:textId="77777777" w:rsidR="00A021C3" w:rsidRDefault="00A021C3" w:rsidP="006E08B3">
          <w:r>
            <w:t>V1.0 October 2010</w:t>
          </w:r>
        </w:p>
      </w:tc>
      <w:tc>
        <w:tcPr>
          <w:tcW w:w="4356" w:type="dxa"/>
          <w:tcBorders>
            <w:top w:val="single" w:sz="4" w:space="0" w:color="auto"/>
          </w:tcBorders>
          <w:tcMar>
            <w:top w:w="142" w:type="dxa"/>
            <w:bottom w:w="0" w:type="dxa"/>
          </w:tcMar>
        </w:tcPr>
        <w:p w14:paraId="457693E2" w14:textId="29D8CFB4" w:rsidR="00A021C3" w:rsidRDefault="00A021C3"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B00F45">
            <w:fldChar w:fldCharType="begin"/>
          </w:r>
          <w:r w:rsidR="00B00F45">
            <w:instrText xml:space="preserve"> NUMPAGES  \* Arabic </w:instrText>
          </w:r>
          <w:r w:rsidR="00B00F45">
            <w:fldChar w:fldCharType="separate"/>
          </w:r>
          <w:r>
            <w:rPr>
              <w:noProof/>
            </w:rPr>
            <w:t>45</w:t>
          </w:r>
          <w:r w:rsidR="00B00F45">
            <w:rPr>
              <w:noProof/>
            </w:rPr>
            <w:fldChar w:fldCharType="end"/>
          </w:r>
          <w:r>
            <w:t xml:space="preserve">  </w:t>
          </w:r>
        </w:p>
      </w:tc>
    </w:tr>
  </w:tbl>
  <w:p w14:paraId="291F75D1" w14:textId="77777777" w:rsidR="00A021C3" w:rsidRDefault="00A021C3"/>
  <w:p w14:paraId="6F6A4553" w14:textId="77777777" w:rsidR="00A021C3" w:rsidRDefault="00A021C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0BB09" w14:textId="77777777" w:rsidR="00A021C3" w:rsidRDefault="00A021C3" w:rsidP="00C40A36">
      <w:pPr>
        <w:spacing w:after="0"/>
      </w:pPr>
      <w:r>
        <w:separator/>
      </w:r>
    </w:p>
    <w:p w14:paraId="3637BADD" w14:textId="77777777" w:rsidR="00A021C3" w:rsidRDefault="00A021C3"/>
  </w:footnote>
  <w:footnote w:type="continuationSeparator" w:id="0">
    <w:p w14:paraId="6354358C" w14:textId="77777777" w:rsidR="00A021C3" w:rsidRDefault="00A021C3" w:rsidP="00C40A36">
      <w:pPr>
        <w:spacing w:after="0"/>
      </w:pPr>
      <w:r>
        <w:continuationSeparator/>
      </w:r>
    </w:p>
    <w:p w14:paraId="5F1DCC9E" w14:textId="77777777" w:rsidR="00A021C3" w:rsidRDefault="00A021C3"/>
  </w:footnote>
  <w:footnote w:id="1">
    <w:p w14:paraId="1788ECBC" w14:textId="79D13D99" w:rsidR="00A021C3" w:rsidRDefault="00A021C3" w:rsidP="00DE7CC3">
      <w:pPr>
        <w:pStyle w:val="FootnoteText"/>
      </w:pPr>
      <w:r>
        <w:rPr>
          <w:rStyle w:val="FootnoteReference"/>
        </w:rPr>
        <w:footnoteRef/>
      </w:r>
      <w:r>
        <w:t xml:space="preserve"> </w:t>
      </w:r>
      <w:r w:rsidRPr="007E0E32">
        <w:t>This is based on the recalculated results from Study CRO-PK-06-178. The company’s reported results indicate otherwise.</w:t>
      </w:r>
    </w:p>
  </w:footnote>
  <w:footnote w:id="2">
    <w:p w14:paraId="7AEEAC2E" w14:textId="77777777" w:rsidR="00A021C3" w:rsidRDefault="00A021C3" w:rsidP="00DE7CC3">
      <w:pPr>
        <w:pStyle w:val="FootnoteText"/>
      </w:pPr>
      <w:r>
        <w:rPr>
          <w:rStyle w:val="FootnoteReference"/>
        </w:rPr>
        <w:footnoteRef/>
      </w:r>
      <w:r>
        <w:t xml:space="preserve"> </w:t>
      </w:r>
      <w:r w:rsidRPr="007E0E32">
        <w:t>This was not demonstrated directly in any of the studies below. But since the AUC</w:t>
      </w:r>
      <w:r w:rsidRPr="007E0E32">
        <w:rPr>
          <w:vertAlign w:val="subscript"/>
        </w:rPr>
        <w:t xml:space="preserve"> </w:t>
      </w:r>
      <w:r w:rsidRPr="007E0E32">
        <w:t>of the proposed product and reference are equivalence, this can be indirectly derived.</w:t>
      </w:r>
    </w:p>
  </w:footnote>
  <w:footnote w:id="3">
    <w:p w14:paraId="7F723909" w14:textId="0E16422A" w:rsidR="00A021C3" w:rsidRDefault="00A021C3" w:rsidP="00DE7CC3">
      <w:pPr>
        <w:pStyle w:val="FootnoteText"/>
      </w:pPr>
      <w:r>
        <w:rPr>
          <w:rStyle w:val="FootnoteReference"/>
        </w:rPr>
        <w:footnoteRef/>
      </w:r>
      <w:r>
        <w:t xml:space="preserve"> Sponsor comment: “T</w:t>
      </w:r>
      <w:r w:rsidRPr="004B5F35">
        <w:t xml:space="preserve">he trial was in compliance with regulation in force at time of clinical study conduction, before the issuance of current EU guideline. In the </w:t>
      </w:r>
      <w:proofErr w:type="spellStart"/>
      <w:r w:rsidRPr="004B5F35">
        <w:t>Entocort</w:t>
      </w:r>
      <w:proofErr w:type="spellEnd"/>
      <w:r w:rsidRPr="004B5F35">
        <w:t xml:space="preserve"> purchased from the market</w:t>
      </w:r>
      <w:r>
        <w:t>,</w:t>
      </w:r>
      <w:r w:rsidRPr="004B5F35">
        <w:t xml:space="preserve"> the </w:t>
      </w:r>
      <w:r>
        <w:t>a</w:t>
      </w:r>
      <w:r w:rsidRPr="004B5F35">
        <w:t>ssay test specification allows for a variation of NMT 5% to the nominal content of active (3</w:t>
      </w:r>
      <w:r>
        <w:t xml:space="preserve"> </w:t>
      </w:r>
      <w:r w:rsidRPr="004B5F35">
        <w:t>mg). Furthermore</w:t>
      </w:r>
      <w:r>
        <w:t>,</w:t>
      </w:r>
      <w:r w:rsidRPr="004B5F35">
        <w:t xml:space="preserve"> a sensitivity analysis was performed to evaluate the effect of a deviation of this magnitude on stu</w:t>
      </w:r>
      <w:r>
        <w:t xml:space="preserve">dy outcomes. Even by applying ± </w:t>
      </w:r>
      <w:r w:rsidRPr="004B5F35">
        <w:t xml:space="preserve">5% differences to the </w:t>
      </w:r>
      <w:r>
        <w:t>r</w:t>
      </w:r>
      <w:r w:rsidRPr="004B5F35">
        <w:t xml:space="preserve">eference strength with respect to the theoretical one, these simulations confirmed that </w:t>
      </w:r>
      <w:proofErr w:type="spellStart"/>
      <w:r>
        <w:t>r</w:t>
      </w:r>
      <w:r w:rsidRPr="004B5F35">
        <w:t>he</w:t>
      </w:r>
      <w:proofErr w:type="spellEnd"/>
      <w:r w:rsidRPr="004B5F35">
        <w:t xml:space="preserve"> product and the </w:t>
      </w:r>
      <w:r>
        <w:t>r</w:t>
      </w:r>
      <w:r w:rsidRPr="004B5F35">
        <w:t>eference are not bioequivalent.</w:t>
      </w:r>
      <w:r>
        <w:t>”</w:t>
      </w:r>
    </w:p>
  </w:footnote>
  <w:footnote w:id="4">
    <w:p w14:paraId="31505048" w14:textId="171377A9" w:rsidR="00A021C3" w:rsidRPr="006C5116" w:rsidRDefault="00A021C3" w:rsidP="00F31992">
      <w:pPr>
        <w:pStyle w:val="FootnoteText"/>
        <w:rPr>
          <w:lang w:val="en"/>
        </w:rPr>
      </w:pPr>
      <w:r>
        <w:rPr>
          <w:rStyle w:val="FootnoteReference"/>
        </w:rPr>
        <w:footnoteRef/>
      </w:r>
      <w:r>
        <w:t xml:space="preserve"> Category B3</w:t>
      </w:r>
      <w:r w:rsidRPr="006C5116">
        <w:t xml:space="preserve">: </w:t>
      </w:r>
      <w:r>
        <w:t>“</w:t>
      </w:r>
      <w:r w:rsidRPr="006C5116">
        <w:rPr>
          <w:lang w:val="en"/>
        </w:rPr>
        <w:t xml:space="preserve">Drugs which have been taken by only a limited number of pregnant women and women of childbearing </w:t>
      </w:r>
      <w:r w:rsidRPr="00F31992">
        <w:t>age</w:t>
      </w:r>
      <w:r w:rsidRPr="006C5116">
        <w:rPr>
          <w:lang w:val="en"/>
        </w:rPr>
        <w:t>, without an increase in the frequency of malformation or other direct or indirect harmful effects on the human fetus having been observed. Studies in animals have shown evidence of an increased occurrence of fetal damage, the significance of which is considered uncertain in humans.</w:t>
      </w:r>
      <w:r>
        <w:rPr>
          <w:lang w:val="en"/>
        </w:rPr>
        <w:t>”</w:t>
      </w:r>
    </w:p>
  </w:footnote>
  <w:footnote w:id="5">
    <w:p w14:paraId="71249F76" w14:textId="77777777" w:rsidR="00A021C3" w:rsidRDefault="00A021C3">
      <w:pPr>
        <w:pStyle w:val="FootnoteText"/>
      </w:pPr>
      <w:r>
        <w:rPr>
          <w:rStyle w:val="FootnoteReference"/>
        </w:rPr>
        <w:footnoteRef/>
      </w:r>
      <w:r>
        <w:t xml:space="preserve"> </w:t>
      </w:r>
      <w:proofErr w:type="gramStart"/>
      <w:r w:rsidRPr="00291172">
        <w:t>Brunner M et al. Gastrointestinal transit, release and plasma pharmacokinetics of a new oral budesonide formulation.</w:t>
      </w:r>
      <w:proofErr w:type="gramEnd"/>
      <w:r w:rsidRPr="00291172">
        <w:t xml:space="preserve"> </w:t>
      </w:r>
      <w:proofErr w:type="gramStart"/>
      <w:r w:rsidRPr="00291172">
        <w:rPr>
          <w:i/>
        </w:rPr>
        <w:t xml:space="preserve">Br J </w:t>
      </w:r>
      <w:proofErr w:type="spellStart"/>
      <w:r w:rsidRPr="00291172">
        <w:rPr>
          <w:i/>
        </w:rPr>
        <w:t>Clin</w:t>
      </w:r>
      <w:proofErr w:type="spellEnd"/>
      <w:r w:rsidRPr="00291172">
        <w:rPr>
          <w:i/>
        </w:rPr>
        <w:t xml:space="preserve"> </w:t>
      </w:r>
      <w:proofErr w:type="spellStart"/>
      <w:r w:rsidRPr="00291172">
        <w:rPr>
          <w:i/>
        </w:rPr>
        <w:t>Pharmacol</w:t>
      </w:r>
      <w:proofErr w:type="spellEnd"/>
      <w:r w:rsidRPr="00291172">
        <w:t>.</w:t>
      </w:r>
      <w:proofErr w:type="gramEnd"/>
      <w:r w:rsidRPr="00291172">
        <w:t xml:space="preserve"> </w:t>
      </w:r>
      <w:r>
        <w:t>2006</w:t>
      </w:r>
      <w:proofErr w:type="gramStart"/>
      <w:r>
        <w:t>;61</w:t>
      </w:r>
      <w:r w:rsidRPr="00291172">
        <w:t>:31</w:t>
      </w:r>
      <w:proofErr w:type="gramEnd"/>
      <w:r w:rsidRPr="00291172">
        <w:t>-</w:t>
      </w:r>
      <w:r>
        <w:t>3</w:t>
      </w:r>
      <w:r w:rsidRPr="00291172">
        <w:t>8.</w:t>
      </w:r>
    </w:p>
  </w:footnote>
  <w:footnote w:id="6">
    <w:p w14:paraId="08B06BC3" w14:textId="77777777" w:rsidR="00A021C3" w:rsidRDefault="00A021C3" w:rsidP="007E216E">
      <w:pPr>
        <w:pStyle w:val="FootnoteText"/>
      </w:pPr>
      <w:r>
        <w:rPr>
          <w:rStyle w:val="FootnoteReference"/>
        </w:rPr>
        <w:footnoteRef/>
      </w:r>
      <w:r>
        <w:t xml:space="preserve"> </w:t>
      </w:r>
      <w:proofErr w:type="spellStart"/>
      <w:r w:rsidRPr="00291172">
        <w:t>D'Haens</w:t>
      </w:r>
      <w:proofErr w:type="spellEnd"/>
      <w:r w:rsidRPr="00291172">
        <w:t xml:space="preserve"> GR, et al. Clinical trial: Preliminary efficacy and safety study of a new budesonide MMX</w:t>
      </w:r>
      <w:r w:rsidRPr="00291172">
        <w:rPr>
          <w:vertAlign w:val="superscript"/>
        </w:rPr>
        <w:t>®</w:t>
      </w:r>
      <w:r w:rsidRPr="00291172">
        <w:t xml:space="preserve"> 9 mg extended-release tablets in patients with active left-sided ulcerative colitis</w:t>
      </w:r>
      <w:r w:rsidRPr="00291172">
        <w:rPr>
          <w:b/>
        </w:rPr>
        <w:t xml:space="preserve">. </w:t>
      </w:r>
      <w:proofErr w:type="gramStart"/>
      <w:r w:rsidRPr="00291172">
        <w:rPr>
          <w:i/>
        </w:rPr>
        <w:t xml:space="preserve">J </w:t>
      </w:r>
      <w:proofErr w:type="spellStart"/>
      <w:r w:rsidRPr="00291172">
        <w:rPr>
          <w:i/>
        </w:rPr>
        <w:t>Crohns</w:t>
      </w:r>
      <w:proofErr w:type="spellEnd"/>
      <w:r w:rsidRPr="00291172">
        <w:rPr>
          <w:i/>
        </w:rPr>
        <w:t xml:space="preserve"> Colitis</w:t>
      </w:r>
      <w:r>
        <w:t>.</w:t>
      </w:r>
      <w:proofErr w:type="gramEnd"/>
      <w:r>
        <w:t xml:space="preserve"> </w:t>
      </w:r>
      <w:proofErr w:type="gramStart"/>
      <w:r>
        <w:t>2010; 4</w:t>
      </w:r>
      <w:r w:rsidRPr="00291172">
        <w:t>:</w:t>
      </w:r>
      <w:r>
        <w:t xml:space="preserve"> </w:t>
      </w:r>
      <w:r w:rsidRPr="00291172">
        <w:t>153-</w:t>
      </w:r>
      <w:r>
        <w:t>1</w:t>
      </w:r>
      <w:r w:rsidRPr="00291172">
        <w:t>60.</w:t>
      </w:r>
      <w:proofErr w:type="gramEnd"/>
    </w:p>
  </w:footnote>
  <w:footnote w:id="7">
    <w:p w14:paraId="250672BF" w14:textId="6A21B711" w:rsidR="00A021C3" w:rsidRDefault="00A021C3">
      <w:pPr>
        <w:pStyle w:val="FootnoteText"/>
      </w:pPr>
      <w:r>
        <w:rPr>
          <w:rStyle w:val="FootnoteReference"/>
        </w:rPr>
        <w:footnoteRef/>
      </w:r>
      <w:r>
        <w:t xml:space="preserve"> </w:t>
      </w:r>
      <w:proofErr w:type="spellStart"/>
      <w:r w:rsidRPr="00291172">
        <w:t>D'Haens</w:t>
      </w:r>
      <w:proofErr w:type="spellEnd"/>
      <w:r w:rsidRPr="00291172">
        <w:t xml:space="preserve"> GR, et al. Clinical trial: Preliminary efficacy and safety study of a new budesonide MMX 9 mg extended-release tablets in patients with active left-sided ulcerative colitis</w:t>
      </w:r>
      <w:r w:rsidRPr="00291172">
        <w:rPr>
          <w:b/>
        </w:rPr>
        <w:t xml:space="preserve">. </w:t>
      </w:r>
      <w:proofErr w:type="gramStart"/>
      <w:r w:rsidRPr="00291172">
        <w:rPr>
          <w:i/>
        </w:rPr>
        <w:t xml:space="preserve">J </w:t>
      </w:r>
      <w:proofErr w:type="spellStart"/>
      <w:r w:rsidRPr="00291172">
        <w:rPr>
          <w:i/>
        </w:rPr>
        <w:t>Crohns</w:t>
      </w:r>
      <w:proofErr w:type="spellEnd"/>
      <w:r w:rsidRPr="00291172">
        <w:rPr>
          <w:i/>
        </w:rPr>
        <w:t xml:space="preserve"> Colitis</w:t>
      </w:r>
      <w:r>
        <w:t>.</w:t>
      </w:r>
      <w:proofErr w:type="gramEnd"/>
      <w:r>
        <w:t xml:space="preserve"> </w:t>
      </w:r>
      <w:proofErr w:type="gramStart"/>
      <w:r>
        <w:t>2010; 4</w:t>
      </w:r>
      <w:r w:rsidRPr="00291172">
        <w:t>:</w:t>
      </w:r>
      <w:r>
        <w:t xml:space="preserve"> </w:t>
      </w:r>
      <w:r w:rsidRPr="00291172">
        <w:t>153-</w:t>
      </w:r>
      <w:r>
        <w:t>1</w:t>
      </w:r>
      <w:r w:rsidRPr="00291172">
        <w:t>60.</w:t>
      </w:r>
      <w:proofErr w:type="gramEnd"/>
    </w:p>
  </w:footnote>
  <w:footnote w:id="8">
    <w:p w14:paraId="036CCD0D" w14:textId="77777777" w:rsidR="00A021C3" w:rsidRPr="00F31992" w:rsidRDefault="00A021C3" w:rsidP="00E72851">
      <w:pPr>
        <w:rPr>
          <w:rStyle w:val="FootnoteTextChar"/>
        </w:rPr>
      </w:pPr>
      <w:r w:rsidRPr="00E72851">
        <w:rPr>
          <w:rStyle w:val="FootnoteReference"/>
          <w:sz w:val="18"/>
          <w:szCs w:val="18"/>
        </w:rPr>
        <w:footnoteRef/>
      </w:r>
      <w:r w:rsidRPr="00E72851">
        <w:rPr>
          <w:sz w:val="18"/>
          <w:szCs w:val="18"/>
        </w:rPr>
        <w:t xml:space="preserve"> </w:t>
      </w:r>
      <w:proofErr w:type="spellStart"/>
      <w:r w:rsidRPr="00F31992">
        <w:rPr>
          <w:rStyle w:val="FootnoteTextChar"/>
        </w:rPr>
        <w:t>Kolkman</w:t>
      </w:r>
      <w:proofErr w:type="spellEnd"/>
      <w:r w:rsidRPr="00F31992">
        <w:rPr>
          <w:rStyle w:val="FootnoteTextChar"/>
        </w:rPr>
        <w:t xml:space="preserve"> JJ et al. Evaluation of oral budesonide in the treatment of active distal ulcerative colitis. </w:t>
      </w:r>
      <w:proofErr w:type="gramStart"/>
      <w:r w:rsidRPr="00F31992">
        <w:rPr>
          <w:rStyle w:val="FootnoteTextChar"/>
        </w:rPr>
        <w:t>Drugs Today (</w:t>
      </w:r>
      <w:proofErr w:type="spellStart"/>
      <w:r w:rsidRPr="00F31992">
        <w:rPr>
          <w:rStyle w:val="FootnoteTextChar"/>
        </w:rPr>
        <w:t>Barc</w:t>
      </w:r>
      <w:proofErr w:type="spellEnd"/>
      <w:r w:rsidRPr="00F31992">
        <w:rPr>
          <w:rStyle w:val="FootnoteTextChar"/>
        </w:rPr>
        <w:t>) 2004; 40: 589-601.</w:t>
      </w:r>
      <w:proofErr w:type="gramEnd"/>
    </w:p>
  </w:footnote>
  <w:footnote w:id="9">
    <w:p w14:paraId="00032007" w14:textId="77777777" w:rsidR="00A021C3" w:rsidRDefault="00A021C3">
      <w:pPr>
        <w:pStyle w:val="FootnoteText"/>
      </w:pPr>
      <w:r>
        <w:rPr>
          <w:rStyle w:val="FootnoteReference"/>
        </w:rPr>
        <w:footnoteRef/>
      </w:r>
      <w:r>
        <w:t xml:space="preserve"> </w:t>
      </w:r>
      <w:r w:rsidRPr="0050278E">
        <w:t xml:space="preserve">CHMP/EWP/18463/2006; </w:t>
      </w:r>
      <w:r w:rsidRPr="0050278E">
        <w:rPr>
          <w:bCs/>
        </w:rPr>
        <w:t>Guideline on the development of new medicinal products for the treatment of ulcerative colitis</w:t>
      </w:r>
    </w:p>
  </w:footnote>
  <w:footnote w:id="10">
    <w:p w14:paraId="12F057C8" w14:textId="77777777" w:rsidR="00A021C3" w:rsidRDefault="00A021C3">
      <w:pPr>
        <w:pStyle w:val="FootnoteText"/>
      </w:pPr>
      <w:r>
        <w:rPr>
          <w:rStyle w:val="FootnoteReference"/>
        </w:rPr>
        <w:footnoteRef/>
      </w:r>
      <w:r>
        <w:t xml:space="preserve"> </w:t>
      </w:r>
      <w:r w:rsidRPr="00291172">
        <w:t xml:space="preserve">Su C, </w:t>
      </w:r>
      <w:r>
        <w:t>et al</w:t>
      </w:r>
      <w:r w:rsidRPr="00291172">
        <w:t xml:space="preserve">. A meta-analysis of the placebo rates of remission and response in clinical trials of active ulcerative colitis. </w:t>
      </w:r>
      <w:proofErr w:type="gramStart"/>
      <w:r w:rsidRPr="00291172">
        <w:rPr>
          <w:i/>
        </w:rPr>
        <w:t>Gastroenterology</w:t>
      </w:r>
      <w:r w:rsidRPr="00291172">
        <w:t>.</w:t>
      </w:r>
      <w:proofErr w:type="gramEnd"/>
      <w:r w:rsidRPr="00291172">
        <w:t xml:space="preserve"> 2007</w:t>
      </w:r>
      <w:proofErr w:type="gramStart"/>
      <w:r>
        <w:t>;132</w:t>
      </w:r>
      <w:proofErr w:type="gramEnd"/>
      <w:r>
        <w:t xml:space="preserve"> </w:t>
      </w:r>
      <w:r w:rsidRPr="00291172">
        <w:t>:516-626.</w:t>
      </w:r>
    </w:p>
  </w:footnote>
  <w:footnote w:id="11">
    <w:p w14:paraId="088F06DC" w14:textId="4E7A0749" w:rsidR="00A021C3" w:rsidRDefault="00A021C3">
      <w:pPr>
        <w:pStyle w:val="FootnoteText"/>
      </w:pPr>
      <w:r>
        <w:rPr>
          <w:rStyle w:val="FootnoteReference"/>
        </w:rPr>
        <w:footnoteRef/>
      </w:r>
      <w:r>
        <w:t xml:space="preserve"> The sponsor provided a copy of Study CB-01-02/04 to the TGA.</w:t>
      </w:r>
    </w:p>
  </w:footnote>
  <w:footnote w:id="12">
    <w:p w14:paraId="29643FB8" w14:textId="77777777" w:rsidR="00A021C3" w:rsidRDefault="00A021C3" w:rsidP="00292310">
      <w:pPr>
        <w:pStyle w:val="FootnoteText"/>
      </w:pPr>
      <w:r>
        <w:rPr>
          <w:rStyle w:val="FootnoteReference"/>
        </w:rPr>
        <w:footnoteRef/>
      </w:r>
      <w:r>
        <w:t xml:space="preserve"> </w:t>
      </w:r>
      <w:proofErr w:type="spellStart"/>
      <w:proofErr w:type="gramStart"/>
      <w:r>
        <w:t>Saverymuttu</w:t>
      </w:r>
      <w:proofErr w:type="spellEnd"/>
      <w:r>
        <w:t xml:space="preserve"> SH et al. Indium 111-granulocyte </w:t>
      </w:r>
      <w:r w:rsidRPr="00292310">
        <w:t>scanning in the assessment of disease extent and disease activity i</w:t>
      </w:r>
      <w:r>
        <w:t>n inflammatory bowel disease.</w:t>
      </w:r>
      <w:proofErr w:type="gramEnd"/>
      <w:r>
        <w:t xml:space="preserve"> </w:t>
      </w:r>
      <w:proofErr w:type="gramStart"/>
      <w:r>
        <w:t xml:space="preserve">A </w:t>
      </w:r>
      <w:r w:rsidRPr="00292310">
        <w:t xml:space="preserve">comparison with colonoscopy, histology, and </w:t>
      </w:r>
      <w:proofErr w:type="spellStart"/>
      <w:r w:rsidRPr="00292310">
        <w:t>fecal</w:t>
      </w:r>
      <w:proofErr w:type="spellEnd"/>
      <w:r w:rsidRPr="00292310">
        <w:t xml:space="preserve"> indium 111-granulocy</w:t>
      </w:r>
      <w:r>
        <w:t>te excretion.</w:t>
      </w:r>
      <w:proofErr w:type="gramEnd"/>
      <w:r>
        <w:t xml:space="preserve"> </w:t>
      </w:r>
      <w:r w:rsidRPr="00292310">
        <w:rPr>
          <w:i/>
        </w:rPr>
        <w:t>Gastroenterology</w:t>
      </w:r>
      <w:r>
        <w:t>.</w:t>
      </w:r>
      <w:r w:rsidRPr="00292310">
        <w:t>1986</w:t>
      </w:r>
      <w:proofErr w:type="gramStart"/>
      <w:r w:rsidRPr="00292310">
        <w:t>;90:1121</w:t>
      </w:r>
      <w:proofErr w:type="gramEnd"/>
      <w:r w:rsidRPr="00292310">
        <w:t>-</w:t>
      </w:r>
      <w:r>
        <w:t>112</w:t>
      </w:r>
      <w:r w:rsidRPr="00292310">
        <w:t>8.</w:t>
      </w:r>
    </w:p>
  </w:footnote>
  <w:footnote w:id="13">
    <w:p w14:paraId="0C3055D3" w14:textId="4B69F319" w:rsidR="00A021C3" w:rsidRDefault="00A021C3">
      <w:pPr>
        <w:pStyle w:val="FootnoteText"/>
      </w:pPr>
      <w:r>
        <w:rPr>
          <w:rStyle w:val="FootnoteReference"/>
        </w:rPr>
        <w:footnoteRef/>
      </w:r>
      <w:r>
        <w:t xml:space="preserve"> </w:t>
      </w:r>
      <w:r w:rsidRPr="00291172">
        <w:t xml:space="preserve">Su C, </w:t>
      </w:r>
      <w:r>
        <w:t>et al</w:t>
      </w:r>
      <w:r w:rsidRPr="00291172">
        <w:t xml:space="preserve">. A meta-analysis of the placebo rates of remission and response in clinical trials of active ulcerative colitis. </w:t>
      </w:r>
      <w:proofErr w:type="gramStart"/>
      <w:r w:rsidRPr="00291172">
        <w:rPr>
          <w:i/>
        </w:rPr>
        <w:t>Gastroenterology</w:t>
      </w:r>
      <w:r w:rsidRPr="00291172">
        <w:t>.</w:t>
      </w:r>
      <w:proofErr w:type="gramEnd"/>
      <w:r w:rsidRPr="00291172">
        <w:t xml:space="preserve"> 2007</w:t>
      </w:r>
      <w:proofErr w:type="gramStart"/>
      <w:r>
        <w:t>;132</w:t>
      </w:r>
      <w:proofErr w:type="gramEnd"/>
      <w:r>
        <w:t xml:space="preserve"> </w:t>
      </w:r>
      <w:r w:rsidRPr="00291172">
        <w:t>:516-626</w:t>
      </w:r>
      <w:r>
        <w:t>.</w:t>
      </w:r>
    </w:p>
  </w:footnote>
  <w:footnote w:id="14">
    <w:p w14:paraId="102C9100" w14:textId="753F0CAF" w:rsidR="00A021C3" w:rsidRDefault="00A021C3">
      <w:pPr>
        <w:pStyle w:val="FootnoteText"/>
      </w:pPr>
      <w:r>
        <w:rPr>
          <w:rStyle w:val="FootnoteReference"/>
        </w:rPr>
        <w:footnoteRef/>
      </w:r>
      <w:r>
        <w:t xml:space="preserve"> </w:t>
      </w:r>
      <w:proofErr w:type="gramStart"/>
      <w:r w:rsidRPr="00291172">
        <w:t xml:space="preserve">Brunner </w:t>
      </w:r>
      <w:r w:rsidRPr="00980C76">
        <w:t>M</w:t>
      </w:r>
      <w:r w:rsidRPr="00291172">
        <w:t xml:space="preserve"> et al. Gastrointestinal transit, release and plasma pharmacokinetics of a new oral budesonide formulation.</w:t>
      </w:r>
      <w:proofErr w:type="gramEnd"/>
      <w:r w:rsidRPr="00291172">
        <w:t xml:space="preserve"> </w:t>
      </w:r>
      <w:proofErr w:type="gramStart"/>
      <w:r w:rsidRPr="00291172">
        <w:rPr>
          <w:i/>
        </w:rPr>
        <w:t xml:space="preserve">Br J </w:t>
      </w:r>
      <w:proofErr w:type="spellStart"/>
      <w:r w:rsidRPr="00291172">
        <w:rPr>
          <w:i/>
        </w:rPr>
        <w:t>Clin</w:t>
      </w:r>
      <w:proofErr w:type="spellEnd"/>
      <w:r w:rsidRPr="00291172">
        <w:rPr>
          <w:i/>
        </w:rPr>
        <w:t xml:space="preserve"> </w:t>
      </w:r>
      <w:proofErr w:type="spellStart"/>
      <w:r w:rsidRPr="00291172">
        <w:rPr>
          <w:i/>
        </w:rPr>
        <w:t>Pharmacol</w:t>
      </w:r>
      <w:proofErr w:type="spellEnd"/>
      <w:r w:rsidRPr="00291172">
        <w:t>.</w:t>
      </w:r>
      <w:proofErr w:type="gramEnd"/>
      <w:r w:rsidRPr="00291172">
        <w:t xml:space="preserve"> </w:t>
      </w:r>
      <w:r>
        <w:t>2006</w:t>
      </w:r>
      <w:proofErr w:type="gramStart"/>
      <w:r>
        <w:t>;61</w:t>
      </w:r>
      <w:r w:rsidRPr="00291172">
        <w:t>:31</w:t>
      </w:r>
      <w:proofErr w:type="gramEnd"/>
      <w:r w:rsidRPr="00291172">
        <w:t>-</w:t>
      </w:r>
      <w:r>
        <w:t>3</w:t>
      </w:r>
      <w:r w:rsidRPr="00291172">
        <w:t>8</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E6441" w14:textId="77777777" w:rsidR="00A021C3" w:rsidRDefault="00A021C3"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AA89C" w14:textId="77777777" w:rsidR="00A021C3" w:rsidRDefault="00A021C3">
    <w:pPr>
      <w:rPr>
        <w:noProof/>
        <w:lang w:eastAsia="en-AU"/>
      </w:rPr>
    </w:pPr>
    <w:r w:rsidRPr="00347824">
      <w:rPr>
        <w:noProof/>
        <w:lang w:eastAsia="en-AU"/>
      </w:rPr>
      <w:drawing>
        <wp:anchor distT="0" distB="0" distL="114300" distR="114300" simplePos="0" relativeHeight="251659264" behindDoc="1" locked="0" layoutInCell="1" allowOverlap="1" wp14:anchorId="4F0D5B3F" wp14:editId="4E725A1A">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33633ED7" w14:textId="77777777" w:rsidR="00A021C3" w:rsidRDefault="00A021C3" w:rsidP="00593AD1">
    <w:pPr>
      <w:pStyle w:val="HeaderNoLine"/>
    </w:pPr>
    <w:r>
      <w:rPr>
        <w:noProof/>
        <w:lang w:eastAsia="en-AU"/>
      </w:rPr>
      <w:drawing>
        <wp:inline distT="0" distB="0" distL="0" distR="0" wp14:anchorId="13F76599" wp14:editId="1501635F">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13817" w14:textId="77777777" w:rsidR="00A021C3" w:rsidRDefault="00A021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72312" w14:textId="77777777" w:rsidR="00A021C3" w:rsidRDefault="00A021C3">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3DC0" w14:textId="77777777" w:rsidR="00A021C3" w:rsidRDefault="00A021C3">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724B0" w14:textId="77777777" w:rsidR="00A021C3" w:rsidRDefault="00A021C3">
    <w:pPr>
      <w:pStyle w:val="Header"/>
    </w:pPr>
  </w:p>
  <w:p w14:paraId="02441F2A" w14:textId="77777777" w:rsidR="00A021C3" w:rsidRDefault="00A021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E8A9" w14:textId="77777777" w:rsidR="00A021C3" w:rsidRDefault="00A021C3" w:rsidP="004C239D">
    <w:pPr>
      <w:pStyle w:val="HeaderNoLine"/>
    </w:pPr>
  </w:p>
  <w:p w14:paraId="637B9201" w14:textId="77777777" w:rsidR="00A021C3" w:rsidRDefault="00A021C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6228B" w14:textId="77777777" w:rsidR="00A021C3" w:rsidRDefault="00A021C3" w:rsidP="006E08B3">
    <w:r>
      <w:t>Therapeutic Goods Administration</w:t>
    </w:r>
  </w:p>
  <w:p w14:paraId="6CB82900" w14:textId="77777777" w:rsidR="00A021C3" w:rsidRDefault="00A021C3" w:rsidP="006D03E5"/>
  <w:p w14:paraId="26C7D7AA" w14:textId="77777777" w:rsidR="00A021C3" w:rsidRDefault="00A021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153"/>
    <w:multiLevelType w:val="hybridMultilevel"/>
    <w:tmpl w:val="77161D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0916B8"/>
    <w:multiLevelType w:val="hybridMultilevel"/>
    <w:tmpl w:val="C36C94A8"/>
    <w:lvl w:ilvl="0" w:tplc="9CD65A7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35E3352"/>
    <w:multiLevelType w:val="hybridMultilevel"/>
    <w:tmpl w:val="36F8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D7E2661"/>
    <w:multiLevelType w:val="hybridMultilevel"/>
    <w:tmpl w:val="05AA8E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214B73B7"/>
    <w:multiLevelType w:val="hybridMultilevel"/>
    <w:tmpl w:val="2062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051B25"/>
    <w:multiLevelType w:val="hybridMultilevel"/>
    <w:tmpl w:val="0CD20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43A7278"/>
    <w:multiLevelType w:val="hybridMultilevel"/>
    <w:tmpl w:val="7A86E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571D8E"/>
    <w:multiLevelType w:val="hybridMultilevel"/>
    <w:tmpl w:val="EE96A004"/>
    <w:lvl w:ilvl="0" w:tplc="931AB31C">
      <w:start w:val="1"/>
      <w:numFmt w:val="bullet"/>
      <w:lvlText w:val="-"/>
      <w:lvlJc w:val="left"/>
      <w:pPr>
        <w:ind w:left="720" w:hanging="360"/>
      </w:pPr>
      <w:rPr>
        <w:rFonts w:ascii="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6174DC"/>
    <w:multiLevelType w:val="hybridMultilevel"/>
    <w:tmpl w:val="D01EBC9C"/>
    <w:lvl w:ilvl="0" w:tplc="931AB31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4C13002"/>
    <w:multiLevelType w:val="hybridMultilevel"/>
    <w:tmpl w:val="D8943A02"/>
    <w:lvl w:ilvl="0" w:tplc="931AB31C">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FD4147D"/>
    <w:multiLevelType w:val="hybridMultilevel"/>
    <w:tmpl w:val="743E0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43B6F1B"/>
    <w:multiLevelType w:val="hybridMultilevel"/>
    <w:tmpl w:val="028616A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EB0CB34E">
      <w:start w:val="1"/>
      <w:numFmt w:val="bullet"/>
      <w:lvlText w:val="•"/>
      <w:lvlJc w:val="left"/>
      <w:pPr>
        <w:ind w:left="2880" w:hanging="360"/>
      </w:pPr>
      <w:rPr>
        <w:rFonts w:ascii="Cambria" w:eastAsia="MS Mincho" w:hAnsi="Cambria" w:cs="Times New Roman"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0B1B75"/>
    <w:multiLevelType w:val="multilevel"/>
    <w:tmpl w:val="D3FAAF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5"/>
        </w:tabs>
        <w:ind w:left="1135" w:hanging="1022"/>
      </w:pPr>
      <w:rPr>
        <w:rFonts w:hint="default"/>
      </w:rPr>
    </w:lvl>
    <w:lvl w:ilvl="2">
      <w:start w:val="1"/>
      <w:numFmt w:val="decimal"/>
      <w:lvlText w:val="%1.%2.%3."/>
      <w:lvlJc w:val="left"/>
      <w:pPr>
        <w:tabs>
          <w:tab w:val="num" w:pos="1134"/>
        </w:tabs>
        <w:ind w:left="1134" w:hanging="964"/>
      </w:pPr>
      <w:rPr>
        <w:rFonts w:hint="default"/>
      </w:rPr>
    </w:lvl>
    <w:lvl w:ilvl="3">
      <w:start w:val="1"/>
      <w:numFmt w:val="decimal"/>
      <w:lvlText w:val="%1.%2.%3.%4."/>
      <w:lvlJc w:val="left"/>
      <w:pPr>
        <w:tabs>
          <w:tab w:val="num" w:pos="1418"/>
        </w:tabs>
        <w:ind w:left="1418" w:hanging="1191"/>
      </w:pPr>
      <w:rPr>
        <w:rFonts w:hint="default"/>
      </w:rPr>
    </w:lvl>
    <w:lvl w:ilvl="4">
      <w:start w:val="1"/>
      <w:numFmt w:val="decimal"/>
      <w:lvlText w:val="%1.%2.%3.%4.%5."/>
      <w:lvlJc w:val="left"/>
      <w:pPr>
        <w:tabs>
          <w:tab w:val="num" w:pos="1701"/>
        </w:tabs>
        <w:ind w:left="1701" w:hanging="1417"/>
      </w:pPr>
      <w:rPr>
        <w:rFonts w:hint="default"/>
      </w:rPr>
    </w:lvl>
    <w:lvl w:ilvl="5">
      <w:start w:val="1"/>
      <w:numFmt w:val="decimal"/>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8">
    <w:nsid w:val="6E464A52"/>
    <w:multiLevelType w:val="hybridMultilevel"/>
    <w:tmpl w:val="C2D88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D161AC1"/>
    <w:multiLevelType w:val="hybridMultilevel"/>
    <w:tmpl w:val="4E8A7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FF3642E"/>
    <w:multiLevelType w:val="hybridMultilevel"/>
    <w:tmpl w:val="070248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4"/>
  </w:num>
  <w:num w:numId="4">
    <w:abstractNumId w:val="2"/>
  </w:num>
  <w:num w:numId="5">
    <w:abstractNumId w:val="3"/>
  </w:num>
  <w:num w:numId="6">
    <w:abstractNumId w:val="19"/>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1"/>
  </w:num>
  <w:num w:numId="11">
    <w:abstractNumId w:val="20"/>
  </w:num>
  <w:num w:numId="12">
    <w:abstractNumId w:val="17"/>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0"/>
  </w:num>
  <w:num w:numId="20">
    <w:abstractNumId w:val="14"/>
  </w:num>
  <w:num w:numId="21">
    <w:abstractNumId w:val="9"/>
  </w:num>
  <w:num w:numId="22">
    <w:abstractNumId w:val="1"/>
  </w:num>
  <w:num w:numId="23">
    <w:abstractNumId w:val="5"/>
  </w:num>
  <w:num w:numId="24">
    <w:abstractNumId w:val="18"/>
  </w:num>
  <w:num w:numId="25">
    <w:abstractNumId w:val="7"/>
  </w:num>
  <w:num w:numId="26">
    <w:abstractNumId w:val="8"/>
  </w:num>
  <w:num w:numId="27">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a Bozzella">
    <w15:presenceInfo w15:providerId="AD" w15:userId="S-1-5-21-2520512674-1331052873-1889001270-1179"/>
  </w15:person>
  <w15:person w15:author="Alessandro Mazzetti">
    <w15:presenceInfo w15:providerId="AD" w15:userId="S-1-5-21-2520512674-1331052873-1889001270-6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6D"/>
    <w:rsid w:val="00002031"/>
    <w:rsid w:val="00004734"/>
    <w:rsid w:val="0000594F"/>
    <w:rsid w:val="00006B22"/>
    <w:rsid w:val="0001276A"/>
    <w:rsid w:val="0001394E"/>
    <w:rsid w:val="000246AE"/>
    <w:rsid w:val="00025154"/>
    <w:rsid w:val="00025C67"/>
    <w:rsid w:val="00026A14"/>
    <w:rsid w:val="0004029F"/>
    <w:rsid w:val="000413B5"/>
    <w:rsid w:val="00042C07"/>
    <w:rsid w:val="00044772"/>
    <w:rsid w:val="00051557"/>
    <w:rsid w:val="0005559E"/>
    <w:rsid w:val="000604D6"/>
    <w:rsid w:val="00067049"/>
    <w:rsid w:val="000707EB"/>
    <w:rsid w:val="00071587"/>
    <w:rsid w:val="000734D8"/>
    <w:rsid w:val="00075A17"/>
    <w:rsid w:val="00077775"/>
    <w:rsid w:val="000858B4"/>
    <w:rsid w:val="00090471"/>
    <w:rsid w:val="00094248"/>
    <w:rsid w:val="00096AA7"/>
    <w:rsid w:val="000976D3"/>
    <w:rsid w:val="000A19EC"/>
    <w:rsid w:val="000A3AED"/>
    <w:rsid w:val="000B1890"/>
    <w:rsid w:val="000B3532"/>
    <w:rsid w:val="000B3A75"/>
    <w:rsid w:val="000C00C2"/>
    <w:rsid w:val="000C4DF6"/>
    <w:rsid w:val="000C690F"/>
    <w:rsid w:val="000C7DCF"/>
    <w:rsid w:val="000C7F12"/>
    <w:rsid w:val="000D1295"/>
    <w:rsid w:val="000D391B"/>
    <w:rsid w:val="000D3D6D"/>
    <w:rsid w:val="000D4FC7"/>
    <w:rsid w:val="000D7501"/>
    <w:rsid w:val="000E3886"/>
    <w:rsid w:val="000E6196"/>
    <w:rsid w:val="000F3CDC"/>
    <w:rsid w:val="000F4869"/>
    <w:rsid w:val="000F5B42"/>
    <w:rsid w:val="000F6E6F"/>
    <w:rsid w:val="0010601F"/>
    <w:rsid w:val="001065A4"/>
    <w:rsid w:val="0010788A"/>
    <w:rsid w:val="00107A31"/>
    <w:rsid w:val="001103C7"/>
    <w:rsid w:val="00110964"/>
    <w:rsid w:val="00110EA5"/>
    <w:rsid w:val="00111260"/>
    <w:rsid w:val="00112F56"/>
    <w:rsid w:val="00125318"/>
    <w:rsid w:val="00126152"/>
    <w:rsid w:val="001305A2"/>
    <w:rsid w:val="00133238"/>
    <w:rsid w:val="001368AA"/>
    <w:rsid w:val="001373A1"/>
    <w:rsid w:val="0014197B"/>
    <w:rsid w:val="00142F4B"/>
    <w:rsid w:val="001447CD"/>
    <w:rsid w:val="00150E68"/>
    <w:rsid w:val="001516B1"/>
    <w:rsid w:val="00154EBB"/>
    <w:rsid w:val="00156316"/>
    <w:rsid w:val="00160E79"/>
    <w:rsid w:val="00162D14"/>
    <w:rsid w:val="00164BF0"/>
    <w:rsid w:val="00165389"/>
    <w:rsid w:val="001654BA"/>
    <w:rsid w:val="00170494"/>
    <w:rsid w:val="00174520"/>
    <w:rsid w:val="0017693F"/>
    <w:rsid w:val="001809C9"/>
    <w:rsid w:val="0018110E"/>
    <w:rsid w:val="00181684"/>
    <w:rsid w:val="001843C6"/>
    <w:rsid w:val="001850E0"/>
    <w:rsid w:val="00196BE1"/>
    <w:rsid w:val="001A2158"/>
    <w:rsid w:val="001A4482"/>
    <w:rsid w:val="001A525F"/>
    <w:rsid w:val="001B09F9"/>
    <w:rsid w:val="001B5C90"/>
    <w:rsid w:val="001B5F0E"/>
    <w:rsid w:val="001B6448"/>
    <w:rsid w:val="001C32CD"/>
    <w:rsid w:val="001C7291"/>
    <w:rsid w:val="001C7C27"/>
    <w:rsid w:val="001D2984"/>
    <w:rsid w:val="001E07CF"/>
    <w:rsid w:val="001E59F1"/>
    <w:rsid w:val="001E6EC7"/>
    <w:rsid w:val="001F17EE"/>
    <w:rsid w:val="001F49EB"/>
    <w:rsid w:val="001F6CBA"/>
    <w:rsid w:val="001F72FB"/>
    <w:rsid w:val="00201D4E"/>
    <w:rsid w:val="002076C9"/>
    <w:rsid w:val="002108E2"/>
    <w:rsid w:val="00214EA6"/>
    <w:rsid w:val="00220B8A"/>
    <w:rsid w:val="0022496A"/>
    <w:rsid w:val="002257F3"/>
    <w:rsid w:val="00227EF5"/>
    <w:rsid w:val="00230410"/>
    <w:rsid w:val="00233456"/>
    <w:rsid w:val="002339A5"/>
    <w:rsid w:val="002340F6"/>
    <w:rsid w:val="00236E52"/>
    <w:rsid w:val="00251851"/>
    <w:rsid w:val="002560C0"/>
    <w:rsid w:val="002575E7"/>
    <w:rsid w:val="00257848"/>
    <w:rsid w:val="00260F10"/>
    <w:rsid w:val="00261EBE"/>
    <w:rsid w:val="00264CEC"/>
    <w:rsid w:val="0027069D"/>
    <w:rsid w:val="0027084A"/>
    <w:rsid w:val="00271024"/>
    <w:rsid w:val="00286434"/>
    <w:rsid w:val="00286C59"/>
    <w:rsid w:val="00287EEB"/>
    <w:rsid w:val="00291172"/>
    <w:rsid w:val="00291957"/>
    <w:rsid w:val="00292310"/>
    <w:rsid w:val="002942D1"/>
    <w:rsid w:val="002942DB"/>
    <w:rsid w:val="0029501A"/>
    <w:rsid w:val="002968BA"/>
    <w:rsid w:val="002A3721"/>
    <w:rsid w:val="002B049F"/>
    <w:rsid w:val="002B1638"/>
    <w:rsid w:val="002B3624"/>
    <w:rsid w:val="002B604B"/>
    <w:rsid w:val="002E40B3"/>
    <w:rsid w:val="002E4C9A"/>
    <w:rsid w:val="002E5D0F"/>
    <w:rsid w:val="002F0AA4"/>
    <w:rsid w:val="002F11F8"/>
    <w:rsid w:val="002F3F56"/>
    <w:rsid w:val="002F44B5"/>
    <w:rsid w:val="002F6D3F"/>
    <w:rsid w:val="00301EA0"/>
    <w:rsid w:val="00311AC0"/>
    <w:rsid w:val="003221EB"/>
    <w:rsid w:val="003225D1"/>
    <w:rsid w:val="0032583B"/>
    <w:rsid w:val="00327883"/>
    <w:rsid w:val="00335504"/>
    <w:rsid w:val="00335FA3"/>
    <w:rsid w:val="0034037B"/>
    <w:rsid w:val="003408E2"/>
    <w:rsid w:val="0034113F"/>
    <w:rsid w:val="00347824"/>
    <w:rsid w:val="00350567"/>
    <w:rsid w:val="003521E8"/>
    <w:rsid w:val="00352666"/>
    <w:rsid w:val="00353E79"/>
    <w:rsid w:val="003565CA"/>
    <w:rsid w:val="003728F3"/>
    <w:rsid w:val="0037496E"/>
    <w:rsid w:val="003814EA"/>
    <w:rsid w:val="00383221"/>
    <w:rsid w:val="00386150"/>
    <w:rsid w:val="003874CE"/>
    <w:rsid w:val="00390900"/>
    <w:rsid w:val="003938EF"/>
    <w:rsid w:val="003A7F6C"/>
    <w:rsid w:val="003B160B"/>
    <w:rsid w:val="003B2291"/>
    <w:rsid w:val="003B4D60"/>
    <w:rsid w:val="003B7E39"/>
    <w:rsid w:val="003C55CE"/>
    <w:rsid w:val="003C58DC"/>
    <w:rsid w:val="003C691A"/>
    <w:rsid w:val="003D1E62"/>
    <w:rsid w:val="003D67B4"/>
    <w:rsid w:val="003E0B99"/>
    <w:rsid w:val="003E1BB1"/>
    <w:rsid w:val="003E2486"/>
    <w:rsid w:val="003E3208"/>
    <w:rsid w:val="003E602C"/>
    <w:rsid w:val="003E7621"/>
    <w:rsid w:val="003F0B04"/>
    <w:rsid w:val="003F41EA"/>
    <w:rsid w:val="003F568D"/>
    <w:rsid w:val="0040134E"/>
    <w:rsid w:val="00401F64"/>
    <w:rsid w:val="00412825"/>
    <w:rsid w:val="00414B0E"/>
    <w:rsid w:val="004215C2"/>
    <w:rsid w:val="004334C7"/>
    <w:rsid w:val="00440A2D"/>
    <w:rsid w:val="0044317A"/>
    <w:rsid w:val="004564A7"/>
    <w:rsid w:val="00456D4D"/>
    <w:rsid w:val="004617BF"/>
    <w:rsid w:val="00463658"/>
    <w:rsid w:val="004637A0"/>
    <w:rsid w:val="004722CC"/>
    <w:rsid w:val="00477ED4"/>
    <w:rsid w:val="004936E4"/>
    <w:rsid w:val="004943DA"/>
    <w:rsid w:val="00494E60"/>
    <w:rsid w:val="00497487"/>
    <w:rsid w:val="004A6CD4"/>
    <w:rsid w:val="004A7390"/>
    <w:rsid w:val="004A7AD4"/>
    <w:rsid w:val="004B206B"/>
    <w:rsid w:val="004B4BE3"/>
    <w:rsid w:val="004B5F35"/>
    <w:rsid w:val="004B7B76"/>
    <w:rsid w:val="004C239D"/>
    <w:rsid w:val="004C2DCA"/>
    <w:rsid w:val="004C61D2"/>
    <w:rsid w:val="004E0A3D"/>
    <w:rsid w:val="004E4632"/>
    <w:rsid w:val="004F0C4A"/>
    <w:rsid w:val="004F0F38"/>
    <w:rsid w:val="004F1638"/>
    <w:rsid w:val="004F44F1"/>
    <w:rsid w:val="004F47D6"/>
    <w:rsid w:val="004F55AC"/>
    <w:rsid w:val="004F6530"/>
    <w:rsid w:val="004F6868"/>
    <w:rsid w:val="00501921"/>
    <w:rsid w:val="0050278E"/>
    <w:rsid w:val="00504E34"/>
    <w:rsid w:val="00507E5B"/>
    <w:rsid w:val="00515C25"/>
    <w:rsid w:val="00521319"/>
    <w:rsid w:val="005227F3"/>
    <w:rsid w:val="00525ED7"/>
    <w:rsid w:val="00530354"/>
    <w:rsid w:val="0053625B"/>
    <w:rsid w:val="005434C6"/>
    <w:rsid w:val="00543B39"/>
    <w:rsid w:val="00546154"/>
    <w:rsid w:val="00550096"/>
    <w:rsid w:val="00555280"/>
    <w:rsid w:val="00557FF9"/>
    <w:rsid w:val="00563A64"/>
    <w:rsid w:val="0056553B"/>
    <w:rsid w:val="00565E83"/>
    <w:rsid w:val="00567F16"/>
    <w:rsid w:val="005711D5"/>
    <w:rsid w:val="00574D62"/>
    <w:rsid w:val="00576378"/>
    <w:rsid w:val="00577130"/>
    <w:rsid w:val="00577945"/>
    <w:rsid w:val="00577E38"/>
    <w:rsid w:val="00585322"/>
    <w:rsid w:val="005857C6"/>
    <w:rsid w:val="00590670"/>
    <w:rsid w:val="00592F6E"/>
    <w:rsid w:val="00593AD1"/>
    <w:rsid w:val="00594CFB"/>
    <w:rsid w:val="005A259E"/>
    <w:rsid w:val="005A6156"/>
    <w:rsid w:val="005A68B6"/>
    <w:rsid w:val="005C1CAB"/>
    <w:rsid w:val="005C5570"/>
    <w:rsid w:val="005C79A4"/>
    <w:rsid w:val="005D320C"/>
    <w:rsid w:val="005D5442"/>
    <w:rsid w:val="005E1482"/>
    <w:rsid w:val="005E20AC"/>
    <w:rsid w:val="005E2628"/>
    <w:rsid w:val="005F17B8"/>
    <w:rsid w:val="005F6484"/>
    <w:rsid w:val="005F64F0"/>
    <w:rsid w:val="0060086A"/>
    <w:rsid w:val="00601EF9"/>
    <w:rsid w:val="00603F32"/>
    <w:rsid w:val="00605AD4"/>
    <w:rsid w:val="00614728"/>
    <w:rsid w:val="006170EC"/>
    <w:rsid w:val="00622360"/>
    <w:rsid w:val="006223B4"/>
    <w:rsid w:val="0062338C"/>
    <w:rsid w:val="00625A6E"/>
    <w:rsid w:val="00627C71"/>
    <w:rsid w:val="00632398"/>
    <w:rsid w:val="00634EC4"/>
    <w:rsid w:val="00640FC3"/>
    <w:rsid w:val="00641798"/>
    <w:rsid w:val="00641DE8"/>
    <w:rsid w:val="00642020"/>
    <w:rsid w:val="006462DA"/>
    <w:rsid w:val="0065085C"/>
    <w:rsid w:val="0065337B"/>
    <w:rsid w:val="0065419D"/>
    <w:rsid w:val="00656052"/>
    <w:rsid w:val="006604D8"/>
    <w:rsid w:val="0066274E"/>
    <w:rsid w:val="00664A5B"/>
    <w:rsid w:val="0066735C"/>
    <w:rsid w:val="0066761B"/>
    <w:rsid w:val="006707F4"/>
    <w:rsid w:val="00671346"/>
    <w:rsid w:val="006763D2"/>
    <w:rsid w:val="00680C08"/>
    <w:rsid w:val="006931B1"/>
    <w:rsid w:val="00694899"/>
    <w:rsid w:val="00694C79"/>
    <w:rsid w:val="006A15C0"/>
    <w:rsid w:val="006A5F3B"/>
    <w:rsid w:val="006A7CF3"/>
    <w:rsid w:val="006B00B1"/>
    <w:rsid w:val="006C3E2A"/>
    <w:rsid w:val="006C5116"/>
    <w:rsid w:val="006C54C2"/>
    <w:rsid w:val="006C642F"/>
    <w:rsid w:val="006C6BD5"/>
    <w:rsid w:val="006C6DA0"/>
    <w:rsid w:val="006D03E5"/>
    <w:rsid w:val="006D396F"/>
    <w:rsid w:val="006D5D3E"/>
    <w:rsid w:val="006E015D"/>
    <w:rsid w:val="006E08B3"/>
    <w:rsid w:val="006F0B7F"/>
    <w:rsid w:val="006F17AC"/>
    <w:rsid w:val="006F25B8"/>
    <w:rsid w:val="006F572E"/>
    <w:rsid w:val="006F7D83"/>
    <w:rsid w:val="00703022"/>
    <w:rsid w:val="007046D6"/>
    <w:rsid w:val="00704CBF"/>
    <w:rsid w:val="00705DB0"/>
    <w:rsid w:val="0070732A"/>
    <w:rsid w:val="00722B57"/>
    <w:rsid w:val="00724F4D"/>
    <w:rsid w:val="00730F8A"/>
    <w:rsid w:val="00735A8C"/>
    <w:rsid w:val="0074253D"/>
    <w:rsid w:val="0074429B"/>
    <w:rsid w:val="00753C55"/>
    <w:rsid w:val="007615BC"/>
    <w:rsid w:val="00762F05"/>
    <w:rsid w:val="007652FF"/>
    <w:rsid w:val="00770EF1"/>
    <w:rsid w:val="00773EF7"/>
    <w:rsid w:val="00774A12"/>
    <w:rsid w:val="00774E1D"/>
    <w:rsid w:val="007765D8"/>
    <w:rsid w:val="0077675A"/>
    <w:rsid w:val="00780355"/>
    <w:rsid w:val="007819FD"/>
    <w:rsid w:val="007826A7"/>
    <w:rsid w:val="0078543C"/>
    <w:rsid w:val="00785721"/>
    <w:rsid w:val="00786086"/>
    <w:rsid w:val="00793A59"/>
    <w:rsid w:val="007A2EF1"/>
    <w:rsid w:val="007A766F"/>
    <w:rsid w:val="007B27D8"/>
    <w:rsid w:val="007B2A0D"/>
    <w:rsid w:val="007B6132"/>
    <w:rsid w:val="007B6E0D"/>
    <w:rsid w:val="007B6E9F"/>
    <w:rsid w:val="007B7D12"/>
    <w:rsid w:val="007C1216"/>
    <w:rsid w:val="007C1AF7"/>
    <w:rsid w:val="007E0E32"/>
    <w:rsid w:val="007E216E"/>
    <w:rsid w:val="007E54C8"/>
    <w:rsid w:val="007E79F4"/>
    <w:rsid w:val="007F0293"/>
    <w:rsid w:val="007F49C6"/>
    <w:rsid w:val="0080278D"/>
    <w:rsid w:val="00805D27"/>
    <w:rsid w:val="00820B1D"/>
    <w:rsid w:val="00821776"/>
    <w:rsid w:val="00824829"/>
    <w:rsid w:val="00826812"/>
    <w:rsid w:val="00826D8B"/>
    <w:rsid w:val="0082753E"/>
    <w:rsid w:val="008321F5"/>
    <w:rsid w:val="00832369"/>
    <w:rsid w:val="00833EF6"/>
    <w:rsid w:val="00834660"/>
    <w:rsid w:val="00836BC2"/>
    <w:rsid w:val="00836F9D"/>
    <w:rsid w:val="00845F42"/>
    <w:rsid w:val="0085156D"/>
    <w:rsid w:val="0085327C"/>
    <w:rsid w:val="00855D85"/>
    <w:rsid w:val="0085641B"/>
    <w:rsid w:val="00857136"/>
    <w:rsid w:val="00867E1F"/>
    <w:rsid w:val="00870137"/>
    <w:rsid w:val="00874135"/>
    <w:rsid w:val="00880E68"/>
    <w:rsid w:val="00885849"/>
    <w:rsid w:val="00885B11"/>
    <w:rsid w:val="00886D15"/>
    <w:rsid w:val="00887DD8"/>
    <w:rsid w:val="00891BA9"/>
    <w:rsid w:val="00896018"/>
    <w:rsid w:val="008960DD"/>
    <w:rsid w:val="0089635C"/>
    <w:rsid w:val="008A2B9D"/>
    <w:rsid w:val="008A3D9F"/>
    <w:rsid w:val="008A5E0B"/>
    <w:rsid w:val="008A6D59"/>
    <w:rsid w:val="008A7566"/>
    <w:rsid w:val="008B33FD"/>
    <w:rsid w:val="008B4B03"/>
    <w:rsid w:val="008B596F"/>
    <w:rsid w:val="008B763A"/>
    <w:rsid w:val="008C159F"/>
    <w:rsid w:val="008C1623"/>
    <w:rsid w:val="008C1850"/>
    <w:rsid w:val="008C1E30"/>
    <w:rsid w:val="008C51A9"/>
    <w:rsid w:val="008D0F24"/>
    <w:rsid w:val="008E01AD"/>
    <w:rsid w:val="008E0219"/>
    <w:rsid w:val="008E7846"/>
    <w:rsid w:val="008F02E5"/>
    <w:rsid w:val="008F1CCC"/>
    <w:rsid w:val="008F2967"/>
    <w:rsid w:val="008F6943"/>
    <w:rsid w:val="00902A21"/>
    <w:rsid w:val="00907F8E"/>
    <w:rsid w:val="009138A7"/>
    <w:rsid w:val="00920330"/>
    <w:rsid w:val="009219D7"/>
    <w:rsid w:val="00921D98"/>
    <w:rsid w:val="00922D53"/>
    <w:rsid w:val="00923B70"/>
    <w:rsid w:val="00924482"/>
    <w:rsid w:val="00924DAB"/>
    <w:rsid w:val="00930237"/>
    <w:rsid w:val="0093309A"/>
    <w:rsid w:val="00936E62"/>
    <w:rsid w:val="0094092F"/>
    <w:rsid w:val="00940A89"/>
    <w:rsid w:val="009415DF"/>
    <w:rsid w:val="009421AB"/>
    <w:rsid w:val="00943437"/>
    <w:rsid w:val="00946EA5"/>
    <w:rsid w:val="009576DD"/>
    <w:rsid w:val="00963C08"/>
    <w:rsid w:val="00964B60"/>
    <w:rsid w:val="0096779C"/>
    <w:rsid w:val="00980C76"/>
    <w:rsid w:val="00985015"/>
    <w:rsid w:val="0098585A"/>
    <w:rsid w:val="009937C7"/>
    <w:rsid w:val="00996F31"/>
    <w:rsid w:val="009A4CED"/>
    <w:rsid w:val="009A690D"/>
    <w:rsid w:val="009B1AFF"/>
    <w:rsid w:val="009B1D12"/>
    <w:rsid w:val="009B35E6"/>
    <w:rsid w:val="009B416B"/>
    <w:rsid w:val="009B6EDC"/>
    <w:rsid w:val="009C4AE7"/>
    <w:rsid w:val="009C4BD5"/>
    <w:rsid w:val="009C5681"/>
    <w:rsid w:val="009C7781"/>
    <w:rsid w:val="009D730B"/>
    <w:rsid w:val="009D7B77"/>
    <w:rsid w:val="009E0BB0"/>
    <w:rsid w:val="009E3788"/>
    <w:rsid w:val="009E3FBB"/>
    <w:rsid w:val="00A003E2"/>
    <w:rsid w:val="00A021C3"/>
    <w:rsid w:val="00A04F85"/>
    <w:rsid w:val="00A05FA4"/>
    <w:rsid w:val="00A102E4"/>
    <w:rsid w:val="00A1232F"/>
    <w:rsid w:val="00A12949"/>
    <w:rsid w:val="00A12C42"/>
    <w:rsid w:val="00A14DF7"/>
    <w:rsid w:val="00A24B71"/>
    <w:rsid w:val="00A3246D"/>
    <w:rsid w:val="00A35AE6"/>
    <w:rsid w:val="00A36FA7"/>
    <w:rsid w:val="00A44DDB"/>
    <w:rsid w:val="00A475B7"/>
    <w:rsid w:val="00A47AF7"/>
    <w:rsid w:val="00A47C3E"/>
    <w:rsid w:val="00A50226"/>
    <w:rsid w:val="00A60BAD"/>
    <w:rsid w:val="00A74D76"/>
    <w:rsid w:val="00A77062"/>
    <w:rsid w:val="00A80B5B"/>
    <w:rsid w:val="00A84E36"/>
    <w:rsid w:val="00A850DC"/>
    <w:rsid w:val="00A964D1"/>
    <w:rsid w:val="00A9654A"/>
    <w:rsid w:val="00AA0ED0"/>
    <w:rsid w:val="00AB20EB"/>
    <w:rsid w:val="00AB4920"/>
    <w:rsid w:val="00AC0185"/>
    <w:rsid w:val="00AC2B40"/>
    <w:rsid w:val="00AC2BB2"/>
    <w:rsid w:val="00AC2C3C"/>
    <w:rsid w:val="00AC372E"/>
    <w:rsid w:val="00AC512D"/>
    <w:rsid w:val="00AD0083"/>
    <w:rsid w:val="00AD097D"/>
    <w:rsid w:val="00AD3935"/>
    <w:rsid w:val="00AE578F"/>
    <w:rsid w:val="00AE65EB"/>
    <w:rsid w:val="00AE67A7"/>
    <w:rsid w:val="00AF1D94"/>
    <w:rsid w:val="00AF60C5"/>
    <w:rsid w:val="00B009C6"/>
    <w:rsid w:val="00B00F45"/>
    <w:rsid w:val="00B01548"/>
    <w:rsid w:val="00B03719"/>
    <w:rsid w:val="00B03B61"/>
    <w:rsid w:val="00B13EBD"/>
    <w:rsid w:val="00B20130"/>
    <w:rsid w:val="00B21D29"/>
    <w:rsid w:val="00B25034"/>
    <w:rsid w:val="00B33588"/>
    <w:rsid w:val="00B33863"/>
    <w:rsid w:val="00B3460C"/>
    <w:rsid w:val="00B36779"/>
    <w:rsid w:val="00B37D17"/>
    <w:rsid w:val="00B4175E"/>
    <w:rsid w:val="00B43224"/>
    <w:rsid w:val="00B452CE"/>
    <w:rsid w:val="00B5374C"/>
    <w:rsid w:val="00B54C25"/>
    <w:rsid w:val="00B57848"/>
    <w:rsid w:val="00B61B08"/>
    <w:rsid w:val="00B632D6"/>
    <w:rsid w:val="00B76550"/>
    <w:rsid w:val="00B76B91"/>
    <w:rsid w:val="00B77EB1"/>
    <w:rsid w:val="00B811C6"/>
    <w:rsid w:val="00B81618"/>
    <w:rsid w:val="00B855B0"/>
    <w:rsid w:val="00B86C9C"/>
    <w:rsid w:val="00B92E08"/>
    <w:rsid w:val="00B93B33"/>
    <w:rsid w:val="00BA7D9F"/>
    <w:rsid w:val="00BB59AF"/>
    <w:rsid w:val="00BC42C5"/>
    <w:rsid w:val="00BC622A"/>
    <w:rsid w:val="00BD2E7F"/>
    <w:rsid w:val="00BE0A78"/>
    <w:rsid w:val="00BE54B7"/>
    <w:rsid w:val="00BE63C5"/>
    <w:rsid w:val="00BE79F0"/>
    <w:rsid w:val="00BF046D"/>
    <w:rsid w:val="00BF1190"/>
    <w:rsid w:val="00BF4E5E"/>
    <w:rsid w:val="00BF5D04"/>
    <w:rsid w:val="00BF778A"/>
    <w:rsid w:val="00C1164D"/>
    <w:rsid w:val="00C16861"/>
    <w:rsid w:val="00C20875"/>
    <w:rsid w:val="00C346AB"/>
    <w:rsid w:val="00C404A6"/>
    <w:rsid w:val="00C4054E"/>
    <w:rsid w:val="00C40A36"/>
    <w:rsid w:val="00C41C51"/>
    <w:rsid w:val="00C440A4"/>
    <w:rsid w:val="00C44419"/>
    <w:rsid w:val="00C45E7B"/>
    <w:rsid w:val="00C468DA"/>
    <w:rsid w:val="00C471B1"/>
    <w:rsid w:val="00C473A3"/>
    <w:rsid w:val="00C54E04"/>
    <w:rsid w:val="00C60E8D"/>
    <w:rsid w:val="00C6158C"/>
    <w:rsid w:val="00C6316B"/>
    <w:rsid w:val="00C634A9"/>
    <w:rsid w:val="00C64586"/>
    <w:rsid w:val="00C658FF"/>
    <w:rsid w:val="00C70D53"/>
    <w:rsid w:val="00C70E86"/>
    <w:rsid w:val="00C73D0B"/>
    <w:rsid w:val="00C75045"/>
    <w:rsid w:val="00C772FF"/>
    <w:rsid w:val="00C779C2"/>
    <w:rsid w:val="00C80137"/>
    <w:rsid w:val="00C801AF"/>
    <w:rsid w:val="00C80256"/>
    <w:rsid w:val="00C9747E"/>
    <w:rsid w:val="00CB29B2"/>
    <w:rsid w:val="00CB6122"/>
    <w:rsid w:val="00CB6BC0"/>
    <w:rsid w:val="00CC1B7C"/>
    <w:rsid w:val="00CC44C2"/>
    <w:rsid w:val="00CC727F"/>
    <w:rsid w:val="00CE052B"/>
    <w:rsid w:val="00CE5880"/>
    <w:rsid w:val="00CF15C3"/>
    <w:rsid w:val="00CF2B6F"/>
    <w:rsid w:val="00CF2F3E"/>
    <w:rsid w:val="00CF42CC"/>
    <w:rsid w:val="00CF58B6"/>
    <w:rsid w:val="00D0062D"/>
    <w:rsid w:val="00D017ED"/>
    <w:rsid w:val="00D040D3"/>
    <w:rsid w:val="00D049CC"/>
    <w:rsid w:val="00D04C65"/>
    <w:rsid w:val="00D1081A"/>
    <w:rsid w:val="00D201D2"/>
    <w:rsid w:val="00D224FE"/>
    <w:rsid w:val="00D23139"/>
    <w:rsid w:val="00D2383C"/>
    <w:rsid w:val="00D425BB"/>
    <w:rsid w:val="00D43236"/>
    <w:rsid w:val="00D47D3B"/>
    <w:rsid w:val="00D6493E"/>
    <w:rsid w:val="00D7195D"/>
    <w:rsid w:val="00D7301E"/>
    <w:rsid w:val="00D83AE1"/>
    <w:rsid w:val="00D83ED2"/>
    <w:rsid w:val="00D855D4"/>
    <w:rsid w:val="00D93466"/>
    <w:rsid w:val="00D9752A"/>
    <w:rsid w:val="00DA1124"/>
    <w:rsid w:val="00DA12A3"/>
    <w:rsid w:val="00DA55BF"/>
    <w:rsid w:val="00DB6124"/>
    <w:rsid w:val="00DB750B"/>
    <w:rsid w:val="00DB75B7"/>
    <w:rsid w:val="00DC0B7D"/>
    <w:rsid w:val="00DC20F1"/>
    <w:rsid w:val="00DC2351"/>
    <w:rsid w:val="00DC5FD9"/>
    <w:rsid w:val="00DC6E02"/>
    <w:rsid w:val="00DD0417"/>
    <w:rsid w:val="00DE02AE"/>
    <w:rsid w:val="00DE0BC2"/>
    <w:rsid w:val="00DE4F24"/>
    <w:rsid w:val="00DE7CC3"/>
    <w:rsid w:val="00DF1D7F"/>
    <w:rsid w:val="00DF3898"/>
    <w:rsid w:val="00DF3F17"/>
    <w:rsid w:val="00DF4BE4"/>
    <w:rsid w:val="00E02FB4"/>
    <w:rsid w:val="00E0305A"/>
    <w:rsid w:val="00E13FC7"/>
    <w:rsid w:val="00E156E8"/>
    <w:rsid w:val="00E20571"/>
    <w:rsid w:val="00E20F06"/>
    <w:rsid w:val="00E235F7"/>
    <w:rsid w:val="00E23659"/>
    <w:rsid w:val="00E239D4"/>
    <w:rsid w:val="00E26130"/>
    <w:rsid w:val="00E26535"/>
    <w:rsid w:val="00E333F0"/>
    <w:rsid w:val="00E340E3"/>
    <w:rsid w:val="00E40B22"/>
    <w:rsid w:val="00E44ED1"/>
    <w:rsid w:val="00E45619"/>
    <w:rsid w:val="00E4588F"/>
    <w:rsid w:val="00E46DA3"/>
    <w:rsid w:val="00E51BB1"/>
    <w:rsid w:val="00E624A5"/>
    <w:rsid w:val="00E64BA4"/>
    <w:rsid w:val="00E70E10"/>
    <w:rsid w:val="00E72851"/>
    <w:rsid w:val="00E7344E"/>
    <w:rsid w:val="00E84FCF"/>
    <w:rsid w:val="00E86EB2"/>
    <w:rsid w:val="00E87A04"/>
    <w:rsid w:val="00E87C57"/>
    <w:rsid w:val="00E9046D"/>
    <w:rsid w:val="00E94DAC"/>
    <w:rsid w:val="00EB0798"/>
    <w:rsid w:val="00EB40AD"/>
    <w:rsid w:val="00EB586E"/>
    <w:rsid w:val="00EB5FC8"/>
    <w:rsid w:val="00EC19CA"/>
    <w:rsid w:val="00EC7A85"/>
    <w:rsid w:val="00ED175A"/>
    <w:rsid w:val="00ED3CAD"/>
    <w:rsid w:val="00ED5A41"/>
    <w:rsid w:val="00EE1DE8"/>
    <w:rsid w:val="00EE55AF"/>
    <w:rsid w:val="00EE6037"/>
    <w:rsid w:val="00EE7184"/>
    <w:rsid w:val="00EF0FCE"/>
    <w:rsid w:val="00EF3BB7"/>
    <w:rsid w:val="00F033EC"/>
    <w:rsid w:val="00F04F68"/>
    <w:rsid w:val="00F12670"/>
    <w:rsid w:val="00F14B27"/>
    <w:rsid w:val="00F200B0"/>
    <w:rsid w:val="00F3148D"/>
    <w:rsid w:val="00F31992"/>
    <w:rsid w:val="00F325C5"/>
    <w:rsid w:val="00F329C5"/>
    <w:rsid w:val="00F32FE0"/>
    <w:rsid w:val="00F35298"/>
    <w:rsid w:val="00F41F93"/>
    <w:rsid w:val="00F462F3"/>
    <w:rsid w:val="00F47333"/>
    <w:rsid w:val="00F47E37"/>
    <w:rsid w:val="00F53C07"/>
    <w:rsid w:val="00F54B65"/>
    <w:rsid w:val="00F640B6"/>
    <w:rsid w:val="00F6477C"/>
    <w:rsid w:val="00F80E40"/>
    <w:rsid w:val="00F848D9"/>
    <w:rsid w:val="00F86A1B"/>
    <w:rsid w:val="00F86A86"/>
    <w:rsid w:val="00F94FCE"/>
    <w:rsid w:val="00FA5B82"/>
    <w:rsid w:val="00FA639E"/>
    <w:rsid w:val="00FB268C"/>
    <w:rsid w:val="00FB2FF9"/>
    <w:rsid w:val="00FC1144"/>
    <w:rsid w:val="00FC25E4"/>
    <w:rsid w:val="00FC3189"/>
    <w:rsid w:val="00FC3FE9"/>
    <w:rsid w:val="00FC40F1"/>
    <w:rsid w:val="00FC4EF7"/>
    <w:rsid w:val="00FC66E4"/>
    <w:rsid w:val="00FD0824"/>
    <w:rsid w:val="00FD119B"/>
    <w:rsid w:val="00FD1A39"/>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464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CE5880"/>
    <w:pPr>
      <w:keepNext/>
      <w:spacing w:after="60" w:line="180" w:lineRule="atLeast"/>
      <w:outlineLvl w:val="6"/>
    </w:pPr>
    <w:rPr>
      <w:rFonts w:eastAsia="Times New Roman"/>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CE5880"/>
    <w:rPr>
      <w:rFonts w:ascii="Cambria" w:eastAsia="Times New Roman" w:hAnsi="Cambria" w:cs="Times New Roman"/>
      <w:b/>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CF42CC"/>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CF42CC"/>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1E6EC7"/>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F42CC"/>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CF42CC"/>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A-Head1">
    <w:name w:val="A-Head 1"/>
    <w:basedOn w:val="Normal"/>
    <w:rsid w:val="00563A64"/>
    <w:pPr>
      <w:tabs>
        <w:tab w:val="left" w:pos="567"/>
      </w:tabs>
      <w:spacing w:before="60" w:after="240" w:line="240" w:lineRule="auto"/>
      <w:ind w:left="567" w:hanging="567"/>
    </w:pPr>
    <w:rPr>
      <w:rFonts w:ascii="Arial" w:eastAsia="Times New Roman" w:hAnsi="Arial"/>
      <w:b/>
      <w:sz w:val="36"/>
      <w:szCs w:val="20"/>
    </w:rPr>
  </w:style>
  <w:style w:type="paragraph" w:styleId="CommentText">
    <w:name w:val="annotation text"/>
    <w:basedOn w:val="Normal"/>
    <w:link w:val="CommentTextChar"/>
    <w:rsid w:val="00563A64"/>
    <w:pPr>
      <w:spacing w:before="60" w:after="6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563A64"/>
    <w:rPr>
      <w:rFonts w:ascii="Times New Roman" w:eastAsia="Times New Roman" w:hAnsi="Times New Roman" w:cs="Times New Roman"/>
      <w:sz w:val="20"/>
      <w:szCs w:val="20"/>
    </w:rPr>
  </w:style>
  <w:style w:type="paragraph" w:styleId="ListParagraph">
    <w:name w:val="List Paragraph"/>
    <w:basedOn w:val="Normal"/>
    <w:uiPriority w:val="34"/>
    <w:qFormat/>
    <w:rsid w:val="00936E62"/>
    <w:pPr>
      <w:spacing w:before="0" w:after="200" w:line="276" w:lineRule="auto"/>
      <w:ind w:left="720"/>
      <w:contextualSpacing/>
    </w:pPr>
    <w:rPr>
      <w:rFonts w:asciiTheme="minorHAnsi" w:eastAsiaTheme="minorHAnsi" w:hAnsiTheme="minorHAnsi" w:cstheme="minorBidi"/>
    </w:rPr>
  </w:style>
  <w:style w:type="paragraph" w:customStyle="1" w:styleId="A-Head3">
    <w:name w:val="A-Head 3"/>
    <w:basedOn w:val="Normal"/>
    <w:link w:val="A-Head3Char"/>
    <w:rsid w:val="00DC20F1"/>
    <w:pPr>
      <w:widowControl w:val="0"/>
      <w:tabs>
        <w:tab w:val="left" w:pos="851"/>
      </w:tabs>
      <w:spacing w:after="60" w:line="240" w:lineRule="auto"/>
      <w:ind w:left="1418" w:right="-108" w:hanging="1418"/>
    </w:pPr>
    <w:rPr>
      <w:rFonts w:ascii="Arial" w:eastAsia="Times New Roman" w:hAnsi="Arial"/>
      <w:b/>
      <w:sz w:val="28"/>
      <w:szCs w:val="20"/>
    </w:rPr>
  </w:style>
  <w:style w:type="character" w:customStyle="1" w:styleId="A-Head3Char">
    <w:name w:val="A-Head 3 Char"/>
    <w:basedOn w:val="DefaultParagraphFont"/>
    <w:link w:val="A-Head3"/>
    <w:rsid w:val="00DC20F1"/>
    <w:rPr>
      <w:rFonts w:ascii="Arial" w:eastAsia="Times New Roman" w:hAnsi="Arial" w:cs="Times New Roman"/>
      <w:b/>
      <w:sz w:val="28"/>
      <w:szCs w:val="20"/>
    </w:rPr>
  </w:style>
  <w:style w:type="paragraph" w:customStyle="1" w:styleId="A-Head6">
    <w:name w:val="A-Head 6"/>
    <w:basedOn w:val="Normal"/>
    <w:link w:val="A-Head6Char"/>
    <w:rsid w:val="007B2A0D"/>
    <w:pPr>
      <w:spacing w:before="60" w:after="0" w:line="240" w:lineRule="auto"/>
    </w:pPr>
    <w:rPr>
      <w:rFonts w:ascii="Arial" w:eastAsia="Times New Roman" w:hAnsi="Arial"/>
      <w:b/>
      <w:szCs w:val="20"/>
    </w:rPr>
  </w:style>
  <w:style w:type="character" w:customStyle="1" w:styleId="A-Head6Char">
    <w:name w:val="A-Head 6 Char"/>
    <w:basedOn w:val="DefaultParagraphFont"/>
    <w:link w:val="A-Head6"/>
    <w:rsid w:val="007B2A0D"/>
    <w:rPr>
      <w:rFonts w:ascii="Arial" w:eastAsia="Times New Roman" w:hAnsi="Arial" w:cs="Times New Roman"/>
      <w:b/>
      <w:szCs w:val="20"/>
    </w:rPr>
  </w:style>
  <w:style w:type="character" w:customStyle="1" w:styleId="TableTitleChar">
    <w:name w:val="Table Title Char"/>
    <w:basedOn w:val="DefaultParagraphFont"/>
    <w:link w:val="TableTitle"/>
    <w:rsid w:val="001E6EC7"/>
    <w:rPr>
      <w:rFonts w:ascii="Cambria" w:eastAsia="Cambria" w:hAnsi="Cambria" w:cs="Times New Roman"/>
      <w:b/>
    </w:rPr>
  </w:style>
  <w:style w:type="character" w:customStyle="1" w:styleId="TabletextChar">
    <w:name w:val="Table text Char"/>
    <w:basedOn w:val="DefaultParagraphFont"/>
    <w:link w:val="Tabletext"/>
    <w:rsid w:val="005A259E"/>
    <w:rPr>
      <w:rFonts w:ascii="Cambria" w:eastAsia="Cambria" w:hAnsi="Cambria" w:cs="Times New Roman"/>
      <w:sz w:val="19"/>
    </w:rPr>
  </w:style>
  <w:style w:type="paragraph" w:customStyle="1" w:styleId="TableHeader">
    <w:name w:val="Table Header"/>
    <w:basedOn w:val="Normal"/>
    <w:rsid w:val="005A259E"/>
    <w:pPr>
      <w:keepNext/>
      <w:keepLines/>
      <w:widowControl w:val="0"/>
      <w:spacing w:before="60" w:after="60" w:line="200" w:lineRule="exact"/>
      <w:jc w:val="center"/>
    </w:pPr>
    <w:rPr>
      <w:rFonts w:eastAsia="MS Mincho" w:cstheme="minorBidi"/>
      <w:b/>
      <w:kern w:val="2"/>
      <w:sz w:val="19"/>
      <w:szCs w:val="19"/>
    </w:rPr>
  </w:style>
  <w:style w:type="paragraph" w:customStyle="1" w:styleId="Bulletpoint">
    <w:name w:val="Bullet point"/>
    <w:basedOn w:val="Normal"/>
    <w:rsid w:val="00BE54B7"/>
    <w:pPr>
      <w:numPr>
        <w:numId w:val="9"/>
      </w:numPr>
      <w:tabs>
        <w:tab w:val="clear" w:pos="369"/>
        <w:tab w:val="left" w:pos="397"/>
        <w:tab w:val="num" w:pos="511"/>
      </w:tabs>
      <w:spacing w:before="0" w:after="180" w:line="252" w:lineRule="auto"/>
      <w:ind w:left="0" w:firstLine="0"/>
    </w:pPr>
    <w:rPr>
      <w:rFonts w:eastAsia="Times New Roman"/>
      <w:snapToGrid w:val="0"/>
      <w:kern w:val="16"/>
      <w:szCs w:val="24"/>
    </w:rPr>
  </w:style>
  <w:style w:type="paragraph" w:customStyle="1" w:styleId="Standard">
    <w:name w:val="Standard"/>
    <w:basedOn w:val="Normal"/>
    <w:link w:val="StandardChar"/>
    <w:rsid w:val="00BE54B7"/>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BE54B7"/>
    <w:rPr>
      <w:rFonts w:ascii="Cambria" w:eastAsia="Times New Roman" w:hAnsi="Cambria" w:cs="Times New Roman"/>
      <w:snapToGrid w:val="0"/>
      <w:kern w:val="16"/>
      <w:szCs w:val="24"/>
    </w:rPr>
  </w:style>
  <w:style w:type="paragraph" w:styleId="NoSpacing">
    <w:name w:val="No Spacing"/>
    <w:qFormat/>
    <w:rsid w:val="00BE54B7"/>
    <w:pPr>
      <w:spacing w:after="0" w:line="240" w:lineRule="auto"/>
    </w:pPr>
    <w:rPr>
      <w:rFonts w:ascii="Calibri" w:eastAsia="Times New Roman" w:hAnsi="Calibri" w:cs="Calibri"/>
    </w:rPr>
  </w:style>
  <w:style w:type="paragraph" w:customStyle="1" w:styleId="AssessmentSubsection2">
    <w:name w:val="Assessment Subsection 2"/>
    <w:basedOn w:val="Normal"/>
    <w:next w:val="Standard"/>
    <w:rsid w:val="00BE54B7"/>
    <w:pPr>
      <w:keepNext/>
      <w:spacing w:before="0" w:after="110" w:line="252" w:lineRule="auto"/>
      <w:outlineLvl w:val="3"/>
    </w:pPr>
    <w:rPr>
      <w:rFonts w:eastAsia="Times New Roman"/>
      <w:i/>
      <w:snapToGrid w:val="0"/>
      <w:kern w:val="16"/>
      <w:szCs w:val="24"/>
    </w:rPr>
  </w:style>
  <w:style w:type="paragraph" w:customStyle="1" w:styleId="AssessmentSubsection">
    <w:name w:val="Assessment Subsection"/>
    <w:basedOn w:val="Standard"/>
    <w:next w:val="Standard"/>
    <w:rsid w:val="00BE54B7"/>
    <w:pPr>
      <w:keepNext/>
      <w:spacing w:after="110"/>
      <w:outlineLvl w:val="2"/>
    </w:pPr>
    <w:rPr>
      <w:b/>
      <w:i/>
    </w:rPr>
  </w:style>
  <w:style w:type="paragraph" w:customStyle="1" w:styleId="SectionHeading">
    <w:name w:val="Section Heading"/>
    <w:basedOn w:val="Normal"/>
    <w:next w:val="Normal"/>
    <w:link w:val="SectionHeadingCharChar"/>
    <w:rsid w:val="00B43224"/>
    <w:pPr>
      <w:keepNext/>
      <w:spacing w:before="0" w:after="220" w:line="252" w:lineRule="auto"/>
      <w:outlineLvl w:val="0"/>
    </w:pPr>
    <w:rPr>
      <w:rFonts w:eastAsia="Times New Roman"/>
      <w:b/>
      <w:caps/>
      <w:snapToGrid w:val="0"/>
      <w:kern w:val="16"/>
      <w:sz w:val="24"/>
      <w:szCs w:val="24"/>
    </w:rPr>
  </w:style>
  <w:style w:type="character" w:customStyle="1" w:styleId="SectionHeadingCharChar">
    <w:name w:val="Section Heading Char Char"/>
    <w:basedOn w:val="DefaultParagraphFont"/>
    <w:link w:val="SectionHeading"/>
    <w:rsid w:val="00B43224"/>
    <w:rPr>
      <w:rFonts w:ascii="Cambria" w:eastAsia="Times New Roman" w:hAnsi="Cambria" w:cs="Times New Roman"/>
      <w:b/>
      <w:caps/>
      <w:snapToGrid w:val="0"/>
      <w:kern w:val="16"/>
      <w:sz w:val="24"/>
      <w:szCs w:val="24"/>
    </w:rPr>
  </w:style>
  <w:style w:type="paragraph" w:customStyle="1" w:styleId="Bullet2">
    <w:name w:val="Bullet 2"/>
    <w:basedOn w:val="Normal"/>
    <w:rsid w:val="00DA12A3"/>
    <w:pPr>
      <w:numPr>
        <w:numId w:val="10"/>
      </w:numPr>
      <w:spacing w:after="0" w:line="240" w:lineRule="auto"/>
    </w:pPr>
    <w:rPr>
      <w:rFonts w:eastAsia="Times New Roman"/>
      <w:kern w:val="24"/>
      <w:szCs w:val="24"/>
      <w:lang w:eastAsia="en-AU"/>
    </w:rPr>
  </w:style>
  <w:style w:type="paragraph" w:customStyle="1" w:styleId="A-Head7">
    <w:name w:val="A-Head 7"/>
    <w:basedOn w:val="Normal"/>
    <w:link w:val="A-Head7Char"/>
    <w:rsid w:val="00B93B33"/>
    <w:pPr>
      <w:spacing w:before="0" w:after="0" w:line="240" w:lineRule="auto"/>
    </w:pPr>
    <w:rPr>
      <w:rFonts w:ascii="Arial" w:eastAsia="Times New Roman" w:hAnsi="Arial"/>
      <w:b/>
      <w:i/>
      <w:sz w:val="20"/>
      <w:szCs w:val="20"/>
    </w:rPr>
  </w:style>
  <w:style w:type="character" w:customStyle="1" w:styleId="A-Head7Char">
    <w:name w:val="A-Head 7 Char"/>
    <w:basedOn w:val="DefaultParagraphFont"/>
    <w:link w:val="A-Head7"/>
    <w:rsid w:val="00B93B33"/>
    <w:rPr>
      <w:rFonts w:ascii="Arial" w:eastAsia="Times New Roman" w:hAnsi="Arial" w:cs="Times New Roman"/>
      <w:b/>
      <w:i/>
      <w:sz w:val="20"/>
      <w:szCs w:val="20"/>
    </w:rPr>
  </w:style>
  <w:style w:type="character" w:styleId="CommentReference">
    <w:name w:val="annotation reference"/>
    <w:basedOn w:val="DefaultParagraphFont"/>
    <w:uiPriority w:val="99"/>
    <w:semiHidden/>
    <w:unhideWhenUsed/>
    <w:rsid w:val="008C1E30"/>
    <w:rPr>
      <w:sz w:val="16"/>
      <w:szCs w:val="16"/>
    </w:rPr>
  </w:style>
  <w:style w:type="paragraph" w:styleId="CommentSubject">
    <w:name w:val="annotation subject"/>
    <w:basedOn w:val="CommentText"/>
    <w:next w:val="CommentText"/>
    <w:link w:val="CommentSubjectChar"/>
    <w:uiPriority w:val="99"/>
    <w:semiHidden/>
    <w:unhideWhenUsed/>
    <w:rsid w:val="008C1E30"/>
    <w:pPr>
      <w:spacing w:before="120" w:after="120"/>
    </w:pPr>
    <w:rPr>
      <w:rFonts w:ascii="Cambria" w:eastAsia="Cambria" w:hAnsi="Cambria"/>
      <w:b/>
      <w:bCs/>
    </w:rPr>
  </w:style>
  <w:style w:type="character" w:customStyle="1" w:styleId="CommentSubjectChar">
    <w:name w:val="Comment Subject Char"/>
    <w:basedOn w:val="CommentTextChar"/>
    <w:link w:val="CommentSubject"/>
    <w:uiPriority w:val="99"/>
    <w:semiHidden/>
    <w:rsid w:val="008C1E30"/>
    <w:rPr>
      <w:rFonts w:ascii="Cambria" w:eastAsia="Cambria" w:hAnsi="Cambria" w:cs="Times New Roman"/>
      <w:b/>
      <w:bCs/>
      <w:sz w:val="20"/>
      <w:szCs w:val="20"/>
    </w:rPr>
  </w:style>
  <w:style w:type="paragraph" w:styleId="Revision">
    <w:name w:val="Revision"/>
    <w:hidden/>
    <w:uiPriority w:val="99"/>
    <w:semiHidden/>
    <w:rsid w:val="00EE55AF"/>
    <w:pPr>
      <w:spacing w:after="0" w:line="240" w:lineRule="auto"/>
    </w:pPr>
    <w:rPr>
      <w:rFonts w:ascii="Cambria" w:eastAsia="Cambria"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CE5880"/>
    <w:pPr>
      <w:keepNext/>
      <w:spacing w:after="60" w:line="180" w:lineRule="atLeast"/>
      <w:outlineLvl w:val="6"/>
    </w:pPr>
    <w:rPr>
      <w:rFonts w:eastAsia="Times New Roman"/>
      <w:b/>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CE5880"/>
    <w:rPr>
      <w:rFonts w:ascii="Cambria" w:eastAsia="Times New Roman" w:hAnsi="Cambria" w:cs="Times New Roman"/>
      <w:b/>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CF42CC"/>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CF42CC"/>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1E6EC7"/>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F42CC"/>
    <w:pPr>
      <w:framePr w:hSpace="180" w:wrap="around" w:vAnchor="page" w:hAnchor="text" w:y="3316"/>
      <w:spacing w:after="480" w:line="240" w:lineRule="auto"/>
      <w:contextualSpacing/>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CF42CC"/>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A-Head1">
    <w:name w:val="A-Head 1"/>
    <w:basedOn w:val="Normal"/>
    <w:rsid w:val="00563A64"/>
    <w:pPr>
      <w:tabs>
        <w:tab w:val="left" w:pos="567"/>
      </w:tabs>
      <w:spacing w:before="60" w:after="240" w:line="240" w:lineRule="auto"/>
      <w:ind w:left="567" w:hanging="567"/>
    </w:pPr>
    <w:rPr>
      <w:rFonts w:ascii="Arial" w:eastAsia="Times New Roman" w:hAnsi="Arial"/>
      <w:b/>
      <w:sz w:val="36"/>
      <w:szCs w:val="20"/>
    </w:rPr>
  </w:style>
  <w:style w:type="paragraph" w:styleId="CommentText">
    <w:name w:val="annotation text"/>
    <w:basedOn w:val="Normal"/>
    <w:link w:val="CommentTextChar"/>
    <w:rsid w:val="00563A64"/>
    <w:pPr>
      <w:spacing w:before="60" w:after="6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563A64"/>
    <w:rPr>
      <w:rFonts w:ascii="Times New Roman" w:eastAsia="Times New Roman" w:hAnsi="Times New Roman" w:cs="Times New Roman"/>
      <w:sz w:val="20"/>
      <w:szCs w:val="20"/>
    </w:rPr>
  </w:style>
  <w:style w:type="paragraph" w:styleId="ListParagraph">
    <w:name w:val="List Paragraph"/>
    <w:basedOn w:val="Normal"/>
    <w:uiPriority w:val="34"/>
    <w:qFormat/>
    <w:rsid w:val="00936E62"/>
    <w:pPr>
      <w:spacing w:before="0" w:after="200" w:line="276" w:lineRule="auto"/>
      <w:ind w:left="720"/>
      <w:contextualSpacing/>
    </w:pPr>
    <w:rPr>
      <w:rFonts w:asciiTheme="minorHAnsi" w:eastAsiaTheme="minorHAnsi" w:hAnsiTheme="minorHAnsi" w:cstheme="minorBidi"/>
    </w:rPr>
  </w:style>
  <w:style w:type="paragraph" w:customStyle="1" w:styleId="A-Head3">
    <w:name w:val="A-Head 3"/>
    <w:basedOn w:val="Normal"/>
    <w:link w:val="A-Head3Char"/>
    <w:rsid w:val="00DC20F1"/>
    <w:pPr>
      <w:widowControl w:val="0"/>
      <w:tabs>
        <w:tab w:val="left" w:pos="851"/>
      </w:tabs>
      <w:spacing w:after="60" w:line="240" w:lineRule="auto"/>
      <w:ind w:left="1418" w:right="-108" w:hanging="1418"/>
    </w:pPr>
    <w:rPr>
      <w:rFonts w:ascii="Arial" w:eastAsia="Times New Roman" w:hAnsi="Arial"/>
      <w:b/>
      <w:sz w:val="28"/>
      <w:szCs w:val="20"/>
    </w:rPr>
  </w:style>
  <w:style w:type="character" w:customStyle="1" w:styleId="A-Head3Char">
    <w:name w:val="A-Head 3 Char"/>
    <w:basedOn w:val="DefaultParagraphFont"/>
    <w:link w:val="A-Head3"/>
    <w:rsid w:val="00DC20F1"/>
    <w:rPr>
      <w:rFonts w:ascii="Arial" w:eastAsia="Times New Roman" w:hAnsi="Arial" w:cs="Times New Roman"/>
      <w:b/>
      <w:sz w:val="28"/>
      <w:szCs w:val="20"/>
    </w:rPr>
  </w:style>
  <w:style w:type="paragraph" w:customStyle="1" w:styleId="A-Head6">
    <w:name w:val="A-Head 6"/>
    <w:basedOn w:val="Normal"/>
    <w:link w:val="A-Head6Char"/>
    <w:rsid w:val="007B2A0D"/>
    <w:pPr>
      <w:spacing w:before="60" w:after="0" w:line="240" w:lineRule="auto"/>
    </w:pPr>
    <w:rPr>
      <w:rFonts w:ascii="Arial" w:eastAsia="Times New Roman" w:hAnsi="Arial"/>
      <w:b/>
      <w:szCs w:val="20"/>
    </w:rPr>
  </w:style>
  <w:style w:type="character" w:customStyle="1" w:styleId="A-Head6Char">
    <w:name w:val="A-Head 6 Char"/>
    <w:basedOn w:val="DefaultParagraphFont"/>
    <w:link w:val="A-Head6"/>
    <w:rsid w:val="007B2A0D"/>
    <w:rPr>
      <w:rFonts w:ascii="Arial" w:eastAsia="Times New Roman" w:hAnsi="Arial" w:cs="Times New Roman"/>
      <w:b/>
      <w:szCs w:val="20"/>
    </w:rPr>
  </w:style>
  <w:style w:type="character" w:customStyle="1" w:styleId="TableTitleChar">
    <w:name w:val="Table Title Char"/>
    <w:basedOn w:val="DefaultParagraphFont"/>
    <w:link w:val="TableTitle"/>
    <w:rsid w:val="001E6EC7"/>
    <w:rPr>
      <w:rFonts w:ascii="Cambria" w:eastAsia="Cambria" w:hAnsi="Cambria" w:cs="Times New Roman"/>
      <w:b/>
    </w:rPr>
  </w:style>
  <w:style w:type="character" w:customStyle="1" w:styleId="TabletextChar">
    <w:name w:val="Table text Char"/>
    <w:basedOn w:val="DefaultParagraphFont"/>
    <w:link w:val="Tabletext"/>
    <w:rsid w:val="005A259E"/>
    <w:rPr>
      <w:rFonts w:ascii="Cambria" w:eastAsia="Cambria" w:hAnsi="Cambria" w:cs="Times New Roman"/>
      <w:sz w:val="19"/>
    </w:rPr>
  </w:style>
  <w:style w:type="paragraph" w:customStyle="1" w:styleId="TableHeader">
    <w:name w:val="Table Header"/>
    <w:basedOn w:val="Normal"/>
    <w:rsid w:val="005A259E"/>
    <w:pPr>
      <w:keepNext/>
      <w:keepLines/>
      <w:widowControl w:val="0"/>
      <w:spacing w:before="60" w:after="60" w:line="200" w:lineRule="exact"/>
      <w:jc w:val="center"/>
    </w:pPr>
    <w:rPr>
      <w:rFonts w:eastAsia="MS Mincho" w:cstheme="minorBidi"/>
      <w:b/>
      <w:kern w:val="2"/>
      <w:sz w:val="19"/>
      <w:szCs w:val="19"/>
    </w:rPr>
  </w:style>
  <w:style w:type="paragraph" w:customStyle="1" w:styleId="Bulletpoint">
    <w:name w:val="Bullet point"/>
    <w:basedOn w:val="Normal"/>
    <w:rsid w:val="00BE54B7"/>
    <w:pPr>
      <w:numPr>
        <w:numId w:val="9"/>
      </w:numPr>
      <w:tabs>
        <w:tab w:val="clear" w:pos="369"/>
        <w:tab w:val="left" w:pos="397"/>
        <w:tab w:val="num" w:pos="511"/>
      </w:tabs>
      <w:spacing w:before="0" w:after="180" w:line="252" w:lineRule="auto"/>
      <w:ind w:left="0" w:firstLine="0"/>
    </w:pPr>
    <w:rPr>
      <w:rFonts w:eastAsia="Times New Roman"/>
      <w:snapToGrid w:val="0"/>
      <w:kern w:val="16"/>
      <w:szCs w:val="24"/>
    </w:rPr>
  </w:style>
  <w:style w:type="paragraph" w:customStyle="1" w:styleId="Standard">
    <w:name w:val="Standard"/>
    <w:basedOn w:val="Normal"/>
    <w:link w:val="StandardChar"/>
    <w:rsid w:val="00BE54B7"/>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BE54B7"/>
    <w:rPr>
      <w:rFonts w:ascii="Cambria" w:eastAsia="Times New Roman" w:hAnsi="Cambria" w:cs="Times New Roman"/>
      <w:snapToGrid w:val="0"/>
      <w:kern w:val="16"/>
      <w:szCs w:val="24"/>
    </w:rPr>
  </w:style>
  <w:style w:type="paragraph" w:styleId="NoSpacing">
    <w:name w:val="No Spacing"/>
    <w:qFormat/>
    <w:rsid w:val="00BE54B7"/>
    <w:pPr>
      <w:spacing w:after="0" w:line="240" w:lineRule="auto"/>
    </w:pPr>
    <w:rPr>
      <w:rFonts w:ascii="Calibri" w:eastAsia="Times New Roman" w:hAnsi="Calibri" w:cs="Calibri"/>
    </w:rPr>
  </w:style>
  <w:style w:type="paragraph" w:customStyle="1" w:styleId="AssessmentSubsection2">
    <w:name w:val="Assessment Subsection 2"/>
    <w:basedOn w:val="Normal"/>
    <w:next w:val="Standard"/>
    <w:rsid w:val="00BE54B7"/>
    <w:pPr>
      <w:keepNext/>
      <w:spacing w:before="0" w:after="110" w:line="252" w:lineRule="auto"/>
      <w:outlineLvl w:val="3"/>
    </w:pPr>
    <w:rPr>
      <w:rFonts w:eastAsia="Times New Roman"/>
      <w:i/>
      <w:snapToGrid w:val="0"/>
      <w:kern w:val="16"/>
      <w:szCs w:val="24"/>
    </w:rPr>
  </w:style>
  <w:style w:type="paragraph" w:customStyle="1" w:styleId="AssessmentSubsection">
    <w:name w:val="Assessment Subsection"/>
    <w:basedOn w:val="Standard"/>
    <w:next w:val="Standard"/>
    <w:rsid w:val="00BE54B7"/>
    <w:pPr>
      <w:keepNext/>
      <w:spacing w:after="110"/>
      <w:outlineLvl w:val="2"/>
    </w:pPr>
    <w:rPr>
      <w:b/>
      <w:i/>
    </w:rPr>
  </w:style>
  <w:style w:type="paragraph" w:customStyle="1" w:styleId="SectionHeading">
    <w:name w:val="Section Heading"/>
    <w:basedOn w:val="Normal"/>
    <w:next w:val="Normal"/>
    <w:link w:val="SectionHeadingCharChar"/>
    <w:rsid w:val="00B43224"/>
    <w:pPr>
      <w:keepNext/>
      <w:spacing w:before="0" w:after="220" w:line="252" w:lineRule="auto"/>
      <w:outlineLvl w:val="0"/>
    </w:pPr>
    <w:rPr>
      <w:rFonts w:eastAsia="Times New Roman"/>
      <w:b/>
      <w:caps/>
      <w:snapToGrid w:val="0"/>
      <w:kern w:val="16"/>
      <w:sz w:val="24"/>
      <w:szCs w:val="24"/>
    </w:rPr>
  </w:style>
  <w:style w:type="character" w:customStyle="1" w:styleId="SectionHeadingCharChar">
    <w:name w:val="Section Heading Char Char"/>
    <w:basedOn w:val="DefaultParagraphFont"/>
    <w:link w:val="SectionHeading"/>
    <w:rsid w:val="00B43224"/>
    <w:rPr>
      <w:rFonts w:ascii="Cambria" w:eastAsia="Times New Roman" w:hAnsi="Cambria" w:cs="Times New Roman"/>
      <w:b/>
      <w:caps/>
      <w:snapToGrid w:val="0"/>
      <w:kern w:val="16"/>
      <w:sz w:val="24"/>
      <w:szCs w:val="24"/>
    </w:rPr>
  </w:style>
  <w:style w:type="paragraph" w:customStyle="1" w:styleId="Bullet2">
    <w:name w:val="Bullet 2"/>
    <w:basedOn w:val="Normal"/>
    <w:rsid w:val="00DA12A3"/>
    <w:pPr>
      <w:numPr>
        <w:numId w:val="10"/>
      </w:numPr>
      <w:spacing w:after="0" w:line="240" w:lineRule="auto"/>
    </w:pPr>
    <w:rPr>
      <w:rFonts w:eastAsia="Times New Roman"/>
      <w:kern w:val="24"/>
      <w:szCs w:val="24"/>
      <w:lang w:eastAsia="en-AU"/>
    </w:rPr>
  </w:style>
  <w:style w:type="paragraph" w:customStyle="1" w:styleId="A-Head7">
    <w:name w:val="A-Head 7"/>
    <w:basedOn w:val="Normal"/>
    <w:link w:val="A-Head7Char"/>
    <w:rsid w:val="00B93B33"/>
    <w:pPr>
      <w:spacing w:before="0" w:after="0" w:line="240" w:lineRule="auto"/>
    </w:pPr>
    <w:rPr>
      <w:rFonts w:ascii="Arial" w:eastAsia="Times New Roman" w:hAnsi="Arial"/>
      <w:b/>
      <w:i/>
      <w:sz w:val="20"/>
      <w:szCs w:val="20"/>
    </w:rPr>
  </w:style>
  <w:style w:type="character" w:customStyle="1" w:styleId="A-Head7Char">
    <w:name w:val="A-Head 7 Char"/>
    <w:basedOn w:val="DefaultParagraphFont"/>
    <w:link w:val="A-Head7"/>
    <w:rsid w:val="00B93B33"/>
    <w:rPr>
      <w:rFonts w:ascii="Arial" w:eastAsia="Times New Roman" w:hAnsi="Arial" w:cs="Times New Roman"/>
      <w:b/>
      <w:i/>
      <w:sz w:val="20"/>
      <w:szCs w:val="20"/>
    </w:rPr>
  </w:style>
  <w:style w:type="character" w:styleId="CommentReference">
    <w:name w:val="annotation reference"/>
    <w:basedOn w:val="DefaultParagraphFont"/>
    <w:uiPriority w:val="99"/>
    <w:semiHidden/>
    <w:unhideWhenUsed/>
    <w:rsid w:val="008C1E30"/>
    <w:rPr>
      <w:sz w:val="16"/>
      <w:szCs w:val="16"/>
    </w:rPr>
  </w:style>
  <w:style w:type="paragraph" w:styleId="CommentSubject">
    <w:name w:val="annotation subject"/>
    <w:basedOn w:val="CommentText"/>
    <w:next w:val="CommentText"/>
    <w:link w:val="CommentSubjectChar"/>
    <w:uiPriority w:val="99"/>
    <w:semiHidden/>
    <w:unhideWhenUsed/>
    <w:rsid w:val="008C1E30"/>
    <w:pPr>
      <w:spacing w:before="120" w:after="120"/>
    </w:pPr>
    <w:rPr>
      <w:rFonts w:ascii="Cambria" w:eastAsia="Cambria" w:hAnsi="Cambria"/>
      <w:b/>
      <w:bCs/>
    </w:rPr>
  </w:style>
  <w:style w:type="character" w:customStyle="1" w:styleId="CommentSubjectChar">
    <w:name w:val="Comment Subject Char"/>
    <w:basedOn w:val="CommentTextChar"/>
    <w:link w:val="CommentSubject"/>
    <w:uiPriority w:val="99"/>
    <w:semiHidden/>
    <w:rsid w:val="008C1E30"/>
    <w:rPr>
      <w:rFonts w:ascii="Cambria" w:eastAsia="Cambria" w:hAnsi="Cambria" w:cs="Times New Roman"/>
      <w:b/>
      <w:bCs/>
      <w:sz w:val="20"/>
      <w:szCs w:val="20"/>
    </w:rPr>
  </w:style>
  <w:style w:type="paragraph" w:styleId="Revision">
    <w:name w:val="Revision"/>
    <w:hidden/>
    <w:uiPriority w:val="99"/>
    <w:semiHidden/>
    <w:rsid w:val="00EE55AF"/>
    <w:pPr>
      <w:spacing w:after="0" w:line="240" w:lineRule="auto"/>
    </w:pPr>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7907">
      <w:bodyDiv w:val="1"/>
      <w:marLeft w:val="0"/>
      <w:marRight w:val="0"/>
      <w:marTop w:val="0"/>
      <w:marBottom w:val="0"/>
      <w:divBdr>
        <w:top w:val="none" w:sz="0" w:space="0" w:color="auto"/>
        <w:left w:val="none" w:sz="0" w:space="0" w:color="auto"/>
        <w:bottom w:val="none" w:sz="0" w:space="0" w:color="auto"/>
        <w:right w:val="none" w:sz="0" w:space="0" w:color="auto"/>
      </w:divBdr>
      <w:divsChild>
        <w:div w:id="835613434">
          <w:marLeft w:val="0"/>
          <w:marRight w:val="0"/>
          <w:marTop w:val="0"/>
          <w:marBottom w:val="0"/>
          <w:divBdr>
            <w:top w:val="none" w:sz="0" w:space="0" w:color="auto"/>
            <w:left w:val="none" w:sz="0" w:space="0" w:color="auto"/>
            <w:bottom w:val="none" w:sz="0" w:space="0" w:color="auto"/>
            <w:right w:val="none" w:sz="0" w:space="0" w:color="auto"/>
          </w:divBdr>
          <w:divsChild>
            <w:div w:id="1237738995">
              <w:marLeft w:val="0"/>
              <w:marRight w:val="0"/>
              <w:marTop w:val="0"/>
              <w:marBottom w:val="0"/>
              <w:divBdr>
                <w:top w:val="none" w:sz="0" w:space="0" w:color="auto"/>
                <w:left w:val="none" w:sz="0" w:space="0" w:color="auto"/>
                <w:bottom w:val="none" w:sz="0" w:space="0" w:color="auto"/>
                <w:right w:val="none" w:sz="0" w:space="0" w:color="auto"/>
              </w:divBdr>
              <w:divsChild>
                <w:div w:id="630552593">
                  <w:marLeft w:val="0"/>
                  <w:marRight w:val="0"/>
                  <w:marTop w:val="0"/>
                  <w:marBottom w:val="0"/>
                  <w:divBdr>
                    <w:top w:val="none" w:sz="0" w:space="0" w:color="auto"/>
                    <w:left w:val="none" w:sz="0" w:space="0" w:color="auto"/>
                    <w:bottom w:val="none" w:sz="0" w:space="0" w:color="auto"/>
                    <w:right w:val="none" w:sz="0" w:space="0" w:color="auto"/>
                  </w:divBdr>
                  <w:divsChild>
                    <w:div w:id="873925377">
                      <w:marLeft w:val="0"/>
                      <w:marRight w:val="0"/>
                      <w:marTop w:val="0"/>
                      <w:marBottom w:val="0"/>
                      <w:divBdr>
                        <w:top w:val="none" w:sz="0" w:space="0" w:color="auto"/>
                        <w:left w:val="none" w:sz="0" w:space="0" w:color="auto"/>
                        <w:bottom w:val="none" w:sz="0" w:space="0" w:color="auto"/>
                        <w:right w:val="none" w:sz="0" w:space="0" w:color="auto"/>
                      </w:divBdr>
                      <w:divsChild>
                        <w:div w:id="545995458">
                          <w:marLeft w:val="0"/>
                          <w:marRight w:val="0"/>
                          <w:marTop w:val="0"/>
                          <w:marBottom w:val="0"/>
                          <w:divBdr>
                            <w:top w:val="none" w:sz="0" w:space="0" w:color="auto"/>
                            <w:left w:val="none" w:sz="0" w:space="0" w:color="auto"/>
                            <w:bottom w:val="none" w:sz="0" w:space="0" w:color="auto"/>
                            <w:right w:val="none" w:sz="0" w:space="0" w:color="auto"/>
                          </w:divBdr>
                          <w:divsChild>
                            <w:div w:id="6460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4620">
      <w:bodyDiv w:val="1"/>
      <w:marLeft w:val="0"/>
      <w:marRight w:val="0"/>
      <w:marTop w:val="0"/>
      <w:marBottom w:val="0"/>
      <w:divBdr>
        <w:top w:val="none" w:sz="0" w:space="0" w:color="auto"/>
        <w:left w:val="none" w:sz="0" w:space="0" w:color="auto"/>
        <w:bottom w:val="none" w:sz="0" w:space="0" w:color="auto"/>
        <w:right w:val="none" w:sz="0" w:space="0" w:color="auto"/>
      </w:divBdr>
      <w:divsChild>
        <w:div w:id="1661540392">
          <w:marLeft w:val="0"/>
          <w:marRight w:val="0"/>
          <w:marTop w:val="0"/>
          <w:marBottom w:val="0"/>
          <w:divBdr>
            <w:top w:val="none" w:sz="0" w:space="0" w:color="auto"/>
            <w:left w:val="none" w:sz="0" w:space="0" w:color="auto"/>
            <w:bottom w:val="none" w:sz="0" w:space="0" w:color="auto"/>
            <w:right w:val="none" w:sz="0" w:space="0" w:color="auto"/>
          </w:divBdr>
          <w:divsChild>
            <w:div w:id="926885036">
              <w:marLeft w:val="0"/>
              <w:marRight w:val="0"/>
              <w:marTop w:val="0"/>
              <w:marBottom w:val="0"/>
              <w:divBdr>
                <w:top w:val="none" w:sz="0" w:space="0" w:color="auto"/>
                <w:left w:val="none" w:sz="0" w:space="0" w:color="auto"/>
                <w:bottom w:val="none" w:sz="0" w:space="0" w:color="auto"/>
                <w:right w:val="none" w:sz="0" w:space="0" w:color="auto"/>
              </w:divBdr>
              <w:divsChild>
                <w:div w:id="1124419444">
                  <w:marLeft w:val="0"/>
                  <w:marRight w:val="0"/>
                  <w:marTop w:val="0"/>
                  <w:marBottom w:val="0"/>
                  <w:divBdr>
                    <w:top w:val="none" w:sz="0" w:space="0" w:color="auto"/>
                    <w:left w:val="none" w:sz="0" w:space="0" w:color="auto"/>
                    <w:bottom w:val="none" w:sz="0" w:space="0" w:color="auto"/>
                    <w:right w:val="none" w:sz="0" w:space="0" w:color="auto"/>
                  </w:divBdr>
                  <w:divsChild>
                    <w:div w:id="1307933439">
                      <w:marLeft w:val="0"/>
                      <w:marRight w:val="0"/>
                      <w:marTop w:val="0"/>
                      <w:marBottom w:val="0"/>
                      <w:divBdr>
                        <w:top w:val="none" w:sz="0" w:space="0" w:color="auto"/>
                        <w:left w:val="none" w:sz="0" w:space="0" w:color="auto"/>
                        <w:bottom w:val="none" w:sz="0" w:space="0" w:color="auto"/>
                        <w:right w:val="none" w:sz="0" w:space="0" w:color="auto"/>
                      </w:divBdr>
                      <w:divsChild>
                        <w:div w:id="868831720">
                          <w:marLeft w:val="0"/>
                          <w:marRight w:val="0"/>
                          <w:marTop w:val="0"/>
                          <w:marBottom w:val="0"/>
                          <w:divBdr>
                            <w:top w:val="none" w:sz="0" w:space="0" w:color="auto"/>
                            <w:left w:val="none" w:sz="0" w:space="0" w:color="auto"/>
                            <w:bottom w:val="none" w:sz="0" w:space="0" w:color="auto"/>
                            <w:right w:val="none" w:sz="0" w:space="0" w:color="auto"/>
                          </w:divBdr>
                          <w:divsChild>
                            <w:div w:id="1705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tga.gov.au" TargetMode="External"/><Relationship Id="rId28" Type="http://schemas.openxmlformats.org/officeDocument/2006/relationships/footer" Target="footer4.xml"/><Relationship Id="rId36" Type="http://schemas.microsoft.com/office/2011/relationships/commentsExtended" Target="commentsExtended.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 Id="rId35"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5948\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8853-3C6B-43A7-B9C8-85DA2E8EE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502</TotalTime>
  <Pages>46</Pages>
  <Words>17139</Words>
  <Characters>93582</Characters>
  <Application>Microsoft Office Word</Application>
  <DocSecurity>0</DocSecurity>
  <Lines>2339</Lines>
  <Paragraphs>1165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Australian public assessment for...</vt:lpstr>
      <vt:lpstr>Australian public assessment for...</vt:lpstr>
    </vt:vector>
  </TitlesOfParts>
  <Company>Department of Health Therapeutic Goods Administration</Company>
  <LinksUpToDate>false</LinksUpToDate>
  <CharactersWithSpaces>109556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budesonide</dc:title>
  <dc:subject>Prescription medicines</dc:subject>
  <dc:creator>Therapeutic Goods Administration</dc:creator>
  <cp:keywords>AusPARs</cp:keywords>
  <cp:lastModifiedBy>Sheppard, Fran</cp:lastModifiedBy>
  <cp:revision>67</cp:revision>
  <cp:lastPrinted>2015-12-11T13:25:00Z</cp:lastPrinted>
  <dcterms:created xsi:type="dcterms:W3CDTF">2015-12-21T04:39:00Z</dcterms:created>
  <dcterms:modified xsi:type="dcterms:W3CDTF">2016-02-11T03:02:00Z</dcterms:modified>
  <cp:category>external publication</cp:category>
</cp:coreProperties>
</file>