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9A0EB" w14:textId="13DB4DF2" w:rsidR="00A91D83" w:rsidRPr="00B37C5A" w:rsidRDefault="00A91D83" w:rsidP="00A91D83">
      <w:pPr>
        <w:tabs>
          <w:tab w:val="left" w:pos="284"/>
        </w:tabs>
        <w:spacing w:after="480" w:line="240" w:lineRule="auto"/>
      </w:pPr>
      <w:r w:rsidRPr="0077619B">
        <w:rPr>
          <w:noProof/>
          <w:lang w:eastAsia="en-AU"/>
        </w:rPr>
        <mc:AlternateContent>
          <mc:Choice Requires="wps">
            <w:drawing>
              <wp:inline distT="0" distB="0" distL="0" distR="0" wp14:anchorId="5BF53960" wp14:editId="43EA7019">
                <wp:extent cx="252095" cy="252095"/>
                <wp:effectExtent l="0" t="0" r="0" b="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267E7" w14:textId="77777777" w:rsidR="00F839A7" w:rsidRDefault="00F839A7" w:rsidP="00A91D83">
                            <w:pPr>
                              <w:spacing w:after="0"/>
                              <w:rPr>
                                <w:rFonts w:ascii="Wingdings 3" w:hAnsi="Wingdings 3"/>
                                <w:sz w:val="24"/>
                              </w:rPr>
                            </w:pPr>
                            <w:r>
                              <w:rPr>
                                <w:rFonts w:ascii="SimSun" w:eastAsia="SimSun" w:hAnsi="SimSun" w:cs="Arial" w:hint="eastAsia"/>
                                <w:sz w:val="40"/>
                                <w:lang w:val="en-US"/>
                              </w:rPr>
                              <w:t>▼</w:t>
                            </w:r>
                          </w:p>
                        </w:txbxContent>
                      </wps:txbx>
                      <wps:bodyPr rot="0" vert="horz" wrap="square" lIns="0" tIns="0" rIns="0" bIns="0" anchor="t" anchorCtr="0" upright="1">
                        <a:noAutofit/>
                      </wps:bodyPr>
                    </wps:wsp>
                  </a:graphicData>
                </a:graphic>
              </wp:inline>
            </w:drawing>
          </mc:Choice>
          <mc:Fallback>
            <w:pict>
              <v:shapetype w14:anchorId="5BF53960" id="_x0000_t202" coordsize="21600,21600" o:spt="202" path="m,l,21600r21600,l21600,xe">
                <v:stroke joinstyle="miter"/>
                <v:path gradientshapeok="t" o:connecttype="rect"/>
              </v:shapetype>
              <v:shape id="Text Box 15"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DcU2DWdQIAAAAFAAAOAAAAAAAAAAAA&#10;AAAAAC4CAABkcnMvZTJvRG9jLnhtbFBLAQItABQABgAIAAAAIQBj9U4M2QAAAAMBAAAPAAAAAAAA&#10;AAAAAAAAAM8EAABkcnMvZG93bnJldi54bWxQSwUGAAAAAAQABADzAAAA1QUAAAAA&#10;" stroked="f">
                <v:textbox inset="0,0,0,0">
                  <w:txbxContent>
                    <w:p w14:paraId="48D267E7" w14:textId="77777777" w:rsidR="00F839A7" w:rsidRDefault="00F839A7" w:rsidP="00A91D83">
                      <w:pPr>
                        <w:spacing w:after="0"/>
                        <w:rPr>
                          <w:rFonts w:ascii="Wingdings 3" w:hAnsi="Wingdings 3"/>
                          <w:sz w:val="24"/>
                        </w:rPr>
                      </w:pPr>
                      <w:r>
                        <w:rPr>
                          <w:rFonts w:ascii="SimSun" w:eastAsia="SimSun" w:hAnsi="SimSun" w:cs="Arial" w:hint="eastAsia"/>
                          <w:sz w:val="40"/>
                          <w:lang w:val="en-US"/>
                        </w:rPr>
                        <w:t>▼</w:t>
                      </w:r>
                    </w:p>
                  </w:txbxContent>
                </v:textbox>
                <w10:anchorlock/>
              </v:shape>
            </w:pict>
          </mc:Fallback>
        </mc:AlternateContent>
      </w:r>
      <w:r w:rsidRPr="00B37C5A">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B37C5A">
          <w:rPr>
            <w:rStyle w:val="Hyperlink"/>
          </w:rPr>
          <w:t>www.tga.gov.au/reporting-problems</w:t>
        </w:r>
      </w:hyperlink>
      <w:r w:rsidRPr="00B37C5A">
        <w:t>.</w:t>
      </w:r>
    </w:p>
    <w:p w14:paraId="1D958C55" w14:textId="75E7BE26" w:rsidR="00637401" w:rsidRPr="0077619B" w:rsidRDefault="004032BD" w:rsidP="004D768B">
      <w:pPr>
        <w:pStyle w:val="Title1"/>
      </w:pPr>
      <w:r w:rsidRPr="0077619B">
        <w:t>Australian P</w:t>
      </w:r>
      <w:r w:rsidR="00677840" w:rsidRPr="0077619B">
        <w:t xml:space="preserve">roduct </w:t>
      </w:r>
      <w:r w:rsidRPr="0077619B">
        <w:t>I</w:t>
      </w:r>
      <w:r w:rsidR="00677840" w:rsidRPr="0077619B">
        <w:t>nformation</w:t>
      </w:r>
      <w:r w:rsidRPr="0077619B">
        <w:t xml:space="preserve"> – </w:t>
      </w:r>
      <w:r w:rsidR="007B6410">
        <w:t>BEOVU</w:t>
      </w:r>
      <w:r w:rsidR="007B6410" w:rsidRPr="007B6410">
        <w:rPr>
          <w:vertAlign w:val="superscript"/>
        </w:rPr>
        <w:t>®</w:t>
      </w:r>
      <w:r w:rsidR="001A50DA" w:rsidRPr="0077619B">
        <w:t xml:space="preserve"> </w:t>
      </w:r>
      <w:r w:rsidR="00637401" w:rsidRPr="0077619B">
        <w:t>(</w:t>
      </w:r>
      <w:r w:rsidR="00C747B3" w:rsidRPr="0077619B">
        <w:t>BROLUCIZUMAB</w:t>
      </w:r>
      <w:r w:rsidR="00637401" w:rsidRPr="0077619B">
        <w:t xml:space="preserve">) </w:t>
      </w:r>
      <w:r w:rsidR="00C747B3" w:rsidRPr="0077619B">
        <w:t>SOLUTION FOR INJECTION</w:t>
      </w:r>
    </w:p>
    <w:p w14:paraId="2161EB2A" w14:textId="77777777" w:rsidR="00637401" w:rsidRPr="0077619B" w:rsidRDefault="00637401" w:rsidP="00637401"/>
    <w:p w14:paraId="448770C4" w14:textId="77777777" w:rsidR="001A3992" w:rsidRPr="0077619B" w:rsidRDefault="001A3992" w:rsidP="00DF5E99">
      <w:pPr>
        <w:pStyle w:val="Heading1"/>
        <w:spacing w:before="0" w:after="120"/>
        <w:rPr>
          <w:rFonts w:cstheme="minorHAnsi"/>
        </w:rPr>
      </w:pPr>
      <w:r w:rsidRPr="0077619B">
        <w:rPr>
          <w:rFonts w:cstheme="minorHAnsi"/>
        </w:rPr>
        <w:t>Name of the medicine</w:t>
      </w:r>
    </w:p>
    <w:p w14:paraId="1AFDE61F" w14:textId="58B0CB33" w:rsidR="00637401" w:rsidRPr="0077619B" w:rsidRDefault="00C747B3" w:rsidP="00637401">
      <w:r w:rsidRPr="0077619B">
        <w:t>Brolucizumab (</w:t>
      </w:r>
      <w:r w:rsidRPr="0077619B">
        <w:rPr>
          <w:i/>
        </w:rPr>
        <w:t>rbe</w:t>
      </w:r>
      <w:r w:rsidR="007A0D09">
        <w:t>)</w:t>
      </w:r>
    </w:p>
    <w:p w14:paraId="197201B7" w14:textId="77777777" w:rsidR="001A3992" w:rsidRPr="0077619B" w:rsidRDefault="001A3992" w:rsidP="001A3992">
      <w:pPr>
        <w:pStyle w:val="Heading1"/>
        <w:spacing w:before="0" w:after="120"/>
        <w:rPr>
          <w:rFonts w:cstheme="minorHAnsi"/>
        </w:rPr>
      </w:pPr>
      <w:r w:rsidRPr="0077619B">
        <w:rPr>
          <w:rFonts w:cstheme="minorHAnsi"/>
        </w:rPr>
        <w:t>Qualitative and quantitative composition</w:t>
      </w:r>
    </w:p>
    <w:p w14:paraId="6753B341" w14:textId="205EDA6E" w:rsidR="001A50DA" w:rsidRPr="0077619B" w:rsidRDefault="001A50DA" w:rsidP="001A50DA">
      <w:pPr>
        <w:widowControl w:val="0"/>
        <w:tabs>
          <w:tab w:val="left" w:pos="720"/>
        </w:tabs>
        <w:spacing w:line="240" w:lineRule="auto"/>
      </w:pPr>
      <w:r w:rsidRPr="0077619B">
        <w:t xml:space="preserve">One </w:t>
      </w:r>
      <w:r w:rsidR="003E1DCA">
        <w:t>mL</w:t>
      </w:r>
      <w:r w:rsidRPr="0077619B">
        <w:t xml:space="preserve"> solution for injection contains 120 mg of brolucizumab*.</w:t>
      </w:r>
    </w:p>
    <w:p w14:paraId="48F9F304" w14:textId="71EE62B5" w:rsidR="001A50DA" w:rsidRPr="0077619B" w:rsidRDefault="001A50DA" w:rsidP="001A50DA">
      <w:pPr>
        <w:widowControl w:val="0"/>
        <w:tabs>
          <w:tab w:val="left" w:pos="720"/>
        </w:tabs>
        <w:spacing w:line="240" w:lineRule="auto"/>
      </w:pPr>
      <w:r w:rsidRPr="0077619B">
        <w:t>*Brolucizumab is a humanised monoclonal single</w:t>
      </w:r>
      <w:r w:rsidRPr="0077619B">
        <w:noBreakHyphen/>
        <w:t xml:space="preserve">chain </w:t>
      </w:r>
      <w:proofErr w:type="spellStart"/>
      <w:r w:rsidRPr="0077619B">
        <w:t>Fv</w:t>
      </w:r>
      <w:proofErr w:type="spellEnd"/>
      <w:r w:rsidRPr="0077619B">
        <w:t xml:space="preserve"> (</w:t>
      </w:r>
      <w:proofErr w:type="spellStart"/>
      <w:r w:rsidRPr="0077619B">
        <w:t>scFv</w:t>
      </w:r>
      <w:proofErr w:type="spellEnd"/>
      <w:r w:rsidRPr="0077619B">
        <w:t>) antibody fragment with a molecular weight of ~26 </w:t>
      </w:r>
      <w:proofErr w:type="spellStart"/>
      <w:r w:rsidRPr="0077619B">
        <w:t>kDa</w:t>
      </w:r>
      <w:proofErr w:type="spellEnd"/>
      <w:r w:rsidRPr="0077619B">
        <w:t xml:space="preserve">, produced in </w:t>
      </w:r>
      <w:r w:rsidRPr="0077619B">
        <w:rPr>
          <w:i/>
        </w:rPr>
        <w:t>Escherichia coli</w:t>
      </w:r>
      <w:r w:rsidRPr="0077619B">
        <w:t xml:space="preserve"> cells by recombinant DNA technology.</w:t>
      </w:r>
    </w:p>
    <w:p w14:paraId="0E54F0B3" w14:textId="7D2BC606" w:rsidR="001A50DA" w:rsidRPr="0077619B" w:rsidRDefault="007B6410" w:rsidP="001A50DA">
      <w:pPr>
        <w:keepNext/>
        <w:widowControl w:val="0"/>
        <w:tabs>
          <w:tab w:val="left" w:pos="720"/>
        </w:tabs>
        <w:spacing w:line="240" w:lineRule="auto"/>
        <w:rPr>
          <w:noProof/>
          <w:u w:val="single"/>
        </w:rPr>
      </w:pPr>
      <w:r>
        <w:rPr>
          <w:noProof/>
          <w:u w:val="single"/>
        </w:rPr>
        <w:t>Beovu</w:t>
      </w:r>
      <w:r w:rsidR="001A50DA" w:rsidRPr="0077619B">
        <w:rPr>
          <w:noProof/>
          <w:u w:val="single"/>
        </w:rPr>
        <w:t xml:space="preserve"> 120 mg/</w:t>
      </w:r>
      <w:r w:rsidR="003E1DCA">
        <w:rPr>
          <w:noProof/>
          <w:u w:val="single"/>
        </w:rPr>
        <w:t>mL</w:t>
      </w:r>
      <w:r w:rsidR="001A50DA" w:rsidRPr="0077619B">
        <w:rPr>
          <w:noProof/>
          <w:u w:val="single"/>
        </w:rPr>
        <w:t xml:space="preserve"> solution for injection in pre</w:t>
      </w:r>
      <w:r w:rsidR="001A50DA" w:rsidRPr="0077619B">
        <w:rPr>
          <w:noProof/>
          <w:u w:val="single"/>
        </w:rPr>
        <w:noBreakHyphen/>
        <w:t>filled syringe</w:t>
      </w:r>
    </w:p>
    <w:p w14:paraId="5CCA3E53" w14:textId="521AA273" w:rsidR="001A50DA" w:rsidRPr="0077619B" w:rsidRDefault="001A50DA" w:rsidP="001A50DA">
      <w:pPr>
        <w:widowControl w:val="0"/>
        <w:tabs>
          <w:tab w:val="left" w:pos="720"/>
        </w:tabs>
        <w:autoSpaceDE w:val="0"/>
        <w:autoSpaceDN w:val="0"/>
        <w:adjustRightInd w:val="0"/>
        <w:spacing w:line="240" w:lineRule="auto"/>
      </w:pPr>
      <w:r w:rsidRPr="0077619B">
        <w:t>Each pre</w:t>
      </w:r>
      <w:r w:rsidRPr="0077619B">
        <w:noBreakHyphen/>
        <w:t>filled syringe contains 19.8 mg brolucizumab in 0.165 </w:t>
      </w:r>
      <w:r w:rsidR="003E1DCA">
        <w:t>mL</w:t>
      </w:r>
      <w:r w:rsidRPr="0077619B">
        <w:t xml:space="preserve"> solution.</w:t>
      </w:r>
      <w:r w:rsidRPr="0077619B">
        <w:rPr>
          <w:rFonts w:eastAsia="SimSun"/>
          <w:lang w:eastAsia="en-GB"/>
        </w:rPr>
        <w:t xml:space="preserve"> This provides a usable amount to deliver a single dose of 0.05 </w:t>
      </w:r>
      <w:r w:rsidR="003E1DCA">
        <w:rPr>
          <w:rFonts w:eastAsia="SimSun"/>
          <w:lang w:eastAsia="en-GB"/>
        </w:rPr>
        <w:t>mL</w:t>
      </w:r>
      <w:r w:rsidRPr="0077619B">
        <w:rPr>
          <w:rFonts w:eastAsia="SimSun"/>
          <w:lang w:eastAsia="en-GB"/>
        </w:rPr>
        <w:t xml:space="preserve"> containing 6 mg of brolucizumab.</w:t>
      </w:r>
    </w:p>
    <w:p w14:paraId="25975D99" w14:textId="6A03F9F5" w:rsidR="001A50DA" w:rsidRPr="0077619B" w:rsidRDefault="007B6410" w:rsidP="001A50DA">
      <w:pPr>
        <w:keepNext/>
        <w:widowControl w:val="0"/>
        <w:tabs>
          <w:tab w:val="left" w:pos="720"/>
        </w:tabs>
        <w:spacing w:line="240" w:lineRule="auto"/>
        <w:rPr>
          <w:noProof/>
          <w:u w:val="single"/>
        </w:rPr>
      </w:pPr>
      <w:r>
        <w:rPr>
          <w:noProof/>
          <w:u w:val="single"/>
        </w:rPr>
        <w:t>Beovu</w:t>
      </w:r>
      <w:r w:rsidR="001A50DA" w:rsidRPr="0077619B">
        <w:rPr>
          <w:noProof/>
          <w:u w:val="single"/>
        </w:rPr>
        <w:t xml:space="preserve"> 120 mg/</w:t>
      </w:r>
      <w:r w:rsidR="003E1DCA">
        <w:rPr>
          <w:noProof/>
          <w:u w:val="single"/>
        </w:rPr>
        <w:t>mL</w:t>
      </w:r>
      <w:r w:rsidR="001A50DA" w:rsidRPr="0077619B">
        <w:rPr>
          <w:noProof/>
          <w:u w:val="single"/>
        </w:rPr>
        <w:t xml:space="preserve"> solution for injection</w:t>
      </w:r>
      <w:r w:rsidR="007A0D09">
        <w:rPr>
          <w:noProof/>
          <w:u w:val="single"/>
        </w:rPr>
        <w:t xml:space="preserve"> in vial</w:t>
      </w:r>
    </w:p>
    <w:p w14:paraId="6778D258" w14:textId="4D9E3D51" w:rsidR="001A50DA" w:rsidRPr="0077619B" w:rsidRDefault="001A50DA" w:rsidP="001A50DA">
      <w:pPr>
        <w:widowControl w:val="0"/>
        <w:tabs>
          <w:tab w:val="left" w:pos="720"/>
        </w:tabs>
        <w:spacing w:line="240" w:lineRule="auto"/>
      </w:pPr>
      <w:r w:rsidRPr="0077619B">
        <w:t>Each vial contains 27.6 mg brolucizumab in 0.23 </w:t>
      </w:r>
      <w:r w:rsidR="003E1DCA">
        <w:t>mL</w:t>
      </w:r>
      <w:r w:rsidRPr="0077619B">
        <w:t xml:space="preserve"> solution. This provides a usable amount to deliver a single dose of 0.05 </w:t>
      </w:r>
      <w:r w:rsidR="003E1DCA">
        <w:t>mL</w:t>
      </w:r>
      <w:r w:rsidRPr="0077619B">
        <w:t xml:space="preserve"> containing 6 mg of brolucizumab.</w:t>
      </w:r>
    </w:p>
    <w:p w14:paraId="71D7E71B" w14:textId="4AA32F2E" w:rsidR="001A50DA" w:rsidRPr="0077619B" w:rsidRDefault="001A50DA" w:rsidP="001A50DA">
      <w:pPr>
        <w:widowControl w:val="0"/>
        <w:tabs>
          <w:tab w:val="left" w:pos="720"/>
        </w:tabs>
        <w:spacing w:line="240" w:lineRule="auto"/>
      </w:pPr>
      <w:r w:rsidRPr="0077619B">
        <w:t xml:space="preserve">For the full list of excipients, see </w:t>
      </w:r>
      <w:r w:rsidR="00A8227F">
        <w:t>S</w:t>
      </w:r>
      <w:r w:rsidRPr="0077619B">
        <w:t>ection 6.1</w:t>
      </w:r>
      <w:r w:rsidR="00A8227F">
        <w:t xml:space="preserve"> </w:t>
      </w:r>
      <w:r w:rsidR="00A8227F" w:rsidRPr="00A8227F">
        <w:t>LIST OF EXCIPIENTS</w:t>
      </w:r>
      <w:r w:rsidRPr="0077619B">
        <w:t>.</w:t>
      </w:r>
    </w:p>
    <w:p w14:paraId="7A7696D5" w14:textId="77777777" w:rsidR="001A3992" w:rsidRPr="0077619B" w:rsidRDefault="001A3992" w:rsidP="001A3992">
      <w:pPr>
        <w:pStyle w:val="Heading1"/>
        <w:spacing w:before="0" w:after="120"/>
        <w:rPr>
          <w:rFonts w:cstheme="minorHAnsi"/>
        </w:rPr>
      </w:pPr>
      <w:r w:rsidRPr="0077619B">
        <w:rPr>
          <w:rFonts w:cstheme="minorHAnsi"/>
        </w:rPr>
        <w:t>Pharmaceutical form</w:t>
      </w:r>
    </w:p>
    <w:p w14:paraId="22C4C2DC" w14:textId="2CAF78EB" w:rsidR="001A50DA" w:rsidRPr="0077619B" w:rsidRDefault="001A50DA" w:rsidP="001A50DA">
      <w:pPr>
        <w:widowControl w:val="0"/>
        <w:tabs>
          <w:tab w:val="left" w:pos="720"/>
        </w:tabs>
        <w:spacing w:line="240" w:lineRule="auto"/>
        <w:rPr>
          <w:noProof/>
        </w:rPr>
      </w:pPr>
      <w:r w:rsidRPr="0077619B">
        <w:rPr>
          <w:noProof/>
        </w:rPr>
        <w:t>Solution for injection.</w:t>
      </w:r>
    </w:p>
    <w:p w14:paraId="14159A54" w14:textId="77777777" w:rsidR="001A50DA" w:rsidRPr="0077619B" w:rsidRDefault="001A50DA" w:rsidP="001A50DA">
      <w:pPr>
        <w:widowControl w:val="0"/>
        <w:tabs>
          <w:tab w:val="left" w:pos="720"/>
        </w:tabs>
        <w:spacing w:line="240" w:lineRule="auto"/>
        <w:rPr>
          <w:lang w:eastAsia="ja-JP"/>
        </w:rPr>
      </w:pPr>
      <w:r w:rsidRPr="0077619B">
        <w:rPr>
          <w:lang w:eastAsia="ja-JP"/>
        </w:rPr>
        <w:t xml:space="preserve">Sterile, clear to slightly opalescent, colourless </w:t>
      </w:r>
      <w:r w:rsidRPr="0077619B">
        <w:t>to slightly brownish</w:t>
      </w:r>
      <w:r w:rsidRPr="0077619B">
        <w:noBreakHyphen/>
        <w:t>yellow</w:t>
      </w:r>
      <w:r w:rsidRPr="0077619B">
        <w:rPr>
          <w:lang w:eastAsia="ja-JP"/>
        </w:rPr>
        <w:t xml:space="preserve"> and preservative</w:t>
      </w:r>
      <w:r w:rsidRPr="0077619B">
        <w:rPr>
          <w:lang w:eastAsia="ja-JP"/>
        </w:rPr>
        <w:noBreakHyphen/>
        <w:t>free aqueous solution.</w:t>
      </w:r>
    </w:p>
    <w:p w14:paraId="74D499D7" w14:textId="77777777" w:rsidR="001A3992" w:rsidRPr="0077619B" w:rsidRDefault="001A3992" w:rsidP="001A3992">
      <w:pPr>
        <w:pStyle w:val="Heading1"/>
        <w:spacing w:before="0" w:after="120"/>
        <w:rPr>
          <w:rFonts w:cstheme="minorHAnsi"/>
        </w:rPr>
      </w:pPr>
      <w:r w:rsidRPr="0077619B">
        <w:rPr>
          <w:rFonts w:cstheme="minorHAnsi"/>
        </w:rPr>
        <w:t>Clinical particulars</w:t>
      </w:r>
    </w:p>
    <w:p w14:paraId="1B1EC0F2" w14:textId="77777777" w:rsidR="001A3992" w:rsidRPr="0077619B" w:rsidRDefault="001A3992" w:rsidP="001A3992">
      <w:pPr>
        <w:pStyle w:val="Heading2"/>
        <w:spacing w:before="0" w:after="120"/>
        <w:rPr>
          <w:rFonts w:cstheme="minorHAnsi"/>
        </w:rPr>
      </w:pPr>
      <w:r w:rsidRPr="0077619B">
        <w:rPr>
          <w:rFonts w:cstheme="minorHAnsi"/>
        </w:rPr>
        <w:t xml:space="preserve">Therapeutic indications </w:t>
      </w:r>
    </w:p>
    <w:p w14:paraId="140BA7A7" w14:textId="7155E0FC" w:rsidR="00C747B3" w:rsidRPr="0077619B" w:rsidRDefault="007B6410" w:rsidP="003E37CF">
      <w:r>
        <w:t>Beovu</w:t>
      </w:r>
      <w:r w:rsidR="001A50DA" w:rsidRPr="0077619B">
        <w:t xml:space="preserve"> is indicated for the treatment of neovascular (wet) age-related macular degeneration (AMD).</w:t>
      </w:r>
    </w:p>
    <w:p w14:paraId="042B92B0" w14:textId="77777777" w:rsidR="001A3992" w:rsidRPr="0077619B" w:rsidRDefault="001A3992" w:rsidP="001A3992">
      <w:pPr>
        <w:pStyle w:val="Heading2"/>
        <w:spacing w:before="0" w:after="120"/>
        <w:rPr>
          <w:rFonts w:cstheme="minorHAnsi"/>
        </w:rPr>
      </w:pPr>
      <w:r w:rsidRPr="0077619B">
        <w:rPr>
          <w:rFonts w:cstheme="minorHAnsi"/>
        </w:rPr>
        <w:t xml:space="preserve">Dose and method of administration </w:t>
      </w:r>
    </w:p>
    <w:p w14:paraId="729C106E" w14:textId="03C76310" w:rsidR="009F7DA5" w:rsidRPr="0077619B" w:rsidRDefault="007B6410" w:rsidP="00B2372D">
      <w:r>
        <w:t>Beovu</w:t>
      </w:r>
      <w:r w:rsidR="009F7DA5" w:rsidRPr="0077619B">
        <w:t xml:space="preserve"> must be administered by a qualified </w:t>
      </w:r>
      <w:r w:rsidR="00673B5E" w:rsidRPr="00673B5E">
        <w:t>ophthalmologist experience</w:t>
      </w:r>
      <w:r w:rsidR="002A2626">
        <w:t xml:space="preserve">d in administering intravitreal </w:t>
      </w:r>
      <w:r w:rsidR="00673B5E" w:rsidRPr="00673B5E">
        <w:t>injections</w:t>
      </w:r>
      <w:r w:rsidR="009F7DA5" w:rsidRPr="0077619B">
        <w:t>.</w:t>
      </w:r>
    </w:p>
    <w:p w14:paraId="7972BA09" w14:textId="13300521" w:rsidR="009F7DA5" w:rsidRPr="0077619B" w:rsidRDefault="003E1DCA" w:rsidP="00915021">
      <w:pPr>
        <w:pStyle w:val="Heading3"/>
      </w:pPr>
      <w:r>
        <w:lastRenderedPageBreak/>
        <w:t>Dosage</w:t>
      </w:r>
    </w:p>
    <w:p w14:paraId="0BDC592C" w14:textId="25987074" w:rsidR="008B13E9" w:rsidRDefault="00673B5E">
      <w:r>
        <w:t xml:space="preserve">The recommended dose is 6 mg brolucizumab (0.05 </w:t>
      </w:r>
      <w:r w:rsidR="003E1DCA">
        <w:t>mL</w:t>
      </w:r>
      <w:r>
        <w:t xml:space="preserve"> solution) administered by intravitreal injection every 4 weeks (monthly) for the first 3 doses. Thereafter, the physician may individualise treatment intervals based on disease activity as assessed by visual acuity and/or anatomical parameters. A disease activity assessment is suggested 16 weeks (4 months) after treatment start. In patients with disease activity, treatment every 8 weeks (2 months) should be considered. In patients without disease activity, treatment up to every 12 weeks (3 months) should be considered. The physician may further individualise treatment intervals based on disease activity</w:t>
      </w:r>
      <w:r w:rsidR="009F7DA5" w:rsidRPr="0077619B">
        <w:t>.</w:t>
      </w:r>
      <w:r w:rsidR="00FD3522">
        <w:t xml:space="preserve"> </w:t>
      </w:r>
    </w:p>
    <w:p w14:paraId="651C70D6" w14:textId="472C5C43" w:rsidR="009F7DA5" w:rsidRDefault="00FD3522">
      <w:r w:rsidRPr="00FD3522">
        <w:t>If visual and anatomical outcom</w:t>
      </w:r>
      <w:r>
        <w:t xml:space="preserve">es indicate that the patient is </w:t>
      </w:r>
      <w:r w:rsidRPr="00FD3522">
        <w:t>not benefiting from continued treatment, Beovu should be discontinued.</w:t>
      </w:r>
    </w:p>
    <w:p w14:paraId="1B9BE3CA" w14:textId="77777777" w:rsidR="009F7DA5" w:rsidRPr="0077619B" w:rsidRDefault="009F7DA5" w:rsidP="00915021">
      <w:pPr>
        <w:pStyle w:val="Heading3"/>
      </w:pPr>
      <w:r w:rsidRPr="0077619B">
        <w:t>Special populations</w:t>
      </w:r>
    </w:p>
    <w:p w14:paraId="3920F22B" w14:textId="77777777" w:rsidR="002833EF" w:rsidRPr="0077619B" w:rsidRDefault="002833EF" w:rsidP="002833EF">
      <w:pPr>
        <w:pStyle w:val="Heading4"/>
      </w:pPr>
      <w:r w:rsidRPr="0077619B">
        <w:t>Hepatic impairment</w:t>
      </w:r>
    </w:p>
    <w:p w14:paraId="3FF72666" w14:textId="641EE875" w:rsidR="002833EF" w:rsidRPr="0077619B" w:rsidRDefault="002833EF" w:rsidP="002833EF">
      <w:r w:rsidRPr="0077619B">
        <w:t xml:space="preserve">No dosage regimen adjustment is required in patients with hepatic impairment (see </w:t>
      </w:r>
      <w:r w:rsidR="00A8227F">
        <w:t>S</w:t>
      </w:r>
      <w:r w:rsidRPr="0077619B">
        <w:t>ection 5.2</w:t>
      </w:r>
      <w:r w:rsidR="00A8227F">
        <w:t xml:space="preserve"> </w:t>
      </w:r>
      <w:r w:rsidR="00A8227F" w:rsidRPr="00A8227F">
        <w:t>PHARMACOKINETIC PROPERTIES</w:t>
      </w:r>
      <w:r w:rsidRPr="0077619B">
        <w:t>).</w:t>
      </w:r>
    </w:p>
    <w:p w14:paraId="6CDDA87A" w14:textId="77777777" w:rsidR="002833EF" w:rsidRPr="0077619B" w:rsidRDefault="002833EF" w:rsidP="002833EF">
      <w:pPr>
        <w:pStyle w:val="Heading4"/>
      </w:pPr>
      <w:r w:rsidRPr="0077619B">
        <w:t>Renal impairment</w:t>
      </w:r>
    </w:p>
    <w:p w14:paraId="0E95400B" w14:textId="10C8B3F0" w:rsidR="002833EF" w:rsidRPr="0077619B" w:rsidRDefault="002833EF" w:rsidP="002833EF">
      <w:r w:rsidRPr="0077619B">
        <w:t xml:space="preserve">No dosage regimen adjustment is required in patients with renal impairment (see </w:t>
      </w:r>
      <w:r w:rsidR="00A8227F">
        <w:t>S</w:t>
      </w:r>
      <w:r w:rsidRPr="0077619B">
        <w:t>ection 5.2</w:t>
      </w:r>
      <w:r w:rsidR="00A8227F">
        <w:t xml:space="preserve"> PHARMACOKINETIC PROPERTIES</w:t>
      </w:r>
      <w:r w:rsidRPr="0077619B">
        <w:t>).</w:t>
      </w:r>
    </w:p>
    <w:p w14:paraId="7F2725CF" w14:textId="5AC83506" w:rsidR="002833EF" w:rsidRPr="0077619B" w:rsidRDefault="002833EF" w:rsidP="002833EF">
      <w:pPr>
        <w:pStyle w:val="Heading4"/>
      </w:pPr>
      <w:r w:rsidRPr="0077619B">
        <w:t>Elderly patients (aged 65 years and over)</w:t>
      </w:r>
    </w:p>
    <w:p w14:paraId="1BE27C53" w14:textId="7EABB315" w:rsidR="002833EF" w:rsidRPr="0077619B" w:rsidRDefault="002833EF" w:rsidP="002833EF">
      <w:r w:rsidRPr="0077619B">
        <w:t xml:space="preserve">No dose adjustment is required in patients aged 65 years or above (see </w:t>
      </w:r>
      <w:r w:rsidR="00A8227F">
        <w:t>S</w:t>
      </w:r>
      <w:r w:rsidRPr="0077619B">
        <w:t>ection 5.2</w:t>
      </w:r>
      <w:r w:rsidR="00A8227F">
        <w:t xml:space="preserve"> PHARMACOKINETIC PROPERTIES</w:t>
      </w:r>
      <w:r w:rsidRPr="0077619B">
        <w:t>).</w:t>
      </w:r>
    </w:p>
    <w:p w14:paraId="4D1B08FC" w14:textId="4B7DBD44" w:rsidR="002833EF" w:rsidRPr="0077619B" w:rsidRDefault="002833EF" w:rsidP="002833EF">
      <w:pPr>
        <w:pStyle w:val="Heading4"/>
      </w:pPr>
      <w:r w:rsidRPr="0077619B">
        <w:t>Paediatric patients (below 18 years)</w:t>
      </w:r>
    </w:p>
    <w:p w14:paraId="21349054" w14:textId="1C0235FA" w:rsidR="002833EF" w:rsidRPr="0077619B" w:rsidRDefault="002833EF" w:rsidP="002833EF">
      <w:r w:rsidRPr="0077619B">
        <w:t xml:space="preserve">The safety and efficacy of </w:t>
      </w:r>
      <w:r w:rsidR="007B6410">
        <w:t>Beovu</w:t>
      </w:r>
      <w:r w:rsidRPr="0077619B">
        <w:t xml:space="preserve"> in children and adolescents below 18 years of age have not been established.</w:t>
      </w:r>
    </w:p>
    <w:p w14:paraId="349405A9" w14:textId="77777777" w:rsidR="009F7DA5" w:rsidRPr="0077619B" w:rsidRDefault="009F7DA5" w:rsidP="00915021">
      <w:pPr>
        <w:pStyle w:val="Heading3"/>
      </w:pPr>
      <w:r w:rsidRPr="0077619B">
        <w:t>Method of administration</w:t>
      </w:r>
    </w:p>
    <w:p w14:paraId="6ECD06FB" w14:textId="1BDD695A" w:rsidR="009F7DA5" w:rsidRPr="0077619B" w:rsidRDefault="007B6410" w:rsidP="00B2372D">
      <w:r>
        <w:t>Beovu</w:t>
      </w:r>
      <w:r w:rsidR="009F7DA5" w:rsidRPr="0077619B">
        <w:t xml:space="preserve"> is for intravitreal use only.</w:t>
      </w:r>
    </w:p>
    <w:p w14:paraId="5C34E6CF" w14:textId="181F57A5" w:rsidR="0006389B" w:rsidRPr="009109BB" w:rsidRDefault="009F7DA5" w:rsidP="0006389B">
      <w:pPr>
        <w:rPr>
          <w:rFonts w:eastAsia="SimSun"/>
          <w:lang w:eastAsia="en-GB"/>
        </w:rPr>
      </w:pPr>
      <w:r w:rsidRPr="0077619B">
        <w:t xml:space="preserve">As with all medicinal products for intravitreal use, </w:t>
      </w:r>
      <w:r w:rsidR="0006389B">
        <w:t>t</w:t>
      </w:r>
      <w:r w:rsidR="0006389B" w:rsidRPr="009109BB">
        <w:rPr>
          <w:rFonts w:eastAsia="SimSun"/>
          <w:lang w:eastAsia="en-GB"/>
        </w:rPr>
        <w:t xml:space="preserve">he solution should be inspected visually upon removal from the refrigerator and prior to administration. If particulates or cloudiness are visible, </w:t>
      </w:r>
      <w:r w:rsidR="007B6410">
        <w:rPr>
          <w:rFonts w:eastAsia="SimSun"/>
          <w:lang w:eastAsia="en-GB"/>
        </w:rPr>
        <w:t>Beovu</w:t>
      </w:r>
      <w:r w:rsidR="0006389B" w:rsidRPr="009109BB">
        <w:rPr>
          <w:rFonts w:eastAsia="SimSun"/>
          <w:lang w:eastAsia="en-GB"/>
        </w:rPr>
        <w:t xml:space="preserve"> must not be used and appropriate replacement procedures followed.</w:t>
      </w:r>
    </w:p>
    <w:p w14:paraId="0A7789EC" w14:textId="5CC659A0" w:rsidR="0006389B" w:rsidRPr="009109BB" w:rsidRDefault="0006389B" w:rsidP="0006389B">
      <w:pPr>
        <w:widowControl w:val="0"/>
        <w:spacing w:line="240" w:lineRule="auto"/>
        <w:rPr>
          <w:noProof/>
        </w:rPr>
      </w:pPr>
      <w:r w:rsidRPr="009109BB">
        <w:rPr>
          <w:rFonts w:eastAsia="SimSun"/>
          <w:lang w:eastAsia="en-GB"/>
        </w:rPr>
        <w:t xml:space="preserve">Do not use if the packaging, or </w:t>
      </w:r>
      <w:r>
        <w:rPr>
          <w:rFonts w:eastAsia="SimSun"/>
          <w:lang w:eastAsia="en-GB"/>
        </w:rPr>
        <w:t xml:space="preserve">its content is </w:t>
      </w:r>
      <w:r w:rsidRPr="009109BB">
        <w:rPr>
          <w:rFonts w:eastAsia="SimSun"/>
          <w:lang w:eastAsia="en-GB"/>
        </w:rPr>
        <w:t>damaged or expired.</w:t>
      </w:r>
      <w:r w:rsidRPr="009109BB">
        <w:rPr>
          <w:noProof/>
        </w:rPr>
        <w:t xml:space="preserve"> Detailed instructions for use are provided </w:t>
      </w:r>
      <w:r w:rsidR="009B7C52">
        <w:rPr>
          <w:noProof/>
        </w:rPr>
        <w:t xml:space="preserve">in the pack </w:t>
      </w:r>
      <w:r w:rsidRPr="009109BB">
        <w:rPr>
          <w:noProof/>
        </w:rPr>
        <w:t xml:space="preserve">in the </w:t>
      </w:r>
      <w:r w:rsidR="009B7C52">
        <w:rPr>
          <w:noProof/>
        </w:rPr>
        <w:t>‘</w:t>
      </w:r>
      <w:r w:rsidR="009B7C52">
        <w:t>How to Use’ leaflet</w:t>
      </w:r>
      <w:r w:rsidRPr="009109BB">
        <w:rPr>
          <w:noProof/>
        </w:rPr>
        <w:t>.</w:t>
      </w:r>
    </w:p>
    <w:p w14:paraId="1E3C11F7" w14:textId="05722664" w:rsidR="009F7DA5" w:rsidRPr="0077619B" w:rsidRDefault="009F7DA5" w:rsidP="00B2372D">
      <w:r w:rsidRPr="0077619B">
        <w:t xml:space="preserve">The injection procedure should be carried out under aseptic conditions, which includes the use of surgical hand disinfection, sterile gloves, a sterile drape and a sterile eyelid speculum (or equivalent). Sterile paracentesis equipment should be available as a precautionary measure. The patient’s </w:t>
      </w:r>
      <w:r w:rsidRPr="0077619B">
        <w:lastRenderedPageBreak/>
        <w:t xml:space="preserve">medical history for hypersensitivity reactions should be carefully evaluated prior to performing the intravitreal procedure (see </w:t>
      </w:r>
      <w:r w:rsidR="00A8227F">
        <w:t>S</w:t>
      </w:r>
      <w:r w:rsidRPr="0077619B">
        <w:t>ection 4.3</w:t>
      </w:r>
      <w:r w:rsidR="00A8227F">
        <w:t xml:space="preserve"> </w:t>
      </w:r>
      <w:r w:rsidR="00A8227F" w:rsidRPr="00A8227F">
        <w:t>CONTRAINDICATIONS</w:t>
      </w:r>
      <w:r w:rsidRPr="0077619B">
        <w:t>). Adequate anaesthesia and a broad</w:t>
      </w:r>
      <w:r w:rsidRPr="0077619B">
        <w:noBreakHyphen/>
        <w:t>spectrum topical microbicide to disinfect the periocular skin, eyelid and ocular surface should be administered prior to the injection.</w:t>
      </w:r>
    </w:p>
    <w:p w14:paraId="09E558E1" w14:textId="07378ED1" w:rsidR="009F7DA5" w:rsidRPr="0077619B" w:rsidRDefault="009F7DA5" w:rsidP="00B2372D">
      <w:r w:rsidRPr="0077619B">
        <w:t>The injection needle should be inserted 3.5 to 4.0 mm posterior to the limbus into the vitreous cavity, avoiding the horizontal meridian and aiming towards the centre of the globe. The injection volume of 0.05 </w:t>
      </w:r>
      <w:r w:rsidR="003E1DCA">
        <w:t>mL</w:t>
      </w:r>
      <w:r w:rsidRPr="0077619B">
        <w:t xml:space="preserve"> is then delivered slowly; a different scleral site should be used for subsequent injections.</w:t>
      </w:r>
    </w:p>
    <w:p w14:paraId="1D443D93" w14:textId="796E9C26" w:rsidR="009F7DA5" w:rsidRPr="0077619B" w:rsidRDefault="009F7DA5" w:rsidP="00B2372D">
      <w:r w:rsidRPr="0077619B">
        <w:t xml:space="preserve">The safety and efficacy of </w:t>
      </w:r>
      <w:r w:rsidR="007B6410">
        <w:t>Beovu</w:t>
      </w:r>
      <w:r w:rsidRPr="0077619B">
        <w:t xml:space="preserve"> administered in both eyes concurrently have not been studied.</w:t>
      </w:r>
    </w:p>
    <w:p w14:paraId="7E60D0C2" w14:textId="77777777" w:rsidR="009F7DA5" w:rsidRPr="0077619B" w:rsidRDefault="009F7DA5" w:rsidP="00915021">
      <w:pPr>
        <w:pStyle w:val="Heading4"/>
        <w:rPr>
          <w:noProof/>
        </w:rPr>
      </w:pPr>
      <w:r w:rsidRPr="0077619B">
        <w:rPr>
          <w:noProof/>
        </w:rPr>
        <w:t>Pre</w:t>
      </w:r>
      <w:r w:rsidRPr="0077619B">
        <w:rPr>
          <w:noProof/>
        </w:rPr>
        <w:noBreakHyphen/>
        <w:t>filled syringe</w:t>
      </w:r>
    </w:p>
    <w:p w14:paraId="6335A24D" w14:textId="11D911F7" w:rsidR="009F7DA5" w:rsidRDefault="009F7DA5" w:rsidP="00B2372D">
      <w:pPr>
        <w:rPr>
          <w:rFonts w:eastAsia="Times New Roman"/>
          <w:lang w:val="en-GB" w:eastAsia="ja-JP"/>
        </w:rPr>
      </w:pPr>
      <w:r w:rsidRPr="0077619B">
        <w:rPr>
          <w:rFonts w:eastAsia="Times New Roman"/>
          <w:lang w:val="en-GB" w:eastAsia="ja-JP"/>
        </w:rPr>
        <w:t>The pre</w:t>
      </w:r>
      <w:r w:rsidRPr="0077619B">
        <w:rPr>
          <w:rFonts w:eastAsia="Times New Roman"/>
          <w:lang w:val="en-GB" w:eastAsia="ja-JP"/>
        </w:rPr>
        <w:noBreakHyphen/>
        <w:t>filled syringe is for single use only. Each pre</w:t>
      </w:r>
      <w:r w:rsidRPr="0077619B">
        <w:rPr>
          <w:rFonts w:eastAsia="Times New Roman"/>
          <w:lang w:val="en-GB" w:eastAsia="ja-JP"/>
        </w:rPr>
        <w:noBreakHyphen/>
        <w:t>filled syringe should only be used for the treatment of a single eye.</w:t>
      </w:r>
      <w:r w:rsidR="00D55509">
        <w:rPr>
          <w:rFonts w:eastAsia="Times New Roman"/>
          <w:lang w:val="en-GB" w:eastAsia="ja-JP"/>
        </w:rPr>
        <w:t xml:space="preserve"> Discard any residue.</w:t>
      </w:r>
    </w:p>
    <w:p w14:paraId="7E157AE7" w14:textId="6E698A92" w:rsidR="00FD3522" w:rsidRPr="00FD3522" w:rsidRDefault="00FD3522" w:rsidP="00FD3522">
      <w:pPr>
        <w:rPr>
          <w:rFonts w:eastAsia="Times New Roman"/>
          <w:lang w:val="en-GB" w:eastAsia="ja-JP"/>
        </w:rPr>
      </w:pPr>
      <w:r w:rsidRPr="00FD3522">
        <w:rPr>
          <w:rFonts w:eastAsia="Times New Roman"/>
          <w:lang w:val="en-GB" w:eastAsia="ja-JP"/>
        </w:rPr>
        <w:t xml:space="preserve">Since </w:t>
      </w:r>
      <w:r>
        <w:rPr>
          <w:rFonts w:eastAsia="Times New Roman"/>
          <w:lang w:val="en-GB" w:eastAsia="ja-JP"/>
        </w:rPr>
        <w:t>the volume contained in the pre-</w:t>
      </w:r>
      <w:r w:rsidRPr="00FD3522">
        <w:rPr>
          <w:rFonts w:eastAsia="Times New Roman"/>
          <w:lang w:val="en-GB" w:eastAsia="ja-JP"/>
        </w:rPr>
        <w:t xml:space="preserve">filled syringe (0.165 </w:t>
      </w:r>
      <w:r w:rsidR="003E1DCA">
        <w:rPr>
          <w:rFonts w:eastAsia="Times New Roman"/>
          <w:lang w:val="en-GB" w:eastAsia="ja-JP"/>
        </w:rPr>
        <w:t>mL</w:t>
      </w:r>
      <w:r w:rsidRPr="00FD3522">
        <w:rPr>
          <w:rFonts w:eastAsia="Times New Roman"/>
          <w:lang w:val="en-GB" w:eastAsia="ja-JP"/>
        </w:rPr>
        <w:t xml:space="preserve">) is greater than the recommended dose (0.05 </w:t>
      </w:r>
      <w:r w:rsidR="003E1DCA">
        <w:rPr>
          <w:rFonts w:eastAsia="Times New Roman"/>
          <w:lang w:val="en-GB" w:eastAsia="ja-JP"/>
        </w:rPr>
        <w:t>mL</w:t>
      </w:r>
      <w:r w:rsidRPr="00FD3522">
        <w:rPr>
          <w:rFonts w:eastAsia="Times New Roman"/>
          <w:lang w:val="en-GB" w:eastAsia="ja-JP"/>
        </w:rPr>
        <w:t>), a portion of the volume contained in the pre filled syringe must be dis</w:t>
      </w:r>
      <w:r>
        <w:rPr>
          <w:rFonts w:eastAsia="Times New Roman"/>
          <w:lang w:val="en-GB" w:eastAsia="ja-JP"/>
        </w:rPr>
        <w:t>carded prior to administration.</w:t>
      </w:r>
    </w:p>
    <w:p w14:paraId="4F92F01F" w14:textId="72B56421" w:rsidR="00FD3522" w:rsidRPr="0077619B" w:rsidRDefault="00FD3522" w:rsidP="00FD3522">
      <w:pPr>
        <w:rPr>
          <w:rFonts w:eastAsia="Times New Roman"/>
          <w:lang w:val="en-GB" w:eastAsia="ja-JP"/>
        </w:rPr>
      </w:pPr>
      <w:r w:rsidRPr="00FD3522">
        <w:rPr>
          <w:rFonts w:eastAsia="Times New Roman"/>
          <w:lang w:val="en-GB" w:eastAsia="ja-JP"/>
        </w:rPr>
        <w:t>Injecti</w:t>
      </w:r>
      <w:r>
        <w:rPr>
          <w:rFonts w:eastAsia="Times New Roman"/>
          <w:lang w:val="en-GB" w:eastAsia="ja-JP"/>
        </w:rPr>
        <w:t>ng the entire volume in the pre-</w:t>
      </w:r>
      <w:r w:rsidRPr="00FD3522">
        <w:rPr>
          <w:rFonts w:eastAsia="Times New Roman"/>
          <w:lang w:val="en-GB" w:eastAsia="ja-JP"/>
        </w:rPr>
        <w:t xml:space="preserve">filled syringe could result in overdose. To expel the air bubble along with excess medicinal product, the plunger should be slowly depressed until the edge below the dome of the rubber stopper is aligned with the 0.05 </w:t>
      </w:r>
      <w:r w:rsidR="003E1DCA">
        <w:rPr>
          <w:rFonts w:eastAsia="Times New Roman"/>
          <w:lang w:val="en-GB" w:eastAsia="ja-JP"/>
        </w:rPr>
        <w:t>mL</w:t>
      </w:r>
      <w:r w:rsidRPr="00FD3522">
        <w:rPr>
          <w:rFonts w:eastAsia="Times New Roman"/>
          <w:lang w:val="en-GB" w:eastAsia="ja-JP"/>
        </w:rPr>
        <w:t xml:space="preserve"> dose mark (equivalent to 50 µL, i.e. 6 mg brolucizumab).</w:t>
      </w:r>
    </w:p>
    <w:p w14:paraId="72836BC7" w14:textId="77777777" w:rsidR="009F7DA5" w:rsidRPr="0077619B" w:rsidRDefault="009F7DA5" w:rsidP="00915021">
      <w:pPr>
        <w:pStyle w:val="Heading4"/>
      </w:pPr>
      <w:r w:rsidRPr="0077619B">
        <w:t>Vial</w:t>
      </w:r>
    </w:p>
    <w:p w14:paraId="36CA9BC4" w14:textId="19A376F1" w:rsidR="009F7DA5" w:rsidRDefault="009F7DA5" w:rsidP="00B2372D">
      <w:pPr>
        <w:rPr>
          <w:rFonts w:eastAsia="Times New Roman"/>
          <w:lang w:val="en-GB" w:eastAsia="ja-JP"/>
        </w:rPr>
      </w:pPr>
      <w:r w:rsidRPr="0077619B">
        <w:rPr>
          <w:rFonts w:eastAsia="Times New Roman"/>
          <w:lang w:val="en-GB" w:eastAsia="ja-JP"/>
        </w:rPr>
        <w:t>The vial is for single use only. Each vial should only be used for the treatment of a single eye.</w:t>
      </w:r>
      <w:r w:rsidR="00D55509">
        <w:rPr>
          <w:rFonts w:eastAsia="Times New Roman"/>
          <w:lang w:val="en-GB" w:eastAsia="ja-JP"/>
        </w:rPr>
        <w:t xml:space="preserve"> Discard any residue.</w:t>
      </w:r>
    </w:p>
    <w:p w14:paraId="698D9BA1" w14:textId="022F0283" w:rsidR="00FD3522" w:rsidRPr="00FD3522" w:rsidRDefault="00FD3522" w:rsidP="00FD3522">
      <w:pPr>
        <w:rPr>
          <w:rFonts w:eastAsia="Times New Roman"/>
          <w:lang w:val="en-GB" w:eastAsia="ja-JP"/>
        </w:rPr>
      </w:pPr>
      <w:r w:rsidRPr="00FD3522">
        <w:rPr>
          <w:rFonts w:eastAsia="Times New Roman"/>
          <w:lang w:val="en-GB" w:eastAsia="ja-JP"/>
        </w:rPr>
        <w:t xml:space="preserve">Since the volume contained in the vial (0.23 </w:t>
      </w:r>
      <w:r w:rsidR="003E1DCA">
        <w:rPr>
          <w:rFonts w:eastAsia="Times New Roman"/>
          <w:lang w:val="en-GB" w:eastAsia="ja-JP"/>
        </w:rPr>
        <w:t>mL</w:t>
      </w:r>
      <w:r w:rsidRPr="00FD3522">
        <w:rPr>
          <w:rFonts w:eastAsia="Times New Roman"/>
          <w:lang w:val="en-GB" w:eastAsia="ja-JP"/>
        </w:rPr>
        <w:t xml:space="preserve">) is greater than the recommended dose (0.05 </w:t>
      </w:r>
      <w:r w:rsidR="003E1DCA">
        <w:rPr>
          <w:rFonts w:eastAsia="Times New Roman"/>
          <w:lang w:val="en-GB" w:eastAsia="ja-JP"/>
        </w:rPr>
        <w:t>mL</w:t>
      </w:r>
      <w:r w:rsidRPr="00FD3522">
        <w:rPr>
          <w:rFonts w:eastAsia="Times New Roman"/>
          <w:lang w:val="en-GB" w:eastAsia="ja-JP"/>
        </w:rPr>
        <w:t>), a portion of the volume contained in the vial must be dis</w:t>
      </w:r>
      <w:r>
        <w:rPr>
          <w:rFonts w:eastAsia="Times New Roman"/>
          <w:lang w:val="en-GB" w:eastAsia="ja-JP"/>
        </w:rPr>
        <w:t>carded prior to administration.</w:t>
      </w:r>
    </w:p>
    <w:p w14:paraId="2F16C86E" w14:textId="629A8CD7" w:rsidR="00FD3522" w:rsidRPr="0077619B" w:rsidRDefault="00FD3522" w:rsidP="00FD3522">
      <w:pPr>
        <w:rPr>
          <w:rFonts w:eastAsia="Times New Roman"/>
          <w:lang w:val="en-GB" w:eastAsia="ja-JP"/>
        </w:rPr>
      </w:pPr>
      <w:r w:rsidRPr="00FD3522">
        <w:rPr>
          <w:rFonts w:eastAsia="Times New Roman"/>
          <w:lang w:val="en-GB" w:eastAsia="ja-JP"/>
        </w:rPr>
        <w:t xml:space="preserve">Injecting the entire volume in the vial could result in overdose. To expel the air bubble along with excess medicinal product, the air should be carefully expelled from the syringe and the dose adjusted to the 0.05 </w:t>
      </w:r>
      <w:r w:rsidR="003E1DCA">
        <w:rPr>
          <w:rFonts w:eastAsia="Times New Roman"/>
          <w:lang w:val="en-GB" w:eastAsia="ja-JP"/>
        </w:rPr>
        <w:t>mL</w:t>
      </w:r>
      <w:r w:rsidRPr="00FD3522">
        <w:rPr>
          <w:rFonts w:eastAsia="Times New Roman"/>
          <w:lang w:val="en-GB" w:eastAsia="ja-JP"/>
        </w:rPr>
        <w:t xml:space="preserve"> mark (equivalent to 50 µL, i.e. 6 mg brolucizumab).</w:t>
      </w:r>
    </w:p>
    <w:p w14:paraId="2591EA0F" w14:textId="77777777" w:rsidR="001A3992" w:rsidRPr="0077619B" w:rsidRDefault="001A3992" w:rsidP="001A3992">
      <w:pPr>
        <w:pStyle w:val="Heading2"/>
        <w:spacing w:before="0" w:after="120"/>
        <w:rPr>
          <w:rFonts w:cstheme="minorHAnsi"/>
        </w:rPr>
      </w:pPr>
      <w:r w:rsidRPr="0077619B">
        <w:rPr>
          <w:rFonts w:cstheme="minorHAnsi"/>
        </w:rPr>
        <w:t>Contraindications</w:t>
      </w:r>
    </w:p>
    <w:p w14:paraId="02096132" w14:textId="299EDEA4" w:rsidR="00B2372D" w:rsidRPr="0077619B" w:rsidRDefault="00B2372D" w:rsidP="00A8227F">
      <w:pPr>
        <w:pStyle w:val="ListParagraph"/>
        <w:widowControl w:val="0"/>
        <w:numPr>
          <w:ilvl w:val="0"/>
          <w:numId w:val="22"/>
        </w:numPr>
        <w:rPr>
          <w:rFonts w:asciiTheme="minorHAnsi" w:hAnsiTheme="minorHAnsi"/>
        </w:rPr>
      </w:pPr>
      <w:r w:rsidRPr="0077619B">
        <w:rPr>
          <w:rFonts w:asciiTheme="minorHAnsi" w:hAnsiTheme="minorHAnsi"/>
        </w:rPr>
        <w:t>Hypersensitivity to the active substance or to any of the excipients</w:t>
      </w:r>
      <w:r w:rsidR="00DE2D44">
        <w:rPr>
          <w:rFonts w:asciiTheme="minorHAnsi" w:hAnsiTheme="minorHAnsi"/>
        </w:rPr>
        <w:t xml:space="preserve"> (</w:t>
      </w:r>
      <w:r w:rsidR="00D66030">
        <w:rPr>
          <w:rFonts w:asciiTheme="minorHAnsi" w:hAnsiTheme="minorHAnsi"/>
        </w:rPr>
        <w:t>see</w:t>
      </w:r>
      <w:r w:rsidRPr="0077619B">
        <w:rPr>
          <w:rFonts w:asciiTheme="minorHAnsi" w:hAnsiTheme="minorHAnsi"/>
        </w:rPr>
        <w:t xml:space="preserve"> </w:t>
      </w:r>
      <w:r w:rsidR="00A8227F">
        <w:rPr>
          <w:rFonts w:asciiTheme="minorHAnsi" w:hAnsiTheme="minorHAnsi"/>
        </w:rPr>
        <w:t>S</w:t>
      </w:r>
      <w:r w:rsidRPr="0077619B">
        <w:rPr>
          <w:rFonts w:asciiTheme="minorHAnsi" w:hAnsiTheme="minorHAnsi"/>
        </w:rPr>
        <w:t>ection 6.1</w:t>
      </w:r>
      <w:r w:rsidR="00A8227F">
        <w:rPr>
          <w:rFonts w:asciiTheme="minorHAnsi" w:hAnsiTheme="minorHAnsi"/>
        </w:rPr>
        <w:t xml:space="preserve"> </w:t>
      </w:r>
      <w:r w:rsidR="00A8227F" w:rsidRPr="00A8227F">
        <w:rPr>
          <w:rFonts w:asciiTheme="minorHAnsi" w:hAnsiTheme="minorHAnsi"/>
        </w:rPr>
        <w:t>LIST OF EXCIPIENTS</w:t>
      </w:r>
      <w:r w:rsidR="00DE2D44">
        <w:rPr>
          <w:rFonts w:asciiTheme="minorHAnsi" w:hAnsiTheme="minorHAnsi"/>
        </w:rPr>
        <w:t>)</w:t>
      </w:r>
      <w:r w:rsidRPr="0077619B">
        <w:rPr>
          <w:rFonts w:asciiTheme="minorHAnsi" w:hAnsiTheme="minorHAnsi"/>
        </w:rPr>
        <w:t>.</w:t>
      </w:r>
    </w:p>
    <w:p w14:paraId="58255F72" w14:textId="77777777" w:rsidR="00B2372D" w:rsidRPr="0077619B" w:rsidRDefault="00B2372D" w:rsidP="00B2372D">
      <w:pPr>
        <w:pStyle w:val="ListParagraph"/>
        <w:widowControl w:val="0"/>
        <w:numPr>
          <w:ilvl w:val="0"/>
          <w:numId w:val="22"/>
        </w:numPr>
        <w:ind w:left="357" w:hanging="357"/>
        <w:rPr>
          <w:rFonts w:asciiTheme="minorHAnsi" w:hAnsiTheme="minorHAnsi"/>
        </w:rPr>
      </w:pPr>
      <w:r w:rsidRPr="0077619B">
        <w:rPr>
          <w:rFonts w:asciiTheme="minorHAnsi" w:hAnsiTheme="minorHAnsi"/>
        </w:rPr>
        <w:t>Patients with active or suspected ocular or periocular infections.</w:t>
      </w:r>
    </w:p>
    <w:p w14:paraId="16BF58B3" w14:textId="77777777" w:rsidR="00B2372D" w:rsidRPr="0077619B" w:rsidRDefault="00B2372D" w:rsidP="00B2372D">
      <w:pPr>
        <w:pStyle w:val="ListParagraph"/>
        <w:widowControl w:val="0"/>
        <w:numPr>
          <w:ilvl w:val="0"/>
          <w:numId w:val="22"/>
        </w:numPr>
        <w:ind w:left="357" w:hanging="357"/>
        <w:rPr>
          <w:rFonts w:asciiTheme="minorHAnsi" w:hAnsiTheme="minorHAnsi"/>
        </w:rPr>
      </w:pPr>
      <w:r w:rsidRPr="0077619B">
        <w:rPr>
          <w:rFonts w:asciiTheme="minorHAnsi" w:hAnsiTheme="minorHAnsi"/>
        </w:rPr>
        <w:t>Patients with active intraocular inflammation.</w:t>
      </w:r>
    </w:p>
    <w:p w14:paraId="77FF628D" w14:textId="77777777" w:rsidR="001A3992" w:rsidRPr="0077619B" w:rsidRDefault="00E74A56" w:rsidP="001A3992">
      <w:pPr>
        <w:pStyle w:val="Heading2"/>
        <w:spacing w:before="0" w:after="120"/>
        <w:rPr>
          <w:rFonts w:cstheme="minorHAnsi"/>
        </w:rPr>
      </w:pPr>
      <w:r w:rsidRPr="0077619B">
        <w:rPr>
          <w:rFonts w:cstheme="minorHAnsi"/>
        </w:rPr>
        <w:t>Special warnings and p</w:t>
      </w:r>
      <w:r w:rsidR="001A3992" w:rsidRPr="0077619B">
        <w:rPr>
          <w:rFonts w:cstheme="minorHAnsi"/>
        </w:rPr>
        <w:t xml:space="preserve">recautions </w:t>
      </w:r>
      <w:r w:rsidRPr="0077619B">
        <w:rPr>
          <w:rFonts w:cstheme="minorHAnsi"/>
        </w:rPr>
        <w:t>for use</w:t>
      </w:r>
    </w:p>
    <w:p w14:paraId="505335F3" w14:textId="4ED0087A" w:rsidR="00B2372D" w:rsidRPr="0077619B" w:rsidRDefault="00B2372D" w:rsidP="00B2372D">
      <w:pPr>
        <w:pStyle w:val="Heading3"/>
      </w:pPr>
      <w:r w:rsidRPr="0077619B">
        <w:lastRenderedPageBreak/>
        <w:t>Intravitreal injection</w:t>
      </w:r>
      <w:r w:rsidRPr="0077619B">
        <w:noBreakHyphen/>
        <w:t>related reactions</w:t>
      </w:r>
    </w:p>
    <w:p w14:paraId="58844A8D" w14:textId="13147717" w:rsidR="00B2372D" w:rsidRPr="0077619B" w:rsidRDefault="00B2372D" w:rsidP="00FB4A0F">
      <w:r w:rsidRPr="0077619B">
        <w:t xml:space="preserve">Intravitreal injections, including those with </w:t>
      </w:r>
      <w:r w:rsidR="007B6410">
        <w:t>Beovu</w:t>
      </w:r>
      <w:r w:rsidRPr="0077619B">
        <w:t>, have been associated with endophthalmitis</w:t>
      </w:r>
      <w:r w:rsidR="00390EC5">
        <w:t xml:space="preserve">, </w:t>
      </w:r>
      <w:r w:rsidR="002867D8">
        <w:t>intraocular inflammation</w:t>
      </w:r>
      <w:r w:rsidR="00390EC5">
        <w:t>,</w:t>
      </w:r>
      <w:r w:rsidRPr="0077619B">
        <w:t xml:space="preserve"> and retinal detachment (see </w:t>
      </w:r>
      <w:r w:rsidR="00A8227F">
        <w:t>S</w:t>
      </w:r>
      <w:r w:rsidRPr="0077619B">
        <w:t>ection 4.8</w:t>
      </w:r>
      <w:r w:rsidR="00A8227F">
        <w:t xml:space="preserve"> </w:t>
      </w:r>
      <w:r w:rsidR="00A8227F" w:rsidRPr="00A8227F">
        <w:t>ADVERSE EFFECT</w:t>
      </w:r>
      <w:r w:rsidR="00A8227F">
        <w:t>S</w:t>
      </w:r>
      <w:r w:rsidR="00A8227F" w:rsidRPr="00A8227F">
        <w:t xml:space="preserve"> (UNDESIRABLE EFFECTS)</w:t>
      </w:r>
      <w:r w:rsidRPr="0077619B">
        <w:t xml:space="preserve">). Proper aseptic injection techniques must always be used when administering </w:t>
      </w:r>
      <w:r w:rsidR="007B6410">
        <w:t>Beovu</w:t>
      </w:r>
      <w:r w:rsidRPr="0077619B">
        <w:t>. Patients should be instructed to report any symptoms suggestive of the above</w:t>
      </w:r>
      <w:r w:rsidRPr="0077619B">
        <w:noBreakHyphen/>
        <w:t>mentioned events without delay.</w:t>
      </w:r>
    </w:p>
    <w:p w14:paraId="61660947" w14:textId="35A85AB9" w:rsidR="00B2372D" w:rsidRDefault="00B2372D" w:rsidP="00FB4A0F">
      <w:r w:rsidRPr="0077619B">
        <w:t xml:space="preserve">Transient increases in intraocular pressure have been seen within 30 minutes of injection, similar to those observed with intravitreal administration of other VEGF inhibitors (see </w:t>
      </w:r>
      <w:r w:rsidR="00A8227F">
        <w:t>S</w:t>
      </w:r>
      <w:r w:rsidRPr="0077619B">
        <w:t>ection 4.8</w:t>
      </w:r>
      <w:r w:rsidR="00A8227F">
        <w:t xml:space="preserve"> </w:t>
      </w:r>
      <w:r w:rsidR="00A8227F" w:rsidRPr="00A8227F">
        <w:t>ADVERSE EFFECT</w:t>
      </w:r>
      <w:r w:rsidR="00A8227F">
        <w:t>S</w:t>
      </w:r>
      <w:r w:rsidR="00A8227F" w:rsidRPr="00A8227F">
        <w:t xml:space="preserve"> (UNDESIRABLE EFFECTS)</w:t>
      </w:r>
      <w:r w:rsidRPr="0077619B">
        <w:t xml:space="preserve">). Sustained intraocular pressure increases have also been reported with </w:t>
      </w:r>
      <w:r w:rsidR="007B6410">
        <w:t>Beovu</w:t>
      </w:r>
      <w:r w:rsidRPr="0077619B">
        <w:t>. Both intraocular pressure and perfusion of the optic nerve head must be monitored and managed appropriately.</w:t>
      </w:r>
      <w:r w:rsidR="00FD3522">
        <w:t xml:space="preserve"> </w:t>
      </w:r>
      <w:r w:rsidR="00FD3522" w:rsidRPr="00FD3522">
        <w:t>Special precaution is needed in patients with poorly controlled glaucoma</w:t>
      </w:r>
      <w:r w:rsidR="00FD3522">
        <w:t>.</w:t>
      </w:r>
    </w:p>
    <w:p w14:paraId="1F2DE8A1" w14:textId="3CC0F0B3" w:rsidR="00D57726" w:rsidRDefault="008D1666" w:rsidP="0031435A">
      <w:pPr>
        <w:pStyle w:val="Heading3"/>
      </w:pPr>
      <w:r>
        <w:t>Arterial t</w:t>
      </w:r>
      <w:r w:rsidR="00D57726" w:rsidRPr="00D57726">
        <w:t>hromboembolic events</w:t>
      </w:r>
    </w:p>
    <w:p w14:paraId="149A7354" w14:textId="16AD4726" w:rsidR="00D57726" w:rsidRDefault="009476D7" w:rsidP="00FB4A0F">
      <w:r w:rsidRPr="009476D7">
        <w:t>There is a potential risk of arterial thromboembolic events (ATE) following intravitreal use of VEGF inhibitors. ATEs include for example ischaemic stroke or myocardial infarction</w:t>
      </w:r>
      <w:r>
        <w:t>.</w:t>
      </w:r>
      <w:r w:rsidR="00B33588" w:rsidDel="00B33588">
        <w:rPr>
          <w:rStyle w:val="CommentReference"/>
          <w:rFonts w:ascii="Cambria" w:hAnsi="Cambria"/>
        </w:rPr>
        <w:t xml:space="preserve"> </w:t>
      </w:r>
    </w:p>
    <w:p w14:paraId="4CDD9B8A" w14:textId="508DAFDB" w:rsidR="00A47AE9" w:rsidRPr="00FB4A0F" w:rsidRDefault="00A47AE9" w:rsidP="00FB4A0F">
      <w:pPr>
        <w:pStyle w:val="Heading3"/>
      </w:pPr>
      <w:r w:rsidRPr="00FB4A0F">
        <w:t>Bilateral treatment</w:t>
      </w:r>
    </w:p>
    <w:p w14:paraId="094E11DA" w14:textId="3541E977" w:rsidR="00A47AE9" w:rsidRPr="00FB4A0F" w:rsidRDefault="00A47AE9" w:rsidP="00FB4A0F">
      <w:pPr>
        <w:rPr>
          <w:lang w:val="en-US"/>
        </w:rPr>
      </w:pPr>
      <w:r w:rsidRPr="00A47AE9">
        <w:t xml:space="preserve">The safety and efficacy of brolucizumab administered in both </w:t>
      </w:r>
      <w:r>
        <w:t xml:space="preserve">eyes concurrently have not been </w:t>
      </w:r>
      <w:r w:rsidRPr="00A47AE9">
        <w:t>studied</w:t>
      </w:r>
      <w:r w:rsidRPr="004D768B">
        <w:t>.</w:t>
      </w:r>
    </w:p>
    <w:p w14:paraId="54BEEA8E" w14:textId="3B38209E" w:rsidR="00A47AE9" w:rsidRPr="00FB4A0F" w:rsidRDefault="00A47AE9" w:rsidP="00FB4A0F">
      <w:pPr>
        <w:pStyle w:val="Heading3"/>
      </w:pPr>
      <w:r w:rsidRPr="00FB4A0F">
        <w:t>Immunogenicity</w:t>
      </w:r>
    </w:p>
    <w:p w14:paraId="1AA6578C" w14:textId="22644B7B" w:rsidR="00A47AE9" w:rsidRPr="00A47AE9" w:rsidRDefault="00A47AE9" w:rsidP="00FB4A0F">
      <w:r w:rsidRPr="00FB4A0F">
        <w:t xml:space="preserve">As this is a therapeutic protein, there is a potential for immunogenicity with brolucizumab </w:t>
      </w:r>
      <w:r w:rsidR="00A8227F" w:rsidRPr="004D768B">
        <w:t>(see S</w:t>
      </w:r>
      <w:r w:rsidRPr="00FB4A0F">
        <w:t>ection</w:t>
      </w:r>
      <w:r w:rsidRPr="004D768B">
        <w:t xml:space="preserve"> </w:t>
      </w:r>
      <w:r w:rsidRPr="00FB4A0F">
        <w:t>4.8</w:t>
      </w:r>
      <w:r w:rsidR="00A8227F">
        <w:t xml:space="preserve"> </w:t>
      </w:r>
      <w:r w:rsidR="00A8227F" w:rsidRPr="00A8227F">
        <w:t>ADVERSE EFFECT</w:t>
      </w:r>
      <w:r w:rsidR="00A8227F">
        <w:t>S</w:t>
      </w:r>
      <w:r w:rsidR="00A8227F" w:rsidRPr="00A8227F">
        <w:t xml:space="preserve"> (UNDESIRABLE EFFECTS)</w:t>
      </w:r>
      <w:r w:rsidRPr="00FB4A0F">
        <w:t xml:space="preserve">). Patients should be instructed to inform their physician if they develop symptoms such as eye pain or increased discomfort, worsening eye redness, </w:t>
      </w:r>
      <w:r w:rsidRPr="004D768B">
        <w:t xml:space="preserve">blurred or decreased vision, an </w:t>
      </w:r>
      <w:r w:rsidRPr="00FB4A0F">
        <w:t>increased number of small particles in their vision, or incre</w:t>
      </w:r>
      <w:r w:rsidR="00A8227F" w:rsidRPr="004D768B">
        <w:t>ased sensitivity to light (see S</w:t>
      </w:r>
      <w:r w:rsidRPr="00FB4A0F">
        <w:t>ection</w:t>
      </w:r>
      <w:r w:rsidRPr="004D768B">
        <w:t xml:space="preserve"> </w:t>
      </w:r>
      <w:r w:rsidRPr="00FB4A0F">
        <w:t>4.8</w:t>
      </w:r>
      <w:r w:rsidR="00A8227F">
        <w:t xml:space="preserve"> </w:t>
      </w:r>
      <w:r w:rsidR="00A8227F" w:rsidRPr="00A8227F">
        <w:t>ADVERSE EFFECT</w:t>
      </w:r>
      <w:r w:rsidR="00A8227F">
        <w:t>S</w:t>
      </w:r>
      <w:r w:rsidR="00A8227F" w:rsidRPr="00A8227F">
        <w:t xml:space="preserve"> (UNDESIRABLE EFFECTS)</w:t>
      </w:r>
      <w:r w:rsidRPr="00FB4A0F">
        <w:t>).</w:t>
      </w:r>
    </w:p>
    <w:p w14:paraId="1C4F5F47" w14:textId="4266491A" w:rsidR="00A47AE9" w:rsidRPr="00FB4A0F" w:rsidRDefault="00A47AE9" w:rsidP="00FB4A0F">
      <w:pPr>
        <w:pStyle w:val="Heading3"/>
      </w:pPr>
      <w:r w:rsidRPr="00FB4A0F">
        <w:t>Concomitant use of other anti</w:t>
      </w:r>
      <w:r w:rsidRPr="00FB4A0F">
        <w:noBreakHyphen/>
        <w:t>VEGF</w:t>
      </w:r>
    </w:p>
    <w:p w14:paraId="1D21640D" w14:textId="20DAB57B" w:rsidR="00A47AE9" w:rsidRPr="00FB4A0F" w:rsidRDefault="00A47AE9" w:rsidP="00FB4A0F">
      <w:r w:rsidRPr="00FB4A0F">
        <w:t>There are no data available on the concomitant use of Beovu with other anti</w:t>
      </w:r>
      <w:r w:rsidRPr="00FB4A0F">
        <w:noBreakHyphen/>
        <w:t>VEGF medicinal products in the same eye. Brolucizumab should not be administered concurrently with other anti</w:t>
      </w:r>
      <w:r w:rsidRPr="00FB4A0F">
        <w:noBreakHyphen/>
        <w:t>VEGF medicinal products (systemic or ocular).</w:t>
      </w:r>
    </w:p>
    <w:p w14:paraId="423DD859" w14:textId="45D6EF39" w:rsidR="00A47AE9" w:rsidRPr="00FB4A0F" w:rsidRDefault="00A47AE9" w:rsidP="00FB4A0F">
      <w:pPr>
        <w:pStyle w:val="Heading3"/>
      </w:pPr>
      <w:r w:rsidRPr="00FB4A0F">
        <w:t>Withholding treatment</w:t>
      </w:r>
    </w:p>
    <w:p w14:paraId="59A1B176" w14:textId="77777777" w:rsidR="00A47AE9" w:rsidRPr="00FB4A0F" w:rsidRDefault="00A47AE9" w:rsidP="00FB4A0F">
      <w:r w:rsidRPr="00FB4A0F">
        <w:t>In intravitreal anti</w:t>
      </w:r>
      <w:r w:rsidRPr="00FB4A0F">
        <w:noBreakHyphen/>
        <w:t>VEGF treatments, the dose should be withheld and treatment should not be resumed earlier than the next scheduled treatment in the event of:</w:t>
      </w:r>
    </w:p>
    <w:p w14:paraId="2B21E19F" w14:textId="77777777" w:rsidR="00A47AE9" w:rsidRPr="00FB4A0F" w:rsidRDefault="00A47AE9" w:rsidP="00A47AE9">
      <w:pPr>
        <w:widowControl w:val="0"/>
        <w:numPr>
          <w:ilvl w:val="0"/>
          <w:numId w:val="26"/>
        </w:numPr>
        <w:spacing w:after="0" w:line="240" w:lineRule="auto"/>
        <w:ind w:left="567" w:hanging="567"/>
      </w:pPr>
      <w:r w:rsidRPr="00FB4A0F">
        <w:t>a decrease in best</w:t>
      </w:r>
      <w:r w:rsidRPr="00FB4A0F">
        <w:noBreakHyphen/>
        <w:t>corrected visual acuity (BCVA) of ≥30 letters compared with the last assessment of visual acuity;</w:t>
      </w:r>
    </w:p>
    <w:p w14:paraId="4DD95DDD" w14:textId="77777777" w:rsidR="00A47AE9" w:rsidRPr="00FB4A0F" w:rsidRDefault="00A47AE9" w:rsidP="00A47AE9">
      <w:pPr>
        <w:widowControl w:val="0"/>
        <w:numPr>
          <w:ilvl w:val="0"/>
          <w:numId w:val="26"/>
        </w:numPr>
        <w:spacing w:after="0" w:line="240" w:lineRule="auto"/>
        <w:ind w:left="567" w:hanging="567"/>
      </w:pPr>
      <w:r w:rsidRPr="00FB4A0F">
        <w:t>a retinal break;</w:t>
      </w:r>
    </w:p>
    <w:p w14:paraId="26F2BD9B" w14:textId="77777777" w:rsidR="00A47AE9" w:rsidRPr="00FB4A0F" w:rsidRDefault="00A47AE9" w:rsidP="00A47AE9">
      <w:pPr>
        <w:widowControl w:val="0"/>
        <w:numPr>
          <w:ilvl w:val="0"/>
          <w:numId w:val="26"/>
        </w:numPr>
        <w:spacing w:after="0" w:line="240" w:lineRule="auto"/>
        <w:ind w:left="567" w:hanging="567"/>
      </w:pPr>
      <w:r w:rsidRPr="00FB4A0F">
        <w:t xml:space="preserve">a </w:t>
      </w:r>
      <w:proofErr w:type="spellStart"/>
      <w:r w:rsidRPr="00FB4A0F">
        <w:t>subretinal</w:t>
      </w:r>
      <w:proofErr w:type="spellEnd"/>
      <w:r w:rsidRPr="00FB4A0F">
        <w:t xml:space="preserve"> haemorrhage involving the centre of the fovea, or, if the size of the haemorrhage is ≥50% of the total lesion area;</w:t>
      </w:r>
    </w:p>
    <w:p w14:paraId="1AF55E24" w14:textId="3B611CFF" w:rsidR="00A47AE9" w:rsidRPr="00FB4A0F" w:rsidRDefault="00A47AE9" w:rsidP="00FB4A0F">
      <w:pPr>
        <w:widowControl w:val="0"/>
        <w:numPr>
          <w:ilvl w:val="0"/>
          <w:numId w:val="26"/>
        </w:numPr>
        <w:spacing w:after="240" w:line="240" w:lineRule="auto"/>
        <w:ind w:left="567" w:hanging="567"/>
      </w:pPr>
      <w:r w:rsidRPr="00FB4A0F">
        <w:t>performed or planned intraocular surgery within the previous or next 28 days.</w:t>
      </w:r>
    </w:p>
    <w:p w14:paraId="14B04F7C" w14:textId="1E6128D6" w:rsidR="00A47AE9" w:rsidRPr="00FB4A0F" w:rsidRDefault="00A47AE9" w:rsidP="00FB4A0F">
      <w:pPr>
        <w:pStyle w:val="Heading3"/>
      </w:pPr>
      <w:r w:rsidRPr="00FB4A0F">
        <w:lastRenderedPageBreak/>
        <w:t>Retinal pigment epithelial tear</w:t>
      </w:r>
    </w:p>
    <w:p w14:paraId="73429D1C" w14:textId="06ED1FFC" w:rsidR="00A47AE9" w:rsidRPr="00FB4A0F" w:rsidRDefault="00A47AE9" w:rsidP="00FB4A0F">
      <w:r w:rsidRPr="00FB4A0F">
        <w:t>Risk factors associated with the development of a retinal pigment epithelial tear after anti</w:t>
      </w:r>
      <w:r w:rsidRPr="00FB4A0F">
        <w:noBreakHyphen/>
        <w:t>VEGF therapy for wet AMD include a large and/or high pigment epithelial retinal detachment. When initiating brolucizumab therapy, caution should be used in patients with these risk factors for retinal pigment epithelial tears.</w:t>
      </w:r>
    </w:p>
    <w:p w14:paraId="4ABB0920" w14:textId="5BDDE553" w:rsidR="00A47AE9" w:rsidRPr="00FB4A0F" w:rsidRDefault="00A47AE9" w:rsidP="00FB4A0F">
      <w:pPr>
        <w:pStyle w:val="Heading3"/>
      </w:pPr>
      <w:proofErr w:type="spellStart"/>
      <w:r w:rsidRPr="00FB4A0F">
        <w:t>Rhegmatogenous</w:t>
      </w:r>
      <w:proofErr w:type="spellEnd"/>
      <w:r w:rsidRPr="00FB4A0F">
        <w:t xml:space="preserve"> retinal detachment or macular holes</w:t>
      </w:r>
    </w:p>
    <w:p w14:paraId="0A5EF391" w14:textId="007C7F73" w:rsidR="00A47AE9" w:rsidRPr="00FB4A0F" w:rsidRDefault="00A47AE9" w:rsidP="00FB4A0F">
      <w:r w:rsidRPr="00FB4A0F">
        <w:t xml:space="preserve">Treatment should be discontinued in subjects with </w:t>
      </w:r>
      <w:proofErr w:type="spellStart"/>
      <w:r w:rsidRPr="00FB4A0F">
        <w:t>rhegmatogenous</w:t>
      </w:r>
      <w:proofErr w:type="spellEnd"/>
      <w:r w:rsidRPr="00FB4A0F">
        <w:t xml:space="preserve"> retinal detachment or stage</w:t>
      </w:r>
      <w:r w:rsidRPr="004D768B">
        <w:t xml:space="preserve"> </w:t>
      </w:r>
      <w:r w:rsidRPr="00FB4A0F">
        <w:t>3 or 4 macular holes.</w:t>
      </w:r>
    </w:p>
    <w:p w14:paraId="1F607962" w14:textId="1D97CAD7" w:rsidR="00A47AE9" w:rsidRPr="00FB4A0F" w:rsidRDefault="00A47AE9" w:rsidP="00FB4A0F">
      <w:pPr>
        <w:pStyle w:val="Heading3"/>
      </w:pPr>
      <w:r w:rsidRPr="00FB4A0F">
        <w:t>Systemic effects following intravitreal use</w:t>
      </w:r>
    </w:p>
    <w:p w14:paraId="2A97689C" w14:textId="07C5EA2B" w:rsidR="00A47AE9" w:rsidRPr="00FB4A0F" w:rsidRDefault="00A47AE9" w:rsidP="00FB4A0F">
      <w:r w:rsidRPr="00FB4A0F">
        <w:t>Systemic adverse events, including non</w:t>
      </w:r>
      <w:r w:rsidRPr="00FB4A0F">
        <w:noBreakHyphen/>
        <w:t>ocular haemorrhages and arterial thromboembolic events, have been reported following intravitreal injection of VEGF inhibitors and there is a theoretical risk that these may relate to VEGF inhibition. There are limited data on safety in the treatment of patients with AMD with a history of stroke, transient ischaemic attacks or myocardial infarction within the last 3</w:t>
      </w:r>
      <w:r w:rsidRPr="004D768B">
        <w:t xml:space="preserve"> </w:t>
      </w:r>
      <w:r w:rsidRPr="00FB4A0F">
        <w:t>months. Caution should be exercised when treating such patients.</w:t>
      </w:r>
    </w:p>
    <w:p w14:paraId="2391E6AF" w14:textId="2A1EB2A1" w:rsidR="00A47AE9" w:rsidRPr="00FB4A0F" w:rsidRDefault="00A47AE9" w:rsidP="00FB4A0F">
      <w:pPr>
        <w:pStyle w:val="Heading3"/>
      </w:pPr>
      <w:r w:rsidRPr="00FB4A0F">
        <w:t>Sodium content</w:t>
      </w:r>
    </w:p>
    <w:p w14:paraId="03CAADF2" w14:textId="7FC5DFA7" w:rsidR="008B13E9" w:rsidRPr="0077619B" w:rsidRDefault="00A47AE9" w:rsidP="00FB4A0F">
      <w:r w:rsidRPr="00FB4A0F">
        <w:t>This medicinal product</w:t>
      </w:r>
      <w:r w:rsidRPr="004D768B">
        <w:t xml:space="preserve"> contains less than 1</w:t>
      </w:r>
      <w:r>
        <w:t xml:space="preserve"> </w:t>
      </w:r>
      <w:proofErr w:type="spellStart"/>
      <w:r w:rsidRPr="004D768B">
        <w:t>mmol</w:t>
      </w:r>
      <w:proofErr w:type="spellEnd"/>
      <w:r w:rsidRPr="004D768B">
        <w:t xml:space="preserve"> sodium (23 </w:t>
      </w:r>
      <w:r w:rsidRPr="00FB4A0F">
        <w:t>mg) per dose, that is to say essentially “sodium</w:t>
      </w:r>
      <w:r w:rsidRPr="00FB4A0F">
        <w:noBreakHyphen/>
        <w:t>free”.</w:t>
      </w:r>
    </w:p>
    <w:p w14:paraId="2FD95E5D" w14:textId="77777777" w:rsidR="001A3992" w:rsidRPr="0077619B" w:rsidRDefault="001A3992" w:rsidP="001A3992">
      <w:pPr>
        <w:pStyle w:val="Heading2"/>
        <w:keepNext/>
        <w:keepLines/>
        <w:spacing w:before="0" w:after="120"/>
        <w:rPr>
          <w:rFonts w:cstheme="minorHAnsi"/>
        </w:rPr>
      </w:pPr>
      <w:r w:rsidRPr="0077619B">
        <w:rPr>
          <w:rFonts w:cstheme="minorHAnsi"/>
        </w:rPr>
        <w:t>Interactions with other medicines and other forms of interactions</w:t>
      </w:r>
    </w:p>
    <w:p w14:paraId="7CF29740" w14:textId="77777777" w:rsidR="00B2372D" w:rsidRPr="0077619B" w:rsidRDefault="00B2372D" w:rsidP="00FB4A0F">
      <w:pPr>
        <w:rPr>
          <w:noProof/>
        </w:rPr>
      </w:pPr>
      <w:r w:rsidRPr="0077619B">
        <w:rPr>
          <w:noProof/>
        </w:rPr>
        <w:t>No formal interaction studies have been performed.</w:t>
      </w:r>
    </w:p>
    <w:p w14:paraId="68F44324" w14:textId="77777777" w:rsidR="001A3992" w:rsidRPr="0077619B" w:rsidRDefault="001A3992" w:rsidP="001A3992">
      <w:pPr>
        <w:pStyle w:val="Heading2"/>
        <w:spacing w:before="0" w:after="120"/>
        <w:rPr>
          <w:rFonts w:cstheme="minorHAnsi"/>
        </w:rPr>
      </w:pPr>
      <w:r w:rsidRPr="0077619B">
        <w:rPr>
          <w:rFonts w:cstheme="minorHAnsi"/>
        </w:rPr>
        <w:t xml:space="preserve">Fertility, pregnancy and lactation </w:t>
      </w:r>
    </w:p>
    <w:p w14:paraId="7DC0AFFD" w14:textId="77777777" w:rsidR="001A3992" w:rsidRPr="0077619B" w:rsidRDefault="001A3992" w:rsidP="001A3992">
      <w:pPr>
        <w:pStyle w:val="Heading3"/>
        <w:spacing w:before="0"/>
        <w:rPr>
          <w:rFonts w:cstheme="minorHAnsi"/>
        </w:rPr>
      </w:pPr>
      <w:r w:rsidRPr="0077619B">
        <w:rPr>
          <w:rFonts w:cstheme="minorHAnsi"/>
        </w:rPr>
        <w:t>Effects on fertility</w:t>
      </w:r>
    </w:p>
    <w:p w14:paraId="4E3FDB33" w14:textId="7ABDBA82" w:rsidR="00B2372D" w:rsidRPr="0077619B" w:rsidRDefault="00B2372D">
      <w:r w:rsidRPr="0077619B">
        <w:t xml:space="preserve">No reproductive or fertility studies have been conducted. VEGF inhibition has been shown to affect follicular development, corpus luteum function and fertility. Based on the mechanism of action of VEGF </w:t>
      </w:r>
      <w:r w:rsidR="000F7892" w:rsidRPr="0077619B">
        <w:t>inhibitors</w:t>
      </w:r>
      <w:r w:rsidRPr="0077619B">
        <w:t xml:space="preserve">, there is a potential risk for reproduction, and to </w:t>
      </w:r>
      <w:proofErr w:type="spellStart"/>
      <w:r w:rsidR="000F7892">
        <w:t>embryofetal</w:t>
      </w:r>
      <w:proofErr w:type="spellEnd"/>
      <w:r w:rsidRPr="0077619B">
        <w:t xml:space="preserve"> development.</w:t>
      </w:r>
    </w:p>
    <w:p w14:paraId="60F1D8BE" w14:textId="77777777" w:rsidR="001A3992" w:rsidRPr="0077619B" w:rsidRDefault="001A3992" w:rsidP="001A3992">
      <w:pPr>
        <w:pStyle w:val="Heading3"/>
        <w:spacing w:before="0"/>
        <w:rPr>
          <w:rFonts w:cstheme="minorHAnsi"/>
        </w:rPr>
      </w:pPr>
      <w:r w:rsidRPr="0077619B">
        <w:rPr>
          <w:rFonts w:cstheme="minorHAnsi"/>
        </w:rPr>
        <w:t xml:space="preserve">Use in pregnancy </w:t>
      </w:r>
      <w:r w:rsidR="00497C85" w:rsidRPr="0077619B">
        <w:rPr>
          <w:rFonts w:cstheme="minorHAnsi"/>
        </w:rPr>
        <w:t xml:space="preserve">– Pregnancy Category </w:t>
      </w:r>
      <w:r w:rsidR="00B4015A" w:rsidRPr="0077619B">
        <w:rPr>
          <w:rFonts w:cstheme="minorHAnsi"/>
        </w:rPr>
        <w:t>D</w:t>
      </w:r>
    </w:p>
    <w:p w14:paraId="1E2925AD" w14:textId="05EC8342" w:rsidR="00B2372D" w:rsidRPr="0077619B" w:rsidRDefault="00B2372D">
      <w:r w:rsidRPr="0077619B">
        <w:t>There are no adequate and well</w:t>
      </w:r>
      <w:r w:rsidRPr="0077619B">
        <w:noBreakHyphen/>
        <w:t xml:space="preserve">controlled studies of </w:t>
      </w:r>
      <w:r w:rsidR="007B6410">
        <w:t>Beovu</w:t>
      </w:r>
      <w:r w:rsidRPr="0077619B" w:rsidDel="00B16D93">
        <w:t xml:space="preserve"> </w:t>
      </w:r>
      <w:r w:rsidRPr="0077619B">
        <w:t xml:space="preserve">administration in pregnant women and no animal reproduction studies have been conducted. The potential risk of use of </w:t>
      </w:r>
      <w:r w:rsidR="007B6410">
        <w:t>Beovu</w:t>
      </w:r>
      <w:r w:rsidRPr="0077619B">
        <w:t xml:space="preserve"> in pregnancy is unknown. However, based on the anti-VEGF mechanism of action, brolucizumab must be regarded as potentially teratogenic and embryo/</w:t>
      </w:r>
      <w:proofErr w:type="spellStart"/>
      <w:r w:rsidR="00953EED">
        <w:t>fetotoxic</w:t>
      </w:r>
      <w:proofErr w:type="spellEnd"/>
      <w:r w:rsidRPr="0077619B">
        <w:t xml:space="preserve">. Therefore, brolucizumab should not be used during pregnancy unless the expected benefit outweighs the potential risks to the </w:t>
      </w:r>
      <w:proofErr w:type="spellStart"/>
      <w:r w:rsidR="00953EED">
        <w:t>fetus</w:t>
      </w:r>
      <w:proofErr w:type="spellEnd"/>
      <w:r w:rsidRPr="0077619B">
        <w:t>.</w:t>
      </w:r>
    </w:p>
    <w:p w14:paraId="651DEF09" w14:textId="42515DB5" w:rsidR="001A3992" w:rsidRPr="0077619B" w:rsidRDefault="00B2372D" w:rsidP="001A3992">
      <w:pPr>
        <w:pStyle w:val="Heading3"/>
        <w:spacing w:before="0"/>
        <w:rPr>
          <w:rFonts w:cstheme="minorHAnsi"/>
        </w:rPr>
      </w:pPr>
      <w:r w:rsidRPr="0077619B">
        <w:rPr>
          <w:rFonts w:cstheme="minorHAnsi"/>
        </w:rPr>
        <w:t>Use in lactation</w:t>
      </w:r>
    </w:p>
    <w:p w14:paraId="6B5E5317" w14:textId="4DFBA03E" w:rsidR="00B2372D" w:rsidRPr="0077619B" w:rsidRDefault="00B2372D" w:rsidP="00B2372D">
      <w:r w:rsidRPr="0077619B">
        <w:t xml:space="preserve">It is unknown whether brolucizumab is excreted in human milk. There are no data on the effects of </w:t>
      </w:r>
      <w:r w:rsidR="00953EED">
        <w:t>brolucizumab</w:t>
      </w:r>
      <w:r w:rsidRPr="0077619B">
        <w:t xml:space="preserve"> on the breast</w:t>
      </w:r>
      <w:r w:rsidRPr="0077619B">
        <w:noBreakHyphen/>
        <w:t>fed newborn/infant or on milk production. Because of the potential for adverse drug reactions in the breast</w:t>
      </w:r>
      <w:r w:rsidRPr="0077619B">
        <w:noBreakHyphen/>
        <w:t>fed newborn/infant, breast</w:t>
      </w:r>
      <w:r w:rsidRPr="0077619B">
        <w:noBreakHyphen/>
        <w:t xml:space="preserve">feeding is not recommended during treatment and for at least one month after the last dose when stopping treatment with </w:t>
      </w:r>
      <w:r w:rsidR="007B6410">
        <w:t>Beovu</w:t>
      </w:r>
      <w:r w:rsidRPr="0077619B">
        <w:t>.</w:t>
      </w:r>
    </w:p>
    <w:p w14:paraId="545C4CDF" w14:textId="77777777" w:rsidR="00CB459C" w:rsidRPr="0077619B" w:rsidRDefault="00CB459C" w:rsidP="00CB459C">
      <w:pPr>
        <w:pStyle w:val="Heading3"/>
      </w:pPr>
      <w:r w:rsidRPr="0077619B">
        <w:lastRenderedPageBreak/>
        <w:t>Women of childbearing potential/contraception in females</w:t>
      </w:r>
    </w:p>
    <w:p w14:paraId="6D93BDC5" w14:textId="1B67F2DF" w:rsidR="00CB459C" w:rsidRPr="0077619B" w:rsidRDefault="00CB459C" w:rsidP="00FB4A0F">
      <w:r w:rsidRPr="0077619B">
        <w:t xml:space="preserve">Women of childbearing potential should use effective contraception (methods that result in less than 1% pregnancy rates) during treatment with </w:t>
      </w:r>
      <w:r w:rsidR="007B6410">
        <w:t>Beovu</w:t>
      </w:r>
      <w:r w:rsidRPr="0077619B">
        <w:t xml:space="preserve"> and for at least one month after the last dose when stopping treatment with </w:t>
      </w:r>
      <w:r w:rsidR="007B6410">
        <w:t>Beovu</w:t>
      </w:r>
      <w:r w:rsidRPr="0077619B">
        <w:t>.</w:t>
      </w:r>
    </w:p>
    <w:p w14:paraId="5B547F9C" w14:textId="77777777" w:rsidR="001A3992" w:rsidRPr="0077619B" w:rsidRDefault="001A3992" w:rsidP="001A3992">
      <w:pPr>
        <w:pStyle w:val="Heading2"/>
        <w:spacing w:before="0" w:after="120"/>
        <w:rPr>
          <w:rFonts w:cstheme="minorHAnsi"/>
        </w:rPr>
      </w:pPr>
      <w:r w:rsidRPr="0077619B">
        <w:rPr>
          <w:rFonts w:cstheme="minorHAnsi"/>
        </w:rPr>
        <w:t xml:space="preserve">Effects on ability to drive and use machines </w:t>
      </w:r>
    </w:p>
    <w:p w14:paraId="4127D814" w14:textId="7DDD28B4" w:rsidR="00CB459C" w:rsidRPr="0077619B" w:rsidRDefault="00CB459C">
      <w:pPr>
        <w:rPr>
          <w:lang w:val="en-US"/>
        </w:rPr>
      </w:pPr>
      <w:bookmarkStart w:id="0" w:name="_Toc259706916"/>
      <w:bookmarkStart w:id="1" w:name="_Toc259707087"/>
      <w:bookmarkStart w:id="2" w:name="_Toc259707150"/>
      <w:bookmarkStart w:id="3" w:name="_Toc259713091"/>
      <w:r w:rsidRPr="0077619B">
        <w:rPr>
          <w:lang w:val="en-US"/>
        </w:rPr>
        <w:t xml:space="preserve">Patients may experience temporary visual disturbances after an intravitreal injection with </w:t>
      </w:r>
      <w:r w:rsidR="007B6410">
        <w:rPr>
          <w:lang w:val="en-US"/>
        </w:rPr>
        <w:t>Beovu</w:t>
      </w:r>
      <w:r w:rsidRPr="0077619B">
        <w:rPr>
          <w:lang w:val="en-US"/>
        </w:rPr>
        <w:t xml:space="preserve"> and the associated eye examination </w:t>
      </w:r>
      <w:r w:rsidR="00D66030" w:rsidRPr="00D66030">
        <w:rPr>
          <w:lang w:val="en-US"/>
        </w:rPr>
        <w:t>(see Section 4.8 ADVERSE EFFECT</w:t>
      </w:r>
      <w:r w:rsidR="00D66030">
        <w:rPr>
          <w:lang w:val="en-US"/>
        </w:rPr>
        <w:t>S</w:t>
      </w:r>
      <w:r w:rsidR="00D66030" w:rsidRPr="00D66030">
        <w:rPr>
          <w:lang w:val="en-US"/>
        </w:rPr>
        <w:t xml:space="preserve"> (UNDESIRABLE EFFECTS)) </w:t>
      </w:r>
      <w:r w:rsidRPr="0077619B">
        <w:rPr>
          <w:lang w:val="en-US"/>
        </w:rPr>
        <w:t>and should therefore be advised not to drive or use machinery until visual function has recovered sufficiently.</w:t>
      </w:r>
      <w:bookmarkEnd w:id="0"/>
      <w:bookmarkEnd w:id="1"/>
      <w:bookmarkEnd w:id="2"/>
      <w:bookmarkEnd w:id="3"/>
    </w:p>
    <w:p w14:paraId="2F1766BD" w14:textId="77777777" w:rsidR="001A3992" w:rsidRPr="0077619B" w:rsidRDefault="001A3992" w:rsidP="001A3992">
      <w:pPr>
        <w:pStyle w:val="Heading2"/>
        <w:keepNext/>
        <w:keepLines/>
        <w:spacing w:before="0" w:after="120"/>
        <w:rPr>
          <w:rFonts w:cstheme="minorHAnsi"/>
        </w:rPr>
      </w:pPr>
      <w:r w:rsidRPr="0077619B">
        <w:rPr>
          <w:rFonts w:cstheme="minorHAnsi"/>
        </w:rPr>
        <w:t>Adverse effects (Undesirable effects)</w:t>
      </w:r>
    </w:p>
    <w:p w14:paraId="7295D58B" w14:textId="77777777" w:rsidR="00CB459C" w:rsidRPr="0077619B" w:rsidRDefault="00CB459C" w:rsidP="00CB459C">
      <w:pPr>
        <w:pStyle w:val="Heading3"/>
      </w:pPr>
      <w:r w:rsidRPr="0077619B">
        <w:t>Summary of the safety profile</w:t>
      </w:r>
    </w:p>
    <w:p w14:paraId="7BC671AB" w14:textId="17B5901B" w:rsidR="00CB459C" w:rsidRPr="0077619B" w:rsidRDefault="00CB459C" w:rsidP="00CB459C">
      <w:r w:rsidRPr="0077619B">
        <w:t xml:space="preserve">A total of 1,088 patients treated with </w:t>
      </w:r>
      <w:r w:rsidR="007B6410">
        <w:t>Beovu</w:t>
      </w:r>
      <w:r w:rsidRPr="0077619B">
        <w:t xml:space="preserve"> constituted the safety population in the two Phase III studies HAWK and HARRIER with a cumulative 96 weeks’ exposure to </w:t>
      </w:r>
      <w:r w:rsidR="007B6410">
        <w:t>Beovu</w:t>
      </w:r>
      <w:r w:rsidRPr="0077619B">
        <w:t xml:space="preserve"> and</w:t>
      </w:r>
      <w:r w:rsidRPr="0077619B">
        <w:rPr>
          <w:rFonts w:ascii="Times New Roman,MS Mincho" w:eastAsia="Times New Roman,MS Mincho" w:hAnsi="Times New Roman,MS Mincho" w:cs="Times New Roman,MS Mincho"/>
        </w:rPr>
        <w:t xml:space="preserve"> </w:t>
      </w:r>
      <w:r w:rsidRPr="0077619B">
        <w:t xml:space="preserve">730 patients treated with the recommended dose of 6 mg (see </w:t>
      </w:r>
      <w:r w:rsidR="00A8227F">
        <w:t>S</w:t>
      </w:r>
      <w:r w:rsidRPr="0077619B">
        <w:t>ection 5.1</w:t>
      </w:r>
      <w:r w:rsidR="00A8227F">
        <w:t xml:space="preserve"> </w:t>
      </w:r>
      <w:r w:rsidR="00A8227F" w:rsidRPr="00A8227F">
        <w:t>PHARMACODYNAMIC PROPERTIES</w:t>
      </w:r>
      <w:r w:rsidRPr="0077619B">
        <w:t>).</w:t>
      </w:r>
    </w:p>
    <w:p w14:paraId="336D9747" w14:textId="2B662624" w:rsidR="00CB459C" w:rsidRPr="0077619B" w:rsidRDefault="00CB459C" w:rsidP="00CB459C">
      <w:r w:rsidRPr="0077619B">
        <w:t xml:space="preserve">The most frequently reported adverse drug reactions (in &gt;5% of patients treated with </w:t>
      </w:r>
      <w:r w:rsidR="007B6410">
        <w:t>Beovu</w:t>
      </w:r>
      <w:r w:rsidRPr="0077619B">
        <w:t xml:space="preserve">) </w:t>
      </w:r>
      <w:r w:rsidR="002B5404" w:rsidRPr="0077619B">
        <w:t xml:space="preserve">6 mg </w:t>
      </w:r>
      <w:r w:rsidRPr="0077619B">
        <w:t>were reduced visual acuity (7.3%), cataract (7.0%), conjunctival haemorrhage (6.3%) and vitreous floaters (5.1%).</w:t>
      </w:r>
    </w:p>
    <w:p w14:paraId="62B0A5CA" w14:textId="5E331DDE" w:rsidR="00CB459C" w:rsidRPr="0077619B" w:rsidRDefault="00BA4B55" w:rsidP="00CB459C">
      <w:r>
        <w:t>S</w:t>
      </w:r>
      <w:r w:rsidR="00CB459C" w:rsidRPr="0077619B">
        <w:t xml:space="preserve">erious adverse drug reactions reported in &lt;1% of the patients treated with </w:t>
      </w:r>
      <w:r w:rsidR="007B6410">
        <w:t>Beovu</w:t>
      </w:r>
      <w:r w:rsidR="00CB459C" w:rsidRPr="0077619B" w:rsidDel="00483FEB">
        <w:t xml:space="preserve"> </w:t>
      </w:r>
      <w:r w:rsidR="002B5404" w:rsidRPr="0077619B">
        <w:t xml:space="preserve">6 mg </w:t>
      </w:r>
      <w:r w:rsidR="00CB459C" w:rsidRPr="0077619B">
        <w:t xml:space="preserve">were endophthalmitis, </w:t>
      </w:r>
      <w:r>
        <w:t xml:space="preserve">uveitis, </w:t>
      </w:r>
      <w:r w:rsidR="00CB459C" w:rsidRPr="0077619B">
        <w:t>blindness, retinal artery occlusion and retinal</w:t>
      </w:r>
      <w:r w:rsidR="00CB459C" w:rsidRPr="0077619B">
        <w:rPr>
          <w:rFonts w:eastAsia="MS Mincho"/>
          <w:lang w:val="en-US" w:eastAsia="zh-CN"/>
        </w:rPr>
        <w:t xml:space="preserve"> detachment.</w:t>
      </w:r>
      <w:r w:rsidR="00EC7A63">
        <w:rPr>
          <w:rFonts w:eastAsia="MS Mincho"/>
          <w:lang w:val="en-US" w:eastAsia="zh-CN"/>
        </w:rPr>
        <w:t xml:space="preserve"> </w:t>
      </w:r>
    </w:p>
    <w:p w14:paraId="62468798" w14:textId="77777777" w:rsidR="00CB459C" w:rsidRPr="0077619B" w:rsidRDefault="00CB459C" w:rsidP="00CB459C">
      <w:pPr>
        <w:pStyle w:val="Heading3"/>
      </w:pPr>
      <w:r w:rsidRPr="0077619B">
        <w:t>Tabulated list of adverse reactions</w:t>
      </w:r>
    </w:p>
    <w:p w14:paraId="3505AC37" w14:textId="77777777" w:rsidR="00CB459C" w:rsidRPr="0077619B" w:rsidRDefault="00CB459C">
      <w:r w:rsidRPr="0077619B">
        <w:t>Adverse reactions from clinical studies (Table 1) are listed by MedDRA system organ class. Within each system organ class, the adverse drug reactions are ranked by frequency, with the most frequent reactions first. Within each frequency grouping, adverse reactions are presented in order of decreasing seriousness. In addition, the corresponding frequency category for each adverse drug reaction is based on the following convention (CIOMS III): very common (≥1/10), common (≥1/100 to &lt;1/10), uncommon (≥1/1,000 to &lt;1/100), rare (≥1/10,000 to &lt;1/1,000), very rare (&lt;1/10,000), not known (cannot be estimated from the available data).</w:t>
      </w:r>
    </w:p>
    <w:p w14:paraId="7E4FC1B7" w14:textId="5FC94750" w:rsidR="00CB459C" w:rsidRPr="0077619B" w:rsidRDefault="002B5404" w:rsidP="002B5404">
      <w:pPr>
        <w:pStyle w:val="Table"/>
      </w:pPr>
      <w:r w:rsidRPr="0077619B">
        <w:t>Table 1</w:t>
      </w:r>
      <w:r w:rsidRPr="0077619B">
        <w:tab/>
        <w:t>Percentage of patients with adverse drug reactions in clinical trials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126"/>
        <w:gridCol w:w="1701"/>
        <w:gridCol w:w="1588"/>
      </w:tblGrid>
      <w:tr w:rsidR="002B5404" w:rsidRPr="002B5404" w14:paraId="49490A33" w14:textId="77777777" w:rsidTr="004D6939">
        <w:trPr>
          <w:trHeight w:val="549"/>
          <w:tblHeader/>
        </w:trPr>
        <w:tc>
          <w:tcPr>
            <w:tcW w:w="3686" w:type="dxa"/>
            <w:tcBorders>
              <w:left w:val="nil"/>
            </w:tcBorders>
            <w:vAlign w:val="center"/>
          </w:tcPr>
          <w:p w14:paraId="6423CB39" w14:textId="77777777" w:rsidR="002B5404" w:rsidRPr="002B5404" w:rsidRDefault="002B5404" w:rsidP="002B5404">
            <w:pPr>
              <w:keepNext/>
              <w:keepLines/>
              <w:tabs>
                <w:tab w:val="left" w:pos="284"/>
                <w:tab w:val="left" w:pos="8505"/>
              </w:tabs>
              <w:spacing w:before="40" w:after="20" w:line="240" w:lineRule="auto"/>
              <w:rPr>
                <w:rFonts w:eastAsia="MS Mincho" w:cs="Arial"/>
                <w:b/>
                <w:bCs/>
                <w:sz w:val="20"/>
                <w:szCs w:val="20"/>
                <w:lang w:val="en-US" w:eastAsia="zh-CN"/>
              </w:rPr>
            </w:pPr>
            <w:r w:rsidRPr="002B5404">
              <w:rPr>
                <w:rFonts w:eastAsia="MS Mincho" w:cs="Arial"/>
                <w:b/>
                <w:bCs/>
                <w:sz w:val="20"/>
                <w:szCs w:val="20"/>
                <w:lang w:val="en-US" w:eastAsia="zh-CN"/>
              </w:rPr>
              <w:t>Adverse drug reactions</w:t>
            </w:r>
          </w:p>
        </w:tc>
        <w:tc>
          <w:tcPr>
            <w:tcW w:w="2126" w:type="dxa"/>
            <w:vAlign w:val="center"/>
          </w:tcPr>
          <w:p w14:paraId="201C1EAC" w14:textId="6A0DBFE9" w:rsidR="002B5404" w:rsidRPr="00B37C5A" w:rsidRDefault="007B6410" w:rsidP="002B5404">
            <w:pPr>
              <w:keepNext/>
              <w:keepLines/>
              <w:tabs>
                <w:tab w:val="left" w:pos="284"/>
                <w:tab w:val="left" w:pos="8505"/>
              </w:tabs>
              <w:spacing w:before="40" w:after="20" w:line="240" w:lineRule="auto"/>
              <w:jc w:val="center"/>
              <w:rPr>
                <w:rFonts w:eastAsia="MS Mincho" w:cs="Arial"/>
                <w:b/>
                <w:sz w:val="20"/>
                <w:szCs w:val="24"/>
                <w:lang w:val="en-US" w:eastAsia="zh-CN"/>
              </w:rPr>
            </w:pPr>
            <w:r>
              <w:rPr>
                <w:rFonts w:eastAsia="MS Mincho" w:cs="Arial"/>
                <w:b/>
                <w:sz w:val="20"/>
                <w:szCs w:val="24"/>
                <w:lang w:val="en-US" w:eastAsia="zh-CN"/>
              </w:rPr>
              <w:t>Beovu</w:t>
            </w:r>
          </w:p>
          <w:p w14:paraId="4C383095" w14:textId="7113CFE9" w:rsidR="002B5404" w:rsidRPr="002B5404" w:rsidRDefault="002B5404" w:rsidP="002B5404">
            <w:pPr>
              <w:keepNext/>
              <w:keepLines/>
              <w:tabs>
                <w:tab w:val="left" w:pos="284"/>
                <w:tab w:val="left" w:pos="8505"/>
              </w:tabs>
              <w:spacing w:before="40" w:after="20" w:line="240" w:lineRule="auto"/>
              <w:jc w:val="center"/>
              <w:rPr>
                <w:rFonts w:eastAsia="MS Mincho" w:cs="Arial"/>
                <w:b/>
                <w:bCs/>
                <w:sz w:val="20"/>
                <w:szCs w:val="20"/>
                <w:lang w:val="en-US" w:eastAsia="zh-CN"/>
              </w:rPr>
            </w:pPr>
            <w:r w:rsidRPr="002B5404">
              <w:rPr>
                <w:rFonts w:eastAsia="MS Mincho" w:cs="Arial"/>
                <w:b/>
                <w:bCs/>
                <w:sz w:val="20"/>
                <w:szCs w:val="20"/>
                <w:lang w:val="en-US" w:eastAsia="zh-CN"/>
              </w:rPr>
              <w:t>(N=730)</w:t>
            </w:r>
          </w:p>
        </w:tc>
        <w:tc>
          <w:tcPr>
            <w:tcW w:w="1701" w:type="dxa"/>
            <w:vAlign w:val="center"/>
          </w:tcPr>
          <w:p w14:paraId="22ACAD08" w14:textId="77777777" w:rsidR="002B5404" w:rsidRPr="002B5404" w:rsidRDefault="002B5404" w:rsidP="002B5404">
            <w:pPr>
              <w:keepNext/>
              <w:keepLines/>
              <w:tabs>
                <w:tab w:val="left" w:pos="284"/>
                <w:tab w:val="left" w:pos="8505"/>
              </w:tabs>
              <w:spacing w:before="40" w:after="20" w:line="240" w:lineRule="auto"/>
              <w:jc w:val="center"/>
              <w:rPr>
                <w:rFonts w:eastAsia="MS Mincho" w:cs="Arial"/>
                <w:b/>
                <w:bCs/>
                <w:sz w:val="20"/>
                <w:szCs w:val="20"/>
                <w:lang w:val="en-US" w:eastAsia="zh-CN"/>
              </w:rPr>
            </w:pPr>
            <w:r w:rsidRPr="002B5404">
              <w:rPr>
                <w:rFonts w:eastAsia="MS Mincho" w:cs="Arial"/>
                <w:b/>
                <w:bCs/>
                <w:sz w:val="20"/>
                <w:szCs w:val="20"/>
                <w:lang w:val="en-US" w:eastAsia="zh-CN"/>
              </w:rPr>
              <w:t xml:space="preserve">Aflibercept </w:t>
            </w:r>
          </w:p>
          <w:p w14:paraId="5576CAC5" w14:textId="77777777" w:rsidR="002B5404" w:rsidRPr="002B5404" w:rsidRDefault="002B5404" w:rsidP="002B5404">
            <w:pPr>
              <w:keepNext/>
              <w:keepLines/>
              <w:tabs>
                <w:tab w:val="left" w:pos="284"/>
                <w:tab w:val="left" w:pos="8505"/>
              </w:tabs>
              <w:spacing w:before="40" w:after="20" w:line="240" w:lineRule="auto"/>
              <w:jc w:val="center"/>
              <w:rPr>
                <w:rFonts w:eastAsia="MS Mincho" w:cs="Arial"/>
                <w:b/>
                <w:bCs/>
                <w:sz w:val="20"/>
                <w:szCs w:val="20"/>
                <w:lang w:val="en-US" w:eastAsia="zh-CN"/>
              </w:rPr>
            </w:pPr>
            <w:r w:rsidRPr="002B5404">
              <w:rPr>
                <w:rFonts w:eastAsia="MS Mincho" w:cs="Arial"/>
                <w:b/>
                <w:bCs/>
                <w:sz w:val="20"/>
                <w:szCs w:val="20"/>
                <w:lang w:val="en-US" w:eastAsia="zh-CN"/>
              </w:rPr>
              <w:t>(N=729)</w:t>
            </w:r>
          </w:p>
        </w:tc>
        <w:tc>
          <w:tcPr>
            <w:tcW w:w="1588" w:type="dxa"/>
            <w:tcBorders>
              <w:right w:val="nil"/>
            </w:tcBorders>
            <w:vAlign w:val="center"/>
          </w:tcPr>
          <w:p w14:paraId="494DD09E" w14:textId="77777777" w:rsidR="002B5404" w:rsidRPr="002B5404" w:rsidRDefault="002B5404" w:rsidP="002B5404">
            <w:pPr>
              <w:keepNext/>
              <w:keepLines/>
              <w:tabs>
                <w:tab w:val="left" w:pos="284"/>
                <w:tab w:val="left" w:pos="8505"/>
              </w:tabs>
              <w:spacing w:before="40" w:after="20" w:line="240" w:lineRule="auto"/>
              <w:jc w:val="center"/>
              <w:rPr>
                <w:rFonts w:eastAsia="MS Mincho" w:cs="Arial"/>
                <w:b/>
                <w:bCs/>
                <w:sz w:val="20"/>
                <w:szCs w:val="20"/>
                <w:lang w:val="en-US" w:eastAsia="zh-CN"/>
              </w:rPr>
            </w:pPr>
            <w:r w:rsidRPr="002B5404">
              <w:rPr>
                <w:rFonts w:eastAsia="MS Mincho" w:cs="Arial"/>
                <w:b/>
                <w:bCs/>
                <w:sz w:val="20"/>
                <w:szCs w:val="20"/>
                <w:lang w:val="en-US" w:eastAsia="zh-CN"/>
              </w:rPr>
              <w:t>Frequency category</w:t>
            </w:r>
          </w:p>
        </w:tc>
      </w:tr>
      <w:tr w:rsidR="002B5404" w:rsidRPr="002B5404" w14:paraId="6A06DBCA" w14:textId="77777777" w:rsidTr="004D6939">
        <w:tc>
          <w:tcPr>
            <w:tcW w:w="9101" w:type="dxa"/>
            <w:gridSpan w:val="4"/>
            <w:tcBorders>
              <w:left w:val="nil"/>
              <w:right w:val="nil"/>
            </w:tcBorders>
            <w:shd w:val="clear" w:color="auto" w:fill="auto"/>
            <w:vAlign w:val="center"/>
          </w:tcPr>
          <w:p w14:paraId="12192756" w14:textId="71D17E3A" w:rsidR="002B5404" w:rsidRPr="002B5404" w:rsidRDefault="002B5404" w:rsidP="002B5404">
            <w:pPr>
              <w:keepLines/>
              <w:tabs>
                <w:tab w:val="left" w:pos="284"/>
                <w:tab w:val="left" w:pos="8505"/>
              </w:tabs>
              <w:spacing w:before="40" w:after="20" w:line="240" w:lineRule="auto"/>
              <w:rPr>
                <w:rFonts w:eastAsia="MS Mincho" w:cs="Arial"/>
                <w:b/>
                <w:bCs/>
                <w:sz w:val="20"/>
                <w:szCs w:val="20"/>
                <w:lang w:val="en-US" w:eastAsia="zh-CN"/>
              </w:rPr>
            </w:pPr>
            <w:r w:rsidRPr="002B5404">
              <w:rPr>
                <w:rFonts w:eastAsia="MS Mincho" w:cs="Arial"/>
                <w:b/>
                <w:bCs/>
                <w:sz w:val="20"/>
                <w:szCs w:val="20"/>
                <w:lang w:val="en-US" w:eastAsia="zh-CN"/>
              </w:rPr>
              <w:t>Eye disorders</w:t>
            </w:r>
          </w:p>
        </w:tc>
      </w:tr>
      <w:tr w:rsidR="002B5404" w:rsidRPr="002B5404" w14:paraId="49F35FDD" w14:textId="77777777" w:rsidTr="004D6939">
        <w:tc>
          <w:tcPr>
            <w:tcW w:w="3686" w:type="dxa"/>
            <w:tcBorders>
              <w:left w:val="nil"/>
            </w:tcBorders>
            <w:shd w:val="clear" w:color="auto" w:fill="auto"/>
            <w:vAlign w:val="center"/>
          </w:tcPr>
          <w:p w14:paraId="242AD483" w14:textId="77777777" w:rsidR="002B5404" w:rsidRPr="002B5404" w:rsidRDefault="002B5404" w:rsidP="002B5404">
            <w:pPr>
              <w:keepLines/>
              <w:tabs>
                <w:tab w:val="left" w:pos="284"/>
                <w:tab w:val="left" w:pos="8505"/>
              </w:tabs>
              <w:spacing w:before="40" w:after="20" w:line="240" w:lineRule="auto"/>
              <w:rPr>
                <w:rFonts w:eastAsia="MS Mincho" w:cs="Arial"/>
                <w:sz w:val="20"/>
                <w:szCs w:val="20"/>
                <w:lang w:val="en-US" w:eastAsia="zh-CN"/>
              </w:rPr>
            </w:pPr>
            <w:r w:rsidRPr="002B5404">
              <w:rPr>
                <w:rFonts w:eastAsia="MS Mincho" w:cs="Arial"/>
                <w:sz w:val="20"/>
                <w:szCs w:val="20"/>
                <w:lang w:val="en-US" w:eastAsia="zh-CN"/>
              </w:rPr>
              <w:t>Visual acuity reduced</w:t>
            </w:r>
          </w:p>
        </w:tc>
        <w:tc>
          <w:tcPr>
            <w:tcW w:w="2126" w:type="dxa"/>
            <w:shd w:val="clear" w:color="auto" w:fill="auto"/>
            <w:vAlign w:val="center"/>
          </w:tcPr>
          <w:p w14:paraId="1A27704C"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7.3</w:t>
            </w:r>
          </w:p>
        </w:tc>
        <w:tc>
          <w:tcPr>
            <w:tcW w:w="1701" w:type="dxa"/>
            <w:shd w:val="clear" w:color="auto" w:fill="auto"/>
            <w:vAlign w:val="center"/>
          </w:tcPr>
          <w:p w14:paraId="760BCAC1"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7.5</w:t>
            </w:r>
          </w:p>
        </w:tc>
        <w:tc>
          <w:tcPr>
            <w:tcW w:w="1588" w:type="dxa"/>
            <w:tcBorders>
              <w:right w:val="nil"/>
            </w:tcBorders>
            <w:shd w:val="clear" w:color="auto" w:fill="auto"/>
            <w:vAlign w:val="center"/>
          </w:tcPr>
          <w:p w14:paraId="3D6E4254"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62BDA859" w14:textId="77777777" w:rsidTr="004D6939">
        <w:tc>
          <w:tcPr>
            <w:tcW w:w="3686" w:type="dxa"/>
            <w:tcBorders>
              <w:left w:val="nil"/>
            </w:tcBorders>
            <w:shd w:val="clear" w:color="auto" w:fill="auto"/>
            <w:vAlign w:val="center"/>
          </w:tcPr>
          <w:p w14:paraId="18B188D7"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 xml:space="preserve">Retinal </w:t>
            </w:r>
            <w:proofErr w:type="spellStart"/>
            <w:r w:rsidRPr="002B5404">
              <w:rPr>
                <w:rFonts w:eastAsia="MS Mincho" w:cs="Arial"/>
                <w:color w:val="000000"/>
                <w:kern w:val="24"/>
                <w:sz w:val="20"/>
                <w:szCs w:val="20"/>
                <w:lang w:val="en-US" w:eastAsia="zh-CN"/>
              </w:rPr>
              <w:t>haemorrhage</w:t>
            </w:r>
            <w:proofErr w:type="spellEnd"/>
          </w:p>
        </w:tc>
        <w:tc>
          <w:tcPr>
            <w:tcW w:w="2126" w:type="dxa"/>
            <w:shd w:val="clear" w:color="auto" w:fill="auto"/>
            <w:vAlign w:val="center"/>
          </w:tcPr>
          <w:p w14:paraId="6DDB54A1"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4.1</w:t>
            </w:r>
          </w:p>
        </w:tc>
        <w:tc>
          <w:tcPr>
            <w:tcW w:w="1701" w:type="dxa"/>
            <w:shd w:val="clear" w:color="auto" w:fill="auto"/>
            <w:vAlign w:val="center"/>
          </w:tcPr>
          <w:p w14:paraId="124A8AFE"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3.2</w:t>
            </w:r>
          </w:p>
        </w:tc>
        <w:tc>
          <w:tcPr>
            <w:tcW w:w="1588" w:type="dxa"/>
            <w:tcBorders>
              <w:right w:val="nil"/>
            </w:tcBorders>
            <w:shd w:val="clear" w:color="auto" w:fill="auto"/>
            <w:vAlign w:val="center"/>
          </w:tcPr>
          <w:p w14:paraId="50C2F855"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02619E74" w14:textId="77777777" w:rsidTr="004D6939">
        <w:tc>
          <w:tcPr>
            <w:tcW w:w="3686" w:type="dxa"/>
            <w:tcBorders>
              <w:left w:val="nil"/>
            </w:tcBorders>
            <w:shd w:val="clear" w:color="auto" w:fill="auto"/>
            <w:vAlign w:val="center"/>
          </w:tcPr>
          <w:p w14:paraId="20F04583" w14:textId="2C884DEC" w:rsidR="002B5404" w:rsidRPr="002B5404" w:rsidRDefault="002B5404" w:rsidP="00425C20">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Uveitis</w:t>
            </w:r>
          </w:p>
        </w:tc>
        <w:tc>
          <w:tcPr>
            <w:tcW w:w="2126" w:type="dxa"/>
            <w:shd w:val="clear" w:color="auto" w:fill="auto"/>
            <w:vAlign w:val="center"/>
          </w:tcPr>
          <w:p w14:paraId="3CA76AA3"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1.6</w:t>
            </w:r>
          </w:p>
        </w:tc>
        <w:tc>
          <w:tcPr>
            <w:tcW w:w="1701" w:type="dxa"/>
            <w:shd w:val="clear" w:color="auto" w:fill="auto"/>
            <w:vAlign w:val="center"/>
          </w:tcPr>
          <w:p w14:paraId="7DB2C3F5"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0.1</w:t>
            </w:r>
          </w:p>
        </w:tc>
        <w:tc>
          <w:tcPr>
            <w:tcW w:w="1588" w:type="dxa"/>
            <w:tcBorders>
              <w:right w:val="nil"/>
            </w:tcBorders>
            <w:shd w:val="clear" w:color="auto" w:fill="auto"/>
            <w:vAlign w:val="center"/>
          </w:tcPr>
          <w:p w14:paraId="4E14788D"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79B99107" w14:textId="77777777" w:rsidTr="004D6939">
        <w:tc>
          <w:tcPr>
            <w:tcW w:w="3686" w:type="dxa"/>
            <w:tcBorders>
              <w:left w:val="nil"/>
            </w:tcBorders>
            <w:shd w:val="clear" w:color="auto" w:fill="auto"/>
            <w:vAlign w:val="center"/>
          </w:tcPr>
          <w:p w14:paraId="76088AD3" w14:textId="04222F61" w:rsidR="002B5404" w:rsidRPr="002B5404" w:rsidRDefault="002B5404" w:rsidP="00425C20">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Iritis</w:t>
            </w:r>
          </w:p>
        </w:tc>
        <w:tc>
          <w:tcPr>
            <w:tcW w:w="2126" w:type="dxa"/>
            <w:shd w:val="clear" w:color="auto" w:fill="auto"/>
            <w:vAlign w:val="center"/>
          </w:tcPr>
          <w:p w14:paraId="40C2B3D2"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1.2</w:t>
            </w:r>
          </w:p>
        </w:tc>
        <w:tc>
          <w:tcPr>
            <w:tcW w:w="1701" w:type="dxa"/>
            <w:shd w:val="clear" w:color="auto" w:fill="auto"/>
            <w:vAlign w:val="center"/>
          </w:tcPr>
          <w:p w14:paraId="087950BD"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0.3</w:t>
            </w:r>
          </w:p>
        </w:tc>
        <w:tc>
          <w:tcPr>
            <w:tcW w:w="1588" w:type="dxa"/>
            <w:tcBorders>
              <w:right w:val="nil"/>
            </w:tcBorders>
            <w:shd w:val="clear" w:color="auto" w:fill="auto"/>
            <w:vAlign w:val="center"/>
          </w:tcPr>
          <w:p w14:paraId="311B2725"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010A04BB" w14:textId="77777777" w:rsidTr="004D6939">
        <w:tc>
          <w:tcPr>
            <w:tcW w:w="3686" w:type="dxa"/>
            <w:tcBorders>
              <w:left w:val="nil"/>
            </w:tcBorders>
            <w:shd w:val="clear" w:color="auto" w:fill="auto"/>
            <w:vAlign w:val="center"/>
          </w:tcPr>
          <w:p w14:paraId="5EFDAA89" w14:textId="77777777" w:rsidR="002B5404" w:rsidRPr="002B5404" w:rsidRDefault="002B5404" w:rsidP="002B5404">
            <w:pPr>
              <w:keepLines/>
              <w:tabs>
                <w:tab w:val="left" w:pos="284"/>
                <w:tab w:val="left" w:pos="8505"/>
              </w:tabs>
              <w:spacing w:before="40" w:after="20" w:line="240" w:lineRule="auto"/>
              <w:rPr>
                <w:rFonts w:eastAsia="MS Mincho" w:cs="Arial"/>
                <w:sz w:val="20"/>
                <w:szCs w:val="20"/>
                <w:lang w:val="en-US" w:eastAsia="zh-CN"/>
              </w:rPr>
            </w:pPr>
            <w:r w:rsidRPr="002B5404">
              <w:rPr>
                <w:rFonts w:eastAsia="MS Mincho" w:cs="Arial"/>
                <w:kern w:val="24"/>
                <w:sz w:val="20"/>
                <w:szCs w:val="20"/>
                <w:lang w:val="en-US" w:eastAsia="zh-CN"/>
              </w:rPr>
              <w:t>Vitreous detachment</w:t>
            </w:r>
          </w:p>
        </w:tc>
        <w:tc>
          <w:tcPr>
            <w:tcW w:w="2126" w:type="dxa"/>
            <w:shd w:val="clear" w:color="auto" w:fill="auto"/>
            <w:vAlign w:val="center"/>
          </w:tcPr>
          <w:p w14:paraId="44842050"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kern w:val="24"/>
                <w:sz w:val="20"/>
                <w:szCs w:val="20"/>
                <w:lang w:val="en-US" w:eastAsia="zh-CN"/>
              </w:rPr>
              <w:t>4.0</w:t>
            </w:r>
          </w:p>
        </w:tc>
        <w:tc>
          <w:tcPr>
            <w:tcW w:w="1701" w:type="dxa"/>
            <w:shd w:val="clear" w:color="auto" w:fill="auto"/>
            <w:vAlign w:val="center"/>
          </w:tcPr>
          <w:p w14:paraId="1BD86F09"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kern w:val="24"/>
                <w:sz w:val="20"/>
                <w:szCs w:val="20"/>
                <w:lang w:val="en-US" w:eastAsia="zh-CN"/>
              </w:rPr>
              <w:t>3.3</w:t>
            </w:r>
          </w:p>
        </w:tc>
        <w:tc>
          <w:tcPr>
            <w:tcW w:w="1588" w:type="dxa"/>
            <w:tcBorders>
              <w:right w:val="nil"/>
            </w:tcBorders>
            <w:shd w:val="clear" w:color="auto" w:fill="auto"/>
            <w:vAlign w:val="center"/>
          </w:tcPr>
          <w:p w14:paraId="59287B2B"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kern w:val="24"/>
                <w:sz w:val="20"/>
                <w:szCs w:val="20"/>
                <w:lang w:val="en-US" w:eastAsia="zh-CN"/>
              </w:rPr>
              <w:t>Common</w:t>
            </w:r>
          </w:p>
        </w:tc>
      </w:tr>
      <w:tr w:rsidR="002B5404" w:rsidRPr="002B5404" w14:paraId="6ED0FD97" w14:textId="77777777" w:rsidTr="004D6939">
        <w:tc>
          <w:tcPr>
            <w:tcW w:w="3686" w:type="dxa"/>
            <w:tcBorders>
              <w:left w:val="nil"/>
            </w:tcBorders>
            <w:shd w:val="clear" w:color="auto" w:fill="auto"/>
            <w:vAlign w:val="center"/>
          </w:tcPr>
          <w:p w14:paraId="786420D1" w14:textId="77777777" w:rsidR="002B5404" w:rsidRPr="002B5404" w:rsidRDefault="002B5404" w:rsidP="002B5404">
            <w:pPr>
              <w:keepLines/>
              <w:tabs>
                <w:tab w:val="left" w:pos="284"/>
                <w:tab w:val="left" w:pos="8505"/>
              </w:tabs>
              <w:spacing w:before="40" w:after="20" w:line="240" w:lineRule="auto"/>
              <w:rPr>
                <w:rFonts w:eastAsia="MS Mincho" w:cs="Arial"/>
                <w:sz w:val="20"/>
                <w:szCs w:val="20"/>
                <w:lang w:val="en-US" w:eastAsia="zh-CN"/>
              </w:rPr>
            </w:pPr>
            <w:r w:rsidRPr="002B5404">
              <w:rPr>
                <w:rFonts w:eastAsia="MS Mincho" w:cs="Arial"/>
                <w:kern w:val="24"/>
                <w:sz w:val="20"/>
                <w:szCs w:val="20"/>
                <w:lang w:val="en-US" w:eastAsia="zh-CN"/>
              </w:rPr>
              <w:t>Retinal tear</w:t>
            </w:r>
          </w:p>
        </w:tc>
        <w:tc>
          <w:tcPr>
            <w:tcW w:w="2126" w:type="dxa"/>
            <w:shd w:val="clear" w:color="auto" w:fill="auto"/>
            <w:vAlign w:val="center"/>
          </w:tcPr>
          <w:p w14:paraId="344BFC8C"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kern w:val="24"/>
                <w:sz w:val="20"/>
                <w:szCs w:val="20"/>
                <w:lang w:val="en-US" w:eastAsia="zh-CN"/>
              </w:rPr>
              <w:t>1.2</w:t>
            </w:r>
          </w:p>
        </w:tc>
        <w:tc>
          <w:tcPr>
            <w:tcW w:w="1701" w:type="dxa"/>
            <w:shd w:val="clear" w:color="auto" w:fill="auto"/>
            <w:vAlign w:val="center"/>
          </w:tcPr>
          <w:p w14:paraId="62244739"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kern w:val="24"/>
                <w:sz w:val="20"/>
                <w:szCs w:val="20"/>
                <w:lang w:val="en-US" w:eastAsia="zh-CN"/>
              </w:rPr>
              <w:t>0.7</w:t>
            </w:r>
          </w:p>
        </w:tc>
        <w:tc>
          <w:tcPr>
            <w:tcW w:w="1588" w:type="dxa"/>
            <w:tcBorders>
              <w:right w:val="nil"/>
            </w:tcBorders>
            <w:shd w:val="clear" w:color="auto" w:fill="auto"/>
            <w:vAlign w:val="center"/>
          </w:tcPr>
          <w:p w14:paraId="24CD30AC"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kern w:val="24"/>
                <w:sz w:val="20"/>
                <w:szCs w:val="20"/>
                <w:lang w:val="en-US" w:eastAsia="zh-CN"/>
              </w:rPr>
              <w:t>Common</w:t>
            </w:r>
          </w:p>
        </w:tc>
      </w:tr>
      <w:tr w:rsidR="002B5404" w:rsidRPr="002B5404" w14:paraId="7471AF4E" w14:textId="77777777" w:rsidTr="004D6939">
        <w:tc>
          <w:tcPr>
            <w:tcW w:w="3686" w:type="dxa"/>
            <w:tcBorders>
              <w:left w:val="nil"/>
            </w:tcBorders>
            <w:shd w:val="clear" w:color="auto" w:fill="auto"/>
          </w:tcPr>
          <w:p w14:paraId="629D7227" w14:textId="77777777" w:rsidR="002B5404" w:rsidRPr="002B5404" w:rsidRDefault="002B5404" w:rsidP="002B5404">
            <w:pPr>
              <w:keepLines/>
              <w:tabs>
                <w:tab w:val="left" w:pos="284"/>
                <w:tab w:val="left" w:pos="8505"/>
              </w:tabs>
              <w:spacing w:before="40" w:after="20" w:line="240" w:lineRule="auto"/>
              <w:rPr>
                <w:rFonts w:eastAsia="MS Mincho" w:cs="Arial"/>
                <w:sz w:val="20"/>
                <w:szCs w:val="20"/>
                <w:lang w:val="en-US" w:eastAsia="zh-CN"/>
              </w:rPr>
            </w:pPr>
            <w:r w:rsidRPr="002B5404">
              <w:rPr>
                <w:rFonts w:eastAsia="MS Mincho" w:cs="Arial"/>
                <w:kern w:val="24"/>
                <w:sz w:val="20"/>
                <w:szCs w:val="20"/>
                <w:lang w:val="en-US" w:eastAsia="zh-CN"/>
              </w:rPr>
              <w:lastRenderedPageBreak/>
              <w:t>Cataract</w:t>
            </w:r>
          </w:p>
        </w:tc>
        <w:tc>
          <w:tcPr>
            <w:tcW w:w="2126" w:type="dxa"/>
            <w:shd w:val="clear" w:color="auto" w:fill="auto"/>
            <w:vAlign w:val="center"/>
          </w:tcPr>
          <w:p w14:paraId="4D313C60"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kern w:val="24"/>
                <w:sz w:val="20"/>
                <w:szCs w:val="20"/>
                <w:lang w:val="en-US" w:eastAsia="zh-CN"/>
              </w:rPr>
              <w:t>7.0</w:t>
            </w:r>
          </w:p>
        </w:tc>
        <w:tc>
          <w:tcPr>
            <w:tcW w:w="1701" w:type="dxa"/>
            <w:shd w:val="clear" w:color="auto" w:fill="auto"/>
            <w:vAlign w:val="center"/>
          </w:tcPr>
          <w:p w14:paraId="74E61287"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kern w:val="24"/>
                <w:sz w:val="20"/>
                <w:szCs w:val="20"/>
                <w:lang w:val="en-US" w:eastAsia="zh-CN"/>
              </w:rPr>
              <w:t>11.1</w:t>
            </w:r>
          </w:p>
        </w:tc>
        <w:tc>
          <w:tcPr>
            <w:tcW w:w="1588" w:type="dxa"/>
            <w:tcBorders>
              <w:right w:val="nil"/>
            </w:tcBorders>
            <w:shd w:val="clear" w:color="auto" w:fill="auto"/>
            <w:vAlign w:val="center"/>
          </w:tcPr>
          <w:p w14:paraId="3961B536"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kern w:val="24"/>
                <w:sz w:val="20"/>
                <w:szCs w:val="20"/>
                <w:lang w:val="en-US" w:eastAsia="zh-CN"/>
              </w:rPr>
              <w:t>Common</w:t>
            </w:r>
          </w:p>
        </w:tc>
      </w:tr>
      <w:tr w:rsidR="002B5404" w:rsidRPr="002B5404" w14:paraId="496B1D53" w14:textId="77777777" w:rsidTr="004D6939">
        <w:tc>
          <w:tcPr>
            <w:tcW w:w="3686" w:type="dxa"/>
            <w:tcBorders>
              <w:left w:val="nil"/>
            </w:tcBorders>
            <w:shd w:val="clear" w:color="auto" w:fill="auto"/>
          </w:tcPr>
          <w:p w14:paraId="485F499B"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 xml:space="preserve">Conjunctival </w:t>
            </w:r>
            <w:proofErr w:type="spellStart"/>
            <w:r w:rsidRPr="002B5404">
              <w:rPr>
                <w:rFonts w:eastAsia="MS Mincho" w:cs="Arial"/>
                <w:color w:val="000000"/>
                <w:kern w:val="24"/>
                <w:sz w:val="20"/>
                <w:szCs w:val="20"/>
                <w:lang w:val="en-US" w:eastAsia="zh-CN"/>
              </w:rPr>
              <w:t>haemorrhage</w:t>
            </w:r>
            <w:proofErr w:type="spellEnd"/>
          </w:p>
        </w:tc>
        <w:tc>
          <w:tcPr>
            <w:tcW w:w="2126" w:type="dxa"/>
            <w:shd w:val="clear" w:color="auto" w:fill="auto"/>
            <w:vAlign w:val="center"/>
          </w:tcPr>
          <w:p w14:paraId="0A97AC55"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6.3</w:t>
            </w:r>
          </w:p>
        </w:tc>
        <w:tc>
          <w:tcPr>
            <w:tcW w:w="1701" w:type="dxa"/>
            <w:shd w:val="clear" w:color="auto" w:fill="auto"/>
            <w:vAlign w:val="center"/>
          </w:tcPr>
          <w:p w14:paraId="77BAF75E"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7.0</w:t>
            </w:r>
          </w:p>
        </w:tc>
        <w:tc>
          <w:tcPr>
            <w:tcW w:w="1588" w:type="dxa"/>
            <w:tcBorders>
              <w:right w:val="nil"/>
            </w:tcBorders>
            <w:shd w:val="clear" w:color="auto" w:fill="auto"/>
            <w:vAlign w:val="center"/>
          </w:tcPr>
          <w:p w14:paraId="5AB0BDB8"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7E1C3478" w14:textId="77777777" w:rsidTr="004D6939">
        <w:tc>
          <w:tcPr>
            <w:tcW w:w="3686" w:type="dxa"/>
            <w:tcBorders>
              <w:left w:val="nil"/>
            </w:tcBorders>
            <w:shd w:val="clear" w:color="auto" w:fill="auto"/>
          </w:tcPr>
          <w:p w14:paraId="2D50DF0E"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Vitreous floaters</w:t>
            </w:r>
          </w:p>
        </w:tc>
        <w:tc>
          <w:tcPr>
            <w:tcW w:w="2126" w:type="dxa"/>
            <w:shd w:val="clear" w:color="auto" w:fill="auto"/>
            <w:vAlign w:val="center"/>
          </w:tcPr>
          <w:p w14:paraId="1289F720"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5.1</w:t>
            </w:r>
          </w:p>
        </w:tc>
        <w:tc>
          <w:tcPr>
            <w:tcW w:w="1701" w:type="dxa"/>
            <w:shd w:val="clear" w:color="auto" w:fill="auto"/>
            <w:vAlign w:val="center"/>
          </w:tcPr>
          <w:p w14:paraId="51DA54B3"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2.9</w:t>
            </w:r>
          </w:p>
        </w:tc>
        <w:tc>
          <w:tcPr>
            <w:tcW w:w="1588" w:type="dxa"/>
            <w:tcBorders>
              <w:right w:val="nil"/>
            </w:tcBorders>
            <w:shd w:val="clear" w:color="auto" w:fill="auto"/>
            <w:vAlign w:val="center"/>
          </w:tcPr>
          <w:p w14:paraId="3FF03B35"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39CE1372" w14:textId="77777777" w:rsidTr="004D6939">
        <w:tc>
          <w:tcPr>
            <w:tcW w:w="3686" w:type="dxa"/>
            <w:tcBorders>
              <w:left w:val="nil"/>
            </w:tcBorders>
            <w:shd w:val="clear" w:color="auto" w:fill="auto"/>
            <w:vAlign w:val="center"/>
          </w:tcPr>
          <w:p w14:paraId="1B15E618"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Eye pain</w:t>
            </w:r>
          </w:p>
        </w:tc>
        <w:tc>
          <w:tcPr>
            <w:tcW w:w="2126" w:type="dxa"/>
            <w:shd w:val="clear" w:color="auto" w:fill="auto"/>
            <w:vAlign w:val="center"/>
          </w:tcPr>
          <w:p w14:paraId="3228DBFE"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4.9</w:t>
            </w:r>
          </w:p>
        </w:tc>
        <w:tc>
          <w:tcPr>
            <w:tcW w:w="1701" w:type="dxa"/>
            <w:shd w:val="clear" w:color="auto" w:fill="auto"/>
            <w:vAlign w:val="center"/>
          </w:tcPr>
          <w:p w14:paraId="648C7EBB"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6.2</w:t>
            </w:r>
          </w:p>
        </w:tc>
        <w:tc>
          <w:tcPr>
            <w:tcW w:w="1588" w:type="dxa"/>
            <w:tcBorders>
              <w:right w:val="nil"/>
            </w:tcBorders>
            <w:shd w:val="clear" w:color="auto" w:fill="auto"/>
            <w:vAlign w:val="center"/>
          </w:tcPr>
          <w:p w14:paraId="7CE6B581"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23EDB905" w14:textId="77777777" w:rsidTr="004D6939">
        <w:tc>
          <w:tcPr>
            <w:tcW w:w="3686" w:type="dxa"/>
            <w:tcBorders>
              <w:left w:val="nil"/>
            </w:tcBorders>
            <w:shd w:val="clear" w:color="auto" w:fill="auto"/>
            <w:vAlign w:val="center"/>
          </w:tcPr>
          <w:p w14:paraId="31CCC060"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Intraocular pressure increase</w:t>
            </w:r>
          </w:p>
        </w:tc>
        <w:tc>
          <w:tcPr>
            <w:tcW w:w="2126" w:type="dxa"/>
            <w:shd w:val="clear" w:color="auto" w:fill="auto"/>
            <w:vAlign w:val="center"/>
          </w:tcPr>
          <w:p w14:paraId="16FCF30D"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3.8</w:t>
            </w:r>
          </w:p>
        </w:tc>
        <w:tc>
          <w:tcPr>
            <w:tcW w:w="1701" w:type="dxa"/>
            <w:shd w:val="clear" w:color="auto" w:fill="auto"/>
            <w:vAlign w:val="center"/>
          </w:tcPr>
          <w:p w14:paraId="0104FAD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4.5</w:t>
            </w:r>
          </w:p>
        </w:tc>
        <w:tc>
          <w:tcPr>
            <w:tcW w:w="1588" w:type="dxa"/>
            <w:tcBorders>
              <w:right w:val="nil"/>
            </w:tcBorders>
            <w:shd w:val="clear" w:color="auto" w:fill="auto"/>
            <w:vAlign w:val="center"/>
          </w:tcPr>
          <w:p w14:paraId="3717B7AA"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68DCDAFB" w14:textId="77777777" w:rsidTr="004D6939">
        <w:tc>
          <w:tcPr>
            <w:tcW w:w="3686" w:type="dxa"/>
            <w:tcBorders>
              <w:left w:val="nil"/>
            </w:tcBorders>
            <w:shd w:val="clear" w:color="auto" w:fill="auto"/>
            <w:vAlign w:val="center"/>
          </w:tcPr>
          <w:p w14:paraId="71DFC5F6"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Conjunctivitis</w:t>
            </w:r>
          </w:p>
        </w:tc>
        <w:tc>
          <w:tcPr>
            <w:tcW w:w="2126" w:type="dxa"/>
            <w:shd w:val="clear" w:color="auto" w:fill="auto"/>
            <w:vAlign w:val="center"/>
          </w:tcPr>
          <w:p w14:paraId="30BA63B5"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3.3</w:t>
            </w:r>
          </w:p>
        </w:tc>
        <w:tc>
          <w:tcPr>
            <w:tcW w:w="1701" w:type="dxa"/>
            <w:shd w:val="clear" w:color="auto" w:fill="auto"/>
            <w:vAlign w:val="center"/>
          </w:tcPr>
          <w:p w14:paraId="798FDB9C"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1.6</w:t>
            </w:r>
          </w:p>
        </w:tc>
        <w:tc>
          <w:tcPr>
            <w:tcW w:w="1588" w:type="dxa"/>
            <w:tcBorders>
              <w:right w:val="nil"/>
            </w:tcBorders>
            <w:shd w:val="clear" w:color="auto" w:fill="auto"/>
            <w:vAlign w:val="center"/>
          </w:tcPr>
          <w:p w14:paraId="1EE8ED1B"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47EB9F1C" w14:textId="77777777" w:rsidTr="004D6939">
        <w:tc>
          <w:tcPr>
            <w:tcW w:w="3686" w:type="dxa"/>
            <w:tcBorders>
              <w:left w:val="nil"/>
            </w:tcBorders>
            <w:shd w:val="clear" w:color="auto" w:fill="auto"/>
            <w:vAlign w:val="center"/>
          </w:tcPr>
          <w:p w14:paraId="7BC9B588"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Retinal pigment epithelial tear</w:t>
            </w:r>
          </w:p>
        </w:tc>
        <w:tc>
          <w:tcPr>
            <w:tcW w:w="2126" w:type="dxa"/>
            <w:shd w:val="clear" w:color="auto" w:fill="auto"/>
            <w:vAlign w:val="center"/>
          </w:tcPr>
          <w:p w14:paraId="04462742"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2.7</w:t>
            </w:r>
          </w:p>
        </w:tc>
        <w:tc>
          <w:tcPr>
            <w:tcW w:w="1701" w:type="dxa"/>
            <w:shd w:val="clear" w:color="auto" w:fill="auto"/>
            <w:vAlign w:val="center"/>
          </w:tcPr>
          <w:p w14:paraId="125CC46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1.1</w:t>
            </w:r>
          </w:p>
        </w:tc>
        <w:tc>
          <w:tcPr>
            <w:tcW w:w="1588" w:type="dxa"/>
            <w:tcBorders>
              <w:right w:val="nil"/>
            </w:tcBorders>
            <w:shd w:val="clear" w:color="auto" w:fill="auto"/>
            <w:vAlign w:val="center"/>
          </w:tcPr>
          <w:p w14:paraId="0BE76A74"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69257CFF" w14:textId="77777777" w:rsidTr="004D6939">
        <w:tc>
          <w:tcPr>
            <w:tcW w:w="3686" w:type="dxa"/>
            <w:tcBorders>
              <w:left w:val="nil"/>
            </w:tcBorders>
            <w:shd w:val="clear" w:color="auto" w:fill="auto"/>
            <w:vAlign w:val="center"/>
          </w:tcPr>
          <w:p w14:paraId="3543CD23"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Vision blurred</w:t>
            </w:r>
          </w:p>
        </w:tc>
        <w:tc>
          <w:tcPr>
            <w:tcW w:w="2126" w:type="dxa"/>
            <w:shd w:val="clear" w:color="auto" w:fill="auto"/>
            <w:vAlign w:val="center"/>
          </w:tcPr>
          <w:p w14:paraId="05219B00"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1.9</w:t>
            </w:r>
          </w:p>
        </w:tc>
        <w:tc>
          <w:tcPr>
            <w:tcW w:w="1701" w:type="dxa"/>
            <w:shd w:val="clear" w:color="auto" w:fill="auto"/>
            <w:vAlign w:val="center"/>
          </w:tcPr>
          <w:p w14:paraId="7543F5F6"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1.6</w:t>
            </w:r>
          </w:p>
        </w:tc>
        <w:tc>
          <w:tcPr>
            <w:tcW w:w="1588" w:type="dxa"/>
            <w:tcBorders>
              <w:right w:val="nil"/>
            </w:tcBorders>
            <w:shd w:val="clear" w:color="auto" w:fill="auto"/>
            <w:vAlign w:val="center"/>
          </w:tcPr>
          <w:p w14:paraId="4B3FC99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0D747C2A" w14:textId="77777777" w:rsidTr="004D6939">
        <w:tc>
          <w:tcPr>
            <w:tcW w:w="3686" w:type="dxa"/>
            <w:tcBorders>
              <w:left w:val="nil"/>
            </w:tcBorders>
            <w:shd w:val="clear" w:color="auto" w:fill="auto"/>
            <w:vAlign w:val="center"/>
          </w:tcPr>
          <w:p w14:paraId="5E3925FD"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Corneal abrasion</w:t>
            </w:r>
          </w:p>
        </w:tc>
        <w:tc>
          <w:tcPr>
            <w:tcW w:w="2126" w:type="dxa"/>
            <w:shd w:val="clear" w:color="auto" w:fill="auto"/>
            <w:vAlign w:val="center"/>
          </w:tcPr>
          <w:p w14:paraId="51735591"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1.5</w:t>
            </w:r>
          </w:p>
        </w:tc>
        <w:tc>
          <w:tcPr>
            <w:tcW w:w="1701" w:type="dxa"/>
            <w:shd w:val="clear" w:color="auto" w:fill="auto"/>
            <w:vAlign w:val="center"/>
          </w:tcPr>
          <w:p w14:paraId="50A682C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2.2</w:t>
            </w:r>
          </w:p>
        </w:tc>
        <w:tc>
          <w:tcPr>
            <w:tcW w:w="1588" w:type="dxa"/>
            <w:tcBorders>
              <w:right w:val="nil"/>
            </w:tcBorders>
            <w:shd w:val="clear" w:color="auto" w:fill="auto"/>
            <w:vAlign w:val="center"/>
          </w:tcPr>
          <w:p w14:paraId="1EF3E3BD"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21B21CA0" w14:textId="77777777" w:rsidTr="004D6939">
        <w:tc>
          <w:tcPr>
            <w:tcW w:w="3686" w:type="dxa"/>
            <w:tcBorders>
              <w:left w:val="nil"/>
            </w:tcBorders>
            <w:shd w:val="clear" w:color="auto" w:fill="auto"/>
            <w:vAlign w:val="center"/>
          </w:tcPr>
          <w:p w14:paraId="48CC1B11"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Punctate keratitis</w:t>
            </w:r>
          </w:p>
        </w:tc>
        <w:tc>
          <w:tcPr>
            <w:tcW w:w="2126" w:type="dxa"/>
            <w:shd w:val="clear" w:color="auto" w:fill="auto"/>
            <w:vAlign w:val="center"/>
          </w:tcPr>
          <w:p w14:paraId="593743C6"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1.4</w:t>
            </w:r>
          </w:p>
        </w:tc>
        <w:tc>
          <w:tcPr>
            <w:tcW w:w="1701" w:type="dxa"/>
            <w:shd w:val="clear" w:color="auto" w:fill="auto"/>
            <w:vAlign w:val="center"/>
          </w:tcPr>
          <w:p w14:paraId="382FF2A6"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2.3</w:t>
            </w:r>
          </w:p>
        </w:tc>
        <w:tc>
          <w:tcPr>
            <w:tcW w:w="1588" w:type="dxa"/>
            <w:tcBorders>
              <w:right w:val="nil"/>
            </w:tcBorders>
            <w:shd w:val="clear" w:color="auto" w:fill="auto"/>
            <w:vAlign w:val="center"/>
          </w:tcPr>
          <w:p w14:paraId="227C9D7A"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Common</w:t>
            </w:r>
          </w:p>
        </w:tc>
      </w:tr>
      <w:tr w:rsidR="002B5404" w:rsidRPr="002B5404" w14:paraId="485F521D" w14:textId="77777777" w:rsidTr="004D6939">
        <w:tc>
          <w:tcPr>
            <w:tcW w:w="3686" w:type="dxa"/>
            <w:tcBorders>
              <w:left w:val="nil"/>
            </w:tcBorders>
            <w:shd w:val="clear" w:color="auto" w:fill="auto"/>
            <w:vAlign w:val="center"/>
          </w:tcPr>
          <w:p w14:paraId="4900EEA8"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Endophthalmitis</w:t>
            </w:r>
          </w:p>
        </w:tc>
        <w:tc>
          <w:tcPr>
            <w:tcW w:w="2126" w:type="dxa"/>
            <w:shd w:val="clear" w:color="auto" w:fill="auto"/>
            <w:vAlign w:val="center"/>
          </w:tcPr>
          <w:p w14:paraId="43D0764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0.7</w:t>
            </w:r>
          </w:p>
        </w:tc>
        <w:tc>
          <w:tcPr>
            <w:tcW w:w="1701" w:type="dxa"/>
            <w:shd w:val="clear" w:color="auto" w:fill="auto"/>
            <w:vAlign w:val="center"/>
          </w:tcPr>
          <w:p w14:paraId="2F565411"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0.1</w:t>
            </w:r>
          </w:p>
        </w:tc>
        <w:tc>
          <w:tcPr>
            <w:tcW w:w="1588" w:type="dxa"/>
            <w:tcBorders>
              <w:right w:val="nil"/>
            </w:tcBorders>
            <w:shd w:val="clear" w:color="auto" w:fill="auto"/>
            <w:vAlign w:val="center"/>
          </w:tcPr>
          <w:p w14:paraId="1DE3D496"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081D7677" w14:textId="77777777" w:rsidTr="004D6939">
        <w:tc>
          <w:tcPr>
            <w:tcW w:w="3686" w:type="dxa"/>
            <w:tcBorders>
              <w:left w:val="nil"/>
            </w:tcBorders>
            <w:shd w:val="clear" w:color="auto" w:fill="auto"/>
            <w:vAlign w:val="center"/>
          </w:tcPr>
          <w:p w14:paraId="0BDDF14A"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Blindness</w:t>
            </w:r>
          </w:p>
        </w:tc>
        <w:tc>
          <w:tcPr>
            <w:tcW w:w="2126" w:type="dxa"/>
            <w:shd w:val="clear" w:color="auto" w:fill="auto"/>
            <w:vAlign w:val="center"/>
          </w:tcPr>
          <w:p w14:paraId="5C7E53B0"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0.8</w:t>
            </w:r>
          </w:p>
        </w:tc>
        <w:tc>
          <w:tcPr>
            <w:tcW w:w="1701" w:type="dxa"/>
            <w:shd w:val="clear" w:color="auto" w:fill="auto"/>
            <w:vAlign w:val="center"/>
          </w:tcPr>
          <w:p w14:paraId="755D5C6E"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0.3</w:t>
            </w:r>
          </w:p>
        </w:tc>
        <w:tc>
          <w:tcPr>
            <w:tcW w:w="1588" w:type="dxa"/>
            <w:tcBorders>
              <w:right w:val="nil"/>
            </w:tcBorders>
            <w:shd w:val="clear" w:color="auto" w:fill="auto"/>
            <w:vAlign w:val="center"/>
          </w:tcPr>
          <w:p w14:paraId="19AFCB78"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7AAFC314" w14:textId="77777777" w:rsidTr="004D6939">
        <w:tc>
          <w:tcPr>
            <w:tcW w:w="3686" w:type="dxa"/>
            <w:tcBorders>
              <w:left w:val="nil"/>
            </w:tcBorders>
            <w:shd w:val="clear" w:color="auto" w:fill="auto"/>
            <w:vAlign w:val="center"/>
          </w:tcPr>
          <w:p w14:paraId="6D566BB9"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Retinal artery occlusion</w:t>
            </w:r>
          </w:p>
        </w:tc>
        <w:tc>
          <w:tcPr>
            <w:tcW w:w="2126" w:type="dxa"/>
            <w:shd w:val="clear" w:color="auto" w:fill="auto"/>
            <w:vAlign w:val="center"/>
          </w:tcPr>
          <w:p w14:paraId="276F96C3"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0.8</w:t>
            </w:r>
          </w:p>
        </w:tc>
        <w:tc>
          <w:tcPr>
            <w:tcW w:w="1701" w:type="dxa"/>
            <w:shd w:val="clear" w:color="auto" w:fill="auto"/>
            <w:vAlign w:val="center"/>
          </w:tcPr>
          <w:p w14:paraId="7EF788BC"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0.1</w:t>
            </w:r>
          </w:p>
        </w:tc>
        <w:tc>
          <w:tcPr>
            <w:tcW w:w="1588" w:type="dxa"/>
            <w:tcBorders>
              <w:right w:val="nil"/>
            </w:tcBorders>
            <w:shd w:val="clear" w:color="auto" w:fill="auto"/>
            <w:vAlign w:val="center"/>
          </w:tcPr>
          <w:p w14:paraId="7945829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54544B67" w14:textId="77777777" w:rsidTr="004D6939">
        <w:tc>
          <w:tcPr>
            <w:tcW w:w="3686" w:type="dxa"/>
            <w:tcBorders>
              <w:left w:val="nil"/>
            </w:tcBorders>
            <w:shd w:val="clear" w:color="auto" w:fill="auto"/>
            <w:vAlign w:val="center"/>
          </w:tcPr>
          <w:p w14:paraId="43DBC995"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Retinal detachment</w:t>
            </w:r>
          </w:p>
        </w:tc>
        <w:tc>
          <w:tcPr>
            <w:tcW w:w="2126" w:type="dxa"/>
            <w:shd w:val="clear" w:color="auto" w:fill="auto"/>
            <w:vAlign w:val="center"/>
          </w:tcPr>
          <w:p w14:paraId="61D12195"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0.7</w:t>
            </w:r>
          </w:p>
        </w:tc>
        <w:tc>
          <w:tcPr>
            <w:tcW w:w="1701" w:type="dxa"/>
            <w:shd w:val="clear" w:color="auto" w:fill="auto"/>
            <w:vAlign w:val="center"/>
          </w:tcPr>
          <w:p w14:paraId="2F0243C5"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0.4</w:t>
            </w:r>
          </w:p>
        </w:tc>
        <w:tc>
          <w:tcPr>
            <w:tcW w:w="1588" w:type="dxa"/>
            <w:tcBorders>
              <w:right w:val="nil"/>
            </w:tcBorders>
            <w:shd w:val="clear" w:color="auto" w:fill="auto"/>
            <w:vAlign w:val="center"/>
          </w:tcPr>
          <w:p w14:paraId="04EEB2F6"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21A4D14D" w14:textId="77777777" w:rsidTr="004D6939">
        <w:tc>
          <w:tcPr>
            <w:tcW w:w="3686" w:type="dxa"/>
            <w:tcBorders>
              <w:left w:val="nil"/>
            </w:tcBorders>
            <w:shd w:val="clear" w:color="auto" w:fill="auto"/>
            <w:vAlign w:val="center"/>
          </w:tcPr>
          <w:p w14:paraId="40DD858F"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 xml:space="preserve">Conjunctival </w:t>
            </w:r>
            <w:proofErr w:type="spellStart"/>
            <w:r w:rsidRPr="002B5404">
              <w:rPr>
                <w:rFonts w:eastAsia="MS Mincho" w:cs="Arial"/>
                <w:color w:val="000000"/>
                <w:kern w:val="24"/>
                <w:sz w:val="20"/>
                <w:szCs w:val="20"/>
                <w:lang w:val="en-US" w:eastAsia="zh-CN"/>
              </w:rPr>
              <w:t>hyperaemia</w:t>
            </w:r>
            <w:proofErr w:type="spellEnd"/>
          </w:p>
        </w:tc>
        <w:tc>
          <w:tcPr>
            <w:tcW w:w="2126" w:type="dxa"/>
            <w:shd w:val="clear" w:color="auto" w:fill="auto"/>
            <w:vAlign w:val="center"/>
          </w:tcPr>
          <w:p w14:paraId="0D59A24F"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1.0</w:t>
            </w:r>
          </w:p>
        </w:tc>
        <w:tc>
          <w:tcPr>
            <w:tcW w:w="1701" w:type="dxa"/>
            <w:shd w:val="clear" w:color="auto" w:fill="auto"/>
            <w:vAlign w:val="center"/>
          </w:tcPr>
          <w:p w14:paraId="42B45EA1"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1.1</w:t>
            </w:r>
          </w:p>
        </w:tc>
        <w:tc>
          <w:tcPr>
            <w:tcW w:w="1588" w:type="dxa"/>
            <w:tcBorders>
              <w:right w:val="nil"/>
            </w:tcBorders>
            <w:shd w:val="clear" w:color="auto" w:fill="auto"/>
            <w:vAlign w:val="center"/>
          </w:tcPr>
          <w:p w14:paraId="1C9F2D98"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169E4BCA" w14:textId="77777777" w:rsidTr="004D6939">
        <w:tc>
          <w:tcPr>
            <w:tcW w:w="3686" w:type="dxa"/>
            <w:tcBorders>
              <w:left w:val="nil"/>
            </w:tcBorders>
            <w:shd w:val="clear" w:color="auto" w:fill="auto"/>
            <w:vAlign w:val="center"/>
          </w:tcPr>
          <w:p w14:paraId="4AFE2979"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Lacrimation increased</w:t>
            </w:r>
          </w:p>
        </w:tc>
        <w:tc>
          <w:tcPr>
            <w:tcW w:w="2126" w:type="dxa"/>
            <w:shd w:val="clear" w:color="auto" w:fill="auto"/>
            <w:vAlign w:val="center"/>
          </w:tcPr>
          <w:p w14:paraId="1389F122"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1.0</w:t>
            </w:r>
          </w:p>
        </w:tc>
        <w:tc>
          <w:tcPr>
            <w:tcW w:w="1701" w:type="dxa"/>
            <w:shd w:val="clear" w:color="auto" w:fill="auto"/>
            <w:vAlign w:val="center"/>
          </w:tcPr>
          <w:p w14:paraId="2DF4679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1.1</w:t>
            </w:r>
          </w:p>
        </w:tc>
        <w:tc>
          <w:tcPr>
            <w:tcW w:w="1588" w:type="dxa"/>
            <w:tcBorders>
              <w:right w:val="nil"/>
            </w:tcBorders>
            <w:shd w:val="clear" w:color="auto" w:fill="auto"/>
            <w:vAlign w:val="center"/>
          </w:tcPr>
          <w:p w14:paraId="1436D53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2777D485" w14:textId="77777777" w:rsidTr="004D6939">
        <w:tc>
          <w:tcPr>
            <w:tcW w:w="3686" w:type="dxa"/>
            <w:tcBorders>
              <w:left w:val="nil"/>
            </w:tcBorders>
            <w:shd w:val="clear" w:color="auto" w:fill="auto"/>
            <w:vAlign w:val="center"/>
          </w:tcPr>
          <w:p w14:paraId="51CE4FAF"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Abnormal sensation in eye</w:t>
            </w:r>
          </w:p>
        </w:tc>
        <w:tc>
          <w:tcPr>
            <w:tcW w:w="2126" w:type="dxa"/>
            <w:shd w:val="clear" w:color="auto" w:fill="auto"/>
            <w:vAlign w:val="center"/>
          </w:tcPr>
          <w:p w14:paraId="72D3DB7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0.8</w:t>
            </w:r>
          </w:p>
        </w:tc>
        <w:tc>
          <w:tcPr>
            <w:tcW w:w="1701" w:type="dxa"/>
            <w:shd w:val="clear" w:color="auto" w:fill="auto"/>
            <w:vAlign w:val="center"/>
          </w:tcPr>
          <w:p w14:paraId="44975DD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1.8</w:t>
            </w:r>
          </w:p>
        </w:tc>
        <w:tc>
          <w:tcPr>
            <w:tcW w:w="1588" w:type="dxa"/>
            <w:tcBorders>
              <w:right w:val="nil"/>
            </w:tcBorders>
            <w:shd w:val="clear" w:color="auto" w:fill="auto"/>
            <w:vAlign w:val="center"/>
          </w:tcPr>
          <w:p w14:paraId="7DF7D373"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6BCF891D" w14:textId="77777777" w:rsidTr="004D6939">
        <w:tc>
          <w:tcPr>
            <w:tcW w:w="3686" w:type="dxa"/>
            <w:tcBorders>
              <w:left w:val="nil"/>
            </w:tcBorders>
            <w:shd w:val="clear" w:color="auto" w:fill="auto"/>
            <w:vAlign w:val="center"/>
          </w:tcPr>
          <w:p w14:paraId="3B20C1F7"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Detachment of retinal pigment epithelium</w:t>
            </w:r>
          </w:p>
        </w:tc>
        <w:tc>
          <w:tcPr>
            <w:tcW w:w="2126" w:type="dxa"/>
            <w:shd w:val="clear" w:color="auto" w:fill="auto"/>
            <w:vAlign w:val="center"/>
          </w:tcPr>
          <w:p w14:paraId="72BDFDCA"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0.5</w:t>
            </w:r>
          </w:p>
        </w:tc>
        <w:tc>
          <w:tcPr>
            <w:tcW w:w="1701" w:type="dxa"/>
            <w:shd w:val="clear" w:color="auto" w:fill="auto"/>
            <w:vAlign w:val="center"/>
          </w:tcPr>
          <w:p w14:paraId="7DBE1F25"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0.4</w:t>
            </w:r>
          </w:p>
        </w:tc>
        <w:tc>
          <w:tcPr>
            <w:tcW w:w="1588" w:type="dxa"/>
            <w:tcBorders>
              <w:right w:val="nil"/>
            </w:tcBorders>
            <w:shd w:val="clear" w:color="auto" w:fill="auto"/>
            <w:vAlign w:val="center"/>
          </w:tcPr>
          <w:p w14:paraId="01BDDCE2"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0098A525" w14:textId="77777777" w:rsidTr="004D6939">
        <w:tc>
          <w:tcPr>
            <w:tcW w:w="3686" w:type="dxa"/>
            <w:tcBorders>
              <w:left w:val="nil"/>
            </w:tcBorders>
            <w:shd w:val="clear" w:color="auto" w:fill="auto"/>
            <w:vAlign w:val="center"/>
          </w:tcPr>
          <w:p w14:paraId="13CC1487"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proofErr w:type="spellStart"/>
            <w:r w:rsidRPr="002B5404">
              <w:rPr>
                <w:rFonts w:eastAsia="MS Mincho" w:cs="Arial"/>
                <w:color w:val="000000"/>
                <w:kern w:val="24"/>
                <w:sz w:val="20"/>
                <w:szCs w:val="20"/>
                <w:lang w:val="en-US" w:eastAsia="zh-CN"/>
              </w:rPr>
              <w:t>Vitritis</w:t>
            </w:r>
            <w:proofErr w:type="spellEnd"/>
          </w:p>
        </w:tc>
        <w:tc>
          <w:tcPr>
            <w:tcW w:w="2126" w:type="dxa"/>
            <w:shd w:val="clear" w:color="auto" w:fill="auto"/>
            <w:vAlign w:val="center"/>
          </w:tcPr>
          <w:p w14:paraId="173C3452"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0.4</w:t>
            </w:r>
          </w:p>
        </w:tc>
        <w:tc>
          <w:tcPr>
            <w:tcW w:w="1701" w:type="dxa"/>
            <w:shd w:val="clear" w:color="auto" w:fill="auto"/>
            <w:vAlign w:val="center"/>
          </w:tcPr>
          <w:p w14:paraId="7BAFE6E2"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0.4</w:t>
            </w:r>
          </w:p>
        </w:tc>
        <w:tc>
          <w:tcPr>
            <w:tcW w:w="1588" w:type="dxa"/>
            <w:tcBorders>
              <w:right w:val="nil"/>
            </w:tcBorders>
            <w:shd w:val="clear" w:color="auto" w:fill="auto"/>
            <w:vAlign w:val="center"/>
          </w:tcPr>
          <w:p w14:paraId="263955AD"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5681AD2D" w14:textId="77777777" w:rsidTr="004D6939">
        <w:tc>
          <w:tcPr>
            <w:tcW w:w="3686" w:type="dxa"/>
            <w:tcBorders>
              <w:left w:val="nil"/>
            </w:tcBorders>
            <w:shd w:val="clear" w:color="auto" w:fill="auto"/>
            <w:vAlign w:val="center"/>
          </w:tcPr>
          <w:p w14:paraId="7B042101"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Anterior chamber inflammation</w:t>
            </w:r>
          </w:p>
        </w:tc>
        <w:tc>
          <w:tcPr>
            <w:tcW w:w="2126" w:type="dxa"/>
            <w:shd w:val="clear" w:color="auto" w:fill="auto"/>
            <w:vAlign w:val="center"/>
          </w:tcPr>
          <w:p w14:paraId="687315C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0.4</w:t>
            </w:r>
          </w:p>
        </w:tc>
        <w:tc>
          <w:tcPr>
            <w:tcW w:w="1701" w:type="dxa"/>
            <w:shd w:val="clear" w:color="auto" w:fill="auto"/>
            <w:vAlign w:val="center"/>
          </w:tcPr>
          <w:p w14:paraId="221766C2"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w:t>
            </w:r>
          </w:p>
        </w:tc>
        <w:tc>
          <w:tcPr>
            <w:tcW w:w="1588" w:type="dxa"/>
            <w:tcBorders>
              <w:right w:val="nil"/>
            </w:tcBorders>
            <w:shd w:val="clear" w:color="auto" w:fill="auto"/>
            <w:vAlign w:val="center"/>
          </w:tcPr>
          <w:p w14:paraId="76CDF6CA"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2738DA44" w14:textId="77777777" w:rsidTr="004D6939">
        <w:tc>
          <w:tcPr>
            <w:tcW w:w="3686" w:type="dxa"/>
            <w:tcBorders>
              <w:left w:val="nil"/>
            </w:tcBorders>
            <w:shd w:val="clear" w:color="auto" w:fill="auto"/>
            <w:vAlign w:val="center"/>
          </w:tcPr>
          <w:p w14:paraId="47DD72AF"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proofErr w:type="spellStart"/>
            <w:r w:rsidRPr="002B5404">
              <w:rPr>
                <w:rFonts w:eastAsia="MS Mincho" w:cs="Arial"/>
                <w:color w:val="000000"/>
                <w:kern w:val="24"/>
                <w:sz w:val="20"/>
                <w:szCs w:val="20"/>
                <w:lang w:val="en-US" w:eastAsia="zh-CN"/>
              </w:rPr>
              <w:t>Iridocyclitis</w:t>
            </w:r>
            <w:proofErr w:type="spellEnd"/>
          </w:p>
        </w:tc>
        <w:tc>
          <w:tcPr>
            <w:tcW w:w="2126" w:type="dxa"/>
            <w:shd w:val="clear" w:color="auto" w:fill="auto"/>
            <w:vAlign w:val="center"/>
          </w:tcPr>
          <w:p w14:paraId="15858D87"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0.4</w:t>
            </w:r>
          </w:p>
        </w:tc>
        <w:tc>
          <w:tcPr>
            <w:tcW w:w="1701" w:type="dxa"/>
            <w:shd w:val="clear" w:color="auto" w:fill="auto"/>
            <w:vAlign w:val="center"/>
          </w:tcPr>
          <w:p w14:paraId="3F932160"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0.1</w:t>
            </w:r>
          </w:p>
        </w:tc>
        <w:tc>
          <w:tcPr>
            <w:tcW w:w="1588" w:type="dxa"/>
            <w:tcBorders>
              <w:right w:val="nil"/>
            </w:tcBorders>
            <w:shd w:val="clear" w:color="auto" w:fill="auto"/>
            <w:vAlign w:val="center"/>
          </w:tcPr>
          <w:p w14:paraId="0A743599"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7EAF129E" w14:textId="77777777" w:rsidTr="004D6939">
        <w:tc>
          <w:tcPr>
            <w:tcW w:w="3686" w:type="dxa"/>
            <w:tcBorders>
              <w:left w:val="nil"/>
            </w:tcBorders>
            <w:shd w:val="clear" w:color="auto" w:fill="auto"/>
            <w:vAlign w:val="center"/>
          </w:tcPr>
          <w:p w14:paraId="4B1A3892"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Anterior chamber flare</w:t>
            </w:r>
          </w:p>
        </w:tc>
        <w:tc>
          <w:tcPr>
            <w:tcW w:w="2126" w:type="dxa"/>
            <w:shd w:val="clear" w:color="auto" w:fill="auto"/>
            <w:vAlign w:val="center"/>
          </w:tcPr>
          <w:p w14:paraId="47F91906"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0.3</w:t>
            </w:r>
          </w:p>
        </w:tc>
        <w:tc>
          <w:tcPr>
            <w:tcW w:w="1701" w:type="dxa"/>
            <w:shd w:val="clear" w:color="auto" w:fill="auto"/>
            <w:vAlign w:val="center"/>
          </w:tcPr>
          <w:p w14:paraId="3A41C8CE"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w:t>
            </w:r>
          </w:p>
        </w:tc>
        <w:tc>
          <w:tcPr>
            <w:tcW w:w="1588" w:type="dxa"/>
            <w:tcBorders>
              <w:right w:val="nil"/>
            </w:tcBorders>
            <w:shd w:val="clear" w:color="auto" w:fill="auto"/>
            <w:vAlign w:val="center"/>
          </w:tcPr>
          <w:p w14:paraId="08C16792"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79E4678D" w14:textId="77777777" w:rsidTr="004D6939">
        <w:tc>
          <w:tcPr>
            <w:tcW w:w="3686" w:type="dxa"/>
            <w:tcBorders>
              <w:left w:val="nil"/>
            </w:tcBorders>
            <w:shd w:val="clear" w:color="auto" w:fill="auto"/>
            <w:vAlign w:val="center"/>
          </w:tcPr>
          <w:p w14:paraId="1D6A3BA6"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 xml:space="preserve">Corneal </w:t>
            </w:r>
            <w:proofErr w:type="spellStart"/>
            <w:r w:rsidRPr="002B5404">
              <w:rPr>
                <w:rFonts w:eastAsia="MS Mincho" w:cs="Arial"/>
                <w:color w:val="000000"/>
                <w:kern w:val="24"/>
                <w:sz w:val="20"/>
                <w:szCs w:val="20"/>
                <w:lang w:val="en-US" w:eastAsia="zh-CN"/>
              </w:rPr>
              <w:t>oedema</w:t>
            </w:r>
            <w:proofErr w:type="spellEnd"/>
          </w:p>
        </w:tc>
        <w:tc>
          <w:tcPr>
            <w:tcW w:w="2126" w:type="dxa"/>
            <w:shd w:val="clear" w:color="auto" w:fill="auto"/>
            <w:vAlign w:val="center"/>
          </w:tcPr>
          <w:p w14:paraId="0F7F19B6"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0.3</w:t>
            </w:r>
          </w:p>
        </w:tc>
        <w:tc>
          <w:tcPr>
            <w:tcW w:w="1701" w:type="dxa"/>
            <w:shd w:val="clear" w:color="auto" w:fill="auto"/>
            <w:vAlign w:val="center"/>
          </w:tcPr>
          <w:p w14:paraId="1A0A1CC2"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w:t>
            </w:r>
          </w:p>
        </w:tc>
        <w:tc>
          <w:tcPr>
            <w:tcW w:w="1588" w:type="dxa"/>
            <w:tcBorders>
              <w:right w:val="nil"/>
            </w:tcBorders>
            <w:shd w:val="clear" w:color="auto" w:fill="auto"/>
            <w:vAlign w:val="center"/>
          </w:tcPr>
          <w:p w14:paraId="10FDF674"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2923428C" w14:textId="77777777" w:rsidTr="004D6939">
        <w:tc>
          <w:tcPr>
            <w:tcW w:w="3686" w:type="dxa"/>
            <w:tcBorders>
              <w:left w:val="nil"/>
            </w:tcBorders>
            <w:shd w:val="clear" w:color="auto" w:fill="auto"/>
            <w:vAlign w:val="center"/>
          </w:tcPr>
          <w:p w14:paraId="4A657AE4" w14:textId="77777777" w:rsidR="002B5404" w:rsidRPr="002B5404" w:rsidRDefault="002B5404" w:rsidP="002B5404">
            <w:pPr>
              <w:keepLines/>
              <w:tabs>
                <w:tab w:val="left" w:pos="284"/>
                <w:tab w:val="left" w:pos="8505"/>
              </w:tabs>
              <w:spacing w:before="40" w:after="20" w:line="240" w:lineRule="auto"/>
              <w:rPr>
                <w:rFonts w:eastAsia="MS Mincho" w:cs="Arial"/>
                <w:color w:val="000000"/>
                <w:sz w:val="20"/>
                <w:szCs w:val="20"/>
                <w:lang w:val="en-US" w:eastAsia="zh-CN"/>
              </w:rPr>
            </w:pPr>
            <w:r w:rsidRPr="002B5404">
              <w:rPr>
                <w:rFonts w:eastAsia="MS Mincho" w:cs="Arial"/>
                <w:color w:val="000000"/>
                <w:kern w:val="24"/>
                <w:sz w:val="20"/>
                <w:szCs w:val="20"/>
                <w:lang w:val="en-US" w:eastAsia="zh-CN"/>
              </w:rPr>
              <w:t xml:space="preserve">Vitreous </w:t>
            </w:r>
            <w:proofErr w:type="spellStart"/>
            <w:r w:rsidRPr="002B5404">
              <w:rPr>
                <w:rFonts w:eastAsia="MS Mincho" w:cs="Arial"/>
                <w:color w:val="000000"/>
                <w:kern w:val="24"/>
                <w:sz w:val="20"/>
                <w:szCs w:val="20"/>
                <w:lang w:val="en-US" w:eastAsia="zh-CN"/>
              </w:rPr>
              <w:t>haemorrhage</w:t>
            </w:r>
            <w:proofErr w:type="spellEnd"/>
          </w:p>
        </w:tc>
        <w:tc>
          <w:tcPr>
            <w:tcW w:w="2126" w:type="dxa"/>
            <w:shd w:val="clear" w:color="auto" w:fill="auto"/>
            <w:vAlign w:val="center"/>
          </w:tcPr>
          <w:p w14:paraId="3228619C"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0.1</w:t>
            </w:r>
          </w:p>
        </w:tc>
        <w:tc>
          <w:tcPr>
            <w:tcW w:w="1701" w:type="dxa"/>
            <w:shd w:val="clear" w:color="auto" w:fill="auto"/>
            <w:vAlign w:val="center"/>
          </w:tcPr>
          <w:p w14:paraId="52355CE9"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0.4</w:t>
            </w:r>
          </w:p>
        </w:tc>
        <w:tc>
          <w:tcPr>
            <w:tcW w:w="1588" w:type="dxa"/>
            <w:tcBorders>
              <w:right w:val="nil"/>
            </w:tcBorders>
            <w:shd w:val="clear" w:color="auto" w:fill="auto"/>
            <w:vAlign w:val="center"/>
          </w:tcPr>
          <w:p w14:paraId="643A3C2C" w14:textId="77777777" w:rsidR="002B5404" w:rsidRPr="002B5404" w:rsidRDefault="002B5404" w:rsidP="002B5404">
            <w:pPr>
              <w:keepLines/>
              <w:tabs>
                <w:tab w:val="left" w:pos="284"/>
                <w:tab w:val="left" w:pos="8505"/>
              </w:tabs>
              <w:spacing w:before="40" w:after="20" w:line="240" w:lineRule="auto"/>
              <w:jc w:val="center"/>
              <w:rPr>
                <w:rFonts w:eastAsia="MS Mincho" w:cs="Arial"/>
                <w:color w:val="000000"/>
                <w:sz w:val="20"/>
                <w:szCs w:val="20"/>
                <w:lang w:val="en-US" w:eastAsia="zh-CN"/>
              </w:rPr>
            </w:pPr>
            <w:r w:rsidRPr="002B5404">
              <w:rPr>
                <w:rFonts w:eastAsia="MS Mincho" w:cs="Arial"/>
                <w:color w:val="000000"/>
                <w:kern w:val="24"/>
                <w:sz w:val="20"/>
                <w:szCs w:val="20"/>
                <w:lang w:val="en-US" w:eastAsia="zh-CN"/>
              </w:rPr>
              <w:t>Uncommon</w:t>
            </w:r>
          </w:p>
        </w:tc>
      </w:tr>
      <w:tr w:rsidR="002B5404" w:rsidRPr="002B5404" w14:paraId="09E5EDA8" w14:textId="77777777" w:rsidTr="004D6939">
        <w:tc>
          <w:tcPr>
            <w:tcW w:w="9101" w:type="dxa"/>
            <w:gridSpan w:val="4"/>
            <w:tcBorders>
              <w:left w:val="nil"/>
              <w:right w:val="nil"/>
            </w:tcBorders>
            <w:shd w:val="clear" w:color="auto" w:fill="auto"/>
            <w:vAlign w:val="center"/>
          </w:tcPr>
          <w:p w14:paraId="48BCB12D" w14:textId="77777777" w:rsidR="002B5404" w:rsidRPr="002B5404" w:rsidRDefault="002B5404" w:rsidP="002B5404">
            <w:pPr>
              <w:keepLines/>
              <w:tabs>
                <w:tab w:val="left" w:pos="284"/>
                <w:tab w:val="left" w:pos="8505"/>
              </w:tabs>
              <w:spacing w:before="40" w:after="20" w:line="240" w:lineRule="auto"/>
              <w:rPr>
                <w:rFonts w:eastAsia="MS Mincho" w:cs="Arial"/>
                <w:b/>
                <w:bCs/>
                <w:sz w:val="20"/>
                <w:szCs w:val="20"/>
                <w:lang w:val="en-US" w:eastAsia="zh-CN"/>
              </w:rPr>
            </w:pPr>
            <w:r w:rsidRPr="002B5404">
              <w:rPr>
                <w:rFonts w:eastAsia="MS Mincho" w:cs="Arial"/>
                <w:b/>
                <w:bCs/>
                <w:sz w:val="20"/>
                <w:szCs w:val="20"/>
                <w:lang w:val="en-US" w:eastAsia="zh-CN"/>
              </w:rPr>
              <w:t>Immune system disorders</w:t>
            </w:r>
          </w:p>
        </w:tc>
      </w:tr>
      <w:tr w:rsidR="002B5404" w:rsidRPr="002B5404" w14:paraId="4746CABE" w14:textId="77777777" w:rsidTr="004D6939">
        <w:tc>
          <w:tcPr>
            <w:tcW w:w="3686" w:type="dxa"/>
            <w:tcBorders>
              <w:left w:val="nil"/>
            </w:tcBorders>
            <w:shd w:val="clear" w:color="auto" w:fill="auto"/>
            <w:vAlign w:val="center"/>
          </w:tcPr>
          <w:p w14:paraId="54DB057F" w14:textId="2E804B25" w:rsidR="002B5404" w:rsidRPr="002B5404" w:rsidRDefault="002B5404" w:rsidP="002B5404">
            <w:pPr>
              <w:keepLines/>
              <w:tabs>
                <w:tab w:val="left" w:pos="284"/>
                <w:tab w:val="left" w:pos="8505"/>
              </w:tabs>
              <w:spacing w:before="40" w:after="20" w:line="240" w:lineRule="auto"/>
              <w:rPr>
                <w:rFonts w:eastAsia="MS Mincho" w:cs="Arial"/>
                <w:sz w:val="20"/>
                <w:szCs w:val="20"/>
                <w:lang w:val="en-US" w:eastAsia="zh-CN"/>
              </w:rPr>
            </w:pPr>
            <w:proofErr w:type="spellStart"/>
            <w:r w:rsidRPr="002B5404">
              <w:rPr>
                <w:rFonts w:eastAsia="MS Mincho" w:cs="Arial"/>
                <w:sz w:val="20"/>
                <w:szCs w:val="20"/>
                <w:lang w:val="en-US" w:eastAsia="zh-CN"/>
              </w:rPr>
              <w:t>Hypersensitivity</w:t>
            </w:r>
            <w:r w:rsidR="006C77AF">
              <w:rPr>
                <w:rFonts w:eastAsia="MS Mincho" w:cs="Arial"/>
                <w:sz w:val="20"/>
                <w:szCs w:val="20"/>
                <w:vertAlign w:val="superscript"/>
                <w:lang w:val="en-US" w:eastAsia="zh-CN"/>
              </w:rPr>
              <w:t>a</w:t>
            </w:r>
            <w:proofErr w:type="spellEnd"/>
            <w:r w:rsidRPr="002B5404">
              <w:rPr>
                <w:rFonts w:eastAsia="MS Mincho" w:cs="Arial"/>
                <w:sz w:val="20"/>
                <w:szCs w:val="20"/>
                <w:vertAlign w:val="superscript"/>
                <w:lang w:val="en-US" w:eastAsia="zh-CN"/>
              </w:rPr>
              <w:t>)</w:t>
            </w:r>
          </w:p>
        </w:tc>
        <w:tc>
          <w:tcPr>
            <w:tcW w:w="2126" w:type="dxa"/>
            <w:shd w:val="clear" w:color="auto" w:fill="auto"/>
            <w:vAlign w:val="center"/>
          </w:tcPr>
          <w:p w14:paraId="716EAD34"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sz w:val="20"/>
                <w:szCs w:val="20"/>
                <w:lang w:val="en-US" w:eastAsia="zh-CN"/>
              </w:rPr>
              <w:t>1.8</w:t>
            </w:r>
          </w:p>
        </w:tc>
        <w:tc>
          <w:tcPr>
            <w:tcW w:w="1701" w:type="dxa"/>
            <w:shd w:val="clear" w:color="auto" w:fill="auto"/>
            <w:vAlign w:val="center"/>
          </w:tcPr>
          <w:p w14:paraId="3DF79C73"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sz w:val="20"/>
                <w:szCs w:val="20"/>
                <w:lang w:val="en-US" w:eastAsia="zh-CN"/>
              </w:rPr>
              <w:t>1.4</w:t>
            </w:r>
          </w:p>
        </w:tc>
        <w:tc>
          <w:tcPr>
            <w:tcW w:w="1588" w:type="dxa"/>
            <w:tcBorders>
              <w:right w:val="nil"/>
            </w:tcBorders>
            <w:shd w:val="clear" w:color="auto" w:fill="auto"/>
            <w:vAlign w:val="center"/>
          </w:tcPr>
          <w:p w14:paraId="5F39CBA8" w14:textId="77777777" w:rsidR="002B5404" w:rsidRPr="002B5404" w:rsidRDefault="002B5404" w:rsidP="002B5404">
            <w:pPr>
              <w:keepLines/>
              <w:tabs>
                <w:tab w:val="left" w:pos="284"/>
                <w:tab w:val="left" w:pos="8505"/>
              </w:tabs>
              <w:spacing w:before="40" w:after="20" w:line="240" w:lineRule="auto"/>
              <w:jc w:val="center"/>
              <w:rPr>
                <w:rFonts w:eastAsia="MS Mincho" w:cs="Arial"/>
                <w:sz w:val="20"/>
                <w:szCs w:val="20"/>
                <w:lang w:val="en-US" w:eastAsia="zh-CN"/>
              </w:rPr>
            </w:pPr>
            <w:r w:rsidRPr="002B5404">
              <w:rPr>
                <w:rFonts w:eastAsia="MS Mincho" w:cs="Arial"/>
                <w:sz w:val="20"/>
                <w:szCs w:val="20"/>
                <w:lang w:val="en-US" w:eastAsia="zh-CN"/>
              </w:rPr>
              <w:t>Common</w:t>
            </w:r>
          </w:p>
        </w:tc>
      </w:tr>
      <w:tr w:rsidR="002B5404" w:rsidRPr="002B5404" w14:paraId="0CEF58BD" w14:textId="77777777" w:rsidTr="004D6939">
        <w:trPr>
          <w:trHeight w:val="575"/>
        </w:trPr>
        <w:tc>
          <w:tcPr>
            <w:tcW w:w="9101" w:type="dxa"/>
            <w:gridSpan w:val="4"/>
            <w:tcBorders>
              <w:left w:val="nil"/>
              <w:right w:val="nil"/>
            </w:tcBorders>
            <w:shd w:val="clear" w:color="auto" w:fill="auto"/>
            <w:vAlign w:val="center"/>
          </w:tcPr>
          <w:p w14:paraId="6652AE23" w14:textId="6760CFE3" w:rsidR="002B5404" w:rsidRPr="002B5404" w:rsidRDefault="00425C20" w:rsidP="002B5404">
            <w:pPr>
              <w:keepLines/>
              <w:tabs>
                <w:tab w:val="left" w:pos="284"/>
                <w:tab w:val="left" w:pos="8505"/>
              </w:tabs>
              <w:spacing w:before="40" w:after="20" w:line="240" w:lineRule="auto"/>
              <w:rPr>
                <w:rFonts w:eastAsia="MS Mincho" w:cs="Arial"/>
                <w:i/>
                <w:iCs/>
                <w:sz w:val="16"/>
                <w:szCs w:val="16"/>
                <w:lang w:val="en-GB" w:eastAsia="zh-CN"/>
              </w:rPr>
            </w:pPr>
            <w:r>
              <w:rPr>
                <w:rFonts w:eastAsia="MS Mincho" w:cs="Arial"/>
                <w:i/>
                <w:sz w:val="16"/>
                <w:szCs w:val="16"/>
                <w:vertAlign w:val="superscript"/>
                <w:lang w:val="en-GB" w:eastAsia="zh-CN"/>
              </w:rPr>
              <w:t>a</w:t>
            </w:r>
            <w:r w:rsidR="002B5404" w:rsidRPr="002B5404">
              <w:rPr>
                <w:rFonts w:eastAsia="MS Mincho" w:cs="Arial"/>
                <w:i/>
                <w:sz w:val="16"/>
                <w:szCs w:val="16"/>
                <w:vertAlign w:val="superscript"/>
                <w:lang w:val="en-GB" w:eastAsia="zh-CN"/>
              </w:rPr>
              <w:t xml:space="preserve">) </w:t>
            </w:r>
            <w:r w:rsidR="002B5404" w:rsidRPr="002B5404">
              <w:rPr>
                <w:rFonts w:eastAsia="MS Mincho" w:cs="Arial"/>
                <w:i/>
                <w:sz w:val="16"/>
                <w:szCs w:val="16"/>
                <w:lang w:val="en-GB" w:eastAsia="zh-CN"/>
              </w:rPr>
              <w:t xml:space="preserve">Including </w:t>
            </w:r>
            <w:proofErr w:type="spellStart"/>
            <w:r w:rsidR="002B5404" w:rsidRPr="002B5404">
              <w:rPr>
                <w:rFonts w:eastAsia="MS Mincho" w:cs="Arial"/>
                <w:i/>
                <w:sz w:val="16"/>
                <w:szCs w:val="16"/>
                <w:lang w:val="en-GB" w:eastAsia="zh-CN"/>
              </w:rPr>
              <w:t>urticaria</w:t>
            </w:r>
            <w:proofErr w:type="spellEnd"/>
            <w:r w:rsidR="002B5404" w:rsidRPr="002B5404">
              <w:rPr>
                <w:rFonts w:eastAsia="MS Mincho" w:cs="Arial"/>
                <w:i/>
                <w:sz w:val="16"/>
                <w:szCs w:val="16"/>
                <w:lang w:val="en-GB" w:eastAsia="zh-CN"/>
              </w:rPr>
              <w:t>, rash, pruritus, erythema</w:t>
            </w:r>
          </w:p>
        </w:tc>
      </w:tr>
    </w:tbl>
    <w:p w14:paraId="47C1A0ED" w14:textId="73456E51" w:rsidR="002B5404" w:rsidRPr="0077619B" w:rsidRDefault="008B120B" w:rsidP="00FB4A0F">
      <w:pPr>
        <w:pStyle w:val="Heading3"/>
        <w:rPr>
          <w:lang w:val="en-US"/>
        </w:rPr>
      </w:pPr>
      <w:r w:rsidRPr="008B120B">
        <w:rPr>
          <w:lang w:val="en-US"/>
        </w:rPr>
        <w:t>Arterial thromboembolic events</w:t>
      </w:r>
    </w:p>
    <w:p w14:paraId="78CF8F30" w14:textId="08142D41" w:rsidR="00DA2CF6" w:rsidRPr="00DA2CF6" w:rsidRDefault="008B120B">
      <w:pPr>
        <w:rPr>
          <w:lang w:val="en-US"/>
        </w:rPr>
      </w:pPr>
      <w:r w:rsidRPr="008B120B">
        <w:rPr>
          <w:lang w:val="en-US"/>
        </w:rPr>
        <w:t>Arterial thromboembolic events (ATEs) are adverse events potentially related to systemic VEGF inhibition. There is a theoretical risk of arterial thromboembolic events following intravitreal use of VEGF inhibitors.</w:t>
      </w:r>
      <w:r w:rsidR="00615FDE">
        <w:rPr>
          <w:lang w:val="en-US"/>
        </w:rPr>
        <w:t xml:space="preserve"> </w:t>
      </w:r>
      <w:r w:rsidRPr="008B120B">
        <w:rPr>
          <w:lang w:val="en-US"/>
        </w:rPr>
        <w:t>The ATE rate in the two controlled 96-week neovascular AMD studies (HAWK and HARRIER) was 4.5% (33 of 730) in the pooled brolucizumab arms compared with 4.7% (34 of 729) in the pooled aflibercept arms</w:t>
      </w:r>
      <w:r w:rsidR="00297B2D">
        <w:rPr>
          <w:lang w:val="en-US"/>
        </w:rPr>
        <w:t>.</w:t>
      </w:r>
    </w:p>
    <w:p w14:paraId="54C77EE4" w14:textId="77777777" w:rsidR="00CB459C" w:rsidRPr="00FB4A0F" w:rsidRDefault="00CB459C" w:rsidP="00CB459C">
      <w:pPr>
        <w:pStyle w:val="Heading3"/>
        <w:rPr>
          <w:lang w:val="en-US"/>
        </w:rPr>
      </w:pPr>
      <w:r w:rsidRPr="00FB4A0F">
        <w:rPr>
          <w:lang w:val="en-US"/>
        </w:rPr>
        <w:t>Immunogenicity</w:t>
      </w:r>
    </w:p>
    <w:p w14:paraId="045BE2F3" w14:textId="14C69E04" w:rsidR="00CB459C" w:rsidRPr="001D7679" w:rsidRDefault="00CB459C">
      <w:pPr>
        <w:rPr>
          <w:lang w:val="en-US"/>
        </w:rPr>
      </w:pPr>
      <w:r w:rsidRPr="001D7679">
        <w:rPr>
          <w:lang w:val="en-US"/>
        </w:rPr>
        <w:t xml:space="preserve">As with all therapeutic proteins, there is a potential for an immune response in patients treated with </w:t>
      </w:r>
      <w:r w:rsidR="007B6410">
        <w:rPr>
          <w:lang w:val="en-US"/>
        </w:rPr>
        <w:t>Beovu</w:t>
      </w:r>
      <w:r w:rsidRPr="001D7679">
        <w:rPr>
          <w:lang w:val="en-US"/>
        </w:rPr>
        <w:t xml:space="preserve">. The immunogenicity of </w:t>
      </w:r>
      <w:r w:rsidR="007B6410">
        <w:rPr>
          <w:lang w:val="en-US"/>
        </w:rPr>
        <w:t>Beovu</w:t>
      </w:r>
      <w:r w:rsidRPr="001D7679">
        <w:rPr>
          <w:lang w:val="en-US"/>
        </w:rPr>
        <w:t xml:space="preserve"> was evaluated in serum samples. The immunogenicity data reflect the percentage of patients whose test results were considered positive for antibodies to </w:t>
      </w:r>
      <w:r w:rsidR="007B6410">
        <w:rPr>
          <w:lang w:val="en-US"/>
        </w:rPr>
        <w:t>Beovu</w:t>
      </w:r>
      <w:r w:rsidRPr="001D7679">
        <w:rPr>
          <w:lang w:val="en-US"/>
        </w:rPr>
        <w:t xml:space="preserve"> in immunoassays. The detection of an immune response is highly dependent on the sensitivity </w:t>
      </w:r>
      <w:r w:rsidRPr="001D7679">
        <w:rPr>
          <w:lang w:val="en-US"/>
        </w:rPr>
        <w:lastRenderedPageBreak/>
        <w:t xml:space="preserve">and specificity of the assays used, sample handling, timing of sample collection, concomitant medications, and underlying disease. For these reasons, comparison of the incidence of antibodies to </w:t>
      </w:r>
      <w:r w:rsidR="007B6410">
        <w:rPr>
          <w:lang w:val="en-US"/>
        </w:rPr>
        <w:t>Beovu</w:t>
      </w:r>
      <w:r w:rsidRPr="001D7679">
        <w:rPr>
          <w:lang w:val="en-US"/>
        </w:rPr>
        <w:t xml:space="preserve"> with the incidence of antibodies to other products may be misleading.</w:t>
      </w:r>
    </w:p>
    <w:p w14:paraId="2439F0B6" w14:textId="3E9A127A" w:rsidR="00CB459C" w:rsidRPr="001D7679" w:rsidRDefault="00CB459C" w:rsidP="00CB459C">
      <w:pPr>
        <w:rPr>
          <w:lang w:val="en-US"/>
        </w:rPr>
      </w:pPr>
      <w:r w:rsidRPr="001D7679">
        <w:rPr>
          <w:lang w:val="en-US"/>
        </w:rPr>
        <w:t>The pre</w:t>
      </w:r>
      <w:r w:rsidRPr="001D7679">
        <w:rPr>
          <w:lang w:val="en-US"/>
        </w:rPr>
        <w:noBreakHyphen/>
        <w:t>treatment incidence of anti</w:t>
      </w:r>
      <w:r w:rsidRPr="001D7679">
        <w:rPr>
          <w:lang w:val="en-US"/>
        </w:rPr>
        <w:noBreakHyphen/>
        <w:t xml:space="preserve">brolucizumab antibodies was 35 – 52%. After dosing with </w:t>
      </w:r>
      <w:r w:rsidR="007B6410">
        <w:rPr>
          <w:lang w:val="en-US"/>
        </w:rPr>
        <w:t>Beovu</w:t>
      </w:r>
      <w:r w:rsidRPr="001D7679">
        <w:rPr>
          <w:lang w:val="en-US"/>
        </w:rPr>
        <w:t xml:space="preserve"> for 88 weeks, treatment</w:t>
      </w:r>
      <w:r w:rsidRPr="001D7679">
        <w:rPr>
          <w:lang w:val="en-US"/>
        </w:rPr>
        <w:noBreakHyphen/>
        <w:t>emergent anti</w:t>
      </w:r>
      <w:r w:rsidRPr="001D7679">
        <w:rPr>
          <w:lang w:val="en-US"/>
        </w:rPr>
        <w:noBreakHyphen/>
        <w:t>brolucizumab antibodies were detected in 23 – 25% of patients.</w:t>
      </w:r>
    </w:p>
    <w:p w14:paraId="344024DC" w14:textId="604C0517" w:rsidR="00CB459C" w:rsidRDefault="00CB459C">
      <w:r w:rsidRPr="001D7679">
        <w:t>Among patients with treatment</w:t>
      </w:r>
      <w:r w:rsidRPr="001D7679">
        <w:noBreakHyphen/>
        <w:t>emergent antibodies, a higher number of intraocular inflammation events were observed. The significance of anti</w:t>
      </w:r>
      <w:r w:rsidRPr="001D7679">
        <w:noBreakHyphen/>
        <w:t xml:space="preserve">brolucizumab antibodies on </w:t>
      </w:r>
      <w:r w:rsidR="00EC7A63">
        <w:t xml:space="preserve">clinical efficacy and </w:t>
      </w:r>
      <w:r w:rsidRPr="001D7679">
        <w:t xml:space="preserve">safety </w:t>
      </w:r>
      <w:r w:rsidR="00EC7A63">
        <w:t xml:space="preserve">of Beovu </w:t>
      </w:r>
      <w:r w:rsidRPr="001D7679">
        <w:t xml:space="preserve">is </w:t>
      </w:r>
      <w:r w:rsidR="00EC7A63">
        <w:t>not known.</w:t>
      </w:r>
    </w:p>
    <w:p w14:paraId="2FCD2E96" w14:textId="77777777" w:rsidR="002B424E" w:rsidRPr="0077619B" w:rsidRDefault="002B424E" w:rsidP="002B424E">
      <w:pPr>
        <w:pStyle w:val="Heading3"/>
      </w:pPr>
      <w:r w:rsidRPr="0077619B">
        <w:t>Reporting suspected adverse effects</w:t>
      </w:r>
    </w:p>
    <w:p w14:paraId="6D8106BB" w14:textId="77777777" w:rsidR="00B4015A" w:rsidRPr="0077619B" w:rsidRDefault="00497C85">
      <w:pPr>
        <w:rPr>
          <w:lang w:val="en"/>
        </w:rPr>
      </w:pPr>
      <w:r w:rsidRPr="0077619B">
        <w:rPr>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77619B">
          <w:rPr>
            <w:rStyle w:val="Hyperlink"/>
            <w:rFonts w:cstheme="minorHAnsi"/>
            <w:lang w:val="en"/>
          </w:rPr>
          <w:t>www.tga.gov.au/reporting-problems</w:t>
        </w:r>
      </w:hyperlink>
      <w:r w:rsidRPr="0077619B">
        <w:rPr>
          <w:lang w:val="en"/>
        </w:rPr>
        <w:t>.</w:t>
      </w:r>
    </w:p>
    <w:p w14:paraId="16C0AB73" w14:textId="77777777" w:rsidR="001A3992" w:rsidRPr="0077619B" w:rsidRDefault="001A3992" w:rsidP="001A3992">
      <w:pPr>
        <w:pStyle w:val="Heading2"/>
        <w:keepNext/>
        <w:keepLines/>
        <w:spacing w:before="0" w:after="120"/>
        <w:rPr>
          <w:rFonts w:cstheme="minorHAnsi"/>
        </w:rPr>
      </w:pPr>
      <w:r w:rsidRPr="0077619B">
        <w:rPr>
          <w:rFonts w:cstheme="minorHAnsi"/>
        </w:rPr>
        <w:t>Overdose</w:t>
      </w:r>
    </w:p>
    <w:p w14:paraId="75C76597" w14:textId="77777777" w:rsidR="00CB459C" w:rsidRPr="0077619B" w:rsidRDefault="00CB459C" w:rsidP="00FB4A0F">
      <w:r w:rsidRPr="0077619B">
        <w:t>Overdosing with greater than recommended injection volume may increase intraocular pressure. In the event of overdose, intraocular pressure should therefore be monitored and, if deemed necessary by the treating physician, appropriate treatment should be initiated.</w:t>
      </w:r>
    </w:p>
    <w:p w14:paraId="7967765D" w14:textId="77777777" w:rsidR="00497C85" w:rsidRPr="0077619B" w:rsidRDefault="00497C85">
      <w:r w:rsidRPr="0077619B">
        <w:rPr>
          <w:lang w:val="en"/>
        </w:rPr>
        <w:t>For information on the management of overdose, contact the Poisons Information Centre on 13 11 26 (Australia).</w:t>
      </w:r>
    </w:p>
    <w:p w14:paraId="1134B3FE" w14:textId="77777777" w:rsidR="001A3992" w:rsidRPr="0077619B" w:rsidRDefault="001A3992" w:rsidP="001A3992">
      <w:pPr>
        <w:pStyle w:val="Heading1"/>
        <w:spacing w:before="0" w:after="120"/>
        <w:rPr>
          <w:rFonts w:cstheme="minorHAnsi"/>
          <w:lang w:val="en-US"/>
        </w:rPr>
      </w:pPr>
      <w:r w:rsidRPr="0077619B">
        <w:rPr>
          <w:rFonts w:cstheme="minorHAnsi"/>
          <w:lang w:val="en-US"/>
        </w:rPr>
        <w:t>Pharmacological properties</w:t>
      </w:r>
    </w:p>
    <w:p w14:paraId="2DE9C176" w14:textId="77777777" w:rsidR="001A3992" w:rsidRPr="0077619B" w:rsidRDefault="001A3992" w:rsidP="001A3992">
      <w:pPr>
        <w:pStyle w:val="Heading2"/>
        <w:spacing w:before="0" w:after="120"/>
        <w:rPr>
          <w:rFonts w:cstheme="minorHAnsi"/>
          <w:lang w:val="en-US"/>
        </w:rPr>
      </w:pPr>
      <w:r w:rsidRPr="0077619B">
        <w:rPr>
          <w:rFonts w:cstheme="minorHAnsi"/>
          <w:lang w:val="en-US"/>
        </w:rPr>
        <w:t xml:space="preserve">Pharmacodynamic properties </w:t>
      </w:r>
    </w:p>
    <w:p w14:paraId="481D5C9E" w14:textId="77777777" w:rsidR="00CB459C" w:rsidRPr="0077619B" w:rsidRDefault="00CB459C">
      <w:proofErr w:type="spellStart"/>
      <w:r w:rsidRPr="0077619B">
        <w:t>Pharmacotherapeutic</w:t>
      </w:r>
      <w:proofErr w:type="spellEnd"/>
      <w:r w:rsidRPr="0077619B">
        <w:t xml:space="preserve"> group: </w:t>
      </w:r>
      <w:proofErr w:type="spellStart"/>
      <w:r w:rsidRPr="0077619B">
        <w:t>Ophthalmologicals</w:t>
      </w:r>
      <w:proofErr w:type="spellEnd"/>
      <w:r w:rsidRPr="0077619B">
        <w:t xml:space="preserve">, </w:t>
      </w:r>
      <w:proofErr w:type="spellStart"/>
      <w:r w:rsidRPr="0077619B">
        <w:t>antineovascularisation</w:t>
      </w:r>
      <w:proofErr w:type="spellEnd"/>
      <w:r w:rsidRPr="0077619B">
        <w:t xml:space="preserve"> agents, ATC code: S01LA06</w:t>
      </w:r>
    </w:p>
    <w:p w14:paraId="656D5848" w14:textId="77777777" w:rsidR="00EF001E" w:rsidRPr="00FB4A0F" w:rsidRDefault="001A3992" w:rsidP="00FB4A0F">
      <w:pPr>
        <w:pStyle w:val="Heading3"/>
      </w:pPr>
      <w:r w:rsidRPr="00FB4A0F">
        <w:t>Mechanism of action</w:t>
      </w:r>
    </w:p>
    <w:p w14:paraId="524A493F" w14:textId="5F6C1D1E" w:rsidR="00CB459C" w:rsidRPr="0077619B" w:rsidRDefault="00CB459C" w:rsidP="00FB4A0F">
      <w:r w:rsidRPr="0077619B">
        <w:t>Increased levels of signalling through the vascular endothelial growth factor A (VEGF</w:t>
      </w:r>
      <w:r w:rsidRPr="0077619B">
        <w:noBreakHyphen/>
        <w:t>A) pathway are associated with pathological ocular angiogenesis and retinal oedema</w:t>
      </w:r>
      <w:r w:rsidR="00953EED">
        <w:t xml:space="preserve"> in age-related macular degeneration</w:t>
      </w:r>
      <w:r w:rsidRPr="0077619B">
        <w:t xml:space="preserve">. Brolucizumab binds with </w:t>
      </w:r>
      <w:proofErr w:type="spellStart"/>
      <w:r w:rsidR="00953EED">
        <w:t>picomolar</w:t>
      </w:r>
      <w:proofErr w:type="spellEnd"/>
      <w:r w:rsidRPr="0077619B">
        <w:t xml:space="preserve"> affinity to VEGF</w:t>
      </w:r>
      <w:r w:rsidRPr="0077619B">
        <w:noBreakHyphen/>
        <w:t>A isoforms (e.g. VEGF</w:t>
      </w:r>
      <w:r w:rsidRPr="0077619B">
        <w:rPr>
          <w:vertAlign w:val="subscript"/>
        </w:rPr>
        <w:t>110</w:t>
      </w:r>
      <w:r w:rsidRPr="0077619B">
        <w:t>, VEGF</w:t>
      </w:r>
      <w:r w:rsidRPr="0077619B">
        <w:rPr>
          <w:vertAlign w:val="subscript"/>
        </w:rPr>
        <w:t>121</w:t>
      </w:r>
      <w:r w:rsidRPr="0077619B">
        <w:t>, and VEGF</w:t>
      </w:r>
      <w:r w:rsidRPr="0077619B">
        <w:rPr>
          <w:vertAlign w:val="subscript"/>
        </w:rPr>
        <w:t>165</w:t>
      </w:r>
      <w:r w:rsidRPr="0077619B">
        <w:t>), thereby preventing binding of VEGF</w:t>
      </w:r>
      <w:r w:rsidRPr="0077619B">
        <w:noBreakHyphen/>
        <w:t>A to its receptors VEGFR</w:t>
      </w:r>
      <w:r w:rsidRPr="0077619B">
        <w:noBreakHyphen/>
        <w:t>1 and VEGFR</w:t>
      </w:r>
      <w:r w:rsidRPr="0077619B">
        <w:noBreakHyphen/>
        <w:t xml:space="preserve">2. </w:t>
      </w:r>
      <w:r w:rsidRPr="0077619B">
        <w:rPr>
          <w:rStyle w:val="spellingerror"/>
        </w:rPr>
        <w:t>By inhibiting VEGF</w:t>
      </w:r>
      <w:r w:rsidRPr="0077619B">
        <w:rPr>
          <w:rStyle w:val="spellingerror"/>
        </w:rPr>
        <w:noBreakHyphen/>
        <w:t>A binding</w:t>
      </w:r>
      <w:r w:rsidR="00953EED">
        <w:rPr>
          <w:rStyle w:val="spellingerror"/>
        </w:rPr>
        <w:t xml:space="preserve"> to its receptors</w:t>
      </w:r>
      <w:r w:rsidRPr="0077619B">
        <w:rPr>
          <w:rStyle w:val="spellingerror"/>
        </w:rPr>
        <w:t xml:space="preserve">, </w:t>
      </w:r>
      <w:r w:rsidRPr="0077619B">
        <w:t>brolucizumab suppresses endothelial cell proliferation, thereby reducing pathological neovascularisation and decreasing vascular permeability.</w:t>
      </w:r>
    </w:p>
    <w:p w14:paraId="1B469545" w14:textId="77777777" w:rsidR="00CB459C" w:rsidRPr="0077619B" w:rsidRDefault="00CB459C">
      <w:pPr>
        <w:pStyle w:val="Heading3"/>
      </w:pPr>
      <w:r w:rsidRPr="00DE2D44">
        <w:t>Pharmacodynamic</w:t>
      </w:r>
      <w:r w:rsidRPr="0077619B">
        <w:t xml:space="preserve"> effects</w:t>
      </w:r>
    </w:p>
    <w:p w14:paraId="10A19713" w14:textId="47EC4C0D" w:rsidR="00CB459C" w:rsidRPr="0077619B" w:rsidRDefault="00CB459C" w:rsidP="00FB4A0F">
      <w:r w:rsidRPr="0077619B">
        <w:t>Neovascular (wet) age</w:t>
      </w:r>
      <w:r w:rsidRPr="0077619B">
        <w:noBreakHyphen/>
        <w:t xml:space="preserve">related macular degeneration (AMD) is characterised by pathological choroidal neovascularisation (CNV). Leakage of blood and fluid from CNV may cause retinal thickening or oedema and/or </w:t>
      </w:r>
      <w:proofErr w:type="spellStart"/>
      <w:r w:rsidRPr="0077619B">
        <w:t>intraretinal</w:t>
      </w:r>
      <w:proofErr w:type="spellEnd"/>
      <w:r w:rsidRPr="0077619B">
        <w:t>/</w:t>
      </w:r>
      <w:proofErr w:type="spellStart"/>
      <w:r w:rsidRPr="0077619B">
        <w:t>subretinal</w:t>
      </w:r>
      <w:proofErr w:type="spellEnd"/>
      <w:r w:rsidRPr="0077619B">
        <w:t xml:space="preserve"> haemorrhage, resulting in loss of visual acuity.</w:t>
      </w:r>
      <w:r w:rsidR="005506D2">
        <w:t xml:space="preserve"> </w:t>
      </w:r>
    </w:p>
    <w:p w14:paraId="4481B34A" w14:textId="6FF66B26" w:rsidR="00CB459C" w:rsidRPr="0077619B" w:rsidRDefault="001D7679" w:rsidP="00891297">
      <w:pPr>
        <w:widowControl w:val="0"/>
        <w:autoSpaceDE w:val="0"/>
        <w:autoSpaceDN w:val="0"/>
        <w:adjustRightInd w:val="0"/>
        <w:spacing w:line="240" w:lineRule="auto"/>
      </w:pPr>
      <w:r w:rsidRPr="00FD0AE6">
        <w:rPr>
          <w:shd w:val="clear" w:color="auto" w:fill="FFFFFF" w:themeFill="background1"/>
        </w:rPr>
        <w:t xml:space="preserve">In the HAWK and HARRIER studies, </w:t>
      </w:r>
      <w:r>
        <w:rPr>
          <w:shd w:val="clear" w:color="auto" w:fill="FFFFFF" w:themeFill="background1"/>
        </w:rPr>
        <w:t>related anatomical</w:t>
      </w:r>
      <w:r w:rsidRPr="00FD0AE6">
        <w:rPr>
          <w:shd w:val="clear" w:color="auto" w:fill="FFFFFF" w:themeFill="background1"/>
        </w:rPr>
        <w:t xml:space="preserve"> parameters were part of the disease activity </w:t>
      </w:r>
      <w:r w:rsidRPr="00FD0AE6">
        <w:rPr>
          <w:shd w:val="clear" w:color="auto" w:fill="FFFFFF" w:themeFill="background1"/>
        </w:rPr>
        <w:lastRenderedPageBreak/>
        <w:t xml:space="preserve">assessments guiding treatment decisions. </w:t>
      </w:r>
      <w:r w:rsidRPr="00FD0AE6">
        <w:t xml:space="preserve">Reductions in central subfield thickness (CST) and in </w:t>
      </w:r>
      <w:r>
        <w:t>presence of</w:t>
      </w:r>
      <w:r w:rsidRPr="00FD0AE6">
        <w:t xml:space="preserve"> </w:t>
      </w:r>
      <w:proofErr w:type="spellStart"/>
      <w:r w:rsidRPr="00FD0AE6">
        <w:t>intraretinal</w:t>
      </w:r>
      <w:proofErr w:type="spellEnd"/>
      <w:r w:rsidRPr="00FD0AE6">
        <w:t>/</w:t>
      </w:r>
      <w:proofErr w:type="spellStart"/>
      <w:r w:rsidRPr="00FD0AE6">
        <w:t>subretinal</w:t>
      </w:r>
      <w:proofErr w:type="spellEnd"/>
      <w:r w:rsidRPr="00FD0AE6">
        <w:t xml:space="preserve"> fluid (IRF/SRF) </w:t>
      </w:r>
      <w:r w:rsidRPr="001111EA">
        <w:t>or sub-retinal pigment epithelium (sub-RPE) fluid</w:t>
      </w:r>
      <w:r w:rsidR="00891297">
        <w:t xml:space="preserve"> (pre-specified secondary endpoints) </w:t>
      </w:r>
      <w:r w:rsidRPr="001111EA">
        <w:t xml:space="preserve">were observed </w:t>
      </w:r>
      <w:r>
        <w:rPr>
          <w:szCs w:val="24"/>
          <w:shd w:val="clear" w:color="auto" w:fill="FFFFFF" w:themeFill="background1"/>
        </w:rPr>
        <w:t xml:space="preserve">in patients treated with </w:t>
      </w:r>
      <w:r w:rsidR="004D768B">
        <w:rPr>
          <w:szCs w:val="24"/>
        </w:rPr>
        <w:t>Beovu</w:t>
      </w:r>
      <w:r w:rsidR="004D768B">
        <w:rPr>
          <w:szCs w:val="24"/>
          <w:shd w:val="clear" w:color="auto" w:fill="FFFFFF" w:themeFill="background1"/>
        </w:rPr>
        <w:t xml:space="preserve"> </w:t>
      </w:r>
      <w:r w:rsidRPr="001111EA">
        <w:t>as early as 4 weeks after treatment initiation and up to Week 48 and Week 96</w:t>
      </w:r>
      <w:r w:rsidRPr="00FD0AE6">
        <w:t>.</w:t>
      </w:r>
      <w:r w:rsidRPr="00FD0AE6">
        <w:rPr>
          <w:shd w:val="clear" w:color="auto" w:fill="FFFFFF" w:themeFill="background1"/>
        </w:rPr>
        <w:t xml:space="preserve"> </w:t>
      </w:r>
      <w:r>
        <w:rPr>
          <w:shd w:val="clear" w:color="auto" w:fill="FFFFFF" w:themeFill="background1"/>
        </w:rPr>
        <w:t>S</w:t>
      </w:r>
      <w:r w:rsidRPr="00FD0AE6">
        <w:rPr>
          <w:shd w:val="clear" w:color="auto" w:fill="FFFFFF" w:themeFill="background1"/>
        </w:rPr>
        <w:t xml:space="preserve">tatistically significant </w:t>
      </w:r>
      <w:r>
        <w:rPr>
          <w:shd w:val="clear" w:color="auto" w:fill="FFFFFF" w:themeFill="background1"/>
        </w:rPr>
        <w:t xml:space="preserve">greater </w:t>
      </w:r>
      <w:r>
        <w:rPr>
          <w:szCs w:val="24"/>
          <w:shd w:val="clear" w:color="auto" w:fill="FFFFFF" w:themeFill="background1"/>
        </w:rPr>
        <w:t>reductions</w:t>
      </w:r>
      <w:r w:rsidRPr="00FD0AE6">
        <w:rPr>
          <w:szCs w:val="24"/>
          <w:shd w:val="clear" w:color="auto" w:fill="FFFFFF" w:themeFill="background1"/>
        </w:rPr>
        <w:t xml:space="preserve"> in CST </w:t>
      </w:r>
      <w:r>
        <w:rPr>
          <w:szCs w:val="24"/>
          <w:shd w:val="clear" w:color="auto" w:fill="FFFFFF" w:themeFill="background1"/>
        </w:rPr>
        <w:t xml:space="preserve">and in presence of </w:t>
      </w:r>
      <w:r w:rsidRPr="00FD0AE6">
        <w:rPr>
          <w:szCs w:val="24"/>
          <w:shd w:val="clear" w:color="auto" w:fill="FFFFFF" w:themeFill="background1"/>
        </w:rPr>
        <w:t xml:space="preserve">IRF/SRF </w:t>
      </w:r>
      <w:r w:rsidRPr="00FD0AE6">
        <w:rPr>
          <w:szCs w:val="24"/>
        </w:rPr>
        <w:t>relative to aflibercept were demonstrated at Weeks 16 and 48</w:t>
      </w:r>
      <w:r w:rsidR="00CB459C" w:rsidRPr="0077619B">
        <w:t>.</w:t>
      </w:r>
    </w:p>
    <w:p w14:paraId="2BEE9F3E" w14:textId="5B797163" w:rsidR="000062AF" w:rsidRDefault="001D7679" w:rsidP="00FB4A0F">
      <w:r>
        <w:t xml:space="preserve">In these studies, for patients treated with </w:t>
      </w:r>
      <w:r w:rsidR="004D768B">
        <w:rPr>
          <w:szCs w:val="24"/>
        </w:rPr>
        <w:t>Beovu</w:t>
      </w:r>
      <w:r>
        <w:t>, reductions in CNV lesion size were observed as early as 12 weeks, and at Weeks 48 and 96 after treatment initiation.</w:t>
      </w:r>
    </w:p>
    <w:p w14:paraId="21B4C0D3" w14:textId="188A4773" w:rsidR="000062AF" w:rsidRDefault="000062AF" w:rsidP="00FB4A0F">
      <w:r>
        <w:t>At week 16, the reduction in CST on Beovu was statistically significantly superior versus aflibercept in both studies (HAWK: -161 vs. -134 microns</w:t>
      </w:r>
      <w:r w:rsidR="00891297">
        <w:t>, p=0.0008</w:t>
      </w:r>
      <w:r>
        <w:t>; HARRIER: -174 vs. -134 microns</w:t>
      </w:r>
      <w:r w:rsidR="00891297">
        <w:t>, p&lt;0.0001</w:t>
      </w:r>
      <w:r>
        <w:t>). This decrease from baseline in CST was also statistically significant at week 48 (HAWK: -173 vs. -144 microns</w:t>
      </w:r>
      <w:r w:rsidR="00891297">
        <w:t>, p=0.0012</w:t>
      </w:r>
      <w:r>
        <w:t>; HARRIER: -194 vs. -144 microns</w:t>
      </w:r>
      <w:r w:rsidR="00891297">
        <w:t>, p&lt;0.0001</w:t>
      </w:r>
      <w:r>
        <w:t>), and maintained to the end of each study at week 96 (HAWK: -175 vs. -149 microns</w:t>
      </w:r>
      <w:r w:rsidR="00891297">
        <w:t>, p=0.0115</w:t>
      </w:r>
      <w:r>
        <w:t>; HARRIER: -198 vs. -155 microns</w:t>
      </w:r>
      <w:r w:rsidR="00891297">
        <w:t>, p&lt;0.0001</w:t>
      </w:r>
      <w:r>
        <w:t>).</w:t>
      </w:r>
    </w:p>
    <w:p w14:paraId="2E5611D4" w14:textId="25C82ACE" w:rsidR="000062AF" w:rsidRDefault="000062AF" w:rsidP="00FB4A0F">
      <w:r>
        <w:t>At week 16, the percentage of patients with IRF and/or SRF fluid was statistically significantly lower on Beovu versus aflibercept in both studies (HAWK: 34% vs.52%</w:t>
      </w:r>
      <w:r w:rsidR="00891297">
        <w:t>, p&lt;0.0001</w:t>
      </w:r>
      <w:r>
        <w:t>; HARRIER: 29% vs. 45%</w:t>
      </w:r>
      <w:r w:rsidR="00891297">
        <w:t>, p&lt;0.0001</w:t>
      </w:r>
      <w:r>
        <w:t>). This difference was also statistically significant at week 48 (HAWK: 31% vs. 45%</w:t>
      </w:r>
      <w:r w:rsidR="00891297">
        <w:t>, p=0.0001</w:t>
      </w:r>
      <w:r>
        <w:t>; HARRIER: 26% vs. 44%</w:t>
      </w:r>
      <w:r w:rsidR="00891297">
        <w:t>, p&lt;0.0001</w:t>
      </w:r>
      <w:r>
        <w:t>), and maintained to the end of each study at week 96 (HAWK: 24% vs. 37%</w:t>
      </w:r>
      <w:r w:rsidR="00891297">
        <w:t>, p=0.0002</w:t>
      </w:r>
      <w:r>
        <w:t>; HARRIER: 24% vs. 39%</w:t>
      </w:r>
      <w:r w:rsidR="00891297">
        <w:t>, p&lt;0.0001</w:t>
      </w:r>
      <w:r>
        <w:t>).</w:t>
      </w:r>
    </w:p>
    <w:p w14:paraId="1E5087E8" w14:textId="12CF38B6" w:rsidR="00DA2CF6" w:rsidRPr="00DA2CF6" w:rsidRDefault="000062AF" w:rsidP="00FB4A0F">
      <w:r>
        <w:t>At week 16, the percentage of patients with sub-RPE fluid was statistically significantly</w:t>
      </w:r>
      <w:r w:rsidR="00DA2CF6">
        <w:t xml:space="preserve"> </w:t>
      </w:r>
      <w:r>
        <w:t>lower on</w:t>
      </w:r>
      <w:r w:rsidR="00DA2CF6">
        <w:t xml:space="preserve"> </w:t>
      </w:r>
      <w:r>
        <w:t>Beovu versus aflibercept in both studies (HAWK: 19% vs.27%</w:t>
      </w:r>
      <w:r w:rsidR="00891297">
        <w:t>, p=0.0030</w:t>
      </w:r>
      <w:r>
        <w:t>; HARRIER: 16% vs. 24%</w:t>
      </w:r>
      <w:r w:rsidR="00891297">
        <w:t>, p=0.0041</w:t>
      </w:r>
      <w:r>
        <w:t>). This difference</w:t>
      </w:r>
      <w:r w:rsidR="00DA2CF6">
        <w:t xml:space="preserve"> </w:t>
      </w:r>
      <w:r>
        <w:t>was also statistically significant at week 48 (HAWK: 14% vs. 22%</w:t>
      </w:r>
      <w:r w:rsidR="00891297">
        <w:t>, p=0.0035</w:t>
      </w:r>
      <w:r>
        <w:t>; HARRIER: 13% vs. 22%</w:t>
      </w:r>
      <w:r w:rsidR="00891297">
        <w:t>, p=0.0007</w:t>
      </w:r>
      <w:r>
        <w:t>), and</w:t>
      </w:r>
      <w:r w:rsidR="00DA2CF6">
        <w:t xml:space="preserve"> </w:t>
      </w:r>
      <w:r>
        <w:t>maintained to the end of each study at week 96 (HAWK: 11% vs. 15%</w:t>
      </w:r>
      <w:r w:rsidR="00891297">
        <w:t>, p=0.1213</w:t>
      </w:r>
      <w:r>
        <w:t>; HARRIER: 17% vs. 22%</w:t>
      </w:r>
      <w:r w:rsidR="00891297">
        <w:t>, p=0.0371</w:t>
      </w:r>
      <w:r>
        <w:t>).</w:t>
      </w:r>
    </w:p>
    <w:p w14:paraId="13A590F6" w14:textId="77777777" w:rsidR="001A3992" w:rsidRPr="0077619B" w:rsidRDefault="001A3992" w:rsidP="00FB4A0F">
      <w:pPr>
        <w:pStyle w:val="Heading3"/>
        <w:rPr>
          <w:lang w:val="en-US"/>
        </w:rPr>
      </w:pPr>
      <w:r w:rsidRPr="0077619B">
        <w:t>Clinical</w:t>
      </w:r>
      <w:r w:rsidRPr="0077619B">
        <w:rPr>
          <w:lang w:val="en-US"/>
        </w:rPr>
        <w:t xml:space="preserve"> </w:t>
      </w:r>
      <w:r w:rsidRPr="00FB4A0F">
        <w:t>trials</w:t>
      </w:r>
    </w:p>
    <w:p w14:paraId="6EC0B9C5" w14:textId="70E6632C" w:rsidR="008F012A" w:rsidRPr="0077619B" w:rsidRDefault="008F012A" w:rsidP="00FB4A0F">
      <w:r w:rsidRPr="0077619B">
        <w:t xml:space="preserve">The efficacy and safety of </w:t>
      </w:r>
      <w:r w:rsidR="007B6410">
        <w:t>Beovu</w:t>
      </w:r>
      <w:r w:rsidRPr="0077619B">
        <w:t xml:space="preserve"> were assessed in two randomised, multicentre, double</w:t>
      </w:r>
      <w:r w:rsidRPr="0077619B">
        <w:noBreakHyphen/>
        <w:t>masked, active</w:t>
      </w:r>
      <w:r w:rsidRPr="0077619B">
        <w:noBreakHyphen/>
        <w:t xml:space="preserve">controlled Phase III studies (HAWK and HARRIER) in patients with neovascular (wet) AMD. A total of 1,817 patients were treated in these studies for two years (1,088 on </w:t>
      </w:r>
      <w:r w:rsidR="007B6410">
        <w:t>BEOVU</w:t>
      </w:r>
      <w:r w:rsidRPr="0077619B">
        <w:t xml:space="preserve"> and 729 on aflibercept). Patient ages ranged from 50 to 97 years, with a mean age of 76 years.</w:t>
      </w:r>
    </w:p>
    <w:p w14:paraId="0B8F085B" w14:textId="77777777" w:rsidR="008F012A" w:rsidRPr="0077619B" w:rsidRDefault="008F012A" w:rsidP="008F012A">
      <w:pPr>
        <w:keepNext/>
        <w:widowControl w:val="0"/>
        <w:spacing w:line="240" w:lineRule="auto"/>
      </w:pPr>
      <w:r w:rsidRPr="0077619B">
        <w:t>In HAWK, patients were randomised in a 1:1:1 ratio to the following dosing regimens:</w:t>
      </w:r>
    </w:p>
    <w:p w14:paraId="09403CBD" w14:textId="517784EC" w:rsidR="008F012A" w:rsidRPr="0077619B" w:rsidRDefault="007B6410" w:rsidP="008F012A">
      <w:pPr>
        <w:widowControl w:val="0"/>
        <w:numPr>
          <w:ilvl w:val="0"/>
          <w:numId w:val="24"/>
        </w:numPr>
        <w:spacing w:after="0" w:line="240" w:lineRule="auto"/>
        <w:ind w:left="567" w:hanging="567"/>
      </w:pPr>
      <w:r>
        <w:t>Beovu</w:t>
      </w:r>
      <w:r w:rsidR="008F012A" w:rsidRPr="0077619B">
        <w:t xml:space="preserve"> 3 mg administered every 12 or 8 weeks after the first 3 monthly doses;</w:t>
      </w:r>
    </w:p>
    <w:p w14:paraId="0066E28D" w14:textId="713327F9" w:rsidR="008F012A" w:rsidRPr="0077619B" w:rsidRDefault="007B6410" w:rsidP="008F012A">
      <w:pPr>
        <w:widowControl w:val="0"/>
        <w:numPr>
          <w:ilvl w:val="0"/>
          <w:numId w:val="24"/>
        </w:numPr>
        <w:spacing w:after="0" w:line="240" w:lineRule="auto"/>
        <w:ind w:left="567" w:hanging="567"/>
      </w:pPr>
      <w:r>
        <w:t>Beovu</w:t>
      </w:r>
      <w:r w:rsidR="008F012A" w:rsidRPr="0077619B">
        <w:t xml:space="preserve"> 6 mg administered every 12 or 8 weeks after the first 3 monthly doses;</w:t>
      </w:r>
    </w:p>
    <w:p w14:paraId="060DDE11" w14:textId="77777777" w:rsidR="008F012A" w:rsidRPr="0077619B" w:rsidRDefault="008F012A" w:rsidP="008F012A">
      <w:pPr>
        <w:widowControl w:val="0"/>
        <w:numPr>
          <w:ilvl w:val="0"/>
          <w:numId w:val="24"/>
        </w:numPr>
        <w:spacing w:after="0" w:line="240" w:lineRule="auto"/>
        <w:ind w:left="567" w:hanging="567"/>
      </w:pPr>
      <w:r w:rsidRPr="0077619B">
        <w:t>aflibercept 2 mg administered every 8 weeks after the first 3 monthly doses.</w:t>
      </w:r>
    </w:p>
    <w:p w14:paraId="5D0CF769" w14:textId="77777777" w:rsidR="008F012A" w:rsidRPr="0077619B" w:rsidRDefault="008F012A" w:rsidP="008F012A">
      <w:pPr>
        <w:widowControl w:val="0"/>
        <w:spacing w:line="240" w:lineRule="auto"/>
      </w:pPr>
    </w:p>
    <w:p w14:paraId="557C5910" w14:textId="77777777" w:rsidR="008F012A" w:rsidRPr="0077619B" w:rsidRDefault="008F012A" w:rsidP="008F012A">
      <w:pPr>
        <w:keepNext/>
        <w:widowControl w:val="0"/>
        <w:spacing w:line="240" w:lineRule="auto"/>
      </w:pPr>
      <w:r w:rsidRPr="0077619B">
        <w:t>In HARRIER, patients were randomised in a 1:1 ratio to the following dosing regimens:</w:t>
      </w:r>
    </w:p>
    <w:p w14:paraId="1E718D50" w14:textId="52917E48" w:rsidR="008F012A" w:rsidRPr="0077619B" w:rsidRDefault="007B6410" w:rsidP="008F012A">
      <w:pPr>
        <w:widowControl w:val="0"/>
        <w:numPr>
          <w:ilvl w:val="0"/>
          <w:numId w:val="25"/>
        </w:numPr>
        <w:spacing w:after="0" w:line="240" w:lineRule="auto"/>
        <w:ind w:left="567" w:hanging="567"/>
        <w:rPr>
          <w:sz w:val="24"/>
        </w:rPr>
      </w:pPr>
      <w:r>
        <w:t>Beovu</w:t>
      </w:r>
      <w:r w:rsidR="008F012A" w:rsidRPr="0077619B">
        <w:t xml:space="preserve"> 6 mg administered every 12 or 8 weeks after the first 3 monthly doses;</w:t>
      </w:r>
    </w:p>
    <w:p w14:paraId="0546E905" w14:textId="77777777" w:rsidR="008F012A" w:rsidRPr="0077619B" w:rsidRDefault="008F012A" w:rsidP="008F012A">
      <w:pPr>
        <w:widowControl w:val="0"/>
        <w:numPr>
          <w:ilvl w:val="0"/>
          <w:numId w:val="25"/>
        </w:numPr>
        <w:spacing w:after="0" w:line="240" w:lineRule="auto"/>
        <w:ind w:left="567" w:hanging="567"/>
      </w:pPr>
      <w:r w:rsidRPr="0077619B">
        <w:t>aflibercept 2 mg administered every 8 weeks after the first 3 monthly doses.</w:t>
      </w:r>
    </w:p>
    <w:p w14:paraId="0C6605B7" w14:textId="77777777" w:rsidR="008F012A" w:rsidRPr="0077619B" w:rsidRDefault="008F012A" w:rsidP="008F012A">
      <w:pPr>
        <w:widowControl w:val="0"/>
        <w:spacing w:line="240" w:lineRule="auto"/>
      </w:pPr>
    </w:p>
    <w:p w14:paraId="40F5E6FE" w14:textId="60DD38AC" w:rsidR="008F012A" w:rsidRDefault="008F012A" w:rsidP="00FB4A0F">
      <w:r w:rsidRPr="0077619B">
        <w:lastRenderedPageBreak/>
        <w:t>In both studies, after the first three monthly doses (weeks 0, 4 and 8), brolucizumab patients were treated every 12 weeks, with the option of adjusting to a dosing interval every 8 weeks based on disease activity. Disease activity was assessed by a physician during the first 12</w:t>
      </w:r>
      <w:r w:rsidRPr="0077619B">
        <w:noBreakHyphen/>
        <w:t>week interval (at weeks 16 and 20) and at each subsequent scheduled 12</w:t>
      </w:r>
      <w:r w:rsidRPr="0077619B">
        <w:noBreakHyphen/>
        <w:t>weekly treatment visit. Patients who showed disease activity (e.g. decreased visual acuity, increased CST and/or presence of IRF/SRF or sub-RPE fluid) at any of these visits were adjusted to an 8</w:t>
      </w:r>
      <w:r w:rsidRPr="0077619B">
        <w:noBreakHyphen/>
        <w:t>weekly treatment interval.</w:t>
      </w:r>
    </w:p>
    <w:p w14:paraId="4472F25F" w14:textId="32A66FB1" w:rsidR="00433B07" w:rsidRDefault="00433B07" w:rsidP="00FB4A0F">
      <w:r w:rsidRPr="00E40EDD">
        <w:t xml:space="preserve">The </w:t>
      </w:r>
      <w:r>
        <w:t>below</w:t>
      </w:r>
      <w:r w:rsidRPr="00E40EDD">
        <w:t xml:space="preserve"> criteria for disease activity were provided as guidance and the Investigator should have considered the guidance while also applying their own expert judgment when making q12w/q8w treatment decisions</w:t>
      </w:r>
      <w:r w:rsidR="008B13E9">
        <w:t>.</w:t>
      </w:r>
    </w:p>
    <w:p w14:paraId="7AE034BD" w14:textId="77777777" w:rsidR="007D3705" w:rsidRPr="0082327D" w:rsidRDefault="007D3705" w:rsidP="007D3705">
      <w:pPr>
        <w:pStyle w:val="Default"/>
        <w:rPr>
          <w:rFonts w:asciiTheme="minorHAnsi" w:hAnsiTheme="minorHAnsi" w:cstheme="minorHAnsi"/>
          <w:sz w:val="22"/>
          <w:szCs w:val="22"/>
        </w:rPr>
      </w:pPr>
      <w:r w:rsidRPr="0082327D">
        <w:rPr>
          <w:rFonts w:asciiTheme="minorHAnsi" w:hAnsiTheme="minorHAnsi" w:cstheme="minorHAnsi"/>
          <w:sz w:val="22"/>
          <w:szCs w:val="22"/>
        </w:rPr>
        <w:t xml:space="preserve">Disease activity guidance criteria at Week 16: </w:t>
      </w:r>
    </w:p>
    <w:p w14:paraId="06543B5D" w14:textId="77777777" w:rsidR="007D3705" w:rsidRPr="0082327D" w:rsidRDefault="007D3705" w:rsidP="007D3705">
      <w:pPr>
        <w:pStyle w:val="Default"/>
        <w:spacing w:before="120"/>
        <w:ind w:left="284"/>
        <w:rPr>
          <w:rFonts w:asciiTheme="minorHAnsi" w:hAnsiTheme="minorHAnsi" w:cstheme="minorHAnsi"/>
          <w:sz w:val="22"/>
          <w:szCs w:val="22"/>
        </w:rPr>
      </w:pPr>
      <w:r w:rsidRPr="0082327D">
        <w:rPr>
          <w:rFonts w:asciiTheme="minorHAnsi" w:hAnsiTheme="minorHAnsi" w:cstheme="minorHAnsi"/>
          <w:sz w:val="22"/>
          <w:szCs w:val="22"/>
        </w:rPr>
        <w:t xml:space="preserve">• </w:t>
      </w:r>
      <w:r w:rsidRPr="00B9754A">
        <w:rPr>
          <w:rFonts w:asciiTheme="minorHAnsi" w:hAnsiTheme="minorHAnsi" w:cstheme="minorHAnsi"/>
          <w:sz w:val="22"/>
          <w:szCs w:val="22"/>
        </w:rPr>
        <w:t xml:space="preserve">Decrease in BCVA of ≥ 5 letters compared with Baseline </w:t>
      </w:r>
    </w:p>
    <w:p w14:paraId="68760645" w14:textId="77777777" w:rsidR="007D3705" w:rsidRPr="00B9754A" w:rsidRDefault="007D3705" w:rsidP="007D3705">
      <w:pPr>
        <w:pStyle w:val="Default"/>
        <w:ind w:left="284"/>
        <w:rPr>
          <w:rFonts w:asciiTheme="minorHAnsi" w:hAnsiTheme="minorHAnsi" w:cstheme="minorHAnsi"/>
          <w:sz w:val="22"/>
          <w:szCs w:val="22"/>
        </w:rPr>
      </w:pPr>
      <w:r w:rsidRPr="007B51B5">
        <w:rPr>
          <w:rFonts w:asciiTheme="minorHAnsi" w:hAnsiTheme="minorHAnsi" w:cstheme="minorHAnsi"/>
          <w:sz w:val="22"/>
          <w:szCs w:val="22"/>
        </w:rPr>
        <w:t xml:space="preserve">• </w:t>
      </w:r>
      <w:r w:rsidRPr="008B2E4C">
        <w:rPr>
          <w:rFonts w:asciiTheme="minorHAnsi" w:hAnsiTheme="minorHAnsi" w:cstheme="minorHAnsi"/>
          <w:sz w:val="22"/>
          <w:szCs w:val="22"/>
        </w:rPr>
        <w:t xml:space="preserve">Decrease in BCVA of ≥ 3 letters and CSFT increase ≥ 75 </w:t>
      </w:r>
      <w:proofErr w:type="spellStart"/>
      <w:r w:rsidRPr="008B2E4C">
        <w:rPr>
          <w:rFonts w:asciiTheme="minorHAnsi" w:hAnsiTheme="minorHAnsi" w:cstheme="minorHAnsi"/>
          <w:sz w:val="22"/>
          <w:szCs w:val="22"/>
        </w:rPr>
        <w:t>μm</w:t>
      </w:r>
      <w:proofErr w:type="spellEnd"/>
      <w:r w:rsidRPr="008B2E4C">
        <w:rPr>
          <w:rFonts w:asciiTheme="minorHAnsi" w:hAnsiTheme="minorHAnsi" w:cstheme="minorHAnsi"/>
          <w:sz w:val="22"/>
          <w:szCs w:val="22"/>
        </w:rPr>
        <w:t xml:space="preserve"> compared with Week 12 </w:t>
      </w:r>
    </w:p>
    <w:p w14:paraId="12DB7AB5" w14:textId="77777777" w:rsidR="007D3705" w:rsidRPr="00B9754A" w:rsidRDefault="007D3705" w:rsidP="007D3705">
      <w:pPr>
        <w:pStyle w:val="Default"/>
        <w:ind w:left="284"/>
        <w:rPr>
          <w:rFonts w:asciiTheme="minorHAnsi" w:hAnsiTheme="minorHAnsi" w:cstheme="minorHAnsi"/>
          <w:sz w:val="22"/>
          <w:szCs w:val="22"/>
        </w:rPr>
      </w:pPr>
      <w:r w:rsidRPr="00B9754A">
        <w:rPr>
          <w:rFonts w:asciiTheme="minorHAnsi" w:hAnsiTheme="minorHAnsi" w:cstheme="minorHAnsi"/>
          <w:sz w:val="22"/>
          <w:szCs w:val="22"/>
        </w:rPr>
        <w:t xml:space="preserve">• </w:t>
      </w:r>
      <w:r w:rsidRPr="008B2E4C">
        <w:rPr>
          <w:rFonts w:asciiTheme="minorHAnsi" w:hAnsiTheme="minorHAnsi" w:cstheme="minorHAnsi"/>
          <w:sz w:val="22"/>
          <w:szCs w:val="22"/>
        </w:rPr>
        <w:t xml:space="preserve">Decrease in BCVA of ≥ 5 letters due to </w:t>
      </w:r>
      <w:proofErr w:type="spellStart"/>
      <w:r w:rsidRPr="008B2E4C">
        <w:rPr>
          <w:rFonts w:asciiTheme="minorHAnsi" w:hAnsiTheme="minorHAnsi" w:cstheme="minorHAnsi"/>
          <w:sz w:val="22"/>
          <w:szCs w:val="22"/>
        </w:rPr>
        <w:t>nAMD</w:t>
      </w:r>
      <w:proofErr w:type="spellEnd"/>
      <w:r w:rsidRPr="008B2E4C">
        <w:rPr>
          <w:rFonts w:asciiTheme="minorHAnsi" w:hAnsiTheme="minorHAnsi" w:cstheme="minorHAnsi"/>
          <w:sz w:val="22"/>
          <w:szCs w:val="22"/>
        </w:rPr>
        <w:t xml:space="preserve"> disease activity compared with Week 12 </w:t>
      </w:r>
    </w:p>
    <w:p w14:paraId="08FF2BFA" w14:textId="77777777" w:rsidR="007D3705" w:rsidRPr="00B9754A" w:rsidRDefault="007D3705" w:rsidP="007D3705">
      <w:pPr>
        <w:pStyle w:val="Default"/>
        <w:ind w:left="284"/>
        <w:rPr>
          <w:rFonts w:asciiTheme="minorHAnsi" w:hAnsiTheme="minorHAnsi" w:cstheme="minorHAnsi"/>
          <w:sz w:val="22"/>
          <w:szCs w:val="22"/>
        </w:rPr>
      </w:pPr>
      <w:r w:rsidRPr="00B9754A">
        <w:rPr>
          <w:rFonts w:asciiTheme="minorHAnsi" w:hAnsiTheme="minorHAnsi" w:cstheme="minorHAnsi"/>
          <w:sz w:val="22"/>
          <w:szCs w:val="22"/>
        </w:rPr>
        <w:t xml:space="preserve">• </w:t>
      </w:r>
      <w:r w:rsidRPr="008B2E4C">
        <w:rPr>
          <w:rFonts w:asciiTheme="minorHAnsi" w:hAnsiTheme="minorHAnsi" w:cstheme="minorHAnsi"/>
          <w:sz w:val="22"/>
          <w:szCs w:val="22"/>
        </w:rPr>
        <w:t>New or worse IRF/</w:t>
      </w:r>
      <w:proofErr w:type="spellStart"/>
      <w:r w:rsidRPr="008B2E4C">
        <w:rPr>
          <w:rFonts w:asciiTheme="minorHAnsi" w:hAnsiTheme="minorHAnsi" w:cstheme="minorHAnsi"/>
          <w:sz w:val="22"/>
          <w:szCs w:val="22"/>
        </w:rPr>
        <w:t>intraretinal</w:t>
      </w:r>
      <w:proofErr w:type="spellEnd"/>
      <w:r w:rsidRPr="008B2E4C">
        <w:rPr>
          <w:rFonts w:asciiTheme="minorHAnsi" w:hAnsiTheme="minorHAnsi" w:cstheme="minorHAnsi"/>
          <w:sz w:val="22"/>
          <w:szCs w:val="22"/>
        </w:rPr>
        <w:t xml:space="preserve"> cysts compared with Week 12 </w:t>
      </w:r>
    </w:p>
    <w:p w14:paraId="4046CE77" w14:textId="77777777" w:rsidR="007D3705" w:rsidRPr="00B9754A" w:rsidRDefault="007D3705" w:rsidP="007D3705">
      <w:pPr>
        <w:pStyle w:val="Default"/>
        <w:rPr>
          <w:rFonts w:asciiTheme="minorHAnsi" w:hAnsiTheme="minorHAnsi" w:cstheme="minorHAnsi"/>
          <w:sz w:val="22"/>
          <w:szCs w:val="22"/>
        </w:rPr>
      </w:pPr>
    </w:p>
    <w:p w14:paraId="776B915B" w14:textId="77777777" w:rsidR="007D3705" w:rsidRPr="00B9754A" w:rsidRDefault="007D3705" w:rsidP="007D3705">
      <w:pPr>
        <w:spacing w:after="0" w:line="240" w:lineRule="auto"/>
        <w:rPr>
          <w:rFonts w:cstheme="minorHAnsi"/>
        </w:rPr>
      </w:pPr>
      <w:r w:rsidRPr="00B9754A">
        <w:rPr>
          <w:rFonts w:cstheme="minorHAnsi"/>
        </w:rPr>
        <w:t>Disease activity guidance criterion at Weeks 20, 32, and 44:</w:t>
      </w:r>
    </w:p>
    <w:p w14:paraId="74B44000" w14:textId="77777777" w:rsidR="007D3705" w:rsidRPr="0082327D" w:rsidRDefault="007D3705" w:rsidP="007D3705">
      <w:pPr>
        <w:pStyle w:val="Default"/>
        <w:spacing w:before="120"/>
        <w:ind w:left="284"/>
        <w:rPr>
          <w:rFonts w:cstheme="minorHAnsi"/>
          <w:szCs w:val="22"/>
        </w:rPr>
      </w:pPr>
      <w:r w:rsidRPr="0082327D">
        <w:rPr>
          <w:rFonts w:asciiTheme="minorHAnsi" w:hAnsiTheme="minorHAnsi" w:cstheme="minorHAnsi"/>
          <w:sz w:val="22"/>
          <w:szCs w:val="22"/>
        </w:rPr>
        <w:t xml:space="preserve">• Decrease in BCVA of ≥ 5 letters due to </w:t>
      </w:r>
      <w:proofErr w:type="spellStart"/>
      <w:r w:rsidRPr="0082327D">
        <w:rPr>
          <w:rFonts w:asciiTheme="minorHAnsi" w:hAnsiTheme="minorHAnsi" w:cstheme="minorHAnsi"/>
          <w:sz w:val="22"/>
          <w:szCs w:val="22"/>
        </w:rPr>
        <w:t>nAMD</w:t>
      </w:r>
      <w:proofErr w:type="spellEnd"/>
      <w:r w:rsidRPr="0082327D">
        <w:rPr>
          <w:rFonts w:asciiTheme="minorHAnsi" w:hAnsiTheme="minorHAnsi" w:cstheme="minorHAnsi"/>
          <w:sz w:val="22"/>
          <w:szCs w:val="22"/>
        </w:rPr>
        <w:t xml:space="preserve"> disease activity compared with Week 12</w:t>
      </w:r>
    </w:p>
    <w:p w14:paraId="4208283A" w14:textId="77777777" w:rsidR="007D3705" w:rsidRDefault="007D3705" w:rsidP="007D3705">
      <w:pPr>
        <w:pStyle w:val="Default"/>
        <w:rPr>
          <w:rFonts w:cstheme="minorHAnsi"/>
          <w:iCs/>
        </w:rPr>
      </w:pPr>
    </w:p>
    <w:p w14:paraId="4DFC0605" w14:textId="77777777" w:rsidR="007D3705" w:rsidRPr="0082327D" w:rsidRDefault="007D3705" w:rsidP="007D3705">
      <w:pPr>
        <w:pStyle w:val="Default"/>
        <w:rPr>
          <w:rFonts w:cstheme="minorHAnsi"/>
        </w:rPr>
      </w:pPr>
      <w:r w:rsidRPr="0082327D">
        <w:rPr>
          <w:rFonts w:asciiTheme="minorHAnsi" w:hAnsiTheme="minorHAnsi" w:cstheme="minorHAnsi"/>
          <w:sz w:val="22"/>
          <w:szCs w:val="22"/>
        </w:rPr>
        <w:t>Disease activity guidance criterion at Weeks 56, 68, 80, and 92:</w:t>
      </w:r>
    </w:p>
    <w:p w14:paraId="587FDC8F" w14:textId="77777777" w:rsidR="007D3705" w:rsidRPr="001D69C6" w:rsidRDefault="007D3705" w:rsidP="007D3705">
      <w:pPr>
        <w:pStyle w:val="Default"/>
        <w:spacing w:before="120" w:after="240"/>
        <w:ind w:left="284"/>
        <w:rPr>
          <w:rFonts w:cstheme="minorHAnsi"/>
        </w:rPr>
      </w:pPr>
      <w:r w:rsidRPr="007B51B5">
        <w:rPr>
          <w:rFonts w:asciiTheme="minorHAnsi" w:hAnsiTheme="minorHAnsi" w:cstheme="minorHAnsi"/>
          <w:sz w:val="22"/>
          <w:szCs w:val="22"/>
        </w:rPr>
        <w:t xml:space="preserve">• Decrease in BCVA of ≥ 5 letters due to </w:t>
      </w:r>
      <w:proofErr w:type="spellStart"/>
      <w:r w:rsidRPr="007B51B5">
        <w:rPr>
          <w:rFonts w:asciiTheme="minorHAnsi" w:hAnsiTheme="minorHAnsi" w:cstheme="minorHAnsi"/>
          <w:sz w:val="22"/>
          <w:szCs w:val="22"/>
        </w:rPr>
        <w:t>nAMD</w:t>
      </w:r>
      <w:proofErr w:type="spellEnd"/>
      <w:r w:rsidRPr="007B51B5">
        <w:rPr>
          <w:rFonts w:asciiTheme="minorHAnsi" w:hAnsiTheme="minorHAnsi" w:cstheme="minorHAnsi"/>
          <w:sz w:val="22"/>
          <w:szCs w:val="22"/>
        </w:rPr>
        <w:t xml:space="preserve"> disea</w:t>
      </w:r>
      <w:r w:rsidRPr="00B9754A">
        <w:rPr>
          <w:rFonts w:asciiTheme="minorHAnsi" w:hAnsiTheme="minorHAnsi" w:cstheme="minorHAnsi"/>
          <w:sz w:val="22"/>
          <w:szCs w:val="22"/>
        </w:rPr>
        <w:t>se activity compared with Week 48</w:t>
      </w:r>
    </w:p>
    <w:p w14:paraId="2F099AC8" w14:textId="3DB3ADA0" w:rsidR="008F012A" w:rsidRPr="0077619B" w:rsidRDefault="008F012A" w:rsidP="0077619B">
      <w:pPr>
        <w:pStyle w:val="Heading4"/>
      </w:pPr>
      <w:r w:rsidRPr="0077619B">
        <w:t>Results</w:t>
      </w:r>
    </w:p>
    <w:p w14:paraId="1E83AD6B" w14:textId="43E778C7" w:rsidR="008F012A" w:rsidRPr="0077619B" w:rsidRDefault="008F012A" w:rsidP="00FB4A0F">
      <w:r w:rsidRPr="0077619B">
        <w:t>The primary efficacy endpoint for the studies was the change from baseline in Best Corrected Visual Acuity (BCVA) to week 48, as measured by the Early Treatment Diabetic Retinopathy Study (ETDRS) letter score, with the primary objective being to demonstrate non</w:t>
      </w:r>
      <w:r w:rsidRPr="0077619B">
        <w:noBreakHyphen/>
        <w:t xml:space="preserve">inferiority of </w:t>
      </w:r>
      <w:r w:rsidR="007B6410">
        <w:t>Beovu</w:t>
      </w:r>
      <w:r w:rsidRPr="0077619B">
        <w:t xml:space="preserve"> versus aflibercept. In both studies, </w:t>
      </w:r>
      <w:r w:rsidR="007B6410">
        <w:t>Beovu</w:t>
      </w:r>
      <w:r w:rsidRPr="0077619B">
        <w:t xml:space="preserve"> (administered in an every 12 weeks or an every 8 weeks regimen) demonstrated non</w:t>
      </w:r>
      <w:r w:rsidRPr="0077619B">
        <w:noBreakHyphen/>
        <w:t>inferior efficacy to aflibercept 2 mg (administered every 8 weeks). The visual acuity gains observed in the first year were maintained in the second year.</w:t>
      </w:r>
    </w:p>
    <w:p w14:paraId="7C653143" w14:textId="77777777" w:rsidR="008F012A" w:rsidRPr="0077619B" w:rsidRDefault="008F012A" w:rsidP="00FB4A0F">
      <w:r w:rsidRPr="0077619B">
        <w:t>Detailed results of both studies are shown in Tables 2 and 3 and in Figure 1 below.</w:t>
      </w:r>
    </w:p>
    <w:p w14:paraId="4BD3B5BB" w14:textId="6CB114FD" w:rsidR="008F012A" w:rsidRPr="0077619B" w:rsidRDefault="008F012A" w:rsidP="005C20E5">
      <w:pPr>
        <w:pStyle w:val="Table"/>
      </w:pPr>
      <w:r w:rsidRPr="0077619B">
        <w:lastRenderedPageBreak/>
        <w:t>Table</w:t>
      </w:r>
      <w:r w:rsidR="005C20E5" w:rsidRPr="0077619B">
        <w:t xml:space="preserve"> </w:t>
      </w:r>
      <w:r w:rsidRPr="0077619B">
        <w:t>2</w:t>
      </w:r>
      <w:r w:rsidRPr="0077619B">
        <w:tab/>
        <w:t xml:space="preserve">Visual acuity outcomes at weeks 48 and 96 in Phase III </w:t>
      </w:r>
      <w:r w:rsidRPr="0077619B">
        <w:noBreakHyphen/>
        <w:t xml:space="preserve"> HAWK and HARRIER studies</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752"/>
        <w:gridCol w:w="1134"/>
        <w:gridCol w:w="1134"/>
        <w:gridCol w:w="1419"/>
        <w:gridCol w:w="1134"/>
        <w:gridCol w:w="1134"/>
        <w:gridCol w:w="1353"/>
        <w:gridCol w:w="16"/>
      </w:tblGrid>
      <w:tr w:rsidR="005C20E5" w:rsidRPr="0077619B" w14:paraId="3179DB3F" w14:textId="77777777" w:rsidTr="005C20E5">
        <w:tc>
          <w:tcPr>
            <w:tcW w:w="1906" w:type="dxa"/>
            <w:tcBorders>
              <w:top w:val="single" w:sz="4" w:space="0" w:color="auto"/>
              <w:left w:val="single" w:sz="4" w:space="0" w:color="auto"/>
              <w:bottom w:val="single" w:sz="4" w:space="0" w:color="auto"/>
              <w:right w:val="single" w:sz="4" w:space="0" w:color="auto"/>
            </w:tcBorders>
            <w:shd w:val="clear" w:color="auto" w:fill="auto"/>
          </w:tcPr>
          <w:p w14:paraId="11A63668" w14:textId="77777777" w:rsidR="005C20E5" w:rsidRPr="0077619B" w:rsidRDefault="005C20E5" w:rsidP="005C20E5">
            <w:pPr>
              <w:keepNext/>
              <w:keepLines/>
              <w:widowControl w:val="0"/>
              <w:spacing w:after="0" w:line="240" w:lineRule="auto"/>
              <w:rPr>
                <w:rFonts w:eastAsia="MS Mincho" w:cs="Times New Roman"/>
                <w:b/>
                <w:sz w:val="18"/>
                <w:szCs w:val="18"/>
                <w:lang w:val="en-US" w:eastAsia="zh-CN"/>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3081EB74"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p>
        </w:tc>
        <w:tc>
          <w:tcPr>
            <w:tcW w:w="3687" w:type="dxa"/>
            <w:gridSpan w:val="3"/>
            <w:tcBorders>
              <w:top w:val="single" w:sz="4" w:space="0" w:color="auto"/>
              <w:left w:val="single" w:sz="4" w:space="0" w:color="auto"/>
              <w:bottom w:val="single" w:sz="4" w:space="0" w:color="auto"/>
              <w:right w:val="single" w:sz="4" w:space="0" w:color="auto"/>
            </w:tcBorders>
            <w:shd w:val="clear" w:color="auto" w:fill="auto"/>
          </w:tcPr>
          <w:p w14:paraId="03329969"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HAWK</w:t>
            </w:r>
          </w:p>
        </w:tc>
        <w:tc>
          <w:tcPr>
            <w:tcW w:w="3637" w:type="dxa"/>
            <w:gridSpan w:val="4"/>
            <w:tcBorders>
              <w:top w:val="single" w:sz="4" w:space="0" w:color="auto"/>
              <w:left w:val="single" w:sz="4" w:space="0" w:color="auto"/>
              <w:bottom w:val="single" w:sz="4" w:space="0" w:color="auto"/>
              <w:right w:val="single" w:sz="4" w:space="0" w:color="auto"/>
            </w:tcBorders>
            <w:shd w:val="clear" w:color="auto" w:fill="auto"/>
          </w:tcPr>
          <w:p w14:paraId="47340392"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HARRIER</w:t>
            </w:r>
          </w:p>
        </w:tc>
      </w:tr>
      <w:tr w:rsidR="005C20E5" w:rsidRPr="0077619B" w14:paraId="326319CD" w14:textId="77777777" w:rsidTr="005C20E5">
        <w:trPr>
          <w:gridAfter w:val="1"/>
          <w:wAfter w:w="16" w:type="dxa"/>
        </w:trPr>
        <w:tc>
          <w:tcPr>
            <w:tcW w:w="1906" w:type="dxa"/>
            <w:tcBorders>
              <w:top w:val="single" w:sz="4" w:space="0" w:color="auto"/>
              <w:left w:val="single" w:sz="4" w:space="0" w:color="auto"/>
              <w:bottom w:val="single" w:sz="4" w:space="0" w:color="auto"/>
              <w:right w:val="single" w:sz="4" w:space="0" w:color="auto"/>
            </w:tcBorders>
            <w:shd w:val="clear" w:color="auto" w:fill="auto"/>
          </w:tcPr>
          <w:p w14:paraId="2ADCDD40" w14:textId="77777777" w:rsidR="005C20E5" w:rsidRPr="0077619B" w:rsidRDefault="005C20E5" w:rsidP="005C20E5">
            <w:pPr>
              <w:keepNext/>
              <w:keepLines/>
              <w:widowControl w:val="0"/>
              <w:spacing w:after="0" w:line="240" w:lineRule="auto"/>
              <w:rPr>
                <w:rFonts w:eastAsia="MS Mincho" w:cs="Times New Roman"/>
                <w:b/>
                <w:bCs/>
                <w:sz w:val="18"/>
                <w:szCs w:val="18"/>
                <w:lang w:val="en-US" w:eastAsia="zh-CN"/>
              </w:rPr>
            </w:pPr>
            <w:r w:rsidRPr="0077619B">
              <w:rPr>
                <w:rFonts w:eastAsia="MS Mincho" w:cs="Times New Roman"/>
                <w:b/>
                <w:bCs/>
                <w:sz w:val="18"/>
                <w:szCs w:val="18"/>
                <w:lang w:val="en-US" w:eastAsia="zh-CN"/>
              </w:rPr>
              <w:t>Efficacy outcome</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7620A029"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Week</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CAD42C6" w14:textId="221154FE" w:rsidR="005C20E5" w:rsidRPr="0077619B" w:rsidRDefault="007B6410" w:rsidP="005C20E5">
            <w:pPr>
              <w:keepNext/>
              <w:keepLines/>
              <w:widowControl w:val="0"/>
              <w:spacing w:after="0" w:line="240" w:lineRule="auto"/>
              <w:jc w:val="center"/>
              <w:rPr>
                <w:rFonts w:eastAsia="MS Mincho" w:cs="Times New Roman"/>
                <w:b/>
                <w:bCs/>
                <w:sz w:val="18"/>
                <w:szCs w:val="18"/>
                <w:lang w:val="en-US" w:eastAsia="zh-CN"/>
              </w:rPr>
            </w:pPr>
            <w:r>
              <w:rPr>
                <w:rFonts w:eastAsia="MS Mincho" w:cs="Times New Roman"/>
                <w:b/>
                <w:bCs/>
                <w:sz w:val="18"/>
                <w:szCs w:val="18"/>
                <w:lang w:val="en-US" w:eastAsia="zh-CN"/>
              </w:rPr>
              <w:t>Beovu</w:t>
            </w:r>
          </w:p>
          <w:p w14:paraId="7DE785C2"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6 mg</w:t>
            </w:r>
          </w:p>
          <w:p w14:paraId="36036FE5"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(n=360)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CE866F4"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Aflibercept</w:t>
            </w:r>
          </w:p>
          <w:p w14:paraId="3AC27269"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2 mg</w:t>
            </w:r>
          </w:p>
          <w:p w14:paraId="50AC02D5"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(n=360)</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71F5734D"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Difference</w:t>
            </w:r>
          </w:p>
          <w:p w14:paraId="70554D93"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(95% CI) brolucizumab – aflibercept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38E034E" w14:textId="0DF660EE" w:rsidR="005C20E5" w:rsidRPr="0077619B" w:rsidRDefault="007B6410" w:rsidP="005C20E5">
            <w:pPr>
              <w:keepNext/>
              <w:keepLines/>
              <w:widowControl w:val="0"/>
              <w:spacing w:after="0" w:line="240" w:lineRule="auto"/>
              <w:jc w:val="center"/>
              <w:rPr>
                <w:rFonts w:eastAsia="MS Mincho" w:cs="Times New Roman"/>
                <w:b/>
                <w:bCs/>
                <w:sz w:val="18"/>
                <w:szCs w:val="18"/>
                <w:lang w:val="en-US" w:eastAsia="zh-CN"/>
              </w:rPr>
            </w:pPr>
            <w:r>
              <w:rPr>
                <w:rFonts w:eastAsia="MS Mincho" w:cs="Times New Roman"/>
                <w:b/>
                <w:bCs/>
                <w:sz w:val="18"/>
                <w:szCs w:val="18"/>
                <w:lang w:val="en-US" w:eastAsia="zh-CN"/>
              </w:rPr>
              <w:t>Beovu</w:t>
            </w:r>
          </w:p>
          <w:p w14:paraId="4A218766"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6 mg</w:t>
            </w:r>
          </w:p>
          <w:p w14:paraId="03543983"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(n=370)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2F07D1"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Aflibercept</w:t>
            </w:r>
          </w:p>
          <w:p w14:paraId="144BC3BC"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2 mg</w:t>
            </w:r>
          </w:p>
          <w:p w14:paraId="39A0AF81"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(n=369)</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6479C825"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Difference</w:t>
            </w:r>
          </w:p>
          <w:p w14:paraId="2F001CF1" w14:textId="77777777" w:rsidR="005C20E5" w:rsidRPr="0077619B" w:rsidRDefault="005C20E5" w:rsidP="005C20E5">
            <w:pPr>
              <w:keepNext/>
              <w:keepLines/>
              <w:widowControl w:val="0"/>
              <w:spacing w:after="0" w:line="240" w:lineRule="auto"/>
              <w:jc w:val="center"/>
              <w:rPr>
                <w:rFonts w:eastAsia="MS Mincho" w:cs="Times New Roman"/>
                <w:b/>
                <w:bCs/>
                <w:sz w:val="18"/>
                <w:szCs w:val="18"/>
                <w:lang w:val="en-US" w:eastAsia="zh-CN"/>
              </w:rPr>
            </w:pPr>
            <w:r w:rsidRPr="0077619B">
              <w:rPr>
                <w:rFonts w:eastAsia="MS Mincho" w:cs="Times New Roman"/>
                <w:b/>
                <w:bCs/>
                <w:sz w:val="18"/>
                <w:szCs w:val="18"/>
                <w:lang w:val="en-US" w:eastAsia="zh-CN"/>
              </w:rPr>
              <w:t>(95% CI) brolucizumab – aflibercept</w:t>
            </w:r>
          </w:p>
        </w:tc>
      </w:tr>
      <w:tr w:rsidR="00390EC5" w:rsidRPr="0077619B" w14:paraId="1F626DAA" w14:textId="77777777" w:rsidTr="005C20E5">
        <w:trPr>
          <w:gridAfter w:val="1"/>
          <w:wAfter w:w="16" w:type="dxa"/>
          <w:trHeight w:val="595"/>
        </w:trPr>
        <w:tc>
          <w:tcPr>
            <w:tcW w:w="1906" w:type="dxa"/>
            <w:tcBorders>
              <w:top w:val="single" w:sz="4" w:space="0" w:color="auto"/>
              <w:left w:val="single" w:sz="4" w:space="0" w:color="auto"/>
              <w:right w:val="single" w:sz="4" w:space="0" w:color="auto"/>
            </w:tcBorders>
            <w:shd w:val="clear" w:color="auto" w:fill="auto"/>
          </w:tcPr>
          <w:p w14:paraId="33A0BE34" w14:textId="0555BBED" w:rsidR="00390EC5" w:rsidRPr="0077619B" w:rsidRDefault="00390EC5" w:rsidP="00390EC5">
            <w:pPr>
              <w:keepNext/>
              <w:keepLines/>
              <w:widowControl w:val="0"/>
              <w:spacing w:after="0" w:line="240" w:lineRule="auto"/>
              <w:rPr>
                <w:rFonts w:eastAsia="MS Mincho" w:cs="Times New Roman"/>
                <w:b/>
                <w:bCs/>
                <w:sz w:val="18"/>
                <w:szCs w:val="18"/>
                <w:lang w:val="en-US" w:eastAsia="zh-CN"/>
              </w:rPr>
            </w:pPr>
            <w:r>
              <w:rPr>
                <w:rFonts w:eastAsia="MS Mincho" w:cs="Times New Roman"/>
                <w:b/>
                <w:bCs/>
                <w:sz w:val="18"/>
                <w:szCs w:val="18"/>
                <w:lang w:val="en-US" w:eastAsia="zh-CN"/>
              </w:rPr>
              <w:t xml:space="preserve">Mean </w:t>
            </w:r>
            <w:r w:rsidRPr="00390EC5">
              <w:rPr>
                <w:rFonts w:eastAsia="MS Mincho" w:cs="Times New Roman"/>
                <w:b/>
                <w:bCs/>
                <w:sz w:val="18"/>
                <w:szCs w:val="18"/>
                <w:lang w:val="en-US" w:eastAsia="zh-CN"/>
              </w:rPr>
              <w:t>BCVA at Baseline</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38AD9E4B" w14:textId="092344ED" w:rsidR="00390EC5" w:rsidRPr="0077619B" w:rsidRDefault="0034770D" w:rsidP="00390EC5">
            <w:pPr>
              <w:keepNext/>
              <w:keepLines/>
              <w:widowControl w:val="0"/>
              <w:spacing w:after="0" w:line="240" w:lineRule="auto"/>
              <w:jc w:val="center"/>
              <w:rPr>
                <w:rFonts w:eastAsia="MS Mincho" w:cs="Times New Roman"/>
                <w:sz w:val="18"/>
                <w:szCs w:val="18"/>
                <w:lang w:val="en-US" w:eastAsia="zh-CN"/>
              </w:rPr>
            </w:pPr>
            <w:r>
              <w:rPr>
                <w:rFonts w:eastAsia="MS Mincho" w:cs="Times New Roman"/>
                <w:sz w:val="18"/>
                <w:szCs w:val="18"/>
                <w:lang w:val="en-US"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0B9BC" w14:textId="77777777" w:rsidR="00390EC5" w:rsidRDefault="00390EC5" w:rsidP="00390EC5">
            <w:pPr>
              <w:keepNext/>
              <w:keepLines/>
              <w:widowControl w:val="0"/>
              <w:spacing w:after="0" w:line="240" w:lineRule="auto"/>
              <w:jc w:val="center"/>
              <w:rPr>
                <w:sz w:val="18"/>
                <w:szCs w:val="18"/>
              </w:rPr>
            </w:pPr>
            <w:r>
              <w:rPr>
                <w:sz w:val="18"/>
                <w:szCs w:val="18"/>
              </w:rPr>
              <w:t xml:space="preserve">60.8 </w:t>
            </w:r>
          </w:p>
          <w:p w14:paraId="779E6F12" w14:textId="7C7E0E20" w:rsidR="00390EC5" w:rsidRPr="0077619B" w:rsidRDefault="00390EC5" w:rsidP="00390EC5">
            <w:pPr>
              <w:keepNext/>
              <w:keepLines/>
              <w:widowControl w:val="0"/>
              <w:spacing w:after="0" w:line="240" w:lineRule="auto"/>
              <w:jc w:val="center"/>
              <w:rPr>
                <w:rFonts w:eastAsia="MS Mincho" w:cs="Times New Roman"/>
                <w:sz w:val="18"/>
                <w:szCs w:val="18"/>
                <w:lang w:val="en-US" w:eastAsia="zh-CN"/>
              </w:rPr>
            </w:pPr>
            <w:r>
              <w:rPr>
                <w:sz w:val="18"/>
                <w:szCs w:val="18"/>
              </w:rPr>
              <w:t xml:space="preserve">(SD=13.7)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17FEDA" w14:textId="4FD2A058" w:rsidR="00390EC5" w:rsidRPr="0077619B" w:rsidRDefault="00390EC5" w:rsidP="00390EC5">
            <w:pPr>
              <w:keepNext/>
              <w:keepLines/>
              <w:widowControl w:val="0"/>
              <w:spacing w:after="0" w:line="240" w:lineRule="auto"/>
              <w:jc w:val="center"/>
              <w:rPr>
                <w:rFonts w:eastAsia="MS Mincho" w:cs="Times New Roman"/>
                <w:sz w:val="18"/>
                <w:szCs w:val="18"/>
                <w:lang w:val="en-US" w:eastAsia="zh-CN"/>
              </w:rPr>
            </w:pPr>
            <w:r>
              <w:rPr>
                <w:sz w:val="18"/>
                <w:szCs w:val="18"/>
              </w:rPr>
              <w:t xml:space="preserve">60.0 (SD=13.9) </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7798A7AA" w14:textId="60A3FE27" w:rsidR="00390EC5" w:rsidRPr="0077619B" w:rsidRDefault="0034770D" w:rsidP="00390EC5">
            <w:pPr>
              <w:keepNext/>
              <w:keepLines/>
              <w:widowControl w:val="0"/>
              <w:spacing w:after="0" w:line="240" w:lineRule="auto"/>
              <w:jc w:val="center"/>
              <w:rPr>
                <w:rFonts w:eastAsia="MS Mincho" w:cs="Times New Roman"/>
                <w:sz w:val="18"/>
                <w:szCs w:val="18"/>
                <w:lang w:val="en-US" w:eastAsia="zh-CN"/>
              </w:rPr>
            </w:pPr>
            <w:r>
              <w:rPr>
                <w:rFonts w:eastAsia="MS Mincho" w:cs="Times New Roman"/>
                <w:sz w:val="18"/>
                <w:szCs w:val="18"/>
                <w:lang w:val="en-US"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6526FC" w14:textId="194E89BC" w:rsidR="00390EC5" w:rsidRPr="0077619B" w:rsidRDefault="00390EC5" w:rsidP="00390EC5">
            <w:pPr>
              <w:keepNext/>
              <w:keepLines/>
              <w:widowControl w:val="0"/>
              <w:spacing w:after="0" w:line="240" w:lineRule="auto"/>
              <w:jc w:val="center"/>
              <w:rPr>
                <w:rFonts w:eastAsia="MS Mincho" w:cs="Times New Roman"/>
                <w:sz w:val="18"/>
                <w:szCs w:val="18"/>
                <w:lang w:val="en-US" w:eastAsia="zh-CN"/>
              </w:rPr>
            </w:pPr>
            <w:r>
              <w:rPr>
                <w:sz w:val="18"/>
                <w:szCs w:val="18"/>
              </w:rPr>
              <w:t xml:space="preserve">61.5 (SD=12.6)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55FB2" w14:textId="5DA055EA" w:rsidR="00390EC5" w:rsidRPr="0077619B" w:rsidRDefault="00390EC5" w:rsidP="00390EC5">
            <w:pPr>
              <w:keepNext/>
              <w:keepLines/>
              <w:widowControl w:val="0"/>
              <w:spacing w:after="0" w:line="240" w:lineRule="auto"/>
              <w:jc w:val="center"/>
              <w:rPr>
                <w:rFonts w:eastAsia="MS Mincho" w:cs="Times New Roman"/>
                <w:sz w:val="18"/>
                <w:szCs w:val="18"/>
                <w:lang w:val="en-US" w:eastAsia="zh-CN"/>
              </w:rPr>
            </w:pPr>
            <w:r>
              <w:rPr>
                <w:sz w:val="18"/>
                <w:szCs w:val="18"/>
              </w:rPr>
              <w:t xml:space="preserve">60.8 (SD=12.9) </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A851AD0" w14:textId="2A5DCB8C" w:rsidR="00390EC5" w:rsidRPr="0077619B" w:rsidRDefault="0034770D" w:rsidP="00390EC5">
            <w:pPr>
              <w:keepNext/>
              <w:keepLines/>
              <w:widowControl w:val="0"/>
              <w:spacing w:after="0" w:line="240" w:lineRule="auto"/>
              <w:jc w:val="center"/>
              <w:rPr>
                <w:rFonts w:eastAsia="MS Mincho" w:cs="Times New Roman"/>
                <w:sz w:val="18"/>
                <w:szCs w:val="18"/>
                <w:lang w:val="en-US" w:eastAsia="zh-CN"/>
              </w:rPr>
            </w:pPr>
            <w:r>
              <w:rPr>
                <w:rFonts w:eastAsia="MS Mincho" w:cs="Times New Roman"/>
                <w:sz w:val="18"/>
                <w:szCs w:val="18"/>
                <w:lang w:val="en-US" w:eastAsia="zh-CN"/>
              </w:rPr>
              <w:t>-</w:t>
            </w:r>
          </w:p>
        </w:tc>
      </w:tr>
      <w:tr w:rsidR="005C20E5" w:rsidRPr="0077619B" w14:paraId="581ED870" w14:textId="77777777" w:rsidTr="005C20E5">
        <w:trPr>
          <w:gridAfter w:val="1"/>
          <w:wAfter w:w="16" w:type="dxa"/>
          <w:trHeight w:val="595"/>
        </w:trPr>
        <w:tc>
          <w:tcPr>
            <w:tcW w:w="1906" w:type="dxa"/>
            <w:vMerge w:val="restart"/>
            <w:tcBorders>
              <w:top w:val="single" w:sz="4" w:space="0" w:color="auto"/>
              <w:left w:val="single" w:sz="4" w:space="0" w:color="auto"/>
              <w:right w:val="single" w:sz="4" w:space="0" w:color="auto"/>
            </w:tcBorders>
            <w:shd w:val="clear" w:color="auto" w:fill="auto"/>
            <w:hideMark/>
          </w:tcPr>
          <w:p w14:paraId="1EE1958E" w14:textId="77777777" w:rsidR="005C20E5" w:rsidRPr="0077619B" w:rsidRDefault="005C20E5" w:rsidP="005C20E5">
            <w:pPr>
              <w:keepNext/>
              <w:keepLines/>
              <w:widowControl w:val="0"/>
              <w:spacing w:after="0" w:line="240" w:lineRule="auto"/>
              <w:rPr>
                <w:rFonts w:eastAsia="MS Mincho" w:cs="Times New Roman"/>
                <w:b/>
                <w:bCs/>
                <w:sz w:val="18"/>
                <w:szCs w:val="18"/>
                <w:lang w:val="en-US" w:eastAsia="zh-CN"/>
              </w:rPr>
            </w:pPr>
            <w:r w:rsidRPr="0077619B">
              <w:rPr>
                <w:rFonts w:eastAsia="MS Mincho" w:cs="Times New Roman"/>
                <w:b/>
                <w:bCs/>
                <w:sz w:val="18"/>
                <w:szCs w:val="18"/>
                <w:lang w:val="en-US" w:eastAsia="zh-CN"/>
              </w:rPr>
              <w:t>Mean change from baseline in BCVA (measured by ETDRS letters score)</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4F333862"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48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B06F299"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6.6</w:t>
            </w:r>
          </w:p>
          <w:p w14:paraId="5495C01B"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(SE=0.71)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FF7B4A3"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6.8</w:t>
            </w:r>
          </w:p>
          <w:p w14:paraId="2CD9891D"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(SE=0.71)</w:t>
            </w:r>
          </w:p>
        </w:tc>
        <w:tc>
          <w:tcPr>
            <w:tcW w:w="1419" w:type="dxa"/>
            <w:tcBorders>
              <w:top w:val="single" w:sz="4" w:space="0" w:color="auto"/>
              <w:left w:val="single" w:sz="4" w:space="0" w:color="auto"/>
              <w:bottom w:val="single" w:sz="4" w:space="0" w:color="auto"/>
              <w:right w:val="single" w:sz="4" w:space="0" w:color="auto"/>
            </w:tcBorders>
            <w:shd w:val="clear" w:color="auto" w:fill="auto"/>
            <w:hideMark/>
          </w:tcPr>
          <w:p w14:paraId="306DE458"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noBreakHyphen/>
              <w:t>0.2</w:t>
            </w:r>
          </w:p>
          <w:p w14:paraId="02DDD066"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w:t>
            </w:r>
            <w:r w:rsidRPr="0077619B">
              <w:rPr>
                <w:rFonts w:eastAsia="MS Mincho" w:cs="Times New Roman"/>
                <w:sz w:val="18"/>
                <w:szCs w:val="18"/>
                <w:lang w:val="en-US" w:eastAsia="zh-CN"/>
              </w:rPr>
              <w:noBreakHyphen/>
              <w:t>2.1, 1.8)</w:t>
            </w:r>
          </w:p>
          <w:p w14:paraId="12909706" w14:textId="77777777" w:rsidR="005C20E5" w:rsidRPr="0077619B" w:rsidDel="003A6C02"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P&lt;0.0001 </w:t>
            </w:r>
            <w:r w:rsidRPr="0077619B">
              <w:rPr>
                <w:rFonts w:eastAsia="MS Mincho" w:cs="Times New Roman"/>
                <w:sz w:val="18"/>
                <w:szCs w:val="18"/>
                <w:vertAlign w:val="superscript"/>
                <w:lang w:val="en-US" w:eastAsia="zh-CN"/>
              </w:rPr>
              <w:t>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FE7CF9"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6.9</w:t>
            </w:r>
          </w:p>
          <w:p w14:paraId="710D4B59"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(SE=0.61)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6108EF1"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7.6</w:t>
            </w:r>
          </w:p>
          <w:p w14:paraId="644885E5"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(SE=0.61)</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4D4593EF"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-0.7</w:t>
            </w:r>
          </w:p>
          <w:p w14:paraId="01490754"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(-2.4, 1.0)</w:t>
            </w:r>
          </w:p>
          <w:p w14:paraId="69AACA46" w14:textId="77777777" w:rsidR="005C20E5" w:rsidRPr="0077619B" w:rsidDel="003A6C02"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P &lt;0.0001</w:t>
            </w:r>
            <w:r w:rsidRPr="0077619B">
              <w:rPr>
                <w:rFonts w:eastAsia="MS Mincho" w:cs="Times New Roman"/>
                <w:sz w:val="18"/>
                <w:szCs w:val="18"/>
                <w:vertAlign w:val="superscript"/>
                <w:lang w:val="en-US" w:eastAsia="zh-CN"/>
              </w:rPr>
              <w:t xml:space="preserve"> a)</w:t>
            </w:r>
          </w:p>
        </w:tc>
      </w:tr>
      <w:tr w:rsidR="005C20E5" w:rsidRPr="0077619B" w14:paraId="7F833C86" w14:textId="77777777" w:rsidTr="005C20E5">
        <w:trPr>
          <w:gridAfter w:val="1"/>
          <w:wAfter w:w="16" w:type="dxa"/>
          <w:trHeight w:val="661"/>
        </w:trPr>
        <w:tc>
          <w:tcPr>
            <w:tcW w:w="1906" w:type="dxa"/>
            <w:vMerge/>
            <w:tcBorders>
              <w:left w:val="single" w:sz="4" w:space="0" w:color="auto"/>
              <w:bottom w:val="single" w:sz="4" w:space="0" w:color="auto"/>
              <w:right w:val="single" w:sz="4" w:space="0" w:color="auto"/>
            </w:tcBorders>
            <w:shd w:val="clear" w:color="auto" w:fill="auto"/>
          </w:tcPr>
          <w:p w14:paraId="32623367" w14:textId="77777777" w:rsidR="005C20E5" w:rsidRPr="0077619B" w:rsidRDefault="005C20E5" w:rsidP="005C20E5">
            <w:pPr>
              <w:keepNext/>
              <w:keepLines/>
              <w:widowControl w:val="0"/>
              <w:spacing w:after="0" w:line="240" w:lineRule="auto"/>
              <w:rPr>
                <w:rFonts w:eastAsia="MS Mincho" w:cs="Times New Roman"/>
                <w:b/>
                <w:bCs/>
                <w:sz w:val="18"/>
                <w:szCs w:val="18"/>
                <w:lang w:val="en-US" w:eastAsia="zh-CN"/>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7C5AD3C6"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36 – 48 </w:t>
            </w:r>
            <w:r w:rsidRPr="0077619B">
              <w:rPr>
                <w:rFonts w:eastAsia="MS Mincho" w:cs="Times New Roman"/>
                <w:sz w:val="18"/>
                <w:szCs w:val="18"/>
                <w:vertAlign w:val="superscript"/>
                <w:lang w:val="en-US" w:eastAsia="zh-CN"/>
              </w:rPr>
              <w:t>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7B5F92"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6.7 (SE=0.68)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0E3BA1"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6.7</w:t>
            </w:r>
          </w:p>
          <w:p w14:paraId="1012764B"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(SE=0.68)</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2F50D6D1"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0.0</w:t>
            </w:r>
          </w:p>
          <w:p w14:paraId="4B4DD2E9"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w:t>
            </w:r>
            <w:r w:rsidRPr="0077619B">
              <w:rPr>
                <w:rFonts w:eastAsia="MS Mincho" w:cs="Times New Roman"/>
                <w:sz w:val="18"/>
                <w:szCs w:val="18"/>
                <w:lang w:val="en-US" w:eastAsia="zh-CN"/>
              </w:rPr>
              <w:noBreakHyphen/>
              <w:t>1.9, 1.9)</w:t>
            </w:r>
          </w:p>
          <w:p w14:paraId="03A11D53"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P&lt;0.0001 </w:t>
            </w:r>
            <w:r w:rsidRPr="0077619B">
              <w:rPr>
                <w:rFonts w:eastAsia="MS Mincho" w:cs="Times New Roman"/>
                <w:sz w:val="18"/>
                <w:szCs w:val="18"/>
                <w:vertAlign w:val="superscript"/>
                <w:lang w:val="en-US" w:eastAsia="zh-CN"/>
              </w:rPr>
              <w:t>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EEA31C"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6.5</w:t>
            </w:r>
          </w:p>
          <w:p w14:paraId="1BF45E96"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(SE=0.58)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DD6C2C"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7.7</w:t>
            </w:r>
          </w:p>
          <w:p w14:paraId="318B98FF"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(SE=0.58)</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53792D47"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noBreakHyphen/>
              <w:t>1.2</w:t>
            </w:r>
          </w:p>
          <w:p w14:paraId="6ACAD0EF"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w:t>
            </w:r>
            <w:r w:rsidRPr="0077619B">
              <w:rPr>
                <w:rFonts w:eastAsia="MS Mincho" w:cs="Times New Roman"/>
                <w:sz w:val="18"/>
                <w:szCs w:val="18"/>
                <w:lang w:val="en-US" w:eastAsia="zh-CN"/>
              </w:rPr>
              <w:noBreakHyphen/>
              <w:t>2.8, 0.4)</w:t>
            </w:r>
          </w:p>
          <w:p w14:paraId="01BE605B"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P=0.0003 </w:t>
            </w:r>
            <w:r w:rsidRPr="00FB4A0F">
              <w:rPr>
                <w:rFonts w:eastAsia="MS Mincho" w:cs="Times New Roman"/>
                <w:sz w:val="18"/>
                <w:szCs w:val="18"/>
                <w:vertAlign w:val="superscript"/>
                <w:lang w:val="en-US" w:eastAsia="zh-CN"/>
              </w:rPr>
              <w:t>a)</w:t>
            </w:r>
          </w:p>
        </w:tc>
      </w:tr>
      <w:tr w:rsidR="005C20E5" w:rsidRPr="0077619B" w14:paraId="60B67833" w14:textId="77777777" w:rsidTr="005C20E5">
        <w:trPr>
          <w:gridAfter w:val="1"/>
          <w:wAfter w:w="16" w:type="dxa"/>
        </w:trPr>
        <w:tc>
          <w:tcPr>
            <w:tcW w:w="1906" w:type="dxa"/>
            <w:vMerge/>
            <w:tcBorders>
              <w:left w:val="single" w:sz="4" w:space="0" w:color="auto"/>
              <w:bottom w:val="single" w:sz="4" w:space="0" w:color="auto"/>
              <w:right w:val="single" w:sz="4" w:space="0" w:color="auto"/>
            </w:tcBorders>
            <w:shd w:val="clear" w:color="auto" w:fill="auto"/>
          </w:tcPr>
          <w:p w14:paraId="68B5ED18" w14:textId="77777777" w:rsidR="005C20E5" w:rsidRPr="0077619B" w:rsidRDefault="005C20E5" w:rsidP="005C20E5">
            <w:pPr>
              <w:keepNext/>
              <w:keepLines/>
              <w:widowControl w:val="0"/>
              <w:spacing w:after="0" w:line="240" w:lineRule="auto"/>
              <w:rPr>
                <w:rFonts w:eastAsia="MS Mincho" w:cs="Times New Roman"/>
                <w:b/>
                <w:bCs/>
                <w:sz w:val="18"/>
                <w:szCs w:val="18"/>
                <w:lang w:val="en-US" w:eastAsia="zh-CN"/>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2655B1C6"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91BCAA"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5.9</w:t>
            </w:r>
          </w:p>
          <w:p w14:paraId="31FFA764"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(SE=0.78)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C574CE"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5.3</w:t>
            </w:r>
          </w:p>
          <w:p w14:paraId="2D1ED5A2"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(SE=0.78)</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12F676AE"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0.5</w:t>
            </w:r>
          </w:p>
          <w:p w14:paraId="1433A7FD" w14:textId="06D6761B" w:rsidR="003B3242" w:rsidRPr="0077619B" w:rsidRDefault="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w:t>
            </w:r>
            <w:r w:rsidRPr="0077619B">
              <w:rPr>
                <w:rFonts w:eastAsia="MS Mincho" w:cs="Times New Roman"/>
                <w:sz w:val="18"/>
                <w:szCs w:val="18"/>
                <w:lang w:val="en-US" w:eastAsia="zh-CN"/>
              </w:rPr>
              <w:noBreakHyphen/>
              <w:t>1.6, 2.7)</w:t>
            </w:r>
            <w:r w:rsidR="00DE2D44" w:rsidRPr="0077619B">
              <w:rPr>
                <w:rFonts w:eastAsia="MS Mincho" w:cs="Times New Roman"/>
                <w:sz w:val="18"/>
                <w:szCs w:val="18"/>
                <w:lang w:val="en-US" w:eastAsia="zh-CN"/>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C03FEC"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6.1</w:t>
            </w:r>
          </w:p>
          <w:p w14:paraId="1660FE41" w14:textId="0CEF19C6" w:rsidR="003B3242" w:rsidRPr="0077619B" w:rsidRDefault="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(SE=0.73)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6BBF6"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6.6</w:t>
            </w:r>
          </w:p>
          <w:p w14:paraId="7765969E"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(SE=0.73)</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F502BD4"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noBreakHyphen/>
              <w:t>0.4</w:t>
            </w:r>
          </w:p>
          <w:p w14:paraId="11AE2462" w14:textId="11C631F1" w:rsidR="003B3242" w:rsidRPr="0077619B" w:rsidRDefault="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w:t>
            </w:r>
            <w:r w:rsidRPr="0077619B">
              <w:rPr>
                <w:rFonts w:eastAsia="MS Mincho" w:cs="Times New Roman"/>
                <w:sz w:val="18"/>
                <w:szCs w:val="18"/>
                <w:lang w:val="en-US" w:eastAsia="zh-CN"/>
              </w:rPr>
              <w:noBreakHyphen/>
              <w:t>2.5,1.6)</w:t>
            </w:r>
          </w:p>
        </w:tc>
      </w:tr>
      <w:tr w:rsidR="005C20E5" w:rsidRPr="0077619B" w14:paraId="5225A8DF" w14:textId="77777777" w:rsidTr="005C20E5">
        <w:trPr>
          <w:gridAfter w:val="1"/>
          <w:wAfter w:w="16" w:type="dxa"/>
        </w:trPr>
        <w:tc>
          <w:tcPr>
            <w:tcW w:w="1906" w:type="dxa"/>
            <w:vMerge w:val="restart"/>
            <w:tcBorders>
              <w:top w:val="single" w:sz="4" w:space="0" w:color="auto"/>
              <w:left w:val="single" w:sz="4" w:space="0" w:color="auto"/>
              <w:right w:val="single" w:sz="4" w:space="0" w:color="auto"/>
            </w:tcBorders>
            <w:shd w:val="clear" w:color="auto" w:fill="auto"/>
            <w:hideMark/>
          </w:tcPr>
          <w:p w14:paraId="532E29FF" w14:textId="77777777" w:rsidR="005C20E5" w:rsidRPr="0077619B" w:rsidRDefault="005C20E5" w:rsidP="005C20E5">
            <w:pPr>
              <w:keepNext/>
              <w:keepLines/>
              <w:widowControl w:val="0"/>
              <w:spacing w:after="0" w:line="240" w:lineRule="auto"/>
              <w:rPr>
                <w:rFonts w:eastAsia="MS Mincho" w:cs="Times New Roman"/>
                <w:b/>
                <w:bCs/>
                <w:sz w:val="18"/>
                <w:szCs w:val="18"/>
                <w:lang w:val="en-US" w:eastAsia="zh-CN"/>
              </w:rPr>
            </w:pPr>
            <w:r w:rsidRPr="0077619B">
              <w:rPr>
                <w:rFonts w:eastAsia="MS Mincho" w:cs="Times New Roman"/>
                <w:b/>
                <w:bCs/>
                <w:sz w:val="18"/>
                <w:szCs w:val="18"/>
                <w:lang w:val="en-US" w:eastAsia="zh-CN"/>
              </w:rPr>
              <w:t>% of patients who gained at least 15 letters of vision</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2D0E03F0"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48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B9E209"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33.6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F213090"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25.4</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2750CE1E"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8.2</w:t>
            </w:r>
          </w:p>
          <w:p w14:paraId="62002B84"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(2.2, 15.0)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923FE5"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29.3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4A9FEF8"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29.9</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8A75493"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noBreakHyphen/>
              <w:t>0.6</w:t>
            </w:r>
          </w:p>
          <w:p w14:paraId="06645536"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w:t>
            </w:r>
            <w:r w:rsidRPr="0077619B">
              <w:rPr>
                <w:rFonts w:eastAsia="MS Mincho" w:cs="Times New Roman"/>
                <w:sz w:val="18"/>
                <w:szCs w:val="18"/>
                <w:lang w:val="en-US" w:eastAsia="zh-CN"/>
              </w:rPr>
              <w:noBreakHyphen/>
              <w:t>7.1, 5.8)</w:t>
            </w:r>
          </w:p>
        </w:tc>
      </w:tr>
      <w:tr w:rsidR="005C20E5" w:rsidRPr="0077619B" w14:paraId="448C32CB" w14:textId="77777777" w:rsidTr="005C20E5">
        <w:trPr>
          <w:gridAfter w:val="1"/>
          <w:wAfter w:w="16" w:type="dxa"/>
        </w:trPr>
        <w:tc>
          <w:tcPr>
            <w:tcW w:w="1906" w:type="dxa"/>
            <w:vMerge/>
            <w:tcBorders>
              <w:left w:val="single" w:sz="4" w:space="0" w:color="auto"/>
              <w:bottom w:val="single" w:sz="4" w:space="0" w:color="auto"/>
              <w:right w:val="single" w:sz="4" w:space="0" w:color="auto"/>
            </w:tcBorders>
            <w:shd w:val="clear" w:color="auto" w:fill="auto"/>
          </w:tcPr>
          <w:p w14:paraId="09CC4BF5" w14:textId="77777777" w:rsidR="005C20E5" w:rsidRPr="0077619B" w:rsidRDefault="005C20E5" w:rsidP="005C20E5">
            <w:pPr>
              <w:keepNext/>
              <w:keepLines/>
              <w:widowControl w:val="0"/>
              <w:spacing w:after="0" w:line="240" w:lineRule="auto"/>
              <w:rPr>
                <w:rFonts w:eastAsia="MS Mincho" w:cs="Times New Roman"/>
                <w:b/>
                <w:bCs/>
                <w:sz w:val="18"/>
                <w:szCs w:val="18"/>
                <w:lang w:val="en-US" w:eastAsia="zh-CN"/>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7D8A9A6A"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52DF5A"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34.2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4F4981"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27.0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7BC38A1D"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7.2</w:t>
            </w:r>
          </w:p>
          <w:p w14:paraId="179679D7"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(1.4, 13.8)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CCF7F7"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29.1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515D74"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31.5</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287AF0C1"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noBreakHyphen/>
              <w:t>2.4</w:t>
            </w:r>
          </w:p>
          <w:p w14:paraId="0F72DCC5"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w:t>
            </w:r>
            <w:r w:rsidRPr="0077619B">
              <w:rPr>
                <w:rFonts w:eastAsia="MS Mincho" w:cs="Times New Roman"/>
                <w:sz w:val="18"/>
                <w:szCs w:val="18"/>
                <w:lang w:val="en-US" w:eastAsia="zh-CN"/>
              </w:rPr>
              <w:noBreakHyphen/>
              <w:t>8.8, 4.1)</w:t>
            </w:r>
          </w:p>
        </w:tc>
      </w:tr>
      <w:tr w:rsidR="005C20E5" w:rsidRPr="0077619B" w14:paraId="2047CC84" w14:textId="77777777" w:rsidTr="005C20E5">
        <w:trPr>
          <w:gridAfter w:val="1"/>
          <w:wAfter w:w="16" w:type="dxa"/>
          <w:trHeight w:val="469"/>
        </w:trPr>
        <w:tc>
          <w:tcPr>
            <w:tcW w:w="1906" w:type="dxa"/>
            <w:vMerge w:val="restart"/>
            <w:tcBorders>
              <w:top w:val="single" w:sz="4" w:space="0" w:color="auto"/>
              <w:left w:val="single" w:sz="4" w:space="0" w:color="auto"/>
              <w:right w:val="single" w:sz="4" w:space="0" w:color="auto"/>
            </w:tcBorders>
            <w:shd w:val="clear" w:color="auto" w:fill="auto"/>
            <w:hideMark/>
          </w:tcPr>
          <w:p w14:paraId="518560F0" w14:textId="77777777" w:rsidR="005C20E5" w:rsidRPr="0077619B" w:rsidRDefault="005C20E5" w:rsidP="005C20E5">
            <w:pPr>
              <w:keepNext/>
              <w:keepLines/>
              <w:widowControl w:val="0"/>
              <w:spacing w:after="0" w:line="240" w:lineRule="auto"/>
              <w:rPr>
                <w:rFonts w:eastAsia="MS Mincho" w:cs="Times New Roman"/>
                <w:b/>
                <w:bCs/>
                <w:sz w:val="18"/>
                <w:szCs w:val="18"/>
                <w:lang w:val="en-US" w:eastAsia="zh-CN"/>
              </w:rPr>
            </w:pPr>
            <w:r w:rsidRPr="0077619B">
              <w:rPr>
                <w:rFonts w:eastAsia="MS Mincho" w:cs="Times New Roman"/>
                <w:b/>
                <w:bCs/>
                <w:sz w:val="18"/>
                <w:szCs w:val="18"/>
                <w:lang w:val="en-US" w:eastAsia="zh-CN"/>
              </w:rPr>
              <w:t>% of patients who lost visual acuity (%) (</w:t>
            </w:r>
            <w:r w:rsidRPr="0077619B">
              <w:rPr>
                <w:rFonts w:eastAsia="MS Mincho" w:cs="Times New Roman"/>
                <w:b/>
                <w:bCs/>
                <w:sz w:val="18"/>
                <w:szCs w:val="18"/>
                <w:u w:val="single"/>
                <w:lang w:val="en-US" w:eastAsia="zh-CN"/>
              </w:rPr>
              <w:t>&gt;</w:t>
            </w:r>
            <w:r w:rsidRPr="0077619B">
              <w:rPr>
                <w:rFonts w:eastAsia="MS Mincho" w:cs="Times New Roman"/>
                <w:b/>
                <w:bCs/>
                <w:sz w:val="18"/>
                <w:szCs w:val="18"/>
                <w:lang w:val="en-US" w:eastAsia="zh-CN"/>
              </w:rPr>
              <w:t>15 letters of BCVA loss)</w:t>
            </w: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04E4A86A"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48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31D9A16"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6.4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1AD24F2"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5.5</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5A6F216B"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0.9</w:t>
            </w:r>
          </w:p>
          <w:p w14:paraId="7461E6FA"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w:t>
            </w:r>
            <w:r w:rsidRPr="0077619B">
              <w:rPr>
                <w:rFonts w:eastAsia="MS Mincho" w:cs="Times New Roman"/>
                <w:sz w:val="18"/>
                <w:szCs w:val="18"/>
                <w:lang w:val="en-US" w:eastAsia="zh-CN"/>
              </w:rPr>
              <w:noBreakHyphen/>
              <w:t>2.7, 4.3)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E6EE3E"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4EB03E"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4.8</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3DCC0DC5"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noBreakHyphen/>
              <w:t>1.0</w:t>
            </w:r>
          </w:p>
          <w:p w14:paraId="583910D6"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w:t>
            </w:r>
            <w:r w:rsidRPr="0077619B">
              <w:rPr>
                <w:rFonts w:eastAsia="MS Mincho" w:cs="Times New Roman"/>
                <w:sz w:val="18"/>
                <w:szCs w:val="18"/>
                <w:lang w:val="en-US" w:eastAsia="zh-CN"/>
              </w:rPr>
              <w:noBreakHyphen/>
              <w:t>3.9, 2.2)</w:t>
            </w:r>
          </w:p>
        </w:tc>
      </w:tr>
      <w:tr w:rsidR="005C20E5" w:rsidRPr="0077619B" w14:paraId="39D7BB12" w14:textId="77777777" w:rsidTr="005C20E5">
        <w:trPr>
          <w:gridAfter w:val="1"/>
          <w:wAfter w:w="16" w:type="dxa"/>
        </w:trPr>
        <w:tc>
          <w:tcPr>
            <w:tcW w:w="1906" w:type="dxa"/>
            <w:vMerge/>
            <w:tcBorders>
              <w:left w:val="single" w:sz="4" w:space="0" w:color="auto"/>
              <w:right w:val="single" w:sz="4" w:space="0" w:color="auto"/>
            </w:tcBorders>
            <w:shd w:val="clear" w:color="auto" w:fill="auto"/>
          </w:tcPr>
          <w:p w14:paraId="7D7DB792" w14:textId="77777777" w:rsidR="005C20E5" w:rsidRPr="0077619B" w:rsidRDefault="005C20E5" w:rsidP="005C20E5">
            <w:pPr>
              <w:keepNext/>
              <w:keepLines/>
              <w:widowControl w:val="0"/>
              <w:spacing w:after="0" w:line="240" w:lineRule="auto"/>
              <w:rPr>
                <w:rFonts w:eastAsia="MS Mincho" w:cs="Times New Roman"/>
                <w:b/>
                <w:bCs/>
                <w:sz w:val="18"/>
                <w:szCs w:val="18"/>
                <w:lang w:val="en-US" w:eastAsia="zh-CN"/>
              </w:rPr>
            </w:pPr>
          </w:p>
        </w:tc>
        <w:tc>
          <w:tcPr>
            <w:tcW w:w="752" w:type="dxa"/>
            <w:tcBorders>
              <w:top w:val="single" w:sz="4" w:space="0" w:color="auto"/>
              <w:left w:val="single" w:sz="4" w:space="0" w:color="auto"/>
              <w:bottom w:val="single" w:sz="4" w:space="0" w:color="auto"/>
              <w:right w:val="single" w:sz="4" w:space="0" w:color="auto"/>
            </w:tcBorders>
            <w:shd w:val="clear" w:color="auto" w:fill="auto"/>
          </w:tcPr>
          <w:p w14:paraId="5AF85127"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4E1B6A"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7E679B"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7.4</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1A5984B3"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0.7</w:t>
            </w:r>
          </w:p>
          <w:p w14:paraId="774473E8"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w:t>
            </w:r>
            <w:r w:rsidRPr="0077619B">
              <w:rPr>
                <w:rFonts w:eastAsia="MS Mincho" w:cs="Times New Roman"/>
                <w:sz w:val="18"/>
                <w:szCs w:val="18"/>
                <w:lang w:val="en-US" w:eastAsia="zh-CN"/>
              </w:rPr>
              <w:noBreakHyphen/>
              <w:t>3.6, 4.6)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1F83EB"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1492EF"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7.5</w:t>
            </w:r>
          </w:p>
        </w:tc>
        <w:tc>
          <w:tcPr>
            <w:tcW w:w="1353" w:type="dxa"/>
            <w:tcBorders>
              <w:top w:val="single" w:sz="4" w:space="0" w:color="auto"/>
              <w:left w:val="single" w:sz="4" w:space="0" w:color="auto"/>
              <w:bottom w:val="single" w:sz="4" w:space="0" w:color="auto"/>
              <w:right w:val="single" w:sz="4" w:space="0" w:color="auto"/>
            </w:tcBorders>
            <w:shd w:val="clear" w:color="auto" w:fill="auto"/>
          </w:tcPr>
          <w:p w14:paraId="0C559605"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noBreakHyphen/>
              <w:t>0.4</w:t>
            </w:r>
          </w:p>
          <w:p w14:paraId="4A690453" w14:textId="77777777" w:rsidR="005C20E5" w:rsidRPr="0077619B" w:rsidRDefault="005C20E5" w:rsidP="005C20E5">
            <w:pPr>
              <w:keepNext/>
              <w:keepLines/>
              <w:widowControl w:val="0"/>
              <w:spacing w:after="0" w:line="240" w:lineRule="auto"/>
              <w:jc w:val="center"/>
              <w:rPr>
                <w:rFonts w:eastAsia="MS Mincho" w:cs="Times New Roman"/>
                <w:sz w:val="18"/>
                <w:szCs w:val="18"/>
                <w:lang w:val="en-US" w:eastAsia="zh-CN"/>
              </w:rPr>
            </w:pPr>
            <w:r w:rsidRPr="0077619B">
              <w:rPr>
                <w:rFonts w:eastAsia="MS Mincho" w:cs="Times New Roman"/>
                <w:sz w:val="18"/>
                <w:szCs w:val="18"/>
                <w:lang w:val="en-US" w:eastAsia="zh-CN"/>
              </w:rPr>
              <w:t>(</w:t>
            </w:r>
            <w:r w:rsidRPr="0077619B">
              <w:rPr>
                <w:rFonts w:eastAsia="MS Mincho" w:cs="Times New Roman"/>
                <w:sz w:val="18"/>
                <w:szCs w:val="18"/>
                <w:lang w:val="en-US" w:eastAsia="zh-CN"/>
              </w:rPr>
              <w:noBreakHyphen/>
              <w:t>3.8, 3.3)</w:t>
            </w:r>
          </w:p>
        </w:tc>
      </w:tr>
      <w:tr w:rsidR="005C20E5" w:rsidRPr="0077619B" w14:paraId="72B00FAB" w14:textId="77777777" w:rsidTr="005C20E5">
        <w:tc>
          <w:tcPr>
            <w:tcW w:w="9982" w:type="dxa"/>
            <w:gridSpan w:val="9"/>
            <w:tcBorders>
              <w:left w:val="single" w:sz="4" w:space="0" w:color="auto"/>
              <w:bottom w:val="single" w:sz="4" w:space="0" w:color="auto"/>
              <w:right w:val="single" w:sz="4" w:space="0" w:color="auto"/>
            </w:tcBorders>
            <w:shd w:val="clear" w:color="auto" w:fill="auto"/>
          </w:tcPr>
          <w:p w14:paraId="24306FFE" w14:textId="77777777" w:rsidR="005C20E5" w:rsidRPr="0077619B" w:rsidRDefault="005C20E5" w:rsidP="005C20E5">
            <w:pPr>
              <w:keepNext/>
              <w:keepLines/>
              <w:widowControl w:val="0"/>
              <w:spacing w:after="0" w:line="240" w:lineRule="auto"/>
              <w:rPr>
                <w:rFonts w:eastAsia="MS Mincho" w:cs="Times New Roman"/>
                <w:sz w:val="18"/>
                <w:szCs w:val="18"/>
                <w:lang w:val="en-US" w:eastAsia="zh-CN"/>
              </w:rPr>
            </w:pPr>
            <w:r w:rsidRPr="0077619B">
              <w:rPr>
                <w:rFonts w:eastAsia="MS Mincho" w:cs="Times New Roman"/>
                <w:sz w:val="18"/>
                <w:szCs w:val="18"/>
                <w:lang w:val="en-US" w:eastAsia="zh-CN"/>
              </w:rPr>
              <w:t>BCVA: Best Corrected Visual Acuity; missing data are imputed using last observation carried forward (LOCF) method</w:t>
            </w:r>
          </w:p>
          <w:p w14:paraId="71451D91" w14:textId="77777777" w:rsidR="005C20E5" w:rsidRPr="0077619B" w:rsidRDefault="005C20E5" w:rsidP="005C20E5">
            <w:pPr>
              <w:keepNext/>
              <w:keepLines/>
              <w:widowControl w:val="0"/>
              <w:spacing w:after="0" w:line="240" w:lineRule="auto"/>
              <w:rPr>
                <w:rFonts w:eastAsia="MS Mincho" w:cs="Times New Roman"/>
                <w:sz w:val="18"/>
                <w:szCs w:val="18"/>
                <w:lang w:val="en-US" w:eastAsia="zh-CN"/>
              </w:rPr>
            </w:pPr>
            <w:r w:rsidRPr="0077619B">
              <w:rPr>
                <w:rFonts w:eastAsia="MS Mincho" w:cs="Times New Roman"/>
                <w:sz w:val="18"/>
                <w:szCs w:val="18"/>
                <w:lang w:val="en-US" w:eastAsia="zh-CN"/>
              </w:rPr>
              <w:t>ETDRS: Early Treatment Diabetic Retinopathy Study</w:t>
            </w:r>
          </w:p>
          <w:p w14:paraId="038C29A8" w14:textId="77777777" w:rsidR="005C20E5" w:rsidRPr="0077619B" w:rsidRDefault="005C20E5" w:rsidP="005C20E5">
            <w:pPr>
              <w:keepNext/>
              <w:keepLines/>
              <w:widowControl w:val="0"/>
              <w:spacing w:after="0" w:line="240" w:lineRule="auto"/>
              <w:rPr>
                <w:rFonts w:eastAsia="MS Mincho" w:cs="Times New Roman"/>
                <w:sz w:val="18"/>
                <w:szCs w:val="18"/>
                <w:lang w:val="en-US" w:eastAsia="zh-CN"/>
              </w:rPr>
            </w:pPr>
            <w:r w:rsidRPr="0077619B">
              <w:rPr>
                <w:rFonts w:eastAsia="MS Mincho" w:cs="Times New Roman"/>
                <w:sz w:val="18"/>
                <w:szCs w:val="18"/>
                <w:vertAlign w:val="superscript"/>
                <w:lang w:val="en-US" w:eastAsia="zh-CN"/>
              </w:rPr>
              <w:t>a)</w:t>
            </w:r>
            <w:r w:rsidRPr="0077619B">
              <w:rPr>
                <w:rFonts w:eastAsia="MS Mincho" w:cs="Times New Roman"/>
                <w:sz w:val="18"/>
                <w:szCs w:val="18"/>
                <w:lang w:val="en-US" w:eastAsia="zh-CN"/>
              </w:rPr>
              <w:t xml:space="preserve"> P-value referring to the non-inferiority hypothesis with a non-interiority margin of 4.0 letters</w:t>
            </w:r>
          </w:p>
          <w:p w14:paraId="3326CDC0" w14:textId="3FF136F8" w:rsidR="005C20E5" w:rsidRPr="0077619B" w:rsidRDefault="005C20E5" w:rsidP="005C20E5">
            <w:pPr>
              <w:keepNext/>
              <w:keepLines/>
              <w:widowControl w:val="0"/>
              <w:spacing w:after="0" w:line="240" w:lineRule="auto"/>
              <w:rPr>
                <w:rFonts w:eastAsia="MS Mincho" w:cs="Times New Roman"/>
                <w:sz w:val="18"/>
                <w:szCs w:val="18"/>
                <w:lang w:val="en-US" w:eastAsia="zh-CN"/>
              </w:rPr>
            </w:pPr>
            <w:r w:rsidRPr="0077619B">
              <w:rPr>
                <w:rFonts w:eastAsia="MS Mincho" w:cs="Times New Roman"/>
                <w:sz w:val="18"/>
                <w:szCs w:val="18"/>
                <w:vertAlign w:val="superscript"/>
                <w:lang w:val="en-US" w:eastAsia="zh-CN"/>
              </w:rPr>
              <w:t>b)</w:t>
            </w:r>
            <w:r w:rsidRPr="0077619B">
              <w:rPr>
                <w:rFonts w:eastAsia="MS Mincho" w:cs="Times New Roman"/>
                <w:sz w:val="18"/>
                <w:szCs w:val="18"/>
                <w:lang w:val="en-US" w:eastAsia="zh-CN"/>
              </w:rPr>
              <w:t xml:space="preserve"> Key secondary endpoint, accounting for differences in timing of </w:t>
            </w:r>
            <w:r w:rsidR="007B6410">
              <w:rPr>
                <w:rFonts w:eastAsia="MS Mincho" w:cs="Times New Roman"/>
                <w:sz w:val="18"/>
                <w:szCs w:val="18"/>
                <w:lang w:val="en-US" w:eastAsia="zh-CN"/>
              </w:rPr>
              <w:t>Beovu</w:t>
            </w:r>
            <w:r w:rsidRPr="0077619B">
              <w:rPr>
                <w:rFonts w:eastAsia="MS Mincho" w:cs="Times New Roman"/>
                <w:sz w:val="18"/>
                <w:szCs w:val="18"/>
                <w:lang w:val="en-US" w:eastAsia="zh-CN"/>
              </w:rPr>
              <w:t xml:space="preserve"> and aflibercept treatments</w:t>
            </w:r>
          </w:p>
        </w:tc>
      </w:tr>
    </w:tbl>
    <w:p w14:paraId="33BE1868" w14:textId="3E90084F" w:rsidR="005C20E5" w:rsidRPr="0077619B" w:rsidRDefault="005C20E5" w:rsidP="005C20E5">
      <w:pPr>
        <w:rPr>
          <w:lang w:val="en-GB"/>
        </w:rPr>
      </w:pPr>
    </w:p>
    <w:p w14:paraId="369BA221" w14:textId="77777777" w:rsidR="005C20E5" w:rsidRPr="0077619B" w:rsidRDefault="005C20E5">
      <w:pPr>
        <w:rPr>
          <w:lang w:val="en-GB"/>
        </w:rPr>
      </w:pPr>
      <w:r w:rsidRPr="0077619B">
        <w:rPr>
          <w:lang w:val="en-GB"/>
        </w:rPr>
        <w:br w:type="page"/>
      </w:r>
    </w:p>
    <w:p w14:paraId="524C91F2" w14:textId="06AF079A" w:rsidR="008F012A" w:rsidRPr="0077619B" w:rsidRDefault="008F012A" w:rsidP="005C20E5">
      <w:pPr>
        <w:pStyle w:val="Table"/>
      </w:pPr>
      <w:r w:rsidRPr="0077619B">
        <w:lastRenderedPageBreak/>
        <w:t>Figure</w:t>
      </w:r>
      <w:r w:rsidR="005C20E5" w:rsidRPr="0077619B">
        <w:t xml:space="preserve"> </w:t>
      </w:r>
      <w:r w:rsidRPr="0077619B">
        <w:t>1</w:t>
      </w:r>
      <w:r w:rsidRPr="0077619B">
        <w:tab/>
        <w:t>Me</w:t>
      </w:r>
      <w:r w:rsidRPr="0077619B">
        <w:rPr>
          <w:rStyle w:val="TableChar"/>
          <w:b/>
          <w:bCs/>
        </w:rPr>
        <w:t>a</w:t>
      </w:r>
      <w:r w:rsidRPr="0077619B">
        <w:t>n change in visual acuity from baseline to week 96 in HAWK and HARRIER studies</w:t>
      </w:r>
    </w:p>
    <w:p w14:paraId="2EBED8A8" w14:textId="77777777" w:rsidR="005C20E5" w:rsidRPr="0077619B" w:rsidRDefault="005C20E5" w:rsidP="005C20E5">
      <w:pPr>
        <w:keepNext/>
        <w:keepLines/>
        <w:widowControl w:val="0"/>
        <w:spacing w:after="0" w:line="240" w:lineRule="auto"/>
        <w:rPr>
          <w:rFonts w:ascii="Times New Roman" w:eastAsia="Times New Roman" w:hAnsi="Times New Roman" w:cs="Times New Roman"/>
          <w:b/>
          <w:bCs/>
          <w:szCs w:val="20"/>
          <w:lang w:val="en-GB"/>
        </w:rPr>
      </w:pPr>
      <w:r w:rsidRPr="0077619B">
        <w:rPr>
          <w:rFonts w:ascii="Times New Roman" w:eastAsia="Times New Roman" w:hAnsi="Times New Roman" w:cs="Times New Roman"/>
          <w:b/>
          <w:bCs/>
          <w:szCs w:val="20"/>
          <w:lang w:val="en-GB"/>
        </w:rPr>
        <w:t>HAWK</w:t>
      </w:r>
    </w:p>
    <w:p w14:paraId="6A8A6FE2" w14:textId="77777777" w:rsidR="005C20E5" w:rsidRPr="0077619B" w:rsidRDefault="005C20E5" w:rsidP="005C20E5">
      <w:pPr>
        <w:keepNext/>
        <w:keepLines/>
        <w:widowControl w:val="0"/>
        <w:spacing w:after="0" w:line="240" w:lineRule="auto"/>
        <w:rPr>
          <w:rFonts w:ascii="Times New Roman" w:eastAsia="Times New Roman" w:hAnsi="Times New Roman" w:cs="Times New Roman"/>
          <w:bCs/>
          <w:szCs w:val="20"/>
          <w:lang w:val="en-GB"/>
        </w:rPr>
      </w:pPr>
    </w:p>
    <w:p w14:paraId="1AE2CAF8" w14:textId="737E5EF6" w:rsidR="001735AB" w:rsidRDefault="001735AB" w:rsidP="001735AB">
      <w:bookmarkStart w:id="4" w:name="_GoBack"/>
      <w:r w:rsidRPr="007265F9">
        <w:rPr>
          <w:noProof/>
          <w:vertAlign w:val="subscript"/>
          <w:lang w:eastAsia="en-AU"/>
        </w:rPr>
        <w:drawing>
          <wp:inline distT="0" distB="0" distL="0" distR="0" wp14:anchorId="0991512E" wp14:editId="5B36904D">
            <wp:extent cx="5731510" cy="3200400"/>
            <wp:effectExtent l="0" t="0" r="254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4"/>
    </w:p>
    <w:p w14:paraId="61E3EBD5" w14:textId="77777777" w:rsidR="005C20E5" w:rsidRPr="0077619B" w:rsidRDefault="005C20E5" w:rsidP="005C20E5">
      <w:pPr>
        <w:keepNext/>
        <w:keepLines/>
        <w:widowControl w:val="0"/>
        <w:spacing w:after="0" w:line="240" w:lineRule="auto"/>
        <w:rPr>
          <w:rFonts w:ascii="Times New Roman" w:eastAsia="Times New Roman" w:hAnsi="Times New Roman" w:cs="Times New Roman"/>
          <w:bCs/>
          <w:szCs w:val="20"/>
          <w:lang w:val="en-GB"/>
        </w:rPr>
      </w:pPr>
    </w:p>
    <w:p w14:paraId="189B12D5" w14:textId="77777777" w:rsidR="005C20E5" w:rsidRPr="0077619B" w:rsidRDefault="005C20E5" w:rsidP="005C20E5">
      <w:pPr>
        <w:keepNext/>
        <w:keepLines/>
        <w:widowControl w:val="0"/>
        <w:spacing w:after="0" w:line="240" w:lineRule="auto"/>
        <w:rPr>
          <w:rFonts w:ascii="Times New Roman" w:eastAsia="Times New Roman" w:hAnsi="Times New Roman" w:cs="Times New Roman"/>
          <w:b/>
          <w:bCs/>
          <w:szCs w:val="20"/>
          <w:lang w:val="en-GB"/>
        </w:rPr>
      </w:pPr>
      <w:r w:rsidRPr="0077619B">
        <w:rPr>
          <w:rFonts w:ascii="Times New Roman" w:eastAsia="Times New Roman" w:hAnsi="Times New Roman" w:cs="Times New Roman"/>
          <w:b/>
          <w:bCs/>
          <w:szCs w:val="20"/>
          <w:lang w:val="en-GB"/>
        </w:rPr>
        <w:t>HARRIER</w:t>
      </w:r>
    </w:p>
    <w:p w14:paraId="562D6605" w14:textId="77777777" w:rsidR="001735AB" w:rsidRDefault="001735AB" w:rsidP="008F012A">
      <w:pPr>
        <w:widowControl w:val="0"/>
        <w:spacing w:line="240" w:lineRule="auto"/>
      </w:pPr>
    </w:p>
    <w:p w14:paraId="124FCB52" w14:textId="1221B036" w:rsidR="008F012A" w:rsidRPr="0077619B" w:rsidRDefault="001735AB" w:rsidP="00FB4A0F">
      <w:pPr>
        <w:rPr>
          <w:lang w:val="en-US"/>
        </w:rPr>
      </w:pPr>
      <w:r w:rsidRPr="007265F9">
        <w:rPr>
          <w:noProof/>
          <w:vertAlign w:val="subscript"/>
          <w:lang w:eastAsia="en-AU"/>
        </w:rPr>
        <w:drawing>
          <wp:inline distT="0" distB="0" distL="0" distR="0" wp14:anchorId="4BD1A9D7" wp14:editId="3EBB70A4">
            <wp:extent cx="6119446"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1D7679">
        <w:t>These v</w:t>
      </w:r>
      <w:r w:rsidR="008F012A" w:rsidRPr="0077619B">
        <w:t xml:space="preserve">isual acuity gains were achieved with 56% and 51% of patients treated with </w:t>
      </w:r>
      <w:r w:rsidR="007B6410">
        <w:t>Beovu</w:t>
      </w:r>
      <w:r w:rsidR="008F012A" w:rsidRPr="0077619B">
        <w:t xml:space="preserve"> 6 mg on a 12</w:t>
      </w:r>
      <w:r w:rsidR="008F012A" w:rsidRPr="0077619B">
        <w:noBreakHyphen/>
        <w:t>weekly dosing interval at week 48, and with 45% and 39% of patients at week 96 in HAWK and HARRIER, respectively. Among patients identified as eligible for the 12</w:t>
      </w:r>
      <w:r w:rsidR="008F012A" w:rsidRPr="0077619B">
        <w:noBreakHyphen/>
        <w:t xml:space="preserve">weekly regimen during the </w:t>
      </w:r>
      <w:r w:rsidR="008F012A" w:rsidRPr="0077619B">
        <w:lastRenderedPageBreak/>
        <w:t>first 12</w:t>
      </w:r>
      <w:r w:rsidR="008F012A" w:rsidRPr="0077619B">
        <w:noBreakHyphen/>
        <w:t>week interval, 85% and 82% remained on the 12</w:t>
      </w:r>
      <w:r w:rsidR="008F012A" w:rsidRPr="0077619B">
        <w:noBreakHyphen/>
        <w:t>weekly dosing interval up to week 48. Of patients on the 12-weekly interval at week 48, 82% and 75% remained on the 12</w:t>
      </w:r>
      <w:r w:rsidR="008F012A" w:rsidRPr="0077619B">
        <w:noBreakHyphen/>
        <w:t>weekly dosing interval up to week 96.</w:t>
      </w:r>
    </w:p>
    <w:p w14:paraId="6B23C17F" w14:textId="7BF0D9A6" w:rsidR="008F012A" w:rsidRDefault="008F012A" w:rsidP="00FB4A0F">
      <w:pPr>
        <w:rPr>
          <w:lang w:val="en-US"/>
        </w:rPr>
      </w:pPr>
      <w:r w:rsidRPr="0077619B">
        <w:rPr>
          <w:lang w:val="en-US"/>
        </w:rPr>
        <w:t>Treatment effects in evaluable subgroups (e.g. age, gender, race, baseline visual acuity, baseline retinal thickness, lesion type, lesion size, fluid status) in each study were generally consistent with the results in the overall populations.</w:t>
      </w:r>
    </w:p>
    <w:p w14:paraId="66670C97" w14:textId="2B9A3D23" w:rsidR="005C20E5" w:rsidRDefault="008F012A">
      <w:pPr>
        <w:rPr>
          <w:lang w:val="en-US"/>
        </w:rPr>
      </w:pPr>
      <w:r w:rsidRPr="0077619B">
        <w:rPr>
          <w:lang w:val="en-US"/>
        </w:rPr>
        <w:t>Disease activity was assessed by changes in visual acuity and/or anatomical parameters, including CST and/or presence of IRF/SRF or sub</w:t>
      </w:r>
      <w:r w:rsidRPr="0077619B">
        <w:rPr>
          <w:lang w:val="en-US"/>
        </w:rPr>
        <w:noBreakHyphen/>
        <w:t xml:space="preserve">RPE. At week 16, when disease activity was first assessed for determining the treatment interval, statistically fewer patients showed disease activity on </w:t>
      </w:r>
      <w:r w:rsidR="004D768B">
        <w:rPr>
          <w:lang w:val="en-US"/>
        </w:rPr>
        <w:t>Beovu</w:t>
      </w:r>
      <w:r w:rsidR="004D768B" w:rsidRPr="0077619B">
        <w:rPr>
          <w:lang w:val="en-US"/>
        </w:rPr>
        <w:t xml:space="preserve"> </w:t>
      </w:r>
      <w:r w:rsidRPr="0077619B">
        <w:rPr>
          <w:lang w:val="en-US"/>
        </w:rPr>
        <w:t xml:space="preserve">6 mg compared to aflibercept </w:t>
      </w:r>
      <w:r w:rsidRPr="00DA2CF6">
        <w:rPr>
          <w:lang w:val="en-US"/>
        </w:rPr>
        <w:t>2 mg</w:t>
      </w:r>
      <w:r w:rsidR="00CD30EF" w:rsidRPr="00DA2CF6">
        <w:rPr>
          <w:lang w:val="en-US"/>
        </w:rPr>
        <w:t xml:space="preserve"> </w:t>
      </w:r>
      <w:r w:rsidR="006830F0" w:rsidRPr="00FB4A0F">
        <w:t>(</w:t>
      </w:r>
      <w:r w:rsidR="006830F0" w:rsidRPr="00FB4A0F">
        <w:rPr>
          <w:lang w:val="en-US"/>
        </w:rPr>
        <w:t xml:space="preserve">24% vs 35% in HAWK, p=0.0013; </w:t>
      </w:r>
      <w:r w:rsidR="006830F0" w:rsidRPr="00FB4A0F">
        <w:t>23% vs 32% in HARRIER, p=0.0021</w:t>
      </w:r>
      <w:r w:rsidR="008576DB" w:rsidRPr="00FB4A0F">
        <w:t>)</w:t>
      </w:r>
      <w:r w:rsidRPr="00487E85" w:rsidDel="005506D2">
        <w:rPr>
          <w:lang w:val="en-US"/>
        </w:rPr>
        <w:t>.</w:t>
      </w:r>
      <w:r w:rsidRPr="0077619B">
        <w:rPr>
          <w:lang w:val="en-US"/>
        </w:rPr>
        <w:t xml:space="preserve"> Disease activity was assessed throughout the studies. Anatomical parameters of disease activity were decreased at week 48 and at week 96 for </w:t>
      </w:r>
      <w:r w:rsidR="004D768B">
        <w:rPr>
          <w:lang w:val="en-US"/>
        </w:rPr>
        <w:t>Beovu</w:t>
      </w:r>
      <w:r w:rsidR="004D768B" w:rsidRPr="0077619B">
        <w:rPr>
          <w:lang w:val="en-US"/>
        </w:rPr>
        <w:t xml:space="preserve"> </w:t>
      </w:r>
      <w:r w:rsidRPr="0077619B">
        <w:rPr>
          <w:lang w:val="en-US"/>
        </w:rPr>
        <w:t>compared to</w:t>
      </w:r>
      <w:r w:rsidR="00DA2CF6">
        <w:rPr>
          <w:lang w:val="en-US"/>
        </w:rPr>
        <w:t xml:space="preserve"> </w:t>
      </w:r>
      <w:r w:rsidRPr="0077619B">
        <w:rPr>
          <w:lang w:val="en-US"/>
        </w:rPr>
        <w:t>aflibercept.</w:t>
      </w:r>
    </w:p>
    <w:p w14:paraId="6928E300" w14:textId="7F99D11A" w:rsidR="008F012A" w:rsidRPr="0077619B" w:rsidRDefault="008F012A">
      <w:pPr>
        <w:rPr>
          <w:noProof/>
          <w:lang w:val="en-US"/>
        </w:rPr>
      </w:pPr>
      <w:r w:rsidRPr="0077619B">
        <w:rPr>
          <w:noProof/>
          <w:lang w:val="en-US"/>
        </w:rPr>
        <w:t xml:space="preserve">In both studies, </w:t>
      </w:r>
      <w:r w:rsidR="007E5B28">
        <w:rPr>
          <w:noProof/>
          <w:lang w:val="en-US"/>
        </w:rPr>
        <w:t>Beovu</w:t>
      </w:r>
      <w:r w:rsidR="007E5B28" w:rsidRPr="0077619B">
        <w:rPr>
          <w:noProof/>
          <w:lang w:val="en-US"/>
        </w:rPr>
        <w:t xml:space="preserve"> </w:t>
      </w:r>
      <w:r w:rsidRPr="0077619B">
        <w:rPr>
          <w:noProof/>
          <w:lang w:val="en-US"/>
        </w:rPr>
        <w:t>demonstrated clinically meaningful increases from baseline in the pre</w:t>
      </w:r>
      <w:r w:rsidRPr="0077619B">
        <w:rPr>
          <w:noProof/>
          <w:lang w:val="en-US"/>
        </w:rPr>
        <w:noBreakHyphen/>
        <w:t>specified secondary efficacy endpoint of patient</w:t>
      </w:r>
      <w:r w:rsidRPr="0077619B">
        <w:rPr>
          <w:noProof/>
          <w:lang w:val="en-US"/>
        </w:rPr>
        <w:noBreakHyphen/>
        <w:t>reported outcomes, reported through the National Eye Institute Visual Function Questionnaire (NEI VFQ</w:t>
      </w:r>
      <w:r w:rsidRPr="0077619B">
        <w:rPr>
          <w:noProof/>
          <w:lang w:val="en-US"/>
        </w:rPr>
        <w:noBreakHyphen/>
        <w:t>25). The magnitude of these changes was similar to that seen in published studies, which corresponded to a 15</w:t>
      </w:r>
      <w:r w:rsidRPr="0077619B">
        <w:rPr>
          <w:noProof/>
          <w:lang w:val="en-US"/>
        </w:rPr>
        <w:noBreakHyphen/>
        <w:t>letter gain in BCVA. Patient</w:t>
      </w:r>
      <w:r w:rsidRPr="0077619B">
        <w:rPr>
          <w:noProof/>
          <w:lang w:val="en-US"/>
        </w:rPr>
        <w:noBreakHyphen/>
        <w:t>reported outcome benefits were maintained in the second year.</w:t>
      </w:r>
    </w:p>
    <w:p w14:paraId="7EB01A3C" w14:textId="1D28A0C8" w:rsidR="00DA2CF6" w:rsidRPr="00FB4A0F" w:rsidRDefault="008F012A" w:rsidP="00DA2CF6">
      <w:pPr>
        <w:rPr>
          <w:lang w:val="en-US"/>
        </w:rPr>
      </w:pPr>
      <w:r w:rsidRPr="0077619B">
        <w:rPr>
          <w:noProof/>
          <w:lang w:val="en-US"/>
        </w:rPr>
        <w:t xml:space="preserve">No clinically meaningful differences were found between </w:t>
      </w:r>
      <w:r w:rsidR="007E5B28">
        <w:rPr>
          <w:noProof/>
          <w:lang w:val="en-US"/>
        </w:rPr>
        <w:t>Beovu</w:t>
      </w:r>
      <w:r w:rsidRPr="0077619B">
        <w:rPr>
          <w:noProof/>
          <w:lang w:val="en-US"/>
        </w:rPr>
        <w:t xml:space="preserve"> and aflibercept in changes from baseline to week 48 in NEI VFQ</w:t>
      </w:r>
      <w:r w:rsidRPr="0077619B">
        <w:rPr>
          <w:noProof/>
          <w:lang w:val="en-US"/>
        </w:rPr>
        <w:noBreakHyphen/>
        <w:t>25 total score and subscales (general vision, ocular pain, near activities, distance activities, social functioning, mental health, role difficulties, dependency, driving, colour vision and peripheral vision).</w:t>
      </w:r>
    </w:p>
    <w:p w14:paraId="5EA6C0C7" w14:textId="77777777" w:rsidR="008F012A" w:rsidRPr="0077619B" w:rsidRDefault="008F012A" w:rsidP="0077619B">
      <w:pPr>
        <w:pStyle w:val="Heading5"/>
        <w:rPr>
          <w:rFonts w:eastAsia="SimSun"/>
          <w:lang w:val="en-US"/>
        </w:rPr>
      </w:pPr>
      <w:proofErr w:type="spellStart"/>
      <w:r w:rsidRPr="0077619B">
        <w:rPr>
          <w:rFonts w:eastAsia="SimSun"/>
          <w:lang w:val="en-US"/>
        </w:rPr>
        <w:t>Paediatric</w:t>
      </w:r>
      <w:proofErr w:type="spellEnd"/>
      <w:r w:rsidRPr="0077619B">
        <w:rPr>
          <w:rFonts w:eastAsia="SimSun"/>
          <w:lang w:val="en-US"/>
        </w:rPr>
        <w:t xml:space="preserve"> population</w:t>
      </w:r>
    </w:p>
    <w:p w14:paraId="7EDDA275" w14:textId="41A71EB7" w:rsidR="008F012A" w:rsidRPr="0077619B" w:rsidRDefault="008F012A">
      <w:pPr>
        <w:rPr>
          <w:noProof/>
          <w:lang w:val="en-US"/>
        </w:rPr>
      </w:pPr>
      <w:r w:rsidRPr="0077619B">
        <w:t xml:space="preserve">The safety and efficacy of </w:t>
      </w:r>
      <w:r w:rsidR="007B6410">
        <w:t>Beovu</w:t>
      </w:r>
      <w:r w:rsidRPr="0077619B">
        <w:t xml:space="preserve"> in children and adolescents below 18 years of age have not been</w:t>
      </w:r>
      <w:r w:rsidR="00A62535">
        <w:t xml:space="preserve"> </w:t>
      </w:r>
      <w:r w:rsidRPr="0077619B">
        <w:t>established</w:t>
      </w:r>
      <w:r w:rsidR="00A62535">
        <w:t xml:space="preserve"> </w:t>
      </w:r>
      <w:r w:rsidRPr="0077619B">
        <w:t xml:space="preserve">(see </w:t>
      </w:r>
      <w:r w:rsidR="00BF68A8">
        <w:t>S</w:t>
      </w:r>
      <w:r w:rsidRPr="0077619B">
        <w:t xml:space="preserve">ection 4.2 </w:t>
      </w:r>
      <w:r w:rsidR="00BF68A8" w:rsidRPr="00BF68A8">
        <w:t>DOSE AND METHOD OF ADMINISTRATION</w:t>
      </w:r>
      <w:r w:rsidR="00D66030">
        <w:t xml:space="preserve"> </w:t>
      </w:r>
      <w:r w:rsidR="00D66030" w:rsidRPr="00D66030">
        <w:t>- Paedi</w:t>
      </w:r>
      <w:r w:rsidR="00D66030">
        <w:t>atric patients (below 18 years)</w:t>
      </w:r>
      <w:r w:rsidR="00BF68A8">
        <w:t xml:space="preserve"> </w:t>
      </w:r>
      <w:r w:rsidRPr="0077619B">
        <w:t>for information on paediatric use)</w:t>
      </w:r>
      <w:r w:rsidRPr="0077619B">
        <w:rPr>
          <w:lang w:val="en-US"/>
        </w:rPr>
        <w:t>.</w:t>
      </w:r>
    </w:p>
    <w:p w14:paraId="7BDC3633" w14:textId="77777777" w:rsidR="001A3992" w:rsidRPr="0077619B" w:rsidRDefault="001A3992" w:rsidP="00D45B70">
      <w:pPr>
        <w:pStyle w:val="Heading2"/>
        <w:keepNext/>
        <w:spacing w:after="240"/>
        <w:rPr>
          <w:rFonts w:cstheme="minorHAnsi"/>
          <w:lang w:val="en-US"/>
        </w:rPr>
      </w:pPr>
      <w:r w:rsidRPr="0077619B">
        <w:rPr>
          <w:rFonts w:cstheme="minorHAnsi"/>
          <w:lang w:val="en-US"/>
        </w:rPr>
        <w:t xml:space="preserve">Pharmacokinetic properties </w:t>
      </w:r>
    </w:p>
    <w:p w14:paraId="2D9FF710" w14:textId="41FC9D27" w:rsidR="00D45B70" w:rsidRPr="0077619B" w:rsidRDefault="007B6410">
      <w:pPr>
        <w:rPr>
          <w:noProof/>
          <w:lang w:val="en-US"/>
        </w:rPr>
      </w:pPr>
      <w:r>
        <w:t>Beovu</w:t>
      </w:r>
      <w:r w:rsidR="00D45B70" w:rsidRPr="0077619B">
        <w:rPr>
          <w:noProof/>
          <w:lang w:val="en-US"/>
        </w:rPr>
        <w:t xml:space="preserve"> is administered directly into the vitreous to exert local effects in the eye.</w:t>
      </w:r>
    </w:p>
    <w:p w14:paraId="6534CA69" w14:textId="77777777" w:rsidR="00D45B70" w:rsidRPr="0077619B" w:rsidRDefault="00D45B70" w:rsidP="00D45B70">
      <w:pPr>
        <w:pStyle w:val="Heading3"/>
      </w:pPr>
      <w:r w:rsidRPr="0077619B">
        <w:t>Absorption/Distribution</w:t>
      </w:r>
    </w:p>
    <w:p w14:paraId="5BEAA651" w14:textId="27E06048" w:rsidR="00D45B70" w:rsidRPr="0077619B" w:rsidRDefault="00D45B70" w:rsidP="00FB4A0F">
      <w:r w:rsidRPr="0077619B">
        <w:t xml:space="preserve">After intravitreal administration of 6 mg brolucizumab per eye to patients with </w:t>
      </w:r>
      <w:proofErr w:type="spellStart"/>
      <w:r w:rsidRPr="0077619B">
        <w:t>nAMD</w:t>
      </w:r>
      <w:proofErr w:type="spellEnd"/>
      <w:r w:rsidRPr="0077619B">
        <w:t xml:space="preserve">, the mean </w:t>
      </w:r>
      <w:proofErr w:type="spellStart"/>
      <w:r w:rsidRPr="0077619B">
        <w:t>C</w:t>
      </w:r>
      <w:r w:rsidRPr="0077619B">
        <w:rPr>
          <w:vertAlign w:val="subscript"/>
        </w:rPr>
        <w:t>max</w:t>
      </w:r>
      <w:proofErr w:type="spellEnd"/>
      <w:r w:rsidRPr="0077619B">
        <w:t xml:space="preserve"> of free brolucizumab in the plasma was 49.0 ng/</w:t>
      </w:r>
      <w:r w:rsidR="003E1DCA">
        <w:t>mL</w:t>
      </w:r>
      <w:r w:rsidRPr="0077619B">
        <w:t xml:space="preserve"> (range: 8.97 to 548 ng/</w:t>
      </w:r>
      <w:r w:rsidR="003E1DCA">
        <w:t>mL</w:t>
      </w:r>
      <w:r w:rsidRPr="0077619B">
        <w:t>) and was attained in 1 day.</w:t>
      </w:r>
    </w:p>
    <w:p w14:paraId="6B917537" w14:textId="65DA7768" w:rsidR="00D45B70" w:rsidRPr="0077619B" w:rsidRDefault="00B514E0" w:rsidP="00D45B70">
      <w:pPr>
        <w:pStyle w:val="Heading3"/>
      </w:pPr>
      <w:r>
        <w:t>Excretion</w:t>
      </w:r>
    </w:p>
    <w:p w14:paraId="3BF44710" w14:textId="77777777" w:rsidR="00D45B70" w:rsidRPr="0077619B" w:rsidRDefault="00D45B70" w:rsidP="00FB4A0F">
      <w:pPr>
        <w:rPr>
          <w:lang w:val="en-US"/>
        </w:rPr>
      </w:pPr>
      <w:r w:rsidRPr="0077619B">
        <w:rPr>
          <w:lang w:val="en-US"/>
        </w:rPr>
        <w:t>Brolucizumab is a monoclonal antibody fragment and no drug metabolism studies have been conducted. As a single</w:t>
      </w:r>
      <w:r w:rsidRPr="0077619B">
        <w:rPr>
          <w:lang w:val="en-US"/>
        </w:rPr>
        <w:noBreakHyphen/>
        <w:t>chain antibody fragment, free brolucizumab is expected to undergo elimination through both target</w:t>
      </w:r>
      <w:r w:rsidRPr="0077619B">
        <w:rPr>
          <w:lang w:val="en-US"/>
        </w:rPr>
        <w:noBreakHyphen/>
        <w:t>mediated disposition via binding to free endogenous VEGF, passive renal elimination and metabolism via proteolysis.</w:t>
      </w:r>
    </w:p>
    <w:p w14:paraId="18518E0E" w14:textId="39E4F575" w:rsidR="00D45B70" w:rsidRPr="0077619B" w:rsidRDefault="00D45B70" w:rsidP="00FB4A0F">
      <w:pPr>
        <w:rPr>
          <w:lang w:val="en-US"/>
        </w:rPr>
      </w:pPr>
      <w:r w:rsidRPr="0077619B">
        <w:rPr>
          <w:lang w:val="en-US"/>
        </w:rPr>
        <w:lastRenderedPageBreak/>
        <w:t>After intravitreal injections, brolucizumab was eliminated with an apparent systemic half</w:t>
      </w:r>
      <w:r w:rsidRPr="0077619B">
        <w:rPr>
          <w:lang w:val="en-US"/>
        </w:rPr>
        <w:noBreakHyphen/>
        <w:t>life of 4.4 days. Concentrations were generally near or below the quantitation limit (&lt;0.5 ng/</w:t>
      </w:r>
      <w:r w:rsidR="003E1DCA">
        <w:rPr>
          <w:lang w:val="en-US"/>
        </w:rPr>
        <w:t>mL</w:t>
      </w:r>
      <w:r w:rsidRPr="0077619B">
        <w:rPr>
          <w:lang w:val="en-US"/>
        </w:rPr>
        <w:t xml:space="preserve">) approximately 4 weeks after dosing in most patients. </w:t>
      </w:r>
      <w:r w:rsidR="007B6410">
        <w:rPr>
          <w:lang w:val="en-US"/>
        </w:rPr>
        <w:t>Beovu</w:t>
      </w:r>
      <w:r w:rsidRPr="0077619B">
        <w:rPr>
          <w:lang w:val="en-US"/>
        </w:rPr>
        <w:t xml:space="preserve"> did not accumulate in the serum when administered </w:t>
      </w:r>
      <w:proofErr w:type="spellStart"/>
      <w:r w:rsidRPr="0077619B">
        <w:rPr>
          <w:lang w:val="en-US"/>
        </w:rPr>
        <w:t>intravitreally</w:t>
      </w:r>
      <w:proofErr w:type="spellEnd"/>
      <w:r w:rsidRPr="0077619B">
        <w:rPr>
          <w:lang w:val="en-US"/>
        </w:rPr>
        <w:t xml:space="preserve"> every 4 weeks.</w:t>
      </w:r>
    </w:p>
    <w:p w14:paraId="6629AC1F" w14:textId="77777777" w:rsidR="00D45B70" w:rsidRPr="0077619B" w:rsidRDefault="00D45B70" w:rsidP="00D45B70">
      <w:pPr>
        <w:pStyle w:val="Heading3"/>
        <w:rPr>
          <w:noProof/>
        </w:rPr>
      </w:pPr>
      <w:r w:rsidRPr="0077619B">
        <w:rPr>
          <w:noProof/>
        </w:rPr>
        <w:t>Special populations</w:t>
      </w:r>
    </w:p>
    <w:p w14:paraId="5D3849B8" w14:textId="27134A7B" w:rsidR="00D45B70" w:rsidRPr="0077619B" w:rsidRDefault="00D45B70" w:rsidP="00D45B70">
      <w:pPr>
        <w:pStyle w:val="Heading4"/>
        <w:rPr>
          <w:noProof/>
        </w:rPr>
      </w:pPr>
      <w:r w:rsidRPr="0077619B">
        <w:rPr>
          <w:noProof/>
        </w:rPr>
        <w:t>Elderly (age</w:t>
      </w:r>
      <w:r w:rsidR="00E85B19" w:rsidRPr="0077619B">
        <w:rPr>
          <w:noProof/>
        </w:rPr>
        <w:t>d</w:t>
      </w:r>
      <w:r w:rsidRPr="0077619B">
        <w:rPr>
          <w:noProof/>
        </w:rPr>
        <w:t xml:space="preserve"> 65 years and over)</w:t>
      </w:r>
    </w:p>
    <w:p w14:paraId="5371113A" w14:textId="1FA96585" w:rsidR="00D45B70" w:rsidRPr="0077619B" w:rsidRDefault="00D45B70" w:rsidP="00FB4A0F">
      <w:pPr>
        <w:rPr>
          <w:noProof/>
        </w:rPr>
      </w:pPr>
      <w:r w:rsidRPr="0077619B">
        <w:rPr>
          <w:noProof/>
        </w:rPr>
        <w:t xml:space="preserve">In the HAWK and HARRIER clinical studies, approximately 90% (978/1,088) of patients randomised to treatment with </w:t>
      </w:r>
      <w:r w:rsidR="007B6410">
        <w:rPr>
          <w:noProof/>
        </w:rPr>
        <w:t>Beovu</w:t>
      </w:r>
      <w:r w:rsidRPr="0077619B">
        <w:rPr>
          <w:noProof/>
        </w:rPr>
        <w:t xml:space="preserve"> were ≥65 years of age and approximately 60% (648/1,088) were ≥75 years of age. No significant differences in efficacy or safety were seen with increasing age in these studies.</w:t>
      </w:r>
    </w:p>
    <w:p w14:paraId="524DA63F" w14:textId="77777777" w:rsidR="00D45B70" w:rsidRPr="0077619B" w:rsidRDefault="00D45B70" w:rsidP="00D45B70">
      <w:pPr>
        <w:pStyle w:val="Heading4"/>
        <w:rPr>
          <w:noProof/>
        </w:rPr>
      </w:pPr>
      <w:r w:rsidRPr="0077619B">
        <w:rPr>
          <w:noProof/>
        </w:rPr>
        <w:t>Race/Ethnicity</w:t>
      </w:r>
    </w:p>
    <w:p w14:paraId="07EF9163" w14:textId="77777777" w:rsidR="00D45B70" w:rsidRPr="0077619B" w:rsidRDefault="00D45B70" w:rsidP="00FB4A0F">
      <w:pPr>
        <w:rPr>
          <w:noProof/>
        </w:rPr>
      </w:pPr>
      <w:r w:rsidRPr="0077619B">
        <w:rPr>
          <w:noProof/>
        </w:rPr>
        <w:t>There were no ethnic differences in systemic pharmacokinetics following intravitreal injection in a study with 24 Caucasian and 26 Japanese patients.</w:t>
      </w:r>
    </w:p>
    <w:p w14:paraId="52863FA1" w14:textId="77777777" w:rsidR="00D45B70" w:rsidRPr="0077619B" w:rsidRDefault="00D45B70" w:rsidP="00D45B70">
      <w:pPr>
        <w:pStyle w:val="Heading4"/>
        <w:rPr>
          <w:noProof/>
        </w:rPr>
      </w:pPr>
      <w:r w:rsidRPr="0077619B">
        <w:rPr>
          <w:noProof/>
        </w:rPr>
        <w:t>Renal impairment</w:t>
      </w:r>
    </w:p>
    <w:p w14:paraId="0343D35E" w14:textId="77777777" w:rsidR="00D45B70" w:rsidRPr="0077619B" w:rsidRDefault="00D45B70" w:rsidP="00FB4A0F">
      <w:r w:rsidRPr="0077619B">
        <w:t>Mild to severe renal impairment should have no impact on the overall systemic exposure to brolucizumab, because the systemic concentration of brolucizumab is driven by the distribution from the eye rather than the elimination rate and because the systemic exposure of free brolucizumab is low.</w:t>
      </w:r>
    </w:p>
    <w:p w14:paraId="7B9B545E" w14:textId="37CF373E" w:rsidR="00D45B70" w:rsidRPr="0077619B" w:rsidRDefault="00D45B70" w:rsidP="00FB4A0F">
      <w:r w:rsidRPr="0077619B">
        <w:t xml:space="preserve">The systemic clearance of brolucizumab was evaluated in </w:t>
      </w:r>
      <w:proofErr w:type="spellStart"/>
      <w:r w:rsidRPr="0077619B">
        <w:t>nAMD</w:t>
      </w:r>
      <w:proofErr w:type="spellEnd"/>
      <w:r w:rsidRPr="0077619B">
        <w:t xml:space="preserve"> patients who had both serum brolucizumab pharmacokinetic and creatinine clearance data available. Subjects with mild (50</w:t>
      </w:r>
      <w:r w:rsidRPr="0077619B">
        <w:noBreakHyphen/>
        <w:t>79 </w:t>
      </w:r>
      <w:r w:rsidR="003E1DCA">
        <w:t>mL</w:t>
      </w:r>
      <w:r w:rsidRPr="0077619B">
        <w:t>/min [n=13]) renal impairment had mean systemic clearance rates of brolucizumab which were within 15% of the mean clearance rate for subjects with normal renal function (≥80 </w:t>
      </w:r>
      <w:r w:rsidR="003E1DCA">
        <w:t>mL</w:t>
      </w:r>
      <w:r w:rsidRPr="0077619B">
        <w:t>/min [n=25]). Patients with moderate (30</w:t>
      </w:r>
      <w:r w:rsidRPr="0077619B">
        <w:noBreakHyphen/>
        <w:t>49 </w:t>
      </w:r>
      <w:r w:rsidR="003E1DCA">
        <w:t>mL</w:t>
      </w:r>
      <w:r w:rsidRPr="0077619B">
        <w:t>/min [n=3]) renal impairment had mean systemic clearance rates of brolucizumab which were lower than patients with normal renal function but the number of patients was too low to make definitive conclusions. No patients with severe (&lt;30 </w:t>
      </w:r>
      <w:r w:rsidR="003E1DCA">
        <w:t>mL</w:t>
      </w:r>
      <w:r w:rsidRPr="0077619B">
        <w:t>/min) renal impairment were studied.</w:t>
      </w:r>
    </w:p>
    <w:p w14:paraId="5F2B60A5" w14:textId="237F84F2" w:rsidR="00D45B70" w:rsidRPr="0077619B" w:rsidRDefault="00D45B70" w:rsidP="00D45B70">
      <w:pPr>
        <w:pStyle w:val="Heading4"/>
      </w:pPr>
      <w:r w:rsidRPr="0077619B">
        <w:t>Hepatic impairment</w:t>
      </w:r>
    </w:p>
    <w:p w14:paraId="1E278564" w14:textId="03B29654" w:rsidR="00D45B70" w:rsidRPr="0077619B" w:rsidRDefault="00EB3E0B" w:rsidP="00FB4A0F">
      <w:r w:rsidRPr="00EB3E0B">
        <w:t>Brolucizumab has not been studied in patients with hepatic impairment</w:t>
      </w:r>
      <w:r>
        <w:t xml:space="preserve">. </w:t>
      </w:r>
      <w:r w:rsidR="00D45B70" w:rsidRPr="0077619B">
        <w:t>Mild to severe hepatic impairment should have no impact on the overall systemic exposure to brolucizumab, because metabolism occurs via proteolysis and does not depend on hepatic function.</w:t>
      </w:r>
    </w:p>
    <w:p w14:paraId="1A7FDB05" w14:textId="77777777" w:rsidR="001A3992" w:rsidRPr="0077619B" w:rsidRDefault="001A3992" w:rsidP="001A3992">
      <w:pPr>
        <w:pStyle w:val="Heading2"/>
        <w:spacing w:before="0" w:after="120"/>
        <w:rPr>
          <w:rFonts w:cstheme="minorHAnsi"/>
          <w:lang w:val="en-US"/>
        </w:rPr>
      </w:pPr>
      <w:r w:rsidRPr="0077619B">
        <w:rPr>
          <w:rFonts w:cstheme="minorHAnsi"/>
          <w:lang w:val="en-US"/>
        </w:rPr>
        <w:t>Preclinical safety data</w:t>
      </w:r>
    </w:p>
    <w:p w14:paraId="1E15CCCB" w14:textId="4EDB7FCC" w:rsidR="00B514E0" w:rsidRDefault="00B514E0" w:rsidP="00195BEF">
      <w:pPr>
        <w:pStyle w:val="Heading3"/>
        <w:rPr>
          <w:noProof/>
        </w:rPr>
      </w:pPr>
      <w:r>
        <w:rPr>
          <w:noProof/>
        </w:rPr>
        <w:t>Genotoxicity</w:t>
      </w:r>
    </w:p>
    <w:p w14:paraId="455E5479" w14:textId="45F0DB49" w:rsidR="00B514E0" w:rsidRPr="00B514E0" w:rsidRDefault="00B514E0">
      <w:r>
        <w:t xml:space="preserve">No studies have been conducted on the mutagenic or </w:t>
      </w:r>
      <w:proofErr w:type="spellStart"/>
      <w:r>
        <w:t>clastogenic</w:t>
      </w:r>
      <w:proofErr w:type="spellEnd"/>
      <w:r>
        <w:t xml:space="preserve"> potential of brolucizumab. Considering the monoclonal antibody nature, brolucizumab is not expected to interact directly with DNA or other chromosomal material. </w:t>
      </w:r>
    </w:p>
    <w:p w14:paraId="33A49862" w14:textId="12270052" w:rsidR="00195BEF" w:rsidRPr="0077619B" w:rsidRDefault="00195BEF" w:rsidP="00195BEF">
      <w:pPr>
        <w:pStyle w:val="Heading3"/>
        <w:rPr>
          <w:noProof/>
        </w:rPr>
      </w:pPr>
      <w:r w:rsidRPr="0077619B">
        <w:rPr>
          <w:noProof/>
        </w:rPr>
        <w:lastRenderedPageBreak/>
        <w:t xml:space="preserve">Carcinogenicity </w:t>
      </w:r>
    </w:p>
    <w:p w14:paraId="144B3B6F" w14:textId="4A1BC1BD" w:rsidR="00195BEF" w:rsidRPr="0077619B" w:rsidRDefault="00195BEF" w:rsidP="00195BEF">
      <w:pPr>
        <w:rPr>
          <w:noProof/>
        </w:rPr>
      </w:pPr>
      <w:r w:rsidRPr="0077619B">
        <w:rPr>
          <w:noProof/>
        </w:rPr>
        <w:t xml:space="preserve">No studies have been conducted on the carcinogenic potential of </w:t>
      </w:r>
      <w:r w:rsidR="00876BC9">
        <w:rPr>
          <w:noProof/>
        </w:rPr>
        <w:t>brolucizumab</w:t>
      </w:r>
      <w:r w:rsidRPr="0077619B">
        <w:rPr>
          <w:noProof/>
        </w:rPr>
        <w:t>.</w:t>
      </w:r>
    </w:p>
    <w:p w14:paraId="158F555E" w14:textId="77777777" w:rsidR="001A3992" w:rsidRPr="0077619B" w:rsidRDefault="001A3992" w:rsidP="001A3992">
      <w:pPr>
        <w:pStyle w:val="Heading1"/>
        <w:spacing w:before="0" w:after="120"/>
        <w:rPr>
          <w:rFonts w:cstheme="minorHAnsi"/>
          <w:lang w:val="en-US"/>
        </w:rPr>
      </w:pPr>
      <w:r w:rsidRPr="0077619B">
        <w:rPr>
          <w:rFonts w:cstheme="minorHAnsi"/>
          <w:lang w:val="en-US"/>
        </w:rPr>
        <w:t>Pharmaceutical particulars</w:t>
      </w:r>
    </w:p>
    <w:p w14:paraId="36CAA2D5" w14:textId="77777777" w:rsidR="001A3992" w:rsidRPr="0077619B" w:rsidRDefault="001A3992" w:rsidP="001A3992">
      <w:pPr>
        <w:pStyle w:val="Heading2"/>
        <w:spacing w:before="0" w:after="120"/>
        <w:rPr>
          <w:rFonts w:cstheme="minorHAnsi"/>
          <w:lang w:val="en-US"/>
        </w:rPr>
      </w:pPr>
      <w:r w:rsidRPr="0077619B">
        <w:rPr>
          <w:rFonts w:cstheme="minorHAnsi"/>
          <w:lang w:val="en-US"/>
        </w:rPr>
        <w:t xml:space="preserve">List of excipients </w:t>
      </w:r>
    </w:p>
    <w:p w14:paraId="49F0EEE0" w14:textId="24E12F93" w:rsidR="004B1A1B" w:rsidRPr="0077619B" w:rsidRDefault="00195BEF" w:rsidP="004B1A1B">
      <w:pPr>
        <w:keepNext/>
        <w:widowControl w:val="0"/>
        <w:numPr>
          <w:ilvl w:val="12"/>
          <w:numId w:val="0"/>
        </w:numPr>
        <w:spacing w:line="240" w:lineRule="auto"/>
        <w:ind w:right="-2"/>
        <w:rPr>
          <w:noProof/>
        </w:rPr>
      </w:pPr>
      <w:r w:rsidRPr="0077619B">
        <w:rPr>
          <w:noProof/>
        </w:rPr>
        <w:t>Sodium citrate, sucrose, polysorbate 80 and water for injections</w:t>
      </w:r>
      <w:r w:rsidR="007A0D09">
        <w:rPr>
          <w:noProof/>
        </w:rPr>
        <w:t>.</w:t>
      </w:r>
    </w:p>
    <w:p w14:paraId="1BB19FDF" w14:textId="77777777" w:rsidR="001A3992" w:rsidRPr="0077619B" w:rsidRDefault="001A3992" w:rsidP="001A3992">
      <w:pPr>
        <w:pStyle w:val="Heading2"/>
        <w:keepNext/>
        <w:keepLines/>
        <w:spacing w:before="0" w:after="120"/>
        <w:rPr>
          <w:rFonts w:cstheme="minorHAnsi"/>
          <w:lang w:val="en-US"/>
        </w:rPr>
      </w:pPr>
      <w:r w:rsidRPr="0077619B">
        <w:rPr>
          <w:rFonts w:cstheme="minorHAnsi"/>
          <w:lang w:val="en-US"/>
        </w:rPr>
        <w:t xml:space="preserve">Incompatibilities </w:t>
      </w:r>
    </w:p>
    <w:p w14:paraId="24F9AA53" w14:textId="77777777" w:rsidR="00195BEF" w:rsidRPr="0077619B" w:rsidRDefault="00195BEF">
      <w:pPr>
        <w:rPr>
          <w:noProof/>
        </w:rPr>
      </w:pPr>
      <w:r w:rsidRPr="0077619B">
        <w:rPr>
          <w:noProof/>
        </w:rPr>
        <w:t>In the absence of compatibility studies, this medicinal product must not be mixed with other medicinal products.</w:t>
      </w:r>
    </w:p>
    <w:p w14:paraId="59187CF2" w14:textId="77777777" w:rsidR="001A3992" w:rsidRPr="0077619B" w:rsidRDefault="001A3992" w:rsidP="001A3992">
      <w:pPr>
        <w:pStyle w:val="Heading2"/>
        <w:spacing w:before="0" w:after="120"/>
        <w:rPr>
          <w:rFonts w:cstheme="minorHAnsi"/>
          <w:lang w:val="en-US"/>
        </w:rPr>
      </w:pPr>
      <w:r w:rsidRPr="0077619B">
        <w:rPr>
          <w:rFonts w:cstheme="minorHAnsi"/>
          <w:lang w:val="en-US"/>
        </w:rPr>
        <w:t xml:space="preserve">Shelf life </w:t>
      </w:r>
    </w:p>
    <w:p w14:paraId="1B7E3CDD" w14:textId="77777777" w:rsidR="00497C85" w:rsidRPr="0077619B" w:rsidRDefault="00497C85">
      <w:pPr>
        <w:rPr>
          <w:lang w:val="en-US"/>
        </w:rPr>
      </w:pPr>
      <w:r w:rsidRPr="0077619B">
        <w:rPr>
          <w:lang w:val="en"/>
        </w:rPr>
        <w:t xml:space="preserve">In Australia, information on the shelf life can be found on the public summary of the Australian Register of Therapeutic Goods (ARTG). The expiry date can be found on the packaging. </w:t>
      </w:r>
    </w:p>
    <w:p w14:paraId="54F1A1CE" w14:textId="77777777" w:rsidR="001A3992" w:rsidRPr="0077619B" w:rsidRDefault="001A3992" w:rsidP="001A3992">
      <w:pPr>
        <w:pStyle w:val="Heading2"/>
        <w:keepNext/>
        <w:keepLines/>
        <w:spacing w:before="0" w:after="120"/>
        <w:rPr>
          <w:rFonts w:cstheme="minorHAnsi"/>
          <w:lang w:val="en-US"/>
        </w:rPr>
      </w:pPr>
      <w:r w:rsidRPr="0077619B">
        <w:rPr>
          <w:rFonts w:cstheme="minorHAnsi"/>
          <w:lang w:val="en-US"/>
        </w:rPr>
        <w:t xml:space="preserve">Special precautions for storage </w:t>
      </w:r>
    </w:p>
    <w:p w14:paraId="08C3CE0A" w14:textId="77777777" w:rsidR="00195BEF" w:rsidRPr="0077619B" w:rsidRDefault="00195BEF" w:rsidP="00195BEF">
      <w:pPr>
        <w:pStyle w:val="Heading3"/>
        <w:rPr>
          <w:noProof/>
          <w:lang w:val="en-US"/>
        </w:rPr>
      </w:pPr>
      <w:r w:rsidRPr="0077619B">
        <w:rPr>
          <w:noProof/>
          <w:lang w:val="en-US"/>
        </w:rPr>
        <w:t>Pre</w:t>
      </w:r>
      <w:r w:rsidRPr="0077619B">
        <w:rPr>
          <w:noProof/>
          <w:lang w:val="en-US"/>
        </w:rPr>
        <w:noBreakHyphen/>
        <w:t>filled syringe</w:t>
      </w:r>
    </w:p>
    <w:p w14:paraId="2BC3FE2F" w14:textId="77777777" w:rsidR="00195BEF" w:rsidRPr="0077619B" w:rsidRDefault="00195BEF" w:rsidP="00FB4A0F">
      <w:pPr>
        <w:rPr>
          <w:noProof/>
          <w:lang w:val="en-US"/>
        </w:rPr>
      </w:pPr>
      <w:r w:rsidRPr="0077619B">
        <w:rPr>
          <w:noProof/>
          <w:lang w:val="en-US"/>
        </w:rPr>
        <w:t>Store in a refrigerator (2°C </w:t>
      </w:r>
      <w:r w:rsidRPr="0077619B">
        <w:rPr>
          <w:noProof/>
          <w:lang w:val="en-US"/>
        </w:rPr>
        <w:noBreakHyphen/>
        <w:t> 8°C</w:t>
      </w:r>
      <w:r w:rsidRPr="0077619B">
        <w:rPr>
          <w:rFonts w:ascii="Cambria Math" w:eastAsia="Cambria Math" w:hAnsi="Cambria Math" w:cs="Cambria Math"/>
        </w:rPr>
        <w:t>)</w:t>
      </w:r>
      <w:r w:rsidRPr="0077619B">
        <w:rPr>
          <w:noProof/>
          <w:lang w:val="en-US"/>
        </w:rPr>
        <w:t>.</w:t>
      </w:r>
    </w:p>
    <w:p w14:paraId="18FB1FE7" w14:textId="77777777" w:rsidR="00195BEF" w:rsidRPr="0077619B" w:rsidRDefault="00195BEF" w:rsidP="00FB4A0F">
      <w:pPr>
        <w:rPr>
          <w:noProof/>
          <w:lang w:val="en-US"/>
        </w:rPr>
      </w:pPr>
      <w:r w:rsidRPr="0077619B">
        <w:rPr>
          <w:noProof/>
          <w:lang w:val="en-US"/>
        </w:rPr>
        <w:t>Do not freeze.</w:t>
      </w:r>
    </w:p>
    <w:p w14:paraId="750397B0" w14:textId="77777777" w:rsidR="00195BEF" w:rsidRPr="0077619B" w:rsidRDefault="00195BEF" w:rsidP="00FB4A0F">
      <w:pPr>
        <w:rPr>
          <w:noProof/>
          <w:lang w:val="en-US"/>
        </w:rPr>
      </w:pPr>
      <w:r w:rsidRPr="0077619B">
        <w:rPr>
          <w:noProof/>
          <w:lang w:val="en-US"/>
        </w:rPr>
        <w:t>Prior to use, the unopened blister may be kept at room temperature (25°C) for up to 24 hours.</w:t>
      </w:r>
    </w:p>
    <w:p w14:paraId="25DF32AD" w14:textId="77777777" w:rsidR="00195BEF" w:rsidRDefault="00195BEF" w:rsidP="00FB4A0F">
      <w:pPr>
        <w:rPr>
          <w:noProof/>
          <w:lang w:val="en-US"/>
        </w:rPr>
      </w:pPr>
      <w:r w:rsidRPr="0077619B">
        <w:rPr>
          <w:noProof/>
          <w:lang w:val="en-US"/>
        </w:rPr>
        <w:t>Keep the pre</w:t>
      </w:r>
      <w:r w:rsidRPr="0077619B">
        <w:rPr>
          <w:noProof/>
          <w:lang w:val="en-US"/>
        </w:rPr>
        <w:noBreakHyphen/>
        <w:t>filled syringe in its sealed blister and in the outer carton in order to protect from light.</w:t>
      </w:r>
    </w:p>
    <w:p w14:paraId="377FBD23" w14:textId="77777777" w:rsidR="00B37C5A" w:rsidRPr="00B37C5A" w:rsidRDefault="00B37C5A" w:rsidP="00FB4A0F">
      <w:pPr>
        <w:rPr>
          <w:noProof/>
          <w:lang w:val="en-US"/>
        </w:rPr>
      </w:pPr>
      <w:r w:rsidRPr="00B37C5A">
        <w:rPr>
          <w:noProof/>
          <w:lang w:val="en-US"/>
        </w:rPr>
        <w:t>Refer to pre-filled syringe for expiry date.</w:t>
      </w:r>
    </w:p>
    <w:p w14:paraId="3A87CA79" w14:textId="25E456FD" w:rsidR="00B37C5A" w:rsidRPr="00B37C5A" w:rsidRDefault="007B6410">
      <w:pPr>
        <w:rPr>
          <w:noProof/>
          <w:lang w:val="en-US"/>
        </w:rPr>
      </w:pPr>
      <w:r>
        <w:rPr>
          <w:noProof/>
          <w:lang w:val="en-US"/>
        </w:rPr>
        <w:t>Beovu</w:t>
      </w:r>
      <w:r w:rsidR="00B37C5A" w:rsidRPr="00B37C5A">
        <w:rPr>
          <w:noProof/>
          <w:lang w:val="en-US"/>
        </w:rPr>
        <w:t xml:space="preserve"> must be kept out of the reach and sight of children.</w:t>
      </w:r>
    </w:p>
    <w:p w14:paraId="0790923D" w14:textId="77777777" w:rsidR="00195BEF" w:rsidRPr="0077619B" w:rsidRDefault="00195BEF" w:rsidP="00195BEF">
      <w:pPr>
        <w:pStyle w:val="Heading3"/>
        <w:rPr>
          <w:noProof/>
        </w:rPr>
      </w:pPr>
      <w:r w:rsidRPr="0077619B">
        <w:rPr>
          <w:noProof/>
        </w:rPr>
        <w:t>Vial</w:t>
      </w:r>
    </w:p>
    <w:p w14:paraId="4C7E628A" w14:textId="77777777" w:rsidR="00195BEF" w:rsidRPr="0077619B" w:rsidRDefault="00195BEF" w:rsidP="00FB4A0F">
      <w:r w:rsidRPr="0077619B">
        <w:t>Store in a refrigerator (2°C </w:t>
      </w:r>
      <w:r w:rsidRPr="0077619B">
        <w:noBreakHyphen/>
        <w:t> 8°C</w:t>
      </w:r>
      <w:r w:rsidRPr="0077619B">
        <w:rPr>
          <w:rFonts w:ascii="Cambria Math" w:eastAsia="Cambria Math" w:hAnsi="Cambria Math" w:cs="Cambria Math"/>
        </w:rPr>
        <w:t>)</w:t>
      </w:r>
      <w:r w:rsidRPr="0077619B">
        <w:t>.</w:t>
      </w:r>
    </w:p>
    <w:p w14:paraId="27971F6D" w14:textId="77777777" w:rsidR="00195BEF" w:rsidRPr="0077619B" w:rsidRDefault="00195BEF" w:rsidP="00FB4A0F">
      <w:r w:rsidRPr="0077619B">
        <w:t>Do not freeze.</w:t>
      </w:r>
    </w:p>
    <w:p w14:paraId="6B9D6386" w14:textId="77777777" w:rsidR="00195BEF" w:rsidRPr="0077619B" w:rsidRDefault="00195BEF" w:rsidP="00FB4A0F">
      <w:r w:rsidRPr="0077619B">
        <w:t>Prior to use, the unopened vial may be kept at room temperature (25°C) for up to 24 hours.</w:t>
      </w:r>
    </w:p>
    <w:p w14:paraId="0FFFFE19" w14:textId="77777777" w:rsidR="00195BEF" w:rsidRDefault="00195BEF" w:rsidP="00FB4A0F">
      <w:r w:rsidRPr="0077619B">
        <w:t>Keep the vial in the outer carton in order to protect from light.</w:t>
      </w:r>
    </w:p>
    <w:p w14:paraId="05D386E1" w14:textId="77777777" w:rsidR="00B37C5A" w:rsidRPr="00B37C5A" w:rsidRDefault="00B37C5A" w:rsidP="00FB4A0F">
      <w:r w:rsidRPr="00B37C5A">
        <w:t xml:space="preserve">Refer to vial for expiry date.  </w:t>
      </w:r>
    </w:p>
    <w:p w14:paraId="1EEA2654" w14:textId="43E9EDE5" w:rsidR="00B37C5A" w:rsidRPr="0049112C" w:rsidRDefault="007B6410">
      <w:r>
        <w:t>Beovu</w:t>
      </w:r>
      <w:r w:rsidR="00B37C5A" w:rsidRPr="00B37C5A">
        <w:t xml:space="preserve"> must be kept out of the reach and sight of children.</w:t>
      </w:r>
    </w:p>
    <w:p w14:paraId="2F59B814" w14:textId="77777777" w:rsidR="001A3992" w:rsidRPr="0077619B" w:rsidRDefault="001A3992" w:rsidP="001A3992">
      <w:pPr>
        <w:pStyle w:val="Heading2"/>
        <w:spacing w:before="0" w:after="120"/>
        <w:rPr>
          <w:rFonts w:cstheme="minorHAnsi"/>
          <w:lang w:val="en-US"/>
        </w:rPr>
      </w:pPr>
      <w:r w:rsidRPr="0077619B">
        <w:rPr>
          <w:rFonts w:cstheme="minorHAnsi"/>
          <w:lang w:val="en-US"/>
        </w:rPr>
        <w:t xml:space="preserve">Nature and contents of container </w:t>
      </w:r>
    </w:p>
    <w:p w14:paraId="7519FE0E" w14:textId="77777777" w:rsidR="00195BEF" w:rsidRPr="0077619B" w:rsidRDefault="00195BEF" w:rsidP="00195BEF">
      <w:pPr>
        <w:pStyle w:val="Heading3"/>
      </w:pPr>
      <w:r w:rsidRPr="0077619B">
        <w:lastRenderedPageBreak/>
        <w:t>Pre</w:t>
      </w:r>
      <w:r w:rsidRPr="0077619B">
        <w:noBreakHyphen/>
        <w:t>filled syringe</w:t>
      </w:r>
    </w:p>
    <w:p w14:paraId="4F586127" w14:textId="53370F99" w:rsidR="00195BEF" w:rsidRPr="0077619B" w:rsidRDefault="00195BEF">
      <w:r w:rsidRPr="0077619B">
        <w:t>0.165 </w:t>
      </w:r>
      <w:r w:rsidR="003E1DCA">
        <w:t>mL</w:t>
      </w:r>
      <w:r w:rsidRPr="0077619B">
        <w:t xml:space="preserve"> sterile solution in a pre</w:t>
      </w:r>
      <w:r w:rsidRPr="0077619B">
        <w:noBreakHyphen/>
        <w:t>filled syringe consisting of a 0.5 </w:t>
      </w:r>
      <w:r w:rsidR="003E1DCA">
        <w:t>mL</w:t>
      </w:r>
      <w:r w:rsidRPr="0077619B">
        <w:t xml:space="preserve"> long clear, colourless</w:t>
      </w:r>
      <w:r w:rsidR="00F400BB">
        <w:t xml:space="preserve"> Type 1</w:t>
      </w:r>
      <w:r w:rsidRPr="0077619B">
        <w:t xml:space="preserve"> glass syringe, rubber plunger stopper, an OVS tamper</w:t>
      </w:r>
      <w:r w:rsidRPr="0077619B">
        <w:noBreakHyphen/>
        <w:t>evident closure system containing a rubber tip cap and a purple finger grip. The external surface of the pre</w:t>
      </w:r>
      <w:r w:rsidRPr="0077619B">
        <w:noBreakHyphen/>
        <w:t>filled syringe is sterile and it is packed in a transparent rigid blister.</w:t>
      </w:r>
    </w:p>
    <w:p w14:paraId="21DAA1A6" w14:textId="77777777" w:rsidR="00195BEF" w:rsidRPr="0077619B" w:rsidRDefault="00195BEF">
      <w:r w:rsidRPr="0077619B">
        <w:t>Pack size of 1 pre</w:t>
      </w:r>
      <w:r w:rsidRPr="0077619B">
        <w:noBreakHyphen/>
        <w:t>filled syringe.</w:t>
      </w:r>
    </w:p>
    <w:p w14:paraId="2C7E2869" w14:textId="77777777" w:rsidR="00195BEF" w:rsidRPr="0077619B" w:rsidRDefault="00195BEF" w:rsidP="00195BEF">
      <w:pPr>
        <w:pStyle w:val="Heading3"/>
      </w:pPr>
      <w:r w:rsidRPr="0077619B">
        <w:t>Vial</w:t>
      </w:r>
    </w:p>
    <w:p w14:paraId="1A8ABDC7" w14:textId="025E3E9F" w:rsidR="00195BEF" w:rsidRPr="0077619B" w:rsidRDefault="00195BEF">
      <w:r w:rsidRPr="0077619B">
        <w:t>0.230 </w:t>
      </w:r>
      <w:r w:rsidR="003E1DCA">
        <w:t>mL</w:t>
      </w:r>
      <w:r w:rsidRPr="0077619B">
        <w:t xml:space="preserve"> sterile solution in a </w:t>
      </w:r>
      <w:r w:rsidR="00F400BB">
        <w:t xml:space="preserve">clear Type 1 </w:t>
      </w:r>
      <w:r w:rsidRPr="0077619B">
        <w:t>glass vial with a coated rubber stopper sealed with an aluminium cap with a purple plastic flip</w:t>
      </w:r>
      <w:r w:rsidRPr="0077619B">
        <w:noBreakHyphen/>
        <w:t>off disk.</w:t>
      </w:r>
    </w:p>
    <w:p w14:paraId="11FCFFCB" w14:textId="1219D2F7" w:rsidR="00195BEF" w:rsidRPr="0077619B" w:rsidRDefault="00195BEF">
      <w:r w:rsidRPr="0077619B">
        <w:t>Pack size of 1 vial and 1 blunt filter needle (18G x 1½″, 1.2 mm x 40 mm, 5 </w:t>
      </w:r>
      <w:proofErr w:type="spellStart"/>
      <w:r w:rsidRPr="0077619B">
        <w:t>μm</w:t>
      </w:r>
      <w:proofErr w:type="spellEnd"/>
      <w:r w:rsidRPr="0077619B">
        <w:t>)</w:t>
      </w:r>
      <w:r w:rsidR="00F400BB">
        <w:t xml:space="preserve"> in a soft blister</w:t>
      </w:r>
      <w:r w:rsidRPr="0077619B">
        <w:t>.</w:t>
      </w:r>
    </w:p>
    <w:p w14:paraId="5081DD04" w14:textId="74951A0C" w:rsidR="00432FAE" w:rsidRPr="0077619B" w:rsidRDefault="00432FAE" w:rsidP="00432FAE">
      <w:pPr>
        <w:rPr>
          <w:b/>
        </w:rPr>
      </w:pPr>
      <w:r w:rsidRPr="0077619B">
        <w:rPr>
          <w:b/>
        </w:rPr>
        <w:t xml:space="preserve">Not all </w:t>
      </w:r>
      <w:r w:rsidR="00F400BB">
        <w:rPr>
          <w:b/>
        </w:rPr>
        <w:t xml:space="preserve">presentations </w:t>
      </w:r>
      <w:r w:rsidRPr="0077619B">
        <w:rPr>
          <w:b/>
        </w:rPr>
        <w:t>may be marketed.</w:t>
      </w:r>
    </w:p>
    <w:p w14:paraId="2108B075" w14:textId="77777777" w:rsidR="001A3992" w:rsidRPr="0077619B" w:rsidRDefault="001A3992" w:rsidP="001A3992">
      <w:pPr>
        <w:pStyle w:val="Heading2"/>
        <w:spacing w:before="0" w:after="120"/>
        <w:rPr>
          <w:rFonts w:cstheme="minorHAnsi"/>
          <w:lang w:val="en-US"/>
        </w:rPr>
      </w:pPr>
      <w:r w:rsidRPr="0077619B">
        <w:rPr>
          <w:rFonts w:cstheme="minorHAnsi"/>
          <w:lang w:val="en-US"/>
        </w:rPr>
        <w:t xml:space="preserve">Special precautions for disposal </w:t>
      </w:r>
    </w:p>
    <w:p w14:paraId="65662F59" w14:textId="77777777" w:rsidR="00497C85" w:rsidRPr="00FB4A0F" w:rsidRDefault="00497C85">
      <w:r w:rsidRPr="00FB4A0F">
        <w:t xml:space="preserve">In Australia, any unused medicine or waste material should be disposed of by taking to your local pharmacy. </w:t>
      </w:r>
    </w:p>
    <w:p w14:paraId="1C33680A" w14:textId="77777777" w:rsidR="001A3992" w:rsidRPr="0077619B" w:rsidRDefault="001A3992" w:rsidP="001A3992">
      <w:pPr>
        <w:pStyle w:val="Heading2"/>
        <w:spacing w:before="0" w:after="120"/>
        <w:rPr>
          <w:rFonts w:cstheme="minorHAnsi"/>
          <w:lang w:val="en-US"/>
        </w:rPr>
      </w:pPr>
      <w:r w:rsidRPr="0077619B">
        <w:rPr>
          <w:rFonts w:cstheme="minorHAnsi"/>
          <w:lang w:val="en-US"/>
        </w:rPr>
        <w:t>Physicochemical properties</w:t>
      </w:r>
    </w:p>
    <w:p w14:paraId="7C0B0734" w14:textId="77777777" w:rsidR="00A91D83" w:rsidRPr="0077619B" w:rsidRDefault="00A91D83" w:rsidP="00A91D83">
      <w:pPr>
        <w:pStyle w:val="Heading3"/>
        <w:spacing w:before="0"/>
        <w:rPr>
          <w:lang w:val="en-US"/>
        </w:rPr>
      </w:pPr>
      <w:r w:rsidRPr="0077619B">
        <w:rPr>
          <w:lang w:val="en-US"/>
        </w:rPr>
        <w:t>Chemical structure</w:t>
      </w:r>
    </w:p>
    <w:p w14:paraId="3A48C163" w14:textId="7F804C46" w:rsidR="004F0536" w:rsidRPr="0077619B" w:rsidRDefault="004F0536" w:rsidP="004F0536">
      <w:r w:rsidRPr="0077619B">
        <w:t>Brolucizumab is a humanized monoclonal single-ch</w:t>
      </w:r>
      <w:r w:rsidR="00797736">
        <w:t xml:space="preserve">ain </w:t>
      </w:r>
      <w:proofErr w:type="spellStart"/>
      <w:r w:rsidR="00797736">
        <w:t>Fv</w:t>
      </w:r>
      <w:proofErr w:type="spellEnd"/>
      <w:r w:rsidR="00797736">
        <w:t xml:space="preserve"> (</w:t>
      </w:r>
      <w:proofErr w:type="spellStart"/>
      <w:r w:rsidR="00797736">
        <w:t>scFv</w:t>
      </w:r>
      <w:proofErr w:type="spellEnd"/>
      <w:r w:rsidR="00797736">
        <w:t>) antibody fragment.</w:t>
      </w:r>
    </w:p>
    <w:p w14:paraId="68947593" w14:textId="77777777" w:rsidR="00A91D83" w:rsidRPr="0077619B" w:rsidRDefault="00A91D83" w:rsidP="00A91D83">
      <w:pPr>
        <w:pStyle w:val="Heading3"/>
        <w:spacing w:before="0"/>
        <w:rPr>
          <w:lang w:val="en-US"/>
        </w:rPr>
      </w:pPr>
      <w:r w:rsidRPr="0077619B">
        <w:rPr>
          <w:lang w:val="en-US"/>
        </w:rPr>
        <w:t>CAS number</w:t>
      </w:r>
    </w:p>
    <w:p w14:paraId="0C8EC485" w14:textId="7E2B66A3" w:rsidR="004F0536" w:rsidRPr="0077619B" w:rsidRDefault="00A91D83" w:rsidP="00A91D83">
      <w:pPr>
        <w:rPr>
          <w:lang w:val="en-US"/>
        </w:rPr>
      </w:pPr>
      <w:r w:rsidRPr="0077619B">
        <w:rPr>
          <w:lang w:val="en-US"/>
        </w:rPr>
        <w:t>1531589-13-5</w:t>
      </w:r>
    </w:p>
    <w:p w14:paraId="323B44E5" w14:textId="77777777" w:rsidR="001A3992" w:rsidRPr="0077619B" w:rsidRDefault="001A3992" w:rsidP="001A3992">
      <w:pPr>
        <w:pStyle w:val="Heading1"/>
        <w:spacing w:before="0" w:after="120"/>
        <w:rPr>
          <w:rFonts w:cstheme="minorHAnsi"/>
          <w:lang w:val="en-US"/>
        </w:rPr>
      </w:pPr>
      <w:r w:rsidRPr="0077619B">
        <w:rPr>
          <w:rFonts w:cstheme="minorHAnsi"/>
          <w:lang w:val="en-US"/>
        </w:rPr>
        <w:t>Medicine schedule (Poisons Standard)</w:t>
      </w:r>
    </w:p>
    <w:p w14:paraId="26CED717" w14:textId="77777777" w:rsidR="007E0CE5" w:rsidRPr="0077619B" w:rsidRDefault="007E0CE5" w:rsidP="007E0CE5">
      <w:r w:rsidRPr="0077619B">
        <w:t>Schedule 4 – Prescription Only Medicine.</w:t>
      </w:r>
    </w:p>
    <w:p w14:paraId="681E5549" w14:textId="77777777" w:rsidR="001A3992" w:rsidRPr="0077619B" w:rsidRDefault="001A3992" w:rsidP="001A3992">
      <w:pPr>
        <w:pStyle w:val="Heading1"/>
        <w:spacing w:before="0" w:after="120"/>
        <w:rPr>
          <w:rFonts w:cstheme="minorHAnsi"/>
          <w:lang w:val="en-US"/>
        </w:rPr>
      </w:pPr>
      <w:r w:rsidRPr="0077619B">
        <w:rPr>
          <w:rFonts w:cstheme="minorHAnsi"/>
          <w:lang w:val="en-US"/>
        </w:rPr>
        <w:t>Sponsor</w:t>
      </w:r>
    </w:p>
    <w:p w14:paraId="6EBAB9BE" w14:textId="77777777" w:rsidR="007E0CE5" w:rsidRPr="0077619B" w:rsidRDefault="007E0CE5" w:rsidP="007E0CE5">
      <w:pPr>
        <w:spacing w:after="0" w:line="240" w:lineRule="auto"/>
      </w:pPr>
      <w:r w:rsidRPr="0077619B">
        <w:t>Novartis Pharmaceuticals Australia Pty Limited</w:t>
      </w:r>
    </w:p>
    <w:p w14:paraId="0C74A144" w14:textId="77777777" w:rsidR="007E0CE5" w:rsidRPr="0077619B" w:rsidRDefault="007E0CE5" w:rsidP="007E0CE5">
      <w:pPr>
        <w:spacing w:after="0" w:line="240" w:lineRule="auto"/>
      </w:pPr>
      <w:r w:rsidRPr="0077619B">
        <w:t>ABN 18 004 244 160</w:t>
      </w:r>
    </w:p>
    <w:p w14:paraId="715B6F43" w14:textId="77777777" w:rsidR="007E0CE5" w:rsidRPr="0077619B" w:rsidRDefault="007E0CE5" w:rsidP="007E0CE5">
      <w:pPr>
        <w:spacing w:after="0" w:line="240" w:lineRule="auto"/>
      </w:pPr>
      <w:r w:rsidRPr="0077619B">
        <w:t>54 Waterloo Road</w:t>
      </w:r>
    </w:p>
    <w:p w14:paraId="5BC85B11" w14:textId="171538B9" w:rsidR="007E0CE5" w:rsidRDefault="00F400BB" w:rsidP="007E0CE5">
      <w:pPr>
        <w:spacing w:after="0" w:line="240" w:lineRule="auto"/>
      </w:pPr>
      <w:r>
        <w:t>Macquarie Park</w:t>
      </w:r>
      <w:r w:rsidR="007E0CE5" w:rsidRPr="0077619B">
        <w:t xml:space="preserve"> NSW 2113</w:t>
      </w:r>
    </w:p>
    <w:p w14:paraId="3D3C116D" w14:textId="77777777" w:rsidR="00F400BB" w:rsidRDefault="00F400BB" w:rsidP="007E0CE5">
      <w:pPr>
        <w:spacing w:after="0" w:line="240" w:lineRule="auto"/>
      </w:pPr>
      <w:r>
        <w:t xml:space="preserve">Telephone 1 800 671 203 </w:t>
      </w:r>
    </w:p>
    <w:p w14:paraId="333C2F7B" w14:textId="5CA9C83C" w:rsidR="00F400BB" w:rsidRPr="0077619B" w:rsidRDefault="00F400BB" w:rsidP="007E0CE5">
      <w:pPr>
        <w:spacing w:after="0" w:line="240" w:lineRule="auto"/>
      </w:pPr>
      <w:r>
        <w:t xml:space="preserve">Web site: </w:t>
      </w:r>
      <w:hyperlink r:id="rId15" w:history="1">
        <w:r w:rsidRPr="003D1E48">
          <w:rPr>
            <w:rStyle w:val="Hyperlink"/>
          </w:rPr>
          <w:t>www.novartis.com.au</w:t>
        </w:r>
      </w:hyperlink>
      <w:r>
        <w:t xml:space="preserve"> </w:t>
      </w:r>
    </w:p>
    <w:p w14:paraId="1DDCB75D" w14:textId="36E13352" w:rsidR="007E0CE5" w:rsidRPr="0077619B" w:rsidRDefault="005928E3" w:rsidP="007E0CE5">
      <w:pPr>
        <w:rPr>
          <w:lang w:val="en-US"/>
        </w:rPr>
      </w:pPr>
      <w:r w:rsidRPr="005928E3">
        <w:rPr>
          <w:sz w:val="24"/>
          <w:lang w:val="en-US"/>
        </w:rPr>
        <w:t>®</w:t>
      </w:r>
      <w:r w:rsidRPr="005928E3">
        <w:rPr>
          <w:lang w:val="en-US"/>
        </w:rPr>
        <w:t xml:space="preserve"> = Registered trademark</w:t>
      </w:r>
    </w:p>
    <w:p w14:paraId="37732468" w14:textId="77777777" w:rsidR="001A3992" w:rsidRPr="0077619B" w:rsidRDefault="001A3992" w:rsidP="001A3992">
      <w:pPr>
        <w:pStyle w:val="Heading1"/>
        <w:spacing w:before="0" w:after="120"/>
        <w:rPr>
          <w:rFonts w:cstheme="minorHAnsi"/>
          <w:lang w:val="en-US"/>
        </w:rPr>
      </w:pPr>
      <w:r w:rsidRPr="0077619B">
        <w:rPr>
          <w:rFonts w:cstheme="minorHAnsi"/>
          <w:lang w:val="en-US"/>
        </w:rPr>
        <w:t xml:space="preserve">Date of first approval  </w:t>
      </w:r>
    </w:p>
    <w:p w14:paraId="57487768" w14:textId="242DCD14" w:rsidR="007E0CE5" w:rsidRPr="0077619B" w:rsidRDefault="003546D6" w:rsidP="007E0CE5">
      <w:r>
        <w:t xml:space="preserve">16 </w:t>
      </w:r>
      <w:r w:rsidR="00F400BB">
        <w:t>January 2020</w:t>
      </w:r>
      <w:r w:rsidR="00EF001E" w:rsidRPr="0077619B">
        <w:t xml:space="preserve"> </w:t>
      </w:r>
    </w:p>
    <w:p w14:paraId="1219B184" w14:textId="77777777" w:rsidR="001A3992" w:rsidRPr="0077619B" w:rsidRDefault="001A3992" w:rsidP="001A3992">
      <w:pPr>
        <w:pStyle w:val="Heading1"/>
        <w:spacing w:before="0" w:after="120"/>
        <w:rPr>
          <w:rFonts w:cstheme="minorHAnsi"/>
          <w:lang w:val="en-US"/>
        </w:rPr>
      </w:pPr>
      <w:r w:rsidRPr="0077619B">
        <w:rPr>
          <w:rFonts w:cstheme="minorHAnsi"/>
          <w:lang w:val="en-US"/>
        </w:rPr>
        <w:lastRenderedPageBreak/>
        <w:t xml:space="preserve">Date of revision </w:t>
      </w:r>
    </w:p>
    <w:p w14:paraId="47A07674" w14:textId="3136DE57" w:rsidR="007E0CE5" w:rsidRPr="0077619B" w:rsidRDefault="001A50DA" w:rsidP="00FB4A0F">
      <w:r w:rsidRPr="0077619B">
        <w:t>N/A</w:t>
      </w:r>
    </w:p>
    <w:p w14:paraId="20EC987B" w14:textId="4DD9252D" w:rsidR="00F400BB" w:rsidRPr="00497C85" w:rsidRDefault="00F400BB" w:rsidP="004D768B">
      <w:pPr>
        <w:pStyle w:val="Heading2"/>
        <w:numPr>
          <w:ilvl w:val="0"/>
          <w:numId w:val="0"/>
        </w:numPr>
        <w:spacing w:before="0" w:after="120"/>
        <w:rPr>
          <w:rFonts w:cstheme="minorHAnsi"/>
          <w:lang w:val="en-US"/>
        </w:rPr>
      </w:pPr>
      <w:r w:rsidRPr="00497C85">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5244B8" w:rsidRPr="00497C85" w14:paraId="65C03A62" w14:textId="77777777" w:rsidTr="00E40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5E193143" w14:textId="77777777" w:rsidR="005244B8" w:rsidRPr="00497C85" w:rsidRDefault="005244B8" w:rsidP="00E40EDD">
            <w:pPr>
              <w:rPr>
                <w:rFonts w:cstheme="minorHAnsi"/>
                <w:sz w:val="20"/>
                <w:lang w:val="en-US"/>
              </w:rPr>
            </w:pPr>
            <w:r w:rsidRPr="00497C85">
              <w:rPr>
                <w:rFonts w:cstheme="minorHAnsi"/>
                <w:sz w:val="20"/>
                <w:lang w:val="en-US"/>
              </w:rPr>
              <w:t>Section Changed</w:t>
            </w:r>
          </w:p>
        </w:tc>
        <w:tc>
          <w:tcPr>
            <w:tcW w:w="7635" w:type="dxa"/>
            <w:shd w:val="clear" w:color="auto" w:fill="F2F2F2" w:themeFill="background1" w:themeFillShade="F2"/>
            <w:vAlign w:val="center"/>
          </w:tcPr>
          <w:p w14:paraId="0783C8EF" w14:textId="77777777" w:rsidR="005244B8" w:rsidRPr="00497C85" w:rsidRDefault="005244B8" w:rsidP="00E40EDD">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497C85">
              <w:rPr>
                <w:rFonts w:cstheme="minorHAnsi"/>
                <w:sz w:val="20"/>
                <w:lang w:val="en-US"/>
              </w:rPr>
              <w:t>Summary of new information</w:t>
            </w:r>
          </w:p>
        </w:tc>
      </w:tr>
      <w:tr w:rsidR="005244B8" w:rsidRPr="00497C85" w14:paraId="010C273A" w14:textId="77777777" w:rsidTr="00E40EDD">
        <w:tc>
          <w:tcPr>
            <w:cnfStyle w:val="001000000000" w:firstRow="0" w:lastRow="0" w:firstColumn="1" w:lastColumn="0" w:oddVBand="0" w:evenVBand="0" w:oddHBand="0" w:evenHBand="0" w:firstRowFirstColumn="0" w:firstRowLastColumn="0" w:lastRowFirstColumn="0" w:lastRowLastColumn="0"/>
            <w:tcW w:w="1371" w:type="dxa"/>
            <w:vAlign w:val="center"/>
          </w:tcPr>
          <w:p w14:paraId="1A8CBF55" w14:textId="0FE0612C" w:rsidR="005244B8" w:rsidRPr="004771F0" w:rsidRDefault="005244B8" w:rsidP="00E40EDD">
            <w:pPr>
              <w:rPr>
                <w:rFonts w:cstheme="minorBidi"/>
              </w:rPr>
            </w:pPr>
          </w:p>
        </w:tc>
        <w:tc>
          <w:tcPr>
            <w:tcW w:w="7635" w:type="dxa"/>
            <w:vAlign w:val="center"/>
          </w:tcPr>
          <w:p w14:paraId="2494F1C7" w14:textId="3E192BB3" w:rsidR="005244B8" w:rsidRPr="004771F0" w:rsidRDefault="005244B8" w:rsidP="004D768B">
            <w:pPr>
              <w:cnfStyle w:val="000000000000" w:firstRow="0" w:lastRow="0" w:firstColumn="0" w:lastColumn="0" w:oddVBand="0" w:evenVBand="0" w:oddHBand="0" w:evenHBand="0" w:firstRowFirstColumn="0" w:firstRowLastColumn="0" w:lastRowFirstColumn="0" w:lastRowLastColumn="0"/>
            </w:pPr>
          </w:p>
        </w:tc>
      </w:tr>
    </w:tbl>
    <w:p w14:paraId="1BD49A4F" w14:textId="6BFEBB3D" w:rsidR="00F400BB" w:rsidRPr="0077619B" w:rsidRDefault="00F400BB" w:rsidP="007E0CE5">
      <w:pPr>
        <w:pBdr>
          <w:bottom w:val="single" w:sz="6" w:space="1" w:color="auto"/>
        </w:pBdr>
      </w:pPr>
    </w:p>
    <w:p w14:paraId="315DB499" w14:textId="70588107" w:rsidR="007E0CE5" w:rsidRPr="006362D6" w:rsidRDefault="00D76419" w:rsidP="007E0CE5">
      <w:pPr>
        <w:spacing w:after="0" w:line="240" w:lineRule="auto"/>
      </w:pPr>
      <w:r>
        <w:t xml:space="preserve">Internal document code: </w:t>
      </w:r>
      <w:r w:rsidR="001A50DA" w:rsidRPr="0077619B">
        <w:t>b</w:t>
      </w:r>
      <w:r w:rsidR="00D1055B">
        <w:t>eo</w:t>
      </w:r>
      <w:r w:rsidR="003546D6">
        <w:t>15</w:t>
      </w:r>
      <w:r w:rsidR="003E1DCA">
        <w:t>0120</w:t>
      </w:r>
      <w:r w:rsidR="005B507D">
        <w:t>i</w:t>
      </w:r>
      <w:r w:rsidR="001A50DA" w:rsidRPr="0077619B">
        <w:t xml:space="preserve"> </w:t>
      </w:r>
      <w:r w:rsidR="007E0CE5" w:rsidRPr="0077619B">
        <w:t xml:space="preserve">based on CDS </w:t>
      </w:r>
      <w:r w:rsidR="00A91D83" w:rsidRPr="0077619B">
        <w:t>dated 11-Jan-2019</w:t>
      </w:r>
    </w:p>
    <w:p w14:paraId="72E6110B" w14:textId="77777777" w:rsidR="00960CD5" w:rsidRPr="00497C85" w:rsidRDefault="00960CD5" w:rsidP="001A3992">
      <w:pPr>
        <w:spacing w:after="120"/>
        <w:rPr>
          <w:rFonts w:asciiTheme="majorHAnsi" w:hAnsiTheme="majorHAnsi" w:cstheme="minorHAnsi"/>
        </w:rPr>
      </w:pPr>
    </w:p>
    <w:sectPr w:rsidR="00960CD5" w:rsidRPr="00497C85" w:rsidSect="00E136A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60BB4" w14:textId="77777777" w:rsidR="00F839A7" w:rsidRDefault="00F839A7" w:rsidP="001A3992">
      <w:pPr>
        <w:spacing w:after="0" w:line="240" w:lineRule="auto"/>
      </w:pPr>
      <w:r>
        <w:separator/>
      </w:r>
    </w:p>
  </w:endnote>
  <w:endnote w:type="continuationSeparator" w:id="0">
    <w:p w14:paraId="76C905AB" w14:textId="77777777" w:rsidR="00F839A7" w:rsidRDefault="00F839A7" w:rsidP="001A3992">
      <w:pPr>
        <w:spacing w:after="0" w:line="240" w:lineRule="auto"/>
      </w:pPr>
      <w:r>
        <w:continuationSeparator/>
      </w:r>
    </w:p>
  </w:endnote>
  <w:endnote w:type="continuationNotice" w:id="1">
    <w:p w14:paraId="1B58EFA0" w14:textId="77777777" w:rsidR="00F839A7" w:rsidRDefault="00F83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imes New Roman,MS Minch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72012" w14:textId="77777777" w:rsidR="00DA795E" w:rsidRDefault="00DA7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41B578ED" w14:textId="1EE99755" w:rsidR="00F839A7" w:rsidRPr="00B8074A" w:rsidRDefault="00F839A7" w:rsidP="00637401">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DA795E">
          <w:rPr>
            <w:noProof/>
            <w:sz w:val="20"/>
          </w:rPr>
          <w:t>17</w:t>
        </w:r>
        <w:r w:rsidRPr="00B807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C1C4" w14:textId="77777777" w:rsidR="00DA795E" w:rsidRDefault="00DA7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4CA86" w14:textId="77777777" w:rsidR="00F839A7" w:rsidRDefault="00F839A7" w:rsidP="001A3992">
      <w:pPr>
        <w:spacing w:after="0" w:line="240" w:lineRule="auto"/>
      </w:pPr>
      <w:r>
        <w:separator/>
      </w:r>
    </w:p>
  </w:footnote>
  <w:footnote w:type="continuationSeparator" w:id="0">
    <w:p w14:paraId="76333796" w14:textId="77777777" w:rsidR="00F839A7" w:rsidRDefault="00F839A7" w:rsidP="001A3992">
      <w:pPr>
        <w:spacing w:after="0" w:line="240" w:lineRule="auto"/>
      </w:pPr>
      <w:r>
        <w:continuationSeparator/>
      </w:r>
    </w:p>
  </w:footnote>
  <w:footnote w:type="continuationNotice" w:id="1">
    <w:p w14:paraId="6281F934" w14:textId="77777777" w:rsidR="00F839A7" w:rsidRDefault="00F839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B9793" w14:textId="77777777" w:rsidR="00DA795E" w:rsidRDefault="00DA7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DA795E" w:rsidRPr="002E7F61" w14:paraId="02975903" w14:textId="77777777" w:rsidTr="00DE12B5">
      <w:trPr>
        <w:trHeight w:val="590"/>
      </w:trPr>
      <w:tc>
        <w:tcPr>
          <w:tcW w:w="8720" w:type="dxa"/>
          <w:shd w:val="clear" w:color="auto" w:fill="E4F2E0"/>
        </w:tcPr>
        <w:p w14:paraId="1F330018" w14:textId="77777777" w:rsidR="00DA795E" w:rsidRPr="002E7F61" w:rsidRDefault="00DA795E" w:rsidP="00DA795E">
          <w:pPr>
            <w:pStyle w:val="Footer"/>
            <w:rPr>
              <w:b/>
              <w:sz w:val="18"/>
              <w:szCs w:val="18"/>
            </w:rPr>
          </w:pPr>
          <w:r w:rsidRPr="002E7F61">
            <w:rPr>
              <w:b/>
              <w:sz w:val="18"/>
              <w:szCs w:val="18"/>
            </w:rPr>
            <w:t xml:space="preserve">Attachment </w:t>
          </w:r>
          <w:r w:rsidRPr="0039313F">
            <w:rPr>
              <w:b/>
              <w:sz w:val="18"/>
              <w:szCs w:val="18"/>
            </w:rPr>
            <w:t xml:space="preserve">AusPAR </w:t>
          </w:r>
          <w:proofErr w:type="spellStart"/>
          <w:r w:rsidRPr="00751DC5">
            <w:rPr>
              <w:b/>
              <w:sz w:val="18"/>
              <w:szCs w:val="18"/>
            </w:rPr>
            <w:t>AusPAR</w:t>
          </w:r>
          <w:proofErr w:type="spellEnd"/>
          <w:r w:rsidRPr="00751DC5">
            <w:rPr>
              <w:b/>
              <w:sz w:val="18"/>
              <w:szCs w:val="18"/>
            </w:rPr>
            <w:t xml:space="preserve"> - BEOVU - brolucizumab - Novartis Pharmaceuticals Australia Pty Limited - PM-2019-00106-1-5</w:t>
          </w:r>
          <w:r>
            <w:rPr>
              <w:b/>
              <w:sz w:val="18"/>
              <w:szCs w:val="18"/>
            </w:rPr>
            <w:t xml:space="preserve"> </w:t>
          </w:r>
          <w:r w:rsidRPr="00751DC5">
            <w:rPr>
              <w:b/>
              <w:sz w:val="18"/>
              <w:szCs w:val="18"/>
            </w:rPr>
            <w:t>FINAL 14 April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512DB7F9" w14:textId="77777777" w:rsidR="00DA795E" w:rsidRDefault="00DA7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9DFE5" w14:textId="77777777" w:rsidR="00DA795E" w:rsidRDefault="00DA7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790"/>
        </w:tabs>
        <w:ind w:left="1070" w:hanging="360"/>
      </w:p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582B73"/>
    <w:multiLevelType w:val="hybridMultilevel"/>
    <w:tmpl w:val="516E7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4732E1"/>
    <w:multiLevelType w:val="hybridMultilevel"/>
    <w:tmpl w:val="27AC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B6D48"/>
    <w:multiLevelType w:val="hybridMultilevel"/>
    <w:tmpl w:val="40A8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7E1E14"/>
    <w:multiLevelType w:val="hybridMultilevel"/>
    <w:tmpl w:val="3C308BAE"/>
    <w:lvl w:ilvl="0" w:tplc="FFFFFFFF">
      <w:start w:val="1"/>
      <w:numFmt w:val="bullet"/>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728FD"/>
    <w:multiLevelType w:val="hybridMultilevel"/>
    <w:tmpl w:val="54DE1A98"/>
    <w:lvl w:ilvl="0" w:tplc="FFFFFFFF">
      <w:start w:val="1"/>
      <w:numFmt w:val="bullet"/>
      <w:lvlText w:val="-"/>
      <w:lvlJc w:val="left"/>
      <w:pPr>
        <w:ind w:left="720" w:hanging="360"/>
      </w:pPr>
    </w:lvl>
    <w:lvl w:ilvl="1" w:tplc="ABB2793C">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10"/>
  </w:num>
  <w:num w:numId="5">
    <w:abstractNumId w:val="16"/>
  </w:num>
  <w:num w:numId="6">
    <w:abstractNumId w:val="14"/>
  </w:num>
  <w:num w:numId="7">
    <w:abstractNumId w:val="12"/>
  </w:num>
  <w:num w:numId="8">
    <w:abstractNumId w:val="15"/>
  </w:num>
  <w:num w:numId="9">
    <w:abstractNumId w:val="7"/>
  </w:num>
  <w:num w:numId="10">
    <w:abstractNumId w:val="11"/>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6"/>
  </w:num>
  <w:num w:numId="21">
    <w:abstractNumId w:val="1"/>
  </w:num>
  <w:num w:numId="22">
    <w:abstractNumId w:val="4"/>
  </w:num>
  <w:num w:numId="23">
    <w:abstractNumId w:val="2"/>
  </w:num>
  <w:num w:numId="24">
    <w:abstractNumId w:val="9"/>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defaultTabStop w:val="720"/>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EA"/>
    <w:rsid w:val="00000CB6"/>
    <w:rsid w:val="000062AF"/>
    <w:rsid w:val="00015324"/>
    <w:rsid w:val="00040716"/>
    <w:rsid w:val="00050C8B"/>
    <w:rsid w:val="000544C7"/>
    <w:rsid w:val="00061D30"/>
    <w:rsid w:val="0006389B"/>
    <w:rsid w:val="00064476"/>
    <w:rsid w:val="00064C2C"/>
    <w:rsid w:val="00074608"/>
    <w:rsid w:val="00087520"/>
    <w:rsid w:val="000A6DB0"/>
    <w:rsid w:val="000B23DE"/>
    <w:rsid w:val="000B6EB8"/>
    <w:rsid w:val="000C51EA"/>
    <w:rsid w:val="000C784E"/>
    <w:rsid w:val="000D5C0E"/>
    <w:rsid w:val="000F618F"/>
    <w:rsid w:val="000F7892"/>
    <w:rsid w:val="000F7E28"/>
    <w:rsid w:val="00115C25"/>
    <w:rsid w:val="001220F3"/>
    <w:rsid w:val="00132C7F"/>
    <w:rsid w:val="00140063"/>
    <w:rsid w:val="00144A28"/>
    <w:rsid w:val="00152353"/>
    <w:rsid w:val="0016347A"/>
    <w:rsid w:val="001735AB"/>
    <w:rsid w:val="00174229"/>
    <w:rsid w:val="00177907"/>
    <w:rsid w:val="001945F5"/>
    <w:rsid w:val="00195BEF"/>
    <w:rsid w:val="0019769C"/>
    <w:rsid w:val="001A0C3C"/>
    <w:rsid w:val="001A223D"/>
    <w:rsid w:val="001A3992"/>
    <w:rsid w:val="001A4790"/>
    <w:rsid w:val="001A50DA"/>
    <w:rsid w:val="001A63CF"/>
    <w:rsid w:val="001D69C6"/>
    <w:rsid w:val="001D7679"/>
    <w:rsid w:val="001E0ADD"/>
    <w:rsid w:val="001F4841"/>
    <w:rsid w:val="00202957"/>
    <w:rsid w:val="00211375"/>
    <w:rsid w:val="00227CC5"/>
    <w:rsid w:val="00233682"/>
    <w:rsid w:val="00233D97"/>
    <w:rsid w:val="002468F0"/>
    <w:rsid w:val="0026527C"/>
    <w:rsid w:val="00270B8D"/>
    <w:rsid w:val="00272876"/>
    <w:rsid w:val="00273931"/>
    <w:rsid w:val="002833EF"/>
    <w:rsid w:val="002867D8"/>
    <w:rsid w:val="00297B2D"/>
    <w:rsid w:val="002A2626"/>
    <w:rsid w:val="002B2573"/>
    <w:rsid w:val="002B28C4"/>
    <w:rsid w:val="002B424E"/>
    <w:rsid w:val="002B5404"/>
    <w:rsid w:val="002C5E0B"/>
    <w:rsid w:val="002C7C5D"/>
    <w:rsid w:val="002D2609"/>
    <w:rsid w:val="002D3F6D"/>
    <w:rsid w:val="002E277D"/>
    <w:rsid w:val="002E75C7"/>
    <w:rsid w:val="002F13D8"/>
    <w:rsid w:val="002F3CD2"/>
    <w:rsid w:val="002F6912"/>
    <w:rsid w:val="00302748"/>
    <w:rsid w:val="003047B1"/>
    <w:rsid w:val="00305773"/>
    <w:rsid w:val="0031435A"/>
    <w:rsid w:val="003301B3"/>
    <w:rsid w:val="00331287"/>
    <w:rsid w:val="00333299"/>
    <w:rsid w:val="0034770D"/>
    <w:rsid w:val="00353499"/>
    <w:rsid w:val="003546D6"/>
    <w:rsid w:val="0037437D"/>
    <w:rsid w:val="00390EC5"/>
    <w:rsid w:val="003A253A"/>
    <w:rsid w:val="003A6F05"/>
    <w:rsid w:val="003B3242"/>
    <w:rsid w:val="003E1DCA"/>
    <w:rsid w:val="003E37CF"/>
    <w:rsid w:val="003F0BBC"/>
    <w:rsid w:val="003F1503"/>
    <w:rsid w:val="00400294"/>
    <w:rsid w:val="004032BD"/>
    <w:rsid w:val="00405991"/>
    <w:rsid w:val="0040758E"/>
    <w:rsid w:val="00425C20"/>
    <w:rsid w:val="00431ACD"/>
    <w:rsid w:val="00432FAE"/>
    <w:rsid w:val="00433B07"/>
    <w:rsid w:val="00437C80"/>
    <w:rsid w:val="00440C55"/>
    <w:rsid w:val="00443AFF"/>
    <w:rsid w:val="00445C62"/>
    <w:rsid w:val="00445D48"/>
    <w:rsid w:val="004626C4"/>
    <w:rsid w:val="00471BF3"/>
    <w:rsid w:val="004726B8"/>
    <w:rsid w:val="00480AA6"/>
    <w:rsid w:val="00487E85"/>
    <w:rsid w:val="00497C85"/>
    <w:rsid w:val="004B1A1B"/>
    <w:rsid w:val="004C3A5A"/>
    <w:rsid w:val="004C6DA8"/>
    <w:rsid w:val="004C7201"/>
    <w:rsid w:val="004D6939"/>
    <w:rsid w:val="004D768B"/>
    <w:rsid w:val="004F0536"/>
    <w:rsid w:val="004F5485"/>
    <w:rsid w:val="005050DF"/>
    <w:rsid w:val="005117D1"/>
    <w:rsid w:val="00512BA0"/>
    <w:rsid w:val="005244B8"/>
    <w:rsid w:val="005506D2"/>
    <w:rsid w:val="00550F7E"/>
    <w:rsid w:val="00551E5D"/>
    <w:rsid w:val="00566E55"/>
    <w:rsid w:val="00567FD9"/>
    <w:rsid w:val="0057691E"/>
    <w:rsid w:val="00576E30"/>
    <w:rsid w:val="00577355"/>
    <w:rsid w:val="005928E3"/>
    <w:rsid w:val="005A5296"/>
    <w:rsid w:val="005B00B0"/>
    <w:rsid w:val="005B507D"/>
    <w:rsid w:val="005B6DB1"/>
    <w:rsid w:val="005B719C"/>
    <w:rsid w:val="005C20E5"/>
    <w:rsid w:val="005C7EC5"/>
    <w:rsid w:val="005D1C1D"/>
    <w:rsid w:val="005D320B"/>
    <w:rsid w:val="005E0382"/>
    <w:rsid w:val="005E7FD9"/>
    <w:rsid w:val="005F7914"/>
    <w:rsid w:val="005F7C56"/>
    <w:rsid w:val="00602E1B"/>
    <w:rsid w:val="00614940"/>
    <w:rsid w:val="00615FDE"/>
    <w:rsid w:val="00620FFE"/>
    <w:rsid w:val="006261FD"/>
    <w:rsid w:val="00637401"/>
    <w:rsid w:val="00641FC3"/>
    <w:rsid w:val="00666DAB"/>
    <w:rsid w:val="00673B5E"/>
    <w:rsid w:val="00677840"/>
    <w:rsid w:val="006830F0"/>
    <w:rsid w:val="00690E63"/>
    <w:rsid w:val="006A2CD8"/>
    <w:rsid w:val="006A403B"/>
    <w:rsid w:val="006A5895"/>
    <w:rsid w:val="006B41D9"/>
    <w:rsid w:val="006C5D7F"/>
    <w:rsid w:val="006C77AF"/>
    <w:rsid w:val="007054B8"/>
    <w:rsid w:val="00724556"/>
    <w:rsid w:val="0073384D"/>
    <w:rsid w:val="00736F8D"/>
    <w:rsid w:val="00740FF8"/>
    <w:rsid w:val="007462FA"/>
    <w:rsid w:val="00750D76"/>
    <w:rsid w:val="0077619B"/>
    <w:rsid w:val="00781339"/>
    <w:rsid w:val="0078754B"/>
    <w:rsid w:val="00797736"/>
    <w:rsid w:val="007A0D09"/>
    <w:rsid w:val="007B51B5"/>
    <w:rsid w:val="007B6410"/>
    <w:rsid w:val="007D3705"/>
    <w:rsid w:val="007E0CE5"/>
    <w:rsid w:val="007E4387"/>
    <w:rsid w:val="007E5B28"/>
    <w:rsid w:val="007E693C"/>
    <w:rsid w:val="007F202A"/>
    <w:rsid w:val="007F6D01"/>
    <w:rsid w:val="007F7033"/>
    <w:rsid w:val="008036FA"/>
    <w:rsid w:val="00816AF4"/>
    <w:rsid w:val="00817807"/>
    <w:rsid w:val="0082327D"/>
    <w:rsid w:val="0085116A"/>
    <w:rsid w:val="008576DB"/>
    <w:rsid w:val="0085788C"/>
    <w:rsid w:val="0086037B"/>
    <w:rsid w:val="00871228"/>
    <w:rsid w:val="00876B0C"/>
    <w:rsid w:val="00876BC9"/>
    <w:rsid w:val="0087737D"/>
    <w:rsid w:val="00891297"/>
    <w:rsid w:val="008A40C8"/>
    <w:rsid w:val="008B120B"/>
    <w:rsid w:val="008B13E9"/>
    <w:rsid w:val="008B2E4C"/>
    <w:rsid w:val="008C67A3"/>
    <w:rsid w:val="008D1666"/>
    <w:rsid w:val="008D4FB2"/>
    <w:rsid w:val="008E0A9F"/>
    <w:rsid w:val="008F012A"/>
    <w:rsid w:val="00900AEA"/>
    <w:rsid w:val="0090195C"/>
    <w:rsid w:val="009024D3"/>
    <w:rsid w:val="00915021"/>
    <w:rsid w:val="00915328"/>
    <w:rsid w:val="0094727D"/>
    <w:rsid w:val="009476D7"/>
    <w:rsid w:val="00953EED"/>
    <w:rsid w:val="00960CD5"/>
    <w:rsid w:val="009813CA"/>
    <w:rsid w:val="0098500B"/>
    <w:rsid w:val="00992107"/>
    <w:rsid w:val="0099684B"/>
    <w:rsid w:val="009B7C52"/>
    <w:rsid w:val="009C441C"/>
    <w:rsid w:val="009E466C"/>
    <w:rsid w:val="009F7DA5"/>
    <w:rsid w:val="00A27BDE"/>
    <w:rsid w:val="00A35C61"/>
    <w:rsid w:val="00A47AE9"/>
    <w:rsid w:val="00A5639F"/>
    <w:rsid w:val="00A56935"/>
    <w:rsid w:val="00A605B0"/>
    <w:rsid w:val="00A62535"/>
    <w:rsid w:val="00A66BEE"/>
    <w:rsid w:val="00A8227F"/>
    <w:rsid w:val="00A844CE"/>
    <w:rsid w:val="00A87841"/>
    <w:rsid w:val="00A91D83"/>
    <w:rsid w:val="00AA1470"/>
    <w:rsid w:val="00AA393D"/>
    <w:rsid w:val="00AC135A"/>
    <w:rsid w:val="00AC1943"/>
    <w:rsid w:val="00AE41AB"/>
    <w:rsid w:val="00AE4645"/>
    <w:rsid w:val="00B014AD"/>
    <w:rsid w:val="00B22AC0"/>
    <w:rsid w:val="00B2372D"/>
    <w:rsid w:val="00B33588"/>
    <w:rsid w:val="00B34A6F"/>
    <w:rsid w:val="00B37C5A"/>
    <w:rsid w:val="00B4015A"/>
    <w:rsid w:val="00B46F2A"/>
    <w:rsid w:val="00B514E0"/>
    <w:rsid w:val="00B53A42"/>
    <w:rsid w:val="00B82C43"/>
    <w:rsid w:val="00B9754A"/>
    <w:rsid w:val="00BA4B55"/>
    <w:rsid w:val="00BB607E"/>
    <w:rsid w:val="00BC332B"/>
    <w:rsid w:val="00BD2CC6"/>
    <w:rsid w:val="00BD5B38"/>
    <w:rsid w:val="00BE1C03"/>
    <w:rsid w:val="00BF2475"/>
    <w:rsid w:val="00BF68A8"/>
    <w:rsid w:val="00C12A88"/>
    <w:rsid w:val="00C45604"/>
    <w:rsid w:val="00C51866"/>
    <w:rsid w:val="00C641B8"/>
    <w:rsid w:val="00C747B3"/>
    <w:rsid w:val="00C81848"/>
    <w:rsid w:val="00CA6CCF"/>
    <w:rsid w:val="00CB459C"/>
    <w:rsid w:val="00CB6CDC"/>
    <w:rsid w:val="00CD30EF"/>
    <w:rsid w:val="00CE04A3"/>
    <w:rsid w:val="00D1055B"/>
    <w:rsid w:val="00D24D3F"/>
    <w:rsid w:val="00D4056B"/>
    <w:rsid w:val="00D44BA0"/>
    <w:rsid w:val="00D45B70"/>
    <w:rsid w:val="00D5505C"/>
    <w:rsid w:val="00D55509"/>
    <w:rsid w:val="00D57726"/>
    <w:rsid w:val="00D65576"/>
    <w:rsid w:val="00D66030"/>
    <w:rsid w:val="00D76419"/>
    <w:rsid w:val="00D76C6C"/>
    <w:rsid w:val="00D76F95"/>
    <w:rsid w:val="00D963C9"/>
    <w:rsid w:val="00DA2CF6"/>
    <w:rsid w:val="00DA795E"/>
    <w:rsid w:val="00DB4136"/>
    <w:rsid w:val="00DE2D44"/>
    <w:rsid w:val="00DE4DE8"/>
    <w:rsid w:val="00DF5E99"/>
    <w:rsid w:val="00E136AF"/>
    <w:rsid w:val="00E40EDD"/>
    <w:rsid w:val="00E41548"/>
    <w:rsid w:val="00E43EE2"/>
    <w:rsid w:val="00E56E17"/>
    <w:rsid w:val="00E65F4D"/>
    <w:rsid w:val="00E74A14"/>
    <w:rsid w:val="00E74A56"/>
    <w:rsid w:val="00E84177"/>
    <w:rsid w:val="00E85B19"/>
    <w:rsid w:val="00E86A52"/>
    <w:rsid w:val="00E91C49"/>
    <w:rsid w:val="00EB16C5"/>
    <w:rsid w:val="00EB3E0B"/>
    <w:rsid w:val="00EC0FB0"/>
    <w:rsid w:val="00EC7A63"/>
    <w:rsid w:val="00ED0937"/>
    <w:rsid w:val="00ED3FBC"/>
    <w:rsid w:val="00EE64B0"/>
    <w:rsid w:val="00EF001E"/>
    <w:rsid w:val="00EF32F1"/>
    <w:rsid w:val="00EF34A4"/>
    <w:rsid w:val="00EF365B"/>
    <w:rsid w:val="00EF4E65"/>
    <w:rsid w:val="00F13730"/>
    <w:rsid w:val="00F13C84"/>
    <w:rsid w:val="00F400BB"/>
    <w:rsid w:val="00F4386F"/>
    <w:rsid w:val="00F542D8"/>
    <w:rsid w:val="00F659C3"/>
    <w:rsid w:val="00F72E51"/>
    <w:rsid w:val="00F839A7"/>
    <w:rsid w:val="00F9496F"/>
    <w:rsid w:val="00F963AE"/>
    <w:rsid w:val="00FA4557"/>
    <w:rsid w:val="00FB4A0F"/>
    <w:rsid w:val="00FC4894"/>
    <w:rsid w:val="00FC79E2"/>
    <w:rsid w:val="00FD3522"/>
    <w:rsid w:val="00FD3651"/>
    <w:rsid w:val="00FD7D5C"/>
    <w:rsid w:val="00FF4B98"/>
    <w:rsid w:val="42F51AA1"/>
    <w:rsid w:val="74002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742F4F1"/>
  <w15:docId w15:val="{DB6C2FB9-6F72-47F0-956E-94045EA8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5BEF"/>
    <w:pPr>
      <w:keepNext/>
      <w:keepLines/>
      <w:numPr>
        <w:numId w:val="1"/>
      </w:numPr>
      <w:spacing w:before="480" w:after="0"/>
      <w:ind w:left="431" w:hanging="431"/>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445C62"/>
    <w:pPr>
      <w:keepNext/>
      <w:keepLines/>
      <w:spacing w:before="20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45B70"/>
    <w:pPr>
      <w:keepNext/>
      <w:keepLines/>
      <w:spacing w:before="240" w:after="240"/>
      <w:outlineLvl w:val="3"/>
    </w:pPr>
    <w:rPr>
      <w:rFonts w:eastAsia="Times New Roman" w:cs="Times New Roman"/>
      <w:b/>
      <w:u w:val="single"/>
    </w:rPr>
  </w:style>
  <w:style w:type="paragraph" w:styleId="Heading5">
    <w:name w:val="heading 5"/>
    <w:basedOn w:val="Heading4"/>
    <w:next w:val="Normal"/>
    <w:link w:val="Heading5Char"/>
    <w:uiPriority w:val="9"/>
    <w:unhideWhenUsed/>
    <w:qFormat/>
    <w:rsid w:val="00D45B70"/>
    <w:pPr>
      <w:outlineLvl w:val="4"/>
    </w:pPr>
    <w:rPr>
      <w:b w:val="0"/>
      <w:i/>
    </w:rPr>
  </w:style>
  <w:style w:type="paragraph" w:styleId="Heading6">
    <w:name w:val="heading 6"/>
    <w:basedOn w:val="Heading3"/>
    <w:next w:val="Normal"/>
    <w:link w:val="Heading6Char"/>
    <w:uiPriority w:val="9"/>
    <w:unhideWhenUsed/>
    <w:qFormat/>
    <w:rsid w:val="005C20E5"/>
    <w:pPr>
      <w:outlineLvl w:val="5"/>
    </w:p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BEF"/>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445C6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45B70"/>
    <w:rPr>
      <w:rFonts w:eastAsia="Times New Roman" w:cs="Times New Roman"/>
      <w:b/>
      <w:u w:val="single"/>
    </w:rPr>
  </w:style>
  <w:style w:type="character" w:customStyle="1" w:styleId="Heading5Char">
    <w:name w:val="Heading 5 Char"/>
    <w:basedOn w:val="DefaultParagraphFont"/>
    <w:link w:val="Heading5"/>
    <w:uiPriority w:val="9"/>
    <w:rsid w:val="00D45B70"/>
    <w:rPr>
      <w:rFonts w:eastAsia="Times New Roman" w:cs="Times New Roman"/>
      <w:i/>
      <w:u w:val="single"/>
    </w:rPr>
  </w:style>
  <w:style w:type="character" w:customStyle="1" w:styleId="Heading6Char">
    <w:name w:val="Heading 6 Char"/>
    <w:basedOn w:val="DefaultParagraphFont"/>
    <w:link w:val="Heading6"/>
    <w:uiPriority w:val="9"/>
    <w:rsid w:val="005C20E5"/>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Title1">
    <w:name w:val="Title1"/>
    <w:basedOn w:val="Heading1"/>
    <w:next w:val="Normal"/>
    <w:autoRedefine/>
    <w:qFormat/>
    <w:rsid w:val="004D768B"/>
    <w:pPr>
      <w:numPr>
        <w:numId w:val="0"/>
      </w:numPr>
    </w:pPr>
    <w:rPr>
      <w:rFonts w:eastAsia="SimSun" w:cstheme="minorHAnsi"/>
    </w:rPr>
  </w:style>
  <w:style w:type="paragraph" w:customStyle="1" w:styleId="DiovanPItextstyle">
    <w:name w:val="Diovan PI text style"/>
    <w:basedOn w:val="Normal"/>
    <w:link w:val="DiovanPItextstyleChar"/>
    <w:rsid w:val="00B4015A"/>
    <w:pPr>
      <w:spacing w:after="0" w:line="320" w:lineRule="atLeast"/>
    </w:pPr>
    <w:rPr>
      <w:rFonts w:ascii="Times New Roman" w:eastAsia="Times New Roman" w:hAnsi="Times New Roman" w:cs="Times New Roman"/>
      <w:sz w:val="24"/>
      <w:szCs w:val="20"/>
    </w:rPr>
  </w:style>
  <w:style w:type="character" w:customStyle="1" w:styleId="DiovanPItextstyleChar">
    <w:name w:val="Diovan PI text style Char"/>
    <w:basedOn w:val="DefaultParagraphFont"/>
    <w:link w:val="DiovanPItextstyle"/>
    <w:rsid w:val="00B4015A"/>
    <w:rPr>
      <w:rFonts w:ascii="Times New Roman" w:eastAsia="Times New Roman" w:hAnsi="Times New Roman" w:cs="Times New Roman"/>
      <w:sz w:val="24"/>
      <w:szCs w:val="20"/>
    </w:rPr>
  </w:style>
  <w:style w:type="paragraph" w:customStyle="1" w:styleId="paragraph">
    <w:name w:val="paragraph"/>
    <w:basedOn w:val="Normal"/>
    <w:rsid w:val="00B4015A"/>
    <w:pPr>
      <w:spacing w:after="0" w:line="320" w:lineRule="atLeast"/>
    </w:pPr>
    <w:rPr>
      <w:rFonts w:ascii="Times New Roman" w:eastAsia="Times New Roman" w:hAnsi="Times New Roman" w:cs="Times New Roman"/>
      <w:sz w:val="24"/>
      <w:szCs w:val="20"/>
    </w:rPr>
  </w:style>
  <w:style w:type="paragraph" w:customStyle="1" w:styleId="PIHeading2">
    <w:name w:val="PI Heading 2"/>
    <w:basedOn w:val="Normal"/>
    <w:next w:val="Normal"/>
    <w:rsid w:val="00B4015A"/>
    <w:pPr>
      <w:spacing w:after="0" w:line="320" w:lineRule="atLeast"/>
    </w:pPr>
    <w:rPr>
      <w:rFonts w:ascii="Times New Roman" w:eastAsia="Times New Roman" w:hAnsi="Times New Roman" w:cs="Times New Roman"/>
      <w:b/>
      <w:sz w:val="30"/>
      <w:szCs w:val="20"/>
      <w:u w:val="single"/>
    </w:rPr>
  </w:style>
  <w:style w:type="paragraph" w:styleId="CommentSubject">
    <w:name w:val="annotation subject"/>
    <w:basedOn w:val="CommentText"/>
    <w:next w:val="CommentText"/>
    <w:link w:val="CommentSubjectChar"/>
    <w:uiPriority w:val="99"/>
    <w:semiHidden/>
    <w:unhideWhenUsed/>
    <w:rsid w:val="003E37CF"/>
    <w:rPr>
      <w:rFonts w:asciiTheme="minorHAnsi" w:hAnsiTheme="minorHAnsi"/>
      <w:b/>
      <w:bCs/>
    </w:rPr>
  </w:style>
  <w:style w:type="character" w:customStyle="1" w:styleId="CommentSubjectChar">
    <w:name w:val="Comment Subject Char"/>
    <w:basedOn w:val="CommentTextChar"/>
    <w:link w:val="CommentSubject"/>
    <w:uiPriority w:val="99"/>
    <w:semiHidden/>
    <w:rsid w:val="003E37CF"/>
    <w:rPr>
      <w:rFonts w:ascii="Cambria" w:hAnsi="Cambria"/>
      <w:b/>
      <w:bCs/>
      <w:sz w:val="20"/>
      <w:szCs w:val="20"/>
    </w:rPr>
  </w:style>
  <w:style w:type="paragraph" w:customStyle="1" w:styleId="Text">
    <w:name w:val="Text"/>
    <w:aliases w:val="Graphic,Graphic Char Char,Graphic Char Char Char Char Char,Graphic Char Char Char Char Char Char Char C,notic,Text_10394,non tochic,Italic,graphics"/>
    <w:basedOn w:val="Normal"/>
    <w:link w:val="TextChar"/>
    <w:qFormat/>
    <w:rsid w:val="009F7DA5"/>
    <w:pPr>
      <w:spacing w:before="120" w:after="0" w:line="240" w:lineRule="auto"/>
      <w:jc w:val="both"/>
    </w:pPr>
    <w:rPr>
      <w:rFonts w:ascii="Times New Roman" w:eastAsia="MS Mincho" w:hAnsi="Times New Roman" w:cs="Times New Roman"/>
      <w:sz w:val="24"/>
      <w:szCs w:val="20"/>
      <w:lang w:val="en-US" w:eastAsia="zh-CN"/>
    </w:rPr>
  </w:style>
  <w:style w:type="character" w:customStyle="1" w:styleId="TextChar">
    <w:name w:val="Text Char"/>
    <w:aliases w:val="Graphic Char"/>
    <w:link w:val="Text"/>
    <w:rsid w:val="009F7DA5"/>
    <w:rPr>
      <w:rFonts w:ascii="Times New Roman" w:eastAsia="MS Mincho" w:hAnsi="Times New Roman" w:cs="Times New Roman"/>
      <w:sz w:val="24"/>
      <w:szCs w:val="20"/>
      <w:lang w:val="en-US" w:eastAsia="zh-CN"/>
    </w:rPr>
  </w:style>
  <w:style w:type="paragraph" w:customStyle="1" w:styleId="Table">
    <w:name w:val="Table"/>
    <w:aliases w:val="11 pt  Bold,9 pt,9 pt Char Char,10 pt,Normal + Courier New,9pt,Table + (Latin) Courier New,Before:  0 pt,After:  0 pt,Comment + (Latin) Courier New,Not Italic,Auto,Table pt,table text 10 pt + Arial,Bold,Normal + (Latin) Arial,(Complex) Arial"/>
    <w:basedOn w:val="Heading6"/>
    <w:link w:val="TableChar"/>
    <w:qFormat/>
    <w:rsid w:val="00D45B70"/>
    <w:pPr>
      <w:ind w:left="1440" w:hanging="1440"/>
    </w:pPr>
    <w:rPr>
      <w:rFonts w:asciiTheme="minorHAnsi" w:hAnsiTheme="minorHAnsi"/>
    </w:rPr>
  </w:style>
  <w:style w:type="character" w:customStyle="1" w:styleId="TableChar">
    <w:name w:val="Table Char"/>
    <w:aliases w:val="11 pt  Bold Char,9 pt Char,9 pt Char Char Char,10 pt Char,Normal + Courier New Char,9pt Char,Table + (Latin) Courier New Char,Before:  0 pt Char,After:  0 pt Char,Comment + (Latin) Courier New Char,Not Italic Char,Auto Char,Table pt Char"/>
    <w:link w:val="Table"/>
    <w:rsid w:val="00D45B70"/>
    <w:rPr>
      <w:rFonts w:eastAsiaTheme="majorEastAsia" w:cstheme="majorBidi"/>
      <w:b/>
      <w:bCs/>
    </w:rPr>
  </w:style>
  <w:style w:type="character" w:customStyle="1" w:styleId="spellingerror">
    <w:name w:val="spellingerror"/>
    <w:rsid w:val="00CB459C"/>
  </w:style>
  <w:style w:type="paragraph" w:customStyle="1" w:styleId="Legend">
    <w:name w:val="Legend"/>
    <w:basedOn w:val="Table"/>
    <w:link w:val="LegendChar"/>
    <w:rsid w:val="008F012A"/>
  </w:style>
  <w:style w:type="character" w:customStyle="1" w:styleId="LegendChar">
    <w:name w:val="Legend Char"/>
    <w:link w:val="Legend"/>
    <w:rsid w:val="008F012A"/>
    <w:rPr>
      <w:rFonts w:ascii="Arial" w:eastAsia="MS Mincho" w:hAnsi="Arial" w:cs="Arial"/>
      <w:sz w:val="20"/>
      <w:szCs w:val="24"/>
      <w:lang w:val="en-US" w:eastAsia="zh-CN"/>
    </w:rPr>
  </w:style>
  <w:style w:type="paragraph" w:styleId="Revision">
    <w:name w:val="Revision"/>
    <w:hidden/>
    <w:uiPriority w:val="99"/>
    <w:semiHidden/>
    <w:rsid w:val="004F0536"/>
    <w:pPr>
      <w:spacing w:after="0" w:line="240" w:lineRule="auto"/>
    </w:pPr>
  </w:style>
  <w:style w:type="table" w:styleId="TableGrid">
    <w:name w:val="Table Grid"/>
    <w:basedOn w:val="TableNormal"/>
    <w:uiPriority w:val="59"/>
    <w:rsid w:val="001D7679"/>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754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8049">
      <w:bodyDiv w:val="1"/>
      <w:marLeft w:val="0"/>
      <w:marRight w:val="0"/>
      <w:marTop w:val="0"/>
      <w:marBottom w:val="0"/>
      <w:divBdr>
        <w:top w:val="none" w:sz="0" w:space="0" w:color="auto"/>
        <w:left w:val="none" w:sz="0" w:space="0" w:color="auto"/>
        <w:bottom w:val="none" w:sz="0" w:space="0" w:color="auto"/>
        <w:right w:val="none" w:sz="0" w:space="0" w:color="auto"/>
      </w:divBdr>
    </w:div>
    <w:div w:id="240793577">
      <w:bodyDiv w:val="1"/>
      <w:marLeft w:val="0"/>
      <w:marRight w:val="0"/>
      <w:marTop w:val="0"/>
      <w:marBottom w:val="0"/>
      <w:divBdr>
        <w:top w:val="none" w:sz="0" w:space="0" w:color="auto"/>
        <w:left w:val="none" w:sz="0" w:space="0" w:color="auto"/>
        <w:bottom w:val="none" w:sz="0" w:space="0" w:color="auto"/>
        <w:right w:val="none" w:sz="0" w:space="0" w:color="auto"/>
      </w:divBdr>
    </w:div>
    <w:div w:id="305664473">
      <w:bodyDiv w:val="1"/>
      <w:marLeft w:val="0"/>
      <w:marRight w:val="0"/>
      <w:marTop w:val="0"/>
      <w:marBottom w:val="0"/>
      <w:divBdr>
        <w:top w:val="none" w:sz="0" w:space="0" w:color="auto"/>
        <w:left w:val="none" w:sz="0" w:space="0" w:color="auto"/>
        <w:bottom w:val="none" w:sz="0" w:space="0" w:color="auto"/>
        <w:right w:val="none" w:sz="0" w:space="0" w:color="auto"/>
      </w:divBdr>
    </w:div>
    <w:div w:id="328294750">
      <w:bodyDiv w:val="1"/>
      <w:marLeft w:val="0"/>
      <w:marRight w:val="0"/>
      <w:marTop w:val="0"/>
      <w:marBottom w:val="0"/>
      <w:divBdr>
        <w:top w:val="none" w:sz="0" w:space="0" w:color="auto"/>
        <w:left w:val="none" w:sz="0" w:space="0" w:color="auto"/>
        <w:bottom w:val="none" w:sz="0" w:space="0" w:color="auto"/>
        <w:right w:val="none" w:sz="0" w:space="0" w:color="auto"/>
      </w:divBdr>
    </w:div>
    <w:div w:id="656999373">
      <w:bodyDiv w:val="1"/>
      <w:marLeft w:val="0"/>
      <w:marRight w:val="0"/>
      <w:marTop w:val="0"/>
      <w:marBottom w:val="0"/>
      <w:divBdr>
        <w:top w:val="none" w:sz="0" w:space="0" w:color="auto"/>
        <w:left w:val="none" w:sz="0" w:space="0" w:color="auto"/>
        <w:bottom w:val="none" w:sz="0" w:space="0" w:color="auto"/>
        <w:right w:val="none" w:sz="0" w:space="0" w:color="auto"/>
      </w:divBdr>
    </w:div>
    <w:div w:id="688801984">
      <w:bodyDiv w:val="1"/>
      <w:marLeft w:val="0"/>
      <w:marRight w:val="0"/>
      <w:marTop w:val="0"/>
      <w:marBottom w:val="0"/>
      <w:divBdr>
        <w:top w:val="none" w:sz="0" w:space="0" w:color="auto"/>
        <w:left w:val="none" w:sz="0" w:space="0" w:color="auto"/>
        <w:bottom w:val="none" w:sz="0" w:space="0" w:color="auto"/>
        <w:right w:val="none" w:sz="0" w:space="0" w:color="auto"/>
      </w:divBdr>
    </w:div>
    <w:div w:id="693967127">
      <w:bodyDiv w:val="1"/>
      <w:marLeft w:val="0"/>
      <w:marRight w:val="0"/>
      <w:marTop w:val="0"/>
      <w:marBottom w:val="0"/>
      <w:divBdr>
        <w:top w:val="none" w:sz="0" w:space="0" w:color="auto"/>
        <w:left w:val="none" w:sz="0" w:space="0" w:color="auto"/>
        <w:bottom w:val="none" w:sz="0" w:space="0" w:color="auto"/>
        <w:right w:val="none" w:sz="0" w:space="0" w:color="auto"/>
      </w:divBdr>
    </w:div>
    <w:div w:id="883178252">
      <w:bodyDiv w:val="1"/>
      <w:marLeft w:val="0"/>
      <w:marRight w:val="0"/>
      <w:marTop w:val="0"/>
      <w:marBottom w:val="0"/>
      <w:divBdr>
        <w:top w:val="none" w:sz="0" w:space="0" w:color="auto"/>
        <w:left w:val="none" w:sz="0" w:space="0" w:color="auto"/>
        <w:bottom w:val="none" w:sz="0" w:space="0" w:color="auto"/>
        <w:right w:val="none" w:sz="0" w:space="0" w:color="auto"/>
      </w:divBdr>
    </w:div>
    <w:div w:id="1080327150">
      <w:bodyDiv w:val="1"/>
      <w:marLeft w:val="0"/>
      <w:marRight w:val="0"/>
      <w:marTop w:val="0"/>
      <w:marBottom w:val="0"/>
      <w:divBdr>
        <w:top w:val="none" w:sz="0" w:space="0" w:color="auto"/>
        <w:left w:val="none" w:sz="0" w:space="0" w:color="auto"/>
        <w:bottom w:val="none" w:sz="0" w:space="0" w:color="auto"/>
        <w:right w:val="none" w:sz="0" w:space="0" w:color="auto"/>
      </w:divBdr>
    </w:div>
    <w:div w:id="1100757716">
      <w:bodyDiv w:val="1"/>
      <w:marLeft w:val="0"/>
      <w:marRight w:val="0"/>
      <w:marTop w:val="0"/>
      <w:marBottom w:val="0"/>
      <w:divBdr>
        <w:top w:val="none" w:sz="0" w:space="0" w:color="auto"/>
        <w:left w:val="none" w:sz="0" w:space="0" w:color="auto"/>
        <w:bottom w:val="none" w:sz="0" w:space="0" w:color="auto"/>
        <w:right w:val="none" w:sz="0" w:space="0" w:color="auto"/>
      </w:divBdr>
    </w:div>
    <w:div w:id="1386442336">
      <w:bodyDiv w:val="1"/>
      <w:marLeft w:val="0"/>
      <w:marRight w:val="0"/>
      <w:marTop w:val="0"/>
      <w:marBottom w:val="0"/>
      <w:divBdr>
        <w:top w:val="none" w:sz="0" w:space="0" w:color="auto"/>
        <w:left w:val="none" w:sz="0" w:space="0" w:color="auto"/>
        <w:bottom w:val="none" w:sz="0" w:space="0" w:color="auto"/>
        <w:right w:val="none" w:sz="0" w:space="0" w:color="auto"/>
      </w:divBdr>
    </w:div>
    <w:div w:id="1744066238">
      <w:bodyDiv w:val="1"/>
      <w:marLeft w:val="0"/>
      <w:marRight w:val="0"/>
      <w:marTop w:val="0"/>
      <w:marBottom w:val="0"/>
      <w:divBdr>
        <w:top w:val="none" w:sz="0" w:space="0" w:color="auto"/>
        <w:left w:val="none" w:sz="0" w:space="0" w:color="auto"/>
        <w:bottom w:val="none" w:sz="0" w:space="0" w:color="auto"/>
        <w:right w:val="none" w:sz="0" w:space="0" w:color="auto"/>
      </w:divBdr>
    </w:div>
    <w:div w:id="2002195185">
      <w:bodyDiv w:val="1"/>
      <w:marLeft w:val="0"/>
      <w:marRight w:val="0"/>
      <w:marTop w:val="0"/>
      <w:marBottom w:val="0"/>
      <w:divBdr>
        <w:top w:val="none" w:sz="0" w:space="0" w:color="auto"/>
        <w:left w:val="none" w:sz="0" w:space="0" w:color="auto"/>
        <w:bottom w:val="none" w:sz="0" w:space="0" w:color="auto"/>
        <w:right w:val="none" w:sz="0" w:space="0" w:color="auto"/>
      </w:divBdr>
    </w:div>
    <w:div w:id="21296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yperlink" Target="http://www.novartis.co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shl\Desktop\Exforge\pi-template-new-format-exforg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6151210265385"/>
          <c:y val="4.3650793650793648E-2"/>
          <c:w val="0.8221199693788277"/>
          <c:h val="0.65050243719535061"/>
        </c:manualLayout>
      </c:layout>
      <c:lineChart>
        <c:grouping val="standard"/>
        <c:varyColors val="0"/>
        <c:ser>
          <c:idx val="0"/>
          <c:order val="0"/>
          <c:tx>
            <c:strRef>
              <c:f>Sheet1!$B$1</c:f>
              <c:strCache>
                <c:ptCount val="1"/>
                <c:pt idx="0">
                  <c:v>Beovu 6 mg (n=360)</c:v>
                </c:pt>
              </c:strCache>
            </c:strRef>
          </c:tx>
          <c:spPr>
            <a:ln w="12700" cap="rnd">
              <a:solidFill>
                <a:schemeClr val="tx1"/>
              </a:solidFill>
              <a:round/>
            </a:ln>
            <a:effectLst/>
          </c:spPr>
          <c:marker>
            <c:symbol val="diamond"/>
            <c:size val="8"/>
            <c:spPr>
              <a:solidFill>
                <a:schemeClr val="tx1"/>
              </a:solidFill>
              <a:ln w="9525">
                <a:noFill/>
              </a:ln>
              <a:effectLst/>
            </c:spPr>
          </c:marker>
          <c:cat>
            <c:numRef>
              <c:f>Sheet1!$A$2:$A$26</c:f>
              <c:numCache>
                <c:formatCode>General</c:formatCode>
                <c:ptCount val="25"/>
                <c:pt idx="0">
                  <c:v>0</c:v>
                </c:pt>
                <c:pt idx="1">
                  <c:v>4</c:v>
                </c:pt>
                <c:pt idx="2">
                  <c:v>8</c:v>
                </c:pt>
                <c:pt idx="3">
                  <c:v>12</c:v>
                </c:pt>
                <c:pt idx="4">
                  <c:v>16</c:v>
                </c:pt>
                <c:pt idx="5">
                  <c:v>20</c:v>
                </c:pt>
                <c:pt idx="6">
                  <c:v>24</c:v>
                </c:pt>
                <c:pt idx="7">
                  <c:v>28</c:v>
                </c:pt>
                <c:pt idx="8">
                  <c:v>32</c:v>
                </c:pt>
                <c:pt idx="9">
                  <c:v>36</c:v>
                </c:pt>
                <c:pt idx="10">
                  <c:v>40</c:v>
                </c:pt>
                <c:pt idx="11">
                  <c:v>44</c:v>
                </c:pt>
                <c:pt idx="12">
                  <c:v>48</c:v>
                </c:pt>
                <c:pt idx="13">
                  <c:v>52</c:v>
                </c:pt>
                <c:pt idx="14">
                  <c:v>56</c:v>
                </c:pt>
                <c:pt idx="15">
                  <c:v>60</c:v>
                </c:pt>
                <c:pt idx="16">
                  <c:v>64</c:v>
                </c:pt>
                <c:pt idx="17">
                  <c:v>68</c:v>
                </c:pt>
                <c:pt idx="18">
                  <c:v>72</c:v>
                </c:pt>
                <c:pt idx="19">
                  <c:v>76</c:v>
                </c:pt>
                <c:pt idx="20">
                  <c:v>80</c:v>
                </c:pt>
                <c:pt idx="21">
                  <c:v>84</c:v>
                </c:pt>
                <c:pt idx="22">
                  <c:v>88</c:v>
                </c:pt>
                <c:pt idx="23">
                  <c:v>92</c:v>
                </c:pt>
                <c:pt idx="24">
                  <c:v>96</c:v>
                </c:pt>
              </c:numCache>
            </c:numRef>
          </c:cat>
          <c:val>
            <c:numRef>
              <c:f>Sheet1!$B$2:$B$26</c:f>
              <c:numCache>
                <c:formatCode>General</c:formatCode>
                <c:ptCount val="25"/>
                <c:pt idx="0">
                  <c:v>0</c:v>
                </c:pt>
                <c:pt idx="1">
                  <c:v>3.9</c:v>
                </c:pt>
                <c:pt idx="2">
                  <c:v>5.7</c:v>
                </c:pt>
                <c:pt idx="3">
                  <c:v>6.2</c:v>
                </c:pt>
                <c:pt idx="4">
                  <c:v>6.5</c:v>
                </c:pt>
                <c:pt idx="5">
                  <c:v>6.4</c:v>
                </c:pt>
                <c:pt idx="6">
                  <c:v>6.5</c:v>
                </c:pt>
                <c:pt idx="7">
                  <c:v>6.9</c:v>
                </c:pt>
                <c:pt idx="8">
                  <c:v>7</c:v>
                </c:pt>
                <c:pt idx="9">
                  <c:v>6.7</c:v>
                </c:pt>
                <c:pt idx="10">
                  <c:v>6.8</c:v>
                </c:pt>
                <c:pt idx="11">
                  <c:v>6.8</c:v>
                </c:pt>
                <c:pt idx="12">
                  <c:v>6.6</c:v>
                </c:pt>
                <c:pt idx="13">
                  <c:v>6.4</c:v>
                </c:pt>
                <c:pt idx="14">
                  <c:v>6.3</c:v>
                </c:pt>
                <c:pt idx="15">
                  <c:v>6.4</c:v>
                </c:pt>
                <c:pt idx="16">
                  <c:v>6.3</c:v>
                </c:pt>
                <c:pt idx="17">
                  <c:v>6.2</c:v>
                </c:pt>
                <c:pt idx="18">
                  <c:v>5.8</c:v>
                </c:pt>
                <c:pt idx="19">
                  <c:v>6.1</c:v>
                </c:pt>
                <c:pt idx="20">
                  <c:v>6.3</c:v>
                </c:pt>
                <c:pt idx="21">
                  <c:v>5.7</c:v>
                </c:pt>
                <c:pt idx="22">
                  <c:v>5.9</c:v>
                </c:pt>
                <c:pt idx="23">
                  <c:v>6</c:v>
                </c:pt>
                <c:pt idx="24">
                  <c:v>5.9</c:v>
                </c:pt>
              </c:numCache>
            </c:numRef>
          </c:val>
          <c:smooth val="0"/>
          <c:extLst>
            <c:ext xmlns:c16="http://schemas.microsoft.com/office/drawing/2014/chart" uri="{C3380CC4-5D6E-409C-BE32-E72D297353CC}">
              <c16:uniqueId val="{00000000-6C49-4D77-BA83-A4600501C328}"/>
            </c:ext>
          </c:extLst>
        </c:ser>
        <c:ser>
          <c:idx val="1"/>
          <c:order val="1"/>
          <c:tx>
            <c:strRef>
              <c:f>Sheet1!$C$1</c:f>
              <c:strCache>
                <c:ptCount val="1"/>
                <c:pt idx="0">
                  <c:v>aflibercept 2 mg (n=360)</c:v>
                </c:pt>
              </c:strCache>
            </c:strRef>
          </c:tx>
          <c:spPr>
            <a:ln w="12700" cap="rnd">
              <a:solidFill>
                <a:schemeClr val="bg1">
                  <a:lumMod val="75000"/>
                </a:schemeClr>
              </a:solidFill>
              <a:round/>
            </a:ln>
            <a:effectLst/>
          </c:spPr>
          <c:marker>
            <c:symbol val="square"/>
            <c:size val="6"/>
            <c:spPr>
              <a:solidFill>
                <a:schemeClr val="bg1">
                  <a:lumMod val="75000"/>
                </a:schemeClr>
              </a:solidFill>
              <a:ln w="9525">
                <a:solidFill>
                  <a:schemeClr val="bg1">
                    <a:lumMod val="75000"/>
                  </a:schemeClr>
                </a:solidFill>
              </a:ln>
              <a:effectLst/>
            </c:spPr>
          </c:marker>
          <c:dPt>
            <c:idx val="4"/>
            <c:marker>
              <c:symbol val="square"/>
              <c:size val="6"/>
              <c:spPr>
                <a:solidFill>
                  <a:schemeClr val="bg1">
                    <a:lumMod val="75000"/>
                  </a:schemeClr>
                </a:solidFill>
                <a:ln w="9525">
                  <a:solidFill>
                    <a:schemeClr val="bg1">
                      <a:lumMod val="75000"/>
                    </a:schemeClr>
                  </a:solidFill>
                </a:ln>
                <a:effectLst/>
              </c:spPr>
            </c:marker>
            <c:bubble3D val="0"/>
            <c:spPr>
              <a:ln w="12700" cap="rnd">
                <a:solidFill>
                  <a:schemeClr val="bg1">
                    <a:lumMod val="75000"/>
                  </a:schemeClr>
                </a:solidFill>
                <a:round/>
              </a:ln>
              <a:effectLst/>
            </c:spPr>
            <c:extLst>
              <c:ext xmlns:c16="http://schemas.microsoft.com/office/drawing/2014/chart" uri="{C3380CC4-5D6E-409C-BE32-E72D297353CC}">
                <c16:uniqueId val="{00000002-6C49-4D77-BA83-A4600501C328}"/>
              </c:ext>
            </c:extLst>
          </c:dPt>
          <c:dPt>
            <c:idx val="24"/>
            <c:marker>
              <c:symbol val="square"/>
              <c:size val="6"/>
              <c:spPr>
                <a:solidFill>
                  <a:schemeClr val="bg1">
                    <a:lumMod val="75000"/>
                  </a:schemeClr>
                </a:solidFill>
                <a:ln w="9525">
                  <a:solidFill>
                    <a:schemeClr val="bg1">
                      <a:lumMod val="75000"/>
                    </a:schemeClr>
                  </a:solidFill>
                </a:ln>
                <a:effectLst/>
              </c:spPr>
            </c:marker>
            <c:bubble3D val="0"/>
            <c:spPr>
              <a:ln w="12700" cap="rnd">
                <a:solidFill>
                  <a:schemeClr val="bg1">
                    <a:lumMod val="75000"/>
                  </a:schemeClr>
                </a:solidFill>
                <a:round/>
              </a:ln>
              <a:effectLst/>
            </c:spPr>
            <c:extLst>
              <c:ext xmlns:c16="http://schemas.microsoft.com/office/drawing/2014/chart" uri="{C3380CC4-5D6E-409C-BE32-E72D297353CC}">
                <c16:uniqueId val="{00000004-6C49-4D77-BA83-A4600501C328}"/>
              </c:ext>
            </c:extLst>
          </c:dPt>
          <c:cat>
            <c:numRef>
              <c:f>Sheet1!$A$2:$A$26</c:f>
              <c:numCache>
                <c:formatCode>General</c:formatCode>
                <c:ptCount val="25"/>
                <c:pt idx="0">
                  <c:v>0</c:v>
                </c:pt>
                <c:pt idx="1">
                  <c:v>4</c:v>
                </c:pt>
                <c:pt idx="2">
                  <c:v>8</c:v>
                </c:pt>
                <c:pt idx="3">
                  <c:v>12</c:v>
                </c:pt>
                <c:pt idx="4">
                  <c:v>16</c:v>
                </c:pt>
                <c:pt idx="5">
                  <c:v>20</c:v>
                </c:pt>
                <c:pt idx="6">
                  <c:v>24</c:v>
                </c:pt>
                <c:pt idx="7">
                  <c:v>28</c:v>
                </c:pt>
                <c:pt idx="8">
                  <c:v>32</c:v>
                </c:pt>
                <c:pt idx="9">
                  <c:v>36</c:v>
                </c:pt>
                <c:pt idx="10">
                  <c:v>40</c:v>
                </c:pt>
                <c:pt idx="11">
                  <c:v>44</c:v>
                </c:pt>
                <c:pt idx="12">
                  <c:v>48</c:v>
                </c:pt>
                <c:pt idx="13">
                  <c:v>52</c:v>
                </c:pt>
                <c:pt idx="14">
                  <c:v>56</c:v>
                </c:pt>
                <c:pt idx="15">
                  <c:v>60</c:v>
                </c:pt>
                <c:pt idx="16">
                  <c:v>64</c:v>
                </c:pt>
                <c:pt idx="17">
                  <c:v>68</c:v>
                </c:pt>
                <c:pt idx="18">
                  <c:v>72</c:v>
                </c:pt>
                <c:pt idx="19">
                  <c:v>76</c:v>
                </c:pt>
                <c:pt idx="20">
                  <c:v>80</c:v>
                </c:pt>
                <c:pt idx="21">
                  <c:v>84</c:v>
                </c:pt>
                <c:pt idx="22">
                  <c:v>88</c:v>
                </c:pt>
                <c:pt idx="23">
                  <c:v>92</c:v>
                </c:pt>
                <c:pt idx="24">
                  <c:v>96</c:v>
                </c:pt>
              </c:numCache>
            </c:numRef>
          </c:cat>
          <c:val>
            <c:numRef>
              <c:f>Sheet1!$C$2:$C$26</c:f>
              <c:numCache>
                <c:formatCode>General</c:formatCode>
                <c:ptCount val="25"/>
                <c:pt idx="0">
                  <c:v>0</c:v>
                </c:pt>
                <c:pt idx="1">
                  <c:v>4</c:v>
                </c:pt>
                <c:pt idx="2">
                  <c:v>5.9</c:v>
                </c:pt>
                <c:pt idx="3">
                  <c:v>6.1</c:v>
                </c:pt>
                <c:pt idx="4">
                  <c:v>6</c:v>
                </c:pt>
                <c:pt idx="5">
                  <c:v>6.9</c:v>
                </c:pt>
                <c:pt idx="6">
                  <c:v>6.7</c:v>
                </c:pt>
                <c:pt idx="7">
                  <c:v>6.5</c:v>
                </c:pt>
                <c:pt idx="8">
                  <c:v>6.4</c:v>
                </c:pt>
                <c:pt idx="9">
                  <c:v>6.9</c:v>
                </c:pt>
                <c:pt idx="10">
                  <c:v>6.7</c:v>
                </c:pt>
                <c:pt idx="11">
                  <c:v>6.5</c:v>
                </c:pt>
                <c:pt idx="12">
                  <c:v>6.8</c:v>
                </c:pt>
                <c:pt idx="13">
                  <c:v>6.6</c:v>
                </c:pt>
                <c:pt idx="14">
                  <c:v>6.9</c:v>
                </c:pt>
                <c:pt idx="15">
                  <c:v>6.5</c:v>
                </c:pt>
                <c:pt idx="16">
                  <c:v>6.4</c:v>
                </c:pt>
                <c:pt idx="17">
                  <c:v>6.3</c:v>
                </c:pt>
                <c:pt idx="18">
                  <c:v>6</c:v>
                </c:pt>
                <c:pt idx="19">
                  <c:v>6.1</c:v>
                </c:pt>
                <c:pt idx="20">
                  <c:v>5.6</c:v>
                </c:pt>
                <c:pt idx="21">
                  <c:v>5.4</c:v>
                </c:pt>
                <c:pt idx="22">
                  <c:v>5.6</c:v>
                </c:pt>
                <c:pt idx="23">
                  <c:v>5.7</c:v>
                </c:pt>
                <c:pt idx="24">
                  <c:v>5.3</c:v>
                </c:pt>
              </c:numCache>
            </c:numRef>
          </c:val>
          <c:smooth val="0"/>
          <c:extLst>
            <c:ext xmlns:c16="http://schemas.microsoft.com/office/drawing/2014/chart" uri="{C3380CC4-5D6E-409C-BE32-E72D297353CC}">
              <c16:uniqueId val="{00000005-6C49-4D77-BA83-A4600501C328}"/>
            </c:ext>
          </c:extLst>
        </c:ser>
        <c:dLbls>
          <c:showLegendKey val="0"/>
          <c:showVal val="0"/>
          <c:showCatName val="0"/>
          <c:showSerName val="0"/>
          <c:showPercent val="0"/>
          <c:showBubbleSize val="0"/>
        </c:dLbls>
        <c:marker val="1"/>
        <c:smooth val="0"/>
        <c:axId val="966258784"/>
        <c:axId val="966247856"/>
      </c:lineChart>
      <c:catAx>
        <c:axId val="96625878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baseline="0">
                    <a:solidFill>
                      <a:sysClr val="windowText" lastClr="000000"/>
                    </a:solidFill>
                  </a:rPr>
                  <a:t>Time (weeks)</a:t>
                </a:r>
              </a:p>
            </c:rich>
          </c:tx>
          <c:layout>
            <c:manualLayout>
              <c:xMode val="edge"/>
              <c:yMode val="edge"/>
              <c:x val="0.45091334937299504"/>
              <c:y val="0.790178102737157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66247856"/>
        <c:crosses val="autoZero"/>
        <c:auto val="1"/>
        <c:lblAlgn val="ctr"/>
        <c:lblOffset val="100"/>
        <c:tickMarkSkip val="4"/>
        <c:noMultiLvlLbl val="0"/>
      </c:catAx>
      <c:valAx>
        <c:axId val="966247856"/>
        <c:scaling>
          <c:orientation val="minMax"/>
          <c:max val="10"/>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baseline="0">
                    <a:solidFill>
                      <a:sysClr val="windowText" lastClr="000000"/>
                    </a:solidFill>
                  </a:rPr>
                  <a:t>VA change from baseline (letters) </a:t>
                </a:r>
              </a:p>
            </c:rich>
          </c:tx>
          <c:layout>
            <c:manualLayout>
              <c:xMode val="edge"/>
              <c:yMode val="edge"/>
              <c:x val="3.193277923592884E-2"/>
              <c:y val="0.127542807149106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66258784"/>
        <c:crosses val="autoZero"/>
        <c:crossBetween val="midCat"/>
        <c:majorUnit val="1"/>
        <c:minorUnit val="0.5"/>
      </c:valAx>
      <c:spPr>
        <a:noFill/>
        <a:ln>
          <a:noFill/>
        </a:ln>
        <a:effectLst/>
      </c:spPr>
    </c:plotArea>
    <c:legend>
      <c:legendPos val="b"/>
      <c:layout>
        <c:manualLayout>
          <c:xMode val="edge"/>
          <c:yMode val="edge"/>
          <c:x val="0.25505468066491693"/>
          <c:y val="0.9092257217847769"/>
          <c:w val="0.58711286089238846"/>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6151210265385"/>
          <c:y val="4.3650793650793648E-2"/>
          <c:w val="0.8221199693788277"/>
          <c:h val="0.65050243719535061"/>
        </c:manualLayout>
      </c:layout>
      <c:lineChart>
        <c:grouping val="standard"/>
        <c:varyColors val="0"/>
        <c:ser>
          <c:idx val="0"/>
          <c:order val="0"/>
          <c:tx>
            <c:strRef>
              <c:f>Sheet1!$B$1</c:f>
              <c:strCache>
                <c:ptCount val="1"/>
                <c:pt idx="0">
                  <c:v>Beovu 6 mg (n=370)</c:v>
                </c:pt>
              </c:strCache>
            </c:strRef>
          </c:tx>
          <c:spPr>
            <a:ln w="12700" cap="rnd">
              <a:solidFill>
                <a:schemeClr val="tx1"/>
              </a:solidFill>
              <a:round/>
            </a:ln>
            <a:effectLst/>
          </c:spPr>
          <c:marker>
            <c:symbol val="diamond"/>
            <c:size val="8"/>
            <c:spPr>
              <a:solidFill>
                <a:schemeClr val="tx1"/>
              </a:solidFill>
              <a:ln w="9525">
                <a:noFill/>
              </a:ln>
              <a:effectLst/>
            </c:spPr>
          </c:marker>
          <c:cat>
            <c:numRef>
              <c:f>Sheet1!$A$2:$A$26</c:f>
              <c:numCache>
                <c:formatCode>General</c:formatCode>
                <c:ptCount val="25"/>
                <c:pt idx="0">
                  <c:v>0</c:v>
                </c:pt>
                <c:pt idx="1">
                  <c:v>4</c:v>
                </c:pt>
                <c:pt idx="2">
                  <c:v>8</c:v>
                </c:pt>
                <c:pt idx="3">
                  <c:v>12</c:v>
                </c:pt>
                <c:pt idx="4">
                  <c:v>16</c:v>
                </c:pt>
                <c:pt idx="5">
                  <c:v>20</c:v>
                </c:pt>
                <c:pt idx="6">
                  <c:v>24</c:v>
                </c:pt>
                <c:pt idx="7">
                  <c:v>28</c:v>
                </c:pt>
                <c:pt idx="8">
                  <c:v>32</c:v>
                </c:pt>
                <c:pt idx="9">
                  <c:v>36</c:v>
                </c:pt>
                <c:pt idx="10">
                  <c:v>40</c:v>
                </c:pt>
                <c:pt idx="11">
                  <c:v>44</c:v>
                </c:pt>
                <c:pt idx="12">
                  <c:v>48</c:v>
                </c:pt>
                <c:pt idx="13">
                  <c:v>52</c:v>
                </c:pt>
                <c:pt idx="14">
                  <c:v>56</c:v>
                </c:pt>
                <c:pt idx="15">
                  <c:v>60</c:v>
                </c:pt>
                <c:pt idx="16">
                  <c:v>64</c:v>
                </c:pt>
                <c:pt idx="17">
                  <c:v>68</c:v>
                </c:pt>
                <c:pt idx="18">
                  <c:v>72</c:v>
                </c:pt>
                <c:pt idx="19">
                  <c:v>76</c:v>
                </c:pt>
                <c:pt idx="20">
                  <c:v>80</c:v>
                </c:pt>
                <c:pt idx="21">
                  <c:v>84</c:v>
                </c:pt>
                <c:pt idx="22">
                  <c:v>88</c:v>
                </c:pt>
                <c:pt idx="23">
                  <c:v>92</c:v>
                </c:pt>
                <c:pt idx="24">
                  <c:v>96</c:v>
                </c:pt>
              </c:numCache>
            </c:numRef>
          </c:cat>
          <c:val>
            <c:numRef>
              <c:f>Sheet1!$B$2:$B$26</c:f>
              <c:numCache>
                <c:formatCode>General</c:formatCode>
                <c:ptCount val="25"/>
                <c:pt idx="0">
                  <c:v>0</c:v>
                </c:pt>
                <c:pt idx="1">
                  <c:v>3.7</c:v>
                </c:pt>
                <c:pt idx="2">
                  <c:v>5</c:v>
                </c:pt>
                <c:pt idx="3">
                  <c:v>5.5</c:v>
                </c:pt>
                <c:pt idx="4">
                  <c:v>5.4</c:v>
                </c:pt>
                <c:pt idx="5">
                  <c:v>5.5</c:v>
                </c:pt>
                <c:pt idx="6">
                  <c:v>5.8</c:v>
                </c:pt>
                <c:pt idx="7">
                  <c:v>6.3</c:v>
                </c:pt>
                <c:pt idx="8">
                  <c:v>6.5</c:v>
                </c:pt>
                <c:pt idx="9">
                  <c:v>6.4</c:v>
                </c:pt>
                <c:pt idx="10">
                  <c:v>6.4</c:v>
                </c:pt>
                <c:pt idx="11">
                  <c:v>6.5</c:v>
                </c:pt>
                <c:pt idx="12">
                  <c:v>6.9</c:v>
                </c:pt>
                <c:pt idx="13">
                  <c:v>6.7</c:v>
                </c:pt>
                <c:pt idx="14">
                  <c:v>6.5</c:v>
                </c:pt>
                <c:pt idx="15">
                  <c:v>6.5</c:v>
                </c:pt>
                <c:pt idx="16">
                  <c:v>6.5</c:v>
                </c:pt>
                <c:pt idx="17">
                  <c:v>6.5</c:v>
                </c:pt>
                <c:pt idx="18">
                  <c:v>6</c:v>
                </c:pt>
                <c:pt idx="19">
                  <c:v>6.3</c:v>
                </c:pt>
                <c:pt idx="20">
                  <c:v>6.4</c:v>
                </c:pt>
                <c:pt idx="21">
                  <c:v>5.8</c:v>
                </c:pt>
                <c:pt idx="22">
                  <c:v>6.3</c:v>
                </c:pt>
                <c:pt idx="23">
                  <c:v>6.1</c:v>
                </c:pt>
                <c:pt idx="24">
                  <c:v>6.1</c:v>
                </c:pt>
              </c:numCache>
            </c:numRef>
          </c:val>
          <c:smooth val="0"/>
          <c:extLst>
            <c:ext xmlns:c16="http://schemas.microsoft.com/office/drawing/2014/chart" uri="{C3380CC4-5D6E-409C-BE32-E72D297353CC}">
              <c16:uniqueId val="{00000000-410B-46F2-AEC3-48B9D47B6AF4}"/>
            </c:ext>
          </c:extLst>
        </c:ser>
        <c:ser>
          <c:idx val="1"/>
          <c:order val="1"/>
          <c:tx>
            <c:strRef>
              <c:f>Sheet1!$C$1</c:f>
              <c:strCache>
                <c:ptCount val="1"/>
                <c:pt idx="0">
                  <c:v>aflibercept 2 mg (n=369)</c:v>
                </c:pt>
              </c:strCache>
            </c:strRef>
          </c:tx>
          <c:spPr>
            <a:ln w="12700" cap="rnd">
              <a:solidFill>
                <a:schemeClr val="bg1">
                  <a:lumMod val="75000"/>
                </a:schemeClr>
              </a:solidFill>
              <a:round/>
            </a:ln>
            <a:effectLst/>
          </c:spPr>
          <c:marker>
            <c:symbol val="square"/>
            <c:size val="6"/>
            <c:spPr>
              <a:solidFill>
                <a:schemeClr val="bg1">
                  <a:lumMod val="75000"/>
                </a:schemeClr>
              </a:solidFill>
              <a:ln w="9525">
                <a:solidFill>
                  <a:schemeClr val="bg1">
                    <a:lumMod val="75000"/>
                  </a:schemeClr>
                </a:solidFill>
              </a:ln>
              <a:effectLst/>
            </c:spPr>
          </c:marker>
          <c:dPt>
            <c:idx val="4"/>
            <c:marker>
              <c:symbol val="square"/>
              <c:size val="6"/>
              <c:spPr>
                <a:solidFill>
                  <a:schemeClr val="bg1">
                    <a:lumMod val="75000"/>
                  </a:schemeClr>
                </a:solidFill>
                <a:ln w="9525">
                  <a:solidFill>
                    <a:schemeClr val="bg1">
                      <a:lumMod val="75000"/>
                    </a:schemeClr>
                  </a:solidFill>
                </a:ln>
                <a:effectLst/>
              </c:spPr>
            </c:marker>
            <c:bubble3D val="0"/>
            <c:spPr>
              <a:ln w="12700" cap="rnd">
                <a:solidFill>
                  <a:schemeClr val="bg1">
                    <a:lumMod val="75000"/>
                  </a:schemeClr>
                </a:solidFill>
                <a:round/>
              </a:ln>
              <a:effectLst/>
            </c:spPr>
            <c:extLst>
              <c:ext xmlns:c16="http://schemas.microsoft.com/office/drawing/2014/chart" uri="{C3380CC4-5D6E-409C-BE32-E72D297353CC}">
                <c16:uniqueId val="{00000002-410B-46F2-AEC3-48B9D47B6AF4}"/>
              </c:ext>
            </c:extLst>
          </c:dPt>
          <c:dPt>
            <c:idx val="24"/>
            <c:marker>
              <c:symbol val="square"/>
              <c:size val="6"/>
              <c:spPr>
                <a:solidFill>
                  <a:schemeClr val="bg1">
                    <a:lumMod val="75000"/>
                  </a:schemeClr>
                </a:solidFill>
                <a:ln w="9525">
                  <a:solidFill>
                    <a:schemeClr val="bg1">
                      <a:lumMod val="75000"/>
                    </a:schemeClr>
                  </a:solidFill>
                </a:ln>
                <a:effectLst/>
              </c:spPr>
            </c:marker>
            <c:bubble3D val="0"/>
            <c:spPr>
              <a:ln w="12700" cap="rnd">
                <a:solidFill>
                  <a:schemeClr val="bg1">
                    <a:lumMod val="75000"/>
                  </a:schemeClr>
                </a:solidFill>
                <a:round/>
              </a:ln>
              <a:effectLst/>
            </c:spPr>
            <c:extLst>
              <c:ext xmlns:c16="http://schemas.microsoft.com/office/drawing/2014/chart" uri="{C3380CC4-5D6E-409C-BE32-E72D297353CC}">
                <c16:uniqueId val="{00000004-410B-46F2-AEC3-48B9D47B6AF4}"/>
              </c:ext>
            </c:extLst>
          </c:dPt>
          <c:cat>
            <c:numRef>
              <c:f>Sheet1!$A$2:$A$26</c:f>
              <c:numCache>
                <c:formatCode>General</c:formatCode>
                <c:ptCount val="25"/>
                <c:pt idx="0">
                  <c:v>0</c:v>
                </c:pt>
                <c:pt idx="1">
                  <c:v>4</c:v>
                </c:pt>
                <c:pt idx="2">
                  <c:v>8</c:v>
                </c:pt>
                <c:pt idx="3">
                  <c:v>12</c:v>
                </c:pt>
                <c:pt idx="4">
                  <c:v>16</c:v>
                </c:pt>
                <c:pt idx="5">
                  <c:v>20</c:v>
                </c:pt>
                <c:pt idx="6">
                  <c:v>24</c:v>
                </c:pt>
                <c:pt idx="7">
                  <c:v>28</c:v>
                </c:pt>
                <c:pt idx="8">
                  <c:v>32</c:v>
                </c:pt>
                <c:pt idx="9">
                  <c:v>36</c:v>
                </c:pt>
                <c:pt idx="10">
                  <c:v>40</c:v>
                </c:pt>
                <c:pt idx="11">
                  <c:v>44</c:v>
                </c:pt>
                <c:pt idx="12">
                  <c:v>48</c:v>
                </c:pt>
                <c:pt idx="13">
                  <c:v>52</c:v>
                </c:pt>
                <c:pt idx="14">
                  <c:v>56</c:v>
                </c:pt>
                <c:pt idx="15">
                  <c:v>60</c:v>
                </c:pt>
                <c:pt idx="16">
                  <c:v>64</c:v>
                </c:pt>
                <c:pt idx="17">
                  <c:v>68</c:v>
                </c:pt>
                <c:pt idx="18">
                  <c:v>72</c:v>
                </c:pt>
                <c:pt idx="19">
                  <c:v>76</c:v>
                </c:pt>
                <c:pt idx="20">
                  <c:v>80</c:v>
                </c:pt>
                <c:pt idx="21">
                  <c:v>84</c:v>
                </c:pt>
                <c:pt idx="22">
                  <c:v>88</c:v>
                </c:pt>
                <c:pt idx="23">
                  <c:v>92</c:v>
                </c:pt>
                <c:pt idx="24">
                  <c:v>96</c:v>
                </c:pt>
              </c:numCache>
            </c:numRef>
          </c:cat>
          <c:val>
            <c:numRef>
              <c:f>Sheet1!$C$2:$C$26</c:f>
              <c:numCache>
                <c:formatCode>General</c:formatCode>
                <c:ptCount val="25"/>
                <c:pt idx="0">
                  <c:v>0</c:v>
                </c:pt>
                <c:pt idx="1">
                  <c:v>4.7</c:v>
                </c:pt>
                <c:pt idx="2">
                  <c:v>6</c:v>
                </c:pt>
                <c:pt idx="3">
                  <c:v>6.4</c:v>
                </c:pt>
                <c:pt idx="4">
                  <c:v>6.3</c:v>
                </c:pt>
                <c:pt idx="5">
                  <c:v>6.9</c:v>
                </c:pt>
                <c:pt idx="6">
                  <c:v>6.7</c:v>
                </c:pt>
                <c:pt idx="7">
                  <c:v>7.4</c:v>
                </c:pt>
                <c:pt idx="8">
                  <c:v>7.3</c:v>
                </c:pt>
                <c:pt idx="9">
                  <c:v>7.6</c:v>
                </c:pt>
                <c:pt idx="10">
                  <c:v>7.6</c:v>
                </c:pt>
                <c:pt idx="11">
                  <c:v>8</c:v>
                </c:pt>
                <c:pt idx="12">
                  <c:v>7.5</c:v>
                </c:pt>
                <c:pt idx="13">
                  <c:v>7.4</c:v>
                </c:pt>
                <c:pt idx="14">
                  <c:v>7.2</c:v>
                </c:pt>
                <c:pt idx="15">
                  <c:v>7.4</c:v>
                </c:pt>
                <c:pt idx="16">
                  <c:v>7.2</c:v>
                </c:pt>
                <c:pt idx="17">
                  <c:v>7.2</c:v>
                </c:pt>
                <c:pt idx="18">
                  <c:v>6.9</c:v>
                </c:pt>
                <c:pt idx="19">
                  <c:v>6.8</c:v>
                </c:pt>
                <c:pt idx="20">
                  <c:v>6.6</c:v>
                </c:pt>
                <c:pt idx="21">
                  <c:v>6.7</c:v>
                </c:pt>
                <c:pt idx="22">
                  <c:v>6.9</c:v>
                </c:pt>
                <c:pt idx="23">
                  <c:v>6.5</c:v>
                </c:pt>
                <c:pt idx="24">
                  <c:v>6.6</c:v>
                </c:pt>
              </c:numCache>
            </c:numRef>
          </c:val>
          <c:smooth val="0"/>
          <c:extLst>
            <c:ext xmlns:c16="http://schemas.microsoft.com/office/drawing/2014/chart" uri="{C3380CC4-5D6E-409C-BE32-E72D297353CC}">
              <c16:uniqueId val="{00000005-410B-46F2-AEC3-48B9D47B6AF4}"/>
            </c:ext>
          </c:extLst>
        </c:ser>
        <c:dLbls>
          <c:showLegendKey val="0"/>
          <c:showVal val="0"/>
          <c:showCatName val="0"/>
          <c:showSerName val="0"/>
          <c:showPercent val="0"/>
          <c:showBubbleSize val="0"/>
        </c:dLbls>
        <c:marker val="1"/>
        <c:smooth val="0"/>
        <c:axId val="966258784"/>
        <c:axId val="966247856"/>
      </c:lineChart>
      <c:catAx>
        <c:axId val="96625878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baseline="0">
                    <a:solidFill>
                      <a:sysClr val="windowText" lastClr="000000"/>
                    </a:solidFill>
                  </a:rPr>
                  <a:t>Time (weeks)</a:t>
                </a:r>
              </a:p>
            </c:rich>
          </c:tx>
          <c:layout>
            <c:manualLayout>
              <c:xMode val="edge"/>
              <c:yMode val="edge"/>
              <c:x val="0.45091334937299504"/>
              <c:y val="0.790178102737157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66247856"/>
        <c:crosses val="autoZero"/>
        <c:auto val="1"/>
        <c:lblAlgn val="ctr"/>
        <c:lblOffset val="100"/>
        <c:tickMarkSkip val="4"/>
        <c:noMultiLvlLbl val="0"/>
      </c:catAx>
      <c:valAx>
        <c:axId val="966247856"/>
        <c:scaling>
          <c:orientation val="minMax"/>
          <c:max val="10"/>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US" sz="900" baseline="0">
                    <a:solidFill>
                      <a:sysClr val="windowText" lastClr="000000"/>
                    </a:solidFill>
                  </a:rPr>
                  <a:t>VA change from baseline (letters) </a:t>
                </a:r>
              </a:p>
            </c:rich>
          </c:tx>
          <c:layout>
            <c:manualLayout>
              <c:xMode val="edge"/>
              <c:yMode val="edge"/>
              <c:x val="3.193277923592884E-2"/>
              <c:y val="0.1275428071491063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63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66258784"/>
        <c:crosses val="autoZero"/>
        <c:crossBetween val="midCat"/>
        <c:majorUnit val="1"/>
        <c:minorUnit val="0.5"/>
      </c:valAx>
      <c:spPr>
        <a:noFill/>
        <a:ln>
          <a:noFill/>
        </a:ln>
        <a:effectLst/>
      </c:spPr>
    </c:plotArea>
    <c:legend>
      <c:legendPos val="b"/>
      <c:layout>
        <c:manualLayout>
          <c:xMode val="edge"/>
          <c:yMode val="edge"/>
          <c:x val="0.2573694954797317"/>
          <c:y val="0.9092257217847769"/>
          <c:w val="0.58711286089238846"/>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0.96281</cdr:x>
      <cdr:y>0.35936</cdr:y>
    </cdr:from>
    <cdr:to>
      <cdr:x>0.96281</cdr:x>
      <cdr:y>0.69816</cdr:y>
    </cdr:to>
    <cdr:cxnSp macro="">
      <cdr:nvCxnSpPr>
        <cdr:cNvPr id="2" name="Straight Connector 1"/>
        <cdr:cNvCxnSpPr/>
      </cdr:nvCxnSpPr>
      <cdr:spPr>
        <a:xfrm xmlns:a="http://schemas.openxmlformats.org/drawingml/2006/main">
          <a:off x="5282365" y="1150104"/>
          <a:ext cx="0" cy="1084277"/>
        </a:xfrm>
        <a:prstGeom xmlns:a="http://schemas.openxmlformats.org/drawingml/2006/main" prst="line">
          <a:avLst/>
        </a:prstGeom>
        <a:ln xmlns:a="http://schemas.openxmlformats.org/drawingml/2006/main">
          <a:solidFill>
            <a:schemeClr val="accent3"/>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0.55242</cdr:x>
      <cdr:y>0.27419</cdr:y>
    </cdr:from>
    <cdr:to>
      <cdr:x>0.55242</cdr:x>
      <cdr:y>0.69585</cdr:y>
    </cdr:to>
    <cdr:cxnSp macro="">
      <cdr:nvCxnSpPr>
        <cdr:cNvPr id="4" name="Straight Connector 3"/>
        <cdr:cNvCxnSpPr/>
      </cdr:nvCxnSpPr>
      <cdr:spPr>
        <a:xfrm xmlns:a="http://schemas.openxmlformats.org/drawingml/2006/main">
          <a:off x="3030794" y="877529"/>
          <a:ext cx="0" cy="1349477"/>
        </a:xfrm>
        <a:prstGeom xmlns:a="http://schemas.openxmlformats.org/drawingml/2006/main" prst="line">
          <a:avLst/>
        </a:prstGeom>
        <a:ln xmlns:a="http://schemas.openxmlformats.org/drawingml/2006/main">
          <a:solidFill>
            <a:schemeClr val="accent3"/>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0.96356</cdr:x>
      <cdr:y>0.3108</cdr:y>
    </cdr:from>
    <cdr:to>
      <cdr:x>0.96356</cdr:x>
      <cdr:y>0.69816</cdr:y>
    </cdr:to>
    <cdr:cxnSp macro="">
      <cdr:nvCxnSpPr>
        <cdr:cNvPr id="2" name="Straight Connector 1"/>
        <cdr:cNvCxnSpPr/>
      </cdr:nvCxnSpPr>
      <cdr:spPr>
        <a:xfrm xmlns:a="http://schemas.openxmlformats.org/drawingml/2006/main">
          <a:off x="5286478" y="994696"/>
          <a:ext cx="0" cy="1239684"/>
        </a:xfrm>
        <a:prstGeom xmlns:a="http://schemas.openxmlformats.org/drawingml/2006/main" prst="line">
          <a:avLst/>
        </a:prstGeom>
        <a:ln xmlns:a="http://schemas.openxmlformats.org/drawingml/2006/main">
          <a:solidFill>
            <a:schemeClr val="accent3"/>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0.55175</cdr:x>
      <cdr:y>0.25346</cdr:y>
    </cdr:from>
    <cdr:to>
      <cdr:x>0.55175</cdr:x>
      <cdr:y>0.69585</cdr:y>
    </cdr:to>
    <cdr:cxnSp macro="">
      <cdr:nvCxnSpPr>
        <cdr:cNvPr id="6" name="Straight Connector 5"/>
        <cdr:cNvCxnSpPr/>
      </cdr:nvCxnSpPr>
      <cdr:spPr>
        <a:xfrm xmlns:a="http://schemas.openxmlformats.org/drawingml/2006/main">
          <a:off x="3027107" y="811162"/>
          <a:ext cx="0" cy="1415844"/>
        </a:xfrm>
        <a:prstGeom xmlns:a="http://schemas.openxmlformats.org/drawingml/2006/main" prst="line">
          <a:avLst/>
        </a:prstGeom>
        <a:ln xmlns:a="http://schemas.openxmlformats.org/drawingml/2006/main">
          <a:solidFill>
            <a:schemeClr val="accent3"/>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3E4BE9C504B54BB9DCCED7A3A2A9ED" ma:contentTypeVersion="9" ma:contentTypeDescription="Create a new document." ma:contentTypeScope="" ma:versionID="b31a1749ecc3f947d6d657d8942e2b93">
  <xsd:schema xmlns:xsd="http://www.w3.org/2001/XMLSchema" xmlns:xs="http://www.w3.org/2001/XMLSchema" xmlns:p="http://schemas.microsoft.com/office/2006/metadata/properties" xmlns:ns2="98a02841-c77c-4070-b83c-e70b7c1e96e3" xmlns:ns3="99163e82-9f3f-4c11-b99a-ae54f73d1cd8" targetNamespace="http://schemas.microsoft.com/office/2006/metadata/properties" ma:root="true" ma:fieldsID="591645f5a0d997c13588915fa5a7c9f4" ns2:_="" ns3:_="">
    <xsd:import namespace="98a02841-c77c-4070-b83c-e70b7c1e96e3"/>
    <xsd:import namespace="99163e82-9f3f-4c11-b99a-ae54f73d1cd8"/>
    <xsd:element name="properties">
      <xsd:complexType>
        <xsd:sequence>
          <xsd:element name="documentManagement">
            <xsd:complexType>
              <xsd:all>
                <xsd:element ref="ns2:Revision_x0020_description"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02841-c77c-4070-b83c-e70b7c1e96e3" elementFormDefault="qualified">
    <xsd:import namespace="http://schemas.microsoft.com/office/2006/documentManagement/types"/>
    <xsd:import namespace="http://schemas.microsoft.com/office/infopath/2007/PartnerControls"/>
    <xsd:element name="Revision_x0020_description" ma:index="8" nillable="true" ma:displayName="Revision description" ma:description="Provides a column to allow for free text describing any revisions to shared documents" ma:internalName="Revision_x0020_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163e82-9f3f-4c11-b99a-ae54f73d1c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ion_x0020_description xmlns="98a02841-c77c-4070-b83c-e70b7c1e96e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628E6-7B66-4518-8A47-B71709C61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02841-c77c-4070-b83c-e70b7c1e96e3"/>
    <ds:schemaRef ds:uri="99163e82-9f3f-4c11-b99a-ae54f73d1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379A6-3C21-465F-9267-0218534E88F0}">
  <ds:schemaRefs>
    <ds:schemaRef ds:uri="http://schemas.microsoft.com/sharepoint/v3/contenttype/forms"/>
  </ds:schemaRefs>
</ds:datastoreItem>
</file>

<file path=customXml/itemProps3.xml><?xml version="1.0" encoding="utf-8"?>
<ds:datastoreItem xmlns:ds="http://schemas.openxmlformats.org/officeDocument/2006/customXml" ds:itemID="{C9800A91-888B-453E-BE6C-42970661BC08}">
  <ds:schemaRefs>
    <ds:schemaRef ds:uri="http://purl.org/dc/terms/"/>
    <ds:schemaRef ds:uri="http://schemas.openxmlformats.org/package/2006/metadata/core-properties"/>
    <ds:schemaRef ds:uri="http://schemas.microsoft.com/office/2006/documentManagement/types"/>
    <ds:schemaRef ds:uri="98a02841-c77c-4070-b83c-e70b7c1e96e3"/>
    <ds:schemaRef ds:uri="http://purl.org/dc/elements/1.1/"/>
    <ds:schemaRef ds:uri="http://schemas.microsoft.com/office/2006/metadata/properties"/>
    <ds:schemaRef ds:uri="http://schemas.microsoft.com/office/infopath/2007/PartnerControls"/>
    <ds:schemaRef ds:uri="99163e82-9f3f-4c11-b99a-ae54f73d1cd8"/>
    <ds:schemaRef ds:uri="http://www.w3.org/XML/1998/namespace"/>
    <ds:schemaRef ds:uri="http://purl.org/dc/dcmitype/"/>
  </ds:schemaRefs>
</ds:datastoreItem>
</file>

<file path=customXml/itemProps4.xml><?xml version="1.0" encoding="utf-8"?>
<ds:datastoreItem xmlns:ds="http://schemas.openxmlformats.org/officeDocument/2006/customXml" ds:itemID="{9A94C5A9-B8CE-4736-B089-FDC6EFC6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pi-template-new-format-exforge</Template>
  <TotalTime>3</TotalTime>
  <Pages>17</Pages>
  <Words>5036</Words>
  <Characters>27955</Characters>
  <Application>Microsoft Office Word</Application>
  <DocSecurity>0</DocSecurity>
  <Lines>570</Lines>
  <Paragraphs>284</Paragraphs>
  <ScaleCrop>false</ScaleCrop>
  <HeadingPairs>
    <vt:vector size="2" baseType="variant">
      <vt:variant>
        <vt:lpstr>Title</vt:lpstr>
      </vt:variant>
      <vt:variant>
        <vt:i4>1</vt:i4>
      </vt:variant>
    </vt:vector>
  </HeadingPairs>
  <TitlesOfParts>
    <vt:vector size="1" baseType="lpstr">
      <vt:lpstr>Attachment: Product Information for Brolucizumab (rbe)</vt:lpstr>
    </vt:vector>
  </TitlesOfParts>
  <Company>Novartis Pharmaceuticals Australia Pty Ltd</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Brolucizumab (rbe)</dc:title>
  <dc:subject>prescription medicines</dc:subject>
  <dc:creator>Novartis Pharmaceuticals Australia Pty Ltd</dc:creator>
  <cp:lastPrinted>2019-09-01T11:50:00Z</cp:lastPrinted>
  <dcterms:created xsi:type="dcterms:W3CDTF">2020-04-16T04:28:00Z</dcterms:created>
  <dcterms:modified xsi:type="dcterms:W3CDTF">2020-04-16T04:31:00Z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WILLISHL@novartis.net</vt:lpwstr>
  </property>
  <property fmtid="{D5CDD505-2E9C-101B-9397-08002B2CF9AE}" pid="5" name="MSIP_Label_4929bff8-5b33-42aa-95d2-28f72e792cb0_SetDate">
    <vt:lpwstr>2019-01-03T00:38:56.7833528Z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y fmtid="{D5CDD505-2E9C-101B-9397-08002B2CF9AE}" pid="10" name="ContentTypeId">
    <vt:lpwstr>0x0101007B3E4BE9C504B54BB9DCCED7A3A2A9ED</vt:lpwstr>
  </property>
</Properties>
</file>