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D2CD4" w:rsidP="00096AA7">
            <w:pPr>
              <w:rPr>
                <w:rFonts w:ascii="Arial" w:hAnsi="Arial" w:cs="Arial"/>
                <w:b/>
                <w:color w:val="002C47"/>
                <w:sz w:val="36"/>
                <w:szCs w:val="36"/>
              </w:rPr>
            </w:pPr>
            <w:r>
              <w:rPr>
                <w:rFonts w:ascii="Arial" w:hAnsi="Arial" w:cs="Arial"/>
                <w:b/>
                <w:color w:val="002C47"/>
                <w:sz w:val="36"/>
                <w:szCs w:val="36"/>
              </w:rPr>
              <w:t xml:space="preserve">March </w:t>
            </w:r>
            <w:r w:rsidR="00F141EB">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553FFA">
              <w:rPr>
                <w:color w:val="FFFFFF" w:themeColor="background1"/>
              </w:rPr>
              <w:t>blic Assessment Report for b</w:t>
            </w:r>
            <w:r w:rsidR="00553FFA" w:rsidRPr="00A03BEB">
              <w:rPr>
                <w:color w:val="FFFFFF" w:themeColor="background1"/>
              </w:rPr>
              <w:t>rivaracetam</w:t>
            </w:r>
          </w:p>
        </w:tc>
      </w:tr>
      <w:tr w:rsidR="0032583B" w:rsidRPr="00B64760" w:rsidTr="0032583B">
        <w:tc>
          <w:tcPr>
            <w:tcW w:w="9079" w:type="dxa"/>
          </w:tcPr>
          <w:p w:rsidR="0032583B" w:rsidRPr="008E7846" w:rsidRDefault="003C0532" w:rsidP="0032583B">
            <w:pPr>
              <w:pStyle w:val="Subtitle"/>
              <w:rPr>
                <w:color w:val="FFFFFF" w:themeColor="background1"/>
              </w:rPr>
            </w:pPr>
            <w:r>
              <w:rPr>
                <w:color w:val="FFFFFF" w:themeColor="background1"/>
              </w:rPr>
              <w:t>Proprietary Product Name: Briviact</w:t>
            </w:r>
          </w:p>
        </w:tc>
      </w:tr>
      <w:tr w:rsidR="0032583B" w:rsidRPr="00B64760" w:rsidTr="0032583B">
        <w:trPr>
          <w:trHeight w:val="486"/>
        </w:trPr>
        <w:tc>
          <w:tcPr>
            <w:tcW w:w="9079" w:type="dxa"/>
          </w:tcPr>
          <w:p w:rsidR="0032583B" w:rsidRPr="008E7846" w:rsidRDefault="002672EC" w:rsidP="0032583B">
            <w:pPr>
              <w:pStyle w:val="Subtitle"/>
              <w:rPr>
                <w:color w:val="FFFFFF" w:themeColor="background1"/>
              </w:rPr>
            </w:pPr>
            <w:r>
              <w:rPr>
                <w:color w:val="FFFFFF" w:themeColor="background1"/>
              </w:rPr>
              <w:t xml:space="preserve">Sponsor: UCB </w:t>
            </w:r>
            <w:r w:rsidRPr="008D0B62">
              <w:rPr>
                <w:color w:val="FFFFFF" w:themeColor="background1"/>
              </w:rPr>
              <w:t>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74334620"/>
      <w:bookmarkStart w:id="2" w:name="_Toc474334682"/>
      <w:bookmarkStart w:id="3" w:name="_Toc479595207"/>
      <w:r>
        <w:t>About AusPARs</w:t>
      </w:r>
      <w:bookmarkEnd w:id="0"/>
      <w:bookmarkEnd w:id="1"/>
      <w:bookmarkEnd w:id="2"/>
      <w:bookmarkEnd w:id="3"/>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4" w:name="_Toc247691501" w:displacedByCustomXml="next"/>
    <w:bookmarkStart w:id="5"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6" w:name="_GoBack"/>
          <w:bookmarkEnd w:id="6"/>
          <w:r w:rsidRPr="0010788A">
            <w:t>ents</w:t>
          </w:r>
        </w:p>
        <w:p w:rsidR="00EB215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9595207" w:history="1">
            <w:r w:rsidR="00EB215B" w:rsidRPr="0079164A">
              <w:rPr>
                <w:rStyle w:val="Hyperlink"/>
                <w:noProof/>
              </w:rPr>
              <w:t>About AusPARs</w:t>
            </w:r>
            <w:r w:rsidR="00EB215B">
              <w:rPr>
                <w:noProof/>
                <w:webHidden/>
              </w:rPr>
              <w:tab/>
            </w:r>
            <w:r w:rsidR="00EB215B">
              <w:rPr>
                <w:noProof/>
                <w:webHidden/>
              </w:rPr>
              <w:fldChar w:fldCharType="begin"/>
            </w:r>
            <w:r w:rsidR="00EB215B">
              <w:rPr>
                <w:noProof/>
                <w:webHidden/>
              </w:rPr>
              <w:instrText xml:space="preserve"> PAGEREF _Toc479595207 \h </w:instrText>
            </w:r>
            <w:r w:rsidR="00EB215B">
              <w:rPr>
                <w:noProof/>
                <w:webHidden/>
              </w:rPr>
            </w:r>
            <w:r w:rsidR="00EB215B">
              <w:rPr>
                <w:noProof/>
                <w:webHidden/>
              </w:rPr>
              <w:fldChar w:fldCharType="separate"/>
            </w:r>
            <w:r w:rsidR="00EB215B">
              <w:rPr>
                <w:noProof/>
                <w:webHidden/>
              </w:rPr>
              <w:t>ii</w:t>
            </w:r>
            <w:r w:rsidR="00EB215B">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08" w:history="1">
            <w:r w:rsidRPr="0079164A">
              <w:rPr>
                <w:rStyle w:val="Hyperlink"/>
                <w:noProof/>
              </w:rPr>
              <w:t>Common abbreviations</w:t>
            </w:r>
            <w:r>
              <w:rPr>
                <w:noProof/>
                <w:webHidden/>
              </w:rPr>
              <w:tab/>
            </w:r>
            <w:r>
              <w:rPr>
                <w:noProof/>
                <w:webHidden/>
              </w:rPr>
              <w:fldChar w:fldCharType="begin"/>
            </w:r>
            <w:r>
              <w:rPr>
                <w:noProof/>
                <w:webHidden/>
              </w:rPr>
              <w:instrText xml:space="preserve"> PAGEREF _Toc479595208 \h </w:instrText>
            </w:r>
            <w:r>
              <w:rPr>
                <w:noProof/>
                <w:webHidden/>
              </w:rPr>
            </w:r>
            <w:r>
              <w:rPr>
                <w:noProof/>
                <w:webHidden/>
              </w:rPr>
              <w:fldChar w:fldCharType="separate"/>
            </w:r>
            <w:r>
              <w:rPr>
                <w:noProof/>
                <w:webHidden/>
              </w:rPr>
              <w:t>5</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09" w:history="1">
            <w:r w:rsidRPr="0079164A">
              <w:rPr>
                <w:rStyle w:val="Hyperlink"/>
                <w:noProof/>
              </w:rPr>
              <w:t>I. Introduction to product submission</w:t>
            </w:r>
            <w:r>
              <w:rPr>
                <w:noProof/>
                <w:webHidden/>
              </w:rPr>
              <w:tab/>
            </w:r>
            <w:r>
              <w:rPr>
                <w:noProof/>
                <w:webHidden/>
              </w:rPr>
              <w:fldChar w:fldCharType="begin"/>
            </w:r>
            <w:r>
              <w:rPr>
                <w:noProof/>
                <w:webHidden/>
              </w:rPr>
              <w:instrText xml:space="preserve"> PAGEREF _Toc479595209 \h </w:instrText>
            </w:r>
            <w:r>
              <w:rPr>
                <w:noProof/>
                <w:webHidden/>
              </w:rPr>
            </w:r>
            <w:r>
              <w:rPr>
                <w:noProof/>
                <w:webHidden/>
              </w:rPr>
              <w:fldChar w:fldCharType="separate"/>
            </w:r>
            <w:r>
              <w:rPr>
                <w:noProof/>
                <w:webHidden/>
              </w:rPr>
              <w:t>9</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0" w:history="1">
            <w:r w:rsidRPr="0079164A">
              <w:rPr>
                <w:rStyle w:val="Hyperlink"/>
                <w:noProof/>
                <w:lang w:eastAsia="en-AU"/>
              </w:rPr>
              <w:t>Submission details</w:t>
            </w:r>
            <w:r>
              <w:rPr>
                <w:noProof/>
                <w:webHidden/>
              </w:rPr>
              <w:tab/>
            </w:r>
            <w:r>
              <w:rPr>
                <w:noProof/>
                <w:webHidden/>
              </w:rPr>
              <w:fldChar w:fldCharType="begin"/>
            </w:r>
            <w:r>
              <w:rPr>
                <w:noProof/>
                <w:webHidden/>
              </w:rPr>
              <w:instrText xml:space="preserve"> PAGEREF _Toc479595210 \h </w:instrText>
            </w:r>
            <w:r>
              <w:rPr>
                <w:noProof/>
                <w:webHidden/>
              </w:rPr>
            </w:r>
            <w:r>
              <w:rPr>
                <w:noProof/>
                <w:webHidden/>
              </w:rPr>
              <w:fldChar w:fldCharType="separate"/>
            </w:r>
            <w:r>
              <w:rPr>
                <w:noProof/>
                <w:webHidden/>
              </w:rPr>
              <w:t>9</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1" w:history="1">
            <w:r w:rsidRPr="0079164A">
              <w:rPr>
                <w:rStyle w:val="Hyperlink"/>
                <w:noProof/>
              </w:rPr>
              <w:t>Product background</w:t>
            </w:r>
            <w:r>
              <w:rPr>
                <w:noProof/>
                <w:webHidden/>
              </w:rPr>
              <w:tab/>
            </w:r>
            <w:r>
              <w:rPr>
                <w:noProof/>
                <w:webHidden/>
              </w:rPr>
              <w:fldChar w:fldCharType="begin"/>
            </w:r>
            <w:r>
              <w:rPr>
                <w:noProof/>
                <w:webHidden/>
              </w:rPr>
              <w:instrText xml:space="preserve"> PAGEREF _Toc479595211 \h </w:instrText>
            </w:r>
            <w:r>
              <w:rPr>
                <w:noProof/>
                <w:webHidden/>
              </w:rPr>
            </w:r>
            <w:r>
              <w:rPr>
                <w:noProof/>
                <w:webHidden/>
              </w:rPr>
              <w:fldChar w:fldCharType="separate"/>
            </w:r>
            <w:r>
              <w:rPr>
                <w:noProof/>
                <w:webHidden/>
              </w:rPr>
              <w:t>10</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2" w:history="1">
            <w:r w:rsidRPr="0079164A">
              <w:rPr>
                <w:rStyle w:val="Hyperlink"/>
                <w:noProof/>
              </w:rPr>
              <w:t>Regulatory status</w:t>
            </w:r>
            <w:r>
              <w:rPr>
                <w:noProof/>
                <w:webHidden/>
              </w:rPr>
              <w:tab/>
            </w:r>
            <w:r>
              <w:rPr>
                <w:noProof/>
                <w:webHidden/>
              </w:rPr>
              <w:fldChar w:fldCharType="begin"/>
            </w:r>
            <w:r>
              <w:rPr>
                <w:noProof/>
                <w:webHidden/>
              </w:rPr>
              <w:instrText xml:space="preserve"> PAGEREF _Toc479595212 \h </w:instrText>
            </w:r>
            <w:r>
              <w:rPr>
                <w:noProof/>
                <w:webHidden/>
              </w:rPr>
            </w:r>
            <w:r>
              <w:rPr>
                <w:noProof/>
                <w:webHidden/>
              </w:rPr>
              <w:fldChar w:fldCharType="separate"/>
            </w:r>
            <w:r>
              <w:rPr>
                <w:noProof/>
                <w:webHidden/>
              </w:rPr>
              <w:t>11</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3" w:history="1">
            <w:r w:rsidRPr="0079164A">
              <w:rPr>
                <w:rStyle w:val="Hyperlink"/>
                <w:noProof/>
              </w:rPr>
              <w:t>Product Information</w:t>
            </w:r>
            <w:r>
              <w:rPr>
                <w:noProof/>
                <w:webHidden/>
              </w:rPr>
              <w:tab/>
            </w:r>
            <w:r>
              <w:rPr>
                <w:noProof/>
                <w:webHidden/>
              </w:rPr>
              <w:fldChar w:fldCharType="begin"/>
            </w:r>
            <w:r>
              <w:rPr>
                <w:noProof/>
                <w:webHidden/>
              </w:rPr>
              <w:instrText xml:space="preserve"> PAGEREF _Toc479595213 \h </w:instrText>
            </w:r>
            <w:r>
              <w:rPr>
                <w:noProof/>
                <w:webHidden/>
              </w:rPr>
            </w:r>
            <w:r>
              <w:rPr>
                <w:noProof/>
                <w:webHidden/>
              </w:rPr>
              <w:fldChar w:fldCharType="separate"/>
            </w:r>
            <w:r>
              <w:rPr>
                <w:noProof/>
                <w:webHidden/>
              </w:rPr>
              <w:t>12</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14" w:history="1">
            <w:r w:rsidRPr="0079164A">
              <w:rPr>
                <w:rStyle w:val="Hyperlink"/>
                <w:noProof/>
              </w:rPr>
              <w:t>II. Quality findings</w:t>
            </w:r>
            <w:r>
              <w:rPr>
                <w:noProof/>
                <w:webHidden/>
              </w:rPr>
              <w:tab/>
            </w:r>
            <w:r>
              <w:rPr>
                <w:noProof/>
                <w:webHidden/>
              </w:rPr>
              <w:fldChar w:fldCharType="begin"/>
            </w:r>
            <w:r>
              <w:rPr>
                <w:noProof/>
                <w:webHidden/>
              </w:rPr>
              <w:instrText xml:space="preserve"> PAGEREF _Toc479595214 \h </w:instrText>
            </w:r>
            <w:r>
              <w:rPr>
                <w:noProof/>
                <w:webHidden/>
              </w:rPr>
            </w:r>
            <w:r>
              <w:rPr>
                <w:noProof/>
                <w:webHidden/>
              </w:rPr>
              <w:fldChar w:fldCharType="separate"/>
            </w:r>
            <w:r>
              <w:rPr>
                <w:noProof/>
                <w:webHidden/>
              </w:rPr>
              <w:t>12</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5" w:history="1">
            <w:r w:rsidRPr="0079164A">
              <w:rPr>
                <w:rStyle w:val="Hyperlink"/>
                <w:noProof/>
              </w:rPr>
              <w:t>Introduction</w:t>
            </w:r>
            <w:r>
              <w:rPr>
                <w:noProof/>
                <w:webHidden/>
              </w:rPr>
              <w:tab/>
            </w:r>
            <w:r>
              <w:rPr>
                <w:noProof/>
                <w:webHidden/>
              </w:rPr>
              <w:fldChar w:fldCharType="begin"/>
            </w:r>
            <w:r>
              <w:rPr>
                <w:noProof/>
                <w:webHidden/>
              </w:rPr>
              <w:instrText xml:space="preserve"> PAGEREF _Toc479595215 \h </w:instrText>
            </w:r>
            <w:r>
              <w:rPr>
                <w:noProof/>
                <w:webHidden/>
              </w:rPr>
            </w:r>
            <w:r>
              <w:rPr>
                <w:noProof/>
                <w:webHidden/>
              </w:rPr>
              <w:fldChar w:fldCharType="separate"/>
            </w:r>
            <w:r>
              <w:rPr>
                <w:noProof/>
                <w:webHidden/>
              </w:rPr>
              <w:t>12</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6" w:history="1">
            <w:r w:rsidRPr="0079164A">
              <w:rPr>
                <w:rStyle w:val="Hyperlink"/>
                <w:noProof/>
              </w:rPr>
              <w:t>Drug substance (active ingredient)</w:t>
            </w:r>
            <w:r>
              <w:rPr>
                <w:noProof/>
                <w:webHidden/>
              </w:rPr>
              <w:tab/>
            </w:r>
            <w:r>
              <w:rPr>
                <w:noProof/>
                <w:webHidden/>
              </w:rPr>
              <w:fldChar w:fldCharType="begin"/>
            </w:r>
            <w:r>
              <w:rPr>
                <w:noProof/>
                <w:webHidden/>
              </w:rPr>
              <w:instrText xml:space="preserve"> PAGEREF _Toc479595216 \h </w:instrText>
            </w:r>
            <w:r>
              <w:rPr>
                <w:noProof/>
                <w:webHidden/>
              </w:rPr>
            </w:r>
            <w:r>
              <w:rPr>
                <w:noProof/>
                <w:webHidden/>
              </w:rPr>
              <w:fldChar w:fldCharType="separate"/>
            </w:r>
            <w:r>
              <w:rPr>
                <w:noProof/>
                <w:webHidden/>
              </w:rPr>
              <w:t>12</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7" w:history="1">
            <w:r w:rsidRPr="0079164A">
              <w:rPr>
                <w:rStyle w:val="Hyperlink"/>
                <w:noProof/>
              </w:rPr>
              <w:t>Drug product</w:t>
            </w:r>
            <w:r>
              <w:rPr>
                <w:noProof/>
                <w:webHidden/>
              </w:rPr>
              <w:tab/>
            </w:r>
            <w:r>
              <w:rPr>
                <w:noProof/>
                <w:webHidden/>
              </w:rPr>
              <w:fldChar w:fldCharType="begin"/>
            </w:r>
            <w:r>
              <w:rPr>
                <w:noProof/>
                <w:webHidden/>
              </w:rPr>
              <w:instrText xml:space="preserve"> PAGEREF _Toc479595217 \h </w:instrText>
            </w:r>
            <w:r>
              <w:rPr>
                <w:noProof/>
                <w:webHidden/>
              </w:rPr>
            </w:r>
            <w:r>
              <w:rPr>
                <w:noProof/>
                <w:webHidden/>
              </w:rPr>
              <w:fldChar w:fldCharType="separate"/>
            </w:r>
            <w:r>
              <w:rPr>
                <w:noProof/>
                <w:webHidden/>
              </w:rPr>
              <w:t>13</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8" w:history="1">
            <w:r w:rsidRPr="0079164A">
              <w:rPr>
                <w:rStyle w:val="Hyperlink"/>
                <w:noProof/>
              </w:rPr>
              <w:t>Biopharmaceutics</w:t>
            </w:r>
            <w:r>
              <w:rPr>
                <w:noProof/>
                <w:webHidden/>
              </w:rPr>
              <w:tab/>
            </w:r>
            <w:r>
              <w:rPr>
                <w:noProof/>
                <w:webHidden/>
              </w:rPr>
              <w:fldChar w:fldCharType="begin"/>
            </w:r>
            <w:r>
              <w:rPr>
                <w:noProof/>
                <w:webHidden/>
              </w:rPr>
              <w:instrText xml:space="preserve"> PAGEREF _Toc479595218 \h </w:instrText>
            </w:r>
            <w:r>
              <w:rPr>
                <w:noProof/>
                <w:webHidden/>
              </w:rPr>
            </w:r>
            <w:r>
              <w:rPr>
                <w:noProof/>
                <w:webHidden/>
              </w:rPr>
              <w:fldChar w:fldCharType="separate"/>
            </w:r>
            <w:r>
              <w:rPr>
                <w:noProof/>
                <w:webHidden/>
              </w:rPr>
              <w:t>17</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19" w:history="1">
            <w:r w:rsidRPr="0079164A">
              <w:rPr>
                <w:rStyle w:val="Hyperlink"/>
                <w:noProof/>
              </w:rPr>
              <w:t>Quality summary and conclusions</w:t>
            </w:r>
            <w:r>
              <w:rPr>
                <w:noProof/>
                <w:webHidden/>
              </w:rPr>
              <w:tab/>
            </w:r>
            <w:r>
              <w:rPr>
                <w:noProof/>
                <w:webHidden/>
              </w:rPr>
              <w:fldChar w:fldCharType="begin"/>
            </w:r>
            <w:r>
              <w:rPr>
                <w:noProof/>
                <w:webHidden/>
              </w:rPr>
              <w:instrText xml:space="preserve"> PAGEREF _Toc479595219 \h </w:instrText>
            </w:r>
            <w:r>
              <w:rPr>
                <w:noProof/>
                <w:webHidden/>
              </w:rPr>
            </w:r>
            <w:r>
              <w:rPr>
                <w:noProof/>
                <w:webHidden/>
              </w:rPr>
              <w:fldChar w:fldCharType="separate"/>
            </w:r>
            <w:r>
              <w:rPr>
                <w:noProof/>
                <w:webHidden/>
              </w:rPr>
              <w:t>22</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20" w:history="1">
            <w:r w:rsidRPr="0079164A">
              <w:rPr>
                <w:rStyle w:val="Hyperlink"/>
                <w:noProof/>
              </w:rPr>
              <w:t>III. Nonclinical findings</w:t>
            </w:r>
            <w:r>
              <w:rPr>
                <w:noProof/>
                <w:webHidden/>
              </w:rPr>
              <w:tab/>
            </w:r>
            <w:r>
              <w:rPr>
                <w:noProof/>
                <w:webHidden/>
              </w:rPr>
              <w:fldChar w:fldCharType="begin"/>
            </w:r>
            <w:r>
              <w:rPr>
                <w:noProof/>
                <w:webHidden/>
              </w:rPr>
              <w:instrText xml:space="preserve"> PAGEREF _Toc479595220 \h </w:instrText>
            </w:r>
            <w:r>
              <w:rPr>
                <w:noProof/>
                <w:webHidden/>
              </w:rPr>
            </w:r>
            <w:r>
              <w:rPr>
                <w:noProof/>
                <w:webHidden/>
              </w:rPr>
              <w:fldChar w:fldCharType="separate"/>
            </w:r>
            <w:r>
              <w:rPr>
                <w:noProof/>
                <w:webHidden/>
              </w:rPr>
              <w:t>22</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1" w:history="1">
            <w:r w:rsidRPr="0079164A">
              <w:rPr>
                <w:rStyle w:val="Hyperlink"/>
                <w:noProof/>
              </w:rPr>
              <w:t>Introduction</w:t>
            </w:r>
            <w:r>
              <w:rPr>
                <w:noProof/>
                <w:webHidden/>
              </w:rPr>
              <w:tab/>
            </w:r>
            <w:r>
              <w:rPr>
                <w:noProof/>
                <w:webHidden/>
              </w:rPr>
              <w:fldChar w:fldCharType="begin"/>
            </w:r>
            <w:r>
              <w:rPr>
                <w:noProof/>
                <w:webHidden/>
              </w:rPr>
              <w:instrText xml:space="preserve"> PAGEREF _Toc479595221 \h </w:instrText>
            </w:r>
            <w:r>
              <w:rPr>
                <w:noProof/>
                <w:webHidden/>
              </w:rPr>
            </w:r>
            <w:r>
              <w:rPr>
                <w:noProof/>
                <w:webHidden/>
              </w:rPr>
              <w:fldChar w:fldCharType="separate"/>
            </w:r>
            <w:r>
              <w:rPr>
                <w:noProof/>
                <w:webHidden/>
              </w:rPr>
              <w:t>22</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2" w:history="1">
            <w:r w:rsidRPr="0079164A">
              <w:rPr>
                <w:rStyle w:val="Hyperlink"/>
                <w:noProof/>
              </w:rPr>
              <w:t>Pharmacology</w:t>
            </w:r>
            <w:r>
              <w:rPr>
                <w:noProof/>
                <w:webHidden/>
              </w:rPr>
              <w:tab/>
            </w:r>
            <w:r>
              <w:rPr>
                <w:noProof/>
                <w:webHidden/>
              </w:rPr>
              <w:fldChar w:fldCharType="begin"/>
            </w:r>
            <w:r>
              <w:rPr>
                <w:noProof/>
                <w:webHidden/>
              </w:rPr>
              <w:instrText xml:space="preserve"> PAGEREF _Toc479595222 \h </w:instrText>
            </w:r>
            <w:r>
              <w:rPr>
                <w:noProof/>
                <w:webHidden/>
              </w:rPr>
            </w:r>
            <w:r>
              <w:rPr>
                <w:noProof/>
                <w:webHidden/>
              </w:rPr>
              <w:fldChar w:fldCharType="separate"/>
            </w:r>
            <w:r>
              <w:rPr>
                <w:noProof/>
                <w:webHidden/>
              </w:rPr>
              <w:t>22</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3" w:history="1">
            <w:r w:rsidRPr="0079164A">
              <w:rPr>
                <w:rStyle w:val="Hyperlink"/>
                <w:noProof/>
              </w:rPr>
              <w:t>Pharmacokinetics</w:t>
            </w:r>
            <w:r>
              <w:rPr>
                <w:noProof/>
                <w:webHidden/>
              </w:rPr>
              <w:tab/>
            </w:r>
            <w:r>
              <w:rPr>
                <w:noProof/>
                <w:webHidden/>
              </w:rPr>
              <w:fldChar w:fldCharType="begin"/>
            </w:r>
            <w:r>
              <w:rPr>
                <w:noProof/>
                <w:webHidden/>
              </w:rPr>
              <w:instrText xml:space="preserve"> PAGEREF _Toc479595223 \h </w:instrText>
            </w:r>
            <w:r>
              <w:rPr>
                <w:noProof/>
                <w:webHidden/>
              </w:rPr>
            </w:r>
            <w:r>
              <w:rPr>
                <w:noProof/>
                <w:webHidden/>
              </w:rPr>
              <w:fldChar w:fldCharType="separate"/>
            </w:r>
            <w:r>
              <w:rPr>
                <w:noProof/>
                <w:webHidden/>
              </w:rPr>
              <w:t>26</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4" w:history="1">
            <w:r w:rsidRPr="0079164A">
              <w:rPr>
                <w:rStyle w:val="Hyperlink"/>
                <w:noProof/>
              </w:rPr>
              <w:t>Toxicology</w:t>
            </w:r>
            <w:r>
              <w:rPr>
                <w:noProof/>
                <w:webHidden/>
              </w:rPr>
              <w:tab/>
            </w:r>
            <w:r>
              <w:rPr>
                <w:noProof/>
                <w:webHidden/>
              </w:rPr>
              <w:fldChar w:fldCharType="begin"/>
            </w:r>
            <w:r>
              <w:rPr>
                <w:noProof/>
                <w:webHidden/>
              </w:rPr>
              <w:instrText xml:space="preserve"> PAGEREF _Toc479595224 \h </w:instrText>
            </w:r>
            <w:r>
              <w:rPr>
                <w:noProof/>
                <w:webHidden/>
              </w:rPr>
            </w:r>
            <w:r>
              <w:rPr>
                <w:noProof/>
                <w:webHidden/>
              </w:rPr>
              <w:fldChar w:fldCharType="separate"/>
            </w:r>
            <w:r>
              <w:rPr>
                <w:noProof/>
                <w:webHidden/>
              </w:rPr>
              <w:t>31</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5" w:history="1">
            <w:r w:rsidRPr="0079164A">
              <w:rPr>
                <w:rStyle w:val="Hyperlink"/>
                <w:noProof/>
              </w:rPr>
              <w:t>Nonclinical summary and conclusions</w:t>
            </w:r>
            <w:r>
              <w:rPr>
                <w:noProof/>
                <w:webHidden/>
              </w:rPr>
              <w:tab/>
            </w:r>
            <w:r>
              <w:rPr>
                <w:noProof/>
                <w:webHidden/>
              </w:rPr>
              <w:fldChar w:fldCharType="begin"/>
            </w:r>
            <w:r>
              <w:rPr>
                <w:noProof/>
                <w:webHidden/>
              </w:rPr>
              <w:instrText xml:space="preserve"> PAGEREF _Toc479595225 \h </w:instrText>
            </w:r>
            <w:r>
              <w:rPr>
                <w:noProof/>
                <w:webHidden/>
              </w:rPr>
            </w:r>
            <w:r>
              <w:rPr>
                <w:noProof/>
                <w:webHidden/>
              </w:rPr>
              <w:fldChar w:fldCharType="separate"/>
            </w:r>
            <w:r>
              <w:rPr>
                <w:noProof/>
                <w:webHidden/>
              </w:rPr>
              <w:t>55</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26" w:history="1">
            <w:r w:rsidRPr="0079164A">
              <w:rPr>
                <w:rStyle w:val="Hyperlink"/>
                <w:noProof/>
              </w:rPr>
              <w:t>IV. Clinical findings</w:t>
            </w:r>
            <w:r>
              <w:rPr>
                <w:noProof/>
                <w:webHidden/>
              </w:rPr>
              <w:tab/>
            </w:r>
            <w:r>
              <w:rPr>
                <w:noProof/>
                <w:webHidden/>
              </w:rPr>
              <w:fldChar w:fldCharType="begin"/>
            </w:r>
            <w:r>
              <w:rPr>
                <w:noProof/>
                <w:webHidden/>
              </w:rPr>
              <w:instrText xml:space="preserve"> PAGEREF _Toc479595226 \h </w:instrText>
            </w:r>
            <w:r>
              <w:rPr>
                <w:noProof/>
                <w:webHidden/>
              </w:rPr>
            </w:r>
            <w:r>
              <w:rPr>
                <w:noProof/>
                <w:webHidden/>
              </w:rPr>
              <w:fldChar w:fldCharType="separate"/>
            </w:r>
            <w:r>
              <w:rPr>
                <w:noProof/>
                <w:webHidden/>
              </w:rPr>
              <w:t>59</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7" w:history="1">
            <w:r w:rsidRPr="0079164A">
              <w:rPr>
                <w:rStyle w:val="Hyperlink"/>
                <w:noProof/>
              </w:rPr>
              <w:t>Introduction</w:t>
            </w:r>
            <w:r>
              <w:rPr>
                <w:noProof/>
                <w:webHidden/>
              </w:rPr>
              <w:tab/>
            </w:r>
            <w:r>
              <w:rPr>
                <w:noProof/>
                <w:webHidden/>
              </w:rPr>
              <w:fldChar w:fldCharType="begin"/>
            </w:r>
            <w:r>
              <w:rPr>
                <w:noProof/>
                <w:webHidden/>
              </w:rPr>
              <w:instrText xml:space="preserve"> PAGEREF _Toc479595227 \h </w:instrText>
            </w:r>
            <w:r>
              <w:rPr>
                <w:noProof/>
                <w:webHidden/>
              </w:rPr>
            </w:r>
            <w:r>
              <w:rPr>
                <w:noProof/>
                <w:webHidden/>
              </w:rPr>
              <w:fldChar w:fldCharType="separate"/>
            </w:r>
            <w:r>
              <w:rPr>
                <w:noProof/>
                <w:webHidden/>
              </w:rPr>
              <w:t>59</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8" w:history="1">
            <w:r w:rsidRPr="0079164A">
              <w:rPr>
                <w:rStyle w:val="Hyperlink"/>
                <w:noProof/>
              </w:rPr>
              <w:t>Pharmacokinetics</w:t>
            </w:r>
            <w:r>
              <w:rPr>
                <w:noProof/>
                <w:webHidden/>
              </w:rPr>
              <w:tab/>
            </w:r>
            <w:r>
              <w:rPr>
                <w:noProof/>
                <w:webHidden/>
              </w:rPr>
              <w:fldChar w:fldCharType="begin"/>
            </w:r>
            <w:r>
              <w:rPr>
                <w:noProof/>
                <w:webHidden/>
              </w:rPr>
              <w:instrText xml:space="preserve"> PAGEREF _Toc479595228 \h </w:instrText>
            </w:r>
            <w:r>
              <w:rPr>
                <w:noProof/>
                <w:webHidden/>
              </w:rPr>
            </w:r>
            <w:r>
              <w:rPr>
                <w:noProof/>
                <w:webHidden/>
              </w:rPr>
              <w:fldChar w:fldCharType="separate"/>
            </w:r>
            <w:r>
              <w:rPr>
                <w:noProof/>
                <w:webHidden/>
              </w:rPr>
              <w:t>63</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29" w:history="1">
            <w:r w:rsidRPr="0079164A">
              <w:rPr>
                <w:rStyle w:val="Hyperlink"/>
                <w:noProof/>
              </w:rPr>
              <w:t>Pharmacodynamics</w:t>
            </w:r>
            <w:r>
              <w:rPr>
                <w:noProof/>
                <w:webHidden/>
              </w:rPr>
              <w:tab/>
            </w:r>
            <w:r>
              <w:rPr>
                <w:noProof/>
                <w:webHidden/>
              </w:rPr>
              <w:fldChar w:fldCharType="begin"/>
            </w:r>
            <w:r>
              <w:rPr>
                <w:noProof/>
                <w:webHidden/>
              </w:rPr>
              <w:instrText xml:space="preserve"> PAGEREF _Toc479595229 \h </w:instrText>
            </w:r>
            <w:r>
              <w:rPr>
                <w:noProof/>
                <w:webHidden/>
              </w:rPr>
            </w:r>
            <w:r>
              <w:rPr>
                <w:noProof/>
                <w:webHidden/>
              </w:rPr>
              <w:fldChar w:fldCharType="separate"/>
            </w:r>
            <w:r>
              <w:rPr>
                <w:noProof/>
                <w:webHidden/>
              </w:rPr>
              <w:t>65</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0" w:history="1">
            <w:r w:rsidRPr="0079164A">
              <w:rPr>
                <w:rStyle w:val="Hyperlink"/>
                <w:noProof/>
              </w:rPr>
              <w:t>Dosage selection for the pivotal studies</w:t>
            </w:r>
            <w:r>
              <w:rPr>
                <w:noProof/>
                <w:webHidden/>
              </w:rPr>
              <w:tab/>
            </w:r>
            <w:r>
              <w:rPr>
                <w:noProof/>
                <w:webHidden/>
              </w:rPr>
              <w:fldChar w:fldCharType="begin"/>
            </w:r>
            <w:r>
              <w:rPr>
                <w:noProof/>
                <w:webHidden/>
              </w:rPr>
              <w:instrText xml:space="preserve"> PAGEREF _Toc479595230 \h </w:instrText>
            </w:r>
            <w:r>
              <w:rPr>
                <w:noProof/>
                <w:webHidden/>
              </w:rPr>
            </w:r>
            <w:r>
              <w:rPr>
                <w:noProof/>
                <w:webHidden/>
              </w:rPr>
              <w:fldChar w:fldCharType="separate"/>
            </w:r>
            <w:r>
              <w:rPr>
                <w:noProof/>
                <w:webHidden/>
              </w:rPr>
              <w:t>68</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1" w:history="1">
            <w:r w:rsidRPr="0079164A">
              <w:rPr>
                <w:rStyle w:val="Hyperlink"/>
                <w:noProof/>
              </w:rPr>
              <w:t>Efficacy</w:t>
            </w:r>
            <w:r>
              <w:rPr>
                <w:noProof/>
                <w:webHidden/>
              </w:rPr>
              <w:tab/>
            </w:r>
            <w:r>
              <w:rPr>
                <w:noProof/>
                <w:webHidden/>
              </w:rPr>
              <w:fldChar w:fldCharType="begin"/>
            </w:r>
            <w:r>
              <w:rPr>
                <w:noProof/>
                <w:webHidden/>
              </w:rPr>
              <w:instrText xml:space="preserve"> PAGEREF _Toc479595231 \h </w:instrText>
            </w:r>
            <w:r>
              <w:rPr>
                <w:noProof/>
                <w:webHidden/>
              </w:rPr>
            </w:r>
            <w:r>
              <w:rPr>
                <w:noProof/>
                <w:webHidden/>
              </w:rPr>
              <w:fldChar w:fldCharType="separate"/>
            </w:r>
            <w:r>
              <w:rPr>
                <w:noProof/>
                <w:webHidden/>
              </w:rPr>
              <w:t>70</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2" w:history="1">
            <w:r w:rsidRPr="0079164A">
              <w:rPr>
                <w:rStyle w:val="Hyperlink"/>
                <w:noProof/>
              </w:rPr>
              <w:t>Safety</w:t>
            </w:r>
            <w:r>
              <w:rPr>
                <w:noProof/>
                <w:webHidden/>
              </w:rPr>
              <w:tab/>
            </w:r>
            <w:r>
              <w:rPr>
                <w:noProof/>
                <w:webHidden/>
              </w:rPr>
              <w:fldChar w:fldCharType="begin"/>
            </w:r>
            <w:r>
              <w:rPr>
                <w:noProof/>
                <w:webHidden/>
              </w:rPr>
              <w:instrText xml:space="preserve"> PAGEREF _Toc479595232 \h </w:instrText>
            </w:r>
            <w:r>
              <w:rPr>
                <w:noProof/>
                <w:webHidden/>
              </w:rPr>
            </w:r>
            <w:r>
              <w:rPr>
                <w:noProof/>
                <w:webHidden/>
              </w:rPr>
              <w:fldChar w:fldCharType="separate"/>
            </w:r>
            <w:r>
              <w:rPr>
                <w:noProof/>
                <w:webHidden/>
              </w:rPr>
              <w:t>71</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3" w:history="1">
            <w:r w:rsidRPr="0079164A">
              <w:rPr>
                <w:rStyle w:val="Hyperlink"/>
                <w:noProof/>
              </w:rPr>
              <w:t>First round benefit-risk assessment</w:t>
            </w:r>
            <w:r>
              <w:rPr>
                <w:noProof/>
                <w:webHidden/>
              </w:rPr>
              <w:tab/>
            </w:r>
            <w:r>
              <w:rPr>
                <w:noProof/>
                <w:webHidden/>
              </w:rPr>
              <w:fldChar w:fldCharType="begin"/>
            </w:r>
            <w:r>
              <w:rPr>
                <w:noProof/>
                <w:webHidden/>
              </w:rPr>
              <w:instrText xml:space="preserve"> PAGEREF _Toc479595233 \h </w:instrText>
            </w:r>
            <w:r>
              <w:rPr>
                <w:noProof/>
                <w:webHidden/>
              </w:rPr>
            </w:r>
            <w:r>
              <w:rPr>
                <w:noProof/>
                <w:webHidden/>
              </w:rPr>
              <w:fldChar w:fldCharType="separate"/>
            </w:r>
            <w:r>
              <w:rPr>
                <w:noProof/>
                <w:webHidden/>
              </w:rPr>
              <w:t>76</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4" w:history="1">
            <w:r w:rsidRPr="0079164A">
              <w:rPr>
                <w:rStyle w:val="Hyperlink"/>
                <w:noProof/>
              </w:rPr>
              <w:t>First round recommendation regarding authorisation</w:t>
            </w:r>
            <w:r>
              <w:rPr>
                <w:noProof/>
                <w:webHidden/>
              </w:rPr>
              <w:tab/>
            </w:r>
            <w:r>
              <w:rPr>
                <w:noProof/>
                <w:webHidden/>
              </w:rPr>
              <w:fldChar w:fldCharType="begin"/>
            </w:r>
            <w:r>
              <w:rPr>
                <w:noProof/>
                <w:webHidden/>
              </w:rPr>
              <w:instrText xml:space="preserve"> PAGEREF _Toc479595234 \h </w:instrText>
            </w:r>
            <w:r>
              <w:rPr>
                <w:noProof/>
                <w:webHidden/>
              </w:rPr>
            </w:r>
            <w:r>
              <w:rPr>
                <w:noProof/>
                <w:webHidden/>
              </w:rPr>
              <w:fldChar w:fldCharType="separate"/>
            </w:r>
            <w:r>
              <w:rPr>
                <w:noProof/>
                <w:webHidden/>
              </w:rPr>
              <w:t>76</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5" w:history="1">
            <w:r w:rsidRPr="0079164A">
              <w:rPr>
                <w:rStyle w:val="Hyperlink"/>
                <w:noProof/>
              </w:rPr>
              <w:t>Clinical questions</w:t>
            </w:r>
            <w:r>
              <w:rPr>
                <w:noProof/>
                <w:webHidden/>
              </w:rPr>
              <w:tab/>
            </w:r>
            <w:r>
              <w:rPr>
                <w:noProof/>
                <w:webHidden/>
              </w:rPr>
              <w:fldChar w:fldCharType="begin"/>
            </w:r>
            <w:r>
              <w:rPr>
                <w:noProof/>
                <w:webHidden/>
              </w:rPr>
              <w:instrText xml:space="preserve"> PAGEREF _Toc479595235 \h </w:instrText>
            </w:r>
            <w:r>
              <w:rPr>
                <w:noProof/>
                <w:webHidden/>
              </w:rPr>
            </w:r>
            <w:r>
              <w:rPr>
                <w:noProof/>
                <w:webHidden/>
              </w:rPr>
              <w:fldChar w:fldCharType="separate"/>
            </w:r>
            <w:r>
              <w:rPr>
                <w:noProof/>
                <w:webHidden/>
              </w:rPr>
              <w:t>76</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6" w:history="1">
            <w:r w:rsidRPr="0079164A">
              <w:rPr>
                <w:rStyle w:val="Hyperlink"/>
                <w:noProof/>
              </w:rPr>
              <w:t>Second round evaluation</w:t>
            </w:r>
            <w:r>
              <w:rPr>
                <w:noProof/>
                <w:webHidden/>
              </w:rPr>
              <w:tab/>
            </w:r>
            <w:r>
              <w:rPr>
                <w:noProof/>
                <w:webHidden/>
              </w:rPr>
              <w:fldChar w:fldCharType="begin"/>
            </w:r>
            <w:r>
              <w:rPr>
                <w:noProof/>
                <w:webHidden/>
              </w:rPr>
              <w:instrText xml:space="preserve"> PAGEREF _Toc479595236 \h </w:instrText>
            </w:r>
            <w:r>
              <w:rPr>
                <w:noProof/>
                <w:webHidden/>
              </w:rPr>
            </w:r>
            <w:r>
              <w:rPr>
                <w:noProof/>
                <w:webHidden/>
              </w:rPr>
              <w:fldChar w:fldCharType="separate"/>
            </w:r>
            <w:r>
              <w:rPr>
                <w:noProof/>
                <w:webHidden/>
              </w:rPr>
              <w:t>77</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7" w:history="1">
            <w:r w:rsidRPr="0079164A">
              <w:rPr>
                <w:rStyle w:val="Hyperlink"/>
                <w:noProof/>
              </w:rPr>
              <w:t>Second round benefit-risk assessment</w:t>
            </w:r>
            <w:r>
              <w:rPr>
                <w:noProof/>
                <w:webHidden/>
              </w:rPr>
              <w:tab/>
            </w:r>
            <w:r>
              <w:rPr>
                <w:noProof/>
                <w:webHidden/>
              </w:rPr>
              <w:fldChar w:fldCharType="begin"/>
            </w:r>
            <w:r>
              <w:rPr>
                <w:noProof/>
                <w:webHidden/>
              </w:rPr>
              <w:instrText xml:space="preserve"> PAGEREF _Toc479595237 \h </w:instrText>
            </w:r>
            <w:r>
              <w:rPr>
                <w:noProof/>
                <w:webHidden/>
              </w:rPr>
            </w:r>
            <w:r>
              <w:rPr>
                <w:noProof/>
                <w:webHidden/>
              </w:rPr>
              <w:fldChar w:fldCharType="separate"/>
            </w:r>
            <w:r>
              <w:rPr>
                <w:noProof/>
                <w:webHidden/>
              </w:rPr>
              <w:t>78</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38" w:history="1">
            <w:r w:rsidRPr="0079164A">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_Toc479595238 \h </w:instrText>
            </w:r>
            <w:r>
              <w:rPr>
                <w:noProof/>
                <w:webHidden/>
              </w:rPr>
            </w:r>
            <w:r>
              <w:rPr>
                <w:noProof/>
                <w:webHidden/>
              </w:rPr>
              <w:fldChar w:fldCharType="separate"/>
            </w:r>
            <w:r>
              <w:rPr>
                <w:noProof/>
                <w:webHidden/>
              </w:rPr>
              <w:t>78</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39" w:history="1">
            <w:r w:rsidRPr="0079164A">
              <w:rPr>
                <w:rStyle w:val="Hyperlink"/>
                <w:noProof/>
              </w:rPr>
              <w:t>V. Pharmacovigilance findings</w:t>
            </w:r>
            <w:r>
              <w:rPr>
                <w:noProof/>
                <w:webHidden/>
              </w:rPr>
              <w:tab/>
            </w:r>
            <w:r>
              <w:rPr>
                <w:noProof/>
                <w:webHidden/>
              </w:rPr>
              <w:fldChar w:fldCharType="begin"/>
            </w:r>
            <w:r>
              <w:rPr>
                <w:noProof/>
                <w:webHidden/>
              </w:rPr>
              <w:instrText xml:space="preserve"> PAGEREF _Toc479595239 \h </w:instrText>
            </w:r>
            <w:r>
              <w:rPr>
                <w:noProof/>
                <w:webHidden/>
              </w:rPr>
            </w:r>
            <w:r>
              <w:rPr>
                <w:noProof/>
                <w:webHidden/>
              </w:rPr>
              <w:fldChar w:fldCharType="separate"/>
            </w:r>
            <w:r>
              <w:rPr>
                <w:noProof/>
                <w:webHidden/>
              </w:rPr>
              <w:t>78</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40" w:history="1">
            <w:r w:rsidRPr="0079164A">
              <w:rPr>
                <w:rStyle w:val="Hyperlink"/>
                <w:noProof/>
                <w:lang w:eastAsia="en-AU"/>
              </w:rPr>
              <w:t>Risk management plan</w:t>
            </w:r>
            <w:r>
              <w:rPr>
                <w:noProof/>
                <w:webHidden/>
              </w:rPr>
              <w:tab/>
            </w:r>
            <w:r>
              <w:rPr>
                <w:noProof/>
                <w:webHidden/>
              </w:rPr>
              <w:fldChar w:fldCharType="begin"/>
            </w:r>
            <w:r>
              <w:rPr>
                <w:noProof/>
                <w:webHidden/>
              </w:rPr>
              <w:instrText xml:space="preserve"> PAGEREF _Toc479595240 \h </w:instrText>
            </w:r>
            <w:r>
              <w:rPr>
                <w:noProof/>
                <w:webHidden/>
              </w:rPr>
            </w:r>
            <w:r>
              <w:rPr>
                <w:noProof/>
                <w:webHidden/>
              </w:rPr>
              <w:fldChar w:fldCharType="separate"/>
            </w:r>
            <w:r>
              <w:rPr>
                <w:noProof/>
                <w:webHidden/>
              </w:rPr>
              <w:t>78</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41" w:history="1">
            <w:r w:rsidRPr="0079164A">
              <w:rPr>
                <w:rStyle w:val="Hyperlink"/>
                <w:noProof/>
              </w:rPr>
              <w:t>VI. Overall conclusion and risk/benefit assessment</w:t>
            </w:r>
            <w:r>
              <w:rPr>
                <w:noProof/>
                <w:webHidden/>
              </w:rPr>
              <w:tab/>
            </w:r>
            <w:r>
              <w:rPr>
                <w:noProof/>
                <w:webHidden/>
              </w:rPr>
              <w:fldChar w:fldCharType="begin"/>
            </w:r>
            <w:r>
              <w:rPr>
                <w:noProof/>
                <w:webHidden/>
              </w:rPr>
              <w:instrText xml:space="preserve"> PAGEREF _Toc479595241 \h </w:instrText>
            </w:r>
            <w:r>
              <w:rPr>
                <w:noProof/>
                <w:webHidden/>
              </w:rPr>
            </w:r>
            <w:r>
              <w:rPr>
                <w:noProof/>
                <w:webHidden/>
              </w:rPr>
              <w:fldChar w:fldCharType="separate"/>
            </w:r>
            <w:r>
              <w:rPr>
                <w:noProof/>
                <w:webHidden/>
              </w:rPr>
              <w:t>85</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42" w:history="1">
            <w:r w:rsidRPr="0079164A">
              <w:rPr>
                <w:rStyle w:val="Hyperlink"/>
                <w:noProof/>
              </w:rPr>
              <w:t>Risk-benefit analysis</w:t>
            </w:r>
            <w:r>
              <w:rPr>
                <w:noProof/>
                <w:webHidden/>
              </w:rPr>
              <w:tab/>
            </w:r>
            <w:r>
              <w:rPr>
                <w:noProof/>
                <w:webHidden/>
              </w:rPr>
              <w:fldChar w:fldCharType="begin"/>
            </w:r>
            <w:r>
              <w:rPr>
                <w:noProof/>
                <w:webHidden/>
              </w:rPr>
              <w:instrText xml:space="preserve"> PAGEREF _Toc479595242 \h </w:instrText>
            </w:r>
            <w:r>
              <w:rPr>
                <w:noProof/>
                <w:webHidden/>
              </w:rPr>
            </w:r>
            <w:r>
              <w:rPr>
                <w:noProof/>
                <w:webHidden/>
              </w:rPr>
              <w:fldChar w:fldCharType="separate"/>
            </w:r>
            <w:r>
              <w:rPr>
                <w:noProof/>
                <w:webHidden/>
              </w:rPr>
              <w:t>85</w:t>
            </w:r>
            <w:r>
              <w:rPr>
                <w:noProof/>
                <w:webHidden/>
              </w:rPr>
              <w:fldChar w:fldCharType="end"/>
            </w:r>
          </w:hyperlink>
        </w:p>
        <w:p w:rsidR="00EB215B" w:rsidRDefault="00EB215B">
          <w:pPr>
            <w:pStyle w:val="TOC3"/>
            <w:rPr>
              <w:rFonts w:asciiTheme="minorHAnsi" w:eastAsiaTheme="minorEastAsia" w:hAnsiTheme="minorHAnsi" w:cstheme="minorBidi"/>
              <w:noProof/>
              <w:lang w:eastAsia="en-AU"/>
            </w:rPr>
          </w:pPr>
          <w:hyperlink w:anchor="_Toc479595243" w:history="1">
            <w:r w:rsidRPr="0079164A">
              <w:rPr>
                <w:rStyle w:val="Hyperlink"/>
                <w:noProof/>
              </w:rPr>
              <w:t>Outcome</w:t>
            </w:r>
            <w:r>
              <w:rPr>
                <w:noProof/>
                <w:webHidden/>
              </w:rPr>
              <w:tab/>
            </w:r>
            <w:r>
              <w:rPr>
                <w:noProof/>
                <w:webHidden/>
              </w:rPr>
              <w:fldChar w:fldCharType="begin"/>
            </w:r>
            <w:r>
              <w:rPr>
                <w:noProof/>
                <w:webHidden/>
              </w:rPr>
              <w:instrText xml:space="preserve"> PAGEREF _Toc479595243 \h </w:instrText>
            </w:r>
            <w:r>
              <w:rPr>
                <w:noProof/>
                <w:webHidden/>
              </w:rPr>
            </w:r>
            <w:r>
              <w:rPr>
                <w:noProof/>
                <w:webHidden/>
              </w:rPr>
              <w:fldChar w:fldCharType="separate"/>
            </w:r>
            <w:r>
              <w:rPr>
                <w:noProof/>
                <w:webHidden/>
              </w:rPr>
              <w:t>92</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44" w:history="1">
            <w:r w:rsidRPr="0079164A">
              <w:rPr>
                <w:rStyle w:val="Hyperlink"/>
                <w:noProof/>
              </w:rPr>
              <w:t>Attachment 1. Product Information</w:t>
            </w:r>
            <w:r>
              <w:rPr>
                <w:noProof/>
                <w:webHidden/>
              </w:rPr>
              <w:tab/>
            </w:r>
            <w:r>
              <w:rPr>
                <w:noProof/>
                <w:webHidden/>
              </w:rPr>
              <w:fldChar w:fldCharType="begin"/>
            </w:r>
            <w:r>
              <w:rPr>
                <w:noProof/>
                <w:webHidden/>
              </w:rPr>
              <w:instrText xml:space="preserve"> PAGEREF _Toc479595244 \h </w:instrText>
            </w:r>
            <w:r>
              <w:rPr>
                <w:noProof/>
                <w:webHidden/>
              </w:rPr>
            </w:r>
            <w:r>
              <w:rPr>
                <w:noProof/>
                <w:webHidden/>
              </w:rPr>
              <w:fldChar w:fldCharType="separate"/>
            </w:r>
            <w:r>
              <w:rPr>
                <w:noProof/>
                <w:webHidden/>
              </w:rPr>
              <w:t>92</w:t>
            </w:r>
            <w:r>
              <w:rPr>
                <w:noProof/>
                <w:webHidden/>
              </w:rPr>
              <w:fldChar w:fldCharType="end"/>
            </w:r>
          </w:hyperlink>
        </w:p>
        <w:p w:rsidR="00EB215B" w:rsidRDefault="00EB215B">
          <w:pPr>
            <w:pStyle w:val="TOC2"/>
            <w:rPr>
              <w:rFonts w:asciiTheme="minorHAnsi" w:eastAsiaTheme="minorEastAsia" w:hAnsiTheme="minorHAnsi" w:cstheme="minorBidi"/>
              <w:b w:val="0"/>
              <w:noProof/>
              <w:sz w:val="22"/>
              <w:lang w:eastAsia="en-AU"/>
            </w:rPr>
          </w:pPr>
          <w:hyperlink w:anchor="_Toc479595245" w:history="1">
            <w:r w:rsidRPr="0079164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_Toc479595245 \h </w:instrText>
            </w:r>
            <w:r>
              <w:rPr>
                <w:noProof/>
                <w:webHidden/>
              </w:rPr>
            </w:r>
            <w:r>
              <w:rPr>
                <w:noProof/>
                <w:webHidden/>
              </w:rPr>
              <w:fldChar w:fldCharType="separate"/>
            </w:r>
            <w:r>
              <w:rPr>
                <w:noProof/>
                <w:webHidden/>
              </w:rPr>
              <w:t>92</w:t>
            </w:r>
            <w:r>
              <w:rPr>
                <w:noProof/>
                <w:webHidden/>
              </w:rPr>
              <w:fldChar w:fldCharType="end"/>
            </w:r>
          </w:hyperlink>
        </w:p>
        <w:p w:rsidR="003A7F6C" w:rsidRPr="00B811C6" w:rsidRDefault="00DB6124" w:rsidP="00B811C6">
          <w:pPr>
            <w:pStyle w:val="TOC2"/>
          </w:pPr>
          <w:r>
            <w:fldChar w:fldCharType="end"/>
          </w:r>
        </w:p>
      </w:sdtContent>
    </w:sdt>
    <w:bookmarkStart w:id="7"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8" w:name="_Toc351716269"/>
      <w:bookmarkStart w:id="9" w:name="_Toc351718881"/>
      <w:bookmarkStart w:id="10" w:name="_Toc355338616"/>
      <w:bookmarkStart w:id="11" w:name="_Toc356306144"/>
      <w:bookmarkStart w:id="12" w:name="_Toc479595208"/>
      <w:r>
        <w:lastRenderedPageBreak/>
        <w:t>Common</w:t>
      </w:r>
      <w:r w:rsidR="00FD119B" w:rsidRPr="00FD119B">
        <w:t xml:space="preserve"> abbreviations</w:t>
      </w:r>
      <w:bookmarkEnd w:id="8"/>
      <w:bookmarkEnd w:id="9"/>
      <w:bookmarkEnd w:id="10"/>
      <w:bookmarkEnd w:id="11"/>
      <w:bookmarkEnd w:id="12"/>
    </w:p>
    <w:tbl>
      <w:tblPr>
        <w:tblStyle w:val="TableTGAblue"/>
        <w:tblW w:w="0" w:type="auto"/>
        <w:tblLook w:val="04A0" w:firstRow="1" w:lastRow="0" w:firstColumn="1" w:lastColumn="0" w:noHBand="0" w:noVBand="1"/>
      </w:tblPr>
      <w:tblGrid>
        <w:gridCol w:w="1951"/>
        <w:gridCol w:w="6769"/>
      </w:tblGrid>
      <w:tr w:rsidR="00FD119B" w:rsidRPr="00FD119B" w:rsidTr="00071CDD">
        <w:trPr>
          <w:cnfStyle w:val="100000000000" w:firstRow="1" w:lastRow="0" w:firstColumn="0" w:lastColumn="0" w:oddVBand="0" w:evenVBand="0" w:oddHBand="0" w:evenHBand="0" w:firstRowFirstColumn="0" w:firstRowLastColumn="0" w:lastRowFirstColumn="0" w:lastRowLastColumn="0"/>
        </w:trPr>
        <w:tc>
          <w:tcPr>
            <w:tcW w:w="1951"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769" w:type="dxa"/>
          </w:tcPr>
          <w:p w:rsidR="00FD119B" w:rsidRPr="00FD119B" w:rsidRDefault="00FD119B" w:rsidP="00FD119B">
            <w:pPr>
              <w:keepNext w:val="0"/>
              <w:ind w:left="0" w:right="0"/>
              <w:rPr>
                <w:szCs w:val="22"/>
                <w:lang w:eastAsia="en-US"/>
              </w:rPr>
            </w:pPr>
            <w:r w:rsidRPr="00FD119B">
              <w:rPr>
                <w:szCs w:val="22"/>
                <w:lang w:eastAsia="en-US"/>
              </w:rPr>
              <w:t>Meaning</w:t>
            </w:r>
          </w:p>
        </w:tc>
      </w:tr>
      <w:tr w:rsidR="00020FE3" w:rsidRPr="00FD119B" w:rsidTr="00071CDD">
        <w:tc>
          <w:tcPr>
            <w:tcW w:w="1951" w:type="dxa"/>
            <w:vAlign w:val="center"/>
          </w:tcPr>
          <w:p w:rsidR="00020FE3" w:rsidRDefault="00020FE3" w:rsidP="00071CDD">
            <w:pPr>
              <w:rPr>
                <w:color w:val="000000"/>
                <w:szCs w:val="22"/>
              </w:rPr>
            </w:pPr>
            <w:r w:rsidRPr="00020FE3">
              <w:rPr>
                <w:color w:val="000000"/>
                <w:szCs w:val="22"/>
              </w:rPr>
              <w:t>≈</w:t>
            </w:r>
          </w:p>
        </w:tc>
        <w:tc>
          <w:tcPr>
            <w:tcW w:w="6769" w:type="dxa"/>
            <w:vAlign w:val="center"/>
          </w:tcPr>
          <w:p w:rsidR="00020FE3" w:rsidRDefault="00020FE3" w:rsidP="00071CDD">
            <w:pPr>
              <w:rPr>
                <w:color w:val="000000"/>
                <w:szCs w:val="22"/>
              </w:rPr>
            </w:pPr>
            <w:r>
              <w:rPr>
                <w:color w:val="000000"/>
                <w:szCs w:val="22"/>
              </w:rPr>
              <w:t>approximately</w:t>
            </w:r>
          </w:p>
        </w:tc>
      </w:tr>
      <w:tr w:rsidR="00C87935" w:rsidRPr="00FD119B" w:rsidTr="00071CDD">
        <w:tc>
          <w:tcPr>
            <w:tcW w:w="1951" w:type="dxa"/>
            <w:vAlign w:val="center"/>
          </w:tcPr>
          <w:p w:rsidR="00C87935" w:rsidRDefault="00C87935" w:rsidP="00FD25AF">
            <w:pPr>
              <w:rPr>
                <w:color w:val="000000"/>
                <w:szCs w:val="22"/>
              </w:rPr>
            </w:pPr>
            <w:r>
              <w:rPr>
                <w:color w:val="000000"/>
                <w:szCs w:val="22"/>
              </w:rPr>
              <w:t>ACPM</w:t>
            </w:r>
          </w:p>
        </w:tc>
        <w:tc>
          <w:tcPr>
            <w:tcW w:w="6769" w:type="dxa"/>
            <w:vAlign w:val="center"/>
          </w:tcPr>
          <w:p w:rsidR="00C87935" w:rsidRDefault="00C87935" w:rsidP="00FD25AF">
            <w:pPr>
              <w:rPr>
                <w:color w:val="000000"/>
                <w:szCs w:val="22"/>
              </w:rPr>
            </w:pPr>
            <w:r w:rsidRPr="00C87935">
              <w:rPr>
                <w:color w:val="000000"/>
                <w:szCs w:val="22"/>
              </w:rPr>
              <w:t>Advisory Committee on Prescription Medicines</w:t>
            </w:r>
          </w:p>
        </w:tc>
      </w:tr>
      <w:tr w:rsidR="00F84693" w:rsidRPr="00FD119B" w:rsidTr="00071CDD">
        <w:tc>
          <w:tcPr>
            <w:tcW w:w="1951" w:type="dxa"/>
            <w:vAlign w:val="center"/>
          </w:tcPr>
          <w:p w:rsidR="00F84693" w:rsidRDefault="00F84693">
            <w:pPr>
              <w:rPr>
                <w:color w:val="000000"/>
                <w:szCs w:val="22"/>
              </w:rPr>
            </w:pPr>
            <w:r>
              <w:rPr>
                <w:color w:val="000000"/>
                <w:szCs w:val="22"/>
              </w:rPr>
              <w:t>AE</w:t>
            </w:r>
          </w:p>
        </w:tc>
        <w:tc>
          <w:tcPr>
            <w:tcW w:w="6769" w:type="dxa"/>
            <w:vAlign w:val="center"/>
          </w:tcPr>
          <w:p w:rsidR="00F84693" w:rsidRDefault="00BD0824" w:rsidP="00092EA7">
            <w:pPr>
              <w:rPr>
                <w:color w:val="000000"/>
                <w:szCs w:val="22"/>
              </w:rPr>
            </w:pPr>
            <w:r>
              <w:rPr>
                <w:color w:val="000000"/>
                <w:szCs w:val="22"/>
              </w:rPr>
              <w:t>a</w:t>
            </w:r>
            <w:r w:rsidR="00F84693">
              <w:rPr>
                <w:color w:val="000000"/>
                <w:szCs w:val="22"/>
              </w:rPr>
              <w:t xml:space="preserve">dverse </w:t>
            </w:r>
            <w:r w:rsidR="00092EA7">
              <w:rPr>
                <w:color w:val="000000"/>
                <w:szCs w:val="22"/>
              </w:rPr>
              <w:t>e</w:t>
            </w:r>
            <w:r w:rsidR="00F84693">
              <w:rPr>
                <w:color w:val="000000"/>
                <w:szCs w:val="22"/>
              </w:rPr>
              <w:t>vent</w:t>
            </w:r>
          </w:p>
        </w:tc>
      </w:tr>
      <w:tr w:rsidR="00F84693" w:rsidRPr="00FD119B" w:rsidTr="00071CDD">
        <w:tc>
          <w:tcPr>
            <w:tcW w:w="1951" w:type="dxa"/>
            <w:vAlign w:val="center"/>
          </w:tcPr>
          <w:p w:rsidR="00F84693" w:rsidRDefault="00F84693">
            <w:pPr>
              <w:rPr>
                <w:color w:val="000000"/>
                <w:szCs w:val="22"/>
              </w:rPr>
            </w:pPr>
            <w:r>
              <w:rPr>
                <w:color w:val="000000"/>
                <w:szCs w:val="22"/>
              </w:rPr>
              <w:t>AED</w:t>
            </w:r>
          </w:p>
        </w:tc>
        <w:tc>
          <w:tcPr>
            <w:tcW w:w="6769" w:type="dxa"/>
            <w:vAlign w:val="center"/>
          </w:tcPr>
          <w:p w:rsidR="00F84693" w:rsidRDefault="00BD0824">
            <w:pPr>
              <w:rPr>
                <w:color w:val="000000"/>
                <w:szCs w:val="22"/>
              </w:rPr>
            </w:pPr>
            <w:r>
              <w:rPr>
                <w:color w:val="000000"/>
                <w:szCs w:val="22"/>
              </w:rPr>
              <w:t>a</w:t>
            </w:r>
            <w:r w:rsidR="00F84693">
              <w:rPr>
                <w:color w:val="000000"/>
                <w:szCs w:val="22"/>
              </w:rPr>
              <w:t>ntiepileptic drug</w:t>
            </w:r>
          </w:p>
        </w:tc>
      </w:tr>
      <w:tr w:rsidR="00F84693" w:rsidRPr="00FD119B" w:rsidTr="00071CDD">
        <w:tc>
          <w:tcPr>
            <w:tcW w:w="1951" w:type="dxa"/>
            <w:vAlign w:val="center"/>
          </w:tcPr>
          <w:p w:rsidR="00F84693" w:rsidRDefault="00F84693">
            <w:pPr>
              <w:rPr>
                <w:color w:val="000000"/>
                <w:szCs w:val="22"/>
              </w:rPr>
            </w:pPr>
            <w:r>
              <w:rPr>
                <w:color w:val="000000"/>
                <w:szCs w:val="22"/>
              </w:rPr>
              <w:t>ALP</w:t>
            </w:r>
          </w:p>
        </w:tc>
        <w:tc>
          <w:tcPr>
            <w:tcW w:w="6769" w:type="dxa"/>
            <w:vAlign w:val="center"/>
          </w:tcPr>
          <w:p w:rsidR="00F84693" w:rsidRDefault="00F84693">
            <w:pPr>
              <w:rPr>
                <w:color w:val="000000"/>
                <w:szCs w:val="22"/>
              </w:rPr>
            </w:pPr>
            <w:r>
              <w:rPr>
                <w:color w:val="000000"/>
                <w:szCs w:val="22"/>
              </w:rPr>
              <w:t>alprazolam</w:t>
            </w:r>
          </w:p>
        </w:tc>
      </w:tr>
      <w:tr w:rsidR="00F84693" w:rsidRPr="00FD119B" w:rsidTr="00071CDD">
        <w:tc>
          <w:tcPr>
            <w:tcW w:w="1951" w:type="dxa"/>
            <w:vAlign w:val="center"/>
          </w:tcPr>
          <w:p w:rsidR="00F84693" w:rsidRDefault="00F84693">
            <w:pPr>
              <w:rPr>
                <w:color w:val="000000"/>
                <w:szCs w:val="22"/>
              </w:rPr>
            </w:pPr>
            <w:r>
              <w:rPr>
                <w:color w:val="000000"/>
                <w:szCs w:val="22"/>
              </w:rPr>
              <w:t>AMPA</w:t>
            </w:r>
          </w:p>
        </w:tc>
        <w:tc>
          <w:tcPr>
            <w:tcW w:w="6769" w:type="dxa"/>
            <w:vAlign w:val="center"/>
          </w:tcPr>
          <w:p w:rsidR="00F84693" w:rsidRDefault="00F84693">
            <w:pPr>
              <w:rPr>
                <w:color w:val="000000"/>
                <w:szCs w:val="22"/>
              </w:rPr>
            </w:pPr>
            <w:r>
              <w:rPr>
                <w:color w:val="000000"/>
                <w:szCs w:val="22"/>
              </w:rPr>
              <w:t>α-amino-3-hydroxy-5-methyl-4-isoxazolepropionic acid</w:t>
            </w:r>
          </w:p>
        </w:tc>
      </w:tr>
      <w:tr w:rsidR="00F84693" w:rsidRPr="00FD119B" w:rsidTr="00071CDD">
        <w:tc>
          <w:tcPr>
            <w:tcW w:w="1951" w:type="dxa"/>
            <w:vAlign w:val="center"/>
          </w:tcPr>
          <w:p w:rsidR="00F84693" w:rsidRDefault="00F84693">
            <w:pPr>
              <w:rPr>
                <w:color w:val="000000"/>
                <w:szCs w:val="22"/>
              </w:rPr>
            </w:pPr>
            <w:r>
              <w:rPr>
                <w:color w:val="000000"/>
                <w:szCs w:val="22"/>
              </w:rPr>
              <w:t>ANOVA</w:t>
            </w:r>
          </w:p>
        </w:tc>
        <w:tc>
          <w:tcPr>
            <w:tcW w:w="6769" w:type="dxa"/>
            <w:vAlign w:val="center"/>
          </w:tcPr>
          <w:p w:rsidR="00F84693" w:rsidRDefault="00F84693">
            <w:pPr>
              <w:rPr>
                <w:color w:val="000000"/>
                <w:szCs w:val="22"/>
              </w:rPr>
            </w:pPr>
            <w:r>
              <w:rPr>
                <w:color w:val="000000"/>
                <w:szCs w:val="22"/>
              </w:rPr>
              <w:t>analysis of variance</w:t>
            </w:r>
          </w:p>
        </w:tc>
      </w:tr>
      <w:tr w:rsidR="00F84693" w:rsidRPr="00FD119B" w:rsidTr="00071CDD">
        <w:tc>
          <w:tcPr>
            <w:tcW w:w="1951" w:type="dxa"/>
            <w:vAlign w:val="center"/>
          </w:tcPr>
          <w:p w:rsidR="00F84693" w:rsidRDefault="00F84693">
            <w:pPr>
              <w:rPr>
                <w:color w:val="000000"/>
                <w:szCs w:val="22"/>
              </w:rPr>
            </w:pPr>
            <w:r>
              <w:rPr>
                <w:color w:val="000000"/>
                <w:szCs w:val="22"/>
              </w:rPr>
              <w:t>API</w:t>
            </w:r>
          </w:p>
        </w:tc>
        <w:tc>
          <w:tcPr>
            <w:tcW w:w="6769" w:type="dxa"/>
            <w:vAlign w:val="center"/>
          </w:tcPr>
          <w:p w:rsidR="00F84693" w:rsidRDefault="00BD0824">
            <w:pPr>
              <w:rPr>
                <w:color w:val="000000"/>
                <w:szCs w:val="22"/>
              </w:rPr>
            </w:pPr>
            <w:r>
              <w:rPr>
                <w:color w:val="000000"/>
                <w:szCs w:val="22"/>
              </w:rPr>
              <w:t>a</w:t>
            </w:r>
            <w:r w:rsidR="00F84693">
              <w:rPr>
                <w:color w:val="000000"/>
                <w:szCs w:val="22"/>
              </w:rPr>
              <w:t>ctive pharmaceutical ingredient</w:t>
            </w:r>
          </w:p>
        </w:tc>
      </w:tr>
      <w:tr w:rsidR="00F84693" w:rsidRPr="00FD119B" w:rsidTr="00071CDD">
        <w:tc>
          <w:tcPr>
            <w:tcW w:w="1951" w:type="dxa"/>
            <w:vAlign w:val="center"/>
          </w:tcPr>
          <w:p w:rsidR="00F84693" w:rsidRDefault="00F84693">
            <w:pPr>
              <w:rPr>
                <w:color w:val="000000"/>
                <w:szCs w:val="22"/>
              </w:rPr>
            </w:pPr>
            <w:r>
              <w:rPr>
                <w:color w:val="000000"/>
                <w:szCs w:val="22"/>
              </w:rPr>
              <w:t>ARCI</w:t>
            </w:r>
          </w:p>
        </w:tc>
        <w:tc>
          <w:tcPr>
            <w:tcW w:w="6769" w:type="dxa"/>
            <w:vAlign w:val="center"/>
          </w:tcPr>
          <w:p w:rsidR="00F84693" w:rsidRDefault="00F84693">
            <w:pPr>
              <w:rPr>
                <w:color w:val="000000"/>
                <w:szCs w:val="22"/>
              </w:rPr>
            </w:pPr>
            <w:r>
              <w:rPr>
                <w:color w:val="000000"/>
                <w:szCs w:val="22"/>
              </w:rPr>
              <w:t>Addiction Research Centre Inventory</w:t>
            </w:r>
          </w:p>
        </w:tc>
      </w:tr>
      <w:tr w:rsidR="00F84693" w:rsidRPr="00FD119B" w:rsidTr="00071CDD">
        <w:tc>
          <w:tcPr>
            <w:tcW w:w="1951" w:type="dxa"/>
            <w:vAlign w:val="center"/>
          </w:tcPr>
          <w:p w:rsidR="00F84693" w:rsidRDefault="00F84693">
            <w:pPr>
              <w:rPr>
                <w:color w:val="000000"/>
                <w:szCs w:val="22"/>
              </w:rPr>
            </w:pPr>
            <w:r>
              <w:rPr>
                <w:color w:val="000000"/>
                <w:szCs w:val="22"/>
              </w:rPr>
              <w:t xml:space="preserve">ARCI-49 </w:t>
            </w:r>
          </w:p>
        </w:tc>
        <w:tc>
          <w:tcPr>
            <w:tcW w:w="6769" w:type="dxa"/>
            <w:vAlign w:val="center"/>
          </w:tcPr>
          <w:p w:rsidR="00F84693" w:rsidRDefault="00F84693">
            <w:pPr>
              <w:rPr>
                <w:color w:val="000000"/>
                <w:szCs w:val="22"/>
              </w:rPr>
            </w:pPr>
            <w:r>
              <w:rPr>
                <w:color w:val="000000"/>
                <w:szCs w:val="22"/>
              </w:rPr>
              <w:t>Addiction Research</w:t>
            </w:r>
            <w:r w:rsidR="00092EA7">
              <w:rPr>
                <w:color w:val="000000"/>
                <w:szCs w:val="22"/>
              </w:rPr>
              <w:t xml:space="preserve"> Centre Inventory, 49 questions </w:t>
            </w:r>
            <w:r>
              <w:rPr>
                <w:color w:val="000000"/>
                <w:szCs w:val="22"/>
              </w:rPr>
              <w:t>sub-scale</w:t>
            </w:r>
          </w:p>
        </w:tc>
      </w:tr>
      <w:tr w:rsidR="006B5434" w:rsidRPr="00FD119B" w:rsidTr="00071CDD">
        <w:tc>
          <w:tcPr>
            <w:tcW w:w="1951" w:type="dxa"/>
          </w:tcPr>
          <w:p w:rsidR="006B5434" w:rsidRPr="00FD119B" w:rsidRDefault="006B5434" w:rsidP="00FD25AF">
            <w:pPr>
              <w:ind w:left="142" w:right="0"/>
              <w:rPr>
                <w:color w:val="auto"/>
                <w:szCs w:val="22"/>
                <w:lang w:eastAsia="en-US"/>
              </w:rPr>
            </w:pPr>
            <w:r>
              <w:rPr>
                <w:color w:val="auto"/>
                <w:szCs w:val="22"/>
                <w:lang w:eastAsia="en-US"/>
              </w:rPr>
              <w:t>ASA</w:t>
            </w:r>
          </w:p>
        </w:tc>
        <w:tc>
          <w:tcPr>
            <w:tcW w:w="6769" w:type="dxa"/>
          </w:tcPr>
          <w:p w:rsidR="006B5434" w:rsidRPr="00FD119B" w:rsidRDefault="006B5434" w:rsidP="00FD25AF">
            <w:pPr>
              <w:ind w:left="176" w:right="0"/>
              <w:rPr>
                <w:color w:val="auto"/>
                <w:szCs w:val="22"/>
                <w:lang w:eastAsia="en-US"/>
              </w:rPr>
            </w:pPr>
            <w:r w:rsidRPr="00990EB0">
              <w:t>Australian Specific Annex</w:t>
            </w:r>
          </w:p>
        </w:tc>
      </w:tr>
      <w:tr w:rsidR="00F84693" w:rsidRPr="00FD119B" w:rsidTr="00071CDD">
        <w:tc>
          <w:tcPr>
            <w:tcW w:w="1951" w:type="dxa"/>
            <w:vAlign w:val="center"/>
          </w:tcPr>
          <w:p w:rsidR="00F84693" w:rsidRDefault="00F84693">
            <w:pPr>
              <w:rPr>
                <w:color w:val="000000"/>
                <w:szCs w:val="22"/>
              </w:rPr>
            </w:pPr>
            <w:r>
              <w:rPr>
                <w:color w:val="000000"/>
                <w:szCs w:val="22"/>
              </w:rPr>
              <w:t>AUC</w:t>
            </w:r>
          </w:p>
        </w:tc>
        <w:tc>
          <w:tcPr>
            <w:tcW w:w="6769" w:type="dxa"/>
            <w:vAlign w:val="center"/>
          </w:tcPr>
          <w:p w:rsidR="00F84693" w:rsidRDefault="006B5434">
            <w:pPr>
              <w:rPr>
                <w:color w:val="000000"/>
                <w:szCs w:val="22"/>
              </w:rPr>
            </w:pPr>
            <w:r>
              <w:rPr>
                <w:color w:val="auto"/>
                <w:szCs w:val="22"/>
                <w:lang w:eastAsia="en-US"/>
              </w:rPr>
              <w:t xml:space="preserve">area under the </w:t>
            </w:r>
            <w:r w:rsidRPr="00FE542B">
              <w:rPr>
                <w:color w:val="auto"/>
                <w:szCs w:val="22"/>
                <w:lang w:eastAsia="en-US"/>
              </w:rPr>
              <w:t>plasm</w:t>
            </w:r>
            <w:r>
              <w:rPr>
                <w:color w:val="auto"/>
                <w:szCs w:val="22"/>
                <w:lang w:eastAsia="en-US"/>
              </w:rPr>
              <w:t>a concentration-time curve</w:t>
            </w:r>
          </w:p>
        </w:tc>
      </w:tr>
      <w:tr w:rsidR="00F84693" w:rsidRPr="00FD119B" w:rsidTr="00071CDD">
        <w:tc>
          <w:tcPr>
            <w:tcW w:w="1951" w:type="dxa"/>
            <w:vAlign w:val="center"/>
          </w:tcPr>
          <w:p w:rsidR="00F84693" w:rsidRDefault="007829FA">
            <w:pPr>
              <w:rPr>
                <w:color w:val="000000"/>
                <w:szCs w:val="22"/>
              </w:rPr>
            </w:pPr>
            <w:r>
              <w:rPr>
                <w:color w:val="000000"/>
                <w:szCs w:val="22"/>
              </w:rPr>
              <w:t>AUC(0-∞)</w:t>
            </w:r>
          </w:p>
        </w:tc>
        <w:tc>
          <w:tcPr>
            <w:tcW w:w="6769" w:type="dxa"/>
            <w:vAlign w:val="center"/>
          </w:tcPr>
          <w:p w:rsidR="00F84693" w:rsidRDefault="00F84693">
            <w:pPr>
              <w:rPr>
                <w:color w:val="000000"/>
                <w:szCs w:val="22"/>
              </w:rPr>
            </w:pPr>
            <w:r>
              <w:rPr>
                <w:color w:val="000000"/>
                <w:szCs w:val="22"/>
              </w:rPr>
              <w:t>area under the plasma concentration-time curve from zero to infinity</w:t>
            </w:r>
          </w:p>
        </w:tc>
      </w:tr>
      <w:tr w:rsidR="00F84693" w:rsidRPr="00FD119B" w:rsidTr="00071CDD">
        <w:tc>
          <w:tcPr>
            <w:tcW w:w="1951" w:type="dxa"/>
            <w:vAlign w:val="center"/>
          </w:tcPr>
          <w:p w:rsidR="00F84693" w:rsidRDefault="00F84693">
            <w:pPr>
              <w:rPr>
                <w:color w:val="000000"/>
                <w:szCs w:val="22"/>
              </w:rPr>
            </w:pPr>
            <w:r>
              <w:rPr>
                <w:color w:val="000000"/>
                <w:szCs w:val="22"/>
              </w:rPr>
              <w:t xml:space="preserve">AUC(0-t) </w:t>
            </w:r>
          </w:p>
        </w:tc>
        <w:tc>
          <w:tcPr>
            <w:tcW w:w="6769" w:type="dxa"/>
            <w:vAlign w:val="center"/>
          </w:tcPr>
          <w:p w:rsidR="00F84693" w:rsidRDefault="00F84693">
            <w:pPr>
              <w:rPr>
                <w:color w:val="000000"/>
                <w:szCs w:val="22"/>
              </w:rPr>
            </w:pPr>
            <w:r>
              <w:rPr>
                <w:color w:val="000000"/>
                <w:szCs w:val="22"/>
              </w:rPr>
              <w:t>area under the plasma concentration-time curve from zero to the time of the last measured concentration above the limit of quantification</w:t>
            </w:r>
          </w:p>
        </w:tc>
      </w:tr>
      <w:tr w:rsidR="00F84693" w:rsidRPr="00FD119B" w:rsidTr="00071CDD">
        <w:tc>
          <w:tcPr>
            <w:tcW w:w="1951" w:type="dxa"/>
            <w:vAlign w:val="center"/>
          </w:tcPr>
          <w:p w:rsidR="00F84693" w:rsidRDefault="00F84693">
            <w:pPr>
              <w:rPr>
                <w:color w:val="000000"/>
                <w:szCs w:val="22"/>
              </w:rPr>
            </w:pPr>
            <w:r>
              <w:rPr>
                <w:color w:val="000000"/>
                <w:szCs w:val="22"/>
              </w:rPr>
              <w:t xml:space="preserve">AUC(0-t)norm </w:t>
            </w:r>
          </w:p>
        </w:tc>
        <w:tc>
          <w:tcPr>
            <w:tcW w:w="6769" w:type="dxa"/>
            <w:vAlign w:val="center"/>
          </w:tcPr>
          <w:p w:rsidR="00F84693" w:rsidRDefault="00F84693" w:rsidP="00092EA7">
            <w:pPr>
              <w:rPr>
                <w:color w:val="000000"/>
                <w:szCs w:val="22"/>
              </w:rPr>
            </w:pPr>
            <w:r>
              <w:rPr>
                <w:color w:val="000000"/>
                <w:szCs w:val="22"/>
              </w:rPr>
              <w:t>AUC(0-t) defined above, dose normali</w:t>
            </w:r>
            <w:r w:rsidR="00092EA7">
              <w:rPr>
                <w:color w:val="000000"/>
                <w:szCs w:val="22"/>
              </w:rPr>
              <w:t>s</w:t>
            </w:r>
            <w:r>
              <w:rPr>
                <w:color w:val="000000"/>
                <w:szCs w:val="22"/>
              </w:rPr>
              <w:t>ed to the BRV 50</w:t>
            </w:r>
            <w:r w:rsidR="00092EA7">
              <w:rPr>
                <w:color w:val="000000"/>
                <w:szCs w:val="22"/>
              </w:rPr>
              <w:t xml:space="preserve"> </w:t>
            </w:r>
            <w:r>
              <w:rPr>
                <w:color w:val="000000"/>
                <w:szCs w:val="22"/>
              </w:rPr>
              <w:t>mg reference treatment</w:t>
            </w:r>
          </w:p>
        </w:tc>
      </w:tr>
      <w:tr w:rsidR="00F84693" w:rsidRPr="00FD119B" w:rsidTr="00071CDD">
        <w:tc>
          <w:tcPr>
            <w:tcW w:w="1951" w:type="dxa"/>
            <w:vAlign w:val="center"/>
          </w:tcPr>
          <w:p w:rsidR="00F84693" w:rsidRDefault="00F84693">
            <w:pPr>
              <w:rPr>
                <w:color w:val="000000"/>
                <w:szCs w:val="22"/>
              </w:rPr>
            </w:pPr>
            <w:proofErr w:type="spellStart"/>
            <w:r>
              <w:rPr>
                <w:color w:val="000000"/>
                <w:szCs w:val="22"/>
              </w:rPr>
              <w:t>AUCnorm</w:t>
            </w:r>
            <w:proofErr w:type="spellEnd"/>
            <w:r>
              <w:rPr>
                <w:color w:val="000000"/>
                <w:szCs w:val="22"/>
              </w:rPr>
              <w:t xml:space="preserve"> </w:t>
            </w:r>
          </w:p>
        </w:tc>
        <w:tc>
          <w:tcPr>
            <w:tcW w:w="6769" w:type="dxa"/>
            <w:vAlign w:val="center"/>
          </w:tcPr>
          <w:p w:rsidR="00F84693" w:rsidRDefault="00F84693" w:rsidP="00092EA7">
            <w:pPr>
              <w:rPr>
                <w:color w:val="000000"/>
                <w:szCs w:val="22"/>
              </w:rPr>
            </w:pPr>
            <w:r>
              <w:rPr>
                <w:color w:val="000000"/>
                <w:szCs w:val="22"/>
              </w:rPr>
              <w:t>AUC defined above, dose normali</w:t>
            </w:r>
            <w:r w:rsidR="00092EA7">
              <w:rPr>
                <w:color w:val="000000"/>
                <w:szCs w:val="22"/>
              </w:rPr>
              <w:t>s</w:t>
            </w:r>
            <w:r>
              <w:rPr>
                <w:color w:val="000000"/>
                <w:szCs w:val="22"/>
              </w:rPr>
              <w:t>ed to the BRV 50</w:t>
            </w:r>
            <w:r w:rsidR="00092EA7">
              <w:rPr>
                <w:color w:val="000000"/>
                <w:szCs w:val="22"/>
              </w:rPr>
              <w:t xml:space="preserve"> </w:t>
            </w:r>
            <w:r>
              <w:rPr>
                <w:color w:val="000000"/>
                <w:szCs w:val="22"/>
              </w:rPr>
              <w:t>mg reference treatment</w:t>
            </w:r>
          </w:p>
        </w:tc>
      </w:tr>
      <w:tr w:rsidR="00F84693" w:rsidRPr="00FD119B" w:rsidTr="00071CDD">
        <w:tc>
          <w:tcPr>
            <w:tcW w:w="1951" w:type="dxa"/>
            <w:vAlign w:val="center"/>
          </w:tcPr>
          <w:p w:rsidR="00F84693" w:rsidRDefault="00F84693">
            <w:pPr>
              <w:rPr>
                <w:color w:val="000000"/>
                <w:szCs w:val="22"/>
              </w:rPr>
            </w:pPr>
            <w:r>
              <w:rPr>
                <w:color w:val="000000"/>
                <w:szCs w:val="22"/>
              </w:rPr>
              <w:t>β-</w:t>
            </w:r>
            <w:proofErr w:type="spellStart"/>
            <w:r>
              <w:rPr>
                <w:color w:val="000000"/>
                <w:szCs w:val="22"/>
              </w:rPr>
              <w:t>hCG</w:t>
            </w:r>
            <w:proofErr w:type="spellEnd"/>
            <w:r>
              <w:rPr>
                <w:color w:val="000000"/>
                <w:szCs w:val="22"/>
              </w:rPr>
              <w:t xml:space="preserve"> </w:t>
            </w:r>
          </w:p>
        </w:tc>
        <w:tc>
          <w:tcPr>
            <w:tcW w:w="6769" w:type="dxa"/>
            <w:vAlign w:val="center"/>
          </w:tcPr>
          <w:p w:rsidR="00F84693" w:rsidRDefault="00F84693">
            <w:pPr>
              <w:rPr>
                <w:color w:val="000000"/>
                <w:szCs w:val="22"/>
              </w:rPr>
            </w:pPr>
            <w:r>
              <w:rPr>
                <w:color w:val="000000"/>
                <w:szCs w:val="22"/>
              </w:rPr>
              <w:t>beta-human chorionic gonadotropin</w:t>
            </w:r>
          </w:p>
        </w:tc>
      </w:tr>
      <w:tr w:rsidR="00F84693" w:rsidRPr="00FD119B" w:rsidTr="00071CDD">
        <w:tc>
          <w:tcPr>
            <w:tcW w:w="1951" w:type="dxa"/>
            <w:vAlign w:val="center"/>
          </w:tcPr>
          <w:p w:rsidR="00F84693" w:rsidRDefault="00F84693">
            <w:pPr>
              <w:rPr>
                <w:color w:val="000000"/>
                <w:szCs w:val="22"/>
              </w:rPr>
            </w:pPr>
            <w:r>
              <w:rPr>
                <w:color w:val="000000"/>
                <w:szCs w:val="22"/>
              </w:rPr>
              <w:t xml:space="preserve">BA </w:t>
            </w:r>
          </w:p>
        </w:tc>
        <w:tc>
          <w:tcPr>
            <w:tcW w:w="6769" w:type="dxa"/>
            <w:vAlign w:val="center"/>
          </w:tcPr>
          <w:p w:rsidR="00F84693" w:rsidRDefault="00F84693">
            <w:pPr>
              <w:rPr>
                <w:color w:val="000000"/>
                <w:szCs w:val="22"/>
              </w:rPr>
            </w:pPr>
            <w:r>
              <w:rPr>
                <w:color w:val="000000"/>
                <w:szCs w:val="22"/>
              </w:rPr>
              <w:t>bioavailability</w:t>
            </w:r>
          </w:p>
        </w:tc>
      </w:tr>
      <w:tr w:rsidR="00F84693" w:rsidRPr="00FD119B" w:rsidTr="00071CDD">
        <w:tc>
          <w:tcPr>
            <w:tcW w:w="1951" w:type="dxa"/>
            <w:vAlign w:val="center"/>
          </w:tcPr>
          <w:p w:rsidR="00F84693" w:rsidRDefault="00F84693">
            <w:pPr>
              <w:rPr>
                <w:color w:val="000000"/>
                <w:szCs w:val="22"/>
              </w:rPr>
            </w:pPr>
            <w:r>
              <w:rPr>
                <w:color w:val="000000"/>
                <w:szCs w:val="22"/>
              </w:rPr>
              <w:t xml:space="preserve">BCS </w:t>
            </w:r>
          </w:p>
        </w:tc>
        <w:tc>
          <w:tcPr>
            <w:tcW w:w="6769" w:type="dxa"/>
            <w:vAlign w:val="center"/>
          </w:tcPr>
          <w:p w:rsidR="00F84693" w:rsidRDefault="00F84693">
            <w:pPr>
              <w:rPr>
                <w:color w:val="000000"/>
                <w:szCs w:val="22"/>
              </w:rPr>
            </w:pPr>
            <w:proofErr w:type="spellStart"/>
            <w:r>
              <w:rPr>
                <w:color w:val="000000"/>
                <w:szCs w:val="22"/>
              </w:rPr>
              <w:t>Biopharmaceutic</w:t>
            </w:r>
            <w:proofErr w:type="spellEnd"/>
            <w:r>
              <w:rPr>
                <w:color w:val="000000"/>
                <w:szCs w:val="22"/>
              </w:rPr>
              <w:t xml:space="preserve"> Classification System</w:t>
            </w:r>
          </w:p>
        </w:tc>
      </w:tr>
      <w:tr w:rsidR="00F84693" w:rsidRPr="00FD119B" w:rsidTr="00071CDD">
        <w:tc>
          <w:tcPr>
            <w:tcW w:w="1951" w:type="dxa"/>
            <w:vAlign w:val="center"/>
          </w:tcPr>
          <w:p w:rsidR="00F84693" w:rsidRDefault="00F84693">
            <w:pPr>
              <w:rPr>
                <w:color w:val="000000"/>
                <w:szCs w:val="22"/>
              </w:rPr>
            </w:pPr>
            <w:r>
              <w:rPr>
                <w:color w:val="000000"/>
                <w:szCs w:val="22"/>
              </w:rPr>
              <w:t xml:space="preserve">BE </w:t>
            </w:r>
          </w:p>
        </w:tc>
        <w:tc>
          <w:tcPr>
            <w:tcW w:w="6769" w:type="dxa"/>
            <w:vAlign w:val="center"/>
          </w:tcPr>
          <w:p w:rsidR="00F84693" w:rsidRDefault="00F84693">
            <w:pPr>
              <w:rPr>
                <w:color w:val="000000"/>
                <w:szCs w:val="22"/>
              </w:rPr>
            </w:pPr>
            <w:r>
              <w:rPr>
                <w:color w:val="000000"/>
                <w:szCs w:val="22"/>
              </w:rPr>
              <w:t>bioequivalence</w:t>
            </w:r>
          </w:p>
        </w:tc>
      </w:tr>
      <w:tr w:rsidR="00F84693" w:rsidRPr="00FD119B" w:rsidTr="00071CDD">
        <w:tc>
          <w:tcPr>
            <w:tcW w:w="1951" w:type="dxa"/>
            <w:vAlign w:val="center"/>
          </w:tcPr>
          <w:p w:rsidR="00F84693" w:rsidRPr="008C7CB5" w:rsidRDefault="00F84693" w:rsidP="008C7CB5">
            <w:proofErr w:type="spellStart"/>
            <w:r w:rsidRPr="008C7CB5">
              <w:t>b.i.d</w:t>
            </w:r>
            <w:proofErr w:type="spellEnd"/>
            <w:r w:rsidRPr="008C7CB5">
              <w:t xml:space="preserve">. </w:t>
            </w:r>
          </w:p>
        </w:tc>
        <w:tc>
          <w:tcPr>
            <w:tcW w:w="6769" w:type="dxa"/>
            <w:vAlign w:val="bottom"/>
          </w:tcPr>
          <w:p w:rsidR="00F84693" w:rsidRPr="008C7CB5" w:rsidRDefault="00F84693" w:rsidP="008C7CB5">
            <w:r w:rsidRPr="008C7CB5">
              <w:t>(</w:t>
            </w:r>
            <w:proofErr w:type="spellStart"/>
            <w:r w:rsidRPr="008C7CB5">
              <w:t>bis</w:t>
            </w:r>
            <w:proofErr w:type="spellEnd"/>
            <w:r w:rsidRPr="008C7CB5">
              <w:t xml:space="preserve"> in die) twice daily</w:t>
            </w:r>
          </w:p>
        </w:tc>
      </w:tr>
      <w:tr w:rsidR="00F84693" w:rsidRPr="00FD119B" w:rsidTr="00071CDD">
        <w:tc>
          <w:tcPr>
            <w:tcW w:w="1951" w:type="dxa"/>
            <w:vAlign w:val="center"/>
          </w:tcPr>
          <w:p w:rsidR="00F84693" w:rsidRDefault="00F84693">
            <w:pPr>
              <w:rPr>
                <w:color w:val="000000"/>
                <w:szCs w:val="22"/>
              </w:rPr>
            </w:pPr>
            <w:r>
              <w:rPr>
                <w:color w:val="000000"/>
                <w:szCs w:val="22"/>
              </w:rPr>
              <w:t xml:space="preserve">BMI </w:t>
            </w:r>
          </w:p>
        </w:tc>
        <w:tc>
          <w:tcPr>
            <w:tcW w:w="6769" w:type="dxa"/>
            <w:vAlign w:val="center"/>
          </w:tcPr>
          <w:p w:rsidR="00F84693" w:rsidRDefault="00F84693">
            <w:pPr>
              <w:rPr>
                <w:color w:val="000000"/>
                <w:szCs w:val="22"/>
              </w:rPr>
            </w:pPr>
            <w:r>
              <w:rPr>
                <w:color w:val="000000"/>
                <w:szCs w:val="22"/>
              </w:rPr>
              <w:t>body mass index</w:t>
            </w:r>
          </w:p>
        </w:tc>
      </w:tr>
      <w:tr w:rsidR="00F84693" w:rsidRPr="00FD119B" w:rsidTr="00071CDD">
        <w:tc>
          <w:tcPr>
            <w:tcW w:w="1951" w:type="dxa"/>
            <w:vAlign w:val="center"/>
          </w:tcPr>
          <w:p w:rsidR="00F84693" w:rsidRDefault="00F84693">
            <w:pPr>
              <w:rPr>
                <w:color w:val="000000"/>
                <w:szCs w:val="22"/>
              </w:rPr>
            </w:pPr>
            <w:r>
              <w:rPr>
                <w:color w:val="000000"/>
                <w:szCs w:val="22"/>
              </w:rPr>
              <w:lastRenderedPageBreak/>
              <w:t>BRV</w:t>
            </w:r>
          </w:p>
        </w:tc>
        <w:tc>
          <w:tcPr>
            <w:tcW w:w="6769" w:type="dxa"/>
            <w:vAlign w:val="center"/>
          </w:tcPr>
          <w:p w:rsidR="00F84693" w:rsidRDefault="00F84693">
            <w:pPr>
              <w:rPr>
                <w:color w:val="000000"/>
                <w:szCs w:val="22"/>
              </w:rPr>
            </w:pPr>
            <w:r>
              <w:rPr>
                <w:color w:val="000000"/>
                <w:szCs w:val="22"/>
              </w:rPr>
              <w:t>brivaracetam</w:t>
            </w:r>
          </w:p>
        </w:tc>
      </w:tr>
      <w:tr w:rsidR="00A21B8A" w:rsidRPr="00FD119B" w:rsidTr="00071CDD">
        <w:tc>
          <w:tcPr>
            <w:tcW w:w="1951" w:type="dxa"/>
            <w:vAlign w:val="center"/>
          </w:tcPr>
          <w:p w:rsidR="00A21B8A" w:rsidRDefault="00A21B8A" w:rsidP="00FD25AF">
            <w:pPr>
              <w:rPr>
                <w:color w:val="000000"/>
                <w:szCs w:val="22"/>
              </w:rPr>
            </w:pPr>
            <w:r>
              <w:rPr>
                <w:color w:val="000000"/>
                <w:szCs w:val="22"/>
              </w:rPr>
              <w:t>BSA</w:t>
            </w:r>
          </w:p>
        </w:tc>
        <w:tc>
          <w:tcPr>
            <w:tcW w:w="6769" w:type="dxa"/>
            <w:vAlign w:val="center"/>
          </w:tcPr>
          <w:p w:rsidR="00A21B8A" w:rsidRDefault="001A2F77" w:rsidP="00FD25AF">
            <w:pPr>
              <w:rPr>
                <w:color w:val="000000"/>
                <w:szCs w:val="22"/>
              </w:rPr>
            </w:pPr>
            <w:r>
              <w:rPr>
                <w:color w:val="000000"/>
                <w:szCs w:val="22"/>
              </w:rPr>
              <w:t>body surface area</w:t>
            </w:r>
          </w:p>
        </w:tc>
      </w:tr>
      <w:tr w:rsidR="00F84693" w:rsidRPr="00FD119B" w:rsidTr="00071CDD">
        <w:tc>
          <w:tcPr>
            <w:tcW w:w="1951" w:type="dxa"/>
            <w:vAlign w:val="center"/>
          </w:tcPr>
          <w:p w:rsidR="00F84693" w:rsidRDefault="00F84693">
            <w:pPr>
              <w:rPr>
                <w:color w:val="000000"/>
                <w:szCs w:val="22"/>
              </w:rPr>
            </w:pPr>
            <w:r>
              <w:rPr>
                <w:color w:val="000000"/>
                <w:szCs w:val="22"/>
              </w:rPr>
              <w:t>CBZ</w:t>
            </w:r>
          </w:p>
        </w:tc>
        <w:tc>
          <w:tcPr>
            <w:tcW w:w="6769" w:type="dxa"/>
            <w:vAlign w:val="center"/>
          </w:tcPr>
          <w:p w:rsidR="00F84693" w:rsidRDefault="00F84693">
            <w:pPr>
              <w:rPr>
                <w:color w:val="000000"/>
                <w:szCs w:val="22"/>
              </w:rPr>
            </w:pPr>
            <w:r>
              <w:rPr>
                <w:color w:val="000000"/>
                <w:szCs w:val="22"/>
              </w:rPr>
              <w:t>carbamazepine</w:t>
            </w:r>
          </w:p>
        </w:tc>
      </w:tr>
      <w:tr w:rsidR="00F84693" w:rsidRPr="00FD119B" w:rsidTr="00071CDD">
        <w:tc>
          <w:tcPr>
            <w:tcW w:w="1951" w:type="dxa"/>
            <w:vAlign w:val="center"/>
          </w:tcPr>
          <w:p w:rsidR="00F84693" w:rsidRDefault="00F84693">
            <w:pPr>
              <w:rPr>
                <w:color w:val="000000"/>
                <w:szCs w:val="22"/>
              </w:rPr>
            </w:pPr>
            <w:r>
              <w:rPr>
                <w:color w:val="000000"/>
                <w:szCs w:val="22"/>
              </w:rPr>
              <w:t>CI</w:t>
            </w:r>
          </w:p>
        </w:tc>
        <w:tc>
          <w:tcPr>
            <w:tcW w:w="6769" w:type="dxa"/>
            <w:vAlign w:val="center"/>
          </w:tcPr>
          <w:p w:rsidR="00F84693" w:rsidRDefault="00F84693">
            <w:pPr>
              <w:rPr>
                <w:color w:val="000000"/>
                <w:szCs w:val="22"/>
              </w:rPr>
            </w:pPr>
            <w:r>
              <w:rPr>
                <w:color w:val="000000"/>
                <w:szCs w:val="22"/>
              </w:rPr>
              <w:t>confidence interval</w:t>
            </w:r>
          </w:p>
        </w:tc>
      </w:tr>
      <w:tr w:rsidR="00F84693" w:rsidRPr="00FD119B" w:rsidTr="00071CDD">
        <w:tc>
          <w:tcPr>
            <w:tcW w:w="1951" w:type="dxa"/>
            <w:vAlign w:val="center"/>
          </w:tcPr>
          <w:p w:rsidR="00F84693" w:rsidRDefault="00F84693">
            <w:pPr>
              <w:rPr>
                <w:color w:val="000000"/>
                <w:szCs w:val="22"/>
              </w:rPr>
            </w:pPr>
            <w:r>
              <w:rPr>
                <w:color w:val="000000"/>
                <w:szCs w:val="22"/>
              </w:rPr>
              <w:t xml:space="preserve">CL/F </w:t>
            </w:r>
          </w:p>
        </w:tc>
        <w:tc>
          <w:tcPr>
            <w:tcW w:w="6769" w:type="dxa"/>
            <w:vAlign w:val="center"/>
          </w:tcPr>
          <w:p w:rsidR="00F84693" w:rsidRDefault="00F84693">
            <w:pPr>
              <w:rPr>
                <w:color w:val="000000"/>
                <w:szCs w:val="22"/>
              </w:rPr>
            </w:pPr>
            <w:r>
              <w:rPr>
                <w:color w:val="000000"/>
                <w:szCs w:val="22"/>
              </w:rPr>
              <w:t>apparent total plasma clearance</w:t>
            </w:r>
          </w:p>
        </w:tc>
      </w:tr>
      <w:tr w:rsidR="00F84693" w:rsidRPr="00FD119B" w:rsidTr="00071CDD">
        <w:tc>
          <w:tcPr>
            <w:tcW w:w="1951" w:type="dxa"/>
            <w:vAlign w:val="center"/>
          </w:tcPr>
          <w:p w:rsidR="00F84693" w:rsidRDefault="00F84693">
            <w:pPr>
              <w:rPr>
                <w:color w:val="000000"/>
                <w:szCs w:val="22"/>
              </w:rPr>
            </w:pPr>
            <w:r>
              <w:rPr>
                <w:color w:val="000000"/>
                <w:szCs w:val="22"/>
              </w:rPr>
              <w:t>Cav</w:t>
            </w:r>
          </w:p>
        </w:tc>
        <w:tc>
          <w:tcPr>
            <w:tcW w:w="6769" w:type="dxa"/>
            <w:vAlign w:val="center"/>
          </w:tcPr>
          <w:p w:rsidR="00F84693" w:rsidRDefault="00F84693">
            <w:pPr>
              <w:rPr>
                <w:color w:val="000000"/>
                <w:szCs w:val="22"/>
              </w:rPr>
            </w:pPr>
            <w:r>
              <w:rPr>
                <w:color w:val="000000"/>
                <w:szCs w:val="22"/>
              </w:rPr>
              <w:t>average plasma concentration</w:t>
            </w:r>
          </w:p>
        </w:tc>
      </w:tr>
      <w:tr w:rsidR="00F84693" w:rsidRPr="00FD119B" w:rsidTr="00071CDD">
        <w:tc>
          <w:tcPr>
            <w:tcW w:w="1951" w:type="dxa"/>
            <w:vAlign w:val="center"/>
          </w:tcPr>
          <w:p w:rsidR="00F84693" w:rsidRDefault="00F84693">
            <w:pPr>
              <w:rPr>
                <w:color w:val="000000"/>
                <w:szCs w:val="22"/>
              </w:rPr>
            </w:pPr>
            <w:r>
              <w:rPr>
                <w:color w:val="000000"/>
                <w:szCs w:val="22"/>
              </w:rPr>
              <w:t xml:space="preserve">Cmax </w:t>
            </w:r>
          </w:p>
        </w:tc>
        <w:tc>
          <w:tcPr>
            <w:tcW w:w="6769" w:type="dxa"/>
            <w:vAlign w:val="center"/>
          </w:tcPr>
          <w:p w:rsidR="00F84693" w:rsidRDefault="00F84693">
            <w:pPr>
              <w:rPr>
                <w:color w:val="000000"/>
                <w:szCs w:val="22"/>
              </w:rPr>
            </w:pPr>
            <w:r>
              <w:rPr>
                <w:color w:val="000000"/>
                <w:szCs w:val="22"/>
              </w:rPr>
              <w:t>maximum plasma concentration</w:t>
            </w:r>
          </w:p>
        </w:tc>
      </w:tr>
      <w:tr w:rsidR="00F84693" w:rsidRPr="00FD119B" w:rsidTr="00071CDD">
        <w:tc>
          <w:tcPr>
            <w:tcW w:w="1951" w:type="dxa"/>
            <w:vAlign w:val="center"/>
          </w:tcPr>
          <w:p w:rsidR="00F84693" w:rsidRDefault="00F84693">
            <w:pPr>
              <w:rPr>
                <w:color w:val="000000"/>
                <w:szCs w:val="22"/>
              </w:rPr>
            </w:pPr>
            <w:r>
              <w:rPr>
                <w:color w:val="000000"/>
                <w:szCs w:val="22"/>
              </w:rPr>
              <w:t xml:space="preserve">Cmax, norm </w:t>
            </w:r>
          </w:p>
        </w:tc>
        <w:tc>
          <w:tcPr>
            <w:tcW w:w="6769" w:type="dxa"/>
            <w:vAlign w:val="center"/>
          </w:tcPr>
          <w:p w:rsidR="00F84693" w:rsidRDefault="00F84693" w:rsidP="00092EA7">
            <w:pPr>
              <w:rPr>
                <w:color w:val="000000"/>
                <w:szCs w:val="22"/>
              </w:rPr>
            </w:pPr>
            <w:r>
              <w:rPr>
                <w:color w:val="000000"/>
                <w:szCs w:val="22"/>
              </w:rPr>
              <w:t>Cmax dose normali</w:t>
            </w:r>
            <w:r w:rsidR="00092EA7">
              <w:rPr>
                <w:color w:val="000000"/>
                <w:szCs w:val="22"/>
              </w:rPr>
              <w:t>s</w:t>
            </w:r>
            <w:r>
              <w:rPr>
                <w:color w:val="000000"/>
                <w:szCs w:val="22"/>
              </w:rPr>
              <w:t>ed to the BRV 50</w:t>
            </w:r>
            <w:r w:rsidR="00092EA7">
              <w:rPr>
                <w:color w:val="000000"/>
                <w:szCs w:val="22"/>
              </w:rPr>
              <w:t xml:space="preserve"> </w:t>
            </w:r>
            <w:r>
              <w:rPr>
                <w:color w:val="000000"/>
                <w:szCs w:val="22"/>
              </w:rPr>
              <w:t>mg reference treatment</w:t>
            </w:r>
          </w:p>
        </w:tc>
      </w:tr>
      <w:tr w:rsidR="006B5434" w:rsidRPr="00FD119B" w:rsidTr="00071CDD">
        <w:tc>
          <w:tcPr>
            <w:tcW w:w="1951" w:type="dxa"/>
          </w:tcPr>
          <w:p w:rsidR="006B5434" w:rsidRPr="00FD119B" w:rsidRDefault="006B5434" w:rsidP="00FD25AF">
            <w:pPr>
              <w:ind w:left="142" w:right="0"/>
              <w:rPr>
                <w:color w:val="auto"/>
                <w:szCs w:val="22"/>
                <w:lang w:eastAsia="en-US"/>
              </w:rPr>
            </w:pPr>
            <w:r>
              <w:rPr>
                <w:color w:val="auto"/>
                <w:szCs w:val="22"/>
                <w:lang w:eastAsia="en-US"/>
              </w:rPr>
              <w:t>CMI</w:t>
            </w:r>
          </w:p>
        </w:tc>
        <w:tc>
          <w:tcPr>
            <w:tcW w:w="6769" w:type="dxa"/>
          </w:tcPr>
          <w:p w:rsidR="006B5434" w:rsidRPr="00FD119B" w:rsidRDefault="006B5434" w:rsidP="00FD25AF">
            <w:pPr>
              <w:ind w:left="176" w:right="0"/>
              <w:rPr>
                <w:color w:val="auto"/>
                <w:szCs w:val="22"/>
                <w:lang w:eastAsia="en-US"/>
              </w:rPr>
            </w:pPr>
            <w:r w:rsidRPr="00DC1AC4">
              <w:t>Consumer Medicine Information</w:t>
            </w:r>
          </w:p>
        </w:tc>
      </w:tr>
      <w:tr w:rsidR="00F84693" w:rsidRPr="00FD119B" w:rsidTr="00071CDD">
        <w:tc>
          <w:tcPr>
            <w:tcW w:w="1951" w:type="dxa"/>
            <w:vAlign w:val="center"/>
          </w:tcPr>
          <w:p w:rsidR="00F84693" w:rsidRDefault="00F84693">
            <w:pPr>
              <w:rPr>
                <w:color w:val="000000"/>
                <w:szCs w:val="22"/>
              </w:rPr>
            </w:pPr>
            <w:r>
              <w:rPr>
                <w:color w:val="000000"/>
                <w:szCs w:val="22"/>
              </w:rPr>
              <w:t xml:space="preserve">CRF </w:t>
            </w:r>
          </w:p>
        </w:tc>
        <w:tc>
          <w:tcPr>
            <w:tcW w:w="6769" w:type="dxa"/>
            <w:vAlign w:val="center"/>
          </w:tcPr>
          <w:p w:rsidR="00F84693" w:rsidRDefault="00F84693">
            <w:pPr>
              <w:rPr>
                <w:color w:val="000000"/>
                <w:szCs w:val="22"/>
              </w:rPr>
            </w:pPr>
            <w:r>
              <w:rPr>
                <w:color w:val="000000"/>
                <w:szCs w:val="22"/>
              </w:rPr>
              <w:t>Case Report form</w:t>
            </w:r>
          </w:p>
        </w:tc>
      </w:tr>
      <w:tr w:rsidR="00F84693" w:rsidRPr="00FD119B" w:rsidTr="00071CDD">
        <w:tc>
          <w:tcPr>
            <w:tcW w:w="1951" w:type="dxa"/>
            <w:vAlign w:val="center"/>
          </w:tcPr>
          <w:p w:rsidR="00F84693" w:rsidRDefault="00F84693">
            <w:pPr>
              <w:rPr>
                <w:color w:val="000000"/>
                <w:szCs w:val="22"/>
              </w:rPr>
            </w:pPr>
            <w:r>
              <w:rPr>
                <w:color w:val="000000"/>
                <w:szCs w:val="22"/>
              </w:rPr>
              <w:t>CRT</w:t>
            </w:r>
          </w:p>
        </w:tc>
        <w:tc>
          <w:tcPr>
            <w:tcW w:w="6769" w:type="dxa"/>
            <w:vAlign w:val="center"/>
          </w:tcPr>
          <w:p w:rsidR="00F84693" w:rsidRDefault="00F84693">
            <w:pPr>
              <w:rPr>
                <w:color w:val="000000"/>
                <w:szCs w:val="22"/>
              </w:rPr>
            </w:pPr>
            <w:r>
              <w:rPr>
                <w:color w:val="000000"/>
                <w:szCs w:val="22"/>
              </w:rPr>
              <w:t>choice reaction time</w:t>
            </w:r>
          </w:p>
        </w:tc>
      </w:tr>
      <w:tr w:rsidR="00F84693" w:rsidRPr="00FD119B" w:rsidTr="00071CDD">
        <w:tc>
          <w:tcPr>
            <w:tcW w:w="1951" w:type="dxa"/>
            <w:vAlign w:val="center"/>
          </w:tcPr>
          <w:p w:rsidR="00F84693" w:rsidRDefault="00F84693">
            <w:pPr>
              <w:rPr>
                <w:color w:val="000000"/>
                <w:szCs w:val="22"/>
              </w:rPr>
            </w:pPr>
            <w:proofErr w:type="spellStart"/>
            <w:r>
              <w:rPr>
                <w:color w:val="000000"/>
                <w:szCs w:val="22"/>
              </w:rPr>
              <w:t>Css</w:t>
            </w:r>
            <w:proofErr w:type="spellEnd"/>
          </w:p>
        </w:tc>
        <w:tc>
          <w:tcPr>
            <w:tcW w:w="6769" w:type="dxa"/>
            <w:vAlign w:val="center"/>
          </w:tcPr>
          <w:p w:rsidR="00F84693" w:rsidRDefault="00F84693">
            <w:pPr>
              <w:rPr>
                <w:color w:val="000000"/>
                <w:szCs w:val="22"/>
              </w:rPr>
            </w:pPr>
            <w:r>
              <w:rPr>
                <w:color w:val="000000"/>
                <w:szCs w:val="22"/>
              </w:rPr>
              <w:t>steady state concentration</w:t>
            </w:r>
          </w:p>
        </w:tc>
      </w:tr>
      <w:tr w:rsidR="00F84693" w:rsidRPr="00FD119B" w:rsidTr="00071CDD">
        <w:tc>
          <w:tcPr>
            <w:tcW w:w="1951" w:type="dxa"/>
            <w:vAlign w:val="center"/>
          </w:tcPr>
          <w:p w:rsidR="00F84693" w:rsidRDefault="00F84693">
            <w:pPr>
              <w:rPr>
                <w:color w:val="000000"/>
                <w:szCs w:val="22"/>
              </w:rPr>
            </w:pPr>
            <w:r>
              <w:rPr>
                <w:color w:val="000000"/>
                <w:szCs w:val="22"/>
              </w:rPr>
              <w:t xml:space="preserve">CV </w:t>
            </w:r>
          </w:p>
        </w:tc>
        <w:tc>
          <w:tcPr>
            <w:tcW w:w="6769" w:type="dxa"/>
            <w:vAlign w:val="center"/>
          </w:tcPr>
          <w:p w:rsidR="00F84693" w:rsidRDefault="00F84693">
            <w:pPr>
              <w:rPr>
                <w:color w:val="000000"/>
                <w:szCs w:val="22"/>
              </w:rPr>
            </w:pPr>
            <w:r>
              <w:rPr>
                <w:color w:val="000000"/>
                <w:szCs w:val="22"/>
              </w:rPr>
              <w:t>coefficient of variation</w:t>
            </w:r>
          </w:p>
        </w:tc>
      </w:tr>
      <w:tr w:rsidR="00F84693" w:rsidRPr="00FD119B" w:rsidTr="00071CDD">
        <w:tc>
          <w:tcPr>
            <w:tcW w:w="1951" w:type="dxa"/>
            <w:vAlign w:val="center"/>
          </w:tcPr>
          <w:p w:rsidR="00F84693" w:rsidRDefault="00F84693">
            <w:pPr>
              <w:rPr>
                <w:color w:val="000000"/>
                <w:szCs w:val="22"/>
              </w:rPr>
            </w:pPr>
            <w:r>
              <w:rPr>
                <w:color w:val="000000"/>
                <w:szCs w:val="22"/>
              </w:rPr>
              <w:t xml:space="preserve">DBP </w:t>
            </w:r>
          </w:p>
        </w:tc>
        <w:tc>
          <w:tcPr>
            <w:tcW w:w="6769" w:type="dxa"/>
            <w:vAlign w:val="center"/>
          </w:tcPr>
          <w:p w:rsidR="00F84693" w:rsidRDefault="00F84693">
            <w:pPr>
              <w:rPr>
                <w:color w:val="000000"/>
                <w:szCs w:val="22"/>
              </w:rPr>
            </w:pPr>
            <w:r>
              <w:rPr>
                <w:color w:val="000000"/>
                <w:szCs w:val="22"/>
              </w:rPr>
              <w:t>diastolic blood pressure</w:t>
            </w:r>
          </w:p>
        </w:tc>
      </w:tr>
      <w:tr w:rsidR="00F84693" w:rsidRPr="00FD119B" w:rsidTr="00071CDD">
        <w:tc>
          <w:tcPr>
            <w:tcW w:w="1951" w:type="dxa"/>
            <w:vAlign w:val="center"/>
          </w:tcPr>
          <w:p w:rsidR="00F84693" w:rsidRDefault="00F84693">
            <w:pPr>
              <w:rPr>
                <w:color w:val="000000"/>
                <w:szCs w:val="22"/>
              </w:rPr>
            </w:pPr>
            <w:r>
              <w:rPr>
                <w:color w:val="000000"/>
                <w:szCs w:val="22"/>
              </w:rPr>
              <w:t xml:space="preserve">DRM </w:t>
            </w:r>
          </w:p>
        </w:tc>
        <w:tc>
          <w:tcPr>
            <w:tcW w:w="6769" w:type="dxa"/>
            <w:vAlign w:val="center"/>
          </w:tcPr>
          <w:p w:rsidR="00F84693" w:rsidRDefault="00F84693">
            <w:pPr>
              <w:rPr>
                <w:color w:val="000000"/>
                <w:szCs w:val="22"/>
              </w:rPr>
            </w:pPr>
            <w:r>
              <w:rPr>
                <w:color w:val="000000"/>
                <w:szCs w:val="22"/>
              </w:rPr>
              <w:t>data review meeting</w:t>
            </w:r>
          </w:p>
        </w:tc>
      </w:tr>
      <w:tr w:rsidR="00F84693" w:rsidRPr="00FD119B" w:rsidTr="00071CDD">
        <w:tc>
          <w:tcPr>
            <w:tcW w:w="1951" w:type="dxa"/>
            <w:vAlign w:val="center"/>
          </w:tcPr>
          <w:p w:rsidR="00F84693" w:rsidRDefault="00F84693">
            <w:pPr>
              <w:rPr>
                <w:color w:val="000000"/>
                <w:szCs w:val="22"/>
              </w:rPr>
            </w:pPr>
            <w:r>
              <w:rPr>
                <w:color w:val="000000"/>
                <w:szCs w:val="22"/>
              </w:rPr>
              <w:t xml:space="preserve">DS </w:t>
            </w:r>
          </w:p>
        </w:tc>
        <w:tc>
          <w:tcPr>
            <w:tcW w:w="6769" w:type="dxa"/>
            <w:vAlign w:val="center"/>
          </w:tcPr>
          <w:p w:rsidR="00F84693" w:rsidRDefault="00F84693">
            <w:pPr>
              <w:rPr>
                <w:color w:val="000000"/>
                <w:szCs w:val="22"/>
              </w:rPr>
            </w:pPr>
            <w:r>
              <w:rPr>
                <w:color w:val="000000"/>
                <w:szCs w:val="22"/>
              </w:rPr>
              <w:t>Drug Safety</w:t>
            </w:r>
          </w:p>
        </w:tc>
      </w:tr>
      <w:tr w:rsidR="00F84693" w:rsidRPr="00FD119B" w:rsidTr="00071CDD">
        <w:tc>
          <w:tcPr>
            <w:tcW w:w="1951" w:type="dxa"/>
            <w:vAlign w:val="center"/>
          </w:tcPr>
          <w:p w:rsidR="00F84693" w:rsidRDefault="00F84693">
            <w:pPr>
              <w:rPr>
                <w:color w:val="000000"/>
                <w:szCs w:val="22"/>
              </w:rPr>
            </w:pPr>
            <w:r>
              <w:rPr>
                <w:color w:val="000000"/>
                <w:szCs w:val="22"/>
              </w:rPr>
              <w:t xml:space="preserve">ECG </w:t>
            </w:r>
          </w:p>
        </w:tc>
        <w:tc>
          <w:tcPr>
            <w:tcW w:w="6769" w:type="dxa"/>
            <w:vAlign w:val="center"/>
          </w:tcPr>
          <w:p w:rsidR="00F84693" w:rsidRDefault="00F84693">
            <w:pPr>
              <w:rPr>
                <w:color w:val="000000"/>
                <w:szCs w:val="22"/>
              </w:rPr>
            </w:pPr>
            <w:r>
              <w:rPr>
                <w:color w:val="000000"/>
                <w:szCs w:val="22"/>
              </w:rPr>
              <w:t>electrocardiogram</w:t>
            </w:r>
          </w:p>
        </w:tc>
      </w:tr>
      <w:tr w:rsidR="00F84693" w:rsidRPr="00FD119B" w:rsidTr="00071CDD">
        <w:tc>
          <w:tcPr>
            <w:tcW w:w="1951" w:type="dxa"/>
            <w:vAlign w:val="center"/>
          </w:tcPr>
          <w:p w:rsidR="00F84693" w:rsidRDefault="00F84693">
            <w:pPr>
              <w:rPr>
                <w:color w:val="000000"/>
                <w:szCs w:val="22"/>
              </w:rPr>
            </w:pPr>
            <w:r>
              <w:rPr>
                <w:color w:val="000000"/>
                <w:szCs w:val="22"/>
              </w:rPr>
              <w:t>EEG</w:t>
            </w:r>
          </w:p>
        </w:tc>
        <w:tc>
          <w:tcPr>
            <w:tcW w:w="6769" w:type="dxa"/>
            <w:vAlign w:val="center"/>
          </w:tcPr>
          <w:p w:rsidR="00F84693" w:rsidRDefault="00F84693">
            <w:pPr>
              <w:rPr>
                <w:color w:val="000000"/>
                <w:szCs w:val="22"/>
              </w:rPr>
            </w:pPr>
            <w:r>
              <w:rPr>
                <w:color w:val="000000"/>
                <w:szCs w:val="22"/>
              </w:rPr>
              <w:t>electroencephalogram</w:t>
            </w:r>
          </w:p>
        </w:tc>
      </w:tr>
      <w:tr w:rsidR="00E425EA" w:rsidRPr="00FD119B" w:rsidTr="00071CDD">
        <w:tc>
          <w:tcPr>
            <w:tcW w:w="1951" w:type="dxa"/>
            <w:vAlign w:val="center"/>
          </w:tcPr>
          <w:p w:rsidR="00E425EA" w:rsidRDefault="00E425EA">
            <w:pPr>
              <w:rPr>
                <w:color w:val="000000"/>
                <w:szCs w:val="22"/>
              </w:rPr>
            </w:pPr>
            <w:r>
              <w:rPr>
                <w:color w:val="000000"/>
                <w:szCs w:val="22"/>
              </w:rPr>
              <w:t>EES</w:t>
            </w:r>
          </w:p>
        </w:tc>
        <w:tc>
          <w:tcPr>
            <w:tcW w:w="6769" w:type="dxa"/>
            <w:vAlign w:val="center"/>
          </w:tcPr>
          <w:p w:rsidR="00E425EA" w:rsidRDefault="00E425EA">
            <w:pPr>
              <w:rPr>
                <w:color w:val="000000"/>
                <w:szCs w:val="22"/>
              </w:rPr>
            </w:pPr>
            <w:proofErr w:type="spellStart"/>
            <w:r>
              <w:rPr>
                <w:color w:val="000000"/>
                <w:szCs w:val="22"/>
              </w:rPr>
              <w:t>ethinylestradiol</w:t>
            </w:r>
            <w:proofErr w:type="spellEnd"/>
          </w:p>
        </w:tc>
      </w:tr>
      <w:tr w:rsidR="006B5434" w:rsidRPr="00FD119B" w:rsidTr="00071CDD">
        <w:tc>
          <w:tcPr>
            <w:tcW w:w="1951" w:type="dxa"/>
          </w:tcPr>
          <w:p w:rsidR="006B5434" w:rsidRPr="00FD119B" w:rsidRDefault="006B5434" w:rsidP="00FD25AF">
            <w:pPr>
              <w:ind w:left="142" w:right="0"/>
              <w:rPr>
                <w:color w:val="auto"/>
                <w:szCs w:val="22"/>
                <w:lang w:eastAsia="en-US"/>
              </w:rPr>
            </w:pPr>
            <w:r>
              <w:rPr>
                <w:color w:val="auto"/>
                <w:szCs w:val="22"/>
                <w:lang w:eastAsia="en-US"/>
              </w:rPr>
              <w:t>EMA</w:t>
            </w:r>
          </w:p>
        </w:tc>
        <w:tc>
          <w:tcPr>
            <w:tcW w:w="6769" w:type="dxa"/>
          </w:tcPr>
          <w:p w:rsidR="006B5434" w:rsidRPr="00FD119B" w:rsidRDefault="006B5434" w:rsidP="00FD25AF">
            <w:pPr>
              <w:ind w:left="176" w:right="0"/>
              <w:rPr>
                <w:color w:val="auto"/>
                <w:szCs w:val="22"/>
                <w:lang w:eastAsia="en-US"/>
              </w:rPr>
            </w:pPr>
            <w:r>
              <w:rPr>
                <w:color w:val="auto"/>
                <w:szCs w:val="22"/>
                <w:lang w:eastAsia="en-US"/>
              </w:rPr>
              <w:t>European Medicines Agency</w:t>
            </w:r>
          </w:p>
        </w:tc>
      </w:tr>
      <w:tr w:rsidR="00E425EA" w:rsidRPr="00FD119B" w:rsidTr="00071CDD">
        <w:tc>
          <w:tcPr>
            <w:tcW w:w="1951" w:type="dxa"/>
            <w:vAlign w:val="center"/>
          </w:tcPr>
          <w:p w:rsidR="00E425EA" w:rsidRDefault="00E425EA">
            <w:pPr>
              <w:rPr>
                <w:color w:val="000000"/>
                <w:szCs w:val="22"/>
              </w:rPr>
            </w:pPr>
            <w:r>
              <w:rPr>
                <w:color w:val="000000"/>
                <w:szCs w:val="22"/>
              </w:rPr>
              <w:t xml:space="preserve">ES </w:t>
            </w:r>
          </w:p>
        </w:tc>
        <w:tc>
          <w:tcPr>
            <w:tcW w:w="6769" w:type="dxa"/>
            <w:vAlign w:val="center"/>
          </w:tcPr>
          <w:p w:rsidR="00E425EA" w:rsidRDefault="00E425EA">
            <w:pPr>
              <w:rPr>
                <w:color w:val="000000"/>
                <w:szCs w:val="22"/>
              </w:rPr>
            </w:pPr>
            <w:r>
              <w:rPr>
                <w:color w:val="000000"/>
                <w:szCs w:val="22"/>
              </w:rPr>
              <w:t>Enrolled Set</w:t>
            </w:r>
          </w:p>
        </w:tc>
      </w:tr>
      <w:tr w:rsidR="006B5434" w:rsidRPr="00FD119B" w:rsidTr="00071CDD">
        <w:tc>
          <w:tcPr>
            <w:tcW w:w="1951" w:type="dxa"/>
          </w:tcPr>
          <w:p w:rsidR="006B5434" w:rsidRPr="00FD119B" w:rsidRDefault="006B5434" w:rsidP="00FD25AF">
            <w:pPr>
              <w:ind w:left="142" w:right="0"/>
              <w:rPr>
                <w:color w:val="auto"/>
                <w:szCs w:val="22"/>
                <w:lang w:eastAsia="en-US"/>
              </w:rPr>
            </w:pPr>
            <w:r w:rsidRPr="006B1658">
              <w:t>FDA</w:t>
            </w:r>
          </w:p>
        </w:tc>
        <w:tc>
          <w:tcPr>
            <w:tcW w:w="6769" w:type="dxa"/>
          </w:tcPr>
          <w:p w:rsidR="006B5434" w:rsidRPr="00FD119B" w:rsidRDefault="006B5434" w:rsidP="00FD25AF">
            <w:pPr>
              <w:ind w:left="176" w:right="0"/>
              <w:rPr>
                <w:color w:val="auto"/>
                <w:szCs w:val="22"/>
                <w:lang w:eastAsia="en-US"/>
              </w:rPr>
            </w:pPr>
            <w:r>
              <w:t>Food and Drug Administration (US)</w:t>
            </w:r>
          </w:p>
        </w:tc>
      </w:tr>
      <w:tr w:rsidR="00E425EA" w:rsidRPr="00FD119B" w:rsidTr="00071CDD">
        <w:tc>
          <w:tcPr>
            <w:tcW w:w="1951" w:type="dxa"/>
            <w:vAlign w:val="center"/>
          </w:tcPr>
          <w:p w:rsidR="00E425EA" w:rsidRDefault="00E425EA">
            <w:pPr>
              <w:rPr>
                <w:color w:val="000000"/>
                <w:szCs w:val="22"/>
              </w:rPr>
            </w:pPr>
            <w:r>
              <w:rPr>
                <w:color w:val="000000"/>
                <w:szCs w:val="22"/>
              </w:rPr>
              <w:t xml:space="preserve">GCP </w:t>
            </w:r>
          </w:p>
        </w:tc>
        <w:tc>
          <w:tcPr>
            <w:tcW w:w="6769" w:type="dxa"/>
            <w:vAlign w:val="center"/>
          </w:tcPr>
          <w:p w:rsidR="00E425EA" w:rsidRDefault="00E425EA">
            <w:pPr>
              <w:rPr>
                <w:color w:val="000000"/>
                <w:szCs w:val="22"/>
              </w:rPr>
            </w:pPr>
            <w:r>
              <w:rPr>
                <w:color w:val="000000"/>
                <w:szCs w:val="22"/>
              </w:rPr>
              <w:t>Good Clinical Practice</w:t>
            </w:r>
          </w:p>
        </w:tc>
      </w:tr>
      <w:tr w:rsidR="00E425EA" w:rsidRPr="00FD119B" w:rsidTr="00071CDD">
        <w:tc>
          <w:tcPr>
            <w:tcW w:w="1951" w:type="dxa"/>
            <w:vAlign w:val="center"/>
          </w:tcPr>
          <w:p w:rsidR="00E425EA" w:rsidRDefault="00E425EA">
            <w:pPr>
              <w:rPr>
                <w:color w:val="000000"/>
                <w:szCs w:val="22"/>
              </w:rPr>
            </w:pPr>
            <w:r>
              <w:rPr>
                <w:color w:val="000000"/>
                <w:szCs w:val="22"/>
              </w:rPr>
              <w:t>GFR</w:t>
            </w:r>
          </w:p>
        </w:tc>
        <w:tc>
          <w:tcPr>
            <w:tcW w:w="6769" w:type="dxa"/>
            <w:vAlign w:val="center"/>
          </w:tcPr>
          <w:p w:rsidR="00E425EA" w:rsidRDefault="00E425EA">
            <w:pPr>
              <w:rPr>
                <w:color w:val="000000"/>
                <w:szCs w:val="22"/>
              </w:rPr>
            </w:pPr>
            <w:r>
              <w:rPr>
                <w:color w:val="000000"/>
                <w:szCs w:val="22"/>
              </w:rPr>
              <w:t>glomerular filtration rate</w:t>
            </w:r>
          </w:p>
        </w:tc>
      </w:tr>
      <w:tr w:rsidR="00E425EA" w:rsidRPr="00FD119B" w:rsidTr="00071CDD">
        <w:tc>
          <w:tcPr>
            <w:tcW w:w="1951" w:type="dxa"/>
            <w:vAlign w:val="center"/>
          </w:tcPr>
          <w:p w:rsidR="00E425EA" w:rsidRDefault="00E425EA">
            <w:pPr>
              <w:rPr>
                <w:color w:val="000000"/>
                <w:szCs w:val="22"/>
              </w:rPr>
            </w:pPr>
            <w:r>
              <w:rPr>
                <w:color w:val="000000"/>
                <w:szCs w:val="22"/>
              </w:rPr>
              <w:t>GFZ</w:t>
            </w:r>
          </w:p>
        </w:tc>
        <w:tc>
          <w:tcPr>
            <w:tcW w:w="6769" w:type="dxa"/>
            <w:vAlign w:val="center"/>
          </w:tcPr>
          <w:p w:rsidR="00E425EA" w:rsidRDefault="00E425EA">
            <w:pPr>
              <w:rPr>
                <w:color w:val="000000"/>
                <w:szCs w:val="22"/>
              </w:rPr>
            </w:pPr>
            <w:proofErr w:type="spellStart"/>
            <w:r>
              <w:rPr>
                <w:color w:val="000000"/>
                <w:szCs w:val="22"/>
              </w:rPr>
              <w:t>gemfibrozil</w:t>
            </w:r>
            <w:proofErr w:type="spellEnd"/>
          </w:p>
        </w:tc>
      </w:tr>
      <w:tr w:rsidR="00E425EA" w:rsidRPr="00FD119B" w:rsidTr="00071CDD">
        <w:tc>
          <w:tcPr>
            <w:tcW w:w="1951" w:type="dxa"/>
            <w:vAlign w:val="center"/>
          </w:tcPr>
          <w:p w:rsidR="00E425EA" w:rsidRDefault="00E425EA">
            <w:pPr>
              <w:rPr>
                <w:color w:val="000000"/>
                <w:szCs w:val="22"/>
              </w:rPr>
            </w:pPr>
            <w:r>
              <w:rPr>
                <w:color w:val="000000"/>
                <w:szCs w:val="22"/>
              </w:rPr>
              <w:t>GI</w:t>
            </w:r>
          </w:p>
        </w:tc>
        <w:tc>
          <w:tcPr>
            <w:tcW w:w="6769" w:type="dxa"/>
            <w:vAlign w:val="center"/>
          </w:tcPr>
          <w:p w:rsidR="00E425EA" w:rsidRDefault="00E425EA">
            <w:pPr>
              <w:rPr>
                <w:color w:val="000000"/>
                <w:szCs w:val="22"/>
              </w:rPr>
            </w:pPr>
            <w:r>
              <w:rPr>
                <w:color w:val="000000"/>
                <w:szCs w:val="22"/>
              </w:rPr>
              <w:t>gastrointestinal</w:t>
            </w:r>
          </w:p>
        </w:tc>
      </w:tr>
      <w:tr w:rsidR="00555072" w:rsidRPr="00FD119B" w:rsidTr="00071CDD">
        <w:tc>
          <w:tcPr>
            <w:tcW w:w="1951" w:type="dxa"/>
            <w:vAlign w:val="center"/>
          </w:tcPr>
          <w:p w:rsidR="00555072" w:rsidRDefault="00555072" w:rsidP="00555072">
            <w:pPr>
              <w:rPr>
                <w:color w:val="000000"/>
                <w:szCs w:val="22"/>
              </w:rPr>
            </w:pPr>
            <w:r>
              <w:rPr>
                <w:color w:val="000000"/>
                <w:szCs w:val="22"/>
              </w:rPr>
              <w:lastRenderedPageBreak/>
              <w:t xml:space="preserve">GMP </w:t>
            </w:r>
          </w:p>
        </w:tc>
        <w:tc>
          <w:tcPr>
            <w:tcW w:w="6769" w:type="dxa"/>
            <w:vAlign w:val="center"/>
          </w:tcPr>
          <w:p w:rsidR="00555072" w:rsidRDefault="00555072" w:rsidP="00FD25AF">
            <w:pPr>
              <w:rPr>
                <w:color w:val="000000"/>
                <w:szCs w:val="22"/>
              </w:rPr>
            </w:pPr>
            <w:r>
              <w:rPr>
                <w:color w:val="000000"/>
                <w:szCs w:val="22"/>
              </w:rPr>
              <w:t>Good Manufacturing Practice</w:t>
            </w:r>
          </w:p>
        </w:tc>
      </w:tr>
      <w:tr w:rsidR="00E425EA" w:rsidRPr="00FD119B" w:rsidTr="00071CDD">
        <w:tc>
          <w:tcPr>
            <w:tcW w:w="1951" w:type="dxa"/>
            <w:vAlign w:val="center"/>
          </w:tcPr>
          <w:p w:rsidR="00E425EA" w:rsidRDefault="00E425EA">
            <w:pPr>
              <w:rPr>
                <w:color w:val="000000"/>
                <w:szCs w:val="22"/>
              </w:rPr>
            </w:pPr>
            <w:r>
              <w:rPr>
                <w:color w:val="000000"/>
                <w:szCs w:val="22"/>
              </w:rPr>
              <w:t>IPS</w:t>
            </w:r>
          </w:p>
        </w:tc>
        <w:tc>
          <w:tcPr>
            <w:tcW w:w="6769" w:type="dxa"/>
            <w:vAlign w:val="bottom"/>
          </w:tcPr>
          <w:p w:rsidR="00E425EA" w:rsidRPr="008C7CB5" w:rsidRDefault="00E425EA" w:rsidP="008C7CB5">
            <w:r w:rsidRPr="008C7CB5">
              <w:t>intermittent photic stimulation</w:t>
            </w:r>
          </w:p>
        </w:tc>
      </w:tr>
      <w:tr w:rsidR="00E425EA" w:rsidRPr="00FD119B" w:rsidTr="00071CDD">
        <w:tc>
          <w:tcPr>
            <w:tcW w:w="1951" w:type="dxa"/>
            <w:vAlign w:val="center"/>
          </w:tcPr>
          <w:p w:rsidR="00E425EA" w:rsidRDefault="00E425EA">
            <w:pPr>
              <w:rPr>
                <w:color w:val="000000"/>
                <w:szCs w:val="22"/>
              </w:rPr>
            </w:pPr>
            <w:r>
              <w:rPr>
                <w:color w:val="000000"/>
                <w:szCs w:val="22"/>
              </w:rPr>
              <w:t>IR</w:t>
            </w:r>
          </w:p>
        </w:tc>
        <w:tc>
          <w:tcPr>
            <w:tcW w:w="6769" w:type="dxa"/>
            <w:vAlign w:val="center"/>
          </w:tcPr>
          <w:p w:rsidR="00E425EA" w:rsidRDefault="00E425EA">
            <w:pPr>
              <w:rPr>
                <w:color w:val="000000"/>
                <w:szCs w:val="22"/>
              </w:rPr>
            </w:pPr>
            <w:r>
              <w:rPr>
                <w:color w:val="000000"/>
                <w:szCs w:val="22"/>
              </w:rPr>
              <w:t>immediate release</w:t>
            </w:r>
          </w:p>
        </w:tc>
      </w:tr>
      <w:tr w:rsidR="00E425EA" w:rsidRPr="00FD119B" w:rsidTr="00071CDD">
        <w:tc>
          <w:tcPr>
            <w:tcW w:w="1951" w:type="dxa"/>
            <w:vAlign w:val="center"/>
          </w:tcPr>
          <w:p w:rsidR="00E425EA" w:rsidRDefault="00E425EA">
            <w:pPr>
              <w:rPr>
                <w:color w:val="000000"/>
                <w:szCs w:val="22"/>
              </w:rPr>
            </w:pPr>
            <w:r>
              <w:rPr>
                <w:color w:val="000000"/>
                <w:szCs w:val="22"/>
              </w:rPr>
              <w:t>ITT</w:t>
            </w:r>
          </w:p>
        </w:tc>
        <w:tc>
          <w:tcPr>
            <w:tcW w:w="6769" w:type="dxa"/>
            <w:vAlign w:val="center"/>
          </w:tcPr>
          <w:p w:rsidR="00E425EA" w:rsidRDefault="00E425EA">
            <w:pPr>
              <w:rPr>
                <w:color w:val="000000"/>
                <w:szCs w:val="22"/>
              </w:rPr>
            </w:pPr>
            <w:r>
              <w:rPr>
                <w:color w:val="000000"/>
                <w:szCs w:val="22"/>
              </w:rPr>
              <w:t>intention to treat</w:t>
            </w:r>
          </w:p>
        </w:tc>
      </w:tr>
      <w:tr w:rsidR="00E425EA" w:rsidRPr="00FD119B" w:rsidTr="00071CDD">
        <w:tc>
          <w:tcPr>
            <w:tcW w:w="1951" w:type="dxa"/>
            <w:vAlign w:val="center"/>
          </w:tcPr>
          <w:p w:rsidR="00E425EA" w:rsidRDefault="00E425EA">
            <w:pPr>
              <w:rPr>
                <w:color w:val="000000"/>
                <w:szCs w:val="22"/>
              </w:rPr>
            </w:pPr>
            <w:r>
              <w:rPr>
                <w:color w:val="000000"/>
                <w:szCs w:val="22"/>
              </w:rPr>
              <w:t>IV</w:t>
            </w:r>
          </w:p>
        </w:tc>
        <w:tc>
          <w:tcPr>
            <w:tcW w:w="6769" w:type="dxa"/>
            <w:vAlign w:val="center"/>
          </w:tcPr>
          <w:p w:rsidR="00E425EA" w:rsidRDefault="00E425EA">
            <w:pPr>
              <w:rPr>
                <w:color w:val="000000"/>
                <w:szCs w:val="22"/>
              </w:rPr>
            </w:pPr>
            <w:r>
              <w:rPr>
                <w:color w:val="000000"/>
                <w:szCs w:val="22"/>
              </w:rPr>
              <w:t>intravenous</w:t>
            </w:r>
          </w:p>
        </w:tc>
      </w:tr>
      <w:tr w:rsidR="00E425EA" w:rsidRPr="00FD119B" w:rsidTr="00071CDD">
        <w:tc>
          <w:tcPr>
            <w:tcW w:w="1951" w:type="dxa"/>
            <w:vAlign w:val="center"/>
          </w:tcPr>
          <w:p w:rsidR="00E425EA" w:rsidRDefault="00E425EA">
            <w:pPr>
              <w:rPr>
                <w:color w:val="000000"/>
                <w:szCs w:val="22"/>
              </w:rPr>
            </w:pPr>
            <w:r>
              <w:rPr>
                <w:color w:val="000000"/>
                <w:szCs w:val="22"/>
              </w:rPr>
              <w:t>GABA</w:t>
            </w:r>
          </w:p>
        </w:tc>
        <w:tc>
          <w:tcPr>
            <w:tcW w:w="6769" w:type="dxa"/>
            <w:vAlign w:val="center"/>
          </w:tcPr>
          <w:p w:rsidR="00E425EA" w:rsidRDefault="00E425EA">
            <w:pPr>
              <w:rPr>
                <w:color w:val="000000"/>
                <w:szCs w:val="22"/>
              </w:rPr>
            </w:pPr>
            <w:r>
              <w:rPr>
                <w:color w:val="000000"/>
                <w:szCs w:val="22"/>
              </w:rPr>
              <w:t>gamma-amino butyric acid</w:t>
            </w:r>
          </w:p>
        </w:tc>
      </w:tr>
      <w:tr w:rsidR="00E425EA" w:rsidRPr="00FD119B" w:rsidTr="00071CDD">
        <w:tc>
          <w:tcPr>
            <w:tcW w:w="1951" w:type="dxa"/>
            <w:vAlign w:val="center"/>
          </w:tcPr>
          <w:p w:rsidR="00E425EA" w:rsidRDefault="00E425EA">
            <w:pPr>
              <w:rPr>
                <w:color w:val="000000"/>
                <w:szCs w:val="22"/>
              </w:rPr>
            </w:pPr>
            <w:r>
              <w:rPr>
                <w:color w:val="000000"/>
                <w:szCs w:val="22"/>
              </w:rPr>
              <w:t>LCM</w:t>
            </w:r>
          </w:p>
        </w:tc>
        <w:tc>
          <w:tcPr>
            <w:tcW w:w="6769" w:type="dxa"/>
            <w:vAlign w:val="center"/>
          </w:tcPr>
          <w:p w:rsidR="00E425EA" w:rsidRDefault="00E425EA">
            <w:pPr>
              <w:rPr>
                <w:color w:val="000000"/>
                <w:szCs w:val="22"/>
              </w:rPr>
            </w:pPr>
            <w:proofErr w:type="spellStart"/>
            <w:r>
              <w:rPr>
                <w:color w:val="000000"/>
                <w:szCs w:val="22"/>
              </w:rPr>
              <w:t>lacosamide</w:t>
            </w:r>
            <w:proofErr w:type="spellEnd"/>
          </w:p>
        </w:tc>
      </w:tr>
      <w:tr w:rsidR="00E425EA" w:rsidRPr="00FD119B" w:rsidTr="00071CDD">
        <w:tc>
          <w:tcPr>
            <w:tcW w:w="1951" w:type="dxa"/>
            <w:vAlign w:val="center"/>
          </w:tcPr>
          <w:p w:rsidR="00E425EA" w:rsidRDefault="00E425EA">
            <w:pPr>
              <w:rPr>
                <w:color w:val="000000"/>
                <w:szCs w:val="22"/>
              </w:rPr>
            </w:pPr>
            <w:r>
              <w:rPr>
                <w:color w:val="000000"/>
                <w:szCs w:val="22"/>
              </w:rPr>
              <w:t>LEV</w:t>
            </w:r>
          </w:p>
        </w:tc>
        <w:tc>
          <w:tcPr>
            <w:tcW w:w="6769" w:type="dxa"/>
            <w:vAlign w:val="center"/>
          </w:tcPr>
          <w:p w:rsidR="00E425EA" w:rsidRDefault="00E425EA">
            <w:pPr>
              <w:rPr>
                <w:color w:val="000000"/>
                <w:szCs w:val="22"/>
              </w:rPr>
            </w:pPr>
            <w:proofErr w:type="spellStart"/>
            <w:r>
              <w:rPr>
                <w:color w:val="000000"/>
                <w:szCs w:val="22"/>
              </w:rPr>
              <w:t>levetiracetam</w:t>
            </w:r>
            <w:proofErr w:type="spellEnd"/>
          </w:p>
        </w:tc>
      </w:tr>
      <w:tr w:rsidR="00E425EA" w:rsidRPr="00FD119B" w:rsidTr="00071CDD">
        <w:tc>
          <w:tcPr>
            <w:tcW w:w="1951" w:type="dxa"/>
            <w:vAlign w:val="center"/>
          </w:tcPr>
          <w:p w:rsidR="00E425EA" w:rsidRDefault="00E425EA">
            <w:pPr>
              <w:rPr>
                <w:color w:val="000000"/>
                <w:szCs w:val="22"/>
              </w:rPr>
            </w:pPr>
            <w:r>
              <w:rPr>
                <w:color w:val="000000"/>
                <w:szCs w:val="22"/>
              </w:rPr>
              <w:t>Ln</w:t>
            </w:r>
          </w:p>
        </w:tc>
        <w:tc>
          <w:tcPr>
            <w:tcW w:w="6769" w:type="dxa"/>
            <w:vAlign w:val="center"/>
          </w:tcPr>
          <w:p w:rsidR="00E425EA" w:rsidRDefault="00E425EA">
            <w:pPr>
              <w:rPr>
                <w:color w:val="000000"/>
                <w:szCs w:val="22"/>
              </w:rPr>
            </w:pPr>
            <w:r>
              <w:rPr>
                <w:color w:val="000000"/>
                <w:szCs w:val="22"/>
              </w:rPr>
              <w:t>Natural logarithmic</w:t>
            </w:r>
          </w:p>
        </w:tc>
      </w:tr>
      <w:tr w:rsidR="00A21B8A" w:rsidRPr="00FD119B" w:rsidTr="00071CDD">
        <w:tc>
          <w:tcPr>
            <w:tcW w:w="1951" w:type="dxa"/>
            <w:vAlign w:val="center"/>
          </w:tcPr>
          <w:p w:rsidR="00A21B8A" w:rsidRDefault="00A21B8A" w:rsidP="00FD25AF">
            <w:pPr>
              <w:rPr>
                <w:color w:val="000000"/>
                <w:szCs w:val="22"/>
              </w:rPr>
            </w:pPr>
            <w:r>
              <w:rPr>
                <w:color w:val="000000"/>
                <w:szCs w:val="22"/>
              </w:rPr>
              <w:t>LOAEL</w:t>
            </w:r>
          </w:p>
        </w:tc>
        <w:tc>
          <w:tcPr>
            <w:tcW w:w="6769" w:type="dxa"/>
            <w:vAlign w:val="center"/>
          </w:tcPr>
          <w:p w:rsidR="00A21B8A" w:rsidRDefault="00A21B8A" w:rsidP="00A21B8A">
            <w:pPr>
              <w:rPr>
                <w:color w:val="000000"/>
                <w:szCs w:val="22"/>
              </w:rPr>
            </w:pPr>
            <w:r w:rsidRPr="00A21B8A">
              <w:rPr>
                <w:color w:val="000000"/>
                <w:szCs w:val="22"/>
              </w:rPr>
              <w:t>lowest</w:t>
            </w:r>
            <w:r>
              <w:rPr>
                <w:color w:val="000000"/>
                <w:szCs w:val="22"/>
              </w:rPr>
              <w:t xml:space="preserve"> </w:t>
            </w:r>
            <w:r w:rsidRPr="00A21B8A">
              <w:rPr>
                <w:color w:val="000000"/>
                <w:szCs w:val="22"/>
              </w:rPr>
              <w:t>obser</w:t>
            </w:r>
            <w:r>
              <w:rPr>
                <w:color w:val="000000"/>
                <w:szCs w:val="22"/>
              </w:rPr>
              <w:t>ved adverse effect level</w:t>
            </w:r>
          </w:p>
        </w:tc>
      </w:tr>
      <w:tr w:rsidR="00E425EA" w:rsidRPr="00FD119B" w:rsidTr="00071CDD">
        <w:tc>
          <w:tcPr>
            <w:tcW w:w="1951" w:type="dxa"/>
            <w:vAlign w:val="center"/>
          </w:tcPr>
          <w:p w:rsidR="00E425EA" w:rsidRDefault="00E425EA">
            <w:pPr>
              <w:rPr>
                <w:color w:val="000000"/>
                <w:szCs w:val="22"/>
              </w:rPr>
            </w:pPr>
            <w:r>
              <w:rPr>
                <w:color w:val="000000"/>
                <w:szCs w:val="22"/>
              </w:rPr>
              <w:t xml:space="preserve">LSM </w:t>
            </w:r>
          </w:p>
        </w:tc>
        <w:tc>
          <w:tcPr>
            <w:tcW w:w="6769" w:type="dxa"/>
            <w:vAlign w:val="center"/>
          </w:tcPr>
          <w:p w:rsidR="00E425EA" w:rsidRDefault="00E425EA">
            <w:pPr>
              <w:rPr>
                <w:color w:val="000000"/>
                <w:szCs w:val="22"/>
              </w:rPr>
            </w:pPr>
            <w:r>
              <w:rPr>
                <w:color w:val="000000"/>
                <w:szCs w:val="22"/>
              </w:rPr>
              <w:t>Least squares means</w:t>
            </w:r>
          </w:p>
        </w:tc>
      </w:tr>
      <w:tr w:rsidR="00E425EA" w:rsidRPr="00FD119B" w:rsidTr="00071CDD">
        <w:tc>
          <w:tcPr>
            <w:tcW w:w="1951" w:type="dxa"/>
            <w:vAlign w:val="center"/>
          </w:tcPr>
          <w:p w:rsidR="00E425EA" w:rsidRDefault="00E425EA">
            <w:pPr>
              <w:rPr>
                <w:color w:val="000000"/>
                <w:szCs w:val="22"/>
              </w:rPr>
            </w:pPr>
            <w:r>
              <w:rPr>
                <w:color w:val="000000"/>
                <w:szCs w:val="22"/>
              </w:rPr>
              <w:t>LTFU</w:t>
            </w:r>
          </w:p>
        </w:tc>
        <w:tc>
          <w:tcPr>
            <w:tcW w:w="6769" w:type="dxa"/>
            <w:vAlign w:val="center"/>
          </w:tcPr>
          <w:p w:rsidR="00E425EA" w:rsidRDefault="00BD0824">
            <w:pPr>
              <w:rPr>
                <w:color w:val="000000"/>
                <w:szCs w:val="22"/>
              </w:rPr>
            </w:pPr>
            <w:r>
              <w:rPr>
                <w:color w:val="000000"/>
                <w:szCs w:val="22"/>
              </w:rPr>
              <w:t>l</w:t>
            </w:r>
            <w:r w:rsidR="00E425EA">
              <w:rPr>
                <w:color w:val="000000"/>
                <w:szCs w:val="22"/>
              </w:rPr>
              <w:t>ong-term follow-up</w:t>
            </w:r>
          </w:p>
        </w:tc>
      </w:tr>
      <w:tr w:rsidR="00E425EA" w:rsidRPr="00FD119B" w:rsidTr="00071CDD">
        <w:tc>
          <w:tcPr>
            <w:tcW w:w="1951" w:type="dxa"/>
            <w:vAlign w:val="center"/>
          </w:tcPr>
          <w:p w:rsidR="00E425EA" w:rsidRDefault="00E425EA">
            <w:pPr>
              <w:rPr>
                <w:color w:val="000000"/>
                <w:szCs w:val="22"/>
              </w:rPr>
            </w:pPr>
            <w:r>
              <w:rPr>
                <w:color w:val="000000"/>
                <w:szCs w:val="22"/>
              </w:rPr>
              <w:t>LTG</w:t>
            </w:r>
          </w:p>
        </w:tc>
        <w:tc>
          <w:tcPr>
            <w:tcW w:w="6769" w:type="dxa"/>
            <w:vAlign w:val="center"/>
          </w:tcPr>
          <w:p w:rsidR="00E425EA" w:rsidRDefault="00E425EA">
            <w:pPr>
              <w:rPr>
                <w:color w:val="000000"/>
                <w:szCs w:val="22"/>
              </w:rPr>
            </w:pPr>
            <w:r>
              <w:rPr>
                <w:color w:val="000000"/>
                <w:szCs w:val="22"/>
              </w:rPr>
              <w:t>lamotrigine</w:t>
            </w:r>
          </w:p>
        </w:tc>
      </w:tr>
      <w:tr w:rsidR="00E425EA" w:rsidRPr="00FD119B" w:rsidTr="00071CDD">
        <w:tc>
          <w:tcPr>
            <w:tcW w:w="1951" w:type="dxa"/>
            <w:vAlign w:val="center"/>
          </w:tcPr>
          <w:p w:rsidR="00E425EA" w:rsidRDefault="00E425EA">
            <w:pPr>
              <w:rPr>
                <w:color w:val="000000"/>
                <w:szCs w:val="22"/>
              </w:rPr>
            </w:pPr>
            <w:r>
              <w:rPr>
                <w:color w:val="000000"/>
                <w:szCs w:val="22"/>
              </w:rPr>
              <w:t>LVN</w:t>
            </w:r>
          </w:p>
        </w:tc>
        <w:tc>
          <w:tcPr>
            <w:tcW w:w="6769" w:type="dxa"/>
            <w:vAlign w:val="center"/>
          </w:tcPr>
          <w:p w:rsidR="00E425EA" w:rsidRDefault="00E425EA" w:rsidP="00747AD0">
            <w:pPr>
              <w:rPr>
                <w:color w:val="000000"/>
                <w:szCs w:val="22"/>
              </w:rPr>
            </w:pPr>
            <w:r>
              <w:rPr>
                <w:color w:val="000000"/>
                <w:szCs w:val="22"/>
              </w:rPr>
              <w:t>levonorgestrel</w:t>
            </w:r>
            <w:r w:rsidR="00747AD0">
              <w:t xml:space="preserve"> </w:t>
            </w:r>
          </w:p>
        </w:tc>
      </w:tr>
      <w:tr w:rsidR="00E425EA" w:rsidRPr="00FD119B" w:rsidTr="00071CDD">
        <w:tc>
          <w:tcPr>
            <w:tcW w:w="1951" w:type="dxa"/>
            <w:vAlign w:val="center"/>
          </w:tcPr>
          <w:p w:rsidR="00E425EA" w:rsidRDefault="00E425EA">
            <w:pPr>
              <w:rPr>
                <w:color w:val="000000"/>
                <w:szCs w:val="22"/>
              </w:rPr>
            </w:pPr>
            <w:r>
              <w:rPr>
                <w:color w:val="000000"/>
                <w:szCs w:val="22"/>
              </w:rPr>
              <w:t>MHD</w:t>
            </w:r>
          </w:p>
        </w:tc>
        <w:tc>
          <w:tcPr>
            <w:tcW w:w="6769" w:type="dxa"/>
            <w:vAlign w:val="center"/>
          </w:tcPr>
          <w:p w:rsidR="00E425EA" w:rsidRDefault="00E425EA">
            <w:pPr>
              <w:rPr>
                <w:color w:val="000000"/>
                <w:szCs w:val="22"/>
              </w:rPr>
            </w:pPr>
            <w:r>
              <w:rPr>
                <w:color w:val="000000"/>
                <w:szCs w:val="22"/>
              </w:rPr>
              <w:t>10-hydroxyoxcarbazepine</w:t>
            </w:r>
          </w:p>
        </w:tc>
      </w:tr>
      <w:tr w:rsidR="00747AD0" w:rsidRPr="00FD119B" w:rsidTr="00071CDD">
        <w:tc>
          <w:tcPr>
            <w:tcW w:w="1951" w:type="dxa"/>
            <w:vAlign w:val="center"/>
          </w:tcPr>
          <w:p w:rsidR="00747AD0" w:rsidRDefault="00747AD0" w:rsidP="00FD25AF">
            <w:pPr>
              <w:rPr>
                <w:color w:val="000000"/>
                <w:szCs w:val="22"/>
              </w:rPr>
            </w:pPr>
            <w:r>
              <w:rPr>
                <w:color w:val="000000"/>
                <w:szCs w:val="22"/>
              </w:rPr>
              <w:t>MRHD</w:t>
            </w:r>
          </w:p>
        </w:tc>
        <w:tc>
          <w:tcPr>
            <w:tcW w:w="6769" w:type="dxa"/>
            <w:vAlign w:val="center"/>
          </w:tcPr>
          <w:p w:rsidR="00747AD0" w:rsidRDefault="00747AD0" w:rsidP="00FD25AF">
            <w:pPr>
              <w:rPr>
                <w:color w:val="000000"/>
                <w:szCs w:val="22"/>
              </w:rPr>
            </w:pPr>
            <w:r w:rsidRPr="00747AD0">
              <w:rPr>
                <w:color w:val="000000"/>
                <w:szCs w:val="22"/>
              </w:rPr>
              <w:t>Maximum Recommended Human Dose</w:t>
            </w:r>
          </w:p>
        </w:tc>
      </w:tr>
      <w:tr w:rsidR="00275A23" w:rsidRPr="00FD119B" w:rsidTr="00071CDD">
        <w:tc>
          <w:tcPr>
            <w:tcW w:w="1951" w:type="dxa"/>
            <w:vAlign w:val="center"/>
          </w:tcPr>
          <w:p w:rsidR="00275A23" w:rsidRDefault="00275A23" w:rsidP="00FD25AF">
            <w:pPr>
              <w:rPr>
                <w:color w:val="000000"/>
                <w:szCs w:val="22"/>
              </w:rPr>
            </w:pPr>
            <w:r>
              <w:rPr>
                <w:color w:val="000000"/>
                <w:szCs w:val="22"/>
              </w:rPr>
              <w:t>NOAEL</w:t>
            </w:r>
          </w:p>
        </w:tc>
        <w:tc>
          <w:tcPr>
            <w:tcW w:w="6769" w:type="dxa"/>
            <w:vAlign w:val="center"/>
          </w:tcPr>
          <w:p w:rsidR="00275A23" w:rsidRDefault="00275A23" w:rsidP="00FD25AF">
            <w:pPr>
              <w:rPr>
                <w:color w:val="000000"/>
                <w:szCs w:val="22"/>
              </w:rPr>
            </w:pPr>
            <w:r w:rsidRPr="00C105C6">
              <w:rPr>
                <w:color w:val="000000"/>
                <w:szCs w:val="22"/>
              </w:rPr>
              <w:t>no observed adverse effect level</w:t>
            </w:r>
          </w:p>
        </w:tc>
      </w:tr>
      <w:tr w:rsidR="00907EC8" w:rsidRPr="00FD119B" w:rsidTr="00071CDD">
        <w:tc>
          <w:tcPr>
            <w:tcW w:w="1951" w:type="dxa"/>
            <w:vAlign w:val="center"/>
          </w:tcPr>
          <w:p w:rsidR="00907EC8" w:rsidRDefault="00907EC8" w:rsidP="00FD25AF">
            <w:pPr>
              <w:rPr>
                <w:color w:val="000000"/>
                <w:szCs w:val="22"/>
              </w:rPr>
            </w:pPr>
            <w:r>
              <w:rPr>
                <w:color w:val="000000"/>
                <w:szCs w:val="22"/>
              </w:rPr>
              <w:t>NOEL</w:t>
            </w:r>
          </w:p>
        </w:tc>
        <w:tc>
          <w:tcPr>
            <w:tcW w:w="6769" w:type="dxa"/>
            <w:vAlign w:val="center"/>
          </w:tcPr>
          <w:p w:rsidR="00907EC8" w:rsidRDefault="00907EC8" w:rsidP="00FD25AF">
            <w:pPr>
              <w:rPr>
                <w:color w:val="000000"/>
                <w:szCs w:val="22"/>
              </w:rPr>
            </w:pPr>
            <w:r>
              <w:rPr>
                <w:color w:val="000000"/>
                <w:szCs w:val="22"/>
              </w:rPr>
              <w:t xml:space="preserve">no observed </w:t>
            </w:r>
            <w:r w:rsidRPr="00C105C6">
              <w:rPr>
                <w:color w:val="000000"/>
                <w:szCs w:val="22"/>
              </w:rPr>
              <w:t>effect level</w:t>
            </w:r>
          </w:p>
        </w:tc>
      </w:tr>
      <w:tr w:rsidR="00E425EA" w:rsidRPr="00FD119B" w:rsidTr="00071CDD">
        <w:tc>
          <w:tcPr>
            <w:tcW w:w="1951" w:type="dxa"/>
            <w:vAlign w:val="center"/>
          </w:tcPr>
          <w:p w:rsidR="00E425EA" w:rsidRDefault="00E425EA">
            <w:pPr>
              <w:rPr>
                <w:color w:val="000000"/>
                <w:szCs w:val="22"/>
              </w:rPr>
            </w:pPr>
            <w:r>
              <w:rPr>
                <w:color w:val="000000"/>
                <w:szCs w:val="22"/>
              </w:rPr>
              <w:t>OCP</w:t>
            </w:r>
          </w:p>
        </w:tc>
        <w:tc>
          <w:tcPr>
            <w:tcW w:w="6769" w:type="dxa"/>
            <w:vAlign w:val="center"/>
          </w:tcPr>
          <w:p w:rsidR="00E425EA" w:rsidRDefault="00E425EA">
            <w:pPr>
              <w:rPr>
                <w:color w:val="000000"/>
                <w:szCs w:val="22"/>
              </w:rPr>
            </w:pPr>
            <w:r>
              <w:rPr>
                <w:color w:val="000000"/>
                <w:szCs w:val="22"/>
              </w:rPr>
              <w:t>oral contraceptive pill</w:t>
            </w:r>
          </w:p>
        </w:tc>
      </w:tr>
      <w:tr w:rsidR="00E425EA" w:rsidRPr="00FD119B" w:rsidTr="00071CDD">
        <w:tc>
          <w:tcPr>
            <w:tcW w:w="1951" w:type="dxa"/>
            <w:vAlign w:val="center"/>
          </w:tcPr>
          <w:p w:rsidR="00E425EA" w:rsidRDefault="00E425EA">
            <w:pPr>
              <w:rPr>
                <w:color w:val="000000"/>
                <w:szCs w:val="22"/>
              </w:rPr>
            </w:pPr>
            <w:r>
              <w:rPr>
                <w:color w:val="000000"/>
                <w:szCs w:val="22"/>
              </w:rPr>
              <w:t>PB</w:t>
            </w:r>
          </w:p>
        </w:tc>
        <w:tc>
          <w:tcPr>
            <w:tcW w:w="6769" w:type="dxa"/>
            <w:vAlign w:val="center"/>
          </w:tcPr>
          <w:p w:rsidR="00E425EA" w:rsidRDefault="00E425EA">
            <w:pPr>
              <w:rPr>
                <w:color w:val="000000"/>
                <w:szCs w:val="22"/>
              </w:rPr>
            </w:pPr>
            <w:proofErr w:type="spellStart"/>
            <w:r>
              <w:rPr>
                <w:color w:val="000000"/>
                <w:szCs w:val="22"/>
              </w:rPr>
              <w:t>primidone</w:t>
            </w:r>
            <w:proofErr w:type="spellEnd"/>
          </w:p>
        </w:tc>
      </w:tr>
      <w:tr w:rsidR="00E425EA" w:rsidRPr="00FD119B" w:rsidTr="00071CDD">
        <w:tc>
          <w:tcPr>
            <w:tcW w:w="1951" w:type="dxa"/>
            <w:vAlign w:val="center"/>
          </w:tcPr>
          <w:p w:rsidR="00E425EA" w:rsidRDefault="00E425EA">
            <w:pPr>
              <w:rPr>
                <w:color w:val="000000"/>
                <w:szCs w:val="22"/>
              </w:rPr>
            </w:pPr>
            <w:r>
              <w:rPr>
                <w:color w:val="000000"/>
                <w:szCs w:val="22"/>
              </w:rPr>
              <w:t>PBO</w:t>
            </w:r>
          </w:p>
        </w:tc>
        <w:tc>
          <w:tcPr>
            <w:tcW w:w="6769" w:type="dxa"/>
            <w:vAlign w:val="center"/>
          </w:tcPr>
          <w:p w:rsidR="00E425EA" w:rsidRDefault="00E425EA">
            <w:pPr>
              <w:rPr>
                <w:color w:val="000000"/>
                <w:szCs w:val="22"/>
              </w:rPr>
            </w:pPr>
            <w:r>
              <w:rPr>
                <w:color w:val="000000"/>
                <w:szCs w:val="22"/>
              </w:rPr>
              <w:t>placebo</w:t>
            </w:r>
          </w:p>
        </w:tc>
      </w:tr>
      <w:tr w:rsidR="006B5434" w:rsidRPr="00FD119B" w:rsidTr="00071CDD">
        <w:tc>
          <w:tcPr>
            <w:tcW w:w="1951" w:type="dxa"/>
          </w:tcPr>
          <w:p w:rsidR="006B5434" w:rsidRPr="00FD119B" w:rsidRDefault="006B5434" w:rsidP="00FD25AF">
            <w:pPr>
              <w:ind w:left="142" w:right="0"/>
              <w:rPr>
                <w:color w:val="auto"/>
                <w:szCs w:val="22"/>
                <w:lang w:eastAsia="en-US"/>
              </w:rPr>
            </w:pPr>
            <w:r>
              <w:rPr>
                <w:color w:val="auto"/>
                <w:szCs w:val="22"/>
                <w:lang w:eastAsia="en-US"/>
              </w:rPr>
              <w:t>PD</w:t>
            </w:r>
          </w:p>
        </w:tc>
        <w:tc>
          <w:tcPr>
            <w:tcW w:w="6769" w:type="dxa"/>
          </w:tcPr>
          <w:p w:rsidR="006B5434" w:rsidRPr="00FD119B" w:rsidRDefault="006B5434" w:rsidP="00FD25AF">
            <w:pPr>
              <w:ind w:left="176" w:right="0"/>
              <w:rPr>
                <w:color w:val="auto"/>
                <w:szCs w:val="22"/>
                <w:lang w:eastAsia="en-US"/>
              </w:rPr>
            </w:pPr>
            <w:r>
              <w:rPr>
                <w:color w:val="auto"/>
                <w:szCs w:val="22"/>
                <w:lang w:eastAsia="en-US"/>
              </w:rPr>
              <w:t>pharmacodynamic(s)</w:t>
            </w:r>
          </w:p>
        </w:tc>
      </w:tr>
      <w:tr w:rsidR="006B5434" w:rsidRPr="00FD119B" w:rsidTr="00071CDD">
        <w:tc>
          <w:tcPr>
            <w:tcW w:w="1951" w:type="dxa"/>
            <w:vAlign w:val="center"/>
          </w:tcPr>
          <w:p w:rsidR="006B5434" w:rsidRDefault="006B5434" w:rsidP="00FD25AF">
            <w:pPr>
              <w:rPr>
                <w:color w:val="000000"/>
                <w:szCs w:val="22"/>
              </w:rPr>
            </w:pPr>
            <w:r>
              <w:rPr>
                <w:color w:val="000000"/>
                <w:szCs w:val="22"/>
              </w:rPr>
              <w:t>PGN</w:t>
            </w:r>
          </w:p>
        </w:tc>
        <w:tc>
          <w:tcPr>
            <w:tcW w:w="6769" w:type="dxa"/>
            <w:vAlign w:val="center"/>
          </w:tcPr>
          <w:p w:rsidR="006B5434" w:rsidRDefault="006B5434" w:rsidP="00FD25AF">
            <w:pPr>
              <w:rPr>
                <w:color w:val="000000"/>
                <w:szCs w:val="22"/>
              </w:rPr>
            </w:pPr>
            <w:proofErr w:type="spellStart"/>
            <w:r>
              <w:rPr>
                <w:color w:val="000000"/>
                <w:szCs w:val="22"/>
              </w:rPr>
              <w:t>pregabalin</w:t>
            </w:r>
            <w:proofErr w:type="spellEnd"/>
          </w:p>
        </w:tc>
      </w:tr>
      <w:tr w:rsidR="006B5434" w:rsidRPr="00FD119B" w:rsidTr="00071CDD">
        <w:tc>
          <w:tcPr>
            <w:tcW w:w="1951" w:type="dxa"/>
            <w:vAlign w:val="center"/>
          </w:tcPr>
          <w:p w:rsidR="006B5434" w:rsidRDefault="006B5434" w:rsidP="00FD25AF">
            <w:pPr>
              <w:rPr>
                <w:color w:val="000000"/>
                <w:szCs w:val="22"/>
              </w:rPr>
            </w:pPr>
            <w:r>
              <w:rPr>
                <w:color w:val="000000"/>
                <w:szCs w:val="22"/>
              </w:rPr>
              <w:t>PHT</w:t>
            </w:r>
          </w:p>
        </w:tc>
        <w:tc>
          <w:tcPr>
            <w:tcW w:w="6769" w:type="dxa"/>
            <w:vAlign w:val="center"/>
          </w:tcPr>
          <w:p w:rsidR="006B5434" w:rsidRDefault="006B5434" w:rsidP="00FD25AF">
            <w:pPr>
              <w:rPr>
                <w:color w:val="000000"/>
                <w:szCs w:val="22"/>
              </w:rPr>
            </w:pPr>
            <w:r>
              <w:rPr>
                <w:color w:val="000000"/>
                <w:szCs w:val="22"/>
              </w:rPr>
              <w:t>phenytoin</w:t>
            </w:r>
          </w:p>
        </w:tc>
      </w:tr>
      <w:tr w:rsidR="006B5434" w:rsidRPr="00FD119B" w:rsidTr="00071CDD">
        <w:tc>
          <w:tcPr>
            <w:tcW w:w="1951" w:type="dxa"/>
          </w:tcPr>
          <w:p w:rsidR="006B5434" w:rsidRPr="00FD119B" w:rsidRDefault="006B5434" w:rsidP="00FD25AF">
            <w:pPr>
              <w:ind w:left="142" w:right="0"/>
              <w:rPr>
                <w:color w:val="auto"/>
                <w:szCs w:val="22"/>
                <w:lang w:eastAsia="en-US"/>
              </w:rPr>
            </w:pPr>
            <w:r>
              <w:rPr>
                <w:color w:val="auto"/>
                <w:szCs w:val="22"/>
                <w:lang w:eastAsia="en-US"/>
              </w:rPr>
              <w:t>PI</w:t>
            </w:r>
          </w:p>
        </w:tc>
        <w:tc>
          <w:tcPr>
            <w:tcW w:w="6769" w:type="dxa"/>
          </w:tcPr>
          <w:p w:rsidR="006B5434" w:rsidRPr="00FD119B" w:rsidRDefault="006B5434" w:rsidP="00FD25AF">
            <w:pPr>
              <w:ind w:left="176" w:right="0"/>
              <w:rPr>
                <w:color w:val="auto"/>
                <w:szCs w:val="22"/>
                <w:lang w:eastAsia="en-US"/>
              </w:rPr>
            </w:pPr>
            <w:r w:rsidRPr="00940A89">
              <w:t>Product Information</w:t>
            </w:r>
          </w:p>
        </w:tc>
      </w:tr>
      <w:tr w:rsidR="006B5434" w:rsidRPr="00FD119B" w:rsidTr="00071CDD">
        <w:tc>
          <w:tcPr>
            <w:tcW w:w="1951" w:type="dxa"/>
          </w:tcPr>
          <w:p w:rsidR="006B5434" w:rsidRPr="00FD119B" w:rsidRDefault="006B5434" w:rsidP="00FD25AF">
            <w:pPr>
              <w:ind w:left="142" w:right="0"/>
              <w:rPr>
                <w:color w:val="auto"/>
                <w:szCs w:val="22"/>
                <w:lang w:eastAsia="en-US"/>
              </w:rPr>
            </w:pPr>
            <w:r>
              <w:rPr>
                <w:color w:val="auto"/>
                <w:szCs w:val="22"/>
                <w:lang w:eastAsia="en-US"/>
              </w:rPr>
              <w:t>PK</w:t>
            </w:r>
          </w:p>
        </w:tc>
        <w:tc>
          <w:tcPr>
            <w:tcW w:w="6769" w:type="dxa"/>
          </w:tcPr>
          <w:p w:rsidR="006B5434" w:rsidRPr="00FD119B" w:rsidRDefault="006B5434" w:rsidP="00FD25AF">
            <w:pPr>
              <w:ind w:left="176" w:right="0"/>
              <w:rPr>
                <w:color w:val="auto"/>
                <w:szCs w:val="22"/>
                <w:lang w:eastAsia="en-US"/>
              </w:rPr>
            </w:pPr>
            <w:r>
              <w:rPr>
                <w:color w:val="auto"/>
                <w:szCs w:val="22"/>
                <w:lang w:eastAsia="en-US"/>
              </w:rPr>
              <w:t>pharmacokinetic(s)</w:t>
            </w:r>
          </w:p>
        </w:tc>
      </w:tr>
      <w:tr w:rsidR="006B5434" w:rsidRPr="00FD119B" w:rsidTr="00071CDD">
        <w:tc>
          <w:tcPr>
            <w:tcW w:w="1951" w:type="dxa"/>
          </w:tcPr>
          <w:p w:rsidR="006B5434" w:rsidRPr="00FD119B" w:rsidRDefault="006B5434" w:rsidP="00FD25AF">
            <w:pPr>
              <w:ind w:left="142" w:right="0"/>
              <w:rPr>
                <w:color w:val="auto"/>
                <w:szCs w:val="22"/>
                <w:lang w:eastAsia="en-US"/>
              </w:rPr>
            </w:pPr>
            <w:r>
              <w:rPr>
                <w:color w:val="auto"/>
                <w:szCs w:val="22"/>
                <w:lang w:eastAsia="en-US"/>
              </w:rPr>
              <w:lastRenderedPageBreak/>
              <w:t>PO</w:t>
            </w:r>
          </w:p>
        </w:tc>
        <w:tc>
          <w:tcPr>
            <w:tcW w:w="6769" w:type="dxa"/>
          </w:tcPr>
          <w:p w:rsidR="006B5434" w:rsidRPr="00FD119B" w:rsidRDefault="006B5434" w:rsidP="00FD25AF">
            <w:pPr>
              <w:ind w:left="176" w:right="0"/>
              <w:rPr>
                <w:color w:val="auto"/>
                <w:szCs w:val="22"/>
                <w:lang w:eastAsia="en-US"/>
              </w:rPr>
            </w:pPr>
            <w:r>
              <w:rPr>
                <w:color w:val="auto"/>
                <w:szCs w:val="22"/>
                <w:lang w:eastAsia="en-US"/>
              </w:rPr>
              <w:t>per or (oral administration)</w:t>
            </w:r>
          </w:p>
        </w:tc>
      </w:tr>
      <w:tr w:rsidR="00E425EA" w:rsidRPr="00FD119B" w:rsidTr="00071CDD">
        <w:tc>
          <w:tcPr>
            <w:tcW w:w="1951" w:type="dxa"/>
            <w:vAlign w:val="center"/>
          </w:tcPr>
          <w:p w:rsidR="00E425EA" w:rsidRDefault="00E425EA">
            <w:pPr>
              <w:rPr>
                <w:color w:val="000000"/>
                <w:szCs w:val="22"/>
              </w:rPr>
            </w:pPr>
            <w:r>
              <w:rPr>
                <w:color w:val="000000"/>
                <w:szCs w:val="22"/>
              </w:rPr>
              <w:t>POS</w:t>
            </w:r>
          </w:p>
        </w:tc>
        <w:tc>
          <w:tcPr>
            <w:tcW w:w="6769" w:type="dxa"/>
            <w:vAlign w:val="center"/>
          </w:tcPr>
          <w:p w:rsidR="00E425EA" w:rsidRDefault="00E425EA">
            <w:pPr>
              <w:rPr>
                <w:color w:val="000000"/>
                <w:szCs w:val="22"/>
              </w:rPr>
            </w:pPr>
            <w:r>
              <w:rPr>
                <w:color w:val="000000"/>
                <w:szCs w:val="22"/>
              </w:rPr>
              <w:t>partial onset seizures</w:t>
            </w:r>
          </w:p>
        </w:tc>
      </w:tr>
      <w:tr w:rsidR="00720AB6" w:rsidRPr="00FD119B" w:rsidTr="00071CDD">
        <w:tc>
          <w:tcPr>
            <w:tcW w:w="1951" w:type="dxa"/>
            <w:vAlign w:val="center"/>
          </w:tcPr>
          <w:p w:rsidR="00720AB6" w:rsidRDefault="00720AB6" w:rsidP="00FD25AF">
            <w:pPr>
              <w:rPr>
                <w:color w:val="000000"/>
                <w:szCs w:val="22"/>
              </w:rPr>
            </w:pPr>
            <w:r>
              <w:rPr>
                <w:color w:val="000000"/>
                <w:szCs w:val="22"/>
              </w:rPr>
              <w:t>PP</w:t>
            </w:r>
          </w:p>
        </w:tc>
        <w:tc>
          <w:tcPr>
            <w:tcW w:w="6769" w:type="dxa"/>
            <w:vAlign w:val="center"/>
          </w:tcPr>
          <w:p w:rsidR="00720AB6" w:rsidRDefault="00720AB6" w:rsidP="00FD25AF">
            <w:pPr>
              <w:rPr>
                <w:color w:val="000000"/>
                <w:szCs w:val="22"/>
              </w:rPr>
            </w:pPr>
            <w:r>
              <w:rPr>
                <w:color w:val="000000"/>
                <w:szCs w:val="22"/>
              </w:rPr>
              <w:t>per protocol</w:t>
            </w:r>
          </w:p>
        </w:tc>
      </w:tr>
      <w:tr w:rsidR="00E425EA" w:rsidRPr="00FD119B" w:rsidTr="00071CDD">
        <w:tc>
          <w:tcPr>
            <w:tcW w:w="1951" w:type="dxa"/>
            <w:vAlign w:val="center"/>
          </w:tcPr>
          <w:p w:rsidR="00E425EA" w:rsidRDefault="00E425EA">
            <w:pPr>
              <w:rPr>
                <w:color w:val="000000"/>
                <w:szCs w:val="22"/>
              </w:rPr>
            </w:pPr>
            <w:r>
              <w:rPr>
                <w:color w:val="000000"/>
                <w:szCs w:val="22"/>
              </w:rPr>
              <w:t>PPR</w:t>
            </w:r>
          </w:p>
        </w:tc>
        <w:tc>
          <w:tcPr>
            <w:tcW w:w="6769" w:type="dxa"/>
            <w:vAlign w:val="center"/>
          </w:tcPr>
          <w:p w:rsidR="00E425EA" w:rsidRDefault="00E425EA">
            <w:pPr>
              <w:rPr>
                <w:color w:val="000000"/>
                <w:szCs w:val="22"/>
              </w:rPr>
            </w:pPr>
            <w:proofErr w:type="spellStart"/>
            <w:r>
              <w:rPr>
                <w:color w:val="000000"/>
                <w:szCs w:val="22"/>
              </w:rPr>
              <w:t>photoparoxysmal</w:t>
            </w:r>
            <w:proofErr w:type="spellEnd"/>
            <w:r>
              <w:rPr>
                <w:color w:val="000000"/>
                <w:szCs w:val="22"/>
              </w:rPr>
              <w:t xml:space="preserve"> EEG response</w:t>
            </w:r>
          </w:p>
        </w:tc>
      </w:tr>
      <w:tr w:rsidR="00E425EA" w:rsidRPr="00FD119B" w:rsidTr="00071CDD">
        <w:tc>
          <w:tcPr>
            <w:tcW w:w="1951" w:type="dxa"/>
            <w:vAlign w:val="center"/>
          </w:tcPr>
          <w:p w:rsidR="00E425EA" w:rsidRDefault="006B5434">
            <w:pPr>
              <w:rPr>
                <w:color w:val="000000"/>
                <w:szCs w:val="22"/>
              </w:rPr>
            </w:pPr>
            <w:r>
              <w:rPr>
                <w:color w:val="000000"/>
                <w:szCs w:val="22"/>
              </w:rPr>
              <w:t>PR</w:t>
            </w:r>
          </w:p>
        </w:tc>
        <w:tc>
          <w:tcPr>
            <w:tcW w:w="6769" w:type="dxa"/>
            <w:vAlign w:val="center"/>
          </w:tcPr>
          <w:p w:rsidR="00E425EA" w:rsidRDefault="00E425EA">
            <w:pPr>
              <w:rPr>
                <w:color w:val="000000"/>
                <w:szCs w:val="22"/>
              </w:rPr>
            </w:pPr>
            <w:r>
              <w:rPr>
                <w:color w:val="000000"/>
                <w:szCs w:val="22"/>
              </w:rPr>
              <w:t>pulse rate</w:t>
            </w:r>
          </w:p>
        </w:tc>
      </w:tr>
      <w:tr w:rsidR="00E425EA" w:rsidRPr="00FD119B" w:rsidTr="00071CDD">
        <w:tc>
          <w:tcPr>
            <w:tcW w:w="1951" w:type="dxa"/>
            <w:vAlign w:val="center"/>
          </w:tcPr>
          <w:p w:rsidR="00E425EA" w:rsidRDefault="00E425EA">
            <w:pPr>
              <w:rPr>
                <w:color w:val="000000"/>
                <w:szCs w:val="22"/>
              </w:rPr>
            </w:pPr>
            <w:r>
              <w:rPr>
                <w:color w:val="000000"/>
                <w:szCs w:val="22"/>
              </w:rPr>
              <w:t>PRM</w:t>
            </w:r>
          </w:p>
        </w:tc>
        <w:tc>
          <w:tcPr>
            <w:tcW w:w="6769" w:type="dxa"/>
            <w:vAlign w:val="center"/>
          </w:tcPr>
          <w:p w:rsidR="00E425EA" w:rsidRDefault="00E425EA">
            <w:pPr>
              <w:rPr>
                <w:color w:val="000000"/>
                <w:szCs w:val="22"/>
              </w:rPr>
            </w:pPr>
            <w:proofErr w:type="spellStart"/>
            <w:r>
              <w:rPr>
                <w:color w:val="000000"/>
                <w:szCs w:val="22"/>
              </w:rPr>
              <w:t>primidone</w:t>
            </w:r>
            <w:proofErr w:type="spellEnd"/>
          </w:p>
        </w:tc>
      </w:tr>
      <w:tr w:rsidR="00E425EA" w:rsidRPr="00FD119B" w:rsidTr="00071CDD">
        <w:tc>
          <w:tcPr>
            <w:tcW w:w="1951" w:type="dxa"/>
            <w:vAlign w:val="center"/>
          </w:tcPr>
          <w:p w:rsidR="00E425EA" w:rsidRDefault="00E425EA">
            <w:pPr>
              <w:rPr>
                <w:color w:val="000000"/>
                <w:szCs w:val="22"/>
              </w:rPr>
            </w:pPr>
            <w:r>
              <w:rPr>
                <w:color w:val="000000"/>
                <w:szCs w:val="22"/>
              </w:rPr>
              <w:t xml:space="preserve">PT </w:t>
            </w:r>
          </w:p>
        </w:tc>
        <w:tc>
          <w:tcPr>
            <w:tcW w:w="6769" w:type="dxa"/>
            <w:vAlign w:val="center"/>
          </w:tcPr>
          <w:p w:rsidR="00E425EA" w:rsidRDefault="00E425EA">
            <w:pPr>
              <w:rPr>
                <w:color w:val="000000"/>
                <w:szCs w:val="22"/>
              </w:rPr>
            </w:pPr>
            <w:r>
              <w:rPr>
                <w:color w:val="000000"/>
                <w:szCs w:val="22"/>
              </w:rPr>
              <w:t>preferred term</w:t>
            </w:r>
          </w:p>
        </w:tc>
      </w:tr>
      <w:tr w:rsidR="00E425EA" w:rsidRPr="00FD119B" w:rsidTr="00071CDD">
        <w:tc>
          <w:tcPr>
            <w:tcW w:w="1951" w:type="dxa"/>
            <w:vAlign w:val="center"/>
          </w:tcPr>
          <w:p w:rsidR="00E425EA" w:rsidRDefault="00E425EA">
            <w:pPr>
              <w:rPr>
                <w:color w:val="000000"/>
                <w:szCs w:val="22"/>
              </w:rPr>
            </w:pPr>
            <w:proofErr w:type="spellStart"/>
            <w:r>
              <w:rPr>
                <w:color w:val="000000"/>
                <w:szCs w:val="22"/>
              </w:rPr>
              <w:t>QTcF</w:t>
            </w:r>
            <w:proofErr w:type="spellEnd"/>
            <w:r>
              <w:rPr>
                <w:color w:val="000000"/>
                <w:szCs w:val="22"/>
              </w:rPr>
              <w:t xml:space="preserve"> </w:t>
            </w:r>
          </w:p>
        </w:tc>
        <w:tc>
          <w:tcPr>
            <w:tcW w:w="6769" w:type="dxa"/>
            <w:vAlign w:val="center"/>
          </w:tcPr>
          <w:p w:rsidR="00E425EA" w:rsidRDefault="00E425EA">
            <w:pPr>
              <w:rPr>
                <w:color w:val="000000"/>
                <w:szCs w:val="22"/>
              </w:rPr>
            </w:pPr>
            <w:r>
              <w:rPr>
                <w:color w:val="000000"/>
                <w:szCs w:val="22"/>
              </w:rPr>
              <w:t xml:space="preserve">QT interval corrected for heart rate by </w:t>
            </w:r>
            <w:proofErr w:type="spellStart"/>
            <w:r>
              <w:rPr>
                <w:color w:val="000000"/>
                <w:szCs w:val="22"/>
              </w:rPr>
              <w:t>Fridericia’s</w:t>
            </w:r>
            <w:proofErr w:type="spellEnd"/>
            <w:r>
              <w:rPr>
                <w:color w:val="000000"/>
                <w:szCs w:val="22"/>
              </w:rPr>
              <w:t xml:space="preserve"> formula</w:t>
            </w:r>
          </w:p>
        </w:tc>
      </w:tr>
      <w:tr w:rsidR="00E425EA" w:rsidRPr="00FD119B" w:rsidTr="00071CDD">
        <w:tc>
          <w:tcPr>
            <w:tcW w:w="1951" w:type="dxa"/>
            <w:vAlign w:val="center"/>
          </w:tcPr>
          <w:p w:rsidR="00E425EA" w:rsidRDefault="00E425EA">
            <w:pPr>
              <w:rPr>
                <w:color w:val="000000"/>
                <w:szCs w:val="22"/>
              </w:rPr>
            </w:pPr>
            <w:r>
              <w:rPr>
                <w:color w:val="000000"/>
                <w:szCs w:val="22"/>
              </w:rPr>
              <w:t>RFP</w:t>
            </w:r>
          </w:p>
        </w:tc>
        <w:tc>
          <w:tcPr>
            <w:tcW w:w="6769" w:type="dxa"/>
            <w:vAlign w:val="center"/>
          </w:tcPr>
          <w:p w:rsidR="00E425EA" w:rsidRDefault="00E425EA">
            <w:pPr>
              <w:rPr>
                <w:color w:val="000000"/>
                <w:szCs w:val="22"/>
              </w:rPr>
            </w:pPr>
            <w:r>
              <w:rPr>
                <w:color w:val="000000"/>
                <w:szCs w:val="22"/>
              </w:rPr>
              <w:t>rifampicin</w:t>
            </w:r>
          </w:p>
        </w:tc>
      </w:tr>
      <w:tr w:rsidR="006B5434" w:rsidRPr="00FD119B" w:rsidTr="00071CDD">
        <w:tc>
          <w:tcPr>
            <w:tcW w:w="1951" w:type="dxa"/>
          </w:tcPr>
          <w:p w:rsidR="006B5434" w:rsidRPr="00FD119B" w:rsidRDefault="006B5434" w:rsidP="00FD25AF">
            <w:pPr>
              <w:ind w:left="142" w:right="0"/>
              <w:rPr>
                <w:color w:val="auto"/>
                <w:szCs w:val="22"/>
                <w:lang w:eastAsia="en-US"/>
              </w:rPr>
            </w:pPr>
            <w:r>
              <w:t>RMP</w:t>
            </w:r>
          </w:p>
        </w:tc>
        <w:tc>
          <w:tcPr>
            <w:tcW w:w="6769" w:type="dxa"/>
          </w:tcPr>
          <w:p w:rsidR="006B5434" w:rsidRPr="00FD119B" w:rsidRDefault="006B5434" w:rsidP="00FD25AF">
            <w:pPr>
              <w:ind w:left="176" w:right="0"/>
              <w:rPr>
                <w:color w:val="auto"/>
                <w:szCs w:val="22"/>
                <w:lang w:eastAsia="en-US"/>
              </w:rPr>
            </w:pPr>
            <w:r>
              <w:t xml:space="preserve">Risk </w:t>
            </w:r>
            <w:r w:rsidRPr="00B51D08">
              <w:t>Management Plan</w:t>
            </w:r>
          </w:p>
        </w:tc>
      </w:tr>
      <w:tr w:rsidR="00E425EA" w:rsidRPr="00FD119B" w:rsidTr="00071CDD">
        <w:tc>
          <w:tcPr>
            <w:tcW w:w="1951" w:type="dxa"/>
            <w:vAlign w:val="center"/>
          </w:tcPr>
          <w:p w:rsidR="00E425EA" w:rsidRDefault="00E425EA">
            <w:pPr>
              <w:rPr>
                <w:color w:val="000000"/>
                <w:szCs w:val="22"/>
              </w:rPr>
            </w:pPr>
            <w:r>
              <w:rPr>
                <w:color w:val="000000"/>
                <w:szCs w:val="22"/>
              </w:rPr>
              <w:t>SAE</w:t>
            </w:r>
          </w:p>
        </w:tc>
        <w:tc>
          <w:tcPr>
            <w:tcW w:w="6769" w:type="dxa"/>
            <w:vAlign w:val="center"/>
          </w:tcPr>
          <w:p w:rsidR="00E425EA" w:rsidRDefault="00BD0824">
            <w:pPr>
              <w:rPr>
                <w:color w:val="000000"/>
                <w:szCs w:val="22"/>
              </w:rPr>
            </w:pPr>
            <w:r>
              <w:rPr>
                <w:color w:val="000000"/>
                <w:szCs w:val="22"/>
              </w:rPr>
              <w:t>s</w:t>
            </w:r>
            <w:r w:rsidR="00E425EA">
              <w:rPr>
                <w:color w:val="000000"/>
                <w:szCs w:val="22"/>
              </w:rPr>
              <w:t>erious adverse events</w:t>
            </w:r>
          </w:p>
        </w:tc>
      </w:tr>
      <w:tr w:rsidR="00E425EA" w:rsidRPr="00FD119B" w:rsidTr="00071CDD">
        <w:tc>
          <w:tcPr>
            <w:tcW w:w="1951" w:type="dxa"/>
            <w:vAlign w:val="center"/>
          </w:tcPr>
          <w:p w:rsidR="00E425EA" w:rsidRDefault="00E425EA">
            <w:pPr>
              <w:rPr>
                <w:color w:val="000000"/>
                <w:szCs w:val="22"/>
              </w:rPr>
            </w:pPr>
            <w:r>
              <w:rPr>
                <w:color w:val="000000"/>
                <w:szCs w:val="22"/>
              </w:rPr>
              <w:t>SD</w:t>
            </w:r>
          </w:p>
        </w:tc>
        <w:tc>
          <w:tcPr>
            <w:tcW w:w="6769" w:type="dxa"/>
            <w:vAlign w:val="center"/>
          </w:tcPr>
          <w:p w:rsidR="00E425EA" w:rsidRDefault="00E425EA">
            <w:pPr>
              <w:rPr>
                <w:color w:val="000000"/>
                <w:szCs w:val="22"/>
              </w:rPr>
            </w:pPr>
            <w:r>
              <w:rPr>
                <w:color w:val="000000"/>
                <w:szCs w:val="22"/>
              </w:rPr>
              <w:t>standard deviation</w:t>
            </w:r>
          </w:p>
        </w:tc>
      </w:tr>
      <w:tr w:rsidR="00E425EA" w:rsidRPr="00FD119B" w:rsidTr="00071CDD">
        <w:tc>
          <w:tcPr>
            <w:tcW w:w="1951" w:type="dxa"/>
            <w:vAlign w:val="center"/>
          </w:tcPr>
          <w:p w:rsidR="00E425EA" w:rsidRDefault="00E425EA">
            <w:pPr>
              <w:rPr>
                <w:color w:val="000000"/>
                <w:szCs w:val="22"/>
              </w:rPr>
            </w:pPr>
            <w:r>
              <w:rPr>
                <w:color w:val="000000"/>
                <w:szCs w:val="22"/>
              </w:rPr>
              <w:t>SE</w:t>
            </w:r>
          </w:p>
        </w:tc>
        <w:tc>
          <w:tcPr>
            <w:tcW w:w="6769" w:type="dxa"/>
            <w:vAlign w:val="center"/>
          </w:tcPr>
          <w:p w:rsidR="00E425EA" w:rsidRDefault="00E425EA">
            <w:pPr>
              <w:rPr>
                <w:color w:val="000000"/>
                <w:szCs w:val="22"/>
              </w:rPr>
            </w:pPr>
            <w:r>
              <w:rPr>
                <w:color w:val="000000"/>
                <w:szCs w:val="22"/>
              </w:rPr>
              <w:t>standard error</w:t>
            </w:r>
          </w:p>
        </w:tc>
      </w:tr>
      <w:tr w:rsidR="00E425EA" w:rsidRPr="00FD119B" w:rsidTr="00071CDD">
        <w:tc>
          <w:tcPr>
            <w:tcW w:w="1951" w:type="dxa"/>
            <w:vAlign w:val="center"/>
          </w:tcPr>
          <w:p w:rsidR="00E425EA" w:rsidRDefault="00E425EA">
            <w:pPr>
              <w:rPr>
                <w:color w:val="000000"/>
                <w:szCs w:val="22"/>
              </w:rPr>
            </w:pPr>
            <w:r>
              <w:rPr>
                <w:color w:val="000000"/>
                <w:szCs w:val="22"/>
              </w:rPr>
              <w:t>SPR</w:t>
            </w:r>
          </w:p>
        </w:tc>
        <w:tc>
          <w:tcPr>
            <w:tcW w:w="6769" w:type="dxa"/>
            <w:vAlign w:val="center"/>
          </w:tcPr>
          <w:p w:rsidR="00E425EA" w:rsidRDefault="00E425EA">
            <w:pPr>
              <w:rPr>
                <w:color w:val="000000"/>
                <w:szCs w:val="22"/>
              </w:rPr>
            </w:pPr>
            <w:r>
              <w:rPr>
                <w:color w:val="000000"/>
                <w:szCs w:val="22"/>
              </w:rPr>
              <w:t>Standard Photosensitive Range</w:t>
            </w:r>
          </w:p>
        </w:tc>
      </w:tr>
      <w:tr w:rsidR="00E425EA" w:rsidRPr="00FD119B" w:rsidTr="00071CDD">
        <w:tc>
          <w:tcPr>
            <w:tcW w:w="1951" w:type="dxa"/>
            <w:vAlign w:val="center"/>
          </w:tcPr>
          <w:p w:rsidR="00E425EA" w:rsidRDefault="00E425EA">
            <w:pPr>
              <w:rPr>
                <w:color w:val="000000"/>
                <w:szCs w:val="22"/>
              </w:rPr>
            </w:pPr>
            <w:r>
              <w:rPr>
                <w:color w:val="000000"/>
                <w:szCs w:val="22"/>
              </w:rPr>
              <w:t>SV2A</w:t>
            </w:r>
          </w:p>
        </w:tc>
        <w:tc>
          <w:tcPr>
            <w:tcW w:w="6769" w:type="dxa"/>
            <w:vAlign w:val="center"/>
          </w:tcPr>
          <w:p w:rsidR="00E425EA" w:rsidRDefault="00E425EA">
            <w:pPr>
              <w:rPr>
                <w:color w:val="000000"/>
                <w:szCs w:val="22"/>
              </w:rPr>
            </w:pPr>
            <w:r>
              <w:rPr>
                <w:color w:val="000000"/>
                <w:szCs w:val="22"/>
                <w:lang w:val="en-US"/>
              </w:rPr>
              <w:t>synaptic vesicle protein 2A</w:t>
            </w:r>
          </w:p>
        </w:tc>
      </w:tr>
      <w:tr w:rsidR="00E425EA" w:rsidRPr="00FD119B" w:rsidTr="00071CDD">
        <w:tc>
          <w:tcPr>
            <w:tcW w:w="1951" w:type="dxa"/>
            <w:vAlign w:val="center"/>
          </w:tcPr>
          <w:p w:rsidR="00E425EA" w:rsidRDefault="00E425EA">
            <w:pPr>
              <w:rPr>
                <w:color w:val="000000"/>
                <w:szCs w:val="22"/>
              </w:rPr>
            </w:pPr>
            <w:r>
              <w:rPr>
                <w:color w:val="000000"/>
                <w:szCs w:val="22"/>
                <w:lang w:val="en-US"/>
              </w:rPr>
              <w:t xml:space="preserve">t½ </w:t>
            </w:r>
          </w:p>
        </w:tc>
        <w:tc>
          <w:tcPr>
            <w:tcW w:w="6769" w:type="dxa"/>
            <w:vAlign w:val="center"/>
          </w:tcPr>
          <w:p w:rsidR="00E425EA" w:rsidRDefault="00E425EA">
            <w:pPr>
              <w:rPr>
                <w:color w:val="000000"/>
                <w:szCs w:val="22"/>
              </w:rPr>
            </w:pPr>
            <w:r>
              <w:rPr>
                <w:color w:val="000000"/>
                <w:szCs w:val="22"/>
              </w:rPr>
              <w:t>plasma half-life</w:t>
            </w:r>
          </w:p>
        </w:tc>
      </w:tr>
      <w:tr w:rsidR="00E425EA" w:rsidRPr="00FD119B" w:rsidTr="00071CDD">
        <w:tc>
          <w:tcPr>
            <w:tcW w:w="1951" w:type="dxa"/>
            <w:vAlign w:val="center"/>
          </w:tcPr>
          <w:p w:rsidR="00E425EA" w:rsidRDefault="00E425EA">
            <w:pPr>
              <w:rPr>
                <w:color w:val="000000"/>
                <w:szCs w:val="22"/>
              </w:rPr>
            </w:pPr>
            <w:r>
              <w:rPr>
                <w:color w:val="000000"/>
                <w:szCs w:val="22"/>
                <w:lang w:val="en-US"/>
              </w:rPr>
              <w:t xml:space="preserve">TEAE </w:t>
            </w:r>
          </w:p>
        </w:tc>
        <w:tc>
          <w:tcPr>
            <w:tcW w:w="6769" w:type="dxa"/>
            <w:vAlign w:val="center"/>
          </w:tcPr>
          <w:p w:rsidR="00E425EA" w:rsidRDefault="00E425EA">
            <w:pPr>
              <w:rPr>
                <w:color w:val="000000"/>
                <w:szCs w:val="22"/>
              </w:rPr>
            </w:pPr>
            <w:r>
              <w:rPr>
                <w:color w:val="000000"/>
                <w:szCs w:val="22"/>
              </w:rPr>
              <w:t>treatment-emergent adverse event</w:t>
            </w:r>
          </w:p>
        </w:tc>
      </w:tr>
      <w:tr w:rsidR="006B5434" w:rsidRPr="00FD119B" w:rsidTr="00071CDD">
        <w:tc>
          <w:tcPr>
            <w:tcW w:w="1951" w:type="dxa"/>
          </w:tcPr>
          <w:p w:rsidR="006B5434" w:rsidRPr="00FD119B" w:rsidRDefault="006B5434" w:rsidP="00FD25AF">
            <w:pPr>
              <w:ind w:left="142" w:right="0"/>
              <w:rPr>
                <w:color w:val="auto"/>
                <w:szCs w:val="22"/>
                <w:lang w:eastAsia="en-US"/>
              </w:rPr>
            </w:pPr>
            <w:r>
              <w:t>T</w:t>
            </w:r>
            <w:r w:rsidRPr="004F6826">
              <w:t>max</w:t>
            </w:r>
          </w:p>
        </w:tc>
        <w:tc>
          <w:tcPr>
            <w:tcW w:w="6769" w:type="dxa"/>
          </w:tcPr>
          <w:p w:rsidR="006B5434" w:rsidRPr="00FD119B" w:rsidRDefault="006B5434" w:rsidP="00FD25AF">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(Cmax)</w:t>
            </w:r>
          </w:p>
        </w:tc>
      </w:tr>
      <w:tr w:rsidR="00E425EA" w:rsidRPr="00FD119B" w:rsidTr="00071CDD">
        <w:tc>
          <w:tcPr>
            <w:tcW w:w="1951" w:type="dxa"/>
            <w:vAlign w:val="center"/>
          </w:tcPr>
          <w:p w:rsidR="00E425EA" w:rsidRDefault="00E425EA">
            <w:pPr>
              <w:rPr>
                <w:color w:val="000000"/>
                <w:szCs w:val="22"/>
              </w:rPr>
            </w:pPr>
            <w:r>
              <w:rPr>
                <w:color w:val="000000"/>
                <w:szCs w:val="22"/>
                <w:lang w:val="en-US"/>
              </w:rPr>
              <w:t>TPM</w:t>
            </w:r>
          </w:p>
        </w:tc>
        <w:tc>
          <w:tcPr>
            <w:tcW w:w="6769" w:type="dxa"/>
            <w:vAlign w:val="center"/>
          </w:tcPr>
          <w:p w:rsidR="00E425EA" w:rsidRDefault="00E425EA">
            <w:pPr>
              <w:rPr>
                <w:color w:val="000000"/>
                <w:szCs w:val="22"/>
              </w:rPr>
            </w:pPr>
            <w:proofErr w:type="spellStart"/>
            <w:r>
              <w:rPr>
                <w:color w:val="000000"/>
                <w:szCs w:val="22"/>
              </w:rPr>
              <w:t>topiramate</w:t>
            </w:r>
            <w:proofErr w:type="spellEnd"/>
          </w:p>
        </w:tc>
      </w:tr>
      <w:tr w:rsidR="00E425EA" w:rsidRPr="00FD119B" w:rsidTr="00071CDD">
        <w:tc>
          <w:tcPr>
            <w:tcW w:w="1951" w:type="dxa"/>
            <w:vAlign w:val="center"/>
          </w:tcPr>
          <w:p w:rsidR="00E425EA" w:rsidRDefault="00E425EA">
            <w:pPr>
              <w:rPr>
                <w:color w:val="000000"/>
                <w:szCs w:val="22"/>
              </w:rPr>
            </w:pPr>
            <w:r>
              <w:rPr>
                <w:color w:val="000000"/>
                <w:szCs w:val="22"/>
                <w:lang w:val="en-US"/>
              </w:rPr>
              <w:t>V</w:t>
            </w:r>
          </w:p>
        </w:tc>
        <w:tc>
          <w:tcPr>
            <w:tcW w:w="6769" w:type="dxa"/>
            <w:vAlign w:val="center"/>
          </w:tcPr>
          <w:p w:rsidR="00E425EA" w:rsidRDefault="00E425EA">
            <w:pPr>
              <w:rPr>
                <w:color w:val="000000"/>
                <w:szCs w:val="22"/>
              </w:rPr>
            </w:pPr>
            <w:r>
              <w:rPr>
                <w:color w:val="000000"/>
                <w:szCs w:val="22"/>
              </w:rPr>
              <w:t>volume</w:t>
            </w:r>
          </w:p>
        </w:tc>
      </w:tr>
      <w:tr w:rsidR="00E425EA" w:rsidRPr="00FD119B" w:rsidTr="00071CDD">
        <w:tc>
          <w:tcPr>
            <w:tcW w:w="1951" w:type="dxa"/>
            <w:vAlign w:val="center"/>
          </w:tcPr>
          <w:p w:rsidR="00E425EA" w:rsidRDefault="00E425EA">
            <w:pPr>
              <w:rPr>
                <w:color w:val="000000"/>
                <w:szCs w:val="22"/>
              </w:rPr>
            </w:pPr>
            <w:r>
              <w:rPr>
                <w:color w:val="000000"/>
                <w:szCs w:val="22"/>
                <w:lang w:val="en-US"/>
              </w:rPr>
              <w:t>VAS</w:t>
            </w:r>
          </w:p>
        </w:tc>
        <w:tc>
          <w:tcPr>
            <w:tcW w:w="6769" w:type="dxa"/>
            <w:vAlign w:val="center"/>
          </w:tcPr>
          <w:p w:rsidR="00E425EA" w:rsidRDefault="00E425EA">
            <w:pPr>
              <w:rPr>
                <w:color w:val="000000"/>
                <w:szCs w:val="22"/>
              </w:rPr>
            </w:pPr>
            <w:r>
              <w:rPr>
                <w:color w:val="000000"/>
                <w:szCs w:val="22"/>
              </w:rPr>
              <w:t>visual analogue scales</w:t>
            </w:r>
          </w:p>
        </w:tc>
      </w:tr>
      <w:tr w:rsidR="00E425EA" w:rsidRPr="00FD119B" w:rsidTr="00071CDD">
        <w:tc>
          <w:tcPr>
            <w:tcW w:w="1951" w:type="dxa"/>
            <w:vAlign w:val="center"/>
          </w:tcPr>
          <w:p w:rsidR="00E425EA" w:rsidRDefault="00E425EA">
            <w:pPr>
              <w:rPr>
                <w:color w:val="000000"/>
                <w:szCs w:val="22"/>
              </w:rPr>
            </w:pPr>
            <w:r>
              <w:rPr>
                <w:color w:val="000000"/>
                <w:szCs w:val="22"/>
                <w:lang w:val="en-US"/>
              </w:rPr>
              <w:t>VGSC</w:t>
            </w:r>
          </w:p>
        </w:tc>
        <w:tc>
          <w:tcPr>
            <w:tcW w:w="6769" w:type="dxa"/>
            <w:vAlign w:val="center"/>
          </w:tcPr>
          <w:p w:rsidR="00E425EA" w:rsidRDefault="00E425EA">
            <w:pPr>
              <w:rPr>
                <w:color w:val="000000"/>
                <w:szCs w:val="22"/>
              </w:rPr>
            </w:pPr>
            <w:r>
              <w:rPr>
                <w:color w:val="000000"/>
                <w:szCs w:val="22"/>
              </w:rPr>
              <w:t>Voltage-gated sodium channel</w:t>
            </w:r>
          </w:p>
        </w:tc>
      </w:tr>
      <w:tr w:rsidR="00E425EA" w:rsidRPr="00FD119B" w:rsidTr="00071CDD">
        <w:tc>
          <w:tcPr>
            <w:tcW w:w="1951" w:type="dxa"/>
            <w:vAlign w:val="center"/>
          </w:tcPr>
          <w:p w:rsidR="00E425EA" w:rsidRDefault="00E425EA">
            <w:pPr>
              <w:rPr>
                <w:color w:val="000000"/>
                <w:szCs w:val="22"/>
              </w:rPr>
            </w:pPr>
            <w:r>
              <w:rPr>
                <w:color w:val="000000"/>
                <w:szCs w:val="22"/>
                <w:lang w:val="en-US"/>
              </w:rPr>
              <w:t>VPA</w:t>
            </w:r>
          </w:p>
        </w:tc>
        <w:tc>
          <w:tcPr>
            <w:tcW w:w="6769" w:type="dxa"/>
            <w:vAlign w:val="center"/>
          </w:tcPr>
          <w:p w:rsidR="00E425EA" w:rsidRDefault="00E425EA">
            <w:pPr>
              <w:rPr>
                <w:color w:val="000000"/>
                <w:szCs w:val="22"/>
              </w:rPr>
            </w:pPr>
            <w:r>
              <w:rPr>
                <w:color w:val="000000"/>
                <w:szCs w:val="22"/>
              </w:rPr>
              <w:t>valproate</w:t>
            </w:r>
          </w:p>
        </w:tc>
      </w:tr>
      <w:tr w:rsidR="00E425EA" w:rsidRPr="00FD119B" w:rsidTr="00071CDD">
        <w:tc>
          <w:tcPr>
            <w:tcW w:w="1951" w:type="dxa"/>
            <w:vAlign w:val="center"/>
          </w:tcPr>
          <w:p w:rsidR="00E425EA" w:rsidRDefault="00E425EA">
            <w:pPr>
              <w:rPr>
                <w:color w:val="000000"/>
                <w:szCs w:val="22"/>
              </w:rPr>
            </w:pPr>
            <w:proofErr w:type="spellStart"/>
            <w:r>
              <w:rPr>
                <w:color w:val="000000"/>
                <w:szCs w:val="22"/>
                <w:lang w:val="en-US"/>
              </w:rPr>
              <w:t>Vz</w:t>
            </w:r>
            <w:proofErr w:type="spellEnd"/>
            <w:r>
              <w:rPr>
                <w:color w:val="000000"/>
                <w:szCs w:val="22"/>
                <w:lang w:val="en-US"/>
              </w:rPr>
              <w:t xml:space="preserve">/F </w:t>
            </w:r>
          </w:p>
        </w:tc>
        <w:tc>
          <w:tcPr>
            <w:tcW w:w="6769" w:type="dxa"/>
            <w:vAlign w:val="center"/>
          </w:tcPr>
          <w:p w:rsidR="00E425EA" w:rsidRDefault="00E425EA">
            <w:pPr>
              <w:rPr>
                <w:color w:val="000000"/>
                <w:szCs w:val="22"/>
              </w:rPr>
            </w:pPr>
            <w:r>
              <w:rPr>
                <w:color w:val="000000"/>
                <w:szCs w:val="22"/>
              </w:rPr>
              <w:t>apparent volume of distribution at the terminal elimination phase</w:t>
            </w:r>
          </w:p>
        </w:tc>
      </w:tr>
      <w:tr w:rsidR="00E425EA" w:rsidRPr="00FD119B" w:rsidTr="00071CDD">
        <w:tc>
          <w:tcPr>
            <w:tcW w:w="1951" w:type="dxa"/>
            <w:vAlign w:val="bottom"/>
          </w:tcPr>
          <w:p w:rsidR="00E425EA" w:rsidRDefault="00E425EA">
            <w:pPr>
              <w:rPr>
                <w:color w:val="000000"/>
                <w:szCs w:val="22"/>
              </w:rPr>
            </w:pPr>
            <w:r>
              <w:rPr>
                <w:color w:val="000000"/>
                <w:szCs w:val="22"/>
              </w:rPr>
              <w:t>ZNS</w:t>
            </w:r>
          </w:p>
        </w:tc>
        <w:tc>
          <w:tcPr>
            <w:tcW w:w="6769" w:type="dxa"/>
            <w:vAlign w:val="bottom"/>
          </w:tcPr>
          <w:p w:rsidR="00E425EA" w:rsidRDefault="00E425EA">
            <w:pPr>
              <w:rPr>
                <w:color w:val="000000"/>
                <w:szCs w:val="22"/>
              </w:rPr>
            </w:pPr>
            <w:proofErr w:type="spellStart"/>
            <w:r>
              <w:rPr>
                <w:color w:val="000000"/>
                <w:szCs w:val="22"/>
              </w:rPr>
              <w:t>zonisamide</w:t>
            </w:r>
            <w:proofErr w:type="spellEnd"/>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3" w:name="_Toc479595209"/>
      <w:r>
        <w:lastRenderedPageBreak/>
        <w:t>I.</w:t>
      </w:r>
      <w:r w:rsidR="008E7846">
        <w:t xml:space="preserve"> Introduction to product submission</w:t>
      </w:r>
      <w:bookmarkEnd w:id="4"/>
      <w:bookmarkEnd w:id="7"/>
      <w:bookmarkEnd w:id="13"/>
    </w:p>
    <w:p w:rsidR="008E7846" w:rsidRDefault="008E7846" w:rsidP="008E7846">
      <w:pPr>
        <w:pStyle w:val="Heading3"/>
        <w:rPr>
          <w:lang w:eastAsia="en-AU"/>
        </w:rPr>
      </w:pPr>
      <w:bookmarkStart w:id="14" w:name="_Toc247691502"/>
      <w:bookmarkStart w:id="15" w:name="_Toc314842483"/>
      <w:bookmarkStart w:id="16" w:name="_Toc479595210"/>
      <w:r>
        <w:rPr>
          <w:lang w:eastAsia="en-AU"/>
        </w:rPr>
        <w:t>Submission details</w:t>
      </w:r>
      <w:bookmarkEnd w:id="14"/>
      <w:bookmarkEnd w:id="15"/>
      <w:bookmarkEnd w:id="16"/>
    </w:p>
    <w:tbl>
      <w:tblPr>
        <w:tblW w:w="9497" w:type="dxa"/>
        <w:tblInd w:w="108" w:type="dxa"/>
        <w:tblLook w:val="01E0" w:firstRow="1" w:lastRow="1" w:firstColumn="1" w:lastColumn="1" w:noHBand="0" w:noVBand="0"/>
      </w:tblPr>
      <w:tblGrid>
        <w:gridCol w:w="2907"/>
        <w:gridCol w:w="6307"/>
        <w:gridCol w:w="283"/>
      </w:tblGrid>
      <w:tr w:rsidR="008E7846" w:rsidRPr="003D1E62" w:rsidTr="00376D5E">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1B5C90">
            <w:r w:rsidRPr="003D1E62">
              <w:t xml:space="preserve">New </w:t>
            </w:r>
            <w:r w:rsidR="001B5C90">
              <w:t>c</w:t>
            </w:r>
            <w:r w:rsidRPr="003D1E62">
              <w:t xml:space="preserve">hemical </w:t>
            </w:r>
            <w:r w:rsidR="001B5C90">
              <w:t>e</w:t>
            </w:r>
            <w:r w:rsidR="00C22491">
              <w:t>ntity</w:t>
            </w:r>
          </w:p>
        </w:tc>
      </w:tr>
      <w:tr w:rsidR="008E7846" w:rsidRPr="003D1E62" w:rsidTr="00376D5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0C2D0F" w:rsidP="00E64537">
            <w:r>
              <w:t>Approved</w:t>
            </w:r>
          </w:p>
        </w:tc>
      </w:tr>
      <w:tr w:rsidR="008E7846" w:rsidRPr="003D1E62" w:rsidTr="00376D5E">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494BC3" w:rsidP="001B5C90">
            <w:r>
              <w:t>2 August 2016</w:t>
            </w:r>
          </w:p>
        </w:tc>
      </w:tr>
      <w:tr w:rsidR="00ED2922" w:rsidRPr="003D1E62" w:rsidTr="00376D5E">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E64537" w:rsidP="00EC463D">
            <w:pPr>
              <w:rPr>
                <w:i/>
              </w:rPr>
            </w:pPr>
            <w:r>
              <w:t>4 August 2016</w:t>
            </w:r>
          </w:p>
        </w:tc>
      </w:tr>
      <w:tr w:rsidR="008E7846" w:rsidRPr="00487162" w:rsidTr="00376D5E">
        <w:trPr>
          <w:gridAfter w:val="1"/>
          <w:wAfter w:w="283" w:type="dxa"/>
        </w:trPr>
        <w:tc>
          <w:tcPr>
            <w:tcW w:w="2907" w:type="dxa"/>
          </w:tcPr>
          <w:p w:rsidR="008E7846" w:rsidRPr="00487162" w:rsidRDefault="00C22491" w:rsidP="00E45619">
            <w:pPr>
              <w:rPr>
                <w:i/>
              </w:rPr>
            </w:pPr>
            <w:r>
              <w:rPr>
                <w:i/>
              </w:rPr>
              <w:t>Active ingredient</w:t>
            </w:r>
            <w:r w:rsidR="001B5C90">
              <w:rPr>
                <w:i/>
              </w:rPr>
              <w:t>:</w:t>
            </w:r>
          </w:p>
        </w:tc>
        <w:tc>
          <w:tcPr>
            <w:tcW w:w="6307" w:type="dxa"/>
          </w:tcPr>
          <w:p w:rsidR="008E7846" w:rsidRPr="00487162" w:rsidRDefault="00C22491" w:rsidP="00E45619">
            <w:r>
              <w:t>B</w:t>
            </w:r>
            <w:r w:rsidRPr="00C22491">
              <w:t>rivaracetam</w:t>
            </w:r>
          </w:p>
        </w:tc>
      </w:tr>
      <w:tr w:rsidR="008E7846" w:rsidRPr="00487162" w:rsidTr="00376D5E">
        <w:trPr>
          <w:gridAfter w:val="1"/>
          <w:wAfter w:w="283" w:type="dxa"/>
        </w:trPr>
        <w:tc>
          <w:tcPr>
            <w:tcW w:w="2907" w:type="dxa"/>
          </w:tcPr>
          <w:p w:rsidR="008E7846" w:rsidRPr="00487162" w:rsidRDefault="008E7846" w:rsidP="001B5C90">
            <w:pPr>
              <w:rPr>
                <w:i/>
              </w:rPr>
            </w:pPr>
            <w:r w:rsidRPr="00487162">
              <w:rPr>
                <w:i/>
              </w:rPr>
              <w:t>Product</w:t>
            </w:r>
            <w:r w:rsidR="00C22491">
              <w:rPr>
                <w:i/>
              </w:rPr>
              <w:t xml:space="preserve"> name</w:t>
            </w:r>
            <w:r w:rsidR="001B5C90">
              <w:rPr>
                <w:i/>
              </w:rPr>
              <w:t>:</w:t>
            </w:r>
          </w:p>
        </w:tc>
        <w:tc>
          <w:tcPr>
            <w:tcW w:w="6307" w:type="dxa"/>
          </w:tcPr>
          <w:p w:rsidR="008E7846" w:rsidRPr="00487162" w:rsidRDefault="00C22491" w:rsidP="00E45619">
            <w:r>
              <w:t>Briviact</w:t>
            </w:r>
          </w:p>
        </w:tc>
      </w:tr>
      <w:tr w:rsidR="008E7846" w:rsidRPr="00487162" w:rsidTr="00376D5E">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E86532" w:rsidRDefault="00A951E8" w:rsidP="00E45619">
            <w:r>
              <w:t>UCB Australia Pty Ltd</w:t>
            </w:r>
          </w:p>
          <w:p w:rsidR="00E86532" w:rsidRDefault="00E86532" w:rsidP="00E45619">
            <w:r w:rsidRPr="00E86532">
              <w:t>PO</w:t>
            </w:r>
            <w:r>
              <w:t xml:space="preserve"> Box 158</w:t>
            </w:r>
          </w:p>
          <w:p w:rsidR="008E7846" w:rsidRPr="00487162" w:rsidRDefault="00E86532" w:rsidP="00E45619">
            <w:r>
              <w:t xml:space="preserve">Malvern VIC </w:t>
            </w:r>
            <w:r w:rsidRPr="00E86532">
              <w:t>3144</w:t>
            </w:r>
          </w:p>
        </w:tc>
      </w:tr>
      <w:tr w:rsidR="008E7846" w:rsidRPr="00487162" w:rsidTr="00376D5E">
        <w:trPr>
          <w:gridAfter w:val="1"/>
          <w:wAfter w:w="283" w:type="dxa"/>
        </w:trPr>
        <w:tc>
          <w:tcPr>
            <w:tcW w:w="2907" w:type="dxa"/>
          </w:tcPr>
          <w:p w:rsidR="008E7846" w:rsidRPr="00487162" w:rsidRDefault="00277B99" w:rsidP="00E45619">
            <w:pPr>
              <w:rPr>
                <w:i/>
              </w:rPr>
            </w:pPr>
            <w:r>
              <w:rPr>
                <w:i/>
              </w:rPr>
              <w:t>Dose form</w:t>
            </w:r>
            <w:r w:rsidR="00776BD8">
              <w:rPr>
                <w:i/>
              </w:rPr>
              <w:t>s</w:t>
            </w:r>
            <w:r w:rsidR="001B5C90">
              <w:rPr>
                <w:i/>
              </w:rPr>
              <w:t>:</w:t>
            </w:r>
          </w:p>
        </w:tc>
        <w:tc>
          <w:tcPr>
            <w:tcW w:w="6307" w:type="dxa"/>
          </w:tcPr>
          <w:p w:rsidR="008E7846" w:rsidRPr="00487162" w:rsidRDefault="00277B99" w:rsidP="00CE7107">
            <w:r w:rsidRPr="00277B99">
              <w:t>Immediate release film</w:t>
            </w:r>
            <w:r w:rsidR="005E10D2">
              <w:t xml:space="preserve"> coated tablets, oral solution &amp; </w:t>
            </w:r>
            <w:r w:rsidRPr="00277B99">
              <w:t>solution for injection</w:t>
            </w:r>
          </w:p>
        </w:tc>
      </w:tr>
      <w:tr w:rsidR="008E7846" w:rsidRPr="00487162" w:rsidTr="00376D5E">
        <w:trPr>
          <w:gridAfter w:val="1"/>
          <w:wAfter w:w="283" w:type="dxa"/>
        </w:trPr>
        <w:tc>
          <w:tcPr>
            <w:tcW w:w="2907" w:type="dxa"/>
          </w:tcPr>
          <w:p w:rsidR="008E7846" w:rsidRPr="00487162" w:rsidRDefault="005A5E2F" w:rsidP="00E45619">
            <w:pPr>
              <w:rPr>
                <w:i/>
              </w:rPr>
            </w:pPr>
            <w:r>
              <w:rPr>
                <w:i/>
              </w:rPr>
              <w:t>Strengths</w:t>
            </w:r>
            <w:r w:rsidR="008E7846" w:rsidRPr="00487162">
              <w:rPr>
                <w:i/>
              </w:rPr>
              <w:t xml:space="preserve">: </w:t>
            </w:r>
          </w:p>
        </w:tc>
        <w:tc>
          <w:tcPr>
            <w:tcW w:w="6307" w:type="dxa"/>
          </w:tcPr>
          <w:p w:rsidR="00277B99" w:rsidRPr="00804BC3" w:rsidRDefault="00277B99" w:rsidP="00277B99">
            <w:pPr>
              <w:spacing w:before="60" w:after="60"/>
            </w:pPr>
            <w:r w:rsidRPr="00804BC3">
              <w:t>Film Coated Tablets Containing Brivaracetam 10 mg, 25 mg, 50</w:t>
            </w:r>
            <w:r>
              <w:t xml:space="preserve"> mg, 75 mg and</w:t>
            </w:r>
            <w:r w:rsidRPr="00804BC3">
              <w:t xml:space="preserve"> 100 mg</w:t>
            </w:r>
            <w:r w:rsidR="00C65168">
              <w:t>;</w:t>
            </w:r>
          </w:p>
          <w:p w:rsidR="00277B99" w:rsidRPr="00804BC3" w:rsidRDefault="00277B99" w:rsidP="00277B99">
            <w:pPr>
              <w:spacing w:before="60" w:after="60"/>
            </w:pPr>
            <w:r w:rsidRPr="00804BC3">
              <w:t>Oral Solution Containing Brivaracetam 10 mg/mL</w:t>
            </w:r>
            <w:r w:rsidR="00C65168">
              <w:t>;</w:t>
            </w:r>
          </w:p>
          <w:p w:rsidR="008E7846" w:rsidRPr="00487162" w:rsidRDefault="00277B99" w:rsidP="00277B99">
            <w:r w:rsidRPr="00804BC3">
              <w:t>Solution for Injection Containing Brivaracetam 50 mg/5 mL</w:t>
            </w:r>
          </w:p>
        </w:tc>
      </w:tr>
      <w:tr w:rsidR="008E7846" w:rsidRPr="00487162" w:rsidTr="00376D5E">
        <w:trPr>
          <w:gridAfter w:val="1"/>
          <w:wAfter w:w="283" w:type="dxa"/>
        </w:trPr>
        <w:tc>
          <w:tcPr>
            <w:tcW w:w="2907" w:type="dxa"/>
          </w:tcPr>
          <w:p w:rsidR="008E7846" w:rsidRPr="00487162" w:rsidRDefault="00776BD8" w:rsidP="00E45619">
            <w:pPr>
              <w:rPr>
                <w:i/>
              </w:rPr>
            </w:pPr>
            <w:r>
              <w:rPr>
                <w:i/>
              </w:rPr>
              <w:t>Containers</w:t>
            </w:r>
            <w:r w:rsidR="008E7846" w:rsidRPr="00487162">
              <w:rPr>
                <w:i/>
              </w:rPr>
              <w:t>:</w:t>
            </w:r>
          </w:p>
        </w:tc>
        <w:tc>
          <w:tcPr>
            <w:tcW w:w="6307" w:type="dxa"/>
          </w:tcPr>
          <w:p w:rsidR="005A5E2F" w:rsidRDefault="005A5E2F" w:rsidP="005A5E2F">
            <w:pPr>
              <w:spacing w:before="60" w:after="60"/>
            </w:pPr>
            <w:r w:rsidRPr="00804BC3">
              <w:t>PVC/PCTFE//aluminium blister packs</w:t>
            </w:r>
            <w:r>
              <w:t xml:space="preserve"> (tablets);</w:t>
            </w:r>
          </w:p>
          <w:p w:rsidR="005A5E2F" w:rsidRDefault="005A5E2F" w:rsidP="005A5E2F">
            <w:pPr>
              <w:spacing w:before="60" w:after="60"/>
            </w:pPr>
            <w:r w:rsidRPr="00804BC3">
              <w:t>300 mL capacity Type III amber glass bottle with a tamper evident, polypropylene child-resistant screw cap</w:t>
            </w:r>
            <w:r>
              <w:t xml:space="preserve"> (oral solution);</w:t>
            </w:r>
          </w:p>
          <w:p w:rsidR="008E7846" w:rsidRPr="00487162" w:rsidRDefault="005A5E2F" w:rsidP="005A5E2F">
            <w:r>
              <w:t>C</w:t>
            </w:r>
            <w:r w:rsidRPr="00804BC3">
              <w:t>lear, colourless</w:t>
            </w:r>
            <w:r>
              <w:t xml:space="preserve"> 6 mL capacity</w:t>
            </w:r>
            <w:r w:rsidRPr="00804BC3">
              <w:t xml:space="preserve"> Type I glass vial with a 20 mm </w:t>
            </w:r>
            <w:proofErr w:type="spellStart"/>
            <w:r w:rsidRPr="00804BC3">
              <w:t>bromobutyl</w:t>
            </w:r>
            <w:proofErr w:type="spellEnd"/>
            <w:r w:rsidRPr="00804BC3">
              <w:t xml:space="preserve"> rubber stopper and a 20 mm aluminium cap with </w:t>
            </w:r>
            <w:r>
              <w:t xml:space="preserve">white </w:t>
            </w:r>
            <w:r w:rsidRPr="00804BC3">
              <w:t>polypropylene tear-off seal</w:t>
            </w:r>
            <w:r>
              <w:t xml:space="preserve"> (solution for injection)</w:t>
            </w:r>
          </w:p>
        </w:tc>
      </w:tr>
      <w:tr w:rsidR="008E7846" w:rsidRPr="00487162" w:rsidTr="00376D5E">
        <w:trPr>
          <w:gridAfter w:val="1"/>
          <w:wAfter w:w="283" w:type="dxa"/>
        </w:trPr>
        <w:tc>
          <w:tcPr>
            <w:tcW w:w="2907" w:type="dxa"/>
          </w:tcPr>
          <w:p w:rsidR="008E7846" w:rsidRPr="00487162" w:rsidRDefault="008E7846" w:rsidP="00E45619">
            <w:pPr>
              <w:rPr>
                <w:i/>
              </w:rPr>
            </w:pPr>
            <w:r w:rsidRPr="00487162">
              <w:rPr>
                <w:i/>
              </w:rPr>
              <w:t>Pack s</w:t>
            </w:r>
            <w:r w:rsidR="00776BD8">
              <w:rPr>
                <w:i/>
              </w:rPr>
              <w:t>izes</w:t>
            </w:r>
            <w:r w:rsidRPr="00487162">
              <w:rPr>
                <w:i/>
              </w:rPr>
              <w:t>:</w:t>
            </w:r>
          </w:p>
        </w:tc>
        <w:tc>
          <w:tcPr>
            <w:tcW w:w="6307" w:type="dxa"/>
          </w:tcPr>
          <w:p w:rsidR="005A3AC1" w:rsidRDefault="005A3AC1" w:rsidP="005A3AC1">
            <w:pPr>
              <w:spacing w:before="60" w:after="60"/>
              <w:rPr>
                <w:rFonts w:cs="Calibri"/>
              </w:rPr>
            </w:pPr>
            <w:r w:rsidRPr="00804BC3">
              <w:rPr>
                <w:rFonts w:cs="Calibri"/>
              </w:rPr>
              <w:t xml:space="preserve">14, 56, 100 </w:t>
            </w:r>
            <w:r>
              <w:rPr>
                <w:rFonts w:cs="Calibri"/>
              </w:rPr>
              <w:t>T</w:t>
            </w:r>
            <w:r w:rsidRPr="00804BC3">
              <w:rPr>
                <w:rFonts w:cs="Calibri"/>
              </w:rPr>
              <w:t>ablets and a multipack of 168 (3 x 56) tablets</w:t>
            </w:r>
            <w:r>
              <w:rPr>
                <w:rFonts w:cs="Calibri"/>
              </w:rPr>
              <w:t>;</w:t>
            </w:r>
          </w:p>
          <w:p w:rsidR="002A64BE" w:rsidRDefault="008F7210" w:rsidP="002A64BE">
            <w:pPr>
              <w:spacing w:before="60" w:after="60"/>
              <w:rPr>
                <w:rFonts w:cs="Calibri"/>
              </w:rPr>
            </w:pPr>
            <w:r>
              <w:rPr>
                <w:rFonts w:cs="Calibri"/>
              </w:rPr>
              <w:t xml:space="preserve">1 x </w:t>
            </w:r>
            <w:r w:rsidR="005A3AC1">
              <w:rPr>
                <w:rFonts w:cs="Calibri"/>
              </w:rPr>
              <w:t>300 mL bottle (oral solution);</w:t>
            </w:r>
          </w:p>
          <w:p w:rsidR="008E7846" w:rsidRPr="002A64BE" w:rsidRDefault="005A3AC1" w:rsidP="002A64BE">
            <w:pPr>
              <w:spacing w:before="60" w:after="60"/>
              <w:rPr>
                <w:rFonts w:cs="Calibri"/>
              </w:rPr>
            </w:pPr>
            <w:r>
              <w:rPr>
                <w:rFonts w:cs="Calibri"/>
              </w:rPr>
              <w:t xml:space="preserve">10 x </w:t>
            </w:r>
            <w:r w:rsidRPr="00804BC3">
              <w:rPr>
                <w:rFonts w:cs="Calibri"/>
              </w:rPr>
              <w:t>6 mL capacity Type I glass vial</w:t>
            </w:r>
            <w:r>
              <w:rPr>
                <w:rFonts w:cs="Calibri"/>
              </w:rPr>
              <w:t>s (solution for injection)</w:t>
            </w:r>
          </w:p>
        </w:tc>
      </w:tr>
      <w:tr w:rsidR="008E7846" w:rsidRPr="00487162" w:rsidTr="00376D5E">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0522AB" w:rsidRPr="00487162" w:rsidRDefault="00494BC3" w:rsidP="00E45619">
            <w:pPr>
              <w:rPr>
                <w:rFonts w:eastAsia="MS Mincho"/>
                <w:lang w:eastAsia="ja-JP"/>
              </w:rPr>
            </w:pPr>
            <w:r>
              <w:rPr>
                <w:rFonts w:eastAsia="MS Mincho"/>
                <w:lang w:eastAsia="ja-JP"/>
              </w:rPr>
              <w:t>Briviact</w:t>
            </w:r>
            <w:r w:rsidR="000522AB" w:rsidRPr="000522AB">
              <w:rPr>
                <w:rFonts w:eastAsia="MS Mincho"/>
                <w:lang w:eastAsia="ja-JP"/>
              </w:rPr>
              <w:t xml:space="preserve"> tablets </w:t>
            </w:r>
            <w:r w:rsidR="000522AB">
              <w:rPr>
                <w:rFonts w:eastAsia="MS Mincho"/>
                <w:lang w:eastAsia="ja-JP"/>
              </w:rPr>
              <w:t xml:space="preserve">and oral solution and </w:t>
            </w:r>
            <w:r w:rsidR="004C4C4D">
              <w:rPr>
                <w:rFonts w:eastAsia="MS Mincho"/>
                <w:lang w:eastAsia="ja-JP"/>
              </w:rPr>
              <w:t xml:space="preserve">Briviact solution for injection </w:t>
            </w:r>
            <w:r w:rsidR="000522AB" w:rsidRPr="000522AB">
              <w:rPr>
                <w:rFonts w:eastAsia="MS Mincho"/>
                <w:lang w:eastAsia="ja-JP"/>
              </w:rPr>
              <w:t>are indicated as add-on therapy in the treatment of partial-onset seizures with or without secondary generalisation in patients from 16 years of age with epilepsy</w:t>
            </w:r>
          </w:p>
        </w:tc>
      </w:tr>
      <w:tr w:rsidR="008E7846" w:rsidRPr="00487162" w:rsidTr="00376D5E">
        <w:trPr>
          <w:gridAfter w:val="1"/>
          <w:wAfter w:w="283" w:type="dxa"/>
        </w:trPr>
        <w:tc>
          <w:tcPr>
            <w:tcW w:w="2907" w:type="dxa"/>
          </w:tcPr>
          <w:p w:rsidR="008E7846" w:rsidRPr="00487162" w:rsidRDefault="000D648F" w:rsidP="00E45619">
            <w:pPr>
              <w:rPr>
                <w:i/>
              </w:rPr>
            </w:pPr>
            <w:r>
              <w:rPr>
                <w:i/>
              </w:rPr>
              <w:t>Routes</w:t>
            </w:r>
            <w:r w:rsidR="008E7846" w:rsidRPr="00487162">
              <w:rPr>
                <w:i/>
              </w:rPr>
              <w:t xml:space="preserve"> of administration:</w:t>
            </w:r>
          </w:p>
        </w:tc>
        <w:tc>
          <w:tcPr>
            <w:tcW w:w="6307" w:type="dxa"/>
          </w:tcPr>
          <w:p w:rsidR="00886085" w:rsidRDefault="00886085" w:rsidP="00E45619">
            <w:r>
              <w:t>Oral (tablets &amp; oral solution);</w:t>
            </w:r>
          </w:p>
          <w:p w:rsidR="008E7846" w:rsidRPr="00487162" w:rsidRDefault="00886085" w:rsidP="00E45619">
            <w:r>
              <w:t>I</w:t>
            </w:r>
            <w:r w:rsidR="000D648F" w:rsidRPr="000D648F">
              <w:t>ntravenous (solution for injection)</w:t>
            </w:r>
          </w:p>
        </w:tc>
      </w:tr>
      <w:tr w:rsidR="008E7846" w:rsidRPr="00487162" w:rsidTr="00376D5E">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26D1E" w:rsidP="00E45619">
            <w:r w:rsidRPr="00126D1E">
              <w:t>200 mg, taken with or without food in two equally divided do</w:t>
            </w:r>
            <w:r>
              <w:t>ses (maximum recommended daily dose)</w:t>
            </w:r>
          </w:p>
        </w:tc>
      </w:tr>
      <w:tr w:rsidR="008E7846" w:rsidRPr="00487162" w:rsidTr="00376D5E">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ED2F30">
              <w:rPr>
                <w:i/>
              </w:rPr>
              <w:t>umbers</w:t>
            </w:r>
            <w:r w:rsidR="001B5C90">
              <w:rPr>
                <w:i/>
              </w:rPr>
              <w:t>:</w:t>
            </w:r>
          </w:p>
        </w:tc>
        <w:tc>
          <w:tcPr>
            <w:tcW w:w="6307" w:type="dxa"/>
          </w:tcPr>
          <w:p w:rsidR="008E7846" w:rsidRDefault="00AD6339" w:rsidP="00E45619">
            <w:r w:rsidRPr="00AD6339">
              <w:t>243792</w:t>
            </w:r>
            <w:r>
              <w:t xml:space="preserve"> (</w:t>
            </w:r>
            <w:r w:rsidRPr="00AD6339">
              <w:t>100</w:t>
            </w:r>
            <w:r w:rsidR="000D2F9E">
              <w:t xml:space="preserve"> </w:t>
            </w:r>
            <w:r w:rsidRPr="00AD6339">
              <w:t>mg film-coated tablets blister pack</w:t>
            </w:r>
            <w:r>
              <w:t>)</w:t>
            </w:r>
            <w:r w:rsidR="00C65168">
              <w:t>;</w:t>
            </w:r>
          </w:p>
          <w:p w:rsidR="00AD6339" w:rsidRDefault="009A1829" w:rsidP="00E45619">
            <w:r w:rsidRPr="009A1829">
              <w:t>243793</w:t>
            </w:r>
            <w:r>
              <w:t xml:space="preserve"> (</w:t>
            </w:r>
            <w:r w:rsidRPr="009A1829">
              <w:t>10</w:t>
            </w:r>
            <w:r w:rsidR="000D2F9E">
              <w:t xml:space="preserve"> </w:t>
            </w:r>
            <w:r w:rsidRPr="009A1829">
              <w:t>mg/mL oral solution bottle</w:t>
            </w:r>
            <w:r>
              <w:t>)</w:t>
            </w:r>
            <w:r w:rsidR="00C65168">
              <w:t>;</w:t>
            </w:r>
          </w:p>
          <w:p w:rsidR="009A1829" w:rsidRDefault="00A54394" w:rsidP="00E45619">
            <w:r w:rsidRPr="00A54394">
              <w:lastRenderedPageBreak/>
              <w:t>243794</w:t>
            </w:r>
            <w:r>
              <w:t xml:space="preserve"> (</w:t>
            </w:r>
            <w:r w:rsidRPr="00A54394">
              <w:t>10</w:t>
            </w:r>
            <w:r w:rsidR="000D2F9E">
              <w:t xml:space="preserve"> </w:t>
            </w:r>
            <w:r w:rsidRPr="00A54394">
              <w:t>mg film-coated tablets blister pack</w:t>
            </w:r>
            <w:r>
              <w:t>)</w:t>
            </w:r>
            <w:r w:rsidR="00C65168">
              <w:t>;</w:t>
            </w:r>
          </w:p>
          <w:p w:rsidR="00A54394" w:rsidRDefault="00CD2A62" w:rsidP="00E45619">
            <w:r w:rsidRPr="00CD2A62">
              <w:t>243795</w:t>
            </w:r>
            <w:r>
              <w:t xml:space="preserve"> (</w:t>
            </w:r>
            <w:r w:rsidRPr="00CD2A62">
              <w:t>50</w:t>
            </w:r>
            <w:r w:rsidR="000D2F9E">
              <w:t xml:space="preserve"> </w:t>
            </w:r>
            <w:r w:rsidRPr="00CD2A62">
              <w:t>mg/5mL injection vial</w:t>
            </w:r>
            <w:r>
              <w:t>)</w:t>
            </w:r>
            <w:r w:rsidR="00C65168">
              <w:t>;</w:t>
            </w:r>
          </w:p>
          <w:p w:rsidR="00CD2A62" w:rsidRDefault="00595F18" w:rsidP="00E45619">
            <w:r w:rsidRPr="00595F18">
              <w:t>243796</w:t>
            </w:r>
            <w:r>
              <w:t xml:space="preserve"> (</w:t>
            </w:r>
            <w:r w:rsidR="00E95C5F" w:rsidRPr="00E95C5F">
              <w:t>25</w:t>
            </w:r>
            <w:r w:rsidR="000D2F9E">
              <w:t xml:space="preserve"> </w:t>
            </w:r>
            <w:r w:rsidR="00E95C5F" w:rsidRPr="00E95C5F">
              <w:t>mg film-coated tablets blister pack</w:t>
            </w:r>
            <w:r w:rsidR="00E95C5F">
              <w:t>)</w:t>
            </w:r>
            <w:r w:rsidR="00C65168">
              <w:t>;</w:t>
            </w:r>
          </w:p>
          <w:p w:rsidR="00E95C5F" w:rsidRDefault="006E00C4" w:rsidP="00E45619">
            <w:r w:rsidRPr="006E00C4">
              <w:t>243797</w:t>
            </w:r>
            <w:r>
              <w:t xml:space="preserve"> (</w:t>
            </w:r>
            <w:r w:rsidRPr="006E00C4">
              <w:t>50</w:t>
            </w:r>
            <w:r w:rsidR="000D2F9E">
              <w:t xml:space="preserve"> </w:t>
            </w:r>
            <w:r w:rsidRPr="006E00C4">
              <w:t>mg film-coated tablets blister pack</w:t>
            </w:r>
            <w:r>
              <w:t>)</w:t>
            </w:r>
            <w:r w:rsidR="00C65168">
              <w:t>;</w:t>
            </w:r>
          </w:p>
          <w:p w:rsidR="006E00C4" w:rsidRPr="00487162" w:rsidRDefault="00CB4062" w:rsidP="00E45619">
            <w:r w:rsidRPr="00CB4062">
              <w:t>243798</w:t>
            </w:r>
            <w:r>
              <w:t xml:space="preserve"> (</w:t>
            </w:r>
            <w:r w:rsidRPr="00CB4062">
              <w:t>75</w:t>
            </w:r>
            <w:r w:rsidR="000D2F9E">
              <w:t xml:space="preserve"> </w:t>
            </w:r>
            <w:r w:rsidRPr="00CB4062">
              <w:t>mg film-coated tablets blister pack</w:t>
            </w:r>
            <w:r>
              <w:t>)</w:t>
            </w:r>
          </w:p>
        </w:tc>
      </w:tr>
    </w:tbl>
    <w:p w:rsidR="008E7846" w:rsidRDefault="008E7846" w:rsidP="008E7846">
      <w:pPr>
        <w:pStyle w:val="Heading3"/>
      </w:pPr>
      <w:bookmarkStart w:id="17" w:name="_Toc247691503"/>
      <w:bookmarkStart w:id="18" w:name="_Toc314842484"/>
      <w:bookmarkStart w:id="19" w:name="_Toc479595211"/>
      <w:r>
        <w:lastRenderedPageBreak/>
        <w:t>Product background</w:t>
      </w:r>
      <w:bookmarkEnd w:id="17"/>
      <w:bookmarkEnd w:id="18"/>
      <w:bookmarkEnd w:id="19"/>
    </w:p>
    <w:p w:rsidR="00747A7A" w:rsidRPr="00747A7A" w:rsidRDefault="000B442F" w:rsidP="00376D5E">
      <w:r w:rsidRPr="0034149E">
        <w:t xml:space="preserve">This AusPAR describes the application by </w:t>
      </w:r>
      <w:r w:rsidR="00540B27">
        <w:t>UCB Australia Pty Ltd to register Briviact (</w:t>
      </w:r>
      <w:r w:rsidR="00F5790D">
        <w:t>b</w:t>
      </w:r>
      <w:r w:rsidR="00540B27" w:rsidRPr="00C22491">
        <w:t>rivaracetam</w:t>
      </w:r>
      <w:r w:rsidR="00540B27">
        <w:t>)</w:t>
      </w:r>
      <w:r w:rsidR="00747A7A">
        <w:t xml:space="preserve">, </w:t>
      </w:r>
      <w:r w:rsidR="00983F96">
        <w:rPr>
          <w:rFonts w:eastAsiaTheme="minorHAnsi" w:cs="Cambria"/>
        </w:rPr>
        <w:t>a new chemical entity, as film-</w:t>
      </w:r>
      <w:r w:rsidR="00747A7A">
        <w:rPr>
          <w:rFonts w:eastAsiaTheme="minorHAnsi" w:cs="Cambria"/>
        </w:rPr>
        <w:t>coated tablets, oral</w:t>
      </w:r>
      <w:r w:rsidR="00747A7A">
        <w:t xml:space="preserve"> </w:t>
      </w:r>
      <w:r w:rsidR="00747A7A">
        <w:rPr>
          <w:rFonts w:eastAsiaTheme="minorHAnsi" w:cs="Cambria"/>
        </w:rPr>
        <w:t>solution</w:t>
      </w:r>
      <w:r w:rsidR="002A16A6">
        <w:rPr>
          <w:rFonts w:eastAsiaTheme="minorHAnsi" w:cs="Cambria"/>
        </w:rPr>
        <w:t>,</w:t>
      </w:r>
      <w:r w:rsidR="00747A7A">
        <w:rPr>
          <w:rFonts w:eastAsiaTheme="minorHAnsi" w:cs="Cambria"/>
        </w:rPr>
        <w:t xml:space="preserve"> and solution for injection.</w:t>
      </w:r>
    </w:p>
    <w:p w:rsidR="00747A7A" w:rsidRPr="002A16A6" w:rsidRDefault="00747A7A" w:rsidP="002A16A6">
      <w:r w:rsidRPr="002A16A6">
        <w:t>The proposed strengths:</w:t>
      </w:r>
    </w:p>
    <w:p w:rsidR="00747A7A" w:rsidRPr="002A16A6" w:rsidRDefault="00747A7A" w:rsidP="00784239">
      <w:pPr>
        <w:pStyle w:val="ListBullet"/>
      </w:pPr>
      <w:r w:rsidRPr="002A16A6">
        <w:t>10</w:t>
      </w:r>
      <w:r w:rsidR="00E17DCD">
        <w:t xml:space="preserve"> </w:t>
      </w:r>
      <w:r w:rsidRPr="002A16A6">
        <w:t>mg, 25</w:t>
      </w:r>
      <w:r w:rsidR="00E17DCD">
        <w:t xml:space="preserve"> </w:t>
      </w:r>
      <w:r w:rsidRPr="002A16A6">
        <w:t>mg, 50</w:t>
      </w:r>
      <w:r w:rsidR="00E17DCD">
        <w:t xml:space="preserve"> </w:t>
      </w:r>
      <w:r w:rsidRPr="002A16A6">
        <w:t>mg, 75</w:t>
      </w:r>
      <w:r w:rsidR="00E17DCD">
        <w:t xml:space="preserve"> </w:t>
      </w:r>
      <w:r w:rsidRPr="002A16A6">
        <w:t>mg, 100</w:t>
      </w:r>
      <w:r w:rsidR="00E17DCD">
        <w:t xml:space="preserve"> </w:t>
      </w:r>
      <w:r w:rsidRPr="002A16A6">
        <w:t>mg film-coated tablets</w:t>
      </w:r>
      <w:r w:rsidR="00FD3A07">
        <w:t>;</w:t>
      </w:r>
    </w:p>
    <w:p w:rsidR="00747A7A" w:rsidRPr="002A16A6" w:rsidRDefault="00747A7A" w:rsidP="00784239">
      <w:pPr>
        <w:pStyle w:val="ListBullet"/>
      </w:pPr>
      <w:r w:rsidRPr="002A16A6">
        <w:t>10</w:t>
      </w:r>
      <w:r w:rsidR="00E17DCD">
        <w:t xml:space="preserve"> </w:t>
      </w:r>
      <w:r w:rsidRPr="002A16A6">
        <w:t>mg/mL oral solution</w:t>
      </w:r>
      <w:r w:rsidR="00FD3A07">
        <w:t>;</w:t>
      </w:r>
    </w:p>
    <w:p w:rsidR="00747A7A" w:rsidRPr="002A16A6" w:rsidRDefault="00747A7A" w:rsidP="00784239">
      <w:pPr>
        <w:pStyle w:val="ListBullet"/>
      </w:pPr>
      <w:r w:rsidRPr="002A16A6">
        <w:t>50</w:t>
      </w:r>
      <w:r w:rsidR="00E17DCD">
        <w:t xml:space="preserve"> </w:t>
      </w:r>
      <w:r w:rsidRPr="002A16A6">
        <w:t>mg/5</w:t>
      </w:r>
      <w:r w:rsidR="00E17DCD">
        <w:t xml:space="preserve"> </w:t>
      </w:r>
      <w:r w:rsidRPr="002A16A6">
        <w:t>mL solution for injections</w:t>
      </w:r>
      <w:r w:rsidR="00FD3A07">
        <w:t>.</w:t>
      </w:r>
    </w:p>
    <w:p w:rsidR="00747A7A" w:rsidRPr="002A16A6" w:rsidRDefault="00747A7A" w:rsidP="002A16A6">
      <w:r w:rsidRPr="002A16A6">
        <w:t>The proposed indication:</w:t>
      </w:r>
    </w:p>
    <w:p w:rsidR="00747A7A" w:rsidRPr="00784239" w:rsidRDefault="002A16A6" w:rsidP="00784239">
      <w:pPr>
        <w:ind w:left="720"/>
        <w:rPr>
          <w:i/>
        </w:rPr>
      </w:pPr>
      <w:r w:rsidRPr="00784239">
        <w:rPr>
          <w:i/>
        </w:rPr>
        <w:t>Briviact</w:t>
      </w:r>
      <w:r w:rsidR="00747A7A" w:rsidRPr="00784239">
        <w:rPr>
          <w:i/>
        </w:rPr>
        <w:t xml:space="preserve"> tablets, oral solution and solution for in</w:t>
      </w:r>
      <w:r w:rsidRPr="00784239">
        <w:rPr>
          <w:i/>
        </w:rPr>
        <w:t xml:space="preserve">jection are indicated as add-on </w:t>
      </w:r>
      <w:r w:rsidR="00747A7A" w:rsidRPr="00784239">
        <w:rPr>
          <w:i/>
        </w:rPr>
        <w:t>therapy in the treatment of partial-onset sei</w:t>
      </w:r>
      <w:r w:rsidRPr="00784239">
        <w:rPr>
          <w:i/>
        </w:rPr>
        <w:t xml:space="preserve">zures with or without secondary </w:t>
      </w:r>
      <w:r w:rsidR="00747A7A" w:rsidRPr="00784239">
        <w:rPr>
          <w:i/>
        </w:rPr>
        <w:t>generalisation in patients from 16 years of age with epilepsy</w:t>
      </w:r>
      <w:r w:rsidRPr="00784239">
        <w:rPr>
          <w:i/>
        </w:rPr>
        <w:t>.</w:t>
      </w:r>
    </w:p>
    <w:p w:rsidR="00492AF8" w:rsidRDefault="00492AF8" w:rsidP="00492AF8">
      <w:pPr>
        <w:pStyle w:val="Heading4"/>
      </w:pPr>
      <w:r>
        <w:t>Dosing</w:t>
      </w:r>
    </w:p>
    <w:p w:rsidR="00492AF8" w:rsidRDefault="00492AF8" w:rsidP="00492AF8">
      <w:pPr>
        <w:pStyle w:val="Heading5"/>
      </w:pPr>
      <w:r>
        <w:t>Enteral</w:t>
      </w:r>
    </w:p>
    <w:p w:rsidR="00983F96" w:rsidRPr="00983F96" w:rsidRDefault="0002785D" w:rsidP="00983F96">
      <w:r>
        <w:t>Briviact</w:t>
      </w:r>
      <w:r w:rsidR="00983F96" w:rsidRPr="00983F96">
        <w:t xml:space="preserve"> at doses between 50 and 200 mg/day ha</w:t>
      </w:r>
      <w:r w:rsidR="00983F96">
        <w:t xml:space="preserve">s been shown to be effective as </w:t>
      </w:r>
      <w:r w:rsidR="00983F96" w:rsidRPr="00983F96">
        <w:t>adjunctive therapy in the treatment of partial onset seizure</w:t>
      </w:r>
      <w:r w:rsidR="00983F96">
        <w:t xml:space="preserve">s. Initial dose titration to an </w:t>
      </w:r>
      <w:r w:rsidR="00983F96" w:rsidRPr="00983F96">
        <w:t>effective dose is not required for tolerability.</w:t>
      </w:r>
    </w:p>
    <w:p w:rsidR="00983F96" w:rsidRPr="00983F96" w:rsidRDefault="00983F96" w:rsidP="00983F96">
      <w:r w:rsidRPr="00983F96">
        <w:t>The daily dose is administered in two equally divided dose</w:t>
      </w:r>
      <w:r>
        <w:t xml:space="preserve">s, once in the morning and once </w:t>
      </w:r>
      <w:r w:rsidRPr="00983F96">
        <w:t xml:space="preserve">in the evening. The recommended starting dose is </w:t>
      </w:r>
      <w:r>
        <w:t xml:space="preserve">100 mg/day. Based on individual </w:t>
      </w:r>
      <w:r w:rsidRPr="00983F96">
        <w:t>patient response, the dose may be adjusted between 50 mg/day and 200 mg/day.</w:t>
      </w:r>
    </w:p>
    <w:p w:rsidR="002A16A6" w:rsidRPr="00983F96" w:rsidRDefault="00F741BC" w:rsidP="00983F96">
      <w:r>
        <w:t>Briviact</w:t>
      </w:r>
      <w:r w:rsidR="00983F96" w:rsidRPr="00983F96">
        <w:t xml:space="preserve"> may be taken with or without food.</w:t>
      </w:r>
    </w:p>
    <w:p w:rsidR="00983F96" w:rsidRPr="00983F96" w:rsidRDefault="00983F96" w:rsidP="00983F96">
      <w:r w:rsidRPr="00983F96">
        <w:t>Brivaracetam may be initiated with either intravenous or oral administration. Wh</w:t>
      </w:r>
      <w:r>
        <w:t xml:space="preserve">en </w:t>
      </w:r>
      <w:r w:rsidRPr="00983F96">
        <w:t xml:space="preserve">converting from oral to intravenous administration or vice </w:t>
      </w:r>
      <w:r>
        <w:t xml:space="preserve">versa, the total daily dose and </w:t>
      </w:r>
      <w:r w:rsidRPr="00983F96">
        <w:t>frequency of administration should be maintained.</w:t>
      </w:r>
    </w:p>
    <w:p w:rsidR="00983F96" w:rsidRPr="00983F96" w:rsidRDefault="00983F96" w:rsidP="00983F96">
      <w:r w:rsidRPr="00983F96">
        <w:t xml:space="preserve">In accordance with current clinical practice, if </w:t>
      </w:r>
      <w:r w:rsidR="00492AF8">
        <w:t>Briviact</w:t>
      </w:r>
      <w:r>
        <w:t xml:space="preserve"> has to be discontinued, it is </w:t>
      </w:r>
      <w:r w:rsidRPr="00983F96">
        <w:t>recommended with withdraw it gradually.</w:t>
      </w:r>
    </w:p>
    <w:p w:rsidR="00983F96" w:rsidRPr="00983F96" w:rsidRDefault="00983F96" w:rsidP="00983F96">
      <w:r w:rsidRPr="00983F96">
        <w:t>If patients missed one dose or more, it is recommended the</w:t>
      </w:r>
      <w:r>
        <w:t xml:space="preserve">y take a single dose as soon as </w:t>
      </w:r>
      <w:r w:rsidRPr="00983F96">
        <w:t>they remember.</w:t>
      </w:r>
    </w:p>
    <w:p w:rsidR="00983F96" w:rsidRPr="00983F96" w:rsidRDefault="00983F96" w:rsidP="00983F96">
      <w:r w:rsidRPr="00983F96">
        <w:t>The film-coated tablets must be taken orally whole with liquid.</w:t>
      </w:r>
    </w:p>
    <w:p w:rsidR="00983F96" w:rsidRPr="00983F96" w:rsidRDefault="00983F96" w:rsidP="00983F96">
      <w:r w:rsidRPr="00983F96">
        <w:t>The oral solution does not need to be diluted before swallowing. A naso</w:t>
      </w:r>
      <w:r>
        <w:t xml:space="preserve">gastric tube or </w:t>
      </w:r>
      <w:r w:rsidRPr="00983F96">
        <w:t>gastrostomy tube may be used when administering the oral solution.</w:t>
      </w:r>
    </w:p>
    <w:p w:rsidR="00983F96" w:rsidRPr="00983F96" w:rsidRDefault="00983F96" w:rsidP="00492AF8">
      <w:pPr>
        <w:pStyle w:val="Heading6"/>
        <w:rPr>
          <w:rFonts w:eastAsiaTheme="minorHAnsi"/>
        </w:rPr>
      </w:pPr>
      <w:r w:rsidRPr="00983F96">
        <w:rPr>
          <w:rFonts w:eastAsiaTheme="minorHAnsi"/>
        </w:rPr>
        <w:t>Use in patients with impaired renal function</w:t>
      </w:r>
    </w:p>
    <w:p w:rsidR="00983F96" w:rsidRPr="00983F96" w:rsidRDefault="00983F96" w:rsidP="00983F96">
      <w:r w:rsidRPr="00983F96">
        <w:t xml:space="preserve">No dose adjustment is needed in patients with impaired renal function. </w:t>
      </w:r>
      <w:r w:rsidR="00492AF8">
        <w:t>Briviact</w:t>
      </w:r>
      <w:r w:rsidRPr="00983F96">
        <w:t xml:space="preserve"> is not</w:t>
      </w:r>
      <w:r>
        <w:t xml:space="preserve"> </w:t>
      </w:r>
      <w:r w:rsidRPr="00983F96">
        <w:t>recommended in end-stage renal disease patients undergoing dialysis due to lack of data.</w:t>
      </w:r>
    </w:p>
    <w:p w:rsidR="00983F96" w:rsidRPr="00983F96" w:rsidRDefault="00983F96" w:rsidP="00492AF8">
      <w:pPr>
        <w:pStyle w:val="Heading6"/>
        <w:rPr>
          <w:rFonts w:eastAsiaTheme="minorHAnsi"/>
        </w:rPr>
      </w:pPr>
      <w:r w:rsidRPr="00983F96">
        <w:rPr>
          <w:rFonts w:eastAsiaTheme="minorHAnsi"/>
        </w:rPr>
        <w:lastRenderedPageBreak/>
        <w:t>Use in patients with impaired hepatic function</w:t>
      </w:r>
    </w:p>
    <w:p w:rsidR="00983F96" w:rsidRPr="00983F96" w:rsidRDefault="00983F96" w:rsidP="00983F96">
      <w:r w:rsidRPr="00983F96">
        <w:t>Exposure to brivaracetam was increased by 50%, 57% a</w:t>
      </w:r>
      <w:r>
        <w:t xml:space="preserve">nd 59% in patients with chronic </w:t>
      </w:r>
      <w:r w:rsidRPr="00983F96">
        <w:t>liver disease belonging to Child-Pugh classes A, B and C</w:t>
      </w:r>
      <w:r>
        <w:t>, relatively to matched healthy</w:t>
      </w:r>
      <w:r w:rsidR="00492AF8">
        <w:t xml:space="preserve"> </w:t>
      </w:r>
      <w:r w:rsidRPr="00983F96">
        <w:t>controls. A 50 mg/day starting dose should be consider</w:t>
      </w:r>
      <w:r>
        <w:t xml:space="preserve">ed. A maximum daily dose of 150 </w:t>
      </w:r>
      <w:r w:rsidRPr="00983F96">
        <w:t>mg administered in 2 divided doses is recommended for all stages of hepatic impairment.</w:t>
      </w:r>
    </w:p>
    <w:p w:rsidR="00983F96" w:rsidRPr="00983F96" w:rsidRDefault="00983F96" w:rsidP="00492AF8">
      <w:pPr>
        <w:pStyle w:val="Heading6"/>
        <w:rPr>
          <w:rFonts w:eastAsiaTheme="minorHAnsi"/>
        </w:rPr>
      </w:pPr>
      <w:r w:rsidRPr="00983F96">
        <w:rPr>
          <w:rFonts w:eastAsiaTheme="minorHAnsi"/>
        </w:rPr>
        <w:t>Use in elderly (65 years and older)</w:t>
      </w:r>
    </w:p>
    <w:p w:rsidR="00983F96" w:rsidRPr="00983F96" w:rsidRDefault="00983F96" w:rsidP="00983F96">
      <w:r w:rsidRPr="00983F96">
        <w:t>No dose reduction is necessary in elderly patients.</w:t>
      </w:r>
    </w:p>
    <w:p w:rsidR="00983F96" w:rsidRPr="00983F96" w:rsidRDefault="00983F96" w:rsidP="00492AF8">
      <w:pPr>
        <w:pStyle w:val="Heading6"/>
        <w:rPr>
          <w:rFonts w:eastAsiaTheme="minorHAnsi"/>
        </w:rPr>
      </w:pPr>
      <w:r w:rsidRPr="00983F96">
        <w:rPr>
          <w:rFonts w:eastAsiaTheme="minorHAnsi"/>
        </w:rPr>
        <w:t>Use in children</w:t>
      </w:r>
    </w:p>
    <w:p w:rsidR="00983F96" w:rsidRPr="00983F96" w:rsidRDefault="00983F96" w:rsidP="00983F96">
      <w:r w:rsidRPr="00983F96">
        <w:t xml:space="preserve">There is insufficient data to recommend the use of </w:t>
      </w:r>
      <w:r w:rsidR="00EB1081">
        <w:t>Briviact</w:t>
      </w:r>
      <w:r>
        <w:t xml:space="preserve"> in children under 16 years of </w:t>
      </w:r>
      <w:r w:rsidRPr="00983F96">
        <w:t>age (see Precautions).</w:t>
      </w:r>
    </w:p>
    <w:p w:rsidR="00983F96" w:rsidRPr="00983F96" w:rsidRDefault="00492AF8" w:rsidP="00492AF8">
      <w:pPr>
        <w:pStyle w:val="Heading5"/>
        <w:rPr>
          <w:rFonts w:eastAsiaTheme="minorHAnsi"/>
        </w:rPr>
      </w:pPr>
      <w:r>
        <w:t>Parenteral</w:t>
      </w:r>
    </w:p>
    <w:p w:rsidR="00983F96" w:rsidRPr="00983F96" w:rsidRDefault="00983F96" w:rsidP="00983F96">
      <w:r w:rsidRPr="00983F96">
        <w:t>As for Enteral except for the following:</w:t>
      </w:r>
    </w:p>
    <w:p w:rsidR="00983F96" w:rsidRPr="00983F96" w:rsidRDefault="00983F96" w:rsidP="00983F96">
      <w:r w:rsidRPr="00983F96">
        <w:t>Brivaracetam solution for injection is an alternative for pa</w:t>
      </w:r>
      <w:r>
        <w:t xml:space="preserve">tients when oral administration </w:t>
      </w:r>
      <w:r w:rsidRPr="00983F96">
        <w:t xml:space="preserve">is temporarily not feasible. </w:t>
      </w:r>
      <w:r w:rsidR="00EB1081">
        <w:t xml:space="preserve">Briviact </w:t>
      </w:r>
      <w:r w:rsidRPr="00983F96">
        <w:t>solution for inje</w:t>
      </w:r>
      <w:r>
        <w:t xml:space="preserve">ction may be administered as an </w:t>
      </w:r>
      <w:r w:rsidR="002C7575">
        <w:t>intravenous bolus without dilu</w:t>
      </w:r>
      <w:r w:rsidRPr="00983F96">
        <w:t>tion or may be dilu</w:t>
      </w:r>
      <w:r>
        <w:t xml:space="preserve">ted in a compatible diluent and </w:t>
      </w:r>
      <w:r w:rsidR="00AD77B2">
        <w:t xml:space="preserve">administered as a 15 </w:t>
      </w:r>
      <w:r w:rsidRPr="00983F96">
        <w:t>minute intravenous infusion.</w:t>
      </w:r>
    </w:p>
    <w:p w:rsidR="00983F96" w:rsidRPr="00983F96" w:rsidRDefault="00983F96" w:rsidP="00983F96">
      <w:r w:rsidRPr="00983F96">
        <w:t xml:space="preserve">This medicinal product is for single use </w:t>
      </w:r>
      <w:proofErr w:type="gramStart"/>
      <w:r w:rsidRPr="00983F96">
        <w:t>only,</w:t>
      </w:r>
      <w:proofErr w:type="gramEnd"/>
      <w:r w:rsidRPr="00983F96">
        <w:t xml:space="preserve"> any unused solution should be discarded.</w:t>
      </w:r>
    </w:p>
    <w:p w:rsidR="00983F96" w:rsidRPr="00983F96" w:rsidRDefault="00983F96" w:rsidP="00983F96">
      <w:r w:rsidRPr="00983F96">
        <w:t>Product with particulate matter or discolouration should not be used.</w:t>
      </w:r>
    </w:p>
    <w:p w:rsidR="00983F96" w:rsidRPr="00983F96" w:rsidRDefault="00983F96" w:rsidP="00983F96">
      <w:r w:rsidRPr="00983F96">
        <w:t xml:space="preserve">There is no experience with twice daily intravenous administration of </w:t>
      </w:r>
      <w:r w:rsidR="00492AF8">
        <w:t>Briviact</w:t>
      </w:r>
      <w:r>
        <w:t xml:space="preserve"> for a </w:t>
      </w:r>
      <w:r w:rsidRPr="00983F96">
        <w:t>period longer than 4 days.</w:t>
      </w:r>
    </w:p>
    <w:p w:rsidR="00983F96" w:rsidRPr="00983F96" w:rsidRDefault="00983F96" w:rsidP="00983F96">
      <w:r>
        <w:t xml:space="preserve">Briviact </w:t>
      </w:r>
      <w:r w:rsidRPr="00983F96">
        <w:t>solution for injection is physically compatibl</w:t>
      </w:r>
      <w:r>
        <w:t xml:space="preserve">e when mixed with the following </w:t>
      </w:r>
      <w:r w:rsidRPr="00983F96">
        <w:t>diluents and other compounds commonly co-administered in patients with epilepsy.</w:t>
      </w:r>
    </w:p>
    <w:p w:rsidR="00376D5E" w:rsidRDefault="00386150" w:rsidP="008E7846">
      <w:pPr>
        <w:pStyle w:val="Heading3"/>
      </w:pPr>
      <w:bookmarkStart w:id="20" w:name="_Toc314842485"/>
      <w:bookmarkStart w:id="21" w:name="_Toc247691504"/>
      <w:bookmarkStart w:id="22" w:name="_Toc479595212"/>
      <w:r>
        <w:t>Regulatory s</w:t>
      </w:r>
      <w:r w:rsidR="008E7846">
        <w:t>tatus</w:t>
      </w:r>
      <w:bookmarkEnd w:id="20"/>
      <w:bookmarkEnd w:id="21"/>
      <w:bookmarkEnd w:id="22"/>
    </w:p>
    <w:p w:rsidR="000B442F" w:rsidRDefault="000B442F" w:rsidP="000B442F">
      <w:bookmarkStart w:id="23" w:name="_Toc247691505"/>
      <w:bookmarkStart w:id="24" w:name="_Toc314842486"/>
      <w:r>
        <w:t xml:space="preserve">The international </w:t>
      </w:r>
      <w:r w:rsidRPr="009A6DCB">
        <w:t xml:space="preserve">regulatory status </w:t>
      </w:r>
      <w:r>
        <w:t>at the time of submission</w:t>
      </w:r>
      <w:r w:rsidR="00805F2B">
        <w:t xml:space="preserve"> to TGA </w:t>
      </w:r>
      <w:r w:rsidRPr="009A6DCB">
        <w:t>is listed in</w:t>
      </w:r>
      <w:r>
        <w:t xml:space="preserve"> Table 1.</w:t>
      </w:r>
    </w:p>
    <w:p w:rsidR="000B442F" w:rsidRDefault="000B442F" w:rsidP="000B442F">
      <w:pPr>
        <w:pStyle w:val="TableTitle"/>
      </w:pPr>
      <w:proofErr w:type="gramStart"/>
      <w:r>
        <w:t xml:space="preserve">Table </w:t>
      </w:r>
      <w:r w:rsidR="00FF3719">
        <w:t>1</w:t>
      </w:r>
      <w:r>
        <w:t>:</w:t>
      </w:r>
      <w:r w:rsidRPr="004C5C28">
        <w:t xml:space="preserve"> </w:t>
      </w:r>
      <w:r>
        <w:t xml:space="preserve">International </w:t>
      </w:r>
      <w:r w:rsidRPr="009A6DCB">
        <w:t>regulatory status</w:t>
      </w:r>
      <w:r>
        <w:t>.</w:t>
      </w:r>
      <w:proofErr w:type="gramEnd"/>
    </w:p>
    <w:tbl>
      <w:tblPr>
        <w:tblStyle w:val="TableTGAblue"/>
        <w:tblW w:w="0" w:type="auto"/>
        <w:tblLook w:val="04A0" w:firstRow="1" w:lastRow="0" w:firstColumn="1" w:lastColumn="0" w:noHBand="0" w:noVBand="1"/>
      </w:tblPr>
      <w:tblGrid>
        <w:gridCol w:w="2180"/>
        <w:gridCol w:w="2180"/>
        <w:gridCol w:w="2180"/>
        <w:gridCol w:w="2180"/>
      </w:tblGrid>
      <w:tr w:rsidR="00F86829" w:rsidRPr="00376D5E" w:rsidTr="00D416F7">
        <w:trPr>
          <w:cnfStyle w:val="100000000000" w:firstRow="1" w:lastRow="0" w:firstColumn="0" w:lastColumn="0" w:oddVBand="0" w:evenVBand="0" w:oddHBand="0" w:evenHBand="0" w:firstRowFirstColumn="0" w:firstRowLastColumn="0" w:lastRowFirstColumn="0" w:lastRowLastColumn="0"/>
        </w:trPr>
        <w:tc>
          <w:tcPr>
            <w:tcW w:w="2180" w:type="dxa"/>
          </w:tcPr>
          <w:p w:rsidR="00F86829" w:rsidRPr="00376D5E" w:rsidRDefault="00F86829" w:rsidP="00376D5E">
            <w:pPr>
              <w:rPr>
                <w:sz w:val="20"/>
                <w:szCs w:val="20"/>
              </w:rPr>
            </w:pPr>
            <w:r w:rsidRPr="00376D5E">
              <w:rPr>
                <w:sz w:val="20"/>
                <w:szCs w:val="20"/>
              </w:rPr>
              <w:t>Country</w:t>
            </w:r>
          </w:p>
        </w:tc>
        <w:tc>
          <w:tcPr>
            <w:tcW w:w="2180" w:type="dxa"/>
          </w:tcPr>
          <w:p w:rsidR="00F86829" w:rsidRPr="00376D5E" w:rsidRDefault="00F86829" w:rsidP="00376D5E">
            <w:pPr>
              <w:rPr>
                <w:sz w:val="20"/>
                <w:szCs w:val="20"/>
              </w:rPr>
            </w:pPr>
            <w:r w:rsidRPr="00376D5E">
              <w:rPr>
                <w:sz w:val="20"/>
                <w:szCs w:val="20"/>
              </w:rPr>
              <w:t>Date of submission</w:t>
            </w:r>
          </w:p>
        </w:tc>
        <w:tc>
          <w:tcPr>
            <w:tcW w:w="2180" w:type="dxa"/>
          </w:tcPr>
          <w:p w:rsidR="00F86829" w:rsidRPr="00376D5E" w:rsidRDefault="00F86829" w:rsidP="00376D5E">
            <w:pPr>
              <w:rPr>
                <w:sz w:val="20"/>
                <w:szCs w:val="20"/>
              </w:rPr>
            </w:pPr>
            <w:r w:rsidRPr="00376D5E">
              <w:rPr>
                <w:sz w:val="20"/>
                <w:szCs w:val="20"/>
              </w:rPr>
              <w:t>Regulatory status</w:t>
            </w:r>
          </w:p>
        </w:tc>
        <w:tc>
          <w:tcPr>
            <w:tcW w:w="2180" w:type="dxa"/>
          </w:tcPr>
          <w:p w:rsidR="00F86829" w:rsidRPr="00376D5E" w:rsidRDefault="00F86829" w:rsidP="00376D5E">
            <w:pPr>
              <w:rPr>
                <w:sz w:val="20"/>
                <w:szCs w:val="20"/>
              </w:rPr>
            </w:pPr>
            <w:r w:rsidRPr="00376D5E">
              <w:rPr>
                <w:sz w:val="20"/>
                <w:szCs w:val="20"/>
              </w:rPr>
              <w:t>Date of approval</w:t>
            </w:r>
          </w:p>
        </w:tc>
      </w:tr>
      <w:tr w:rsidR="00F86829" w:rsidRPr="00376D5E" w:rsidTr="00D416F7">
        <w:tc>
          <w:tcPr>
            <w:tcW w:w="2180" w:type="dxa"/>
          </w:tcPr>
          <w:p w:rsidR="00F86829" w:rsidRPr="00376D5E" w:rsidRDefault="00F86829" w:rsidP="00376D5E">
            <w:pPr>
              <w:rPr>
                <w:b/>
                <w:sz w:val="20"/>
                <w:szCs w:val="20"/>
              </w:rPr>
            </w:pPr>
            <w:r w:rsidRPr="00376D5E">
              <w:rPr>
                <w:b/>
                <w:sz w:val="20"/>
                <w:szCs w:val="20"/>
              </w:rPr>
              <w:t>EU (centralised)</w:t>
            </w:r>
          </w:p>
        </w:tc>
        <w:tc>
          <w:tcPr>
            <w:tcW w:w="2180" w:type="dxa"/>
          </w:tcPr>
          <w:p w:rsidR="00F86829" w:rsidRPr="00376D5E" w:rsidRDefault="00F86829" w:rsidP="00376D5E">
            <w:pPr>
              <w:rPr>
                <w:b/>
                <w:sz w:val="20"/>
                <w:szCs w:val="20"/>
              </w:rPr>
            </w:pPr>
            <w:r w:rsidRPr="00376D5E">
              <w:rPr>
                <w:b/>
                <w:sz w:val="20"/>
                <w:szCs w:val="20"/>
              </w:rPr>
              <w:t>20 Nov 2014</w:t>
            </w:r>
          </w:p>
        </w:tc>
        <w:tc>
          <w:tcPr>
            <w:tcW w:w="2180" w:type="dxa"/>
          </w:tcPr>
          <w:p w:rsidR="00F86829" w:rsidRPr="00376D5E" w:rsidRDefault="00F86829" w:rsidP="00376D5E">
            <w:pPr>
              <w:rPr>
                <w:b/>
                <w:sz w:val="20"/>
                <w:szCs w:val="20"/>
              </w:rPr>
            </w:pPr>
            <w:r w:rsidRPr="00376D5E">
              <w:rPr>
                <w:b/>
                <w:sz w:val="20"/>
                <w:szCs w:val="20"/>
              </w:rPr>
              <w:t>Approved</w:t>
            </w:r>
          </w:p>
        </w:tc>
        <w:tc>
          <w:tcPr>
            <w:tcW w:w="2180" w:type="dxa"/>
          </w:tcPr>
          <w:p w:rsidR="00F86829" w:rsidRPr="00376D5E" w:rsidRDefault="00F86829" w:rsidP="00376D5E">
            <w:pPr>
              <w:rPr>
                <w:b/>
                <w:sz w:val="20"/>
                <w:szCs w:val="20"/>
              </w:rPr>
            </w:pPr>
            <w:r w:rsidRPr="00376D5E">
              <w:rPr>
                <w:b/>
                <w:sz w:val="20"/>
                <w:szCs w:val="20"/>
              </w:rPr>
              <w:t>14 Jan 2016</w:t>
            </w:r>
          </w:p>
        </w:tc>
      </w:tr>
      <w:tr w:rsidR="008F07E0" w:rsidRPr="00376D5E" w:rsidTr="00D416F7">
        <w:tc>
          <w:tcPr>
            <w:tcW w:w="2180" w:type="dxa"/>
          </w:tcPr>
          <w:p w:rsidR="008F07E0" w:rsidRPr="00376D5E" w:rsidRDefault="008F07E0" w:rsidP="00376D5E">
            <w:pPr>
              <w:rPr>
                <w:b/>
                <w:sz w:val="20"/>
                <w:szCs w:val="20"/>
              </w:rPr>
            </w:pPr>
            <w:r w:rsidRPr="00376D5E">
              <w:rPr>
                <w:b/>
                <w:sz w:val="20"/>
                <w:szCs w:val="20"/>
              </w:rPr>
              <w:t>USA</w:t>
            </w:r>
          </w:p>
        </w:tc>
        <w:tc>
          <w:tcPr>
            <w:tcW w:w="2180" w:type="dxa"/>
          </w:tcPr>
          <w:p w:rsidR="008F07E0" w:rsidRPr="00376D5E" w:rsidRDefault="008F07E0" w:rsidP="00376D5E">
            <w:pPr>
              <w:rPr>
                <w:b/>
                <w:sz w:val="20"/>
                <w:szCs w:val="20"/>
              </w:rPr>
            </w:pPr>
            <w:r w:rsidRPr="00376D5E">
              <w:rPr>
                <w:b/>
                <w:sz w:val="20"/>
                <w:szCs w:val="20"/>
              </w:rPr>
              <w:t>20 Nov 2014</w:t>
            </w:r>
          </w:p>
        </w:tc>
        <w:tc>
          <w:tcPr>
            <w:tcW w:w="2180" w:type="dxa"/>
          </w:tcPr>
          <w:p w:rsidR="008F07E0" w:rsidRPr="00376D5E" w:rsidRDefault="008F07E0" w:rsidP="00376D5E">
            <w:pPr>
              <w:rPr>
                <w:b/>
                <w:sz w:val="20"/>
                <w:szCs w:val="20"/>
              </w:rPr>
            </w:pPr>
            <w:r w:rsidRPr="00376D5E">
              <w:rPr>
                <w:b/>
                <w:sz w:val="20"/>
                <w:szCs w:val="20"/>
              </w:rPr>
              <w:t>Approved</w:t>
            </w:r>
          </w:p>
        </w:tc>
        <w:tc>
          <w:tcPr>
            <w:tcW w:w="2180" w:type="dxa"/>
          </w:tcPr>
          <w:p w:rsidR="008F07E0" w:rsidRPr="00376D5E" w:rsidRDefault="008F07E0" w:rsidP="00376D5E">
            <w:pPr>
              <w:rPr>
                <w:b/>
                <w:sz w:val="20"/>
                <w:szCs w:val="20"/>
              </w:rPr>
            </w:pPr>
            <w:r w:rsidRPr="00376D5E">
              <w:rPr>
                <w:b/>
                <w:sz w:val="20"/>
                <w:szCs w:val="20"/>
              </w:rPr>
              <w:t>18 Feb 2016</w:t>
            </w:r>
          </w:p>
        </w:tc>
      </w:tr>
      <w:tr w:rsidR="008F07E0" w:rsidRPr="00376D5E" w:rsidTr="00D416F7">
        <w:tc>
          <w:tcPr>
            <w:tcW w:w="2180" w:type="dxa"/>
          </w:tcPr>
          <w:p w:rsidR="008F07E0" w:rsidRPr="00376D5E" w:rsidRDefault="008E29D5" w:rsidP="00376D5E">
            <w:pPr>
              <w:rPr>
                <w:b/>
                <w:sz w:val="20"/>
                <w:szCs w:val="20"/>
              </w:rPr>
            </w:pPr>
            <w:r w:rsidRPr="00376D5E">
              <w:rPr>
                <w:b/>
                <w:sz w:val="20"/>
                <w:szCs w:val="20"/>
              </w:rPr>
              <w:t>Canada</w:t>
            </w:r>
          </w:p>
        </w:tc>
        <w:tc>
          <w:tcPr>
            <w:tcW w:w="2180" w:type="dxa"/>
          </w:tcPr>
          <w:p w:rsidR="008F07E0" w:rsidRPr="00376D5E" w:rsidRDefault="008E29D5" w:rsidP="00376D5E">
            <w:pPr>
              <w:rPr>
                <w:b/>
                <w:sz w:val="20"/>
                <w:szCs w:val="20"/>
              </w:rPr>
            </w:pPr>
            <w:r w:rsidRPr="00376D5E">
              <w:rPr>
                <w:b/>
                <w:sz w:val="20"/>
                <w:szCs w:val="20"/>
              </w:rPr>
              <w:t>27 Mar 2015</w:t>
            </w:r>
          </w:p>
        </w:tc>
        <w:tc>
          <w:tcPr>
            <w:tcW w:w="2180" w:type="dxa"/>
          </w:tcPr>
          <w:p w:rsidR="008F07E0" w:rsidRPr="00376D5E" w:rsidRDefault="008E29D5" w:rsidP="00376D5E">
            <w:pPr>
              <w:rPr>
                <w:b/>
                <w:sz w:val="20"/>
                <w:szCs w:val="20"/>
              </w:rPr>
            </w:pPr>
            <w:r w:rsidRPr="00376D5E">
              <w:rPr>
                <w:b/>
                <w:sz w:val="20"/>
                <w:szCs w:val="20"/>
              </w:rPr>
              <w:t>Approved</w:t>
            </w:r>
          </w:p>
        </w:tc>
        <w:tc>
          <w:tcPr>
            <w:tcW w:w="2180" w:type="dxa"/>
          </w:tcPr>
          <w:p w:rsidR="008F07E0" w:rsidRPr="00376D5E" w:rsidRDefault="008E29D5" w:rsidP="00376D5E">
            <w:pPr>
              <w:rPr>
                <w:b/>
                <w:sz w:val="20"/>
                <w:szCs w:val="20"/>
              </w:rPr>
            </w:pPr>
            <w:r w:rsidRPr="00376D5E">
              <w:rPr>
                <w:b/>
                <w:sz w:val="20"/>
                <w:szCs w:val="20"/>
              </w:rPr>
              <w:t>9 Mar 2016</w:t>
            </w:r>
          </w:p>
        </w:tc>
      </w:tr>
      <w:tr w:rsidR="008F07E0" w:rsidRPr="00376D5E" w:rsidTr="00D416F7">
        <w:tc>
          <w:tcPr>
            <w:tcW w:w="2180" w:type="dxa"/>
          </w:tcPr>
          <w:p w:rsidR="008F07E0" w:rsidRPr="00376D5E" w:rsidRDefault="00035A14" w:rsidP="00376D5E">
            <w:pPr>
              <w:rPr>
                <w:b/>
                <w:sz w:val="20"/>
                <w:szCs w:val="20"/>
              </w:rPr>
            </w:pPr>
            <w:r w:rsidRPr="00376D5E">
              <w:rPr>
                <w:b/>
                <w:sz w:val="20"/>
                <w:szCs w:val="20"/>
              </w:rPr>
              <w:t>Turkey</w:t>
            </w:r>
          </w:p>
        </w:tc>
        <w:tc>
          <w:tcPr>
            <w:tcW w:w="2180" w:type="dxa"/>
          </w:tcPr>
          <w:p w:rsidR="008F07E0" w:rsidRPr="00376D5E" w:rsidRDefault="00035A14" w:rsidP="00376D5E">
            <w:pPr>
              <w:rPr>
                <w:b/>
                <w:sz w:val="20"/>
                <w:szCs w:val="20"/>
              </w:rPr>
            </w:pPr>
            <w:r w:rsidRPr="00376D5E">
              <w:rPr>
                <w:b/>
                <w:sz w:val="20"/>
                <w:szCs w:val="20"/>
              </w:rPr>
              <w:t>27 Mar 2015</w:t>
            </w:r>
          </w:p>
        </w:tc>
        <w:tc>
          <w:tcPr>
            <w:tcW w:w="2180" w:type="dxa"/>
          </w:tcPr>
          <w:p w:rsidR="008F07E0" w:rsidRPr="00376D5E" w:rsidRDefault="00035A14" w:rsidP="00376D5E">
            <w:pPr>
              <w:rPr>
                <w:b/>
                <w:sz w:val="20"/>
                <w:szCs w:val="20"/>
              </w:rPr>
            </w:pPr>
            <w:r w:rsidRPr="00376D5E">
              <w:rPr>
                <w:b/>
                <w:sz w:val="20"/>
                <w:szCs w:val="20"/>
              </w:rPr>
              <w:t>Under evaluation</w:t>
            </w:r>
          </w:p>
        </w:tc>
        <w:tc>
          <w:tcPr>
            <w:tcW w:w="2180" w:type="dxa"/>
          </w:tcPr>
          <w:p w:rsidR="008F07E0" w:rsidRPr="00376D5E" w:rsidRDefault="0040413A" w:rsidP="00376D5E">
            <w:pPr>
              <w:rPr>
                <w:b/>
                <w:sz w:val="20"/>
                <w:szCs w:val="20"/>
              </w:rPr>
            </w:pPr>
            <w:r w:rsidRPr="00376D5E">
              <w:rPr>
                <w:b/>
                <w:sz w:val="20"/>
                <w:szCs w:val="20"/>
              </w:rPr>
              <w:t>n/a</w:t>
            </w:r>
          </w:p>
        </w:tc>
      </w:tr>
      <w:tr w:rsidR="008F07E0" w:rsidRPr="00376D5E" w:rsidTr="00D416F7">
        <w:tc>
          <w:tcPr>
            <w:tcW w:w="2180" w:type="dxa"/>
          </w:tcPr>
          <w:p w:rsidR="008F07E0" w:rsidRPr="00376D5E" w:rsidRDefault="00035A14" w:rsidP="00376D5E">
            <w:pPr>
              <w:rPr>
                <w:b/>
                <w:sz w:val="20"/>
                <w:szCs w:val="20"/>
              </w:rPr>
            </w:pPr>
            <w:r w:rsidRPr="00376D5E">
              <w:rPr>
                <w:b/>
                <w:sz w:val="20"/>
                <w:szCs w:val="20"/>
              </w:rPr>
              <w:t>Switzerland</w:t>
            </w:r>
          </w:p>
        </w:tc>
        <w:tc>
          <w:tcPr>
            <w:tcW w:w="2180" w:type="dxa"/>
          </w:tcPr>
          <w:p w:rsidR="008F07E0" w:rsidRPr="00376D5E" w:rsidRDefault="00035A14" w:rsidP="00376D5E">
            <w:pPr>
              <w:rPr>
                <w:b/>
                <w:sz w:val="20"/>
                <w:szCs w:val="20"/>
              </w:rPr>
            </w:pPr>
            <w:r w:rsidRPr="00376D5E">
              <w:rPr>
                <w:b/>
                <w:sz w:val="20"/>
                <w:szCs w:val="20"/>
              </w:rPr>
              <w:t>26 Feb 2015</w:t>
            </w:r>
          </w:p>
        </w:tc>
        <w:tc>
          <w:tcPr>
            <w:tcW w:w="2180" w:type="dxa"/>
          </w:tcPr>
          <w:p w:rsidR="008F07E0" w:rsidRPr="00376D5E" w:rsidRDefault="0040413A" w:rsidP="00376D5E">
            <w:pPr>
              <w:rPr>
                <w:b/>
                <w:sz w:val="20"/>
                <w:szCs w:val="20"/>
              </w:rPr>
            </w:pPr>
            <w:r w:rsidRPr="00376D5E">
              <w:rPr>
                <w:b/>
                <w:sz w:val="20"/>
                <w:szCs w:val="20"/>
              </w:rPr>
              <w:t>Under evaluation</w:t>
            </w:r>
          </w:p>
        </w:tc>
        <w:tc>
          <w:tcPr>
            <w:tcW w:w="2180" w:type="dxa"/>
          </w:tcPr>
          <w:p w:rsidR="008F07E0" w:rsidRPr="00376D5E" w:rsidRDefault="0040413A" w:rsidP="00376D5E">
            <w:pPr>
              <w:rPr>
                <w:b/>
                <w:sz w:val="20"/>
                <w:szCs w:val="20"/>
              </w:rPr>
            </w:pPr>
            <w:r w:rsidRPr="00376D5E">
              <w:rPr>
                <w:b/>
                <w:sz w:val="20"/>
                <w:szCs w:val="20"/>
              </w:rPr>
              <w:t>n/a</w:t>
            </w:r>
          </w:p>
        </w:tc>
      </w:tr>
      <w:tr w:rsidR="008F07E0" w:rsidRPr="00376D5E" w:rsidTr="00D416F7">
        <w:tc>
          <w:tcPr>
            <w:tcW w:w="2180" w:type="dxa"/>
          </w:tcPr>
          <w:p w:rsidR="008F07E0" w:rsidRPr="00376D5E" w:rsidRDefault="00035A14" w:rsidP="00376D5E">
            <w:pPr>
              <w:rPr>
                <w:b/>
                <w:sz w:val="20"/>
                <w:szCs w:val="20"/>
              </w:rPr>
            </w:pPr>
            <w:r w:rsidRPr="00376D5E">
              <w:rPr>
                <w:b/>
                <w:sz w:val="20"/>
                <w:szCs w:val="20"/>
              </w:rPr>
              <w:t>Brazil</w:t>
            </w:r>
          </w:p>
        </w:tc>
        <w:tc>
          <w:tcPr>
            <w:tcW w:w="2180" w:type="dxa"/>
          </w:tcPr>
          <w:p w:rsidR="008F07E0" w:rsidRPr="00376D5E" w:rsidRDefault="00035A14" w:rsidP="00376D5E">
            <w:pPr>
              <w:rPr>
                <w:b/>
                <w:sz w:val="20"/>
                <w:szCs w:val="20"/>
              </w:rPr>
            </w:pPr>
            <w:r w:rsidRPr="00376D5E">
              <w:rPr>
                <w:b/>
                <w:sz w:val="20"/>
                <w:szCs w:val="20"/>
              </w:rPr>
              <w:t>3 Dec 2015</w:t>
            </w:r>
          </w:p>
        </w:tc>
        <w:tc>
          <w:tcPr>
            <w:tcW w:w="2180" w:type="dxa"/>
          </w:tcPr>
          <w:p w:rsidR="008F07E0" w:rsidRPr="00376D5E" w:rsidRDefault="0040413A" w:rsidP="00376D5E">
            <w:pPr>
              <w:rPr>
                <w:b/>
                <w:sz w:val="20"/>
                <w:szCs w:val="20"/>
              </w:rPr>
            </w:pPr>
            <w:r w:rsidRPr="00376D5E">
              <w:rPr>
                <w:b/>
                <w:sz w:val="20"/>
                <w:szCs w:val="20"/>
              </w:rPr>
              <w:t>Under evaluation</w:t>
            </w:r>
          </w:p>
        </w:tc>
        <w:tc>
          <w:tcPr>
            <w:tcW w:w="2180" w:type="dxa"/>
          </w:tcPr>
          <w:p w:rsidR="008F07E0" w:rsidRPr="00376D5E" w:rsidRDefault="0040413A" w:rsidP="00376D5E">
            <w:pPr>
              <w:rPr>
                <w:b/>
                <w:sz w:val="20"/>
                <w:szCs w:val="20"/>
              </w:rPr>
            </w:pPr>
            <w:r w:rsidRPr="00376D5E">
              <w:rPr>
                <w:b/>
                <w:sz w:val="20"/>
                <w:szCs w:val="20"/>
              </w:rPr>
              <w:t>n/a</w:t>
            </w:r>
          </w:p>
        </w:tc>
      </w:tr>
      <w:tr w:rsidR="008F07E0" w:rsidRPr="00376D5E" w:rsidTr="00D416F7">
        <w:tc>
          <w:tcPr>
            <w:tcW w:w="2180" w:type="dxa"/>
          </w:tcPr>
          <w:p w:rsidR="008F07E0" w:rsidRPr="00376D5E" w:rsidRDefault="00035A14" w:rsidP="00376D5E">
            <w:pPr>
              <w:rPr>
                <w:b/>
                <w:sz w:val="20"/>
                <w:szCs w:val="20"/>
              </w:rPr>
            </w:pPr>
            <w:r w:rsidRPr="00376D5E">
              <w:rPr>
                <w:b/>
                <w:sz w:val="20"/>
                <w:szCs w:val="20"/>
              </w:rPr>
              <w:t>Russia</w:t>
            </w:r>
          </w:p>
        </w:tc>
        <w:tc>
          <w:tcPr>
            <w:tcW w:w="2180" w:type="dxa"/>
          </w:tcPr>
          <w:p w:rsidR="008F07E0" w:rsidRPr="00376D5E" w:rsidRDefault="00035A14" w:rsidP="00376D5E">
            <w:pPr>
              <w:rPr>
                <w:b/>
                <w:sz w:val="20"/>
                <w:szCs w:val="20"/>
              </w:rPr>
            </w:pPr>
            <w:r w:rsidRPr="00376D5E">
              <w:rPr>
                <w:b/>
                <w:sz w:val="20"/>
                <w:szCs w:val="20"/>
              </w:rPr>
              <w:t>15 Dec 2015</w:t>
            </w:r>
          </w:p>
        </w:tc>
        <w:tc>
          <w:tcPr>
            <w:tcW w:w="2180" w:type="dxa"/>
          </w:tcPr>
          <w:p w:rsidR="008F07E0" w:rsidRPr="00376D5E" w:rsidRDefault="0040413A" w:rsidP="00376D5E">
            <w:pPr>
              <w:rPr>
                <w:b/>
                <w:sz w:val="20"/>
                <w:szCs w:val="20"/>
              </w:rPr>
            </w:pPr>
            <w:r w:rsidRPr="00376D5E">
              <w:rPr>
                <w:b/>
                <w:sz w:val="20"/>
                <w:szCs w:val="20"/>
              </w:rPr>
              <w:t>Under evaluation</w:t>
            </w:r>
          </w:p>
        </w:tc>
        <w:tc>
          <w:tcPr>
            <w:tcW w:w="2180" w:type="dxa"/>
          </w:tcPr>
          <w:p w:rsidR="008F07E0" w:rsidRPr="00376D5E" w:rsidRDefault="0040413A" w:rsidP="00376D5E">
            <w:pPr>
              <w:rPr>
                <w:b/>
                <w:sz w:val="20"/>
                <w:szCs w:val="20"/>
              </w:rPr>
            </w:pPr>
            <w:r w:rsidRPr="00376D5E">
              <w:rPr>
                <w:b/>
                <w:sz w:val="20"/>
                <w:szCs w:val="20"/>
              </w:rPr>
              <w:t>n/a</w:t>
            </w:r>
          </w:p>
        </w:tc>
      </w:tr>
    </w:tbl>
    <w:p w:rsidR="008E7846" w:rsidRDefault="008E7846" w:rsidP="00940A89">
      <w:pPr>
        <w:pStyle w:val="Heading3"/>
      </w:pPr>
      <w:bookmarkStart w:id="25" w:name="_Toc479595213"/>
      <w:r>
        <w:lastRenderedPageBreak/>
        <w:t>Product Information</w:t>
      </w:r>
      <w:bookmarkEnd w:id="23"/>
      <w:bookmarkEnd w:id="24"/>
      <w:bookmarkEnd w:id="25"/>
    </w:p>
    <w:p w:rsidR="00940A89" w:rsidRDefault="00940A89" w:rsidP="00940A89">
      <w:pPr>
        <w:rPr>
          <w:b/>
          <w:bCs/>
        </w:rPr>
      </w:pPr>
      <w:bookmarkStart w:id="26" w:name="_Toc247691506"/>
      <w:bookmarkStart w:id="27"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8" w:name="_Toc479595214"/>
      <w:r>
        <w:t>II. Quality</w:t>
      </w:r>
      <w:bookmarkEnd w:id="5"/>
      <w:r>
        <w:t xml:space="preserve"> findings</w:t>
      </w:r>
      <w:bookmarkEnd w:id="26"/>
      <w:bookmarkEnd w:id="27"/>
      <w:bookmarkEnd w:id="28"/>
    </w:p>
    <w:p w:rsidR="00940A89" w:rsidRDefault="00940A89" w:rsidP="00940A89">
      <w:pPr>
        <w:pStyle w:val="Heading3"/>
      </w:pPr>
      <w:bookmarkStart w:id="29" w:name="_Toc247691507"/>
      <w:bookmarkStart w:id="30" w:name="_Toc314842488"/>
      <w:bookmarkStart w:id="31" w:name="_Toc479595215"/>
      <w:r w:rsidRPr="00940A89">
        <w:t>Introduction</w:t>
      </w:r>
      <w:bookmarkEnd w:id="31"/>
    </w:p>
    <w:p w:rsidR="00401BEF" w:rsidRPr="00401BEF" w:rsidRDefault="00401BEF" w:rsidP="00401BEF">
      <w:r w:rsidRPr="00401BEF">
        <w:t xml:space="preserve">The </w:t>
      </w:r>
      <w:proofErr w:type="spellStart"/>
      <w:r w:rsidRPr="00401BEF">
        <w:t>racetam</w:t>
      </w:r>
      <w:proofErr w:type="spellEnd"/>
      <w:r w:rsidRPr="00401BEF">
        <w:t xml:space="preserve"> derivative </w:t>
      </w:r>
      <w:proofErr w:type="spellStart"/>
      <w:r w:rsidRPr="00401BEF">
        <w:t>Brivaracetam</w:t>
      </w:r>
      <w:proofErr w:type="spellEnd"/>
      <w:r w:rsidRPr="00401BEF">
        <w:t>, the 4-(1-propyl)-</w:t>
      </w:r>
      <w:proofErr w:type="spellStart"/>
      <w:r w:rsidRPr="00401BEF">
        <w:t>analog</w:t>
      </w:r>
      <w:proofErr w:type="spellEnd"/>
      <w:r w:rsidRPr="00401BEF">
        <w:t xml:space="preserve"> of </w:t>
      </w:r>
      <w:proofErr w:type="spellStart"/>
      <w:r w:rsidRPr="00401BEF">
        <w:t>Levetiracetam</w:t>
      </w:r>
      <w:proofErr w:type="spellEnd"/>
      <w:r w:rsidRPr="00401BEF">
        <w:t xml:space="preserve">, is a </w:t>
      </w:r>
      <w:r w:rsidR="0086669F">
        <w:t xml:space="preserve">new chemical entity </w:t>
      </w:r>
      <w:r w:rsidRPr="00401BEF">
        <w:t>with anticonvulsant properties develop</w:t>
      </w:r>
      <w:r w:rsidR="00B91DB5">
        <w:t xml:space="preserve">ed for the treatment of partial </w:t>
      </w:r>
      <w:r w:rsidRPr="00401BEF">
        <w:t>onset seizures with or without secondary generalisation in patients from 16 years of age with epilepsy. Whil</w:t>
      </w:r>
      <w:r w:rsidR="004C0031">
        <w:t>e</w:t>
      </w:r>
      <w:r w:rsidRPr="00401BEF">
        <w:t xml:space="preserve"> </w:t>
      </w:r>
      <w:proofErr w:type="spellStart"/>
      <w:r w:rsidRPr="00401BEF">
        <w:t>levetiracetam</w:t>
      </w:r>
      <w:proofErr w:type="spellEnd"/>
      <w:r w:rsidRPr="00401BEF">
        <w:t xml:space="preserve"> is also an anticonvulsant, other members of the drug class include the </w:t>
      </w:r>
      <w:proofErr w:type="spellStart"/>
      <w:r w:rsidRPr="00401BEF">
        <w:t>nootropic</w:t>
      </w:r>
      <w:proofErr w:type="spellEnd"/>
      <w:r w:rsidRPr="00401BEF">
        <w:t xml:space="preserve"> </w:t>
      </w:r>
      <w:proofErr w:type="spellStart"/>
      <w:r w:rsidRPr="00401BEF">
        <w:t>piracetam</w:t>
      </w:r>
      <w:proofErr w:type="spellEnd"/>
      <w:r w:rsidRPr="00401BEF">
        <w:t xml:space="preserve"> and the stimulant </w:t>
      </w:r>
      <w:proofErr w:type="spellStart"/>
      <w:r w:rsidRPr="00401BEF">
        <w:t>oxiracetam</w:t>
      </w:r>
      <w:proofErr w:type="spellEnd"/>
      <w:r w:rsidRPr="00401BEF">
        <w:t>, all of which share a 2-pyrrolidone</w:t>
      </w:r>
      <w:r w:rsidR="00F6671F">
        <w:t xml:space="preserve"> nucleus</w:t>
      </w:r>
      <w:r w:rsidRPr="00401BEF">
        <w:t>. Although over 20 members of the class have been described in the literature, only pre</w:t>
      </w:r>
      <w:r w:rsidR="00D54BCC">
        <w:t xml:space="preserve">scription medicines containing </w:t>
      </w:r>
      <w:proofErr w:type="spellStart"/>
      <w:r w:rsidR="00D54BCC">
        <w:t>l</w:t>
      </w:r>
      <w:r w:rsidRPr="00401BEF">
        <w:t>evetiracetam</w:t>
      </w:r>
      <w:proofErr w:type="spellEnd"/>
      <w:r w:rsidRPr="00401BEF">
        <w:t xml:space="preserve"> are currently registered in Austr</w:t>
      </w:r>
      <w:r w:rsidR="00B91DB5">
        <w:t>alia. These include film-</w:t>
      </w:r>
      <w:r w:rsidRPr="00401BEF">
        <w:t>coated tablets (107 ARTG entries), oral liquids (4 entries), solutions for IV infusion (9 entries)</w:t>
      </w:r>
      <w:r w:rsidR="00B91DB5">
        <w:t>,</w:t>
      </w:r>
      <w:r w:rsidRPr="00401BEF">
        <w:t xml:space="preserve"> and concentrated solutions for infusion (8 entries).</w:t>
      </w:r>
    </w:p>
    <w:p w:rsidR="00376D5E" w:rsidRDefault="00401BEF" w:rsidP="00401BEF">
      <w:r w:rsidRPr="00401BEF">
        <w:t>The drug substance is believed to act by binding to the ubiquitous synaptic vesicle glycoprotein 2A</w:t>
      </w:r>
      <w:r w:rsidR="00D54BCC">
        <w:t xml:space="preserve">; however, while </w:t>
      </w:r>
      <w:r w:rsidRPr="00401BEF">
        <w:t>binding to SV2A is considered to be the primary mechanism for brivaracetam anticonvulsant activity, the precise mechanism is unknown</w:t>
      </w:r>
      <w:r w:rsidR="00376D5E">
        <w:t>.</w:t>
      </w:r>
    </w:p>
    <w:p w:rsidR="008E7846" w:rsidRDefault="008E7846" w:rsidP="00940A89">
      <w:pPr>
        <w:pStyle w:val="Heading3"/>
      </w:pPr>
      <w:bookmarkStart w:id="32" w:name="_Toc479595216"/>
      <w:r w:rsidRPr="008751DC">
        <w:t xml:space="preserve">Drug </w:t>
      </w:r>
      <w:r>
        <w:t>s</w:t>
      </w:r>
      <w:r w:rsidRPr="008751DC">
        <w:t>ubstance</w:t>
      </w:r>
      <w:r>
        <w:t xml:space="preserve"> (active ingredient)</w:t>
      </w:r>
      <w:bookmarkEnd w:id="29"/>
      <w:bookmarkEnd w:id="30"/>
      <w:bookmarkEnd w:id="32"/>
    </w:p>
    <w:p w:rsidR="00376D5E" w:rsidRDefault="00F6671F" w:rsidP="00F6671F">
      <w:proofErr w:type="spellStart"/>
      <w:r w:rsidRPr="00F6671F">
        <w:t>Brivaracetam</w:t>
      </w:r>
      <w:proofErr w:type="spellEnd"/>
      <w:r w:rsidRPr="00F6671F">
        <w:t xml:space="preserve"> or  (2</w:t>
      </w:r>
      <w:r w:rsidRPr="00F6671F">
        <w:rPr>
          <w:i/>
        </w:rPr>
        <w:t>S</w:t>
      </w:r>
      <w:r w:rsidRPr="00F6671F">
        <w:t>)-2-[(4</w:t>
      </w:r>
      <w:r w:rsidRPr="00F6671F">
        <w:rPr>
          <w:i/>
        </w:rPr>
        <w:t>R</w:t>
      </w:r>
      <w:r w:rsidRPr="00F6671F">
        <w:t>)-2-oxo-4-propylpyrrolidin-1-yl]</w:t>
      </w:r>
      <w:proofErr w:type="spellStart"/>
      <w:r w:rsidRPr="00F6671F">
        <w:t>butanamide</w:t>
      </w:r>
      <w:proofErr w:type="spellEnd"/>
      <w:r w:rsidRPr="00F6671F">
        <w:t xml:space="preserve"> (designated UCB 34714 by the company; structure reproduced below) has 2 chiral centres associated with C(2) of the </w:t>
      </w:r>
      <w:proofErr w:type="spellStart"/>
      <w:r w:rsidRPr="00F6671F">
        <w:t>butanamide</w:t>
      </w:r>
      <w:proofErr w:type="spellEnd"/>
      <w:r w:rsidRPr="00F6671F">
        <w:t xml:space="preserve"> group and C(4) of the 2-oxo-4-(1-propyl)pyrrolidine ring</w:t>
      </w:r>
      <w:r w:rsidR="00376D5E">
        <w:t>.</w:t>
      </w:r>
    </w:p>
    <w:p w:rsidR="008E7846" w:rsidRDefault="003D7248" w:rsidP="006D4DD8">
      <w:pPr>
        <w:pStyle w:val="FigureTitle"/>
      </w:pPr>
      <w:r>
        <w:t xml:space="preserve">Figure 1: </w:t>
      </w:r>
      <w:r w:rsidR="008C0E91">
        <w:t xml:space="preserve">Structures of </w:t>
      </w:r>
      <w:r w:rsidR="00D54BCC">
        <w:t xml:space="preserve">brivaracetam and associated </w:t>
      </w:r>
      <w:r w:rsidR="006D4DD8">
        <w:t>drug substances</w:t>
      </w:r>
      <w:r w:rsidR="004C0031">
        <w:t>.</w:t>
      </w:r>
    </w:p>
    <w:p w:rsidR="003D7248" w:rsidRDefault="008C0E91" w:rsidP="00F6671F">
      <w:r>
        <w:rPr>
          <w:noProof/>
          <w:lang w:eastAsia="en-AU"/>
        </w:rPr>
        <w:drawing>
          <wp:inline distT="0" distB="0" distL="0" distR="0" wp14:anchorId="11FC212B" wp14:editId="10912BC4">
            <wp:extent cx="5400040" cy="1538088"/>
            <wp:effectExtent l="0" t="0" r="0" b="5080"/>
            <wp:docPr id="5" name="Picture 5" descr="Figure 1: Structures of brivaracetam and associated drug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538088"/>
                    </a:xfrm>
                    <a:prstGeom prst="rect">
                      <a:avLst/>
                    </a:prstGeom>
                  </pic:spPr>
                </pic:pic>
              </a:graphicData>
            </a:graphic>
          </wp:inline>
        </w:drawing>
      </w:r>
    </w:p>
    <w:p w:rsidR="00341231" w:rsidRPr="00341231" w:rsidRDefault="00341231" w:rsidP="00341231">
      <w:r w:rsidRPr="00341231">
        <w:t xml:space="preserve">The drug substance is manufactured by a simple, convergent synthesis, in the salient step of which the ucb-108628-1 intermediate [a mixture of </w:t>
      </w:r>
      <w:proofErr w:type="spellStart"/>
      <w:r w:rsidRPr="00341231">
        <w:t>brivaracetam</w:t>
      </w:r>
      <w:proofErr w:type="spellEnd"/>
      <w:r w:rsidRPr="00341231">
        <w:t xml:space="preserve"> and its (2</w:t>
      </w:r>
      <w:r w:rsidRPr="00341231">
        <w:rPr>
          <w:i/>
        </w:rPr>
        <w:t>S</w:t>
      </w:r>
      <w:proofErr w:type="gramStart"/>
      <w:r w:rsidRPr="00341231">
        <w:t>,4</w:t>
      </w:r>
      <w:r w:rsidRPr="00341231">
        <w:rPr>
          <w:i/>
        </w:rPr>
        <w:t>S</w:t>
      </w:r>
      <w:proofErr w:type="gramEnd"/>
      <w:r w:rsidRPr="00341231">
        <w:t>)-</w:t>
      </w:r>
      <w:proofErr w:type="spellStart"/>
      <w:r w:rsidRPr="00341231">
        <w:t>diastereomer</w:t>
      </w:r>
      <w:proofErr w:type="spellEnd"/>
      <w:r w:rsidRPr="00341231">
        <w:t xml:space="preserve"> (</w:t>
      </w:r>
      <w:proofErr w:type="spellStart"/>
      <w:r w:rsidRPr="00341231">
        <w:t>ucb</w:t>
      </w:r>
      <w:proofErr w:type="spellEnd"/>
      <w:r w:rsidRPr="00341231">
        <w:t xml:space="preserve"> 34713; structure attached)] is resolved using chiral chromatography in a Multicolumn Continuous Chromatography (“MCC”) unit comprising ≥ 5 columns.  Whilst the </w:t>
      </w:r>
      <w:proofErr w:type="spellStart"/>
      <w:r w:rsidRPr="00341231">
        <w:t>diastereomeric</w:t>
      </w:r>
      <w:proofErr w:type="spellEnd"/>
      <w:r w:rsidRPr="00341231">
        <w:t xml:space="preserve"> structures with the alternative (2</w:t>
      </w:r>
      <w:r w:rsidRPr="00341231">
        <w:rPr>
          <w:i/>
        </w:rPr>
        <w:t>R</w:t>
      </w:r>
      <w:r w:rsidRPr="00341231">
        <w:t>)-absolute configuration are theoretically possible, these are precluded by the route of synthesis unless the (</w:t>
      </w:r>
      <w:r w:rsidRPr="00341231">
        <w:rPr>
          <w:i/>
        </w:rPr>
        <w:t>S</w:t>
      </w:r>
      <w:r w:rsidRPr="00341231">
        <w:t xml:space="preserve">)-2-aminobutanamide </w:t>
      </w:r>
      <w:proofErr w:type="spellStart"/>
      <w:r w:rsidRPr="00341231">
        <w:t>HCl</w:t>
      </w:r>
      <w:proofErr w:type="spellEnd"/>
      <w:r w:rsidRPr="00341231">
        <w:t xml:space="preserve"> </w:t>
      </w:r>
      <w:proofErr w:type="spellStart"/>
      <w:r w:rsidRPr="00341231">
        <w:t>synthon</w:t>
      </w:r>
      <w:proofErr w:type="spellEnd"/>
      <w:r w:rsidRPr="00341231">
        <w:t xml:space="preserve"> used in the synthesis of the ucb-108628-1 intermediate contains significant quantities of the (</w:t>
      </w:r>
      <w:r w:rsidRPr="00341231">
        <w:rPr>
          <w:i/>
        </w:rPr>
        <w:t>R</w:t>
      </w:r>
      <w:r w:rsidRPr="00341231">
        <w:t>)-isomer. The chirality of the (</w:t>
      </w:r>
      <w:r w:rsidRPr="00341231">
        <w:rPr>
          <w:i/>
        </w:rPr>
        <w:t>S</w:t>
      </w:r>
      <w:r w:rsidRPr="00341231">
        <w:t xml:space="preserve">)-2-aminobutanamide </w:t>
      </w:r>
      <w:proofErr w:type="spellStart"/>
      <w:r w:rsidRPr="00341231">
        <w:t>HCl</w:t>
      </w:r>
      <w:proofErr w:type="spellEnd"/>
      <w:r w:rsidRPr="00341231">
        <w:t xml:space="preserve"> </w:t>
      </w:r>
      <w:proofErr w:type="spellStart"/>
      <w:r w:rsidRPr="00341231">
        <w:t>synthon</w:t>
      </w:r>
      <w:proofErr w:type="spellEnd"/>
      <w:r w:rsidRPr="00341231">
        <w:t xml:space="preserve"> is specified as ≥ 99.0% by chiral HPLC in the API manufacturer’s specification.</w:t>
      </w:r>
    </w:p>
    <w:p w:rsidR="00376D5E" w:rsidRDefault="00341231" w:rsidP="004540DA">
      <w:r w:rsidRPr="004540DA">
        <w:t xml:space="preserve">Two non-solvated polymorphic forms are described in the dossier (Solid Phase 1 and Solid Phase 2), of which that designated Solid Phase 1 is the most stable form under ambient </w:t>
      </w:r>
      <w:r w:rsidRPr="004540DA">
        <w:lastRenderedPageBreak/>
        <w:t xml:space="preserve">conditions in the absence of “guest” molecules and remains stable upon thermal treatment (up to 75C) and upon milling or compaction, and is the polymorphic form consistently produced by the manufacturing process.      </w:t>
      </w:r>
    </w:p>
    <w:p w:rsidR="00376D5E" w:rsidRDefault="00341231" w:rsidP="004540DA">
      <w:r w:rsidRPr="004540DA">
        <w:t xml:space="preserve">The drug substance is BCS Class 1; whilst highly soluble across the physiological pH range, permeability data assessed across Caco-2 cell monolayers indicate the drug substance has high permeability. </w:t>
      </w:r>
    </w:p>
    <w:p w:rsidR="00341231" w:rsidRPr="004540DA" w:rsidRDefault="00341231" w:rsidP="004540DA">
      <w:r w:rsidRPr="004540DA">
        <w:t xml:space="preserve">The substance has no ionisable centres; therefore no </w:t>
      </w:r>
      <w:proofErr w:type="spellStart"/>
      <w:r w:rsidRPr="004540DA">
        <w:t>pKa</w:t>
      </w:r>
      <w:proofErr w:type="spellEnd"/>
      <w:r w:rsidRPr="004540DA">
        <w:t xml:space="preserve"> can be measured. The dossier states that </w:t>
      </w:r>
      <w:proofErr w:type="spellStart"/>
      <w:r w:rsidRPr="004540DA">
        <w:t>LogP</w:t>
      </w:r>
      <w:proofErr w:type="spellEnd"/>
      <w:r w:rsidRPr="004540DA">
        <w:t xml:space="preserve"> = 1.04 in </w:t>
      </w:r>
      <w:proofErr w:type="spellStart"/>
      <w:r w:rsidRPr="004540DA">
        <w:t>octanol</w:t>
      </w:r>
      <w:proofErr w:type="spellEnd"/>
      <w:r w:rsidRPr="004540DA">
        <w:t>/water (Lit. 0.66).</w:t>
      </w:r>
    </w:p>
    <w:p w:rsidR="00376D5E" w:rsidRDefault="00341231" w:rsidP="004540DA">
      <w:r w:rsidRPr="004540DA">
        <w:t>The final stage of brivaracetam manu</w:t>
      </w:r>
      <w:r w:rsidR="00913ACA">
        <w:t>facture includes a de-lumping/</w:t>
      </w:r>
      <w:r w:rsidRPr="004540DA">
        <w:t>milling process targeting a specific pa</w:t>
      </w:r>
      <w:r w:rsidR="00B91DB5">
        <w:t xml:space="preserve">rticle size distribution; that is, </w:t>
      </w:r>
      <w:proofErr w:type="gramStart"/>
      <w:r w:rsidRPr="004540DA">
        <w:t>D(</w:t>
      </w:r>
      <w:proofErr w:type="gramEnd"/>
      <w:r w:rsidRPr="004540DA">
        <w:t xml:space="preserve">v,0.5) should be between 100 </w:t>
      </w:r>
      <w:r w:rsidR="008F1FC1">
        <w:t>µ</w:t>
      </w:r>
      <w:r w:rsidRPr="004540DA">
        <w:t xml:space="preserve">m and 300 µm and D(v,0.9) ≤ 600 µm. Given the highly soluble nature of the drug substance, the absence of a lower limit for </w:t>
      </w:r>
      <w:proofErr w:type="gramStart"/>
      <w:r w:rsidRPr="004540DA">
        <w:t>D(</w:t>
      </w:r>
      <w:proofErr w:type="gramEnd"/>
      <w:r w:rsidRPr="004540DA">
        <w:t xml:space="preserve">v,0.1) was not pursued. </w:t>
      </w:r>
    </w:p>
    <w:p w:rsidR="00376D5E" w:rsidRDefault="00341231" w:rsidP="004540DA">
      <w:r w:rsidRPr="004540DA">
        <w:t>The content of the (2</w:t>
      </w:r>
      <w:r w:rsidR="00432E01" w:rsidRPr="00432E01">
        <w:rPr>
          <w:i/>
        </w:rPr>
        <w:t>S</w:t>
      </w:r>
      <w:r w:rsidRPr="004540DA">
        <w:t>,4</w:t>
      </w:r>
      <w:r w:rsidRPr="00432E01">
        <w:rPr>
          <w:i/>
        </w:rPr>
        <w:t>S</w:t>
      </w:r>
      <w:r w:rsidRPr="004540DA">
        <w:t xml:space="preserve">)-isomer is limited to ≤ 2.50% in the oral and injectable grade drug substance specifications, whilst the content of each of the </w:t>
      </w:r>
      <w:proofErr w:type="spellStart"/>
      <w:r w:rsidRPr="004540DA">
        <w:t>diastereomeric</w:t>
      </w:r>
      <w:proofErr w:type="spellEnd"/>
      <w:r w:rsidRPr="004540DA">
        <w:t xml:space="preserve"> compounds having an absolute configuration of (2</w:t>
      </w:r>
      <w:r w:rsidRPr="00913ACA">
        <w:rPr>
          <w:i/>
        </w:rPr>
        <w:t>S</w:t>
      </w:r>
      <w:r w:rsidRPr="004540DA">
        <w:t xml:space="preserve">) in the drug substance is limited to ≤ 0.15%. </w:t>
      </w:r>
    </w:p>
    <w:p w:rsidR="00341231" w:rsidRPr="004540DA" w:rsidRDefault="00341231" w:rsidP="004540DA">
      <w:r w:rsidRPr="004540DA">
        <w:t xml:space="preserve">One other potential impurity is controlled in the drug substance: the </w:t>
      </w:r>
      <w:proofErr w:type="spellStart"/>
      <w:r w:rsidRPr="004540DA">
        <w:t>diastereomeric</w:t>
      </w:r>
      <w:proofErr w:type="spellEnd"/>
      <w:r w:rsidRPr="004540DA">
        <w:t xml:space="preserve"> (2</w:t>
      </w:r>
      <w:r w:rsidRPr="00432E01">
        <w:rPr>
          <w:i/>
        </w:rPr>
        <w:t>S</w:t>
      </w:r>
      <w:r w:rsidR="00432E01">
        <w:t>)-[(4</w:t>
      </w:r>
      <w:r w:rsidR="00432E01" w:rsidRPr="00432E01">
        <w:rPr>
          <w:i/>
        </w:rPr>
        <w:t>S</w:t>
      </w:r>
      <w:proofErr w:type="gramStart"/>
      <w:r w:rsidR="00432E01">
        <w:t>)-</w:t>
      </w:r>
      <w:proofErr w:type="gramEnd"/>
      <w:r w:rsidR="00432E01">
        <w:t xml:space="preserve"> and (2</w:t>
      </w:r>
      <w:r w:rsidR="00432E01" w:rsidRPr="00432E01">
        <w:rPr>
          <w:i/>
        </w:rPr>
        <w:t>S</w:t>
      </w:r>
      <w:r w:rsidRPr="004540DA">
        <w:t>)-[(4</w:t>
      </w:r>
      <w:r w:rsidRPr="00432E01">
        <w:rPr>
          <w:i/>
        </w:rPr>
        <w:t>R</w:t>
      </w:r>
      <w:r w:rsidRPr="004540DA">
        <w:t xml:space="preserve">)-(2-oxo-4-propyltetrahydro-1H-pyrrol-1-yl)butyric acid </w:t>
      </w:r>
      <w:proofErr w:type="spellStart"/>
      <w:r w:rsidRPr="004540DA">
        <w:t>degradant</w:t>
      </w:r>
      <w:proofErr w:type="spellEnd"/>
      <w:r w:rsidRPr="004540DA">
        <w:t xml:space="preserve"> pair (ucb-42144/42145)], which is limited to ≤ 0.10%. This limit has been accepted on the advice of the </w:t>
      </w:r>
      <w:r w:rsidR="006C06B4">
        <w:t>t</w:t>
      </w:r>
      <w:r w:rsidRPr="004540DA">
        <w:t>oxicology evaluator, and on the basis of being an inactive human metabolite.</w:t>
      </w:r>
    </w:p>
    <w:p w:rsidR="00341231" w:rsidRPr="004540DA" w:rsidRDefault="00341231" w:rsidP="004540DA">
      <w:r w:rsidRPr="004540DA">
        <w:t>A number of issues relating to the quality control of the brivaracetam drug substance were raised with UCB; all have been resolved except for provision of an acceptable formal API specification, a</w:t>
      </w:r>
      <w:r w:rsidR="006C06B4">
        <w:t>nd confirmation that the sponsor</w:t>
      </w:r>
      <w:r w:rsidRPr="004540DA">
        <w:t xml:space="preserve">’s method for assessment of the repeatability of the in-house HPLC methodology is equivalent to or better than that stipulated in </w:t>
      </w:r>
      <w:proofErr w:type="spellStart"/>
      <w:r w:rsidRPr="004540DA">
        <w:t>Ph</w:t>
      </w:r>
      <w:proofErr w:type="spellEnd"/>
      <w:r w:rsidRPr="004540DA">
        <w:t xml:space="preserve"> </w:t>
      </w:r>
      <w:proofErr w:type="spellStart"/>
      <w:r w:rsidRPr="004540DA">
        <w:t>Eur</w:t>
      </w:r>
      <w:proofErr w:type="spellEnd"/>
      <w:r w:rsidRPr="004540DA">
        <w:t xml:space="preserve"> 2.2.46 and USP &lt;621&gt;.</w:t>
      </w:r>
    </w:p>
    <w:p w:rsidR="008E7846" w:rsidRDefault="008E7846" w:rsidP="008E7846">
      <w:pPr>
        <w:pStyle w:val="Heading3"/>
      </w:pPr>
      <w:bookmarkStart w:id="33" w:name="_Toc247691508"/>
      <w:bookmarkStart w:id="34" w:name="_Toc314842490"/>
      <w:bookmarkStart w:id="35" w:name="_Toc479595217"/>
      <w:r w:rsidRPr="008751DC">
        <w:t xml:space="preserve">Drug </w:t>
      </w:r>
      <w:r>
        <w:t>p</w:t>
      </w:r>
      <w:r w:rsidRPr="008751DC">
        <w:t>roduct</w:t>
      </w:r>
      <w:bookmarkEnd w:id="33"/>
      <w:bookmarkEnd w:id="34"/>
      <w:bookmarkEnd w:id="35"/>
    </w:p>
    <w:p w:rsidR="004540DA" w:rsidRPr="001F00FD" w:rsidRDefault="004540DA" w:rsidP="004540DA">
      <w:pPr>
        <w:pStyle w:val="Heading4"/>
        <w:rPr>
          <w:sz w:val="20"/>
        </w:rPr>
      </w:pPr>
      <w:r w:rsidRPr="001F00FD">
        <w:t>Film coated tablets</w:t>
      </w:r>
    </w:p>
    <w:p w:rsidR="004540DA" w:rsidRPr="004540DA" w:rsidRDefault="004540DA" w:rsidP="004540DA">
      <w:r w:rsidRPr="004540DA">
        <w:t xml:space="preserve">The proposed tablets are round, white to off-white (10 mg) or oval, grey, yellow, purple and green-grey (25 mg, 50 mg, 75 mg and 100 mg, respectively) film coated tablets, </w:t>
      </w:r>
      <w:proofErr w:type="spellStart"/>
      <w:r w:rsidRPr="004540DA">
        <w:t>debossed</w:t>
      </w:r>
      <w:proofErr w:type="spellEnd"/>
      <w:r w:rsidRPr="004540DA">
        <w:t xml:space="preserve"> with “u10”, “u25”, “u50”, “u75” and “u100” (respectively) on one side and plain on the other side. These will be packaged in PVC/PCTFE//aluminium blister packs containing 14, 56, 100 tablets and a multipack of 168 (3 x 56) tablets.</w:t>
      </w:r>
    </w:p>
    <w:p w:rsidR="004540DA" w:rsidRPr="004540DA" w:rsidRDefault="004540DA" w:rsidP="004540DA">
      <w:r w:rsidRPr="004540DA">
        <w:t xml:space="preserve">No overage is employed; however, a manufacturing excess of </w:t>
      </w:r>
      <w:r w:rsidR="00564BD9">
        <w:t xml:space="preserve">approximately </w:t>
      </w:r>
      <w:r w:rsidRPr="004540DA">
        <w:t>25% of each film coating solution is used to accommodate losses during the coating process.</w:t>
      </w:r>
    </w:p>
    <w:p w:rsidR="00376D5E" w:rsidRDefault="00564BD9" w:rsidP="004540DA">
      <w:r>
        <w:t xml:space="preserve">Early Phase I and Phase </w:t>
      </w:r>
      <w:proofErr w:type="spellStart"/>
      <w:r>
        <w:t>II</w:t>
      </w:r>
      <w:r w:rsidR="004540DA" w:rsidRPr="004540DA">
        <w:t>a</w:t>
      </w:r>
      <w:proofErr w:type="spellEnd"/>
      <w:r w:rsidR="004540DA" w:rsidRPr="004540DA">
        <w:t xml:space="preserve"> clinica</w:t>
      </w:r>
      <w:r w:rsidR="00CE754D">
        <w:t>l studies (including the Phase I</w:t>
      </w:r>
      <w:r w:rsidR="004540DA" w:rsidRPr="004540DA">
        <w:t xml:space="preserve"> single ascending dose </w:t>
      </w:r>
      <w:r w:rsidR="00CE754D">
        <w:t>S</w:t>
      </w:r>
      <w:r w:rsidR="004540DA" w:rsidRPr="004540DA">
        <w:t>tudy N01066 and multiple ascending dose study N01067) were conducted using a range of capsules that were filled with the pure active substance (10 mg, 20 mg, 40 mg, 80 mg, 100 mg, 150 mg, and 200 mg) by a hand-filling process. Brivaracetam was subsequently formulated with excipients to improve the flow properties and to enable homogeneous filling of the blend into capsules (Formulation F2) at strengths of 25 mg, 50 mg, and 200 mg. The</w:t>
      </w:r>
      <w:r w:rsidR="003732BD">
        <w:t xml:space="preserve">se capsules were used in Phase </w:t>
      </w:r>
      <w:proofErr w:type="spellStart"/>
      <w:r w:rsidR="003732BD">
        <w:t>II</w:t>
      </w:r>
      <w:r w:rsidR="004540DA" w:rsidRPr="004540DA">
        <w:t>b</w:t>
      </w:r>
      <w:proofErr w:type="spellEnd"/>
      <w:r w:rsidR="004540DA" w:rsidRPr="004540DA">
        <w:t xml:space="preserve"> study N01114</w:t>
      </w:r>
      <w:r w:rsidR="00376D5E">
        <w:t>.</w:t>
      </w:r>
    </w:p>
    <w:p w:rsidR="004540DA" w:rsidRPr="004540DA" w:rsidRDefault="004540DA" w:rsidP="004540DA">
      <w:r w:rsidRPr="004540DA">
        <w:t>White film-coated tablets (Formulation F3) containing 2.5 mg brivaracetam (core weight: 67.5 mg) and 10 mg brivaracetam (core weight: 67.5 mg) were then developed and</w:t>
      </w:r>
      <w:r w:rsidR="00E5191D">
        <w:t xml:space="preserve"> were used in the N01193 Phase II</w:t>
      </w:r>
      <w:r w:rsidRPr="004540DA">
        <w:t xml:space="preserve"> dose ranging study. These tablets were not homothetic; also, the 2.5 mg tablets were manufactured using a wet granulation process and 10 mg tablets were manufactured using a dry granulation process.</w:t>
      </w:r>
    </w:p>
    <w:p w:rsidR="004540DA" w:rsidRPr="004540DA" w:rsidRDefault="004540DA" w:rsidP="004540DA">
      <w:r w:rsidRPr="004540DA">
        <w:lastRenderedPageBreak/>
        <w:t xml:space="preserve">Homothetic, white film coated tablets with brivaracetam strengths of 10 mg (core weight: 54 mg), 25 mg (core weight: 135 mg), 50 mg (core weight: 270 mg) and 100 mg (core weight: 540 mg) were subsequently developed (Formulation F4), all of which were manufactured via a dry granulation process. F4 tablets were used in Phase </w:t>
      </w:r>
      <w:r w:rsidR="00E5191D">
        <w:t>I</w:t>
      </w:r>
      <w:r w:rsidRPr="004540DA">
        <w:t xml:space="preserve"> bioavailability/bio</w:t>
      </w:r>
      <w:r w:rsidR="00627D2A">
        <w:t xml:space="preserve">equivalence studies and Phase III </w:t>
      </w:r>
      <w:r w:rsidRPr="004540DA">
        <w:t>Efficacy studies. The 50 mg F4 tablet batch 14914 was used as the reference formulation in bioequivalence studies, except in N01256A where a low dose of 10 mg was preferred for the first exposure to brivaracetam solution for injection.</w:t>
      </w:r>
    </w:p>
    <w:p w:rsidR="004540DA" w:rsidRPr="004540DA" w:rsidRDefault="004540DA" w:rsidP="004540DA">
      <w:r w:rsidRPr="004540DA">
        <w:t>In the tablets originally proposed for commercialisation (Formulation F5), the formulation of the 10 mg tablet was revised to double the core weight in order to provide a larger area for printing, and a 75 mg tablet was introduced. Thus</w:t>
      </w:r>
      <w:r w:rsidR="00E5191D">
        <w:t>,</w:t>
      </w:r>
      <w:r w:rsidRPr="004540DA">
        <w:t xml:space="preserve"> the 10 mg tablet was not homothetic with the </w:t>
      </w:r>
      <w:r w:rsidR="00E5191D">
        <w:t>25-</w:t>
      </w:r>
      <w:r w:rsidRPr="004540DA">
        <w:t xml:space="preserve">100 mg tablets in this formulation. However, these tablets have not been used in any clinical studies, and were superseded by the tablets that are the subject of the current submission, of which the 10 mg, 75 mg and 100 mg strengths were used in bioequivalence </w:t>
      </w:r>
      <w:r w:rsidR="00683CB0">
        <w:t>S</w:t>
      </w:r>
      <w:r w:rsidRPr="004540DA">
        <w:t>tudy EP0007.</w:t>
      </w:r>
    </w:p>
    <w:p w:rsidR="00376D5E" w:rsidRDefault="004540DA" w:rsidP="004540DA">
      <w:r w:rsidRPr="004540DA">
        <w:t>The development of a discriminatory dissolution method for the tablets was considered unnecessary as the drug substance is BCS 1 and is formulated in a dosage form that releases more than 85% of its nominal content within 15 minutes across the physiological pH range. As the</w:t>
      </w:r>
      <w:r w:rsidR="00270FE8">
        <w:t xml:space="preserve"> criteria stipulated in published guidelines</w:t>
      </w:r>
      <w:r w:rsidR="00270FE8">
        <w:rPr>
          <w:rStyle w:val="FootnoteReference"/>
        </w:rPr>
        <w:footnoteReference w:id="1"/>
      </w:r>
      <w:r w:rsidR="00270FE8">
        <w:t xml:space="preserve"> </w:t>
      </w:r>
      <w:r w:rsidRPr="004540DA">
        <w:t>for a very rapidly dissolving tablet for use of a disintegration test as a surrogate for dissolution testing have been met, disintegration testing has replaced dissolution testing in the commercial drug product specifications</w:t>
      </w:r>
      <w:r w:rsidR="00376D5E">
        <w:t>.</w:t>
      </w:r>
    </w:p>
    <w:p w:rsidR="004540DA" w:rsidRPr="004540DA" w:rsidRDefault="004540DA" w:rsidP="004540DA">
      <w:r w:rsidRPr="004540DA">
        <w:t xml:space="preserve">Nonetheless, in vitro dissolution testing was performed routinely during pharmaceutical development to support the formulation development activities and to characterise the dissolution behaviour of each of the </w:t>
      </w:r>
      <w:r w:rsidR="002B271D">
        <w:t>developmental formulations F1-</w:t>
      </w:r>
      <w:r w:rsidRPr="004540DA">
        <w:t xml:space="preserve">F4 and to confirm the similarity of the dissolution profiles of these and the commercial tablet formulations. In addition, dissolution testing was used during development for quality control purposes, to prove batch-to-batch consistency for the same formulation and process, and also to justify not performing bioequivalence studies. Conditions employed for all but the proposed coloured </w:t>
      </w:r>
      <w:proofErr w:type="spellStart"/>
      <w:r w:rsidRPr="004540DA">
        <w:t>debossed</w:t>
      </w:r>
      <w:proofErr w:type="spellEnd"/>
      <w:r w:rsidRPr="004540DA">
        <w:t xml:space="preserve"> tablets were USP/</w:t>
      </w:r>
      <w:proofErr w:type="spellStart"/>
      <w:r w:rsidRPr="004540DA">
        <w:t>Ph</w:t>
      </w:r>
      <w:proofErr w:type="spellEnd"/>
      <w:r w:rsidRPr="004540DA">
        <w:t xml:space="preserve"> </w:t>
      </w:r>
      <w:proofErr w:type="spellStart"/>
      <w:r w:rsidRPr="004540DA">
        <w:t>Eur</w:t>
      </w:r>
      <w:proofErr w:type="spellEnd"/>
      <w:r w:rsidRPr="004540DA">
        <w:t xml:space="preserve"> Apparatus 2 (paddles, with </w:t>
      </w:r>
      <w:r w:rsidR="002B271D">
        <w:t>Japanese sinkers for capsules) at</w:t>
      </w:r>
      <w:r w:rsidRPr="004540DA">
        <w:t xml:space="preserve"> 5</w:t>
      </w:r>
      <w:r w:rsidR="00050251">
        <w:t>0 rpm in 500 mL of medium at 37</w:t>
      </w:r>
      <w:r w:rsidRPr="004540DA">
        <w:t>C for 2.5</w:t>
      </w:r>
      <w:r w:rsidR="00050251">
        <w:t xml:space="preserve"> </w:t>
      </w:r>
      <w:r w:rsidRPr="004540DA">
        <w:t xml:space="preserve">mg, and 900 mL for all other strengths. For the coloured </w:t>
      </w:r>
      <w:proofErr w:type="spellStart"/>
      <w:r w:rsidRPr="004540DA">
        <w:t>debossed</w:t>
      </w:r>
      <w:proofErr w:type="spellEnd"/>
      <w:r w:rsidRPr="004540DA">
        <w:t xml:space="preserve"> tablets proposed for Australia, conditions were as </w:t>
      </w:r>
      <w:r w:rsidR="00C71F1F">
        <w:t>used in stability trials; that is, USP/</w:t>
      </w:r>
      <w:proofErr w:type="spellStart"/>
      <w:r w:rsidR="00C71F1F">
        <w:t>Ph</w:t>
      </w:r>
      <w:proofErr w:type="spellEnd"/>
      <w:r w:rsidR="00C71F1F">
        <w:t xml:space="preserve"> </w:t>
      </w:r>
      <w:proofErr w:type="spellStart"/>
      <w:r w:rsidR="00C71F1F">
        <w:t>Eur</w:t>
      </w:r>
      <w:proofErr w:type="spellEnd"/>
      <w:r w:rsidR="00C71F1F">
        <w:t xml:space="preserve"> Apparatus 2 at</w:t>
      </w:r>
      <w:r w:rsidRPr="004540DA">
        <w:t xml:space="preserve"> 50 r</w:t>
      </w:r>
      <w:r w:rsidR="00050251">
        <w:t>pm in 900 mL of medium at 37</w:t>
      </w:r>
      <w:r w:rsidRPr="004540DA">
        <w:t>C.</w:t>
      </w:r>
    </w:p>
    <w:p w:rsidR="004540DA" w:rsidRPr="004540DA" w:rsidRDefault="004540DA" w:rsidP="004540DA">
      <w:r w:rsidRPr="004540DA">
        <w:t xml:space="preserve">The common release and expiry limit proposed for the ucb-42144/42145 </w:t>
      </w:r>
      <w:proofErr w:type="spellStart"/>
      <w:r w:rsidRPr="004540DA">
        <w:t>degradant</w:t>
      </w:r>
      <w:proofErr w:type="spellEnd"/>
      <w:r w:rsidRPr="004540DA">
        <w:t xml:space="preserve"> pair in the finished products (≤ 0.20%) has been accepted by the </w:t>
      </w:r>
      <w:r w:rsidR="00C71F1F">
        <w:t>t</w:t>
      </w:r>
      <w:r w:rsidRPr="004540DA">
        <w:t>oxicology evaluator. An acceptable justification was given for the revised common release and expiry limits proposed for Total Unspecified Impurities (≤ 0.30%) and Total Specified and Unspecified Impurities (≤ 0.50%).</w:t>
      </w:r>
    </w:p>
    <w:p w:rsidR="004540DA" w:rsidRPr="004540DA" w:rsidRDefault="004540DA" w:rsidP="004540DA">
      <w:r w:rsidRPr="004540DA">
        <w:t>The stability data support a (revised) shelf li</w:t>
      </w:r>
      <w:r w:rsidR="006B4F1A">
        <w:t>fe of 36 months stored below 30</w:t>
      </w:r>
      <w:r w:rsidRPr="004540DA">
        <w:t xml:space="preserve">C for all strengths of the tablets packaged in the PVC/PCTFE//aluminium blisters proposed for Australia. A number of issues relating to the quality control of the tablets were raised with </w:t>
      </w:r>
      <w:r w:rsidR="00A10297">
        <w:t>the sponsor</w:t>
      </w:r>
      <w:r w:rsidRPr="004540DA">
        <w:t>, of which all but confirmation of the stability of the bulk tablets packaged in the actual commercial packaging options and the provision of an acceptable formal composite release and expiry specification have been resolved.</w:t>
      </w:r>
    </w:p>
    <w:p w:rsidR="004540DA" w:rsidRPr="00091CAF" w:rsidRDefault="004540DA" w:rsidP="004540DA">
      <w:pPr>
        <w:pStyle w:val="Heading4"/>
      </w:pPr>
      <w:r w:rsidRPr="00091CAF">
        <w:lastRenderedPageBreak/>
        <w:t>Oral solution</w:t>
      </w:r>
    </w:p>
    <w:p w:rsidR="004540DA" w:rsidRPr="004540DA" w:rsidRDefault="004540DA" w:rsidP="004540DA">
      <w:r w:rsidRPr="004540DA">
        <w:t>The proposed oral solution is a slightly viscous, clear, and colourless to yellowish liquid which will be packaged in a 300 mL capacity Type III amber glass bottle with a tamper evident, polypropylene child</w:t>
      </w:r>
      <w:r w:rsidR="006B4F1A">
        <w:t xml:space="preserve"> </w:t>
      </w:r>
      <w:r w:rsidRPr="004540DA">
        <w:t>resistant screw cap. The bottle will also be supplied with a 10 mL oral syringe and an adaptor for the syringe.</w:t>
      </w:r>
    </w:p>
    <w:p w:rsidR="00376D5E" w:rsidRDefault="004540DA" w:rsidP="004540DA">
      <w:r w:rsidRPr="004540DA">
        <w:t xml:space="preserve">Whilst aqueous solutions having a brivaracetam concentration of 1 mg/mL and 10 mg/mL were developed for use in clinical trials, the latter was more appropriate for the therapeutic doses required in adults and adolescents, and is identical to that used in </w:t>
      </w:r>
      <w:r w:rsidR="00BE1DF3">
        <w:t>Phase III</w:t>
      </w:r>
      <w:r w:rsidRPr="004540DA">
        <w:t xml:space="preserve"> bioequivalence </w:t>
      </w:r>
      <w:r w:rsidR="000F2949">
        <w:t>S</w:t>
      </w:r>
      <w:r w:rsidRPr="004540DA">
        <w:t xml:space="preserve">tudy N01296, the finalised Phase </w:t>
      </w:r>
      <w:r w:rsidR="000F2949">
        <w:t>II</w:t>
      </w:r>
      <w:r w:rsidRPr="004540DA">
        <w:t xml:space="preserve"> paediatric pharmacokinetic study N01263, and intended for commercialisation</w:t>
      </w:r>
      <w:r w:rsidR="00376D5E">
        <w:t>.</w:t>
      </w:r>
    </w:p>
    <w:p w:rsidR="004540DA" w:rsidRPr="004540DA" w:rsidRDefault="004540DA" w:rsidP="004540DA">
      <w:r w:rsidRPr="004540DA">
        <w:t xml:space="preserve">The 1 mg/mL oral solution, which was also used in </w:t>
      </w:r>
      <w:r w:rsidR="00301F96">
        <w:t>S</w:t>
      </w:r>
      <w:r w:rsidRPr="004540DA">
        <w:t xml:space="preserve">tudy N01263, was quantitatively identical to the 10 mg/mL formulation other than the concentrations of brivaracetam (1.00 mg/mL </w:t>
      </w:r>
      <w:r w:rsidR="00301F96">
        <w:t>versus</w:t>
      </w:r>
      <w:r w:rsidRPr="004540DA">
        <w:t xml:space="preserve"> 10.00 mg/</w:t>
      </w:r>
      <w:r w:rsidR="00301F96">
        <w:t>mL) and sucralose (4.00 mg/mL versus</w:t>
      </w:r>
      <w:r w:rsidRPr="004540DA">
        <w:t xml:space="preserve"> 40.00 mg/mL).</w:t>
      </w:r>
    </w:p>
    <w:p w:rsidR="004540DA" w:rsidRPr="004540DA" w:rsidRDefault="004540DA" w:rsidP="004540DA">
      <w:r w:rsidRPr="004540DA">
        <w:t xml:space="preserve">A pH of 5.5 was established during pre-formulation studies as being optimal for the stability of brivaracetam aqueous solutions, on the </w:t>
      </w:r>
      <w:r w:rsidR="00301F96">
        <w:t>basis of which a range of 4.9-</w:t>
      </w:r>
      <w:r w:rsidRPr="004540DA">
        <w:t>5.9 was chosen for development. Anhydrous citric acid/sodium citrate buffer was selected as appropriate for the desired pH range and based on taste considerations with citric acid considered as a flavour enhancer for its acidic taste.</w:t>
      </w:r>
    </w:p>
    <w:p w:rsidR="004540DA" w:rsidRPr="004540DA" w:rsidRDefault="004540DA" w:rsidP="004540DA">
      <w:r w:rsidRPr="004540DA">
        <w:t xml:space="preserve">Several sweeteners and flavours were evaluated to mask the bitter taste of brivaracetam, with sucralose and sorbitol solution finally selected as sweeteners and </w:t>
      </w:r>
      <w:r w:rsidR="00301F96">
        <w:t>r</w:t>
      </w:r>
      <w:r w:rsidRPr="004540DA">
        <w:t xml:space="preserve">aspberry </w:t>
      </w:r>
      <w:r w:rsidR="00301F96">
        <w:t>f</w:t>
      </w:r>
      <w:r w:rsidRPr="004540DA">
        <w:t>lavour 7557-A chosen on the basis of marketing considerations and its being alcohol</w:t>
      </w:r>
      <w:r w:rsidR="00301F96">
        <w:t xml:space="preserve"> </w:t>
      </w:r>
      <w:r w:rsidRPr="004540DA">
        <w:t xml:space="preserve">free. Various thickeners were also evaluated to adjust the solution viscosity, with </w:t>
      </w:r>
      <w:proofErr w:type="spellStart"/>
      <w:r w:rsidRPr="004540DA">
        <w:t>carmellose</w:t>
      </w:r>
      <w:proofErr w:type="spellEnd"/>
      <w:r w:rsidRPr="004540DA">
        <w:t xml:space="preserve"> sodium and glycerol providing the desired consistency.</w:t>
      </w:r>
    </w:p>
    <w:p w:rsidR="004540DA" w:rsidRPr="004540DA" w:rsidRDefault="004540DA" w:rsidP="004540DA">
      <w:r w:rsidRPr="004540DA">
        <w:t xml:space="preserve">Studies were also performed to establish the minimum concentration of methyl </w:t>
      </w:r>
      <w:proofErr w:type="spellStart"/>
      <w:r w:rsidRPr="004540DA">
        <w:t>hydroxybenzoate</w:t>
      </w:r>
      <w:proofErr w:type="spellEnd"/>
      <w:r w:rsidRPr="004540DA">
        <w:t xml:space="preserve"> needed to meet </w:t>
      </w:r>
      <w:proofErr w:type="spellStart"/>
      <w:r w:rsidRPr="004540DA">
        <w:t>compendial</w:t>
      </w:r>
      <w:proofErr w:type="spellEnd"/>
      <w:r w:rsidRPr="004540DA">
        <w:t xml:space="preserve"> requirements for antimicrobial effectiveness (determined to be 0.8 mg/mL for batch release purposes), and a concentration of 1 mg/mL was subsequently confirmed in stability studies as suitable to retain compliance throughout the shelf life of the oral solution.</w:t>
      </w:r>
    </w:p>
    <w:p w:rsidR="004540DA" w:rsidRPr="004540DA" w:rsidRDefault="004540DA" w:rsidP="004540DA">
      <w:r w:rsidRPr="004540DA">
        <w:t>As neither brivaracetam nor the oral solution was shown to be susceptible to oxidation during forced degradation studies, no antioxidant is included in the formulation.</w:t>
      </w:r>
    </w:p>
    <w:p w:rsidR="004540DA" w:rsidRPr="004540DA" w:rsidRDefault="004540DA" w:rsidP="004540DA">
      <w:r w:rsidRPr="004540DA">
        <w:t>No overage of brivaracetam is used in the oral solution formulation.</w:t>
      </w:r>
    </w:p>
    <w:p w:rsidR="004540DA" w:rsidRPr="004540DA" w:rsidRDefault="004540DA" w:rsidP="004540DA">
      <w:r w:rsidRPr="004540DA">
        <w:t xml:space="preserve">On the basis of the submitted stability data, the company was requested to apply a tighter lower release limit to the content of methyl </w:t>
      </w:r>
      <w:proofErr w:type="spellStart"/>
      <w:r w:rsidRPr="004540DA">
        <w:t>hydroxybenzoate</w:t>
      </w:r>
      <w:proofErr w:type="spellEnd"/>
      <w:r w:rsidRPr="004540DA">
        <w:t xml:space="preserve"> in the oral solution to ensure a batch released at this limit will comply with the shelf life lower limit after 36 months storage at either 25C or 30C. The amended lower release limit is now acceptable for this purpose.</w:t>
      </w:r>
    </w:p>
    <w:p w:rsidR="004540DA" w:rsidRPr="004540DA" w:rsidRDefault="004540DA" w:rsidP="004540DA">
      <w:r w:rsidRPr="004540DA">
        <w:t xml:space="preserve">The Toxicology evaluator has accepted the expiry limit applied to the ucb-42144/42145 </w:t>
      </w:r>
      <w:proofErr w:type="spellStart"/>
      <w:r w:rsidRPr="004540DA">
        <w:t>degradant</w:t>
      </w:r>
      <w:proofErr w:type="spellEnd"/>
      <w:r w:rsidRPr="004540DA">
        <w:t xml:space="preserve"> pair in the finished product (≤ 1.0%); however, as the stability data clearly indicate levels of this impurity increase with storage, the company was requested to tighten this to ≤ 0.60% in order to ensure a batch released at this limit will comply with the shelf life limit after 36 months storage at 30C. This matter remains unresolved.</w:t>
      </w:r>
    </w:p>
    <w:p w:rsidR="004540DA" w:rsidRPr="004540DA" w:rsidRDefault="004540DA" w:rsidP="004540DA">
      <w:r w:rsidRPr="004540DA">
        <w:t>A number of other matters relating to the quality control of the oral solution were raised with the company, of which several also remain unresolved at this time.</w:t>
      </w:r>
    </w:p>
    <w:p w:rsidR="00376D5E" w:rsidRDefault="004540DA" w:rsidP="004540DA">
      <w:r w:rsidRPr="004540DA">
        <w:t>The company originally requested a shelf li</w:t>
      </w:r>
      <w:r w:rsidR="00FB3713">
        <w:t>fe of 36 months stored below 25</w:t>
      </w:r>
      <w:r w:rsidRPr="004540DA">
        <w:t>C for the oral solution, but amended th</w:t>
      </w:r>
      <w:r w:rsidR="00FB3713">
        <w:t>is to 36 months stored below 30</w:t>
      </w:r>
      <w:r w:rsidRPr="004540DA">
        <w:t xml:space="preserve">C once further stability data obtained at the higher temperature became available. However, because of the increases in the ucb-42144/42145 </w:t>
      </w:r>
      <w:proofErr w:type="spellStart"/>
      <w:r w:rsidRPr="004540DA">
        <w:t>degradant</w:t>
      </w:r>
      <w:proofErr w:type="spellEnd"/>
      <w:r w:rsidRPr="004540DA">
        <w:t xml:space="preserve"> pair in the finished product, this can only be accepted with a further tightened release l</w:t>
      </w:r>
      <w:r w:rsidR="00301F96">
        <w:t>imit for this impurity pair. The sponsor</w:t>
      </w:r>
      <w:r w:rsidRPr="004540DA">
        <w:t xml:space="preserve"> has been advised that the alternatives are to accept either a lower maximum recommended storage </w:t>
      </w:r>
      <w:r w:rsidRPr="004540DA">
        <w:lastRenderedPageBreak/>
        <w:t xml:space="preserve">temperature of </w:t>
      </w:r>
      <w:r w:rsidR="00FB3713">
        <w:t>25</w:t>
      </w:r>
      <w:r w:rsidRPr="004540DA">
        <w:t>C in conjunction with a 36 months shelf life, or to accept a reduced shelf life of 24 months in conjunction with the release limit (as amended) currently in place. This matter remains unresolved</w:t>
      </w:r>
      <w:r w:rsidR="00376D5E">
        <w:t>.</w:t>
      </w:r>
    </w:p>
    <w:p w:rsidR="004540DA" w:rsidRPr="004540DA" w:rsidRDefault="004540DA" w:rsidP="004540DA">
      <w:r w:rsidRPr="004540DA">
        <w:t>An in-use shelf life of 5 months store</w:t>
      </w:r>
      <w:r w:rsidR="00FB3713">
        <w:t>d below 30</w:t>
      </w:r>
      <w:r w:rsidRPr="004540DA">
        <w:t>C has been conditionally accepted for the oral solution.</w:t>
      </w:r>
    </w:p>
    <w:p w:rsidR="004540DA" w:rsidRPr="00BF4C01" w:rsidRDefault="004540DA" w:rsidP="004540DA">
      <w:pPr>
        <w:pStyle w:val="Heading4"/>
      </w:pPr>
      <w:r>
        <w:t>Solution for injection</w:t>
      </w:r>
    </w:p>
    <w:p w:rsidR="00376D5E" w:rsidRDefault="004540DA" w:rsidP="004540DA">
      <w:r w:rsidRPr="004540DA">
        <w:t xml:space="preserve">The solution for injection is a clear, colourless solution to be packaged in a clear, colourless Type I glass vial with a 20 mm </w:t>
      </w:r>
      <w:proofErr w:type="spellStart"/>
      <w:r w:rsidRPr="004540DA">
        <w:t>bromobutyl</w:t>
      </w:r>
      <w:proofErr w:type="spellEnd"/>
      <w:r w:rsidRPr="004540DA">
        <w:t xml:space="preserve"> rubber stopper and a 20 mm aluminium cap with polypropylene tear-off seal (packs of 10)</w:t>
      </w:r>
      <w:r w:rsidR="00376D5E">
        <w:t>.</w:t>
      </w:r>
    </w:p>
    <w:p w:rsidR="004540DA" w:rsidRPr="004540DA" w:rsidRDefault="004540DA" w:rsidP="004540DA">
      <w:r w:rsidRPr="004540DA">
        <w:t xml:space="preserve">The commercial formulation is a simple aqueous solution containing brivaracetam (10.00 mg/mL), sodium chloride (9.00 mg/mL), sodium acetate </w:t>
      </w:r>
      <w:proofErr w:type="spellStart"/>
      <w:r w:rsidRPr="004540DA">
        <w:t>trihydrate</w:t>
      </w:r>
      <w:proofErr w:type="spellEnd"/>
      <w:r w:rsidRPr="004540DA">
        <w:t xml:space="preserve"> (1.64 mg/mL) and acetic acid (</w:t>
      </w:r>
      <w:proofErr w:type="spellStart"/>
      <w:r w:rsidRPr="004540DA">
        <w:t>q.s</w:t>
      </w:r>
      <w:proofErr w:type="spellEnd"/>
      <w:r w:rsidRPr="004540DA">
        <w:t>. to pH 5.5) in water for injections. No overage is employed; however, each vial contains 5.4 ± 0.2 mL of the solution for injection to ensure withdrawal of the nominal volume (5.0 mL).</w:t>
      </w:r>
    </w:p>
    <w:p w:rsidR="004540DA" w:rsidRPr="004540DA" w:rsidRDefault="004540DA" w:rsidP="004540DA">
      <w:r w:rsidRPr="004540DA">
        <w:t>The density of the solution is 1.006 g/cm</w:t>
      </w:r>
      <w:r w:rsidRPr="00FB3713">
        <w:rPr>
          <w:vertAlign w:val="superscript"/>
        </w:rPr>
        <w:t>3</w:t>
      </w:r>
      <w:r w:rsidRPr="004540DA">
        <w:t xml:space="preserve"> at 20C, comparable to that of </w:t>
      </w:r>
      <w:r w:rsidR="00301F96" w:rsidRPr="00301F96">
        <w:t xml:space="preserve">Water for Injection </w:t>
      </w:r>
      <w:r w:rsidR="00301F96">
        <w:t>(</w:t>
      </w:r>
      <w:r w:rsidRPr="004540DA">
        <w:t>WFI</w:t>
      </w:r>
      <w:r w:rsidR="00301F96">
        <w:t>)</w:t>
      </w:r>
      <w:r w:rsidRPr="004540DA">
        <w:t>, and the thermodynamic solubility of brivaracetam in acetate buffer is similar to the solubility of brivaracetam in water (800 g/L at 37C).</w:t>
      </w:r>
    </w:p>
    <w:p w:rsidR="004540DA" w:rsidRPr="004540DA" w:rsidRDefault="004540DA" w:rsidP="004540DA">
      <w:r w:rsidRPr="004540DA">
        <w:t>Brivaracetam solution for injection is a single use vial; as such, it contains no antimicrobial preservatives or antioxidants.</w:t>
      </w:r>
    </w:p>
    <w:p w:rsidR="004540DA" w:rsidRPr="004540DA" w:rsidRDefault="004540DA" w:rsidP="004540DA">
      <w:r w:rsidRPr="004540DA">
        <w:t xml:space="preserve">The initial formulation differed from that proposed for marketing in containing 2.70 mg/mL of sodium acetate (20 </w:t>
      </w:r>
      <w:proofErr w:type="spellStart"/>
      <w:r w:rsidRPr="004540DA">
        <w:t>mM</w:t>
      </w:r>
      <w:proofErr w:type="spellEnd"/>
      <w:r w:rsidRPr="004540DA">
        <w:t xml:space="preserve">) instead of 1.64 mg/mL (12 </w:t>
      </w:r>
      <w:proofErr w:type="spellStart"/>
      <w:r w:rsidRPr="004540DA">
        <w:t>mM</w:t>
      </w:r>
      <w:proofErr w:type="spellEnd"/>
      <w:r w:rsidRPr="004540DA">
        <w:t xml:space="preserve">). The reduction was shown to have no impact on product pH or relative stability; however, </w:t>
      </w:r>
      <w:proofErr w:type="spellStart"/>
      <w:r w:rsidRPr="004540DA">
        <w:t>osmolarity</w:t>
      </w:r>
      <w:proofErr w:type="spellEnd"/>
      <w:r w:rsidRPr="004540DA">
        <w:t xml:space="preserve"> decreased </w:t>
      </w:r>
      <w:proofErr w:type="gramStart"/>
      <w:r w:rsidRPr="004540DA">
        <w:t xml:space="preserve">from 378.7 </w:t>
      </w:r>
      <w:proofErr w:type="spellStart"/>
      <w:r w:rsidRPr="004540DA">
        <w:t>mOsm</w:t>
      </w:r>
      <w:proofErr w:type="spellEnd"/>
      <w:r w:rsidRPr="004540DA">
        <w:t>/kg</w:t>
      </w:r>
      <w:proofErr w:type="gramEnd"/>
      <w:r w:rsidRPr="004540DA">
        <w:t xml:space="preserve">  </w:t>
      </w:r>
      <w:r w:rsidR="00627D2A" w:rsidRPr="00BF11C3">
        <w:sym w:font="Wingdings" w:char="F0E0"/>
      </w:r>
      <w:r w:rsidRPr="004540DA">
        <w:t xml:space="preserve"> 360 </w:t>
      </w:r>
      <w:proofErr w:type="spellStart"/>
      <w:r w:rsidRPr="004540DA">
        <w:t>mOsm</w:t>
      </w:r>
      <w:proofErr w:type="spellEnd"/>
      <w:r w:rsidRPr="004540DA">
        <w:t xml:space="preserve">/kg. The impact was minimal, as both formulations are hyperosmotic in conjunction with human blood. A difference in haemolysis (0.0% </w:t>
      </w:r>
      <w:r w:rsidRPr="004540DA">
        <w:sym w:font="Wingdings 3" w:char="F05B"/>
      </w:r>
      <w:r w:rsidRPr="004540DA">
        <w:t xml:space="preserve"> 0.1%) was regarded as being irrelevant, as both formulations are considered non-haemolytic.</w:t>
      </w:r>
    </w:p>
    <w:p w:rsidR="004540DA" w:rsidRPr="004540DA" w:rsidRDefault="004540DA" w:rsidP="004540DA">
      <w:r w:rsidRPr="004540DA">
        <w:t>The initial formulation (Lot No: 15684; 3000 vials) was used in one clinical study (safety/absolute bioavailability Study N01256)</w:t>
      </w:r>
      <w:proofErr w:type="gramStart"/>
      <w:r w:rsidRPr="004540DA">
        <w:t>,</w:t>
      </w:r>
      <w:proofErr w:type="gramEnd"/>
      <w:r w:rsidRPr="004540DA">
        <w:t xml:space="preserve"> whilst the commercial formulation was used two other studies (safety Study N01258 and bioavailability/bioequivalence Study EP0007).</w:t>
      </w:r>
    </w:p>
    <w:p w:rsidR="004540DA" w:rsidRDefault="004540DA" w:rsidP="004540DA">
      <w:r w:rsidRPr="004540DA">
        <w:t>The solution for injection has been shown to be stable upon dilution with 0.9% sodium chloride, 5% glucose or Lactated Ringer’s solution in two separate perfusion bags (PVC and polyolefin) at 2 concentrations: 10 mg/100 mL and 15 mg/100 mL, and to be qualitatively compatible with nasogastric and gastronomy feeding tubes, and with a number of other anti-epileptic drugs, as tabulated below.</w:t>
      </w:r>
    </w:p>
    <w:p w:rsidR="000D45BE" w:rsidRPr="004540DA" w:rsidRDefault="000D45BE" w:rsidP="003444C9">
      <w:pPr>
        <w:pStyle w:val="TableTitle"/>
      </w:pPr>
      <w:proofErr w:type="gramStart"/>
      <w:r>
        <w:lastRenderedPageBreak/>
        <w:t xml:space="preserve">Table 2: </w:t>
      </w:r>
      <w:r w:rsidR="00610DE2">
        <w:t>Stability for solutions of injection.</w:t>
      </w:r>
      <w:proofErr w:type="gramEnd"/>
    </w:p>
    <w:p w:rsidR="004540DA" w:rsidRPr="00BF4C01" w:rsidRDefault="00610DE2" w:rsidP="00610DE2">
      <w:pPr>
        <w:spacing w:before="60" w:after="60"/>
        <w:rPr>
          <w:rFonts w:cs="Calibri"/>
          <w:color w:val="000000" w:themeColor="text1"/>
        </w:rPr>
      </w:pPr>
      <w:r>
        <w:rPr>
          <w:noProof/>
          <w:lang w:eastAsia="en-AU"/>
        </w:rPr>
        <w:drawing>
          <wp:inline distT="0" distB="0" distL="0" distR="0" wp14:anchorId="66876B9B" wp14:editId="74380E32">
            <wp:extent cx="5004790" cy="2647833"/>
            <wp:effectExtent l="0" t="0" r="5715" b="635"/>
            <wp:docPr id="6" name="Picture 6" descr="Table 2: Stability for solutions of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7503" cy="2649268"/>
                    </a:xfrm>
                    <a:prstGeom prst="rect">
                      <a:avLst/>
                    </a:prstGeom>
                  </pic:spPr>
                </pic:pic>
              </a:graphicData>
            </a:graphic>
          </wp:inline>
        </w:drawing>
      </w:r>
    </w:p>
    <w:p w:rsidR="00376D5E" w:rsidRDefault="004540DA" w:rsidP="004540DA">
      <w:r w:rsidRPr="004540DA">
        <w:t xml:space="preserve">The </w:t>
      </w:r>
      <w:r w:rsidR="00BE36AC">
        <w:t>t</w:t>
      </w:r>
      <w:r w:rsidRPr="004540DA">
        <w:t xml:space="preserve">oxicology evaluator has accepted the expiry limit applied to the ucb-42144/42145 </w:t>
      </w:r>
      <w:proofErr w:type="spellStart"/>
      <w:r w:rsidRPr="004540DA">
        <w:t>degradant</w:t>
      </w:r>
      <w:proofErr w:type="spellEnd"/>
      <w:r w:rsidRPr="004540DA">
        <w:t xml:space="preserve"> pair in the finished product (≤ 0.5%)</w:t>
      </w:r>
      <w:r w:rsidR="00376D5E">
        <w:t>.</w:t>
      </w:r>
    </w:p>
    <w:p w:rsidR="004540DA" w:rsidRPr="004540DA" w:rsidRDefault="0052174C" w:rsidP="004540DA">
      <w:r w:rsidRPr="004540DA">
        <w:t>A number of issues relating to the quality control of the solution for injection were raised with UCB of which all</w:t>
      </w:r>
      <w:r>
        <w:t>, with the exception of</w:t>
      </w:r>
      <w:r w:rsidRPr="004540DA">
        <w:t xml:space="preserve"> the provision of an acceptable formal composite release and expiry specification</w:t>
      </w:r>
      <w:r>
        <w:t>,</w:t>
      </w:r>
      <w:r w:rsidRPr="004540DA">
        <w:t xml:space="preserve"> have been resolved</w:t>
      </w:r>
      <w:r w:rsidR="004540DA" w:rsidRPr="004540DA">
        <w:t>.</w:t>
      </w:r>
    </w:p>
    <w:p w:rsidR="00376D5E" w:rsidRDefault="004540DA" w:rsidP="004540DA">
      <w:r w:rsidRPr="004540DA">
        <w:t>The stability data in the original dossier support a shelf life of 36 months stored below 30C for the solution for injection packaged in the Type I glass vial proposed for Australia</w:t>
      </w:r>
      <w:r w:rsidR="00376D5E">
        <w:t>.</w:t>
      </w:r>
    </w:p>
    <w:p w:rsidR="008E7846" w:rsidRDefault="008E7846" w:rsidP="008E7846">
      <w:pPr>
        <w:pStyle w:val="Heading3"/>
      </w:pPr>
      <w:bookmarkStart w:id="36" w:name="_Toc314842491"/>
      <w:bookmarkStart w:id="37" w:name="_Toc479595218"/>
      <w:r>
        <w:t>Biopharmaceutics</w:t>
      </w:r>
      <w:bookmarkEnd w:id="36"/>
      <w:bookmarkEnd w:id="37"/>
    </w:p>
    <w:p w:rsidR="003444C9" w:rsidRPr="00C36A24" w:rsidRDefault="003444C9" w:rsidP="00C36A24">
      <w:r w:rsidRPr="00C36A24">
        <w:t>Four relative bioavailability and bioequivalence clinical studies were conducted to create a link between the various brivaracetam formulations that have been used during clinical development; Study ep0007, Study n01256a, Study n01287 and Study n01296. Details of these are presented below.</w:t>
      </w:r>
    </w:p>
    <w:p w:rsidR="00C36A24" w:rsidRDefault="003444C9" w:rsidP="00C36A24">
      <w:pPr>
        <w:pStyle w:val="Heading4"/>
      </w:pPr>
      <w:r w:rsidRPr="00C36A24">
        <w:t xml:space="preserve">Relative </w:t>
      </w:r>
      <w:r w:rsidR="002E352D">
        <w:t>b</w:t>
      </w:r>
      <w:r w:rsidRPr="00C36A24">
        <w:t xml:space="preserve">ioequivalence </w:t>
      </w:r>
      <w:r w:rsidR="002E352D">
        <w:t>s</w:t>
      </w:r>
      <w:r w:rsidRPr="00C36A24">
        <w:t>tudy (Study ep0007</w:t>
      </w:r>
      <w:r w:rsidR="00C36A24">
        <w:t>)</w:t>
      </w:r>
    </w:p>
    <w:p w:rsidR="003444C9" w:rsidRDefault="003444C9" w:rsidP="00C36A24">
      <w:r w:rsidRPr="00C36A24">
        <w:t>This was a single</w:t>
      </w:r>
      <w:r w:rsidR="002E352D">
        <w:t xml:space="preserve"> </w:t>
      </w:r>
      <w:r w:rsidRPr="00C36A24">
        <w:t>dose, open</w:t>
      </w:r>
      <w:r w:rsidR="002E352D">
        <w:t xml:space="preserve"> label, randomised, 5 </w:t>
      </w:r>
      <w:r w:rsidRPr="00C36A24">
        <w:t>way crossover study for which the primary objectives were to assess the bioequivalence under fasted conditions of brivaracetam 10 mg, 75 mg, and 100 mg commercial tablets v</w:t>
      </w:r>
      <w:r w:rsidR="002E352D">
        <w:t>ersus</w:t>
      </w:r>
      <w:r w:rsidRPr="00C36A24">
        <w:t xml:space="preserve"> the F4 formulation 50 mg tablet as reference, and to assess the relative bioavailability of the commercial formulation brivaracetam 100 mg solution for injection given as a t</w:t>
      </w:r>
      <w:r w:rsidR="00CC05E4">
        <w:t>wo minutes IV bolus injection versus</w:t>
      </w:r>
      <w:r w:rsidRPr="00C36A24">
        <w:t xml:space="preserve"> the commercial formulation 100 mg film coated tablets and the F4 formulation 50 mg tablet as reference in healthy volunteers. The 90% CI of the ratio of the geometric LS means (reproduced below) were completely contained in the 80.00% to 125.00% interval for </w:t>
      </w:r>
      <w:proofErr w:type="gramStart"/>
      <w:r w:rsidRPr="00C36A24">
        <w:t>AUC(</w:t>
      </w:r>
      <w:proofErr w:type="gramEnd"/>
      <w:r w:rsidRPr="00C36A24">
        <w:t>0-t), AUC(0-</w:t>
      </w:r>
      <w:r w:rsidRPr="00C36A24">
        <w:sym w:font="Symbol" w:char="F0A5"/>
      </w:r>
      <w:r w:rsidRPr="00C36A24">
        <w:t>), and Cmax for the comparison of the commercial 10 mg, 75 mg and 100 mg tablets with the 50</w:t>
      </w:r>
      <w:r w:rsidR="00CC05E4">
        <w:t xml:space="preserve"> </w:t>
      </w:r>
      <w:r w:rsidRPr="00C36A24">
        <w:t>mg clinical development tablet used as a reference suggesting that the tablet formulations were bioequivalent. The 100mg IV bolus injection also had similar bioavailability to the 50</w:t>
      </w:r>
      <w:r w:rsidR="0066334D">
        <w:t xml:space="preserve"> </w:t>
      </w:r>
      <w:r w:rsidRPr="00C36A24">
        <w:t>mg and 100</w:t>
      </w:r>
      <w:r w:rsidR="0066334D">
        <w:t xml:space="preserve"> </w:t>
      </w:r>
      <w:r w:rsidRPr="00C36A24">
        <w:t>mg tablets. However, whilst the 100</w:t>
      </w:r>
      <w:r w:rsidR="0066334D">
        <w:t xml:space="preserve"> </w:t>
      </w:r>
      <w:r w:rsidRPr="00C36A24">
        <w:t>mg IV bolus injection was bioequivalent to the 50</w:t>
      </w:r>
      <w:r w:rsidR="0066334D">
        <w:t xml:space="preserve"> </w:t>
      </w:r>
      <w:r w:rsidRPr="00C36A24">
        <w:t>mg and 100</w:t>
      </w:r>
      <w:r w:rsidR="0066334D">
        <w:t xml:space="preserve"> </w:t>
      </w:r>
      <w:r w:rsidRPr="00C36A24">
        <w:t xml:space="preserve">mg tablets with regards to </w:t>
      </w:r>
      <w:proofErr w:type="spellStart"/>
      <w:r w:rsidRPr="00C36A24">
        <w:t>AUCnorm</w:t>
      </w:r>
      <w:proofErr w:type="spellEnd"/>
      <w:r w:rsidRPr="00C36A24">
        <w:t>, it was not bioequivalent to the 50</w:t>
      </w:r>
      <w:r w:rsidR="0066334D">
        <w:t xml:space="preserve"> </w:t>
      </w:r>
      <w:r w:rsidRPr="00C36A24">
        <w:t>mg and 100</w:t>
      </w:r>
      <w:r w:rsidR="0066334D">
        <w:t xml:space="preserve"> </w:t>
      </w:r>
      <w:r w:rsidRPr="00C36A24">
        <w:t>mg tablets with regards to Cmax.</w:t>
      </w:r>
    </w:p>
    <w:p w:rsidR="00C36A24" w:rsidRPr="004540DA" w:rsidRDefault="00065F37" w:rsidP="00C36A24">
      <w:pPr>
        <w:pStyle w:val="TableTitle"/>
      </w:pPr>
      <w:proofErr w:type="gramStart"/>
      <w:r>
        <w:lastRenderedPageBreak/>
        <w:t>Table 3</w:t>
      </w:r>
      <w:r w:rsidR="00C36A24">
        <w:t xml:space="preserve">: </w:t>
      </w:r>
      <w:r w:rsidR="00595388" w:rsidRPr="00595388">
        <w:t xml:space="preserve">Bioequivalence </w:t>
      </w:r>
      <w:r w:rsidR="00595388">
        <w:t xml:space="preserve">analysis </w:t>
      </w:r>
      <w:r w:rsidR="002A36F6" w:rsidRPr="002A36F6">
        <w:t>Study ep0007</w:t>
      </w:r>
      <w:r w:rsidR="00C36A24">
        <w:t>.</w:t>
      </w:r>
      <w:proofErr w:type="gramEnd"/>
    </w:p>
    <w:p w:rsidR="003444C9" w:rsidRPr="00B27184" w:rsidRDefault="00911B0D" w:rsidP="00911B0D">
      <w:pPr>
        <w:spacing w:before="60" w:after="60"/>
        <w:rPr>
          <w:rFonts w:eastAsia="TimesNewRoman" w:cs="Calibri"/>
        </w:rPr>
      </w:pPr>
      <w:r>
        <w:rPr>
          <w:noProof/>
          <w:lang w:eastAsia="en-AU"/>
        </w:rPr>
        <w:drawing>
          <wp:inline distT="0" distB="0" distL="0" distR="0" wp14:anchorId="25857BCB" wp14:editId="0CEAD651">
            <wp:extent cx="4656148" cy="3285668"/>
            <wp:effectExtent l="0" t="0" r="0" b="0"/>
            <wp:docPr id="8" name="Picture 8" descr="Table 3: Bioequivalence analysis Study ep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58030" cy="3286996"/>
                    </a:xfrm>
                    <a:prstGeom prst="rect">
                      <a:avLst/>
                    </a:prstGeom>
                  </pic:spPr>
                </pic:pic>
              </a:graphicData>
            </a:graphic>
          </wp:inline>
        </w:drawing>
      </w:r>
    </w:p>
    <w:p w:rsidR="00C36A24" w:rsidRPr="00C36A24" w:rsidRDefault="003444C9" w:rsidP="00C36A24">
      <w:pPr>
        <w:pStyle w:val="Heading4"/>
      </w:pPr>
      <w:r w:rsidRPr="00C36A24">
        <w:t xml:space="preserve">Relative </w:t>
      </w:r>
      <w:r w:rsidR="00E2519D">
        <w:t>b</w:t>
      </w:r>
      <w:r w:rsidRPr="00C36A24">
        <w:t xml:space="preserve">ioavailability </w:t>
      </w:r>
      <w:r w:rsidR="00E2519D">
        <w:t>s</w:t>
      </w:r>
      <w:r w:rsidRPr="00C36A24">
        <w:t>tudy (Study n01256a</w:t>
      </w:r>
      <w:r w:rsidR="00C36A24" w:rsidRPr="00C36A24">
        <w:t>)</w:t>
      </w:r>
    </w:p>
    <w:p w:rsidR="003444C9" w:rsidRPr="00C36A24" w:rsidRDefault="003444C9" w:rsidP="00C36A24">
      <w:r w:rsidRPr="00C36A24">
        <w:t>This was a single</w:t>
      </w:r>
      <w:r w:rsidR="00E2519D">
        <w:t xml:space="preserve"> </w:t>
      </w:r>
      <w:r w:rsidRPr="00C36A24">
        <w:t>dose, open</w:t>
      </w:r>
      <w:r w:rsidR="00E2519D">
        <w:t xml:space="preserve"> </w:t>
      </w:r>
      <w:r w:rsidRPr="00C36A24">
        <w:t>label, randomised, 3</w:t>
      </w:r>
      <w:r w:rsidR="00E2519D">
        <w:t xml:space="preserve"> </w:t>
      </w:r>
      <w:r w:rsidR="00C36A24">
        <w:t>way crossover bioavailability</w:t>
      </w:r>
      <w:r w:rsidRPr="00C36A24">
        <w:t>/bioequivalence study of 3 different formulations of brivaracetam in 24 healthy subj</w:t>
      </w:r>
      <w:r w:rsidR="00E2519D">
        <w:t>ects (12 females, 12 males); that is</w:t>
      </w:r>
      <w:r w:rsidRPr="00C36A24">
        <w:t>, a single 10 mg F4 tablet (reference), the solution for injection (10 mg) given as an IV infusion over 15 minutes and the solution for injection (10 mg) given as a bolus IV injection over 12 seconds.</w:t>
      </w:r>
    </w:p>
    <w:p w:rsidR="003444C9" w:rsidRDefault="003444C9" w:rsidP="00C36A24">
      <w:r w:rsidRPr="00C36A24">
        <w:t>The bioequi</w:t>
      </w:r>
      <w:r w:rsidR="00064165">
        <w:t>valence analysis (IV infusion versus</w:t>
      </w:r>
      <w:r w:rsidRPr="00C36A24">
        <w:t xml:space="preserve"> 10 mg F4 tablet; reproduced below) indicate no relevant differences were found between the IV infusion and oral tablet formulations in the tested PK parameters. Bioequivalence between IV infusion and 10 mg oral tablet was concluded since the 90% CIs of the Test 1/Reference ratio of the primary PK parameters AUC and Cmax were completely included in the predefined bioequival</w:t>
      </w:r>
      <w:r w:rsidR="002A36F6">
        <w:t>ence interval [80-125%].</w:t>
      </w:r>
    </w:p>
    <w:p w:rsidR="00065F37" w:rsidRPr="004540DA" w:rsidRDefault="00065F37" w:rsidP="00065F37">
      <w:pPr>
        <w:pStyle w:val="TableTitle"/>
      </w:pPr>
      <w:proofErr w:type="gramStart"/>
      <w:r>
        <w:t xml:space="preserve">Table 4: </w:t>
      </w:r>
      <w:r w:rsidR="0001350D" w:rsidRPr="0001350D">
        <w:t xml:space="preserve">Bioequivalence </w:t>
      </w:r>
      <w:r w:rsidR="0001350D">
        <w:t>analysis of BRV IV infusion (PP population)</w:t>
      </w:r>
      <w:r>
        <w:t>.</w:t>
      </w:r>
      <w:proofErr w:type="gramEnd"/>
    </w:p>
    <w:p w:rsidR="003444C9" w:rsidRPr="00810371" w:rsidRDefault="00911B0D" w:rsidP="00911B0D">
      <w:pPr>
        <w:spacing w:before="60" w:after="60"/>
        <w:rPr>
          <w:rFonts w:cs="Calibri"/>
        </w:rPr>
      </w:pPr>
      <w:r>
        <w:rPr>
          <w:noProof/>
          <w:lang w:eastAsia="en-AU"/>
        </w:rPr>
        <w:drawing>
          <wp:inline distT="0" distB="0" distL="0" distR="0" wp14:anchorId="282CA46A" wp14:editId="53AC38D2">
            <wp:extent cx="5026396" cy="1948802"/>
            <wp:effectExtent l="0" t="0" r="3175" b="0"/>
            <wp:docPr id="7" name="Picture 7" descr="Table 4: Bioequivalence analysis of BRV IV infusion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4337" cy="1948004"/>
                    </a:xfrm>
                    <a:prstGeom prst="rect">
                      <a:avLst/>
                    </a:prstGeom>
                  </pic:spPr>
                </pic:pic>
              </a:graphicData>
            </a:graphic>
          </wp:inline>
        </w:drawing>
      </w:r>
    </w:p>
    <w:p w:rsidR="003444C9" w:rsidRDefault="003444C9" w:rsidP="00C36A24">
      <w:r w:rsidRPr="00C36A24">
        <w:t>A similar outcome was concluded from the comparison of the IV bolus injection and the 10 mg oral tablet (reproduced below).</w:t>
      </w:r>
    </w:p>
    <w:p w:rsidR="0050144E" w:rsidRPr="004540DA" w:rsidRDefault="0050144E" w:rsidP="0050144E">
      <w:pPr>
        <w:pStyle w:val="TableTitle"/>
      </w:pPr>
      <w:proofErr w:type="gramStart"/>
      <w:r>
        <w:lastRenderedPageBreak/>
        <w:t xml:space="preserve">Table 5: </w:t>
      </w:r>
      <w:r w:rsidRPr="0001350D">
        <w:t xml:space="preserve">Bioequivalence </w:t>
      </w:r>
      <w:r>
        <w:t xml:space="preserve">analysis of BRV IV </w:t>
      </w:r>
      <w:r w:rsidR="00470FFA">
        <w:t>bolus</w:t>
      </w:r>
      <w:r>
        <w:t xml:space="preserve"> (PP population).</w:t>
      </w:r>
      <w:proofErr w:type="gramEnd"/>
    </w:p>
    <w:p w:rsidR="003444C9" w:rsidRPr="003D15D7" w:rsidRDefault="00911B0D" w:rsidP="00911B0D">
      <w:pPr>
        <w:spacing w:before="60" w:after="60"/>
        <w:rPr>
          <w:rFonts w:cs="Calibri"/>
        </w:rPr>
      </w:pPr>
      <w:r>
        <w:rPr>
          <w:noProof/>
          <w:lang w:eastAsia="en-AU"/>
        </w:rPr>
        <w:drawing>
          <wp:inline distT="0" distB="0" distL="0" distR="0" wp14:anchorId="110CA09E" wp14:editId="2C7A7616">
            <wp:extent cx="5400040" cy="2065977"/>
            <wp:effectExtent l="0" t="0" r="0" b="0"/>
            <wp:docPr id="9" name="Picture 9" descr="Table 5: Bioequivalence analysis of BRV IV bolus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065977"/>
                    </a:xfrm>
                    <a:prstGeom prst="rect">
                      <a:avLst/>
                    </a:prstGeom>
                  </pic:spPr>
                </pic:pic>
              </a:graphicData>
            </a:graphic>
          </wp:inline>
        </w:drawing>
      </w:r>
    </w:p>
    <w:p w:rsidR="00C36A24" w:rsidRPr="00C36A24" w:rsidRDefault="003444C9" w:rsidP="00C36A24">
      <w:pPr>
        <w:pStyle w:val="Heading4"/>
      </w:pPr>
      <w:r w:rsidRPr="00C36A24">
        <w:t xml:space="preserve">Relative </w:t>
      </w:r>
      <w:r w:rsidR="00720AB6">
        <w:t>bioavailability</w:t>
      </w:r>
      <w:r w:rsidRPr="00C36A24">
        <w:t>/</w:t>
      </w:r>
      <w:r w:rsidR="00720AB6">
        <w:t>f</w:t>
      </w:r>
      <w:r w:rsidRPr="00C36A24">
        <w:t xml:space="preserve">ood </w:t>
      </w:r>
      <w:r w:rsidR="00720AB6">
        <w:t>e</w:t>
      </w:r>
      <w:r w:rsidRPr="00C36A24">
        <w:t xml:space="preserve">ffect </w:t>
      </w:r>
      <w:r w:rsidR="00720AB6">
        <w:t>s</w:t>
      </w:r>
      <w:r w:rsidRPr="00C36A24">
        <w:t>tudy (Study n01287</w:t>
      </w:r>
      <w:r w:rsidR="00C36A24" w:rsidRPr="00C36A24">
        <w:t>)</w:t>
      </w:r>
    </w:p>
    <w:p w:rsidR="003444C9" w:rsidRDefault="003444C9" w:rsidP="00C36A24">
      <w:r w:rsidRPr="00C36A24">
        <w:t>This was a single</w:t>
      </w:r>
      <w:r w:rsidR="00720AB6">
        <w:t xml:space="preserve"> </w:t>
      </w:r>
      <w:r w:rsidRPr="00C36A24">
        <w:t>dose, open</w:t>
      </w:r>
      <w:r w:rsidR="00720AB6">
        <w:t xml:space="preserve"> </w:t>
      </w:r>
      <w:r w:rsidRPr="00C36A24">
        <w:t>label, randomised, 5</w:t>
      </w:r>
      <w:r w:rsidR="00720AB6">
        <w:t xml:space="preserve"> </w:t>
      </w:r>
      <w:r w:rsidRPr="00C36A24">
        <w:t xml:space="preserve">way crossover study for which the primary objectives were to assess the bioequivalence under fasted conditions of brivaracetam oral formulations (2 x 25 mg and 50 mg capsules [F2] and 50 mg tablets [F4] </w:t>
      </w:r>
      <w:r w:rsidR="00C33FD5">
        <w:t>versus</w:t>
      </w:r>
      <w:r w:rsidRPr="00C36A24">
        <w:t xml:space="preserve"> an extemporaneous reference oral brivaracetam solution [“powder in water”]), to assess the bioequivalence between brivaracetam capsules (2 x 25 mg and 1 x 50 mg; F2) </w:t>
      </w:r>
      <w:r w:rsidR="00C33FD5">
        <w:t>versus</w:t>
      </w:r>
      <w:r w:rsidRPr="00C36A24">
        <w:t xml:space="preserve"> brivaracetam 50 mg tablets (F4) as reference, and to assess the rate and extent of absorption of brivaracetam 50 mg tablets taken with a high fat meal, compared with fasting conditions. The results from the bioequivalence assessment under fasted conditions are reproduced below.</w:t>
      </w:r>
    </w:p>
    <w:p w:rsidR="00065F37" w:rsidRPr="004540DA" w:rsidRDefault="00065F37" w:rsidP="00065F37">
      <w:pPr>
        <w:pStyle w:val="TableTitle"/>
      </w:pPr>
      <w:proofErr w:type="gramStart"/>
      <w:r>
        <w:lastRenderedPageBreak/>
        <w:t xml:space="preserve">Table 6: </w:t>
      </w:r>
      <w:r w:rsidR="00911B0D">
        <w:t>Inferential analysis on PK parameters of 50 mg brivaracetam after single administration (50 mg solution, 50 mg capsules, 2 x 25 mg capsules and 50 mg tablet) in fasting healthy subjects (PP population)</w:t>
      </w:r>
      <w:r>
        <w:t>.</w:t>
      </w:r>
      <w:proofErr w:type="gramEnd"/>
    </w:p>
    <w:p w:rsidR="003444C9" w:rsidRDefault="0032048C" w:rsidP="0032048C">
      <w:pPr>
        <w:spacing w:before="60" w:after="60"/>
        <w:rPr>
          <w:rFonts w:cs="Calibri"/>
        </w:rPr>
      </w:pPr>
      <w:r>
        <w:rPr>
          <w:noProof/>
          <w:lang w:eastAsia="en-AU"/>
        </w:rPr>
        <w:drawing>
          <wp:inline distT="0" distB="0" distL="0" distR="0" wp14:anchorId="7110F5AB" wp14:editId="32AD8C7F">
            <wp:extent cx="5400040" cy="4144069"/>
            <wp:effectExtent l="0" t="0" r="0" b="8890"/>
            <wp:docPr id="14" name="Picture 14" descr="Table 6: Inferential analysis on PK parameters of 50 mg brivaracetam after single administration (50 mg solution, 50 mg capsules, 2 x 25 mg capsules and 50 mg tablet) in fasting healthy subjects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144069"/>
                    </a:xfrm>
                    <a:prstGeom prst="rect">
                      <a:avLst/>
                    </a:prstGeom>
                  </pic:spPr>
                </pic:pic>
              </a:graphicData>
            </a:graphic>
          </wp:inline>
        </w:drawing>
      </w:r>
    </w:p>
    <w:p w:rsidR="00376D5E" w:rsidRDefault="003444C9" w:rsidP="00C36A24">
      <w:r w:rsidRPr="00C36A24">
        <w:t>From these, it is concluded that:</w:t>
      </w:r>
    </w:p>
    <w:p w:rsidR="003444C9" w:rsidRPr="00C36A24" w:rsidRDefault="003444C9" w:rsidP="00C36A24">
      <w:pPr>
        <w:pStyle w:val="ListBullet"/>
      </w:pPr>
      <w:proofErr w:type="spellStart"/>
      <w:r w:rsidRPr="00C36A24">
        <w:t>Brivaracetam</w:t>
      </w:r>
      <w:proofErr w:type="spellEnd"/>
      <w:r w:rsidRPr="00C36A24">
        <w:t xml:space="preserve"> plasma concentrations</w:t>
      </w:r>
      <w:r w:rsidR="00CF5B96" w:rsidRPr="00CF5B96">
        <w:t xml:space="preserve"> </w:t>
      </w:r>
      <w:r w:rsidR="00CF5B96">
        <w:t>versus</w:t>
      </w:r>
      <w:r w:rsidR="00CF5B96" w:rsidRPr="00C36A24">
        <w:t xml:space="preserve"> </w:t>
      </w:r>
      <w:r w:rsidRPr="00C36A24">
        <w:t>time profiles and all assessed pharmacokinetic parameter values were similar in all 4 formulations (2 x 25 mg or 1 x 50 mg F2 formulation capsules, 1 x 50 mg F4 formulation tablet, or an oral solution) under fasting conditions.</w:t>
      </w:r>
    </w:p>
    <w:p w:rsidR="003444C9" w:rsidRPr="00C36A24" w:rsidRDefault="003444C9" w:rsidP="00C36A24">
      <w:pPr>
        <w:pStyle w:val="ListBullet"/>
      </w:pPr>
      <w:r w:rsidRPr="00C36A24">
        <w:t>The comparison of the treatment ratios showed geometric means for brivaracetam Cmax, AUC0-t and AUC was close to 100% and the 90% confidence intervals were completely included in the bioequi</w:t>
      </w:r>
      <w:r w:rsidR="00B40603">
        <w:t xml:space="preserve">valence range of 80.00% to </w:t>
      </w:r>
      <w:r w:rsidRPr="00C36A24">
        <w:t>125.00%.</w:t>
      </w:r>
    </w:p>
    <w:p w:rsidR="003444C9" w:rsidRPr="00C36A24" w:rsidRDefault="003444C9" w:rsidP="00C36A24">
      <w:pPr>
        <w:pStyle w:val="ListBullet"/>
      </w:pPr>
      <w:r w:rsidRPr="00C36A24">
        <w:t xml:space="preserve">Bioequivalence of capsules (2 x 25 mg and 50 mg) </w:t>
      </w:r>
      <w:r w:rsidR="00C8790B">
        <w:t>versus</w:t>
      </w:r>
      <w:r w:rsidRPr="00C36A24">
        <w:t xml:space="preserve"> solution, tablet </w:t>
      </w:r>
      <w:r w:rsidR="00C8790B">
        <w:t>versus</w:t>
      </w:r>
      <w:r w:rsidR="00C8790B" w:rsidRPr="00C36A24">
        <w:t xml:space="preserve"> </w:t>
      </w:r>
      <w:r w:rsidRPr="00C36A24">
        <w:t xml:space="preserve">solution and capsules (2 x 25 mg and 50 mg) </w:t>
      </w:r>
      <w:r w:rsidR="00C8790B">
        <w:t>versus</w:t>
      </w:r>
      <w:r w:rsidRPr="00C36A24">
        <w:t xml:space="preserve"> tablet can be concluded.</w:t>
      </w:r>
    </w:p>
    <w:p w:rsidR="00376D5E" w:rsidRDefault="003444C9" w:rsidP="00C36A24">
      <w:r w:rsidRPr="00C36A24">
        <w:t>T</w:t>
      </w:r>
      <w:r w:rsidR="00CF5B96">
        <w:t>he analysis of the food effect is reproduced below</w:t>
      </w:r>
      <w:r w:rsidR="00376D5E">
        <w:t>.</w:t>
      </w:r>
    </w:p>
    <w:p w:rsidR="00FB3713" w:rsidRPr="004540DA" w:rsidRDefault="00FB3713" w:rsidP="00FB3713">
      <w:pPr>
        <w:pStyle w:val="TableTitle"/>
      </w:pPr>
      <w:proofErr w:type="gramStart"/>
      <w:r>
        <w:lastRenderedPageBreak/>
        <w:t xml:space="preserve">Table 7: </w:t>
      </w:r>
      <w:r w:rsidR="0032048C">
        <w:t>Inferential analysis on PK parameters of 50 mg brivaracetam after single administration of 50 mg brivaracetam tablet in fasting or fed healthy subjects (PP population)</w:t>
      </w:r>
      <w:r>
        <w:t>.</w:t>
      </w:r>
      <w:proofErr w:type="gramEnd"/>
    </w:p>
    <w:p w:rsidR="003444C9" w:rsidRDefault="00054B1C" w:rsidP="00054B1C">
      <w:pPr>
        <w:spacing w:before="60" w:after="60"/>
        <w:rPr>
          <w:rFonts w:cs="Calibri"/>
        </w:rPr>
      </w:pPr>
      <w:r>
        <w:rPr>
          <w:noProof/>
          <w:lang w:eastAsia="en-AU"/>
        </w:rPr>
        <w:drawing>
          <wp:inline distT="0" distB="0" distL="0" distR="0" wp14:anchorId="142D3BD7" wp14:editId="265D63A6">
            <wp:extent cx="5400040" cy="1416934"/>
            <wp:effectExtent l="0" t="0" r="0" b="0"/>
            <wp:docPr id="15" name="Picture 15" descr="Table 7: Inferential analysis on PK parameters of 50 mg brivaracetam after single administration of 50 mg brivaracetam tablet in fasting or fed healthy subjects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416934"/>
                    </a:xfrm>
                    <a:prstGeom prst="rect">
                      <a:avLst/>
                    </a:prstGeom>
                  </pic:spPr>
                </pic:pic>
              </a:graphicData>
            </a:graphic>
          </wp:inline>
        </w:drawing>
      </w:r>
    </w:p>
    <w:p w:rsidR="00376D5E" w:rsidRDefault="003444C9" w:rsidP="00C36A24">
      <w:r w:rsidRPr="00C36A24">
        <w:t>From these, it is concluded that:</w:t>
      </w:r>
    </w:p>
    <w:p w:rsidR="003444C9" w:rsidRPr="00C36A24" w:rsidRDefault="003444C9" w:rsidP="00C36A24">
      <w:pPr>
        <w:pStyle w:val="ListBullet"/>
      </w:pPr>
      <w:r w:rsidRPr="00C36A24">
        <w:t xml:space="preserve">Food intake reduced the rate of absorption of brivaracetam 50 mg tablet by </w:t>
      </w:r>
      <w:r w:rsidR="008165E9">
        <w:t xml:space="preserve">approximately </w:t>
      </w:r>
      <w:r w:rsidRPr="00C36A24">
        <w:t>37% as the geometric mean ratio of Cmax was 62.56. The c</w:t>
      </w:r>
      <w:r w:rsidR="008165E9">
        <w:t>orresponding 90% CI was 57.36-</w:t>
      </w:r>
      <w:r w:rsidRPr="00C36A24">
        <w:t>68.23, w</w:t>
      </w:r>
      <w:r w:rsidR="009865AD">
        <w:t>hich was outside of the 80.00-</w:t>
      </w:r>
      <w:r w:rsidRPr="00C36A24">
        <w:t>125.00% bioequivalence boundaries.</w:t>
      </w:r>
    </w:p>
    <w:p w:rsidR="003444C9" w:rsidRPr="00C36A24" w:rsidRDefault="003444C9" w:rsidP="00C36A24">
      <w:pPr>
        <w:pStyle w:val="ListBullet"/>
      </w:pPr>
      <w:r w:rsidRPr="00C36A24">
        <w:t>Tmax was delayed</w:t>
      </w:r>
      <w:r w:rsidR="00B92CB2">
        <w:t xml:space="preserve"> to 3.0 h</w:t>
      </w:r>
      <w:r w:rsidRPr="00C36A24">
        <w:t xml:space="preserve"> under fed conditions.</w:t>
      </w:r>
    </w:p>
    <w:p w:rsidR="003444C9" w:rsidRPr="00C36A24" w:rsidRDefault="003444C9" w:rsidP="00C36A24">
      <w:pPr>
        <w:pStyle w:val="ListBullet"/>
      </w:pPr>
      <w:r w:rsidRPr="00C36A24">
        <w:t>No significant difference was observed in the extent of absorption of brivaracetam between fasting and fed conditions. The geometric mean ratios for AUC and AUC0-t were close to 100%. Corresponding 90% CIs were within th</w:t>
      </w:r>
      <w:r w:rsidR="00B92CB2">
        <w:t>e 80.00-</w:t>
      </w:r>
      <w:r w:rsidRPr="00C36A24">
        <w:t>125.00% bioequivalence boundaries.</w:t>
      </w:r>
    </w:p>
    <w:p w:rsidR="003444C9" w:rsidRPr="00C36A24" w:rsidRDefault="003444C9" w:rsidP="00C36A24">
      <w:pPr>
        <w:pStyle w:val="ListBullet"/>
      </w:pPr>
      <w:r w:rsidRPr="00C36A24">
        <w:t>There was no effect on other pharmacokinetic parameters.</w:t>
      </w:r>
    </w:p>
    <w:p w:rsidR="00C36A24" w:rsidRPr="00C36A24" w:rsidRDefault="003444C9" w:rsidP="00C36A24">
      <w:pPr>
        <w:pStyle w:val="Heading4"/>
      </w:pPr>
      <w:r w:rsidRPr="00C36A24">
        <w:t xml:space="preserve">Relative </w:t>
      </w:r>
      <w:r w:rsidR="00376D5E">
        <w:t>b</w:t>
      </w:r>
      <w:r w:rsidRPr="00C36A24">
        <w:t>ioavailability (Study n01296)</w:t>
      </w:r>
    </w:p>
    <w:p w:rsidR="00376D5E" w:rsidRDefault="003444C9" w:rsidP="00C36A24">
      <w:r w:rsidRPr="00C36A24">
        <w:t>This was an open</w:t>
      </w:r>
      <w:r w:rsidR="00497953">
        <w:t xml:space="preserve"> </w:t>
      </w:r>
      <w:r w:rsidRPr="00C36A24">
        <w:t>label, randomised, single</w:t>
      </w:r>
      <w:r w:rsidR="00497953">
        <w:t xml:space="preserve"> </w:t>
      </w:r>
      <w:r w:rsidRPr="00C36A24">
        <w:t>dose, 2</w:t>
      </w:r>
      <w:r w:rsidR="00497953">
        <w:t xml:space="preserve"> </w:t>
      </w:r>
      <w:r w:rsidRPr="00C36A24">
        <w:t>way crossover bioavailability/bioequivalence study of 2 different formulations of brivaracetam in 24 healthy subj</w:t>
      </w:r>
      <w:r w:rsidR="00497953">
        <w:t>ects (12 females, 12 males); that is</w:t>
      </w:r>
      <w:r w:rsidRPr="00C36A24">
        <w:t>, a single 50 mg F4 tablet (reference) and the commercial oral solution 5 mL; 10 mg/</w:t>
      </w:r>
      <w:proofErr w:type="spellStart"/>
      <w:r w:rsidRPr="00C36A24">
        <w:t>mL</w:t>
      </w:r>
      <w:r w:rsidR="00376D5E">
        <w:t>.</w:t>
      </w:r>
      <w:proofErr w:type="spellEnd"/>
    </w:p>
    <w:p w:rsidR="00376D5E" w:rsidRDefault="003444C9" w:rsidP="00C36A24">
      <w:r w:rsidRPr="00C36A24">
        <w:t xml:space="preserve">The 90% CI of the ratio of the geometric LS means for the primary assessment (reproduced below) was completely contained within the 80.00% to 125.00% interval for </w:t>
      </w:r>
      <w:proofErr w:type="gramStart"/>
      <w:r w:rsidRPr="00C36A24">
        <w:t>AUC(</w:t>
      </w:r>
      <w:proofErr w:type="gramEnd"/>
      <w:r w:rsidRPr="00C36A24">
        <w:t>0-t), AUC and Cmax, suggesting that the commercial oral solution (50 mg) and the 40 mg F4 formulation film coated tablet were bioequivalent with respect to these parameters in relation to administration of a single dose in the fasted state</w:t>
      </w:r>
      <w:r w:rsidR="00376D5E">
        <w:t>.</w:t>
      </w:r>
    </w:p>
    <w:p w:rsidR="00FB3713" w:rsidRPr="004540DA" w:rsidRDefault="00FB3713" w:rsidP="00FB3713">
      <w:pPr>
        <w:pStyle w:val="TableTitle"/>
      </w:pPr>
      <w:proofErr w:type="gramStart"/>
      <w:r>
        <w:lastRenderedPageBreak/>
        <w:t xml:space="preserve">Table 8: </w:t>
      </w:r>
      <w:r w:rsidR="00054B1C">
        <w:t>Bioequivalence analysis of BRV oral solution (5 ml, 10 mg/ml) versus 50 mg oral tablet (reference) (PP population)</w:t>
      </w:r>
      <w:r>
        <w:t>.</w:t>
      </w:r>
      <w:proofErr w:type="gramEnd"/>
    </w:p>
    <w:p w:rsidR="003444C9" w:rsidRPr="00730B7C" w:rsidRDefault="00730B7C" w:rsidP="00730B7C">
      <w:r>
        <w:rPr>
          <w:noProof/>
          <w:lang w:eastAsia="en-AU"/>
        </w:rPr>
        <w:drawing>
          <wp:inline distT="0" distB="0" distL="0" distR="0" wp14:anchorId="1577C1BF" wp14:editId="2E507988">
            <wp:extent cx="5400040" cy="2464634"/>
            <wp:effectExtent l="0" t="0" r="0" b="0"/>
            <wp:docPr id="16" name="Picture 16" descr="Table 8: Bioequivalence analysis of BRV oral solution (5 ml, 10 mg/ml) versus 50 mg oral tablet (reference)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464634"/>
                    </a:xfrm>
                    <a:prstGeom prst="rect">
                      <a:avLst/>
                    </a:prstGeom>
                  </pic:spPr>
                </pic:pic>
              </a:graphicData>
            </a:graphic>
          </wp:inline>
        </w:drawing>
      </w:r>
    </w:p>
    <w:p w:rsidR="008E7846" w:rsidRPr="008751DC" w:rsidRDefault="008E7846" w:rsidP="008E7846">
      <w:pPr>
        <w:pStyle w:val="Heading3"/>
      </w:pPr>
      <w:bookmarkStart w:id="38" w:name="_Toc247691509"/>
      <w:bookmarkStart w:id="39" w:name="_Toc314842493"/>
      <w:bookmarkStart w:id="40" w:name="_Toc479595219"/>
      <w:r>
        <w:t>Quality s</w:t>
      </w:r>
      <w:r w:rsidRPr="008751DC">
        <w:t>ummary</w:t>
      </w:r>
      <w:r>
        <w:t xml:space="preserve"> and conclusions</w:t>
      </w:r>
      <w:bookmarkEnd w:id="38"/>
      <w:bookmarkEnd w:id="39"/>
      <w:bookmarkEnd w:id="40"/>
    </w:p>
    <w:p w:rsidR="003444C9" w:rsidRPr="00C36A24" w:rsidRDefault="003444C9" w:rsidP="00C36A24">
      <w:r w:rsidRPr="00C36A24">
        <w:t xml:space="preserve">There are no objections in respect of </w:t>
      </w:r>
      <w:r w:rsidR="00F52402">
        <w:t>b</w:t>
      </w:r>
      <w:r w:rsidRPr="00C36A24">
        <w:t xml:space="preserve">iopharmaceutics to registration of these products. However, a number of matters relating to the quality control of the finished products require resolution before approval can be recommended from a </w:t>
      </w:r>
      <w:r w:rsidR="00F52402">
        <w:t>q</w:t>
      </w:r>
      <w:r w:rsidRPr="00C36A24">
        <w:t xml:space="preserve">uality perspective. Of these, the inability to confirm a shelf life for the oral solution pending UCB’s decision in relation to the three options described above, and the absence of acceptable evidence of </w:t>
      </w:r>
      <w:r w:rsidR="00555072">
        <w:t>Good Manufacturing Practice</w:t>
      </w:r>
      <w:r w:rsidRPr="00C36A24">
        <w:t xml:space="preserve"> </w:t>
      </w:r>
      <w:r w:rsidR="00555072">
        <w:t xml:space="preserve">(GMP) </w:t>
      </w:r>
      <w:r w:rsidRPr="00C36A24">
        <w:t>linked to UCB as sponsor the site of manufacture of the oral solution are of particular note.</w:t>
      </w:r>
    </w:p>
    <w:p w:rsidR="008E7846" w:rsidRDefault="008E7846" w:rsidP="008E7846">
      <w:pPr>
        <w:pStyle w:val="Heading2"/>
      </w:pPr>
      <w:bookmarkStart w:id="41" w:name="_Toc196046439"/>
      <w:bookmarkStart w:id="42" w:name="_Toc247691510"/>
      <w:bookmarkStart w:id="43" w:name="_Toc314842494"/>
      <w:bookmarkStart w:id="44" w:name="_Toc479595220"/>
      <w:r>
        <w:t>III. Nonclinical</w:t>
      </w:r>
      <w:bookmarkEnd w:id="41"/>
      <w:r>
        <w:t xml:space="preserve"> findings</w:t>
      </w:r>
      <w:bookmarkEnd w:id="42"/>
      <w:bookmarkEnd w:id="43"/>
      <w:bookmarkEnd w:id="44"/>
    </w:p>
    <w:p w:rsidR="008E7846" w:rsidRDefault="008E7846" w:rsidP="00940A89">
      <w:pPr>
        <w:pStyle w:val="Heading3"/>
      </w:pPr>
      <w:bookmarkStart w:id="45" w:name="_Toc247691511"/>
      <w:bookmarkStart w:id="46" w:name="_Toc314842495"/>
      <w:bookmarkStart w:id="47" w:name="_Toc479595221"/>
      <w:r>
        <w:t>Introduction</w:t>
      </w:r>
      <w:bookmarkEnd w:id="45"/>
      <w:bookmarkEnd w:id="46"/>
      <w:bookmarkEnd w:id="47"/>
      <w:r>
        <w:tab/>
      </w:r>
    </w:p>
    <w:p w:rsidR="00494138" w:rsidRPr="00494138" w:rsidRDefault="00494138" w:rsidP="00494138">
      <w:r w:rsidRPr="00494138">
        <w:t>Briviact tablets, oral solution and solution for injection are indicated as add-on therapy in the treatment of partia</w:t>
      </w:r>
      <w:r w:rsidR="003A131E">
        <w:t xml:space="preserve">l </w:t>
      </w:r>
      <w:r w:rsidRPr="00494138">
        <w:t xml:space="preserve">onset seizures, with or without secondary generalisation, in patients from 16 years of age with epilepsy. The </w:t>
      </w:r>
      <w:r w:rsidR="003A131E">
        <w:t>s</w:t>
      </w:r>
      <w:r w:rsidRPr="00494138">
        <w:t>ponsor has submitted a generally thorough and high quality nonclinical dossier to support the registration of brivaracetam.</w:t>
      </w:r>
    </w:p>
    <w:p w:rsidR="00376D5E" w:rsidRDefault="00494138" w:rsidP="00494138">
      <w:r w:rsidRPr="00494138">
        <w:t>No maximum duration of treatment is proposed. The evaluator has assumed that brivaracetam treatment will be long</w:t>
      </w:r>
      <w:r w:rsidR="003A131E">
        <w:t xml:space="preserve"> </w:t>
      </w:r>
      <w:r w:rsidRPr="00494138">
        <w:t>term. Notably, the Australian PI does not stipulate a maximum duration of IV administration. The US PI notes that “the clinical study experience with Briviact injection is limited to 4 consecutive days of treatment.”</w:t>
      </w:r>
    </w:p>
    <w:p w:rsidR="008E7846" w:rsidRDefault="008E7846" w:rsidP="008E7846">
      <w:pPr>
        <w:pStyle w:val="Heading3"/>
      </w:pPr>
      <w:bookmarkStart w:id="48" w:name="_Toc247691512"/>
      <w:bookmarkStart w:id="49" w:name="_Toc314842496"/>
      <w:bookmarkStart w:id="50" w:name="_Toc479595222"/>
      <w:r w:rsidRPr="00020030">
        <w:t>Pharmacology</w:t>
      </w:r>
      <w:bookmarkEnd w:id="48"/>
      <w:bookmarkEnd w:id="49"/>
      <w:bookmarkEnd w:id="50"/>
    </w:p>
    <w:p w:rsidR="00585F22" w:rsidRPr="004E441D" w:rsidRDefault="00585F22" w:rsidP="00585F22">
      <w:pPr>
        <w:pStyle w:val="Heading4"/>
      </w:pPr>
      <w:bookmarkStart w:id="51" w:name="_Toc450809073"/>
      <w:r w:rsidRPr="004E441D">
        <w:t>Primary pharmacology</w:t>
      </w:r>
      <w:bookmarkEnd w:id="51"/>
    </w:p>
    <w:p w:rsidR="00585F22" w:rsidRPr="00585F22" w:rsidRDefault="00585F22" w:rsidP="00585F22">
      <w:r w:rsidRPr="00585F22">
        <w:t xml:space="preserve">Brivaracetam is a second generation </w:t>
      </w:r>
      <w:proofErr w:type="spellStart"/>
      <w:r w:rsidRPr="00585F22">
        <w:t>levetiracetam</w:t>
      </w:r>
      <w:proofErr w:type="spellEnd"/>
      <w:r w:rsidRPr="00585F22">
        <w:t xml:space="preserve">-like Synaptic Vesicle Glycoprotein 2A (SV2A) ligand atypical anti-seizure/anti-epileptic agent. The </w:t>
      </w:r>
      <w:r w:rsidR="003A131E">
        <w:t>s</w:t>
      </w:r>
      <w:r w:rsidRPr="00585F22">
        <w:t>ponsor has provided substantial primary pharmacological evidence of its anti-seizure properties</w:t>
      </w:r>
      <w:r>
        <w:rPr>
          <w:rStyle w:val="FootnoteReference"/>
        </w:rPr>
        <w:footnoteReference w:id="2"/>
      </w:r>
      <w:r w:rsidRPr="00585F22">
        <w:t xml:space="preserve"> although the </w:t>
      </w:r>
      <w:r w:rsidRPr="00585F22">
        <w:lastRenderedPageBreak/>
        <w:t>exact pharmacological mode of action of this class of drugs (including brivaracetam) is unknown.</w:t>
      </w:r>
    </w:p>
    <w:p w:rsidR="00585F22" w:rsidRPr="00585F22" w:rsidRDefault="00585F22" w:rsidP="00585F22">
      <w:pPr>
        <w:pStyle w:val="Heading4"/>
      </w:pPr>
      <w:bookmarkStart w:id="52" w:name="_Toc450809074"/>
      <w:r w:rsidRPr="00585F22">
        <w:t>Overall notable features</w:t>
      </w:r>
      <w:bookmarkEnd w:id="52"/>
    </w:p>
    <w:p w:rsidR="00376D5E" w:rsidRDefault="00585F22" w:rsidP="00585F22">
      <w:r w:rsidRPr="00585F22">
        <w:t>Brivaracetam is a selecti</w:t>
      </w:r>
      <w:r w:rsidR="00B17E22">
        <w:t>ve SV2A ligand with generally approximately ≥</w:t>
      </w:r>
      <w:r w:rsidRPr="00585F22">
        <w:t xml:space="preserve">10X the affinity and efficacy of </w:t>
      </w:r>
      <w:proofErr w:type="spellStart"/>
      <w:r w:rsidRPr="00585F22">
        <w:t>levetiracetam</w:t>
      </w:r>
      <w:proofErr w:type="spellEnd"/>
      <w:r w:rsidRPr="00585F22">
        <w:t xml:space="preserve"> (the class innovator molecule). Based on </w:t>
      </w:r>
      <w:proofErr w:type="spellStart"/>
      <w:r w:rsidRPr="00585F22">
        <w:t>levetiracetam</w:t>
      </w:r>
      <w:proofErr w:type="spellEnd"/>
      <w:r w:rsidRPr="00585F22">
        <w:t xml:space="preserve"> data, high SV2A binding affinity is strongly correlated (r</w:t>
      </w:r>
      <w:r w:rsidR="00B17E22">
        <w:t xml:space="preserve"> 8-</w:t>
      </w:r>
      <w:r w:rsidRPr="00585F22">
        <w:t>9) with anticonvulsive properties in rodents.</w:t>
      </w:r>
      <w:r w:rsidR="006331B1">
        <w:rPr>
          <w:rStyle w:val="FootnoteReference"/>
        </w:rPr>
        <w:footnoteReference w:id="3"/>
      </w:r>
      <w:r w:rsidRPr="00585F22">
        <w:t xml:space="preserve"> Critically,</w:t>
      </w:r>
      <w:r w:rsidR="00B17E22">
        <w:t xml:space="preserve"> high rates of SV2A occupancy (approximately </w:t>
      </w:r>
      <w:r w:rsidRPr="00585F22">
        <w:t>90%) are required for effective anti-seizure action and the slopes of the anti-seizure dose response curves are very steep.</w:t>
      </w:r>
      <w:r w:rsidR="00A456AB">
        <w:rPr>
          <w:rStyle w:val="FootnoteReference"/>
        </w:rPr>
        <w:footnoteReference w:id="4"/>
      </w:r>
      <w:r w:rsidRPr="00585F22">
        <w:t xml:space="preserve"> Thus the theoretical pharmacokinetic objective in this drug class is to maintain at least </w:t>
      </w:r>
      <w:r w:rsidR="00E17E24">
        <w:t>approximately</w:t>
      </w:r>
      <w:r w:rsidR="00E17E24" w:rsidRPr="00585F22">
        <w:t xml:space="preserve"> </w:t>
      </w:r>
      <w:r w:rsidRPr="00585F22">
        <w:t>90%</w:t>
      </w:r>
      <w:r w:rsidR="00471201">
        <w:t xml:space="preserve"> SV2A occupancy at the plasma </w:t>
      </w:r>
      <w:proofErr w:type="spellStart"/>
      <w:r w:rsidR="00471201">
        <w:t>Cm</w:t>
      </w:r>
      <w:r w:rsidRPr="00585F22">
        <w:t>in</w:t>
      </w:r>
      <w:proofErr w:type="spellEnd"/>
      <w:r w:rsidRPr="00585F22">
        <w:t xml:space="preserve">. Based on mouse data, a </w:t>
      </w:r>
      <w:r w:rsidR="00E17E24">
        <w:t>brivaracetam dose of between 10-</w:t>
      </w:r>
      <w:r w:rsidRPr="00585F22">
        <w:t>100 mg/kg IP is required to produce ≥90% SV2A occupancy at 60 min post</w:t>
      </w:r>
      <w:r w:rsidR="00471201">
        <w:t xml:space="preserve"> </w:t>
      </w:r>
      <w:r w:rsidRPr="00585F22">
        <w:t>dosing</w:t>
      </w:r>
      <w:r w:rsidR="00376D5E">
        <w:t>.</w:t>
      </w:r>
    </w:p>
    <w:p w:rsidR="00585F22" w:rsidRPr="00585F22" w:rsidRDefault="00585F22" w:rsidP="00585F22">
      <w:r w:rsidRPr="00585F22">
        <w:t xml:space="preserve">Because of its </w:t>
      </w:r>
      <w:proofErr w:type="spellStart"/>
      <w:r w:rsidRPr="00585F22">
        <w:t>lipophilicity</w:t>
      </w:r>
      <w:proofErr w:type="spellEnd"/>
      <w:r w:rsidRPr="00585F22">
        <w:t xml:space="preserve"> (</w:t>
      </w:r>
      <w:r w:rsidR="00471201">
        <w:t>approximately</w:t>
      </w:r>
      <w:r w:rsidR="00471201" w:rsidRPr="00585F22">
        <w:t xml:space="preserve"> </w:t>
      </w:r>
      <w:r w:rsidRPr="00585F22">
        <w:t>Log P</w:t>
      </w:r>
      <w:r w:rsidR="00471201">
        <w:t xml:space="preserve"> = </w:t>
      </w:r>
      <w:r w:rsidRPr="00585F22">
        <w:t xml:space="preserve">1), brivaracetam rapidly equilibrates across the blood brain barrier with a </w:t>
      </w:r>
      <w:proofErr w:type="spellStart"/>
      <w:r w:rsidRPr="00585F22">
        <w:t>brain</w:t>
      </w:r>
      <w:proofErr w:type="gramStart"/>
      <w:r w:rsidRPr="00585F22">
        <w:t>:plasma</w:t>
      </w:r>
      <w:proofErr w:type="spellEnd"/>
      <w:proofErr w:type="gramEnd"/>
      <w:r w:rsidRPr="00585F22">
        <w:t xml:space="preserve"> ratio of </w:t>
      </w:r>
      <w:r w:rsidR="00471201">
        <w:t>approximately</w:t>
      </w:r>
      <w:r w:rsidR="00471201" w:rsidRPr="00585F22">
        <w:t xml:space="preserve"> </w:t>
      </w:r>
      <w:r w:rsidRPr="00585F22">
        <w:t xml:space="preserve">1. Distribution into brain is not dependent on active transport. This minimises the risk of </w:t>
      </w:r>
      <w:proofErr w:type="spellStart"/>
      <w:r w:rsidRPr="00585F22">
        <w:t>pharmacogenomic</w:t>
      </w:r>
      <w:proofErr w:type="spellEnd"/>
      <w:r w:rsidRPr="00585F22">
        <w:t xml:space="preserve"> and blood brain barrier transporter</w:t>
      </w:r>
      <w:r w:rsidR="00D807EC">
        <w:t xml:space="preserve"> </w:t>
      </w:r>
      <w:r w:rsidRPr="00585F22">
        <w:t>associated victim</w:t>
      </w:r>
      <w:r w:rsidR="00D807EC">
        <w:t xml:space="preserve"> </w:t>
      </w:r>
      <w:r w:rsidRPr="00585F22">
        <w:t>perpetrator interactions.</w:t>
      </w:r>
    </w:p>
    <w:p w:rsidR="00585F22" w:rsidRPr="00585F22" w:rsidRDefault="00585F22" w:rsidP="00585F22">
      <w:r w:rsidRPr="00585F22">
        <w:t>Although brivaracetam is intended for use as an add-on therapy for partial epilepsy, its use in combination with other anti-epileptics (except diazepam) was not investigated in the nonclinical program.</w:t>
      </w:r>
    </w:p>
    <w:p w:rsidR="00585F22" w:rsidRPr="00585F22" w:rsidRDefault="00585F22" w:rsidP="00585F22">
      <w:r w:rsidRPr="00585F22">
        <w:t xml:space="preserve">In most in vitro and in vivo nonclinical models, brivaracetam provided at least a similar, or in many cases greater, efficacy than </w:t>
      </w:r>
      <w:proofErr w:type="spellStart"/>
      <w:r w:rsidRPr="00585F22">
        <w:t>levetiracetam</w:t>
      </w:r>
      <w:proofErr w:type="spellEnd"/>
      <w:r w:rsidRPr="00585F22">
        <w:t xml:space="preserve"> (in most animal models of seizure </w:t>
      </w:r>
      <w:r w:rsidR="00D807EC">
        <w:t>and/epilepsy, brivaracetam has approximately</w:t>
      </w:r>
      <w:r w:rsidR="00D807EC" w:rsidRPr="00585F22">
        <w:t xml:space="preserve"> </w:t>
      </w:r>
      <w:r w:rsidRPr="00585F22">
        <w:t xml:space="preserve">≥10X the potency of </w:t>
      </w:r>
      <w:proofErr w:type="spellStart"/>
      <w:r w:rsidRPr="00585F22">
        <w:t>levetiracetam</w:t>
      </w:r>
      <w:proofErr w:type="spellEnd"/>
      <w:r w:rsidRPr="00585F22">
        <w:t>). In rodents brivaracetam can control diazepam</w:t>
      </w:r>
      <w:r w:rsidR="00DB3413">
        <w:t xml:space="preserve"> </w:t>
      </w:r>
      <w:r w:rsidRPr="00585F22">
        <w:t>resistant seizures, including life</w:t>
      </w:r>
      <w:r w:rsidR="00DB3413">
        <w:t xml:space="preserve"> </w:t>
      </w:r>
      <w:r w:rsidRPr="00585F22">
        <w:t xml:space="preserve">threatening </w:t>
      </w:r>
      <w:proofErr w:type="spellStart"/>
      <w:r w:rsidRPr="00585F22">
        <w:t>benzodiazepam</w:t>
      </w:r>
      <w:proofErr w:type="spellEnd"/>
      <w:r w:rsidR="00DB3413">
        <w:t xml:space="preserve"> </w:t>
      </w:r>
      <w:r w:rsidRPr="00585F22">
        <w:t xml:space="preserve">resistant </w:t>
      </w:r>
      <w:r w:rsidR="00376D5E" w:rsidRPr="00585F22">
        <w:t>self</w:t>
      </w:r>
      <w:r w:rsidR="00376D5E">
        <w:t>-</w:t>
      </w:r>
      <w:r w:rsidR="00376D5E" w:rsidRPr="00585F22">
        <w:t>sustaining</w:t>
      </w:r>
      <w:r w:rsidRPr="00585F22">
        <w:t xml:space="preserve"> status epilepticus. Low doses of brivaracetam devoid of behavioural effects are strong </w:t>
      </w:r>
      <w:proofErr w:type="spellStart"/>
      <w:r w:rsidRPr="00585F22">
        <w:t>potentiators</w:t>
      </w:r>
      <w:proofErr w:type="spellEnd"/>
      <w:r w:rsidRPr="00585F22">
        <w:t xml:space="preserve"> of diazepam anti-seizure activity (with behavioural effects solely attributable to diazepam). Furthermore, unlike </w:t>
      </w:r>
      <w:proofErr w:type="spellStart"/>
      <w:r w:rsidRPr="00585F22">
        <w:t>levetiracetam</w:t>
      </w:r>
      <w:proofErr w:type="spellEnd"/>
      <w:r w:rsidRPr="00585F22">
        <w:t xml:space="preserve">, </w:t>
      </w:r>
      <w:proofErr w:type="spellStart"/>
      <w:r w:rsidRPr="00585F22">
        <w:t>brivaracetam</w:t>
      </w:r>
      <w:proofErr w:type="spellEnd"/>
      <w:r w:rsidRPr="00585F22">
        <w:t xml:space="preserve"> treatment created a window of resistance to the seizure recrudescence even after drug washout in </w:t>
      </w:r>
      <w:proofErr w:type="spellStart"/>
      <w:r w:rsidRPr="00585F22">
        <w:t>corneally</w:t>
      </w:r>
      <w:proofErr w:type="spellEnd"/>
      <w:r w:rsidRPr="00585F22">
        <w:t xml:space="preserve"> kindled rats. Notably, brivaracetam delayed, inhibited or prevented induction of a seizure-prone state by corneal kindling in some rats suggesting that brivaracetam might have efficacy for prevention of </w:t>
      </w:r>
      <w:proofErr w:type="spellStart"/>
      <w:r w:rsidRPr="00585F22">
        <w:t>seizurogenesis</w:t>
      </w:r>
      <w:proofErr w:type="spellEnd"/>
      <w:r w:rsidRPr="00585F22">
        <w:t>.</w:t>
      </w:r>
    </w:p>
    <w:p w:rsidR="00585F22" w:rsidRPr="00585F22" w:rsidRDefault="00585F22" w:rsidP="00585F22">
      <w:r w:rsidRPr="00585F22">
        <w:t xml:space="preserve">Brivaracetam was not effective (ED50 &gt;382 mg/kg IP) against seizures induced by </w:t>
      </w:r>
      <w:proofErr w:type="spellStart"/>
      <w:r w:rsidRPr="00585F22">
        <w:t>bicuculline</w:t>
      </w:r>
      <w:proofErr w:type="spellEnd"/>
      <w:r w:rsidRPr="00585F22">
        <w:t xml:space="preserve"> and </w:t>
      </w:r>
      <w:proofErr w:type="spellStart"/>
      <w:r w:rsidRPr="00585F22">
        <w:t>picrotoxin</w:t>
      </w:r>
      <w:proofErr w:type="spellEnd"/>
      <w:r w:rsidRPr="00585F22">
        <w:t xml:space="preserve">, </w:t>
      </w:r>
      <w:proofErr w:type="spellStart"/>
      <w:r w:rsidRPr="00585F22">
        <w:t>pilocarpine</w:t>
      </w:r>
      <w:proofErr w:type="spellEnd"/>
      <w:r w:rsidRPr="00585F22">
        <w:t>, 4-aminopyridine and caffeine, and high doses were required to control seizures resulting from l-glutamate 1-carboxylase inhibition by 3-mercapto-propionic acid.</w:t>
      </w:r>
    </w:p>
    <w:p w:rsidR="00585F22" w:rsidRPr="00AC5243" w:rsidRDefault="00585F22" w:rsidP="001759E3">
      <w:pPr>
        <w:pStyle w:val="Heading4"/>
      </w:pPr>
      <w:bookmarkStart w:id="53" w:name="_Toc450809075"/>
      <w:r w:rsidRPr="00AC5243">
        <w:t>Effects on ion channels</w:t>
      </w:r>
      <w:bookmarkEnd w:id="53"/>
    </w:p>
    <w:p w:rsidR="00585F22" w:rsidRPr="00AC5243" w:rsidRDefault="00585F22" w:rsidP="00AC5243">
      <w:r w:rsidRPr="00AC5243">
        <w:t>In in vitro systems that utili</w:t>
      </w:r>
      <w:r w:rsidR="00DB3413">
        <w:t>s</w:t>
      </w:r>
      <w:r w:rsidRPr="00AC5243">
        <w:t xml:space="preserve">ed normal adult neurons, brivaracetam had minimal or no effects on neuronal Na+ channels or sustained repetitive firing, even at high concentrations. In rat embryonic neocortical neurons and mouse </w:t>
      </w:r>
      <w:proofErr w:type="spellStart"/>
      <w:r w:rsidRPr="00AC5243">
        <w:t>neuroblastoma</w:t>
      </w:r>
      <w:proofErr w:type="spellEnd"/>
      <w:r w:rsidRPr="00AC5243">
        <w:t xml:space="preserve"> cells, </w:t>
      </w:r>
      <w:proofErr w:type="spellStart"/>
      <w:r w:rsidRPr="00AC5243">
        <w:t>brivaracetam</w:t>
      </w:r>
      <w:proofErr w:type="spellEnd"/>
      <w:r w:rsidRPr="00AC5243">
        <w:t xml:space="preserve"> displayed a carbamazepine-like Na+ channel blocker profile, although these effects were not observed in any non-neoplastic and adult neurons in vitro. The human </w:t>
      </w:r>
      <w:r w:rsidRPr="00AC5243">
        <w:lastRenderedPageBreak/>
        <w:t>relevance of these findings is uncertain. A lack of Na+ channel effects is consistent with the role of SVA2 in the neuronal presynaptic plasma membrane.</w:t>
      </w:r>
      <w:r w:rsidR="00AC5243">
        <w:rPr>
          <w:rStyle w:val="FootnoteReference"/>
        </w:rPr>
        <w:footnoteReference w:id="5"/>
      </w:r>
    </w:p>
    <w:p w:rsidR="00585F22" w:rsidRPr="004E441D" w:rsidRDefault="00585F22" w:rsidP="001759E3">
      <w:pPr>
        <w:pStyle w:val="Heading4"/>
        <w:rPr>
          <w:lang w:val="en"/>
        </w:rPr>
      </w:pPr>
      <w:bookmarkStart w:id="54" w:name="_Toc450809076"/>
      <w:r w:rsidRPr="004E441D">
        <w:rPr>
          <w:lang w:val="en"/>
        </w:rPr>
        <w:t>Effects on amino acid neurotransmitters</w:t>
      </w:r>
      <w:bookmarkEnd w:id="54"/>
    </w:p>
    <w:p w:rsidR="00376D5E" w:rsidRDefault="00585F22" w:rsidP="00585F22">
      <w:pPr>
        <w:tabs>
          <w:tab w:val="num" w:pos="360"/>
        </w:tabs>
        <w:rPr>
          <w:rFonts w:asciiTheme="minorHAnsi" w:hAnsiTheme="minorHAnsi"/>
          <w:lang w:val="en"/>
        </w:rPr>
      </w:pPr>
      <w:r w:rsidRPr="0018617F">
        <w:rPr>
          <w:rFonts w:asciiTheme="minorHAnsi" w:hAnsiTheme="minorHAnsi"/>
          <w:lang w:val="en"/>
        </w:rPr>
        <w:t>Brivaracetam reversibly inhibited NMDA</w:t>
      </w:r>
      <w:r w:rsidR="008E4C6E">
        <w:rPr>
          <w:rFonts w:asciiTheme="minorHAnsi" w:hAnsiTheme="minorHAnsi"/>
          <w:lang w:val="en"/>
        </w:rPr>
        <w:t xml:space="preserve"> </w:t>
      </w:r>
      <w:r w:rsidRPr="0018617F">
        <w:rPr>
          <w:rFonts w:asciiTheme="minorHAnsi" w:hAnsiTheme="minorHAnsi"/>
          <w:lang w:val="en"/>
        </w:rPr>
        <w:t xml:space="preserve">induced neuronal currents but had no effect on </w:t>
      </w:r>
      <w:proofErr w:type="spellStart"/>
      <w:r w:rsidRPr="0018617F">
        <w:rPr>
          <w:rFonts w:asciiTheme="minorHAnsi" w:hAnsiTheme="minorHAnsi"/>
          <w:lang w:val="en"/>
        </w:rPr>
        <w:t>kain</w:t>
      </w:r>
      <w:r>
        <w:rPr>
          <w:rFonts w:asciiTheme="minorHAnsi" w:hAnsiTheme="minorHAnsi"/>
          <w:lang w:val="en"/>
        </w:rPr>
        <w:t>a</w:t>
      </w:r>
      <w:r w:rsidR="008E4C6E">
        <w:rPr>
          <w:rFonts w:asciiTheme="minorHAnsi" w:hAnsiTheme="minorHAnsi"/>
          <w:lang w:val="en"/>
        </w:rPr>
        <w:t>te</w:t>
      </w:r>
      <w:proofErr w:type="spellEnd"/>
      <w:r w:rsidR="008E4C6E">
        <w:rPr>
          <w:rFonts w:asciiTheme="minorHAnsi" w:hAnsiTheme="minorHAnsi"/>
          <w:lang w:val="en"/>
        </w:rPr>
        <w:t xml:space="preserve"> or AMPA </w:t>
      </w:r>
      <w:r w:rsidRPr="0018617F">
        <w:rPr>
          <w:rFonts w:asciiTheme="minorHAnsi" w:hAnsiTheme="minorHAnsi"/>
          <w:lang w:val="en"/>
        </w:rPr>
        <w:t>induced neuronal ion currents. Brivaracetam does not di</w:t>
      </w:r>
      <w:r w:rsidR="00314642">
        <w:rPr>
          <w:rFonts w:asciiTheme="minorHAnsi" w:hAnsiTheme="minorHAnsi"/>
          <w:lang w:val="en"/>
        </w:rPr>
        <w:t xml:space="preserve">rectly affect GABA and glycine </w:t>
      </w:r>
      <w:r w:rsidRPr="0018617F">
        <w:rPr>
          <w:rFonts w:asciiTheme="minorHAnsi" w:hAnsiTheme="minorHAnsi"/>
          <w:lang w:val="en"/>
        </w:rPr>
        <w:t>induced neuronal ionotropic effects. However</w:t>
      </w:r>
      <w:r w:rsidR="008E4C6E">
        <w:rPr>
          <w:rFonts w:asciiTheme="minorHAnsi" w:hAnsiTheme="minorHAnsi"/>
          <w:lang w:val="en"/>
        </w:rPr>
        <w:t>,</w:t>
      </w:r>
      <w:r w:rsidRPr="0018617F">
        <w:rPr>
          <w:rFonts w:asciiTheme="minorHAnsi" w:hAnsiTheme="minorHAnsi"/>
          <w:lang w:val="en"/>
        </w:rPr>
        <w:t xml:space="preserve"> it did </w:t>
      </w:r>
      <w:proofErr w:type="spellStart"/>
      <w:r w:rsidRPr="0018617F">
        <w:rPr>
          <w:rFonts w:asciiTheme="minorHAnsi" w:hAnsiTheme="minorHAnsi"/>
          <w:lang w:val="en"/>
        </w:rPr>
        <w:t>antagoni</w:t>
      </w:r>
      <w:r w:rsidR="008E4C6E">
        <w:rPr>
          <w:rFonts w:asciiTheme="minorHAnsi" w:hAnsiTheme="minorHAnsi"/>
          <w:lang w:val="en"/>
        </w:rPr>
        <w:t>s</w:t>
      </w:r>
      <w:r w:rsidRPr="0018617F">
        <w:rPr>
          <w:rFonts w:asciiTheme="minorHAnsi" w:hAnsiTheme="minorHAnsi"/>
          <w:lang w:val="en"/>
        </w:rPr>
        <w:t>e</w:t>
      </w:r>
      <w:proofErr w:type="spellEnd"/>
      <w:r w:rsidRPr="0018617F">
        <w:rPr>
          <w:rFonts w:asciiTheme="minorHAnsi" w:hAnsiTheme="minorHAnsi"/>
          <w:lang w:val="en"/>
        </w:rPr>
        <w:t xml:space="preserve"> the chemical inhibition of GABA and glycine neuropathways. Thus</w:t>
      </w:r>
      <w:r w:rsidR="008E4C6E">
        <w:rPr>
          <w:rFonts w:asciiTheme="minorHAnsi" w:hAnsiTheme="minorHAnsi"/>
          <w:lang w:val="en"/>
        </w:rPr>
        <w:t>,</w:t>
      </w:r>
      <w:r w:rsidRPr="0018617F">
        <w:rPr>
          <w:rFonts w:asciiTheme="minorHAnsi" w:hAnsiTheme="minorHAnsi"/>
          <w:lang w:val="en"/>
        </w:rPr>
        <w:t xml:space="preserve"> the anti-epileptogenic properties of brivaracetam may, in part, be due to inhibition NMDA excitatory pathways and </w:t>
      </w:r>
      <w:r>
        <w:rPr>
          <w:rFonts w:asciiTheme="minorHAnsi" w:hAnsiTheme="minorHAnsi"/>
          <w:lang w:val="en"/>
        </w:rPr>
        <w:t>disinhibition</w:t>
      </w:r>
      <w:r w:rsidRPr="0018617F">
        <w:rPr>
          <w:rFonts w:asciiTheme="minorHAnsi" w:hAnsiTheme="minorHAnsi"/>
          <w:lang w:val="en"/>
        </w:rPr>
        <w:t xml:space="preserve"> of GABA and glycine </w:t>
      </w:r>
      <w:r>
        <w:rPr>
          <w:rFonts w:asciiTheme="minorHAnsi" w:hAnsiTheme="minorHAnsi"/>
          <w:lang w:val="en"/>
        </w:rPr>
        <w:t xml:space="preserve">inhibitory </w:t>
      </w:r>
      <w:r w:rsidRPr="0018617F">
        <w:rPr>
          <w:rFonts w:asciiTheme="minorHAnsi" w:hAnsiTheme="minorHAnsi"/>
          <w:lang w:val="en"/>
        </w:rPr>
        <w:t>pathways</w:t>
      </w:r>
      <w:r w:rsidR="00376D5E">
        <w:rPr>
          <w:rFonts w:asciiTheme="minorHAnsi" w:hAnsiTheme="minorHAnsi"/>
          <w:lang w:val="en"/>
        </w:rPr>
        <w:t>.</w:t>
      </w:r>
    </w:p>
    <w:p w:rsidR="00585F22" w:rsidRPr="004E441D" w:rsidRDefault="00585F22" w:rsidP="001759E3">
      <w:pPr>
        <w:pStyle w:val="Heading4"/>
      </w:pPr>
      <w:bookmarkStart w:id="55" w:name="_Toc450809077"/>
      <w:r w:rsidRPr="004E441D">
        <w:t xml:space="preserve">In vivo </w:t>
      </w:r>
      <w:r>
        <w:t>anti-epileptic/</w:t>
      </w:r>
      <w:proofErr w:type="spellStart"/>
      <w:r>
        <w:t>antisei</w:t>
      </w:r>
      <w:r w:rsidRPr="004E441D">
        <w:t>zur</w:t>
      </w:r>
      <w:r>
        <w:t>e</w:t>
      </w:r>
      <w:r w:rsidRPr="004E441D">
        <w:t>ogenic</w:t>
      </w:r>
      <w:proofErr w:type="spellEnd"/>
      <w:r w:rsidRPr="004E441D">
        <w:t xml:space="preserve"> effects</w:t>
      </w:r>
      <w:bookmarkEnd w:id="55"/>
    </w:p>
    <w:p w:rsidR="00376D5E" w:rsidRDefault="00585F22" w:rsidP="001759E3">
      <w:r w:rsidRPr="001759E3">
        <w:t>Overall, brivaracetam displayed a high degree of anti-seizure/anti-epilepsy activity in various rodent models (chemically</w:t>
      </w:r>
      <w:r w:rsidR="00314642">
        <w:t xml:space="preserve"> i</w:t>
      </w:r>
      <w:r w:rsidRPr="001759E3">
        <w:t xml:space="preserve">nduced, genetic </w:t>
      </w:r>
      <w:proofErr w:type="spellStart"/>
      <w:r w:rsidRPr="001759E3">
        <w:t>audiogenic</w:t>
      </w:r>
      <w:proofErr w:type="spellEnd"/>
      <w:r w:rsidRPr="001759E3">
        <w:t xml:space="preserve">, genetic absence epilepsy, electroshock, various kindling models, </w:t>
      </w:r>
      <w:r w:rsidR="00376D5E" w:rsidRPr="001759E3">
        <w:t>self</w:t>
      </w:r>
      <w:r w:rsidR="00376D5E">
        <w:t>-</w:t>
      </w:r>
      <w:r w:rsidR="00376D5E" w:rsidRPr="001759E3">
        <w:t>sustaining</w:t>
      </w:r>
      <w:r w:rsidRPr="001759E3">
        <w:t xml:space="preserve"> status epilepticus, post</w:t>
      </w:r>
      <w:r w:rsidR="00F80B4F">
        <w:t xml:space="preserve"> </w:t>
      </w:r>
      <w:r w:rsidRPr="001759E3">
        <w:t>cardiac arrest hypoxic seizures and myoclonus) when administered 30-60 min</w:t>
      </w:r>
      <w:r w:rsidR="00F80B4F">
        <w:t xml:space="preserve"> before seizure induction (that is, </w:t>
      </w:r>
      <w:r w:rsidRPr="001759E3">
        <w:t>under efficacy biased conditions). In most models, brivaracetam treatment produced close to 100% control of seizures with minimal to no effects on normal behaviour. T</w:t>
      </w:r>
      <w:r w:rsidR="00314642">
        <w:t xml:space="preserve">he potency of brivaracetam was approximately </w:t>
      </w:r>
      <w:r w:rsidRPr="001759E3">
        <w:t xml:space="preserve">≥10X that of </w:t>
      </w:r>
      <w:proofErr w:type="spellStart"/>
      <w:r w:rsidRPr="001759E3">
        <w:t>levetiracetam</w:t>
      </w:r>
      <w:proofErr w:type="spellEnd"/>
      <w:r w:rsidRPr="001759E3">
        <w:t xml:space="preserve"> with superior efficacy in many models. In </w:t>
      </w:r>
      <w:proofErr w:type="spellStart"/>
      <w:r w:rsidRPr="001759E3">
        <w:t>corneally</w:t>
      </w:r>
      <w:proofErr w:type="spellEnd"/>
      <w:r w:rsidR="00314642">
        <w:t xml:space="preserve"> </w:t>
      </w:r>
      <w:r w:rsidRPr="001759E3">
        <w:t xml:space="preserve">kindled mice, </w:t>
      </w:r>
      <w:proofErr w:type="spellStart"/>
      <w:r w:rsidRPr="001759E3">
        <w:t>brivaracetam</w:t>
      </w:r>
      <w:proofErr w:type="spellEnd"/>
      <w:r w:rsidRPr="001759E3">
        <w:t xml:space="preserve"> reduced (by </w:t>
      </w:r>
      <w:r w:rsidR="00092E65">
        <w:t xml:space="preserve">approximately </w:t>
      </w:r>
      <w:r w:rsidRPr="001759E3">
        <w:t xml:space="preserve">20X) the percentage of animals that developed seizures after 19 days of corneal kindling. This implies that brivaracetam may slow, delay or prevent </w:t>
      </w:r>
      <w:proofErr w:type="spellStart"/>
      <w:r w:rsidRPr="001759E3">
        <w:t>seizurogenesis</w:t>
      </w:r>
      <w:proofErr w:type="spellEnd"/>
      <w:r w:rsidRPr="001759E3">
        <w:t xml:space="preserve"> in this model. Previous treatmen</w:t>
      </w:r>
      <w:r w:rsidR="00C951AE">
        <w:t xml:space="preserve">t of </w:t>
      </w:r>
      <w:proofErr w:type="spellStart"/>
      <w:r w:rsidR="00C951AE">
        <w:t>corneally</w:t>
      </w:r>
      <w:proofErr w:type="spellEnd"/>
      <w:r w:rsidR="00C951AE">
        <w:t xml:space="preserve"> kindled, seizure </w:t>
      </w:r>
      <w:r w:rsidRPr="001759E3">
        <w:t xml:space="preserve">prone animals with brivaracetam created a “window of resistance” against seizure recrudescence in </w:t>
      </w:r>
      <w:r w:rsidR="002F411F">
        <w:t xml:space="preserve">approximately </w:t>
      </w:r>
      <w:r w:rsidRPr="001759E3">
        <w:t xml:space="preserve">50% of animals after a drug washout period. Brivaracetam was notably effective in stopping and controlling </w:t>
      </w:r>
      <w:r w:rsidR="00376D5E" w:rsidRPr="001759E3">
        <w:t>self</w:t>
      </w:r>
      <w:r w:rsidR="00376D5E">
        <w:t>-</w:t>
      </w:r>
      <w:r w:rsidR="00376D5E" w:rsidRPr="001759E3">
        <w:t>sustaining</w:t>
      </w:r>
      <w:r w:rsidRPr="001759E3">
        <w:t xml:space="preserve"> </w:t>
      </w:r>
      <w:r w:rsidR="00D86B20">
        <w:t xml:space="preserve">status epilepticus and diazepam </w:t>
      </w:r>
      <w:r w:rsidRPr="001759E3">
        <w:t xml:space="preserve">resistant seizures in rodents. It is also a strong </w:t>
      </w:r>
      <w:proofErr w:type="spellStart"/>
      <w:r w:rsidRPr="001759E3">
        <w:t>potentiator</w:t>
      </w:r>
      <w:proofErr w:type="spellEnd"/>
      <w:r w:rsidRPr="001759E3">
        <w:t xml:space="preserve"> of diazepam anti-seizure effects, even at sub-therapeutic doses and in the presence of diazepam resistance</w:t>
      </w:r>
      <w:r w:rsidR="00376D5E">
        <w:t>.</w:t>
      </w:r>
    </w:p>
    <w:p w:rsidR="00376D5E" w:rsidRDefault="00585F22" w:rsidP="001759E3">
      <w:proofErr w:type="spellStart"/>
      <w:r w:rsidRPr="001759E3">
        <w:t>Brivaracetam</w:t>
      </w:r>
      <w:proofErr w:type="spellEnd"/>
      <w:r w:rsidRPr="001759E3">
        <w:t xml:space="preserve"> controlled complex partial seizures and temporal lobe epilepsy, suppressed epileptic foci, limited the spread of </w:t>
      </w:r>
      <w:proofErr w:type="spellStart"/>
      <w:r w:rsidRPr="001759E3">
        <w:t>seizurogenic</w:t>
      </w:r>
      <w:proofErr w:type="spellEnd"/>
      <w:r w:rsidRPr="001759E3">
        <w:t xml:space="preserve"> activit</w:t>
      </w:r>
      <w:r w:rsidR="00D86B20">
        <w:t xml:space="preserve">y and controlled/prevented </w:t>
      </w:r>
      <w:r w:rsidR="00376D5E">
        <w:t>self-</w:t>
      </w:r>
      <w:r w:rsidR="00376D5E" w:rsidRPr="001759E3">
        <w:t>sustaining</w:t>
      </w:r>
      <w:r w:rsidRPr="001759E3">
        <w:t xml:space="preserve"> status epilepticus in rodents. Brivaracetam consistently displayed greater efficacy than either diazepam or phenytoin in some models</w:t>
      </w:r>
      <w:r w:rsidR="00376D5E">
        <w:t>.</w:t>
      </w:r>
    </w:p>
    <w:p w:rsidR="00585F22" w:rsidRPr="004E441D" w:rsidRDefault="00585F22" w:rsidP="001759E3">
      <w:pPr>
        <w:pStyle w:val="Heading4"/>
      </w:pPr>
      <w:bookmarkStart w:id="56" w:name="_Toc450809078"/>
      <w:r w:rsidRPr="004E441D">
        <w:t xml:space="preserve">Effects on </w:t>
      </w:r>
      <w:proofErr w:type="spellStart"/>
      <w:r w:rsidRPr="004E441D">
        <w:t>pharmaco</w:t>
      </w:r>
      <w:proofErr w:type="spellEnd"/>
      <w:r w:rsidRPr="004E441D">
        <w:t>-resistant essential tremor in rats</w:t>
      </w:r>
      <w:bookmarkEnd w:id="56"/>
    </w:p>
    <w:p w:rsidR="00376D5E" w:rsidRDefault="00585F22" w:rsidP="001759E3">
      <w:r w:rsidRPr="001759E3">
        <w:t xml:space="preserve">In the rat </w:t>
      </w:r>
      <w:proofErr w:type="spellStart"/>
      <w:r w:rsidRPr="001759E3">
        <w:t>harmaline</w:t>
      </w:r>
      <w:proofErr w:type="spellEnd"/>
      <w:r w:rsidRPr="001759E3">
        <w:t xml:space="preserve"> model of </w:t>
      </w:r>
      <w:proofErr w:type="spellStart"/>
      <w:r w:rsidRPr="001759E3">
        <w:t>pharmacoresistant</w:t>
      </w:r>
      <w:proofErr w:type="spellEnd"/>
      <w:r w:rsidRPr="001759E3">
        <w:t xml:space="preserve"> essential tremor, brivaracetam (at its typical anti-epileptic dose range and unlike </w:t>
      </w:r>
      <w:proofErr w:type="spellStart"/>
      <w:r w:rsidRPr="001759E3">
        <w:t>levetiracetam</w:t>
      </w:r>
      <w:proofErr w:type="spellEnd"/>
      <w:r w:rsidRPr="001759E3">
        <w:t>), produced a selective anti-tremor effect without sedative and motor side</w:t>
      </w:r>
      <w:r w:rsidR="00C951AE">
        <w:t xml:space="preserve"> </w:t>
      </w:r>
      <w:r w:rsidRPr="001759E3">
        <w:t>effects. A selective anti-tremor effect, though of smaller ampli</w:t>
      </w:r>
      <w:r w:rsidR="00C951AE">
        <w:t xml:space="preserve">tude and within a narrower dose </w:t>
      </w:r>
      <w:r w:rsidRPr="001759E3">
        <w:t>range, was also obtai</w:t>
      </w:r>
      <w:r w:rsidR="00C951AE">
        <w:t xml:space="preserve">ned with propranolol, the first </w:t>
      </w:r>
      <w:r w:rsidRPr="001759E3">
        <w:t>choice “Standard of Care for Essential Tremor.” By contrast, pro-sedative effects and/or motor side-effec</w:t>
      </w:r>
      <w:r w:rsidR="00C951AE">
        <w:t xml:space="preserve">ts curtailed the effective dose </w:t>
      </w:r>
      <w:r w:rsidRPr="001759E3">
        <w:t xml:space="preserve">range or totally masked selective anti-tremor efficacy in the case of </w:t>
      </w:r>
      <w:proofErr w:type="spellStart"/>
      <w:r w:rsidRPr="001759E3">
        <w:t>primidone</w:t>
      </w:r>
      <w:proofErr w:type="spellEnd"/>
      <w:r w:rsidRPr="001759E3">
        <w:t>, clonazepam, carbamazepine, phenytoin, valproate and gabapentin</w:t>
      </w:r>
      <w:r w:rsidR="00376D5E">
        <w:t>.</w:t>
      </w:r>
    </w:p>
    <w:p w:rsidR="00585F22" w:rsidRPr="004E441D" w:rsidRDefault="00585F22" w:rsidP="001759E3">
      <w:pPr>
        <w:pStyle w:val="Heading4"/>
        <w:rPr>
          <w:lang w:val="en"/>
        </w:rPr>
      </w:pPr>
      <w:bookmarkStart w:id="57" w:name="_Toc450809079"/>
      <w:r w:rsidRPr="004E441D">
        <w:rPr>
          <w:lang w:val="en"/>
        </w:rPr>
        <w:t xml:space="preserve">Anti-seizure/anti-epilepsy properties of metabolites </w:t>
      </w:r>
      <w:r>
        <w:rPr>
          <w:lang w:val="en"/>
        </w:rPr>
        <w:t xml:space="preserve">and the </w:t>
      </w:r>
      <w:proofErr w:type="spellStart"/>
      <w:r>
        <w:rPr>
          <w:lang w:val="en"/>
        </w:rPr>
        <w:t>diastereoisomer</w:t>
      </w:r>
      <w:bookmarkEnd w:id="57"/>
      <w:proofErr w:type="spellEnd"/>
    </w:p>
    <w:p w:rsidR="00585F22" w:rsidRPr="001759E3" w:rsidRDefault="00585F22" w:rsidP="001759E3">
      <w:r w:rsidRPr="001759E3">
        <w:t xml:space="preserve">Ucb-107092-1, a major metabolite of </w:t>
      </w:r>
      <w:proofErr w:type="spellStart"/>
      <w:r w:rsidRPr="001759E3">
        <w:t>brivaracetam</w:t>
      </w:r>
      <w:proofErr w:type="spellEnd"/>
      <w:r w:rsidRPr="001759E3">
        <w:t xml:space="preserve"> in </w:t>
      </w:r>
      <w:proofErr w:type="spellStart"/>
      <w:r w:rsidRPr="001759E3">
        <w:t>renally</w:t>
      </w:r>
      <w:proofErr w:type="spellEnd"/>
      <w:r w:rsidRPr="001759E3">
        <w:t xml:space="preserve"> impaired patients, does not bind to SV2A and has no anti-epileptogenic properties. Other metabolites (ucb-42145, </w:t>
      </w:r>
      <w:r w:rsidRPr="001759E3">
        <w:lastRenderedPageBreak/>
        <w:t xml:space="preserve">ucb-100023-1, ucb-100406-1) were inactive (mouse </w:t>
      </w:r>
      <w:proofErr w:type="spellStart"/>
      <w:r w:rsidRPr="001759E3">
        <w:t>audiogenic</w:t>
      </w:r>
      <w:proofErr w:type="spellEnd"/>
      <w:r w:rsidRPr="001759E3">
        <w:t xml:space="preserve"> seizure model), but the minor metabolite ucb-47074 has anti-seizure activity, although it is less potent than brivaracetam. The </w:t>
      </w:r>
      <w:proofErr w:type="spellStart"/>
      <w:r w:rsidRPr="001759E3">
        <w:t>diastereomer</w:t>
      </w:r>
      <w:proofErr w:type="spellEnd"/>
      <w:r w:rsidRPr="001759E3">
        <w:t xml:space="preserve"> of </w:t>
      </w:r>
      <w:proofErr w:type="spellStart"/>
      <w:r w:rsidRPr="001759E3">
        <w:t>brivaracetam</w:t>
      </w:r>
      <w:proofErr w:type="spellEnd"/>
      <w:r w:rsidRPr="001759E3">
        <w:t xml:space="preserve"> (ucb-34713) binds to SV2A but with a lower affinity than brivaracetam, and was 7-fold less efficacious in a mouse </w:t>
      </w:r>
      <w:proofErr w:type="spellStart"/>
      <w:r w:rsidRPr="001759E3">
        <w:t>audiogenic</w:t>
      </w:r>
      <w:proofErr w:type="spellEnd"/>
      <w:r w:rsidRPr="001759E3">
        <w:t xml:space="preserve"> seizure model.</w:t>
      </w:r>
    </w:p>
    <w:p w:rsidR="00585F22" w:rsidRPr="001759E3" w:rsidRDefault="00585F22" w:rsidP="001759E3">
      <w:pPr>
        <w:pStyle w:val="Heading4"/>
      </w:pPr>
      <w:bookmarkStart w:id="58" w:name="_Toc450809080"/>
      <w:r w:rsidRPr="001759E3">
        <w:t>Secondary pharmacodynamics and safety pharmacology</w:t>
      </w:r>
      <w:bookmarkEnd w:id="58"/>
    </w:p>
    <w:p w:rsidR="001759E3" w:rsidRPr="001759E3" w:rsidRDefault="001759E3" w:rsidP="001759E3">
      <w:pPr>
        <w:pStyle w:val="Heading5"/>
      </w:pPr>
      <w:r w:rsidRPr="001759E3">
        <w:t>Effects on motor performance</w:t>
      </w:r>
    </w:p>
    <w:p w:rsidR="00585F22" w:rsidRPr="001759E3" w:rsidRDefault="00585F22" w:rsidP="001759E3">
      <w:r w:rsidRPr="001759E3">
        <w:t>Based on data in normal rats, br</w:t>
      </w:r>
      <w:r w:rsidR="00627D2A">
        <w:t xml:space="preserve">ivaracetam doses equivalent to approximately </w:t>
      </w:r>
      <w:r w:rsidRPr="001759E3">
        <w:t xml:space="preserve">6X the human single dose MRHD (based on BSA) did not affect locomotion. Similarly, </w:t>
      </w:r>
      <w:proofErr w:type="spellStart"/>
      <w:r w:rsidRPr="001759E3">
        <w:t>supratherapeutic</w:t>
      </w:r>
      <w:proofErr w:type="spellEnd"/>
      <w:r w:rsidRPr="001759E3">
        <w:t xml:space="preserve"> doses of </w:t>
      </w:r>
      <w:proofErr w:type="spellStart"/>
      <w:r w:rsidRPr="001759E3">
        <w:t>brivaracetam</w:t>
      </w:r>
      <w:proofErr w:type="spellEnd"/>
      <w:r w:rsidRPr="001759E3">
        <w:t xml:space="preserve"> doses were required to negatively affect </w:t>
      </w:r>
      <w:proofErr w:type="spellStart"/>
      <w:r w:rsidRPr="001759E3">
        <w:t>rotarod</w:t>
      </w:r>
      <w:proofErr w:type="spellEnd"/>
      <w:r w:rsidRPr="001759E3">
        <w:t xml:space="preserve"> performance in amygdala kindled rats (≥6X the single dose MRHD based on BSA), rats with genetic absence epilepsy (≥2X the single dose MRHD based on BSA) and in mice (</w:t>
      </w:r>
      <w:r w:rsidR="00F03681">
        <w:t xml:space="preserve">approximately </w:t>
      </w:r>
      <w:r w:rsidRPr="001759E3">
        <w:t>≥2X</w:t>
      </w:r>
      <w:r w:rsidR="00F03681">
        <w:t xml:space="preserve"> </w:t>
      </w:r>
      <w:r w:rsidR="00CC35C2">
        <w:t>M</w:t>
      </w:r>
      <w:r w:rsidRPr="001759E3">
        <w:t>R</w:t>
      </w:r>
      <w:r w:rsidR="00CC35C2">
        <w:t>H</w:t>
      </w:r>
      <w:r w:rsidRPr="001759E3">
        <w:t>D).</w:t>
      </w:r>
    </w:p>
    <w:p w:rsidR="00376D5E" w:rsidRDefault="00585F22" w:rsidP="001759E3">
      <w:r w:rsidRPr="001759E3">
        <w:t xml:space="preserve">Brivaracetam doses at </w:t>
      </w:r>
      <w:r w:rsidR="00627D2A">
        <w:t xml:space="preserve">approximately </w:t>
      </w:r>
      <w:r w:rsidRPr="001759E3">
        <w:t xml:space="preserve">6X the human single dose MRHD (based on BSA) did not affect general </w:t>
      </w:r>
      <w:proofErr w:type="spellStart"/>
      <w:r w:rsidRPr="001759E3">
        <w:t>locomotory</w:t>
      </w:r>
      <w:proofErr w:type="spellEnd"/>
      <w:r w:rsidRPr="001759E3">
        <w:t xml:space="preserve"> activity levels in normal rats</w:t>
      </w:r>
      <w:r w:rsidR="00376D5E">
        <w:t>.</w:t>
      </w:r>
    </w:p>
    <w:p w:rsidR="001759E3" w:rsidRPr="001759E3" w:rsidRDefault="00585F22" w:rsidP="001759E3">
      <w:pPr>
        <w:pStyle w:val="Heading5"/>
      </w:pPr>
      <w:r w:rsidRPr="001759E3">
        <w:t xml:space="preserve">Effects on </w:t>
      </w:r>
      <w:proofErr w:type="spellStart"/>
      <w:r w:rsidRPr="001759E3">
        <w:t>neurobehaviour</w:t>
      </w:r>
      <w:proofErr w:type="spellEnd"/>
      <w:r w:rsidRPr="001759E3">
        <w:t xml:space="preserve"> and learning</w:t>
      </w:r>
    </w:p>
    <w:p w:rsidR="00585F22" w:rsidRPr="0077532B" w:rsidRDefault="00585F22" w:rsidP="0077532B">
      <w:r w:rsidRPr="0077532B">
        <w:t>The LOAEL for effects on basic neurobehavioral paramet</w:t>
      </w:r>
      <w:r w:rsidR="003A6723">
        <w:t>ers in rats was equivalent to approximately ≤</w:t>
      </w:r>
      <w:r w:rsidRPr="0077532B">
        <w:t>9X the human single dose MRHD (based on BSA). Accordingly, brivaracetam is expected not to have adverse effects on basic neurobehavioral parameters in humans. Br</w:t>
      </w:r>
      <w:r w:rsidR="00952451">
        <w:t xml:space="preserve">ivaracetam doses equivalent to approximately </w:t>
      </w:r>
      <w:r w:rsidRPr="0077532B">
        <w:t>2X the single dose MRHD (based on BSA) did not affect learning and memory in the rat Morris water maze model.</w:t>
      </w:r>
    </w:p>
    <w:p w:rsidR="00376D5E" w:rsidRDefault="00952451" w:rsidP="0077532B">
      <w:r>
        <w:t xml:space="preserve">High doses (100 mg/kg IV; approximately </w:t>
      </w:r>
      <w:r w:rsidR="00585F22" w:rsidRPr="0077532B">
        <w:t>9X the single dose MRHD based on BSA) of brivaracetam induced transient (10-15 min) muscular relaxation and sedation. However basic neuromuscular reflexes were maintained under</w:t>
      </w:r>
      <w:r w:rsidR="00191607">
        <w:t xml:space="preserve"> these conditions. IV doses of approximately </w:t>
      </w:r>
      <w:r w:rsidR="00585F22" w:rsidRPr="0077532B">
        <w:t>18-27X the single dose MRHD (based on BSA) induced unconsciousness with loss of corneal and tail pinch reflexes. These results imply that extremely high overdoses of brivaracetam are required to produce potentially life</w:t>
      </w:r>
      <w:r w:rsidR="001265B3">
        <w:t xml:space="preserve"> </w:t>
      </w:r>
      <w:r w:rsidR="00585F22" w:rsidRPr="0077532B">
        <w:t xml:space="preserve">threatening deep unconsciousness characterized by </w:t>
      </w:r>
      <w:proofErr w:type="spellStart"/>
      <w:r w:rsidR="00585F22" w:rsidRPr="0077532B">
        <w:t>areflexia</w:t>
      </w:r>
      <w:proofErr w:type="spellEnd"/>
      <w:r w:rsidR="00585F22" w:rsidRPr="0077532B">
        <w:t xml:space="preserve"> in rats</w:t>
      </w:r>
      <w:r w:rsidR="00376D5E">
        <w:t>.</w:t>
      </w:r>
    </w:p>
    <w:p w:rsidR="00376D5E" w:rsidRDefault="00585F22" w:rsidP="0077532B">
      <w:proofErr w:type="spellStart"/>
      <w:r w:rsidRPr="0077532B">
        <w:t>Br</w:t>
      </w:r>
      <w:r w:rsidR="00952451">
        <w:t>ivaracetam</w:t>
      </w:r>
      <w:proofErr w:type="spellEnd"/>
      <w:r w:rsidR="00952451">
        <w:t xml:space="preserve"> doses equivalent to approximately </w:t>
      </w:r>
      <w:r w:rsidRPr="0077532B">
        <w:t>1X the single dose MRHD (based on BSA) had no effect on the behavioural effects of diazepam (1 mg/kg IV) when brivaracetam + diazepam drug combinations are co-administered. All observed behavioural effects of brivaracetam + diazepam combinations were due to the effects of diazepam</w:t>
      </w:r>
      <w:r w:rsidR="00376D5E">
        <w:t>.</w:t>
      </w:r>
    </w:p>
    <w:p w:rsidR="00585F22" w:rsidRPr="0077532B" w:rsidRDefault="00585F22" w:rsidP="0077532B">
      <w:r w:rsidRPr="0077532B">
        <w:t xml:space="preserve">Oral </w:t>
      </w:r>
      <w:proofErr w:type="spellStart"/>
      <w:r w:rsidRPr="0077532B">
        <w:t>brivaracetam</w:t>
      </w:r>
      <w:proofErr w:type="spellEnd"/>
      <w:r w:rsidRPr="0077532B">
        <w:t xml:space="preserve"> doses equivalent to </w:t>
      </w:r>
      <w:r w:rsidR="00916A2D">
        <w:t xml:space="preserve">approximately </w:t>
      </w:r>
      <w:r w:rsidRPr="0077532B">
        <w:t>0.6X the single dose MRHD (based on BSA) reduced dexamphetamine-</w:t>
      </w:r>
      <w:proofErr w:type="spellStart"/>
      <w:r w:rsidRPr="0077532B">
        <w:t>chlordiazepoxide</w:t>
      </w:r>
      <w:proofErr w:type="spellEnd"/>
      <w:r w:rsidR="00916A2D">
        <w:t xml:space="preserve"> </w:t>
      </w:r>
      <w:r w:rsidRPr="0077532B">
        <w:t>associated hyperactive behaviour in rats.</w:t>
      </w:r>
    </w:p>
    <w:p w:rsidR="001759E3" w:rsidRDefault="001759E3" w:rsidP="0077532B">
      <w:pPr>
        <w:pStyle w:val="Heading5"/>
      </w:pPr>
      <w:r>
        <w:t>Effects on nociception</w:t>
      </w:r>
    </w:p>
    <w:p w:rsidR="00585F22" w:rsidRPr="0077532B" w:rsidRDefault="001759E3" w:rsidP="0077532B">
      <w:r w:rsidRPr="0077532B">
        <w:t>B</w:t>
      </w:r>
      <w:r w:rsidR="00585F22" w:rsidRPr="0077532B">
        <w:t>ri</w:t>
      </w:r>
      <w:r w:rsidR="004D2F99">
        <w:t>varacetam doses equivalent to approximately ≥</w:t>
      </w:r>
      <w:r w:rsidR="00585F22" w:rsidRPr="0077532B">
        <w:t xml:space="preserve">2X the single dose MRHD (based on BSA) had no effect on hotplate and food pad formalin injection nociception in rats. However, brivaracetam equivalent to </w:t>
      </w:r>
      <w:r w:rsidR="004D2F99">
        <w:t>approximately</w:t>
      </w:r>
      <w:r w:rsidR="004D2F99" w:rsidRPr="0077532B">
        <w:t xml:space="preserve"> </w:t>
      </w:r>
      <w:r w:rsidR="00585F22" w:rsidRPr="0077532B">
        <w:t xml:space="preserve">0.6X the single dose MRHD (based on BSA) displayed analgesic properties in rat models of sciatic nerve mechanical </w:t>
      </w:r>
      <w:proofErr w:type="spellStart"/>
      <w:r w:rsidR="00585F22" w:rsidRPr="0077532B">
        <w:t>hyperalgesia</w:t>
      </w:r>
      <w:proofErr w:type="spellEnd"/>
      <w:r w:rsidR="00585F22" w:rsidRPr="0077532B">
        <w:t>/neuropathic pain in normal and diabetic rats.</w:t>
      </w:r>
    </w:p>
    <w:p w:rsidR="0077532B" w:rsidRDefault="00585F22" w:rsidP="00EF12C4">
      <w:pPr>
        <w:pStyle w:val="Heading5"/>
      </w:pPr>
      <w:r w:rsidRPr="0018617F">
        <w:t>Potential for drug abuse and drug withdrawal</w:t>
      </w:r>
    </w:p>
    <w:p w:rsidR="00376D5E" w:rsidRDefault="00585F22" w:rsidP="00EF12C4">
      <w:proofErr w:type="spellStart"/>
      <w:r w:rsidRPr="00EF12C4">
        <w:t>Subchronic</w:t>
      </w:r>
      <w:proofErr w:type="spellEnd"/>
      <w:r w:rsidRPr="00EF12C4">
        <w:t xml:space="preserve"> </w:t>
      </w:r>
      <w:proofErr w:type="spellStart"/>
      <w:r w:rsidRPr="00EF12C4">
        <w:t>brivaracetam</w:t>
      </w:r>
      <w:proofErr w:type="spellEnd"/>
      <w:r w:rsidRPr="00EF12C4">
        <w:t xml:space="preserve"> treatme</w:t>
      </w:r>
      <w:r w:rsidR="00C15B46">
        <w:t>nt of rats at doses equivalent approximately</w:t>
      </w:r>
      <w:r w:rsidR="00C15B46" w:rsidRPr="00EF12C4">
        <w:t xml:space="preserve"> </w:t>
      </w:r>
      <w:r w:rsidRPr="00EF12C4">
        <w:t>32X the single dose MRHD (based on BSA) was not associated with clinical signs of classical addictive drug withdrawal in rats</w:t>
      </w:r>
      <w:r w:rsidR="00376D5E">
        <w:t>.</w:t>
      </w:r>
    </w:p>
    <w:p w:rsidR="00376D5E" w:rsidRDefault="00585F22" w:rsidP="00EF12C4">
      <w:r w:rsidRPr="00EF12C4">
        <w:t xml:space="preserve">Based the potential to reinforce cocaine self-administration brivaracetam at up to doses of 10 mg/kg (IV infusion; maximum human single IV dose margin of exposure at the NOEL </w:t>
      </w:r>
      <w:r w:rsidR="00C15B46">
        <w:lastRenderedPageBreak/>
        <w:t>approximately</w:t>
      </w:r>
      <w:r w:rsidR="00C15B46" w:rsidRPr="00EF12C4">
        <w:t xml:space="preserve"> </w:t>
      </w:r>
      <w:r w:rsidRPr="00EF12C4">
        <w:t>1X the single dose MRHD based on BSA) has a low potential to influence drug abuse behaviour in rats</w:t>
      </w:r>
      <w:r w:rsidR="00376D5E">
        <w:t>.</w:t>
      </w:r>
    </w:p>
    <w:p w:rsidR="00376D5E" w:rsidRDefault="00585F22" w:rsidP="00EF12C4">
      <w:proofErr w:type="spellStart"/>
      <w:r w:rsidRPr="00EF12C4">
        <w:t>Brivaracetam</w:t>
      </w:r>
      <w:proofErr w:type="spellEnd"/>
      <w:r w:rsidRPr="00EF12C4">
        <w:t xml:space="preserve"> engendered partial cross gener</w:t>
      </w:r>
      <w:r w:rsidR="000D0B29">
        <w:t>alis</w:t>
      </w:r>
      <w:r w:rsidRPr="00EF12C4">
        <w:t xml:space="preserve">ation to </w:t>
      </w:r>
      <w:proofErr w:type="spellStart"/>
      <w:r w:rsidRPr="00EF12C4">
        <w:t>chlordiazepoxide</w:t>
      </w:r>
      <w:proofErr w:type="spellEnd"/>
      <w:r w:rsidRPr="00EF12C4">
        <w:t xml:space="preserve"> at doses ≥1 mg/kg</w:t>
      </w:r>
      <w:r w:rsidR="000D0B29">
        <w:t xml:space="preserve">/day (LOEL; margin of exposure approximately </w:t>
      </w:r>
      <w:r w:rsidRPr="00EF12C4">
        <w:t xml:space="preserve">1X based on BSA). The interpretation of partial generalization results in drug discrimination assays is controversial. A very conservative risk assessment interpretation would be that partial generalisation is a positive signal for abuse potential. However, the human relevance of the results of drug discrimination assays remains uncertain. When this result considered in the overall context of the available data on addiction potential, </w:t>
      </w:r>
      <w:proofErr w:type="spellStart"/>
      <w:r w:rsidR="00EF12C4">
        <w:t>brivaracetam’</w:t>
      </w:r>
      <w:r w:rsidRPr="00EF12C4">
        <w:t>s</w:t>
      </w:r>
      <w:proofErr w:type="spellEnd"/>
      <w:r w:rsidRPr="00EF12C4">
        <w:t xml:space="preserve"> potential to induce or influence addictive behaviours is likely negligible</w:t>
      </w:r>
      <w:r w:rsidR="00376D5E">
        <w:t>.</w:t>
      </w:r>
    </w:p>
    <w:p w:rsidR="00D60DFA" w:rsidRDefault="00585F22" w:rsidP="00D60DFA">
      <w:pPr>
        <w:pStyle w:val="Heading5"/>
      </w:pPr>
      <w:r w:rsidRPr="0018617F">
        <w:t>Effects on cardio</w:t>
      </w:r>
      <w:r w:rsidR="00D60DFA">
        <w:t>vascular/respiratory function</w:t>
      </w:r>
    </w:p>
    <w:p w:rsidR="00376D5E" w:rsidRDefault="00585F22" w:rsidP="00D60DFA">
      <w:r w:rsidRPr="00D60DFA">
        <w:t>Based on in vitro data, brivaracetam treatment resulting in the maximum expected human plasma C</w:t>
      </w:r>
      <w:r w:rsidR="00D60DFA">
        <w:t>m</w:t>
      </w:r>
      <w:r w:rsidRPr="00D60DFA">
        <w:t xml:space="preserve">ax is unlikely to affect cardiac Purkinje fibre action potentials, </w:t>
      </w:r>
      <w:proofErr w:type="spellStart"/>
      <w:r w:rsidRPr="00D60DFA">
        <w:t>hERG</w:t>
      </w:r>
      <w:proofErr w:type="spellEnd"/>
      <w:r w:rsidRPr="00D60DFA">
        <w:t xml:space="preserve"> channel function, cardiac sodium channel function and cardiac calcium channel</w:t>
      </w:r>
      <w:r w:rsidR="00D22619">
        <w:t xml:space="preserve"> function (margin of exposure approximately ≥</w:t>
      </w:r>
      <w:r w:rsidRPr="00D60DFA">
        <w:t>7 based on molar concentration comparison at the C</w:t>
      </w:r>
      <w:r w:rsidR="00C108E1">
        <w:t>m</w:t>
      </w:r>
      <w:r w:rsidRPr="00D60DFA">
        <w:t>ax)</w:t>
      </w:r>
      <w:r w:rsidR="00376D5E">
        <w:t>.</w:t>
      </w:r>
    </w:p>
    <w:p w:rsidR="00585F22" w:rsidRPr="00D60DFA" w:rsidRDefault="00585F22" w:rsidP="00D60DFA">
      <w:r w:rsidRPr="00D60DFA">
        <w:t>Based on canine data, administration is unlikely to have adverse effects on haemodynamic and respiratory functio</w:t>
      </w:r>
      <w:r w:rsidR="00D22619">
        <w:t>n in vivo (margin of exposure approximately ≥</w:t>
      </w:r>
      <w:r w:rsidRPr="00D60DFA">
        <w:t xml:space="preserve">2 based on free AUC). Notably, female dogs (conscious telemetered) displayed a greater sensitivity to the effects of PO </w:t>
      </w:r>
      <w:proofErr w:type="spellStart"/>
      <w:r w:rsidRPr="00D60DFA">
        <w:t>supratherapeutic</w:t>
      </w:r>
      <w:proofErr w:type="spellEnd"/>
      <w:r w:rsidRPr="00D60DFA">
        <w:t xml:space="preserve"> doses of </w:t>
      </w:r>
      <w:proofErr w:type="spellStart"/>
      <w:r w:rsidRPr="00D60DFA">
        <w:t>brivaracetam</w:t>
      </w:r>
      <w:proofErr w:type="spellEnd"/>
      <w:r w:rsidRPr="00D60DFA">
        <w:t xml:space="preserve"> on blood pressure. In female (but not male) dogs, doses ≥50 mg/kg PO resulted in a tendency for reduced blood pressure between 4-20 h post dosing (≤25-27 mm Hg maximum reduction in mean arterial pressure with maximum reductions of ≤29-31 mm Hg mean systolic arterial pressure and maximum reductions of 23-25 mm Hg mean diastolic pressure). This dose is 15X the single dose MRHD and plasma concentrations at 2 h post-dose were 17X the clinical C</w:t>
      </w:r>
      <w:r w:rsidR="00C8190F">
        <w:t>m</w:t>
      </w:r>
      <w:r w:rsidRPr="00D60DFA">
        <w:t>ax. Similar effects were not seen in repeat dose dog studies at higher doses, and the human relevance of these findings is likely to be low.</w:t>
      </w:r>
    </w:p>
    <w:p w:rsidR="00C108E1" w:rsidRDefault="00585F22" w:rsidP="00C8190F">
      <w:pPr>
        <w:pStyle w:val="Heading5"/>
      </w:pPr>
      <w:r w:rsidRPr="006110DA">
        <w:t>Effect</w:t>
      </w:r>
      <w:r w:rsidR="00E41377">
        <w:t>s on gastrointestinal function</w:t>
      </w:r>
    </w:p>
    <w:p w:rsidR="00376D5E" w:rsidRDefault="00C108E1" w:rsidP="00C8190F">
      <w:r w:rsidRPr="00C8190F">
        <w:t>B</w:t>
      </w:r>
      <w:r w:rsidR="00585F22" w:rsidRPr="00C8190F">
        <w:t>rivaracetam treatment at the maximum human single dose is unlikely to affect GI transit times and gastric emptying (single dose MRHD margin of e</w:t>
      </w:r>
      <w:r w:rsidR="00D22619">
        <w:t>xposure at the NOEL/NOAEL all approximately &gt;</w:t>
      </w:r>
      <w:r w:rsidR="00585F22" w:rsidRPr="00C8190F">
        <w:t>27 based on BSA comparisons)</w:t>
      </w:r>
      <w:r w:rsidR="00376D5E">
        <w:t>.</w:t>
      </w:r>
    </w:p>
    <w:p w:rsidR="00C8190F" w:rsidRDefault="00C8190F" w:rsidP="00C8190F">
      <w:pPr>
        <w:pStyle w:val="Heading5"/>
      </w:pPr>
      <w:r>
        <w:t>Effects of metabolites</w:t>
      </w:r>
    </w:p>
    <w:p w:rsidR="00585F22" w:rsidRPr="00C8190F" w:rsidRDefault="00585F22" w:rsidP="00C8190F">
      <w:r w:rsidRPr="00C8190F">
        <w:t xml:space="preserve">Ucb-107092-1, a major metabolite of brivaracetam in humans with renal impairment, is unlikely to induce adverse effects on basic behaviour (based on rat Irwin behavioural screen results), cardiac </w:t>
      </w:r>
      <w:proofErr w:type="spellStart"/>
      <w:r w:rsidRPr="00C8190F">
        <w:t>hERG</w:t>
      </w:r>
      <w:proofErr w:type="spellEnd"/>
      <w:r w:rsidRPr="00C8190F">
        <w:t xml:space="preserve"> channels, cardiac Purkinje fibre action potentials, basic cardiovascular and respiratory parameters, GI motility and gastric emptying at the proposed levels of human exposure.</w:t>
      </w:r>
    </w:p>
    <w:p w:rsidR="00585F22" w:rsidRPr="00C8190F" w:rsidRDefault="00585F22" w:rsidP="00C8190F">
      <w:r w:rsidRPr="00C8190F">
        <w:t xml:space="preserve">Ucb-34713, the </w:t>
      </w:r>
      <w:proofErr w:type="spellStart"/>
      <w:r w:rsidRPr="00C8190F">
        <w:t>diastereoisomer</w:t>
      </w:r>
      <w:proofErr w:type="spellEnd"/>
      <w:r w:rsidRPr="00C8190F">
        <w:t xml:space="preserve"> of </w:t>
      </w:r>
      <w:proofErr w:type="spellStart"/>
      <w:r w:rsidRPr="00C8190F">
        <w:t>brivaracetam</w:t>
      </w:r>
      <w:proofErr w:type="spellEnd"/>
      <w:r w:rsidRPr="00C8190F">
        <w:t xml:space="preserve">, is unlikely to induce adverse effects on cardiac Purkinje fibre action potentials (NOAEL &gt;20 </w:t>
      </w:r>
      <w:proofErr w:type="spellStart"/>
      <w:r w:rsidRPr="00C8190F">
        <w:t>μg</w:t>
      </w:r>
      <w:proofErr w:type="spellEnd"/>
      <w:r w:rsidRPr="00C8190F">
        <w:t xml:space="preserve">/mL in vitro) and cardiac </w:t>
      </w:r>
      <w:proofErr w:type="spellStart"/>
      <w:r w:rsidRPr="00C8190F">
        <w:t>hERG</w:t>
      </w:r>
      <w:proofErr w:type="spellEnd"/>
      <w:r w:rsidRPr="00C8190F">
        <w:t xml:space="preserve"> channel functions (NOAEL &gt;20 </w:t>
      </w:r>
      <w:proofErr w:type="spellStart"/>
      <w:r w:rsidRPr="00C8190F">
        <w:t>μg</w:t>
      </w:r>
      <w:proofErr w:type="spellEnd"/>
      <w:r w:rsidRPr="00C8190F">
        <w:t>/mL in vitro) at the proposed maximum level of human exposure (ucb-34713 maximum exposure of 0.1 mg/kg/day, if present at 2.5%).</w:t>
      </w:r>
    </w:p>
    <w:p w:rsidR="008E7846" w:rsidRDefault="008E7846" w:rsidP="008E7846">
      <w:pPr>
        <w:pStyle w:val="Heading3"/>
      </w:pPr>
      <w:bookmarkStart w:id="59" w:name="_Toc247691513"/>
      <w:bookmarkStart w:id="60" w:name="_Toc314842497"/>
      <w:bookmarkStart w:id="61" w:name="_Toc479595223"/>
      <w:r>
        <w:t>Pharmacokinetics</w:t>
      </w:r>
      <w:bookmarkEnd w:id="59"/>
      <w:bookmarkEnd w:id="60"/>
      <w:bookmarkEnd w:id="61"/>
    </w:p>
    <w:p w:rsidR="00F477D8" w:rsidRPr="00F477D8" w:rsidRDefault="00F477D8" w:rsidP="00F477D8">
      <w:pPr>
        <w:pStyle w:val="Heading4"/>
      </w:pPr>
      <w:bookmarkStart w:id="62" w:name="_Toc450809082"/>
      <w:bookmarkStart w:id="63" w:name="_Toc247691514"/>
      <w:bookmarkStart w:id="64" w:name="_Toc314842498"/>
      <w:r w:rsidRPr="00F477D8">
        <w:t>Absorption and plasma kinetics</w:t>
      </w:r>
      <w:bookmarkEnd w:id="62"/>
    </w:p>
    <w:p w:rsidR="00F477D8" w:rsidRDefault="00F477D8" w:rsidP="00F477D8">
      <w:pPr>
        <w:pStyle w:val="Heading5"/>
      </w:pPr>
      <w:r>
        <w:t>In vitro</w:t>
      </w:r>
    </w:p>
    <w:p w:rsidR="00F477D8" w:rsidRPr="00F477D8" w:rsidRDefault="00F477D8" w:rsidP="00F477D8">
      <w:proofErr w:type="spellStart"/>
      <w:r w:rsidRPr="00F477D8">
        <w:t>B</w:t>
      </w:r>
      <w:r w:rsidR="00E663BD">
        <w:t>rivaracetam</w:t>
      </w:r>
      <w:proofErr w:type="spellEnd"/>
      <w:r w:rsidR="00E663BD">
        <w:t xml:space="preserve"> displayed high, </w:t>
      </w:r>
      <w:r w:rsidR="00376D5E">
        <w:t>non-</w:t>
      </w:r>
      <w:r w:rsidR="00376D5E" w:rsidRPr="00F477D8">
        <w:t>polarised</w:t>
      </w:r>
      <w:r w:rsidRPr="00F477D8">
        <w:t xml:space="preserve"> permeability to Caco-2 intestinal </w:t>
      </w:r>
      <w:proofErr w:type="spellStart"/>
      <w:r w:rsidRPr="00F477D8">
        <w:t>enterothelial</w:t>
      </w:r>
      <w:proofErr w:type="spellEnd"/>
      <w:r w:rsidRPr="00F477D8">
        <w:t xml:space="preserve"> cell monolayers. Consistent with this finding was that brivaracetam is not a substrate for common </w:t>
      </w:r>
      <w:proofErr w:type="spellStart"/>
      <w:r w:rsidRPr="00F477D8">
        <w:t>enterothelial</w:t>
      </w:r>
      <w:proofErr w:type="spellEnd"/>
      <w:r w:rsidRPr="00F477D8">
        <w:t xml:space="preserve"> transporters.</w:t>
      </w:r>
    </w:p>
    <w:p w:rsidR="00F477D8" w:rsidRDefault="00F477D8" w:rsidP="00F477D8">
      <w:pPr>
        <w:pStyle w:val="Heading5"/>
      </w:pPr>
      <w:r>
        <w:lastRenderedPageBreak/>
        <w:t>In vivo</w:t>
      </w:r>
    </w:p>
    <w:p w:rsidR="00F477D8" w:rsidRPr="00F477D8" w:rsidRDefault="00F477D8" w:rsidP="00F477D8">
      <w:r w:rsidRPr="00F477D8">
        <w:t>At pharmacologically relevant doses brivaracetam is rapidly and completely absorbed from the GI tract. Fasting has little, if any, effect on absorption. Plasma Tmax after oral dosing ranged from 0.08-1h across different species. Oral bioavailability (F) in</w:t>
      </w:r>
      <w:r w:rsidR="00E663BD">
        <w:t xml:space="preserve"> rats and dogs is approximately </w:t>
      </w:r>
      <w:r w:rsidRPr="00F477D8">
        <w:t xml:space="preserve">100% and the route of administration makes little difference to basic pharmacokinetic parameters, consistent with rapid GI absorption and minimal first-pass extraction in these species. </w:t>
      </w:r>
      <w:proofErr w:type="spellStart"/>
      <w:r w:rsidRPr="00F477D8">
        <w:t>Cynomolgus</w:t>
      </w:r>
      <w:proofErr w:type="spellEnd"/>
      <w:r w:rsidRPr="00F477D8">
        <w:t xml:space="preserve"> monkeys have a species</w:t>
      </w:r>
      <w:r w:rsidR="009575DB">
        <w:t xml:space="preserve"> </w:t>
      </w:r>
      <w:r w:rsidRPr="00F477D8">
        <w:t>specific high first pass extraction (F &lt;10%) and high clearance (Cl). In most species, plasma levels increased with dose allowing high multiples of the human exposure to be achieved in the toxicology studies. However, dose non-linearity was observed in some cases (particul</w:t>
      </w:r>
      <w:r w:rsidR="00876C76">
        <w:t xml:space="preserve">arly in dogs; </w:t>
      </w:r>
      <w:r w:rsidRPr="00F477D8">
        <w:t xml:space="preserve">a species specific effect due to metabolic differences). The plasma exposure in juvenile rats was </w:t>
      </w:r>
      <w:r w:rsidR="002F411F">
        <w:t xml:space="preserve">approximately </w:t>
      </w:r>
      <w:r w:rsidRPr="00F477D8">
        <w:t xml:space="preserve">4X that of adult animals on </w:t>
      </w:r>
      <w:r w:rsidR="002A2ED9">
        <w:t>postnatal day (</w:t>
      </w:r>
      <w:r w:rsidRPr="00F477D8">
        <w:t>PND</w:t>
      </w:r>
      <w:r w:rsidR="002A2ED9">
        <w:t>)</w:t>
      </w:r>
      <w:r w:rsidRPr="00F477D8">
        <w:t xml:space="preserve"> 4. However, systemic exposure in juveniles was similar to that of adults at other points during development.</w:t>
      </w:r>
    </w:p>
    <w:p w:rsidR="00F477D8" w:rsidRPr="00F477D8" w:rsidRDefault="00627D2A" w:rsidP="00F477D8">
      <w:r>
        <w:t>The terminal elimination half</w:t>
      </w:r>
      <w:r w:rsidR="00F477D8" w:rsidRPr="00F477D8">
        <w:t>-life (t½) in animals is generally short (</w:t>
      </w:r>
      <w:r w:rsidR="00E84141">
        <w:t xml:space="preserve">approximately </w:t>
      </w:r>
      <w:r w:rsidR="00F477D8" w:rsidRPr="00F477D8">
        <w:t xml:space="preserve">0.3h in </w:t>
      </w:r>
      <w:proofErr w:type="spellStart"/>
      <w:r w:rsidR="00F477D8" w:rsidRPr="00F477D8">
        <w:t>Cynomolgus</w:t>
      </w:r>
      <w:proofErr w:type="spellEnd"/>
      <w:r w:rsidR="00F477D8" w:rsidRPr="00F477D8">
        <w:t xml:space="preserve"> monkeys to </w:t>
      </w:r>
      <w:r w:rsidR="00E84141">
        <w:t xml:space="preserve">approximately </w:t>
      </w:r>
      <w:r w:rsidR="00F477D8" w:rsidRPr="00F477D8">
        <w:t xml:space="preserve">2 h in female rats). </w:t>
      </w:r>
      <w:proofErr w:type="spellStart"/>
      <w:r w:rsidR="00F477D8" w:rsidRPr="00F477D8">
        <w:t>Cynomolgus</w:t>
      </w:r>
      <w:proofErr w:type="spellEnd"/>
      <w:r w:rsidR="00F477D8" w:rsidRPr="00F477D8">
        <w:t xml:space="preserve"> monkeys generally have </w:t>
      </w:r>
      <w:r w:rsidR="002F411F">
        <w:t xml:space="preserve">approximately </w:t>
      </w:r>
      <w:r w:rsidR="00F477D8" w:rsidRPr="00F477D8">
        <w:t>2X the Cl to other species (consistent with their higher rate of metabolic clearance). However, Cl (when normali</w:t>
      </w:r>
      <w:r w:rsidR="00E84141">
        <w:t>s</w:t>
      </w:r>
      <w:r w:rsidR="00F477D8" w:rsidRPr="00F477D8">
        <w:t xml:space="preserve">ed to body weight) in non-primates was still </w:t>
      </w:r>
      <w:r w:rsidR="00E84141">
        <w:t xml:space="preserve">approximately </w:t>
      </w:r>
      <w:r w:rsidR="00F477D8" w:rsidRPr="00F477D8">
        <w:t xml:space="preserve">4-21X higher than humans. The T½ in animals is </w:t>
      </w:r>
      <w:r w:rsidR="00E84141">
        <w:t xml:space="preserve">approximately </w:t>
      </w:r>
      <w:r w:rsidR="00F477D8" w:rsidRPr="00F477D8">
        <w:t xml:space="preserve">0.03-0.2X the human T½ of </w:t>
      </w:r>
      <w:r w:rsidR="00E84141">
        <w:t xml:space="preserve">approximately </w:t>
      </w:r>
      <w:r w:rsidR="00F477D8" w:rsidRPr="00F477D8">
        <w:t>9 h. Because of the short plasma half-life in animals, the dosing regimen in most nonclinical toxicological studies had to be adapted to ensure coverag</w:t>
      </w:r>
      <w:r w:rsidR="00E84141">
        <w:t>e throughout the whole day (that is,</w:t>
      </w:r>
      <w:r w:rsidR="00F477D8" w:rsidRPr="00F477D8">
        <w:t xml:space="preserve"> multiple daily dosing, sometimes combined with dietary administration). Unlike humans, repeat dosing to rodents and dogs (not </w:t>
      </w:r>
      <w:proofErr w:type="spellStart"/>
      <w:r w:rsidR="00F477D8" w:rsidRPr="00F477D8">
        <w:t>Cynomolgus</w:t>
      </w:r>
      <w:proofErr w:type="spellEnd"/>
      <w:r w:rsidR="00F477D8" w:rsidRPr="00F477D8">
        <w:t xml:space="preserve"> monkeys) was associated with a decrease in systemic exposure, as a result of auto-induction of metabolism.</w:t>
      </w:r>
    </w:p>
    <w:p w:rsidR="00376D5E" w:rsidRDefault="00F477D8" w:rsidP="00F477D8">
      <w:r w:rsidRPr="00F477D8">
        <w:t>Biological sex had minimal effects on absorption and plasma pharmacokinetic parameters except in rats where females have higher systemic exposures and slower elimination. Nonlinear kinetics occurred in the dog following IV dosing, however this appears to be a species specific effect (not observed in any other species)</w:t>
      </w:r>
      <w:r w:rsidR="00376D5E">
        <w:t>.</w:t>
      </w:r>
    </w:p>
    <w:p w:rsidR="00F477D8" w:rsidRPr="004E441D" w:rsidRDefault="00F477D8" w:rsidP="00F477D8">
      <w:pPr>
        <w:pStyle w:val="Heading4"/>
        <w:rPr>
          <w:i/>
        </w:rPr>
      </w:pPr>
      <w:bookmarkStart w:id="65" w:name="_Toc450809083"/>
      <w:r w:rsidRPr="004E441D">
        <w:t>Distribution</w:t>
      </w:r>
      <w:bookmarkEnd w:id="65"/>
    </w:p>
    <w:p w:rsidR="00376D5E" w:rsidRDefault="00F477D8" w:rsidP="00F477D8">
      <w:r w:rsidRPr="00F477D8">
        <w:t>Brivaracetam essentially distributes to the total body water, including the CNS, placent</w:t>
      </w:r>
      <w:r w:rsidR="009575DB">
        <w:t>a and reproductive tissues (</w:t>
      </w:r>
      <w:proofErr w:type="spellStart"/>
      <w:r w:rsidR="009575DB">
        <w:t>Vz</w:t>
      </w:r>
      <w:proofErr w:type="spellEnd"/>
      <w:r w:rsidR="009575DB">
        <w:t xml:space="preserve"> is approximately </w:t>
      </w:r>
      <w:r w:rsidRPr="00F477D8">
        <w:t xml:space="preserve">total body water volume). Based on </w:t>
      </w:r>
      <w:proofErr w:type="spellStart"/>
      <w:r w:rsidRPr="00F477D8">
        <w:t>Vz</w:t>
      </w:r>
      <w:proofErr w:type="spellEnd"/>
      <w:r w:rsidRPr="00F477D8">
        <w:t xml:space="preserve"> measurements, tissue sequestration as a fraction of dose appears to be negligible. Plasma protein binding ranges from 12.2-26.5% across species (humans</w:t>
      </w:r>
      <w:r w:rsidR="009575DB">
        <w:t xml:space="preserve"> </w:t>
      </w:r>
      <w:r w:rsidRPr="00F477D8">
        <w:t>=</w:t>
      </w:r>
      <w:r w:rsidR="009575DB">
        <w:t xml:space="preserve"> </w:t>
      </w:r>
      <w:r w:rsidRPr="00F477D8">
        <w:t xml:space="preserve">20.7%). The </w:t>
      </w:r>
      <w:proofErr w:type="spellStart"/>
      <w:r w:rsidRPr="00F477D8">
        <w:t>brivaracetam</w:t>
      </w:r>
      <w:proofErr w:type="spellEnd"/>
      <w:r w:rsidRPr="00F477D8">
        <w:t xml:space="preserve"> </w:t>
      </w:r>
      <w:proofErr w:type="spellStart"/>
      <w:r w:rsidRPr="00F477D8">
        <w:t>erythrocyte</w:t>
      </w:r>
      <w:proofErr w:type="gramStart"/>
      <w:r w:rsidRPr="00F477D8">
        <w:t>:plasma</w:t>
      </w:r>
      <w:proofErr w:type="spellEnd"/>
      <w:proofErr w:type="gramEnd"/>
      <w:r w:rsidRPr="00F477D8">
        <w:t xml:space="preserve"> concentration ratio ranges from 0.62-0.84 depending on species and i</w:t>
      </w:r>
      <w:r w:rsidR="009575DB">
        <w:t xml:space="preserve">ts whole </w:t>
      </w:r>
      <w:proofErr w:type="spellStart"/>
      <w:r w:rsidR="009575DB">
        <w:t>blood:plasma</w:t>
      </w:r>
      <w:proofErr w:type="spellEnd"/>
      <w:r w:rsidR="009575DB">
        <w:t xml:space="preserve"> ratio is approximately </w:t>
      </w:r>
      <w:r w:rsidRPr="00F477D8">
        <w:t>1:1</w:t>
      </w:r>
      <w:r w:rsidR="00376D5E">
        <w:t>.</w:t>
      </w:r>
    </w:p>
    <w:p w:rsidR="00376D5E" w:rsidRDefault="00F477D8" w:rsidP="00F477D8">
      <w:r w:rsidRPr="00F477D8">
        <w:t>Following oral dosing with 14C-brivaracetam, radioactivity mostly accumulated at sit</w:t>
      </w:r>
      <w:r w:rsidR="009575DB">
        <w:t xml:space="preserve">es involved in absorption (that is, </w:t>
      </w:r>
      <w:r w:rsidRPr="00F477D8">
        <w:t>the GI tract), biotransformation (the liver) and excretion (kidney)</w:t>
      </w:r>
      <w:r w:rsidR="00376D5E">
        <w:t>.</w:t>
      </w:r>
    </w:p>
    <w:p w:rsidR="00F477D8" w:rsidRPr="00F477D8" w:rsidRDefault="00F477D8" w:rsidP="00F477D8">
      <w:r w:rsidRPr="00F477D8">
        <w:t xml:space="preserve">Distribution to the brain in </w:t>
      </w:r>
      <w:proofErr w:type="spellStart"/>
      <w:r w:rsidRPr="00F477D8">
        <w:t>audiogenic</w:t>
      </w:r>
      <w:proofErr w:type="spellEnd"/>
      <w:r w:rsidRPr="00F477D8">
        <w:t xml:space="preserve"> seizure</w:t>
      </w:r>
      <w:r w:rsidR="0046000B">
        <w:t xml:space="preserve"> </w:t>
      </w:r>
      <w:r w:rsidRPr="00F477D8">
        <w:t xml:space="preserve">prone mice is very rapid (brain Tmax </w:t>
      </w:r>
      <w:r w:rsidR="0046000B">
        <w:t xml:space="preserve">approximately </w:t>
      </w:r>
      <w:r w:rsidRPr="00F477D8">
        <w:t xml:space="preserve">15 min) following oral dosing and the pharmacological effects were directly proportional to brain concentration. In rodents, rapid equilibration of tissue and plasma concentrations occurs (plasma-to-brain tissue concentration ratios of </w:t>
      </w:r>
      <w:r w:rsidR="002F411F">
        <w:t xml:space="preserve">approximately </w:t>
      </w:r>
      <w:r w:rsidRPr="00F477D8">
        <w:t>1:1). Plasma-to-brain tissue concentration ratio was not affected by route of administration, sex or sampling time in rodents.</w:t>
      </w:r>
    </w:p>
    <w:p w:rsidR="00F477D8" w:rsidRPr="00F477D8" w:rsidRDefault="00F477D8" w:rsidP="00F477D8">
      <w:r w:rsidRPr="00F477D8">
        <w:t xml:space="preserve">Apparent short-term tissue sequestration was noted in the preputial/clitoral glands and/or their associated secretions and in the lens capsules. Apart from these sites of apparent sequestration, tissue radioactivity levels essentially matched the plasma concentration and tissue elimination was rapid and near complete by 24 h. Sequestration in the preputial/clitoral glands and/or their associated secretions was associated with a much slower decline in tissue radioactivity levels (returning to background at </w:t>
      </w:r>
      <w:r w:rsidR="0046000B">
        <w:lastRenderedPageBreak/>
        <w:t xml:space="preserve">approximately </w:t>
      </w:r>
      <w:r w:rsidRPr="00F477D8">
        <w:t>72 h post</w:t>
      </w:r>
      <w:r w:rsidR="0046000B">
        <w:t xml:space="preserve"> </w:t>
      </w:r>
      <w:r w:rsidRPr="00F477D8">
        <w:t>dose). This effect was specific to rats, fully reversible, not associated with metabolite formation and did not involve covalent tissue binding. As humans lack preputial/clitoral glands this finding is not regarded as human-relevant.</w:t>
      </w:r>
    </w:p>
    <w:p w:rsidR="00376D5E" w:rsidRDefault="00F477D8" w:rsidP="00F477D8">
      <w:r w:rsidRPr="00F477D8">
        <w:t>Brivaracetam rapidly crosses the placenta in rats with equilibration within about 1 h and maternal to f</w:t>
      </w:r>
      <w:r w:rsidR="008F5DC8">
        <w:t>o</w:t>
      </w:r>
      <w:r w:rsidRPr="00F477D8">
        <w:t xml:space="preserve">etal/placental tissue and fluid ratios of </w:t>
      </w:r>
      <w:r w:rsidR="0046000B">
        <w:t xml:space="preserve">approximately </w:t>
      </w:r>
      <w:r w:rsidRPr="00F477D8">
        <w:t>1:1</w:t>
      </w:r>
      <w:r w:rsidR="00376D5E">
        <w:t>.</w:t>
      </w:r>
    </w:p>
    <w:p w:rsidR="00F477D8" w:rsidRPr="004E441D" w:rsidRDefault="00F477D8" w:rsidP="00F477D8">
      <w:pPr>
        <w:pStyle w:val="Heading4"/>
      </w:pPr>
      <w:bookmarkStart w:id="66" w:name="_Toc450809084"/>
      <w:r w:rsidRPr="004E441D">
        <w:t>Metabolism</w:t>
      </w:r>
      <w:bookmarkEnd w:id="66"/>
    </w:p>
    <w:p w:rsidR="00F477D8" w:rsidRDefault="00F477D8" w:rsidP="00F477D8">
      <w:proofErr w:type="gramStart"/>
      <w:r w:rsidRPr="00F477D8">
        <w:t>The proposed metabolic pathways shown below</w:t>
      </w:r>
      <w:r>
        <w:t xml:space="preserve"> in Figure </w:t>
      </w:r>
      <w:r w:rsidR="00B900DC">
        <w:t>2.</w:t>
      </w:r>
      <w:proofErr w:type="gramEnd"/>
    </w:p>
    <w:p w:rsidR="00170064" w:rsidRPr="00F477D8" w:rsidRDefault="00170064" w:rsidP="003461CB">
      <w:pPr>
        <w:pStyle w:val="FigureTitle"/>
      </w:pPr>
      <w:r>
        <w:t xml:space="preserve">Figure 2: </w:t>
      </w:r>
      <w:r w:rsidR="005A3916">
        <w:t>P</w:t>
      </w:r>
      <w:r w:rsidR="003461CB" w:rsidRPr="00F477D8">
        <w:t>roposed metabolic pathways</w:t>
      </w:r>
      <w:r w:rsidR="00AD27DF">
        <w:t xml:space="preserve"> of brivaracetam</w:t>
      </w:r>
      <w:r w:rsidR="003461CB">
        <w:t>.</w:t>
      </w:r>
    </w:p>
    <w:p w:rsidR="00F477D8" w:rsidRPr="004E441D" w:rsidRDefault="00D70A86" w:rsidP="00376D5E">
      <w:pPr>
        <w:rPr>
          <w:rFonts w:asciiTheme="minorHAnsi" w:hAnsiTheme="minorHAnsi"/>
          <w:sz w:val="23"/>
          <w:szCs w:val="23"/>
        </w:rPr>
      </w:pPr>
      <w:r>
        <w:rPr>
          <w:noProof/>
          <w:lang w:eastAsia="en-AU"/>
        </w:rPr>
        <w:drawing>
          <wp:inline distT="0" distB="0" distL="0" distR="0" wp14:anchorId="777AD1E1" wp14:editId="3DD2AE02">
            <wp:extent cx="4762734" cy="3959787"/>
            <wp:effectExtent l="0" t="0" r="0" b="3175"/>
            <wp:docPr id="17" name="Picture 17" descr="Figure 2: Proposed metabolic pathways of brivarace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67633" cy="3963860"/>
                    </a:xfrm>
                    <a:prstGeom prst="rect">
                      <a:avLst/>
                    </a:prstGeom>
                  </pic:spPr>
                </pic:pic>
              </a:graphicData>
            </a:graphic>
          </wp:inline>
        </w:drawing>
      </w:r>
    </w:p>
    <w:p w:rsidR="00F477D8" w:rsidRPr="00890115" w:rsidRDefault="00F477D8" w:rsidP="00890115">
      <w:r w:rsidRPr="00890115">
        <w:t xml:space="preserve">In all species examined (including humans), hepatic metabolism is responsible for most of plasma clearance of brivaracetam. Based in in vitro microsomal and hepatocyte data, humans have the slowest rate of </w:t>
      </w:r>
      <w:proofErr w:type="spellStart"/>
      <w:r w:rsidRPr="00890115">
        <w:t>brivaracetam</w:t>
      </w:r>
      <w:proofErr w:type="spellEnd"/>
      <w:r w:rsidRPr="00890115">
        <w:t xml:space="preserve"> metabolism, </w:t>
      </w:r>
      <w:proofErr w:type="spellStart"/>
      <w:r w:rsidRPr="00890115">
        <w:t>Cynomolgus</w:t>
      </w:r>
      <w:proofErr w:type="spellEnd"/>
      <w:r w:rsidRPr="00890115">
        <w:t xml:space="preserve"> monkeys have the highest metabolism and rodents are intermediate metabolisers. Brivaracetam is rapidly and extensively metabolised and the metabolites are virtually exclusively excreted in urine. The major routes of metabolism are stereo-selective hydroxylation of the propyl side-chain to form ucb-1</w:t>
      </w:r>
      <w:r w:rsidR="008F5DC8">
        <w:t xml:space="preserve">00406-1 (catalysed by CYP2C19; approximately </w:t>
      </w:r>
      <w:r w:rsidRPr="00890115">
        <w:t xml:space="preserve">30-40% of the dose in all species except humans; </w:t>
      </w:r>
      <w:r w:rsidR="00127E64">
        <w:t xml:space="preserve">approximately </w:t>
      </w:r>
      <w:r w:rsidRPr="00890115">
        <w:t xml:space="preserve">28.2% of the dose in humans), hydrolysis of the </w:t>
      </w:r>
      <w:proofErr w:type="spellStart"/>
      <w:r w:rsidRPr="00890115">
        <w:t>acetamide</w:t>
      </w:r>
      <w:proofErr w:type="spellEnd"/>
      <w:r w:rsidRPr="00890115">
        <w:t xml:space="preserve"> moiety to form ucb-42145 (catalysed by amidase E.C.3.5.1.4; </w:t>
      </w:r>
      <w:r w:rsidR="008F5DC8">
        <w:t xml:space="preserve">approximately </w:t>
      </w:r>
      <w:r w:rsidRPr="00890115">
        <w:t xml:space="preserve">3-18% of the dose in all species except humans; </w:t>
      </w:r>
      <w:r w:rsidR="00127E64">
        <w:t xml:space="preserve">approximately </w:t>
      </w:r>
      <w:r w:rsidRPr="00890115">
        <w:t xml:space="preserve">56.4% of the dose in humans; a similar reaction occurs with </w:t>
      </w:r>
      <w:proofErr w:type="spellStart"/>
      <w:r w:rsidRPr="00890115">
        <w:t>levetiracetam</w:t>
      </w:r>
      <w:proofErr w:type="spellEnd"/>
      <w:r w:rsidRPr="00890115">
        <w:t xml:space="preserve">), and both reactions to form ucb-107092-1 (catalysed by CYP2C9; </w:t>
      </w:r>
      <w:r w:rsidR="008F5DC8">
        <w:t xml:space="preserve">approximately </w:t>
      </w:r>
      <w:r w:rsidRPr="00890115">
        <w:t xml:space="preserve">2.5% of the dose in dogs and </w:t>
      </w:r>
      <w:proofErr w:type="spellStart"/>
      <w:r w:rsidRPr="00890115">
        <w:t>Cynomolg</w:t>
      </w:r>
      <w:r w:rsidR="008F5DC8">
        <w:t>us</w:t>
      </w:r>
      <w:proofErr w:type="spellEnd"/>
      <w:r w:rsidR="008F5DC8">
        <w:t xml:space="preserve"> monkeys; absent in rodents; approximately </w:t>
      </w:r>
      <w:r w:rsidRPr="00890115">
        <w:t>15.2-15.9% of the dose in humans). No human</w:t>
      </w:r>
      <w:r w:rsidR="00127E64">
        <w:t xml:space="preserve"> </w:t>
      </w:r>
      <w:r w:rsidRPr="00890115">
        <w:t xml:space="preserve">specific in vivo metabolites were identified. </w:t>
      </w:r>
      <w:proofErr w:type="spellStart"/>
      <w:r w:rsidRPr="00890115">
        <w:t>Cholinesterases</w:t>
      </w:r>
      <w:proofErr w:type="spellEnd"/>
      <w:r w:rsidRPr="00890115">
        <w:t xml:space="preserve">, </w:t>
      </w:r>
      <w:proofErr w:type="spellStart"/>
      <w:r w:rsidRPr="00890115">
        <w:t>carboxylesterases</w:t>
      </w:r>
      <w:proofErr w:type="spellEnd"/>
      <w:r w:rsidRPr="00890115">
        <w:t xml:space="preserve"> or aromatic </w:t>
      </w:r>
      <w:proofErr w:type="spellStart"/>
      <w:r w:rsidRPr="00890115">
        <w:t>esterases</w:t>
      </w:r>
      <w:proofErr w:type="spellEnd"/>
      <w:r w:rsidRPr="00890115">
        <w:t xml:space="preserve"> do not metabolise brivaracetam. Accordingly genetic variance in plasma esterase activity in humans is unlikely to affect brivaracetam pharmacokinetics. The hydrolysis rate of ucb-100406-1 into ucb-107092-1 is minimal when compared with the hydrolysis of brivaracetam into ucb-42145.</w:t>
      </w:r>
    </w:p>
    <w:p w:rsidR="00F477D8" w:rsidRPr="00890115" w:rsidRDefault="00F477D8" w:rsidP="00890115">
      <w:r w:rsidRPr="00890115">
        <w:lastRenderedPageBreak/>
        <w:t xml:space="preserve">Formation of ucb-102993-1 due to hydroxylation of </w:t>
      </w:r>
      <w:proofErr w:type="spellStart"/>
      <w:r w:rsidRPr="00890115">
        <w:t>butyramide</w:t>
      </w:r>
      <w:proofErr w:type="spellEnd"/>
      <w:r w:rsidRPr="00890115">
        <w:t xml:space="preserve"> side</w:t>
      </w:r>
      <w:r w:rsidR="00957252">
        <w:t xml:space="preserve"> </w:t>
      </w:r>
      <w:r w:rsidRPr="00890115">
        <w:t xml:space="preserve">chain is a species specific metabolic pathway that occurs mostly in dogs (based on in vitro and in vivo data). This metabolic pathway is associated with a species-specific increased susceptibility to adverse </w:t>
      </w:r>
      <w:proofErr w:type="spellStart"/>
      <w:r w:rsidRPr="00890115">
        <w:t>porphyrogenesis</w:t>
      </w:r>
      <w:proofErr w:type="spellEnd"/>
      <w:r w:rsidRPr="00890115">
        <w:t xml:space="preserve"> in dogs.</w:t>
      </w:r>
      <w:r w:rsidR="00890115">
        <w:rPr>
          <w:rStyle w:val="FootnoteReference"/>
        </w:rPr>
        <w:footnoteReference w:id="6"/>
      </w:r>
      <w:r w:rsidRPr="00890115">
        <w:t xml:space="preserve"> The effect is associated with </w:t>
      </w:r>
      <w:proofErr w:type="spellStart"/>
      <w:r w:rsidRPr="00890115">
        <w:t>bioactivation</w:t>
      </w:r>
      <w:proofErr w:type="spellEnd"/>
      <w:r w:rsidRPr="00890115">
        <w:t xml:space="preserve"> of the </w:t>
      </w:r>
      <w:proofErr w:type="spellStart"/>
      <w:r w:rsidRPr="00890115">
        <w:t>butyramide</w:t>
      </w:r>
      <w:proofErr w:type="spellEnd"/>
      <w:r w:rsidRPr="00890115">
        <w:t xml:space="preserve"> side-chain, combined with other precipitating factors. Notably, the actual ultimate </w:t>
      </w:r>
      <w:proofErr w:type="spellStart"/>
      <w:r w:rsidRPr="00890115">
        <w:t>porphyrogenic</w:t>
      </w:r>
      <w:proofErr w:type="spellEnd"/>
      <w:r w:rsidRPr="00890115">
        <w:t xml:space="preserve"> metabolite in dogs remains unidentified. It is assumed that the formation of ucb-102993-1 is a surrogate marker of the </w:t>
      </w:r>
      <w:proofErr w:type="spellStart"/>
      <w:r w:rsidRPr="00890115">
        <w:t>bioactivation</w:t>
      </w:r>
      <w:proofErr w:type="spellEnd"/>
      <w:r w:rsidRPr="00890115">
        <w:t xml:space="preserve"> of the </w:t>
      </w:r>
      <w:proofErr w:type="spellStart"/>
      <w:r w:rsidRPr="00890115">
        <w:t>butyramide</w:t>
      </w:r>
      <w:proofErr w:type="spellEnd"/>
      <w:r w:rsidRPr="00890115">
        <w:t xml:space="preserve"> side-chain, and thus a marker of potential </w:t>
      </w:r>
      <w:proofErr w:type="spellStart"/>
      <w:r w:rsidRPr="00890115">
        <w:t>prophyrogenesis</w:t>
      </w:r>
      <w:proofErr w:type="spellEnd"/>
      <w:r w:rsidRPr="00890115">
        <w:t xml:space="preserve">. Since ucb-102993-1 was not observed in humans, it is claimed that </w:t>
      </w:r>
      <w:proofErr w:type="spellStart"/>
      <w:r w:rsidRPr="00890115">
        <w:t>bioactivation</w:t>
      </w:r>
      <w:proofErr w:type="spellEnd"/>
      <w:r w:rsidRPr="00890115">
        <w:t xml:space="preserve"> of the </w:t>
      </w:r>
      <w:proofErr w:type="spellStart"/>
      <w:r w:rsidRPr="00890115">
        <w:t>butyramide</w:t>
      </w:r>
      <w:proofErr w:type="spellEnd"/>
      <w:r w:rsidRPr="00890115">
        <w:t xml:space="preserve"> side-chain resulting in the formation of a putative ultimate </w:t>
      </w:r>
      <w:proofErr w:type="spellStart"/>
      <w:r w:rsidRPr="00890115">
        <w:t>porphyrogenic</w:t>
      </w:r>
      <w:proofErr w:type="spellEnd"/>
      <w:r w:rsidRPr="00890115">
        <w:t xml:space="preserve"> metabolite does not occur at clinically relevant levels in humans. The available human metabolic and clinical data supports this conclusion.</w:t>
      </w:r>
    </w:p>
    <w:p w:rsidR="00F477D8" w:rsidRPr="00890115" w:rsidRDefault="00F477D8" w:rsidP="00890115">
      <w:r w:rsidRPr="00890115">
        <w:t xml:space="preserve">Critically, the major human metabolite ucb-100406-1 is not </w:t>
      </w:r>
      <w:proofErr w:type="spellStart"/>
      <w:r w:rsidRPr="00890115">
        <w:t>porphyrogenic</w:t>
      </w:r>
      <w:proofErr w:type="spellEnd"/>
      <w:r w:rsidRPr="00890115">
        <w:t xml:space="preserve">. Incubation of brivaracetam and ucb-100406-1 in the presence of various </w:t>
      </w:r>
      <w:proofErr w:type="spellStart"/>
      <w:r w:rsidRPr="00890115">
        <w:t>porphyrogenic</w:t>
      </w:r>
      <w:proofErr w:type="spellEnd"/>
      <w:r w:rsidRPr="00890115">
        <w:t xml:space="preserve"> agents and cultured canine hepatocytes species did not result in increased production of </w:t>
      </w:r>
      <w:proofErr w:type="spellStart"/>
      <w:r w:rsidRPr="00890115">
        <w:t>protoporphyrin</w:t>
      </w:r>
      <w:proofErr w:type="spellEnd"/>
      <w:r w:rsidRPr="00890115">
        <w:t xml:space="preserve"> IX.</w:t>
      </w:r>
    </w:p>
    <w:p w:rsidR="00F477D8" w:rsidRPr="00890115" w:rsidRDefault="00F477D8" w:rsidP="00890115">
      <w:r w:rsidRPr="00890115">
        <w:t xml:space="preserve">Notably ucb-107092-1 is formed in larger amounts in humans with severe renal impairment (AUC increased by </w:t>
      </w:r>
      <w:r w:rsidR="00957252">
        <w:t xml:space="preserve">approximately </w:t>
      </w:r>
      <w:r w:rsidRPr="00890115">
        <w:t>21.5X) compared with its formation in normal animals. This necessitated a separate and specific nonclinical evaluation for ucb-107092-1.</w:t>
      </w:r>
    </w:p>
    <w:p w:rsidR="00376D5E" w:rsidRDefault="00F477D8" w:rsidP="00890115">
      <w:r w:rsidRPr="00890115">
        <w:t xml:space="preserve">Brivaracetam is the major chemical species in the circulation in all animals except </w:t>
      </w:r>
      <w:proofErr w:type="spellStart"/>
      <w:r w:rsidRPr="00890115">
        <w:t>Cynomolgus</w:t>
      </w:r>
      <w:proofErr w:type="spellEnd"/>
      <w:r w:rsidRPr="00890115">
        <w:t xml:space="preserve"> monkeys. This characteristic is not affected by dose, route of administration, sex or treatment duration. In rodents and </w:t>
      </w:r>
      <w:proofErr w:type="spellStart"/>
      <w:r w:rsidRPr="00890115">
        <w:t>Cynomolgus</w:t>
      </w:r>
      <w:proofErr w:type="spellEnd"/>
      <w:r w:rsidRPr="00890115">
        <w:t xml:space="preserve"> monkeys, ucb-100406-1 was the only metabolite exceeding 10% of the total circulating material. In the dog, the major circulating metabolites are ucb-100406-1 and ucb-102993-1. Oxidation of ucb-100406-1 can result in the formation of the corresponding ketone ucb-47074, a minor metabolite</w:t>
      </w:r>
      <w:r w:rsidR="00376D5E">
        <w:t>.</w:t>
      </w:r>
    </w:p>
    <w:p w:rsidR="00F477D8" w:rsidRPr="004E441D" w:rsidRDefault="00F477D8" w:rsidP="00FF6EF9">
      <w:pPr>
        <w:pStyle w:val="Heading4"/>
      </w:pPr>
      <w:bookmarkStart w:id="67" w:name="_Toc450809085"/>
      <w:r w:rsidRPr="004E441D">
        <w:t>Excretion</w:t>
      </w:r>
      <w:bookmarkEnd w:id="67"/>
    </w:p>
    <w:p w:rsidR="00F477D8" w:rsidRPr="00FF6EF9" w:rsidRDefault="00F477D8" w:rsidP="00FF6EF9">
      <w:r w:rsidRPr="00FF6EF9">
        <w:t xml:space="preserve">Brivaracetam elimination occurs predominantly via metabolism followed by metabolite excretion in urine with minimal biliary excretion (based on rat data). In all examined species, </w:t>
      </w:r>
      <w:r w:rsidR="009963FD">
        <w:t xml:space="preserve">approximately </w:t>
      </w:r>
      <w:r w:rsidRPr="00FF6EF9">
        <w:t>≤6% of the dose is excreted intact. Mass balance studies utilizing [14C]-b</w:t>
      </w:r>
      <w:r w:rsidR="009963FD">
        <w:t>rivaracetam demonstrated that approximately ≥</w:t>
      </w:r>
      <w:r w:rsidRPr="00FF6EF9">
        <w:t>90% of the administered radioactivi</w:t>
      </w:r>
      <w:r w:rsidR="00627D2A">
        <w:t xml:space="preserve">ty is excreted by 48-168 h post </w:t>
      </w:r>
      <w:r w:rsidRPr="00FF6EF9">
        <w:t>dosing. The mass balance of excretion is not affected by species, route of administration, sex or pregnancy state. Based on rat data, brivaracetam rapidly equilibrates into milk at similar concentrations to plasma levels.</w:t>
      </w:r>
    </w:p>
    <w:p w:rsidR="00F477D8" w:rsidRPr="00FF6EF9" w:rsidRDefault="00F477D8" w:rsidP="00FF6EF9">
      <w:pPr>
        <w:pStyle w:val="Heading4"/>
      </w:pPr>
      <w:bookmarkStart w:id="68" w:name="_Toc450809086"/>
      <w:r w:rsidRPr="00FF6EF9">
        <w:t>Overall conclusions</w:t>
      </w:r>
      <w:bookmarkEnd w:id="68"/>
    </w:p>
    <w:p w:rsidR="00376D5E" w:rsidRDefault="00F477D8" w:rsidP="00FF6EF9">
      <w:r w:rsidRPr="00FF6EF9">
        <w:t xml:space="preserve">The critical difference in the pharmacokinetics in animals was the much higher rate of clearance (predominantly by metabolism) and the much shorter T½ in the test species. To achieve adequate systemic exposure in the pivotal animal toxicology studies, multiple daily dosing regimens, were required. Unlike other relevant species, </w:t>
      </w:r>
      <w:proofErr w:type="spellStart"/>
      <w:r w:rsidRPr="00FF6EF9">
        <w:t>Cynomolgus</w:t>
      </w:r>
      <w:proofErr w:type="spellEnd"/>
      <w:r w:rsidRPr="00FF6EF9">
        <w:t xml:space="preserve"> monkeys have a species-specific high first pass extraction which results in an F &lt;10% and rapid clearance</w:t>
      </w:r>
      <w:r w:rsidR="00376D5E">
        <w:t>.</w:t>
      </w:r>
    </w:p>
    <w:p w:rsidR="00F477D8" w:rsidRPr="00FF6EF9" w:rsidRDefault="00F477D8" w:rsidP="00FF6EF9">
      <w:r w:rsidRPr="00FF6EF9">
        <w:t>High multiples of the human MRHD exposure</w:t>
      </w:r>
      <w:r w:rsidR="008C7300">
        <w:t>s</w:t>
      </w:r>
      <w:r w:rsidRPr="00FF6EF9">
        <w:t xml:space="preserve"> were achieved in the nonclinical toxicology studies.</w:t>
      </w:r>
    </w:p>
    <w:p w:rsidR="00F477D8" w:rsidRPr="00FF6EF9" w:rsidRDefault="00F477D8" w:rsidP="00FF6EF9">
      <w:r w:rsidRPr="00FF6EF9">
        <w:t xml:space="preserve">A second critical difference between humans and animals is the higher level of hydroxylation of </w:t>
      </w:r>
      <w:proofErr w:type="spellStart"/>
      <w:r w:rsidRPr="00FF6EF9">
        <w:t>butyramide</w:t>
      </w:r>
      <w:proofErr w:type="spellEnd"/>
      <w:r w:rsidRPr="00FF6EF9">
        <w:t xml:space="preserve"> side</w:t>
      </w:r>
      <w:r w:rsidR="009963FD">
        <w:t xml:space="preserve"> </w:t>
      </w:r>
      <w:r w:rsidRPr="00FF6EF9">
        <w:t xml:space="preserve">chain to form ucb-102993-1 in dogs. Ucb-102993-1 is </w:t>
      </w:r>
      <w:r w:rsidRPr="00FF6EF9">
        <w:lastRenderedPageBreak/>
        <w:t xml:space="preserve">assumed to be a biomarker of </w:t>
      </w:r>
      <w:proofErr w:type="spellStart"/>
      <w:r w:rsidRPr="00FF6EF9">
        <w:t>brivaracetam</w:t>
      </w:r>
      <w:proofErr w:type="spellEnd"/>
      <w:r w:rsidRPr="00FF6EF9">
        <w:t xml:space="preserve"> </w:t>
      </w:r>
      <w:proofErr w:type="spellStart"/>
      <w:r w:rsidRPr="00FF6EF9">
        <w:t>butyramide</w:t>
      </w:r>
      <w:proofErr w:type="spellEnd"/>
      <w:r w:rsidRPr="00FF6EF9">
        <w:t xml:space="preserve"> side-chain </w:t>
      </w:r>
      <w:proofErr w:type="spellStart"/>
      <w:r w:rsidRPr="00FF6EF9">
        <w:t>bioactivation</w:t>
      </w:r>
      <w:proofErr w:type="spellEnd"/>
      <w:r w:rsidRPr="00FF6EF9">
        <w:t xml:space="preserve"> and </w:t>
      </w:r>
      <w:proofErr w:type="spellStart"/>
      <w:r w:rsidRPr="00FF6EF9">
        <w:t>porphyrogenesis</w:t>
      </w:r>
      <w:proofErr w:type="spellEnd"/>
      <w:r w:rsidRPr="00FF6EF9">
        <w:t>. Since ucb-102993-1 was not observed in humans, it is claimed that these effects are also not human-relevant. The available human metabolic and clinical data support this claim.</w:t>
      </w:r>
    </w:p>
    <w:p w:rsidR="00F477D8" w:rsidRPr="004E441D" w:rsidRDefault="00F477D8" w:rsidP="00FF6EF9">
      <w:pPr>
        <w:pStyle w:val="Heading4"/>
      </w:pPr>
      <w:bookmarkStart w:id="69" w:name="_Toc450809087"/>
      <w:r w:rsidRPr="004E441D">
        <w:t xml:space="preserve">Pharmacokinetics of </w:t>
      </w:r>
      <w:r>
        <w:t>ucb-</w:t>
      </w:r>
      <w:r w:rsidRPr="004E441D">
        <w:t>107092-1</w:t>
      </w:r>
      <w:bookmarkEnd w:id="69"/>
    </w:p>
    <w:p w:rsidR="00F477D8" w:rsidRPr="00FF6EF9" w:rsidRDefault="00F477D8" w:rsidP="00FF6EF9">
      <w:r w:rsidRPr="00FF6EF9">
        <w:t xml:space="preserve">In the presence of severe renal impairment, the plasma AUC of ucb-107092-1 increased by </w:t>
      </w:r>
      <w:r w:rsidR="002F411F">
        <w:t xml:space="preserve">approximately </w:t>
      </w:r>
      <w:r w:rsidRPr="00FF6EF9">
        <w:t>21.5X in humans. Ucb-107092-1 has a low oral bioavailability in rats (</w:t>
      </w:r>
      <w:r w:rsidR="009963FD">
        <w:t xml:space="preserve">approximately </w:t>
      </w:r>
      <w:r w:rsidRPr="00FF6EF9">
        <w:t>23%) and is very rapidly eliminated (&gt;95% decrease in plasma concentration within 1 h of IV dosing) via renal excretion. Continuous IV infusion was required to achieve adequate systemic exposures and plasma time course profiles in the nonclinical toxicology studies.</w:t>
      </w:r>
    </w:p>
    <w:p w:rsidR="00F477D8" w:rsidRPr="004E441D" w:rsidRDefault="00F477D8" w:rsidP="00FF6EF9">
      <w:pPr>
        <w:pStyle w:val="Heading4"/>
      </w:pPr>
      <w:bookmarkStart w:id="70" w:name="_Toc294861725"/>
      <w:bookmarkStart w:id="71" w:name="_Toc450809088"/>
      <w:r w:rsidRPr="004E441D">
        <w:t>Pharmacokinetic drug interactions</w:t>
      </w:r>
      <w:bookmarkEnd w:id="70"/>
      <w:bookmarkEnd w:id="71"/>
    </w:p>
    <w:p w:rsidR="00F477D8" w:rsidRPr="00FF6EF9" w:rsidRDefault="00F477D8" w:rsidP="00FF6EF9">
      <w:proofErr w:type="spellStart"/>
      <w:r w:rsidRPr="00FF6EF9">
        <w:t>Brivaracetam</w:t>
      </w:r>
      <w:proofErr w:type="spellEnd"/>
      <w:r w:rsidRPr="00FF6EF9">
        <w:t xml:space="preserve"> (200 </w:t>
      </w:r>
      <w:proofErr w:type="spellStart"/>
      <w:r w:rsidRPr="00FF6EF9">
        <w:t>μM</w:t>
      </w:r>
      <w:proofErr w:type="spellEnd"/>
      <w:r w:rsidRPr="00FF6EF9">
        <w:t>) at 12.5X the human plasma C</w:t>
      </w:r>
      <w:r w:rsidR="008863F4">
        <w:t>m</w:t>
      </w:r>
      <w:r w:rsidRPr="00FF6EF9">
        <w:t>ax following repeated dosing at the MRHD (100 mg bid which results in a C</w:t>
      </w:r>
      <w:r w:rsidR="008863F4">
        <w:t>m</w:t>
      </w:r>
      <w:r w:rsidRPr="00FF6EF9">
        <w:t xml:space="preserve">ax of </w:t>
      </w:r>
      <w:r w:rsidR="009963FD">
        <w:t xml:space="preserve">approximately </w:t>
      </w:r>
      <w:r w:rsidRPr="00FF6EF9">
        <w:t xml:space="preserve">16 </w:t>
      </w:r>
      <w:proofErr w:type="spellStart"/>
      <w:r w:rsidRPr="00FF6EF9">
        <w:t>μM</w:t>
      </w:r>
      <w:proofErr w:type="spellEnd"/>
      <w:r w:rsidRPr="00FF6EF9">
        <w:t xml:space="preserve">), was associated with </w:t>
      </w:r>
      <w:r w:rsidR="002F411F">
        <w:t xml:space="preserve">approximately </w:t>
      </w:r>
      <w:r w:rsidRPr="00FF6EF9">
        <w:t>46% inhibition of CYP2C19. Inhibition of CYP1A2, CYP2A6, CYP2C9, CYP2D6 or CYP3A4 was not observed. Ucb-42145 and ucb-100406-1 did not inhibit any of the CYP isoforms that were tested.</w:t>
      </w:r>
    </w:p>
    <w:p w:rsidR="00376D5E" w:rsidRDefault="00F477D8" w:rsidP="00FF6EF9">
      <w:r w:rsidRPr="00FF6EF9">
        <w:t xml:space="preserve">Very high, </w:t>
      </w:r>
      <w:proofErr w:type="spellStart"/>
      <w:r w:rsidRPr="00FF6EF9">
        <w:t>supratherapeutic</w:t>
      </w:r>
      <w:proofErr w:type="spellEnd"/>
      <w:r w:rsidRPr="00FF6EF9">
        <w:t xml:space="preserve"> concentrations of </w:t>
      </w:r>
      <w:proofErr w:type="spellStart"/>
      <w:r w:rsidRPr="00FF6EF9">
        <w:t>brivaracetam</w:t>
      </w:r>
      <w:proofErr w:type="spellEnd"/>
      <w:r w:rsidRPr="00FF6EF9">
        <w:t xml:space="preserve"> (500 </w:t>
      </w:r>
      <w:proofErr w:type="spellStart"/>
      <w:r w:rsidRPr="00FF6EF9">
        <w:t>μM</w:t>
      </w:r>
      <w:proofErr w:type="spellEnd"/>
      <w:r w:rsidRPr="00FF6EF9">
        <w:t xml:space="preserve"> or </w:t>
      </w:r>
      <w:r w:rsidR="009963FD">
        <w:t xml:space="preserve">approximately </w:t>
      </w:r>
      <w:r w:rsidRPr="00FF6EF9">
        <w:t>31X the human plasma MRHD C</w:t>
      </w:r>
      <w:r w:rsidR="008863F4">
        <w:t>m</w:t>
      </w:r>
      <w:r w:rsidRPr="00FF6EF9">
        <w:t xml:space="preserve">ax) induced a 3X induction of CYP3A4 in cultured human hepatocytes; however in a subsequent study no effects were noted at a concentration of 100 </w:t>
      </w:r>
      <w:proofErr w:type="spellStart"/>
      <w:r w:rsidRPr="00FF6EF9">
        <w:t>μM</w:t>
      </w:r>
      <w:proofErr w:type="spellEnd"/>
      <w:r w:rsidRPr="00FF6EF9">
        <w:t>. Brivaracetam had no effect on CYP1A1, CYP1A2, CYP2B6 and CYP3A4</w:t>
      </w:r>
      <w:r w:rsidR="00376D5E">
        <w:t>.</w:t>
      </w:r>
    </w:p>
    <w:p w:rsidR="00F477D8" w:rsidRPr="00FF6EF9" w:rsidRDefault="00F477D8" w:rsidP="00FF6EF9">
      <w:r w:rsidRPr="00FF6EF9">
        <w:t xml:space="preserve">Repeated oral BID dosing of </w:t>
      </w:r>
      <w:proofErr w:type="spellStart"/>
      <w:r w:rsidRPr="00FF6EF9">
        <w:t>Wistar</w:t>
      </w:r>
      <w:proofErr w:type="spellEnd"/>
      <w:r w:rsidRPr="00FF6EF9">
        <w:t xml:space="preserve"> rats at very high levels of exposure (</w:t>
      </w:r>
      <w:r w:rsidR="00E629E0">
        <w:t xml:space="preserve">approximately </w:t>
      </w:r>
      <w:r w:rsidRPr="00FF6EF9">
        <w:t>50X human MRHD AUC) resulted in elevations in liver to bodyweight ratios, elevations in microsomal protein content and elevations in cytochrome P450 cont</w:t>
      </w:r>
      <w:r w:rsidR="00E629E0">
        <w:t>ent. Brivaracetam exposure at approximately ≥</w:t>
      </w:r>
      <w:r w:rsidRPr="00FF6EF9">
        <w:t>5X the human AUC at the MRHD resulted in dose</w:t>
      </w:r>
      <w:r w:rsidR="005A14FC">
        <w:t xml:space="preserve"> </w:t>
      </w:r>
      <w:r w:rsidRPr="00FF6EF9">
        <w:t xml:space="preserve">dependent induction of CYP2B (up to 150X at 1000 mg/kg/day on a per mg liver protein basis). This implies </w:t>
      </w:r>
      <w:proofErr w:type="spellStart"/>
      <w:r w:rsidRPr="00FF6EF9">
        <w:t>brivaracetam</w:t>
      </w:r>
      <w:proofErr w:type="spellEnd"/>
      <w:r w:rsidRPr="00FF6EF9">
        <w:t xml:space="preserve"> at </w:t>
      </w:r>
      <w:proofErr w:type="spellStart"/>
      <w:r w:rsidRPr="00FF6EF9">
        <w:t>supratherapeutic</w:t>
      </w:r>
      <w:proofErr w:type="spellEnd"/>
      <w:r w:rsidRPr="00FF6EF9">
        <w:t xml:space="preserve"> exposure levels may be a </w:t>
      </w:r>
      <w:proofErr w:type="spellStart"/>
      <w:r w:rsidRPr="00FF6EF9">
        <w:t>phenobarbitone</w:t>
      </w:r>
      <w:proofErr w:type="spellEnd"/>
      <w:r w:rsidR="005A14FC">
        <w:t xml:space="preserve"> </w:t>
      </w:r>
      <w:r w:rsidRPr="00FF6EF9">
        <w:t xml:space="preserve">type inducer. Mild to moderate induction of CYP 1A, CYP2E1, CYP3A and CYP4A activities was also observed, most likely due to </w:t>
      </w:r>
      <w:proofErr w:type="spellStart"/>
      <w:r w:rsidRPr="00FF6EF9">
        <w:t>xenosensor</w:t>
      </w:r>
      <w:proofErr w:type="spellEnd"/>
      <w:r w:rsidRPr="00FF6EF9">
        <w:t xml:space="preserve"> cross-talk. The results of non-pivotal repeat dose toxicology testing in dogs and rats support the finding that at high levels of exposure, brivaracetam is a hepatic CYP inducer.</w:t>
      </w:r>
    </w:p>
    <w:p w:rsidR="00376D5E" w:rsidRDefault="00F477D8" w:rsidP="00FF6EF9">
      <w:r w:rsidRPr="00FF6EF9">
        <w:t>Brivaracetam inhibited human microsomal e</w:t>
      </w:r>
      <w:r w:rsidR="002F411F">
        <w:t>poxide hydrolase with an IC50 approximately ≥</w:t>
      </w:r>
      <w:r w:rsidRPr="00FF6EF9">
        <w:t xml:space="preserve">2X the human MRHD plasma </w:t>
      </w:r>
      <w:proofErr w:type="spellStart"/>
      <w:r w:rsidRPr="00FF6EF9">
        <w:t>C</w:t>
      </w:r>
      <w:r w:rsidR="00FF6EF9">
        <w:t>m</w:t>
      </w:r>
      <w:r w:rsidRPr="00FF6EF9">
        <w:t>ax</w:t>
      </w:r>
      <w:proofErr w:type="spellEnd"/>
      <w:r w:rsidR="00376D5E">
        <w:t>.</w:t>
      </w:r>
    </w:p>
    <w:p w:rsidR="00F477D8" w:rsidRPr="00FF6EF9" w:rsidRDefault="00F477D8" w:rsidP="00FF6EF9">
      <w:r w:rsidRPr="00FF6EF9">
        <w:t xml:space="preserve">Very high, </w:t>
      </w:r>
      <w:proofErr w:type="spellStart"/>
      <w:r w:rsidRPr="00FF6EF9">
        <w:t>supratherapeutic</w:t>
      </w:r>
      <w:proofErr w:type="spellEnd"/>
      <w:r w:rsidRPr="00FF6EF9">
        <w:t xml:space="preserve"> concentrations of </w:t>
      </w:r>
      <w:proofErr w:type="spellStart"/>
      <w:r w:rsidRPr="00FF6EF9">
        <w:t>brivaracet</w:t>
      </w:r>
      <w:r w:rsidR="00431034">
        <w:t>am</w:t>
      </w:r>
      <w:proofErr w:type="spellEnd"/>
      <w:r w:rsidR="00431034">
        <w:t xml:space="preserve"> (200 </w:t>
      </w:r>
      <w:proofErr w:type="spellStart"/>
      <w:r w:rsidR="00431034">
        <w:t>μM</w:t>
      </w:r>
      <w:proofErr w:type="spellEnd"/>
      <w:r w:rsidR="00431034">
        <w:t xml:space="preserve"> or approximately </w:t>
      </w:r>
      <w:r w:rsidRPr="00FF6EF9">
        <w:t>12.5X the human plasma MRHD C</w:t>
      </w:r>
      <w:r w:rsidR="00FF6EF9">
        <w:t>m</w:t>
      </w:r>
      <w:r w:rsidRPr="00FF6EF9">
        <w:t xml:space="preserve">ax) and its metabolites ucb-42145 (10μM), ucb-100406-1 (10 </w:t>
      </w:r>
      <w:proofErr w:type="spellStart"/>
      <w:r w:rsidRPr="00FF6EF9">
        <w:t>μM</w:t>
      </w:r>
      <w:proofErr w:type="spellEnd"/>
      <w:r w:rsidRPr="00FF6EF9">
        <w:t xml:space="preserve">) and ucb-107092-1 (2 </w:t>
      </w:r>
      <w:proofErr w:type="spellStart"/>
      <w:r w:rsidRPr="00FF6EF9">
        <w:t>μM</w:t>
      </w:r>
      <w:proofErr w:type="spellEnd"/>
      <w:r w:rsidRPr="00FF6EF9">
        <w:t xml:space="preserve">) displayed negligible inhibition of organic anion transporters 1, 3, P1B1, and P1B3 (OAT1, OAT3, OATP1B1, OATP1B3), organic </w:t>
      </w:r>
      <w:proofErr w:type="spellStart"/>
      <w:r w:rsidRPr="00FF6EF9">
        <w:t>cation</w:t>
      </w:r>
      <w:proofErr w:type="spellEnd"/>
      <w:r w:rsidRPr="00FF6EF9">
        <w:t xml:space="preserve"> transporters 1 and 2 (OCT1, OCT2), breast cancer resistance protein (BCRP), P-</w:t>
      </w:r>
      <w:proofErr w:type="spellStart"/>
      <w:r w:rsidRPr="00FF6EF9">
        <w:t>gp</w:t>
      </w:r>
      <w:proofErr w:type="spellEnd"/>
      <w:r w:rsidRPr="00FF6EF9">
        <w:t>, or bile salt export pump (BSEP).</w:t>
      </w:r>
    </w:p>
    <w:p w:rsidR="00F477D8" w:rsidRPr="00FF6EF9" w:rsidRDefault="00F477D8" w:rsidP="00FF6EF9">
      <w:r w:rsidRPr="00FF6EF9">
        <w:t>Brivaracetam is not a P-</w:t>
      </w:r>
      <w:proofErr w:type="spellStart"/>
      <w:r w:rsidRPr="00FF6EF9">
        <w:t>gp</w:t>
      </w:r>
      <w:proofErr w:type="spellEnd"/>
      <w:r w:rsidRPr="00FF6EF9">
        <w:t>, MRP1, MRP2, BCRP, OATP1B1/3, OAT1/3 or OCT2 transporter substrate.</w:t>
      </w:r>
    </w:p>
    <w:p w:rsidR="00F477D8" w:rsidRPr="00FF6EF9" w:rsidRDefault="00F477D8" w:rsidP="00FF6EF9">
      <w:proofErr w:type="spellStart"/>
      <w:r w:rsidRPr="00FF6EF9">
        <w:t>Felbamate</w:t>
      </w:r>
      <w:proofErr w:type="spellEnd"/>
      <w:r w:rsidRPr="00FF6EF9">
        <w:t xml:space="preserve">, phenytoin, carbamazepine, </w:t>
      </w:r>
      <w:proofErr w:type="spellStart"/>
      <w:r w:rsidRPr="00FF6EF9">
        <w:t>valproic</w:t>
      </w:r>
      <w:proofErr w:type="spellEnd"/>
      <w:r w:rsidRPr="00FF6EF9">
        <w:t xml:space="preserve"> acid, lamotrigine, </w:t>
      </w:r>
      <w:proofErr w:type="spellStart"/>
      <w:r w:rsidRPr="00FF6EF9">
        <w:t>zonisamide</w:t>
      </w:r>
      <w:proofErr w:type="spellEnd"/>
      <w:r w:rsidRPr="00FF6EF9">
        <w:t xml:space="preserve"> and </w:t>
      </w:r>
      <w:proofErr w:type="spellStart"/>
      <w:r w:rsidRPr="00FF6EF9">
        <w:t>phenobarbito</w:t>
      </w:r>
      <w:r w:rsidR="00431034">
        <w:t>ne</w:t>
      </w:r>
      <w:proofErr w:type="spellEnd"/>
      <w:r w:rsidR="00431034">
        <w:t xml:space="preserve"> did not adversely affect CYP </w:t>
      </w:r>
      <w:r w:rsidRPr="00FF6EF9">
        <w:t xml:space="preserve">mediated hydroxylation of brivaracetam in human liver </w:t>
      </w:r>
      <w:proofErr w:type="spellStart"/>
      <w:r w:rsidRPr="00FF6EF9">
        <w:t>microsomes</w:t>
      </w:r>
      <w:proofErr w:type="spellEnd"/>
      <w:r w:rsidRPr="00FF6EF9">
        <w:t>.</w:t>
      </w:r>
    </w:p>
    <w:p w:rsidR="00F477D8" w:rsidRPr="00FF6EF9" w:rsidRDefault="00F477D8" w:rsidP="00FF6EF9">
      <w:r w:rsidRPr="00FF6EF9">
        <w:t xml:space="preserve">Overall, </w:t>
      </w:r>
      <w:proofErr w:type="spellStart"/>
      <w:r w:rsidRPr="00FF6EF9">
        <w:t>brivaractam</w:t>
      </w:r>
      <w:proofErr w:type="spellEnd"/>
      <w:r w:rsidRPr="00FF6EF9">
        <w:t xml:space="preserve"> has a low potential for drug-drug interactions or victim-perpetrator interactions involving CYP enzymes and transporters.</w:t>
      </w:r>
    </w:p>
    <w:p w:rsidR="001B5C90" w:rsidRDefault="008E7846" w:rsidP="001B5C90">
      <w:pPr>
        <w:pStyle w:val="Heading3"/>
      </w:pPr>
      <w:bookmarkStart w:id="72" w:name="_Toc479595224"/>
      <w:r>
        <w:lastRenderedPageBreak/>
        <w:t>Toxicology</w:t>
      </w:r>
      <w:bookmarkEnd w:id="63"/>
      <w:bookmarkEnd w:id="64"/>
      <w:bookmarkEnd w:id="72"/>
    </w:p>
    <w:p w:rsidR="008863F4" w:rsidRPr="008863F4" w:rsidRDefault="008863F4" w:rsidP="008863F4">
      <w:pPr>
        <w:pStyle w:val="Heading4"/>
      </w:pPr>
      <w:bookmarkStart w:id="73" w:name="_Toc294861727"/>
      <w:bookmarkStart w:id="74" w:name="_Toc450809090"/>
      <w:r w:rsidRPr="008863F4">
        <w:t>Acute toxicity</w:t>
      </w:r>
      <w:bookmarkEnd w:id="73"/>
      <w:r w:rsidRPr="008863F4">
        <w:t xml:space="preserve"> of brivaracetam</w:t>
      </w:r>
      <w:bookmarkEnd w:id="74"/>
    </w:p>
    <w:p w:rsidR="008863F4" w:rsidRPr="008863F4" w:rsidRDefault="008863F4" w:rsidP="008863F4">
      <w:r w:rsidRPr="008863F4">
        <w:t>High PO doses of brivaracetam (1000 mg/kg in females and 2000 mg/kg in males) induced clinical signs of CNS dysfunction (reduced activity and muscular tone, unsteady gait, loss of reflexes) in rats. This resembled the adverse effects observed during rat Irwin behavioural screening. The lower threshold for adverse effects in females is likely due their higher systemic exposure following oral dosing. Based on the results in the rat Irwin behavioural screening study, exposure during fasting is likely to exacerbate the severity. The LOEL in rats for a single PO dose was 500 mg/kg (</w:t>
      </w:r>
      <w:r w:rsidR="005A14FC">
        <w:t xml:space="preserve">approximately </w:t>
      </w:r>
      <w:r w:rsidRPr="008863F4">
        <w:t xml:space="preserve">45X the human single dose MRHD based on BSA comparison). Brivaracetam at doses ≥1000 mg/kg induced gastric irritation </w:t>
      </w:r>
      <w:r w:rsidR="00486445">
        <w:t xml:space="preserve">approximately </w:t>
      </w:r>
      <w:r w:rsidRPr="008863F4">
        <w:t>90X the human single dose MRHD based on BSA comparison). At 500 mg/kg, transient and slight reductions in food consumption were observed, possibly due to local gastric mucosal intolerance.</w:t>
      </w:r>
    </w:p>
    <w:p w:rsidR="008863F4" w:rsidRDefault="008863F4" w:rsidP="008863F4">
      <w:r w:rsidRPr="008863F4">
        <w:t xml:space="preserve">Critically, very high </w:t>
      </w:r>
      <w:proofErr w:type="spellStart"/>
      <w:r w:rsidRPr="008863F4">
        <w:t>supratherapeutic</w:t>
      </w:r>
      <w:proofErr w:type="spellEnd"/>
      <w:r w:rsidRPr="008863F4">
        <w:t xml:space="preserve"> IV doses (200-300 mg/kg in rats or </w:t>
      </w:r>
      <w:r w:rsidR="004D6651">
        <w:t xml:space="preserve">approximately </w:t>
      </w:r>
      <w:r w:rsidRPr="008863F4">
        <w:t>18-27X the human single dose MRHD based on BSA comparison) are required to produce potentially life</w:t>
      </w:r>
      <w:r w:rsidR="00486445">
        <w:t xml:space="preserve"> </w:t>
      </w:r>
      <w:r w:rsidRPr="008863F4">
        <w:t>threatening deep unconsciousness characteri</w:t>
      </w:r>
      <w:r w:rsidR="004D6651">
        <w:t>s</w:t>
      </w:r>
      <w:r w:rsidRPr="008863F4">
        <w:t xml:space="preserve">ed by </w:t>
      </w:r>
      <w:proofErr w:type="spellStart"/>
      <w:r w:rsidRPr="008863F4">
        <w:t>areflexia</w:t>
      </w:r>
      <w:proofErr w:type="spellEnd"/>
      <w:r w:rsidRPr="008863F4">
        <w:t xml:space="preserve"> lasting 10-15 min in rats. Full recovery occurred after </w:t>
      </w:r>
      <w:r w:rsidR="004D6651">
        <w:t xml:space="preserve">approximately </w:t>
      </w:r>
      <w:r w:rsidRPr="008863F4">
        <w:t>1</w:t>
      </w:r>
      <w:r w:rsidR="00627D2A">
        <w:t xml:space="preserve"> </w:t>
      </w:r>
      <w:r w:rsidRPr="008863F4">
        <w:t>h.</w:t>
      </w:r>
      <w:bookmarkStart w:id="75" w:name="_Toc294861728"/>
      <w:bookmarkStart w:id="76" w:name="_Toc450809091"/>
    </w:p>
    <w:p w:rsidR="008863F4" w:rsidRDefault="008863F4" w:rsidP="00D135B2">
      <w:pPr>
        <w:pStyle w:val="Heading4"/>
      </w:pPr>
      <w:r w:rsidRPr="004E441D">
        <w:t>Repeat</w:t>
      </w:r>
      <w:r w:rsidR="00486445">
        <w:t xml:space="preserve"> </w:t>
      </w:r>
      <w:r w:rsidRPr="004E441D">
        <w:t>dose toxicity</w:t>
      </w:r>
      <w:bookmarkEnd w:id="75"/>
      <w:r>
        <w:t xml:space="preserve"> of brivaracetam</w:t>
      </w:r>
      <w:bookmarkStart w:id="77" w:name="_Toc450809092"/>
      <w:bookmarkEnd w:id="76"/>
    </w:p>
    <w:p w:rsidR="007956CA" w:rsidRDefault="008863F4" w:rsidP="00D135B2">
      <w:pPr>
        <w:pStyle w:val="Heading5"/>
      </w:pPr>
      <w:r w:rsidRPr="00A96FA5">
        <w:t xml:space="preserve">Relative </w:t>
      </w:r>
      <w:r>
        <w:t xml:space="preserve">brivaracetam </w:t>
      </w:r>
      <w:r w:rsidRPr="00A96FA5">
        <w:t>exposure</w:t>
      </w:r>
      <w:r>
        <w:t xml:space="preserve"> in the repeat dose toxicity and carcinogenicity studies</w:t>
      </w:r>
      <w:bookmarkEnd w:id="77"/>
    </w:p>
    <w:p w:rsidR="008863F4" w:rsidRDefault="008863F4" w:rsidP="007956CA">
      <w:pPr>
        <w:rPr>
          <w:rFonts w:asciiTheme="minorHAnsi" w:hAnsiTheme="minorHAnsi"/>
        </w:rPr>
      </w:pPr>
      <w:r w:rsidRPr="00604BA0">
        <w:rPr>
          <w:rFonts w:asciiTheme="minorHAnsi" w:hAnsiTheme="minorHAnsi"/>
        </w:rPr>
        <w:t xml:space="preserve">In general, high exposure ratios </w:t>
      </w:r>
      <w:r>
        <w:rPr>
          <w:rFonts w:asciiTheme="minorHAnsi" w:hAnsiTheme="minorHAnsi"/>
        </w:rPr>
        <w:t xml:space="preserve">for brivaracetam </w:t>
      </w:r>
      <w:r w:rsidRPr="00604BA0">
        <w:rPr>
          <w:rFonts w:asciiTheme="minorHAnsi" w:hAnsiTheme="minorHAnsi"/>
        </w:rPr>
        <w:t xml:space="preserve">were achieved in the </w:t>
      </w:r>
      <w:r>
        <w:rPr>
          <w:rFonts w:asciiTheme="minorHAnsi" w:hAnsiTheme="minorHAnsi"/>
        </w:rPr>
        <w:t xml:space="preserve">nonclinical </w:t>
      </w:r>
      <w:r w:rsidRPr="00604BA0">
        <w:rPr>
          <w:rFonts w:asciiTheme="minorHAnsi" w:hAnsiTheme="minorHAnsi"/>
        </w:rPr>
        <w:t>studies</w:t>
      </w:r>
      <w:r>
        <w:rPr>
          <w:rFonts w:asciiTheme="minorHAnsi" w:hAnsiTheme="minorHAnsi"/>
        </w:rPr>
        <w:t xml:space="preserve">. </w:t>
      </w:r>
      <w:r w:rsidRPr="00604BA0">
        <w:rPr>
          <w:rFonts w:asciiTheme="minorHAnsi" w:hAnsiTheme="minorHAnsi"/>
        </w:rPr>
        <w:t>The relative exposure ratios for brivaracetam and its major metabolites in the studies are summarised in the following tables</w:t>
      </w:r>
      <w:r w:rsidR="00A16E07">
        <w:rPr>
          <w:rFonts w:asciiTheme="minorHAnsi" w:hAnsiTheme="minorHAnsi"/>
        </w:rPr>
        <w:t>.</w:t>
      </w:r>
    </w:p>
    <w:p w:rsidR="00D135B2" w:rsidRDefault="00D135B2" w:rsidP="009F38B1">
      <w:pPr>
        <w:pStyle w:val="TableTitle"/>
      </w:pPr>
      <w:proofErr w:type="gramStart"/>
      <w:r>
        <w:t xml:space="preserve">Table 9: </w:t>
      </w:r>
      <w:r w:rsidR="00635B3F">
        <w:t>R</w:t>
      </w:r>
      <w:r w:rsidR="00635B3F" w:rsidRPr="00635B3F">
        <w:t>elative exposure ratios for brivaracetam and its major metabolites</w:t>
      </w:r>
      <w:r w:rsidR="00635B3F">
        <w:t>.</w:t>
      </w:r>
      <w:proofErr w:type="gramEnd"/>
    </w:p>
    <w:tbl>
      <w:tblPr>
        <w:tblStyle w:val="TableTGAblue"/>
        <w:tblW w:w="8897" w:type="dxa"/>
        <w:tblLayout w:type="fixed"/>
        <w:tblLook w:val="01E0" w:firstRow="1" w:lastRow="1" w:firstColumn="1" w:lastColumn="1" w:noHBand="0" w:noVBand="0"/>
      </w:tblPr>
      <w:tblGrid>
        <w:gridCol w:w="1384"/>
        <w:gridCol w:w="1843"/>
        <w:gridCol w:w="1701"/>
        <w:gridCol w:w="2126"/>
        <w:gridCol w:w="1843"/>
      </w:tblGrid>
      <w:tr w:rsidR="009F38B1" w:rsidRPr="007770BC" w:rsidTr="009F38B1">
        <w:trPr>
          <w:cnfStyle w:val="100000000000" w:firstRow="1" w:lastRow="0" w:firstColumn="0" w:lastColumn="0" w:oddVBand="0" w:evenVBand="0" w:oddHBand="0" w:evenHBand="0" w:firstRowFirstColumn="0" w:firstRowLastColumn="0" w:lastRowFirstColumn="0" w:lastRowLastColumn="0"/>
        </w:trPr>
        <w:tc>
          <w:tcPr>
            <w:tcW w:w="1384" w:type="dxa"/>
          </w:tcPr>
          <w:p w:rsidR="008863F4" w:rsidRPr="007770BC" w:rsidRDefault="008863F4" w:rsidP="007770BC">
            <w:pPr>
              <w:rPr>
                <w:sz w:val="20"/>
                <w:szCs w:val="20"/>
              </w:rPr>
            </w:pPr>
            <w:r w:rsidRPr="007770BC">
              <w:rPr>
                <w:sz w:val="20"/>
                <w:szCs w:val="20"/>
              </w:rPr>
              <w:t>Species</w:t>
            </w:r>
          </w:p>
        </w:tc>
        <w:tc>
          <w:tcPr>
            <w:tcW w:w="1843" w:type="dxa"/>
          </w:tcPr>
          <w:p w:rsidR="008863F4" w:rsidRPr="007770BC" w:rsidRDefault="008863F4" w:rsidP="007770BC">
            <w:pPr>
              <w:rPr>
                <w:sz w:val="20"/>
                <w:szCs w:val="20"/>
              </w:rPr>
            </w:pPr>
            <w:r w:rsidRPr="007770BC">
              <w:rPr>
                <w:sz w:val="20"/>
                <w:szCs w:val="20"/>
              </w:rPr>
              <w:t>Study duration</w:t>
            </w:r>
          </w:p>
        </w:tc>
        <w:tc>
          <w:tcPr>
            <w:tcW w:w="1701" w:type="dxa"/>
          </w:tcPr>
          <w:p w:rsidR="008863F4" w:rsidRPr="007770BC" w:rsidRDefault="008863F4" w:rsidP="007770BC">
            <w:pPr>
              <w:rPr>
                <w:sz w:val="20"/>
                <w:szCs w:val="20"/>
              </w:rPr>
            </w:pPr>
            <w:r w:rsidRPr="007770BC">
              <w:rPr>
                <w:sz w:val="20"/>
                <w:szCs w:val="20"/>
              </w:rPr>
              <w:t>Dose</w:t>
            </w:r>
            <w:r w:rsidR="007770BC">
              <w:rPr>
                <w:sz w:val="20"/>
                <w:szCs w:val="20"/>
              </w:rPr>
              <w:t xml:space="preserve"> </w:t>
            </w:r>
            <w:r w:rsidRPr="007770BC">
              <w:rPr>
                <w:sz w:val="20"/>
                <w:szCs w:val="20"/>
              </w:rPr>
              <w:t>(mg/kg/day)</w:t>
            </w:r>
          </w:p>
        </w:tc>
        <w:tc>
          <w:tcPr>
            <w:tcW w:w="2126" w:type="dxa"/>
          </w:tcPr>
          <w:p w:rsidR="008863F4" w:rsidRPr="007770BC" w:rsidRDefault="008863F4" w:rsidP="007770BC">
            <w:pPr>
              <w:rPr>
                <w:sz w:val="20"/>
                <w:szCs w:val="20"/>
              </w:rPr>
            </w:pPr>
            <w:r w:rsidRPr="007770BC">
              <w:rPr>
                <w:sz w:val="20"/>
                <w:szCs w:val="20"/>
              </w:rPr>
              <w:t>AUC</w:t>
            </w:r>
            <w:r w:rsidRPr="007770BC">
              <w:rPr>
                <w:sz w:val="20"/>
                <w:szCs w:val="20"/>
                <w:vertAlign w:val="subscript"/>
              </w:rPr>
              <w:t>0–24h</w:t>
            </w:r>
            <w:r w:rsidRPr="007770BC">
              <w:rPr>
                <w:sz w:val="20"/>
                <w:szCs w:val="20"/>
              </w:rPr>
              <w:t xml:space="preserve"> or AUC</w:t>
            </w:r>
            <w:r w:rsidRPr="007770BC">
              <w:rPr>
                <w:sz w:val="20"/>
                <w:szCs w:val="20"/>
                <w:vertAlign w:val="subscript"/>
              </w:rPr>
              <w:t>0–τ</w:t>
            </w:r>
            <w:r w:rsidRPr="007770BC">
              <w:rPr>
                <w:w w:val="50"/>
                <w:sz w:val="20"/>
                <w:szCs w:val="20"/>
                <w:vertAlign w:val="subscript"/>
              </w:rPr>
              <w:t> </w:t>
            </w:r>
            <w:r w:rsidR="007770BC">
              <w:rPr>
                <w:w w:val="50"/>
                <w:sz w:val="20"/>
                <w:szCs w:val="20"/>
                <w:vertAlign w:val="subscript"/>
              </w:rPr>
              <w:t xml:space="preserve">  </w:t>
            </w:r>
            <w:r w:rsidRPr="007770BC">
              <w:rPr>
                <w:sz w:val="20"/>
                <w:szCs w:val="20"/>
              </w:rPr>
              <w:t>(</w:t>
            </w:r>
            <w:proofErr w:type="spellStart"/>
            <w:r w:rsidRPr="007770BC">
              <w:rPr>
                <w:rFonts w:eastAsia="Gulim"/>
                <w:sz w:val="20"/>
                <w:szCs w:val="20"/>
              </w:rPr>
              <w:t>μ</w:t>
            </w:r>
            <w:r w:rsidRPr="007770BC">
              <w:rPr>
                <w:sz w:val="20"/>
                <w:szCs w:val="20"/>
              </w:rPr>
              <w:t>g∙h</w:t>
            </w:r>
            <w:proofErr w:type="spellEnd"/>
            <w:r w:rsidRPr="007770BC">
              <w:rPr>
                <w:sz w:val="20"/>
                <w:szCs w:val="20"/>
              </w:rPr>
              <w:t>/mL)</w:t>
            </w:r>
          </w:p>
        </w:tc>
        <w:tc>
          <w:tcPr>
            <w:tcW w:w="1843" w:type="dxa"/>
          </w:tcPr>
          <w:p w:rsidR="008863F4" w:rsidRPr="007770BC" w:rsidRDefault="008863F4" w:rsidP="007770BC">
            <w:pPr>
              <w:rPr>
                <w:sz w:val="20"/>
                <w:szCs w:val="20"/>
              </w:rPr>
            </w:pPr>
            <w:r w:rsidRPr="007770BC">
              <w:rPr>
                <w:sz w:val="20"/>
                <w:szCs w:val="20"/>
              </w:rPr>
              <w:t>Exposure ratio</w:t>
            </w:r>
            <w:r w:rsidRPr="007770BC">
              <w:rPr>
                <w:sz w:val="20"/>
                <w:szCs w:val="20"/>
                <w:vertAlign w:val="superscript"/>
              </w:rPr>
              <w:t>#</w:t>
            </w:r>
          </w:p>
        </w:tc>
      </w:tr>
      <w:tr w:rsidR="008863F4" w:rsidRPr="007770BC" w:rsidTr="009F38B1">
        <w:trPr>
          <w:trHeight w:val="227"/>
        </w:trPr>
        <w:tc>
          <w:tcPr>
            <w:tcW w:w="1384" w:type="dxa"/>
            <w:vMerge w:val="restart"/>
          </w:tcPr>
          <w:p w:rsidR="008863F4" w:rsidRPr="007770BC" w:rsidRDefault="008863F4" w:rsidP="007770BC">
            <w:pPr>
              <w:rPr>
                <w:b/>
                <w:kern w:val="2"/>
                <w:sz w:val="20"/>
                <w:szCs w:val="20"/>
              </w:rPr>
            </w:pPr>
            <w:r w:rsidRPr="007770BC">
              <w:rPr>
                <w:b/>
                <w:kern w:val="2"/>
                <w:sz w:val="20"/>
                <w:szCs w:val="20"/>
              </w:rPr>
              <w:t>Mouse</w:t>
            </w:r>
          </w:p>
          <w:p w:rsidR="008863F4" w:rsidRPr="007770BC" w:rsidRDefault="008863F4" w:rsidP="007770BC">
            <w:pPr>
              <w:rPr>
                <w:kern w:val="2"/>
                <w:sz w:val="20"/>
                <w:szCs w:val="20"/>
              </w:rPr>
            </w:pPr>
            <w:r w:rsidRPr="007770BC">
              <w:rPr>
                <w:kern w:val="2"/>
                <w:sz w:val="20"/>
                <w:szCs w:val="20"/>
              </w:rPr>
              <w:t>(CD-1; dose ranging)</w:t>
            </w:r>
          </w:p>
        </w:tc>
        <w:tc>
          <w:tcPr>
            <w:tcW w:w="1843" w:type="dxa"/>
            <w:vMerge w:val="restart"/>
          </w:tcPr>
          <w:p w:rsidR="008863F4" w:rsidRPr="007770BC" w:rsidRDefault="008863F4" w:rsidP="007770BC">
            <w:pPr>
              <w:rPr>
                <w:kern w:val="2"/>
                <w:sz w:val="20"/>
                <w:szCs w:val="20"/>
              </w:rPr>
            </w:pPr>
            <w:r w:rsidRPr="007770BC">
              <w:rPr>
                <w:kern w:val="2"/>
                <w:sz w:val="20"/>
                <w:szCs w:val="20"/>
              </w:rPr>
              <w:t>14 days</w:t>
            </w:r>
          </w:p>
          <w:p w:rsidR="008863F4" w:rsidRPr="007770BC" w:rsidRDefault="008863F4" w:rsidP="007770BC">
            <w:pPr>
              <w:rPr>
                <w:kern w:val="2"/>
                <w:sz w:val="20"/>
                <w:szCs w:val="20"/>
              </w:rPr>
            </w:pPr>
            <w:r w:rsidRPr="007770BC">
              <w:rPr>
                <w:kern w:val="2"/>
                <w:sz w:val="20"/>
                <w:szCs w:val="20"/>
              </w:rPr>
              <w:t>(gavage)</w:t>
            </w:r>
          </w:p>
          <w:p w:rsidR="008863F4" w:rsidRPr="007770BC" w:rsidRDefault="008863F4" w:rsidP="007770BC">
            <w:pPr>
              <w:rPr>
                <w:kern w:val="2"/>
                <w:sz w:val="20"/>
                <w:szCs w:val="20"/>
              </w:rPr>
            </w:pPr>
            <w:r w:rsidRPr="007770BC">
              <w:rPr>
                <w:kern w:val="2"/>
                <w:sz w:val="20"/>
                <w:szCs w:val="20"/>
              </w:rPr>
              <w:t>PSM1171</w:t>
            </w:r>
          </w:p>
        </w:tc>
        <w:tc>
          <w:tcPr>
            <w:tcW w:w="1701" w:type="dxa"/>
          </w:tcPr>
          <w:p w:rsidR="008863F4" w:rsidRPr="007770BC" w:rsidRDefault="008863F4" w:rsidP="007770BC">
            <w:pPr>
              <w:rPr>
                <w:kern w:val="2"/>
                <w:sz w:val="20"/>
                <w:szCs w:val="20"/>
              </w:rPr>
            </w:pPr>
            <w:r w:rsidRPr="007770BC">
              <w:rPr>
                <w:kern w:val="2"/>
                <w:sz w:val="20"/>
                <w:szCs w:val="20"/>
              </w:rPr>
              <w:t>30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14.3; </w:t>
            </w:r>
            <w:r w:rsidRPr="007770BC">
              <w:rPr>
                <w:rFonts w:ascii="Times New Roman" w:hAnsi="Times New Roman"/>
                <w:kern w:val="2"/>
                <w:sz w:val="20"/>
                <w:szCs w:val="20"/>
              </w:rPr>
              <w:t>♀</w:t>
            </w:r>
            <w:r w:rsidRPr="007770BC">
              <w:rPr>
                <w:kern w:val="2"/>
                <w:sz w:val="20"/>
                <w:szCs w:val="20"/>
              </w:rPr>
              <w:t>= 18.5</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≈0.2; </w:t>
            </w:r>
            <w:r w:rsidRPr="007770BC">
              <w:rPr>
                <w:rFonts w:ascii="Times New Roman" w:hAnsi="Times New Roman"/>
                <w:kern w:val="2"/>
                <w:sz w:val="20"/>
                <w:szCs w:val="20"/>
              </w:rPr>
              <w:t>♀</w:t>
            </w:r>
            <w:r w:rsidRPr="007770BC">
              <w:rPr>
                <w:kern w:val="2"/>
                <w:sz w:val="20"/>
                <w:szCs w:val="20"/>
              </w:rPr>
              <w:t xml:space="preserve"> ≈0.3</w:t>
            </w:r>
          </w:p>
        </w:tc>
      </w:tr>
      <w:tr w:rsidR="008863F4" w:rsidRPr="007770BC" w:rsidTr="009F38B1">
        <w:trPr>
          <w:trHeight w:val="227"/>
        </w:trPr>
        <w:tc>
          <w:tcPr>
            <w:tcW w:w="1384" w:type="dxa"/>
            <w:vMerge/>
          </w:tcPr>
          <w:p w:rsidR="008863F4" w:rsidRPr="007770BC" w:rsidRDefault="008863F4" w:rsidP="007770BC">
            <w:pPr>
              <w:rPr>
                <w:b/>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90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44.6; </w:t>
            </w:r>
            <w:r w:rsidRPr="007770BC">
              <w:rPr>
                <w:rFonts w:ascii="Times New Roman" w:hAnsi="Times New Roman"/>
                <w:kern w:val="2"/>
                <w:sz w:val="20"/>
                <w:szCs w:val="20"/>
              </w:rPr>
              <w:t>♀</w:t>
            </w:r>
            <w:r w:rsidRPr="007770BC">
              <w:rPr>
                <w:kern w:val="2"/>
                <w:sz w:val="20"/>
                <w:szCs w:val="20"/>
              </w:rPr>
              <w:t>= 23.8</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≈0.6; </w:t>
            </w:r>
            <w:r w:rsidRPr="007770BC">
              <w:rPr>
                <w:rFonts w:ascii="Times New Roman" w:hAnsi="Times New Roman"/>
                <w:kern w:val="2"/>
                <w:sz w:val="20"/>
                <w:szCs w:val="20"/>
              </w:rPr>
              <w:t>♀</w:t>
            </w:r>
            <w:r w:rsidRPr="007770BC">
              <w:rPr>
                <w:kern w:val="2"/>
                <w:sz w:val="20"/>
                <w:szCs w:val="20"/>
              </w:rPr>
              <w:t xml:space="preserve"> ≈0.3</w:t>
            </w:r>
          </w:p>
        </w:tc>
      </w:tr>
      <w:tr w:rsidR="008863F4" w:rsidRPr="007770BC" w:rsidTr="009F38B1">
        <w:trPr>
          <w:trHeight w:val="227"/>
        </w:trPr>
        <w:tc>
          <w:tcPr>
            <w:tcW w:w="1384" w:type="dxa"/>
            <w:vMerge/>
          </w:tcPr>
          <w:p w:rsidR="008863F4" w:rsidRPr="007770BC" w:rsidRDefault="008863F4" w:rsidP="007770BC">
            <w:pPr>
              <w:rPr>
                <w:b/>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300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167; </w:t>
            </w:r>
            <w:r w:rsidRPr="007770BC">
              <w:rPr>
                <w:rFonts w:ascii="Times New Roman" w:hAnsi="Times New Roman"/>
                <w:kern w:val="2"/>
                <w:sz w:val="20"/>
                <w:szCs w:val="20"/>
              </w:rPr>
              <w:t>♀</w:t>
            </w:r>
            <w:r w:rsidRPr="007770BC">
              <w:rPr>
                <w:kern w:val="2"/>
                <w:sz w:val="20"/>
                <w:szCs w:val="20"/>
              </w:rPr>
              <w:t>= 118</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 </w:t>
            </w:r>
            <w:r w:rsidRPr="007770BC">
              <w:rPr>
                <w:rFonts w:ascii="Times New Roman" w:hAnsi="Times New Roman"/>
                <w:kern w:val="2"/>
                <w:sz w:val="20"/>
                <w:szCs w:val="20"/>
              </w:rPr>
              <w:t>♀</w:t>
            </w:r>
            <w:r w:rsidRPr="007770BC">
              <w:rPr>
                <w:kern w:val="2"/>
                <w:sz w:val="20"/>
                <w:szCs w:val="20"/>
              </w:rPr>
              <w:t xml:space="preserve"> ≈2</w:t>
            </w:r>
          </w:p>
        </w:tc>
      </w:tr>
      <w:tr w:rsidR="008863F4" w:rsidRPr="007770BC" w:rsidTr="009F38B1">
        <w:trPr>
          <w:trHeight w:val="227"/>
        </w:trPr>
        <w:tc>
          <w:tcPr>
            <w:tcW w:w="1384" w:type="dxa"/>
            <w:vMerge/>
          </w:tcPr>
          <w:p w:rsidR="008863F4" w:rsidRPr="007770BC" w:rsidRDefault="008863F4" w:rsidP="007770BC">
            <w:pPr>
              <w:rPr>
                <w:b/>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900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688; </w:t>
            </w:r>
            <w:r w:rsidRPr="007770BC">
              <w:rPr>
                <w:rFonts w:ascii="Times New Roman" w:hAnsi="Times New Roman"/>
                <w:kern w:val="2"/>
                <w:sz w:val="20"/>
                <w:szCs w:val="20"/>
              </w:rPr>
              <w:t>♀</w:t>
            </w:r>
            <w:r w:rsidRPr="007770BC">
              <w:rPr>
                <w:kern w:val="2"/>
                <w:sz w:val="20"/>
                <w:szCs w:val="20"/>
              </w:rPr>
              <w:t>= 511</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10; </w:t>
            </w:r>
            <w:r w:rsidRPr="007770BC">
              <w:rPr>
                <w:rFonts w:ascii="Times New Roman" w:hAnsi="Times New Roman"/>
                <w:kern w:val="2"/>
                <w:sz w:val="20"/>
                <w:szCs w:val="20"/>
              </w:rPr>
              <w:t>♀</w:t>
            </w:r>
            <w:r w:rsidRPr="007770BC">
              <w:rPr>
                <w:kern w:val="2"/>
                <w:sz w:val="20"/>
                <w:szCs w:val="20"/>
              </w:rPr>
              <w:t xml:space="preserve"> ≈7</w:t>
            </w:r>
          </w:p>
        </w:tc>
      </w:tr>
      <w:tr w:rsidR="008863F4" w:rsidRPr="007770BC" w:rsidTr="009F38B1">
        <w:trPr>
          <w:trHeight w:val="227"/>
        </w:trPr>
        <w:tc>
          <w:tcPr>
            <w:tcW w:w="1384" w:type="dxa"/>
            <w:vMerge w:val="restart"/>
          </w:tcPr>
          <w:p w:rsidR="008863F4" w:rsidRPr="007770BC" w:rsidRDefault="008863F4" w:rsidP="007770BC">
            <w:pPr>
              <w:rPr>
                <w:b/>
                <w:kern w:val="2"/>
                <w:sz w:val="20"/>
                <w:szCs w:val="20"/>
              </w:rPr>
            </w:pPr>
            <w:r w:rsidRPr="007770BC">
              <w:rPr>
                <w:b/>
                <w:kern w:val="2"/>
                <w:sz w:val="20"/>
                <w:szCs w:val="20"/>
              </w:rPr>
              <w:t>Mouse</w:t>
            </w:r>
          </w:p>
          <w:p w:rsidR="008863F4" w:rsidRPr="007770BC" w:rsidRDefault="008863F4" w:rsidP="007770BC">
            <w:pPr>
              <w:rPr>
                <w:kern w:val="2"/>
                <w:sz w:val="20"/>
                <w:szCs w:val="20"/>
              </w:rPr>
            </w:pPr>
            <w:r w:rsidRPr="007770BC">
              <w:rPr>
                <w:kern w:val="2"/>
                <w:sz w:val="20"/>
                <w:szCs w:val="20"/>
              </w:rPr>
              <w:t>(CD-1; dose ranging)</w:t>
            </w:r>
          </w:p>
        </w:tc>
        <w:tc>
          <w:tcPr>
            <w:tcW w:w="1843" w:type="dxa"/>
            <w:vMerge w:val="restart"/>
          </w:tcPr>
          <w:p w:rsidR="008863F4" w:rsidRPr="007770BC" w:rsidRDefault="008863F4" w:rsidP="007770BC">
            <w:pPr>
              <w:rPr>
                <w:kern w:val="2"/>
                <w:sz w:val="20"/>
                <w:szCs w:val="20"/>
              </w:rPr>
            </w:pPr>
            <w:r w:rsidRPr="007770BC">
              <w:rPr>
                <w:kern w:val="2"/>
                <w:sz w:val="20"/>
                <w:szCs w:val="20"/>
              </w:rPr>
              <w:t>13 weeks</w:t>
            </w:r>
          </w:p>
          <w:p w:rsidR="008863F4" w:rsidRPr="007770BC" w:rsidRDefault="008863F4" w:rsidP="007770BC">
            <w:pPr>
              <w:rPr>
                <w:kern w:val="2"/>
                <w:sz w:val="20"/>
                <w:szCs w:val="20"/>
              </w:rPr>
            </w:pPr>
            <w:r w:rsidRPr="007770BC">
              <w:rPr>
                <w:kern w:val="2"/>
                <w:sz w:val="20"/>
                <w:szCs w:val="20"/>
              </w:rPr>
              <w:t>(</w:t>
            </w:r>
            <w:proofErr w:type="spellStart"/>
            <w:r w:rsidRPr="007770BC">
              <w:rPr>
                <w:kern w:val="2"/>
                <w:sz w:val="20"/>
                <w:szCs w:val="20"/>
              </w:rPr>
              <w:t>gavage+diet</w:t>
            </w:r>
            <w:proofErr w:type="spellEnd"/>
            <w:r w:rsidRPr="007770BC">
              <w:rPr>
                <w:kern w:val="2"/>
                <w:sz w:val="20"/>
                <w:szCs w:val="20"/>
              </w:rPr>
              <w:t>)</w:t>
            </w:r>
          </w:p>
          <w:p w:rsidR="008863F4" w:rsidRPr="007770BC" w:rsidRDefault="008863F4" w:rsidP="007770BC">
            <w:pPr>
              <w:rPr>
                <w:kern w:val="2"/>
                <w:sz w:val="20"/>
                <w:szCs w:val="20"/>
              </w:rPr>
            </w:pPr>
            <w:r w:rsidRPr="007770BC">
              <w:rPr>
                <w:kern w:val="2"/>
                <w:sz w:val="20"/>
                <w:szCs w:val="20"/>
              </w:rPr>
              <w:t>PSM1256</w:t>
            </w:r>
          </w:p>
        </w:tc>
        <w:tc>
          <w:tcPr>
            <w:tcW w:w="1701" w:type="dxa"/>
          </w:tcPr>
          <w:p w:rsidR="008863F4" w:rsidRPr="007770BC" w:rsidRDefault="008863F4" w:rsidP="007770BC">
            <w:pPr>
              <w:rPr>
                <w:kern w:val="2"/>
                <w:sz w:val="20"/>
                <w:szCs w:val="20"/>
              </w:rPr>
            </w:pPr>
            <w:r w:rsidRPr="007770BC">
              <w:rPr>
                <w:kern w:val="2"/>
                <w:sz w:val="20"/>
                <w:szCs w:val="20"/>
              </w:rPr>
              <w:t>450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135; </w:t>
            </w:r>
            <w:r w:rsidRPr="007770BC">
              <w:rPr>
                <w:rFonts w:ascii="Times New Roman" w:hAnsi="Times New Roman"/>
                <w:kern w:val="2"/>
                <w:sz w:val="20"/>
                <w:szCs w:val="20"/>
              </w:rPr>
              <w:t>♀</w:t>
            </w:r>
            <w:r w:rsidRPr="007770BC">
              <w:rPr>
                <w:kern w:val="2"/>
                <w:sz w:val="20"/>
                <w:szCs w:val="20"/>
              </w:rPr>
              <w:t>= 84.7</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 </w:t>
            </w:r>
            <w:r w:rsidRPr="007770BC">
              <w:rPr>
                <w:rFonts w:ascii="Times New Roman" w:hAnsi="Times New Roman"/>
                <w:kern w:val="2"/>
                <w:sz w:val="20"/>
                <w:szCs w:val="20"/>
              </w:rPr>
              <w:t>♀</w:t>
            </w:r>
            <w:r w:rsidRPr="007770BC">
              <w:rPr>
                <w:kern w:val="2"/>
                <w:sz w:val="20"/>
                <w:szCs w:val="20"/>
              </w:rPr>
              <w:t xml:space="preserve"> ≈1</w:t>
            </w:r>
          </w:p>
        </w:tc>
      </w:tr>
      <w:tr w:rsidR="008863F4" w:rsidRPr="007770BC" w:rsidTr="009F38B1">
        <w:trPr>
          <w:trHeight w:val="227"/>
        </w:trPr>
        <w:tc>
          <w:tcPr>
            <w:tcW w:w="1384" w:type="dxa"/>
            <w:vMerge/>
          </w:tcPr>
          <w:p w:rsidR="008863F4" w:rsidRPr="007770BC" w:rsidRDefault="008863F4" w:rsidP="007770BC">
            <w:pPr>
              <w:rPr>
                <w:b/>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675</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288; </w:t>
            </w:r>
            <w:r w:rsidRPr="007770BC">
              <w:rPr>
                <w:rFonts w:ascii="Times New Roman" w:hAnsi="Times New Roman"/>
                <w:kern w:val="2"/>
                <w:sz w:val="20"/>
                <w:szCs w:val="20"/>
              </w:rPr>
              <w:t>♀</w:t>
            </w:r>
            <w:r w:rsidRPr="007770BC">
              <w:rPr>
                <w:kern w:val="2"/>
                <w:sz w:val="20"/>
                <w:szCs w:val="20"/>
              </w:rPr>
              <w:t>= 184</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≈4;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tcPr>
          <w:p w:rsidR="008863F4" w:rsidRPr="007770BC" w:rsidRDefault="008863F4" w:rsidP="007770BC">
            <w:pPr>
              <w:rPr>
                <w:b/>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1000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651; </w:t>
            </w:r>
            <w:r w:rsidRPr="007770BC">
              <w:rPr>
                <w:rFonts w:ascii="Times New Roman" w:hAnsi="Times New Roman"/>
                <w:kern w:val="2"/>
                <w:sz w:val="20"/>
                <w:szCs w:val="20"/>
              </w:rPr>
              <w:t>♀</w:t>
            </w:r>
            <w:r w:rsidRPr="007770BC">
              <w:rPr>
                <w:kern w:val="2"/>
                <w:sz w:val="20"/>
                <w:szCs w:val="20"/>
              </w:rPr>
              <w:t>= 618</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≈9; </w:t>
            </w:r>
            <w:r w:rsidRPr="007770BC">
              <w:rPr>
                <w:rFonts w:ascii="Times New Roman" w:hAnsi="Times New Roman"/>
                <w:kern w:val="2"/>
                <w:sz w:val="20"/>
                <w:szCs w:val="20"/>
              </w:rPr>
              <w:t>♀</w:t>
            </w:r>
            <w:r w:rsidRPr="007770BC">
              <w:rPr>
                <w:kern w:val="2"/>
                <w:sz w:val="20"/>
                <w:szCs w:val="20"/>
              </w:rPr>
              <w:t xml:space="preserve"> ≈9</w:t>
            </w:r>
          </w:p>
        </w:tc>
      </w:tr>
      <w:tr w:rsidR="008863F4" w:rsidRPr="007770BC" w:rsidTr="009F38B1">
        <w:trPr>
          <w:trHeight w:val="227"/>
        </w:trPr>
        <w:tc>
          <w:tcPr>
            <w:tcW w:w="1384" w:type="dxa"/>
            <w:vMerge w:val="restart"/>
          </w:tcPr>
          <w:p w:rsidR="008863F4" w:rsidRPr="007770BC" w:rsidRDefault="008863F4" w:rsidP="007770BC">
            <w:pPr>
              <w:rPr>
                <w:b/>
                <w:kern w:val="2"/>
                <w:sz w:val="20"/>
                <w:szCs w:val="20"/>
              </w:rPr>
            </w:pPr>
            <w:r w:rsidRPr="007770BC">
              <w:rPr>
                <w:b/>
                <w:kern w:val="2"/>
                <w:sz w:val="20"/>
                <w:szCs w:val="20"/>
              </w:rPr>
              <w:t>Mouse</w:t>
            </w:r>
          </w:p>
          <w:p w:rsidR="008863F4" w:rsidRPr="007770BC" w:rsidRDefault="008863F4" w:rsidP="007770BC">
            <w:pPr>
              <w:rPr>
                <w:kern w:val="2"/>
                <w:sz w:val="20"/>
                <w:szCs w:val="20"/>
              </w:rPr>
            </w:pPr>
            <w:r w:rsidRPr="007770BC">
              <w:rPr>
                <w:kern w:val="2"/>
                <w:sz w:val="20"/>
                <w:szCs w:val="20"/>
              </w:rPr>
              <w:t>(CD-1; Carcinogenesis)</w:t>
            </w:r>
          </w:p>
        </w:tc>
        <w:tc>
          <w:tcPr>
            <w:tcW w:w="1843" w:type="dxa"/>
            <w:vMerge w:val="restart"/>
          </w:tcPr>
          <w:p w:rsidR="008863F4" w:rsidRPr="007770BC" w:rsidRDefault="008863F4" w:rsidP="007770BC">
            <w:pPr>
              <w:rPr>
                <w:kern w:val="2"/>
                <w:sz w:val="20"/>
                <w:szCs w:val="20"/>
              </w:rPr>
            </w:pPr>
            <w:r w:rsidRPr="007770BC">
              <w:rPr>
                <w:kern w:val="2"/>
                <w:sz w:val="20"/>
                <w:szCs w:val="20"/>
              </w:rPr>
              <w:t>104 weeks</w:t>
            </w:r>
          </w:p>
          <w:p w:rsidR="008863F4" w:rsidRPr="007770BC" w:rsidRDefault="008863F4" w:rsidP="007770BC">
            <w:pPr>
              <w:rPr>
                <w:kern w:val="2"/>
                <w:sz w:val="20"/>
                <w:szCs w:val="20"/>
              </w:rPr>
            </w:pPr>
            <w:r w:rsidRPr="007770BC">
              <w:rPr>
                <w:kern w:val="2"/>
                <w:sz w:val="20"/>
                <w:szCs w:val="20"/>
              </w:rPr>
              <w:t>(</w:t>
            </w:r>
            <w:proofErr w:type="spellStart"/>
            <w:r w:rsidRPr="007770BC">
              <w:rPr>
                <w:kern w:val="2"/>
                <w:sz w:val="20"/>
                <w:szCs w:val="20"/>
              </w:rPr>
              <w:t>gavage+diet</w:t>
            </w:r>
            <w:proofErr w:type="spellEnd"/>
            <w:r w:rsidRPr="007770BC">
              <w:rPr>
                <w:kern w:val="2"/>
                <w:sz w:val="20"/>
                <w:szCs w:val="20"/>
              </w:rPr>
              <w:t>)</w:t>
            </w:r>
          </w:p>
          <w:p w:rsidR="008863F4" w:rsidRPr="007770BC" w:rsidRDefault="008863F4" w:rsidP="007770BC">
            <w:pPr>
              <w:rPr>
                <w:kern w:val="2"/>
                <w:sz w:val="20"/>
                <w:szCs w:val="20"/>
              </w:rPr>
            </w:pPr>
            <w:r w:rsidRPr="007770BC">
              <w:rPr>
                <w:kern w:val="2"/>
                <w:sz w:val="20"/>
                <w:szCs w:val="20"/>
              </w:rPr>
              <w:t>NCD1304</w:t>
            </w:r>
          </w:p>
        </w:tc>
        <w:tc>
          <w:tcPr>
            <w:tcW w:w="1701" w:type="dxa"/>
          </w:tcPr>
          <w:p w:rsidR="008863F4" w:rsidRPr="007770BC" w:rsidRDefault="008863F4" w:rsidP="007770BC">
            <w:pPr>
              <w:rPr>
                <w:kern w:val="2"/>
                <w:sz w:val="20"/>
                <w:szCs w:val="20"/>
              </w:rPr>
            </w:pPr>
            <w:r w:rsidRPr="007770BC">
              <w:rPr>
                <w:kern w:val="2"/>
                <w:sz w:val="20"/>
                <w:szCs w:val="20"/>
              </w:rPr>
              <w:t>400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82.2</w:t>
            </w:r>
            <w:r w:rsidRPr="007770BC">
              <w:rPr>
                <w:kern w:val="2"/>
                <w:sz w:val="20"/>
                <w:szCs w:val="20"/>
                <w:vertAlign w:val="superscript"/>
              </w:rPr>
              <w:t>‡</w:t>
            </w:r>
            <w:r w:rsidRPr="007770BC">
              <w:rPr>
                <w:kern w:val="2"/>
                <w:sz w:val="20"/>
                <w:szCs w:val="20"/>
              </w:rPr>
              <w:t xml:space="preserve">; </w:t>
            </w:r>
            <w:r w:rsidRPr="007770BC">
              <w:rPr>
                <w:rFonts w:ascii="Times New Roman" w:hAnsi="Times New Roman"/>
                <w:kern w:val="2"/>
                <w:sz w:val="20"/>
                <w:szCs w:val="20"/>
              </w:rPr>
              <w:t>♀</w:t>
            </w:r>
            <w:r w:rsidRPr="007770BC">
              <w:rPr>
                <w:kern w:val="2"/>
                <w:sz w:val="20"/>
                <w:szCs w:val="20"/>
              </w:rPr>
              <w:t xml:space="preserve"> =51.4 </w:t>
            </w:r>
            <w:r w:rsidRPr="007770BC">
              <w:rPr>
                <w:kern w:val="2"/>
                <w:sz w:val="20"/>
                <w:szCs w:val="20"/>
                <w:vertAlign w:val="superscript"/>
              </w:rPr>
              <w:t>‡</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w:t>
            </w:r>
            <w:r w:rsidRPr="007770BC">
              <w:rPr>
                <w:kern w:val="2"/>
                <w:sz w:val="20"/>
                <w:szCs w:val="20"/>
                <w:vertAlign w:val="superscript"/>
              </w:rPr>
              <w:t>‡</w:t>
            </w:r>
            <w:r w:rsidRPr="007770BC">
              <w:rPr>
                <w:kern w:val="2"/>
                <w:sz w:val="20"/>
                <w:szCs w:val="20"/>
              </w:rPr>
              <w:t xml:space="preserve">; </w:t>
            </w:r>
            <w:r w:rsidRPr="007770BC">
              <w:rPr>
                <w:rFonts w:ascii="Times New Roman" w:hAnsi="Times New Roman"/>
                <w:kern w:val="2"/>
                <w:sz w:val="20"/>
                <w:szCs w:val="20"/>
              </w:rPr>
              <w:t>♀</w:t>
            </w:r>
            <w:r w:rsidRPr="007770BC">
              <w:rPr>
                <w:kern w:val="2"/>
                <w:sz w:val="20"/>
                <w:szCs w:val="20"/>
              </w:rPr>
              <w:t xml:space="preserve"> ≈1</w:t>
            </w:r>
            <w:r w:rsidRPr="007770BC">
              <w:rPr>
                <w:kern w:val="2"/>
                <w:sz w:val="20"/>
                <w:szCs w:val="20"/>
                <w:vertAlign w:val="superscript"/>
              </w:rPr>
              <w:t>‡</w:t>
            </w:r>
          </w:p>
        </w:tc>
      </w:tr>
      <w:tr w:rsidR="008863F4" w:rsidRPr="007770BC" w:rsidTr="009F38B1">
        <w:trPr>
          <w:trHeight w:val="227"/>
        </w:trPr>
        <w:tc>
          <w:tcPr>
            <w:tcW w:w="1384" w:type="dxa"/>
            <w:vMerge/>
          </w:tcPr>
          <w:p w:rsidR="008863F4" w:rsidRPr="007770BC" w:rsidRDefault="008863F4" w:rsidP="007770BC">
            <w:pPr>
              <w:rPr>
                <w:b/>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550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136</w:t>
            </w:r>
            <w:r w:rsidRPr="007770BC">
              <w:rPr>
                <w:kern w:val="2"/>
                <w:sz w:val="20"/>
                <w:szCs w:val="20"/>
                <w:vertAlign w:val="superscript"/>
              </w:rPr>
              <w:t xml:space="preserve">‡; </w:t>
            </w:r>
            <w:r w:rsidRPr="007770BC">
              <w:rPr>
                <w:rFonts w:ascii="Times New Roman" w:hAnsi="Times New Roman"/>
                <w:kern w:val="2"/>
                <w:sz w:val="20"/>
                <w:szCs w:val="20"/>
              </w:rPr>
              <w:t>♀</w:t>
            </w:r>
            <w:r w:rsidRPr="007770BC">
              <w:rPr>
                <w:kern w:val="2"/>
                <w:sz w:val="20"/>
                <w:szCs w:val="20"/>
              </w:rPr>
              <w:t xml:space="preserve"> =58.6</w:t>
            </w:r>
            <w:r w:rsidRPr="007770BC">
              <w:rPr>
                <w:kern w:val="2"/>
                <w:sz w:val="20"/>
                <w:szCs w:val="20"/>
                <w:vertAlign w:val="superscript"/>
              </w:rPr>
              <w:t>‡</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w:t>
            </w:r>
            <w:r w:rsidRPr="007770BC">
              <w:rPr>
                <w:kern w:val="2"/>
                <w:sz w:val="20"/>
                <w:szCs w:val="20"/>
                <w:vertAlign w:val="superscript"/>
              </w:rPr>
              <w:t>‡</w:t>
            </w:r>
            <w:r w:rsidRPr="007770BC">
              <w:rPr>
                <w:kern w:val="2"/>
                <w:sz w:val="20"/>
                <w:szCs w:val="20"/>
              </w:rPr>
              <w:t xml:space="preserve">; </w:t>
            </w:r>
            <w:r w:rsidRPr="007770BC">
              <w:rPr>
                <w:rFonts w:ascii="Times New Roman" w:hAnsi="Times New Roman"/>
                <w:kern w:val="2"/>
                <w:sz w:val="20"/>
                <w:szCs w:val="20"/>
              </w:rPr>
              <w:t>♀</w:t>
            </w:r>
            <w:r w:rsidRPr="007770BC">
              <w:rPr>
                <w:kern w:val="2"/>
                <w:sz w:val="20"/>
                <w:szCs w:val="20"/>
              </w:rPr>
              <w:t xml:space="preserve"> ≈1</w:t>
            </w:r>
            <w:r w:rsidRPr="007770BC">
              <w:rPr>
                <w:kern w:val="2"/>
                <w:sz w:val="20"/>
                <w:szCs w:val="20"/>
                <w:vertAlign w:val="superscript"/>
              </w:rPr>
              <w:t>‡</w:t>
            </w:r>
          </w:p>
        </w:tc>
      </w:tr>
      <w:tr w:rsidR="008863F4" w:rsidRPr="007770BC" w:rsidTr="009F38B1">
        <w:trPr>
          <w:trHeight w:val="227"/>
        </w:trPr>
        <w:tc>
          <w:tcPr>
            <w:tcW w:w="1384" w:type="dxa"/>
            <w:vMerge/>
          </w:tcPr>
          <w:p w:rsidR="008863F4" w:rsidRPr="007770BC" w:rsidRDefault="008863F4" w:rsidP="007770BC">
            <w:pPr>
              <w:rPr>
                <w:b/>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700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252</w:t>
            </w:r>
            <w:r w:rsidRPr="007770BC">
              <w:rPr>
                <w:kern w:val="2"/>
                <w:sz w:val="20"/>
                <w:szCs w:val="20"/>
                <w:vertAlign w:val="superscript"/>
              </w:rPr>
              <w:t>‡</w:t>
            </w:r>
            <w:r w:rsidRPr="007770BC">
              <w:rPr>
                <w:kern w:val="2"/>
                <w:sz w:val="20"/>
                <w:szCs w:val="20"/>
              </w:rPr>
              <w:t xml:space="preserve">; </w:t>
            </w:r>
            <w:r w:rsidRPr="007770BC">
              <w:rPr>
                <w:rFonts w:ascii="Times New Roman" w:hAnsi="Times New Roman"/>
                <w:kern w:val="2"/>
                <w:sz w:val="20"/>
                <w:szCs w:val="20"/>
              </w:rPr>
              <w:t>♀</w:t>
            </w:r>
            <w:r w:rsidRPr="007770BC">
              <w:rPr>
                <w:kern w:val="2"/>
                <w:sz w:val="20"/>
                <w:szCs w:val="20"/>
              </w:rPr>
              <w:t>= 160</w:t>
            </w:r>
            <w:r w:rsidRPr="007770BC">
              <w:rPr>
                <w:kern w:val="2"/>
                <w:sz w:val="20"/>
                <w:szCs w:val="20"/>
                <w:vertAlign w:val="superscript"/>
              </w:rPr>
              <w:t>‡</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≈4</w:t>
            </w:r>
            <w:r w:rsidRPr="007770BC">
              <w:rPr>
                <w:kern w:val="2"/>
                <w:sz w:val="20"/>
                <w:szCs w:val="20"/>
                <w:vertAlign w:val="superscript"/>
              </w:rPr>
              <w:t>‡</w:t>
            </w:r>
            <w:r w:rsidRPr="007770BC">
              <w:rPr>
                <w:kern w:val="2"/>
                <w:sz w:val="20"/>
                <w:szCs w:val="20"/>
              </w:rPr>
              <w:t xml:space="preserve">; </w:t>
            </w:r>
            <w:r w:rsidRPr="007770BC">
              <w:rPr>
                <w:rFonts w:ascii="Times New Roman" w:hAnsi="Times New Roman"/>
                <w:kern w:val="2"/>
                <w:sz w:val="20"/>
                <w:szCs w:val="20"/>
              </w:rPr>
              <w:t>♀</w:t>
            </w:r>
            <w:r w:rsidRPr="007770BC">
              <w:rPr>
                <w:kern w:val="2"/>
                <w:sz w:val="20"/>
                <w:szCs w:val="20"/>
              </w:rPr>
              <w:t xml:space="preserve"> ≈2</w:t>
            </w:r>
            <w:r w:rsidRPr="007770BC">
              <w:rPr>
                <w:kern w:val="2"/>
                <w:sz w:val="20"/>
                <w:szCs w:val="20"/>
                <w:vertAlign w:val="superscript"/>
              </w:rPr>
              <w:t>‡</w:t>
            </w:r>
          </w:p>
        </w:tc>
      </w:tr>
      <w:tr w:rsidR="008863F4" w:rsidRPr="007770BC" w:rsidTr="009F38B1">
        <w:trPr>
          <w:trHeight w:val="227"/>
        </w:trPr>
        <w:tc>
          <w:tcPr>
            <w:tcW w:w="1384" w:type="dxa"/>
            <w:vMerge w:val="restart"/>
          </w:tcPr>
          <w:p w:rsidR="008863F4" w:rsidRPr="007770BC" w:rsidRDefault="008863F4" w:rsidP="007770BC">
            <w:pPr>
              <w:rPr>
                <w:color w:val="00B050"/>
                <w:kern w:val="2"/>
                <w:sz w:val="20"/>
                <w:szCs w:val="20"/>
              </w:rPr>
            </w:pPr>
            <w:r w:rsidRPr="007770BC">
              <w:rPr>
                <w:b/>
                <w:kern w:val="2"/>
                <w:sz w:val="20"/>
                <w:szCs w:val="20"/>
              </w:rPr>
              <w:t>Rat</w:t>
            </w:r>
            <w:r w:rsidRPr="007770BC">
              <w:rPr>
                <w:kern w:val="2"/>
                <w:sz w:val="20"/>
                <w:szCs w:val="20"/>
              </w:rPr>
              <w:br/>
            </w:r>
            <w:r w:rsidRPr="007770BC">
              <w:rPr>
                <w:kern w:val="2"/>
                <w:sz w:val="20"/>
                <w:szCs w:val="20"/>
              </w:rPr>
              <w:lastRenderedPageBreak/>
              <w:t>(</w:t>
            </w:r>
            <w:proofErr w:type="spellStart"/>
            <w:r w:rsidRPr="007770BC">
              <w:rPr>
                <w:kern w:val="2"/>
                <w:sz w:val="20"/>
                <w:szCs w:val="20"/>
              </w:rPr>
              <w:t>Wistar</w:t>
            </w:r>
            <w:proofErr w:type="spellEnd"/>
            <w:r w:rsidRPr="007770BC">
              <w:rPr>
                <w:kern w:val="2"/>
                <w:sz w:val="20"/>
                <w:szCs w:val="20"/>
              </w:rPr>
              <w:t>)</w:t>
            </w:r>
          </w:p>
        </w:tc>
        <w:tc>
          <w:tcPr>
            <w:tcW w:w="1843" w:type="dxa"/>
            <w:vMerge w:val="restart"/>
          </w:tcPr>
          <w:p w:rsidR="008863F4" w:rsidRPr="007770BC" w:rsidRDefault="008863F4" w:rsidP="007770BC">
            <w:pPr>
              <w:rPr>
                <w:kern w:val="2"/>
                <w:sz w:val="20"/>
                <w:szCs w:val="20"/>
              </w:rPr>
            </w:pPr>
            <w:r w:rsidRPr="007770BC">
              <w:rPr>
                <w:kern w:val="2"/>
                <w:sz w:val="20"/>
                <w:szCs w:val="20"/>
              </w:rPr>
              <w:lastRenderedPageBreak/>
              <w:t>4 weeks</w:t>
            </w:r>
          </w:p>
          <w:p w:rsidR="008863F4" w:rsidRPr="007770BC" w:rsidRDefault="008863F4" w:rsidP="007770BC">
            <w:pPr>
              <w:rPr>
                <w:kern w:val="2"/>
                <w:sz w:val="20"/>
                <w:szCs w:val="20"/>
              </w:rPr>
            </w:pPr>
            <w:r w:rsidRPr="007770BC">
              <w:rPr>
                <w:kern w:val="2"/>
                <w:sz w:val="20"/>
                <w:szCs w:val="20"/>
              </w:rPr>
              <w:lastRenderedPageBreak/>
              <w:t xml:space="preserve"> (gavage)</w:t>
            </w:r>
          </w:p>
          <w:p w:rsidR="008863F4" w:rsidRPr="007770BC" w:rsidRDefault="008863F4" w:rsidP="007770BC">
            <w:pPr>
              <w:rPr>
                <w:kern w:val="2"/>
                <w:sz w:val="20"/>
                <w:szCs w:val="20"/>
              </w:rPr>
            </w:pPr>
            <w:r w:rsidRPr="007770BC">
              <w:rPr>
                <w:kern w:val="2"/>
                <w:sz w:val="20"/>
                <w:szCs w:val="20"/>
              </w:rPr>
              <w:t>TA0661</w:t>
            </w:r>
          </w:p>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lastRenderedPageBreak/>
              <w:t>100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168</w:t>
            </w:r>
            <w:r w:rsidRPr="007770BC">
              <w:rPr>
                <w:rFonts w:eastAsiaTheme="minorHAnsi"/>
                <w:sz w:val="20"/>
                <w:szCs w:val="20"/>
                <w:vertAlign w:val="superscript"/>
              </w:rPr>
              <w:t xml:space="preserve"> ó</w:t>
            </w:r>
            <w:r w:rsidRPr="007770BC">
              <w:rPr>
                <w:rFonts w:eastAsiaTheme="minorHAnsi"/>
                <w:sz w:val="20"/>
                <w:szCs w:val="20"/>
              </w:rPr>
              <w:t xml:space="preserve">; </w:t>
            </w: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212</w:t>
            </w:r>
            <w:r w:rsidRPr="007770BC">
              <w:rPr>
                <w:rFonts w:eastAsiaTheme="minorHAnsi"/>
                <w:sz w:val="20"/>
                <w:szCs w:val="20"/>
                <w:vertAlign w:val="superscript"/>
              </w:rPr>
              <w:t>ó</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300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606</w:t>
            </w:r>
            <w:r w:rsidRPr="007770BC">
              <w:rPr>
                <w:rFonts w:eastAsiaTheme="minorHAnsi"/>
                <w:sz w:val="20"/>
                <w:szCs w:val="20"/>
                <w:vertAlign w:val="superscript"/>
              </w:rPr>
              <w:t xml:space="preserve"> ó</w:t>
            </w:r>
            <w:r w:rsidRPr="007770BC">
              <w:rPr>
                <w:rFonts w:eastAsiaTheme="minorHAnsi"/>
                <w:sz w:val="20"/>
                <w:szCs w:val="20"/>
              </w:rPr>
              <w:t xml:space="preserve">; </w:t>
            </w: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777</w:t>
            </w:r>
            <w:r w:rsidRPr="007770BC">
              <w:rPr>
                <w:rFonts w:eastAsiaTheme="minorHAnsi"/>
                <w:sz w:val="20"/>
                <w:szCs w:val="20"/>
                <w:vertAlign w:val="superscript"/>
              </w:rPr>
              <w:t xml:space="preserve"> ó</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≈9</w:t>
            </w:r>
            <w:r w:rsidRPr="007770BC">
              <w:rPr>
                <w:rFonts w:eastAsiaTheme="minorHAnsi"/>
                <w:sz w:val="20"/>
                <w:szCs w:val="20"/>
              </w:rPr>
              <w:t xml:space="preserve">; </w:t>
            </w:r>
            <w:r w:rsidRPr="007770BC">
              <w:rPr>
                <w:rFonts w:ascii="Times New Roman" w:hAnsi="Times New Roman"/>
                <w:kern w:val="2"/>
                <w:sz w:val="20"/>
                <w:szCs w:val="20"/>
              </w:rPr>
              <w:t>♀</w:t>
            </w:r>
            <w:r w:rsidRPr="007770BC">
              <w:rPr>
                <w:kern w:val="2"/>
                <w:sz w:val="20"/>
                <w:szCs w:val="20"/>
              </w:rPr>
              <w:t xml:space="preserve"> ≈11</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1000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1215</w:t>
            </w:r>
            <w:r w:rsidRPr="007770BC">
              <w:rPr>
                <w:rFonts w:eastAsiaTheme="minorHAnsi"/>
                <w:sz w:val="20"/>
                <w:szCs w:val="20"/>
                <w:vertAlign w:val="superscript"/>
              </w:rPr>
              <w:t xml:space="preserve"> ó</w:t>
            </w:r>
            <w:r w:rsidRPr="007770BC">
              <w:rPr>
                <w:rFonts w:eastAsiaTheme="minorHAnsi"/>
                <w:sz w:val="20"/>
                <w:szCs w:val="20"/>
              </w:rPr>
              <w:t xml:space="preserve">; </w:t>
            </w: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1751</w:t>
            </w:r>
            <w:r w:rsidRPr="007770BC">
              <w:rPr>
                <w:rFonts w:eastAsiaTheme="minorHAnsi"/>
                <w:sz w:val="20"/>
                <w:szCs w:val="20"/>
                <w:vertAlign w:val="superscript"/>
              </w:rPr>
              <w:t xml:space="preserve"> ó</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≈17</w:t>
            </w:r>
            <w:r w:rsidRPr="007770BC">
              <w:rPr>
                <w:rFonts w:eastAsiaTheme="minorHAnsi"/>
                <w:sz w:val="20"/>
                <w:szCs w:val="20"/>
              </w:rPr>
              <w:t xml:space="preserve">; </w:t>
            </w:r>
            <w:r w:rsidRPr="007770BC">
              <w:rPr>
                <w:rFonts w:ascii="Times New Roman" w:hAnsi="Times New Roman"/>
                <w:kern w:val="2"/>
                <w:sz w:val="20"/>
                <w:szCs w:val="20"/>
              </w:rPr>
              <w:t>♀</w:t>
            </w:r>
            <w:r w:rsidRPr="007770BC">
              <w:rPr>
                <w:kern w:val="2"/>
                <w:sz w:val="20"/>
                <w:szCs w:val="20"/>
              </w:rPr>
              <w:t xml:space="preserve"> ≈25</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1500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1957</w:t>
            </w:r>
            <w:r w:rsidRPr="007770BC">
              <w:rPr>
                <w:rFonts w:eastAsiaTheme="minorHAnsi"/>
                <w:sz w:val="20"/>
                <w:szCs w:val="20"/>
                <w:vertAlign w:val="superscript"/>
              </w:rPr>
              <w:t xml:space="preserve"> ó</w:t>
            </w:r>
            <w:r w:rsidRPr="007770BC">
              <w:rPr>
                <w:rFonts w:eastAsiaTheme="minorHAnsi"/>
                <w:sz w:val="20"/>
                <w:szCs w:val="20"/>
              </w:rPr>
              <w:t xml:space="preserve">; </w:t>
            </w:r>
            <w:r w:rsidRPr="007770BC">
              <w:rPr>
                <w:rFonts w:ascii="Times New Roman" w:hAnsi="Times New Roman"/>
                <w:kern w:val="2"/>
                <w:sz w:val="20"/>
                <w:szCs w:val="20"/>
              </w:rPr>
              <w:t>♀</w:t>
            </w:r>
            <w:r w:rsidRPr="007770BC">
              <w:rPr>
                <w:kern w:val="2"/>
                <w:sz w:val="20"/>
                <w:szCs w:val="20"/>
              </w:rPr>
              <w:t xml:space="preserve">= </w:t>
            </w:r>
            <w:r w:rsidRPr="007770BC">
              <w:rPr>
                <w:rFonts w:eastAsiaTheme="minorHAnsi"/>
                <w:sz w:val="20"/>
                <w:szCs w:val="20"/>
              </w:rPr>
              <w:t>1930</w:t>
            </w:r>
            <w:r w:rsidRPr="007770BC">
              <w:rPr>
                <w:rFonts w:eastAsiaTheme="minorHAnsi"/>
                <w:sz w:val="20"/>
                <w:szCs w:val="20"/>
                <w:vertAlign w:val="superscript"/>
              </w:rPr>
              <w:t xml:space="preserve"> ó</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≈28</w:t>
            </w:r>
            <w:r w:rsidRPr="007770BC">
              <w:rPr>
                <w:rFonts w:eastAsiaTheme="minorHAnsi"/>
                <w:sz w:val="20"/>
                <w:szCs w:val="20"/>
              </w:rPr>
              <w:t xml:space="preserve">; </w:t>
            </w:r>
            <w:r w:rsidRPr="007770BC">
              <w:rPr>
                <w:rFonts w:ascii="Times New Roman" w:hAnsi="Times New Roman"/>
                <w:kern w:val="2"/>
                <w:sz w:val="20"/>
                <w:szCs w:val="20"/>
              </w:rPr>
              <w:t>♀</w:t>
            </w:r>
            <w:r w:rsidRPr="007770BC">
              <w:rPr>
                <w:kern w:val="2"/>
                <w:sz w:val="20"/>
                <w:szCs w:val="20"/>
              </w:rPr>
              <w:t xml:space="preserve"> ≈28</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val="restart"/>
          </w:tcPr>
          <w:p w:rsidR="008863F4" w:rsidRPr="007770BC" w:rsidRDefault="008863F4" w:rsidP="007770BC">
            <w:pPr>
              <w:rPr>
                <w:kern w:val="2"/>
                <w:sz w:val="20"/>
                <w:szCs w:val="20"/>
              </w:rPr>
            </w:pPr>
            <w:r w:rsidRPr="007770BC">
              <w:rPr>
                <w:kern w:val="2"/>
                <w:sz w:val="20"/>
                <w:szCs w:val="20"/>
              </w:rPr>
              <w:t>4 weeks</w:t>
            </w:r>
          </w:p>
          <w:p w:rsidR="008863F4" w:rsidRPr="007770BC" w:rsidRDefault="008863F4" w:rsidP="007770BC">
            <w:pPr>
              <w:rPr>
                <w:kern w:val="2"/>
                <w:sz w:val="20"/>
                <w:szCs w:val="20"/>
              </w:rPr>
            </w:pPr>
            <w:r w:rsidRPr="007770BC">
              <w:rPr>
                <w:kern w:val="2"/>
                <w:sz w:val="20"/>
                <w:szCs w:val="20"/>
              </w:rPr>
              <w:t xml:space="preserve"> (continuous IV infusion)</w:t>
            </w:r>
          </w:p>
          <w:p w:rsidR="008863F4" w:rsidRPr="007770BC" w:rsidRDefault="008863F4" w:rsidP="007770BC">
            <w:pPr>
              <w:rPr>
                <w:kern w:val="2"/>
                <w:sz w:val="20"/>
                <w:szCs w:val="20"/>
              </w:rPr>
            </w:pPr>
            <w:r w:rsidRPr="007770BC">
              <w:rPr>
                <w:kern w:val="2"/>
                <w:sz w:val="20"/>
                <w:szCs w:val="20"/>
              </w:rPr>
              <w:t>NCD1540</w:t>
            </w:r>
          </w:p>
        </w:tc>
        <w:tc>
          <w:tcPr>
            <w:tcW w:w="1701" w:type="dxa"/>
          </w:tcPr>
          <w:p w:rsidR="008863F4" w:rsidRPr="007770BC" w:rsidRDefault="008863F4" w:rsidP="007770BC">
            <w:pPr>
              <w:rPr>
                <w:kern w:val="2"/>
                <w:sz w:val="20"/>
                <w:szCs w:val="20"/>
              </w:rPr>
            </w:pPr>
            <w:r w:rsidRPr="007770BC">
              <w:rPr>
                <w:kern w:val="2"/>
                <w:sz w:val="20"/>
                <w:szCs w:val="20"/>
              </w:rPr>
              <w:t>200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168; </w:t>
            </w:r>
            <w:r w:rsidRPr="007770BC">
              <w:rPr>
                <w:rFonts w:ascii="Times New Roman" w:hAnsi="Times New Roman"/>
                <w:kern w:val="2"/>
                <w:sz w:val="20"/>
                <w:szCs w:val="20"/>
              </w:rPr>
              <w:t>♀</w:t>
            </w:r>
            <w:r w:rsidRPr="007770BC">
              <w:rPr>
                <w:kern w:val="2"/>
                <w:sz w:val="20"/>
                <w:szCs w:val="20"/>
              </w:rPr>
              <w:t>= 518</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 </w:t>
            </w:r>
            <w:r w:rsidRPr="007770BC">
              <w:rPr>
                <w:rFonts w:ascii="Times New Roman" w:hAnsi="Times New Roman"/>
                <w:kern w:val="2"/>
                <w:sz w:val="20"/>
                <w:szCs w:val="20"/>
              </w:rPr>
              <w:t>♀</w:t>
            </w:r>
            <w:r w:rsidRPr="007770BC">
              <w:rPr>
                <w:kern w:val="2"/>
                <w:sz w:val="20"/>
                <w:szCs w:val="20"/>
              </w:rPr>
              <w:t xml:space="preserve"> ≈7</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600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578; </w:t>
            </w:r>
            <w:r w:rsidRPr="007770BC">
              <w:rPr>
                <w:rFonts w:ascii="Times New Roman" w:hAnsi="Times New Roman"/>
                <w:kern w:val="2"/>
                <w:sz w:val="20"/>
                <w:szCs w:val="20"/>
              </w:rPr>
              <w:t>♀</w:t>
            </w:r>
            <w:r w:rsidRPr="007770BC">
              <w:rPr>
                <w:kern w:val="2"/>
                <w:sz w:val="20"/>
                <w:szCs w:val="20"/>
              </w:rPr>
              <w:t>= 992</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≈8; </w:t>
            </w:r>
            <w:r w:rsidRPr="007770BC">
              <w:rPr>
                <w:rFonts w:ascii="Times New Roman" w:hAnsi="Times New Roman"/>
                <w:kern w:val="2"/>
                <w:sz w:val="20"/>
                <w:szCs w:val="20"/>
              </w:rPr>
              <w:t>♀</w:t>
            </w:r>
            <w:r w:rsidRPr="007770BC">
              <w:rPr>
                <w:kern w:val="2"/>
                <w:sz w:val="20"/>
                <w:szCs w:val="20"/>
              </w:rPr>
              <w:t xml:space="preserve"> ≈14</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1000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710; </w:t>
            </w:r>
            <w:r w:rsidRPr="007770BC">
              <w:rPr>
                <w:rFonts w:ascii="Times New Roman" w:hAnsi="Times New Roman"/>
                <w:kern w:val="2"/>
                <w:sz w:val="20"/>
                <w:szCs w:val="20"/>
              </w:rPr>
              <w:t>♀</w:t>
            </w:r>
            <w:r w:rsidRPr="007770BC">
              <w:rPr>
                <w:kern w:val="2"/>
                <w:sz w:val="20"/>
                <w:szCs w:val="20"/>
              </w:rPr>
              <w:t>= 3061</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≈10; </w:t>
            </w:r>
            <w:r w:rsidRPr="007770BC">
              <w:rPr>
                <w:rFonts w:ascii="Times New Roman" w:hAnsi="Times New Roman"/>
                <w:kern w:val="2"/>
                <w:sz w:val="20"/>
                <w:szCs w:val="20"/>
              </w:rPr>
              <w:t>♀</w:t>
            </w:r>
            <w:r w:rsidRPr="007770BC">
              <w:rPr>
                <w:kern w:val="2"/>
                <w:sz w:val="20"/>
                <w:szCs w:val="20"/>
              </w:rPr>
              <w:t xml:space="preserve"> ≈44</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val="restart"/>
          </w:tcPr>
          <w:p w:rsidR="008863F4" w:rsidRPr="007770BC" w:rsidRDefault="008863F4" w:rsidP="007770BC">
            <w:pPr>
              <w:rPr>
                <w:kern w:val="2"/>
                <w:sz w:val="20"/>
                <w:szCs w:val="20"/>
              </w:rPr>
            </w:pPr>
            <w:r w:rsidRPr="007770BC">
              <w:rPr>
                <w:kern w:val="2"/>
                <w:sz w:val="20"/>
                <w:szCs w:val="20"/>
              </w:rPr>
              <w:t>13 weeks</w:t>
            </w:r>
          </w:p>
          <w:p w:rsidR="008863F4" w:rsidRPr="007770BC" w:rsidRDefault="008863F4" w:rsidP="007770BC">
            <w:pPr>
              <w:rPr>
                <w:kern w:val="2"/>
                <w:sz w:val="20"/>
                <w:szCs w:val="20"/>
              </w:rPr>
            </w:pPr>
            <w:r w:rsidRPr="007770BC">
              <w:rPr>
                <w:kern w:val="2"/>
                <w:sz w:val="20"/>
                <w:szCs w:val="20"/>
              </w:rPr>
              <w:t>(gavage)</w:t>
            </w:r>
          </w:p>
          <w:p w:rsidR="008863F4" w:rsidRPr="007770BC" w:rsidRDefault="008863F4" w:rsidP="007770BC">
            <w:pPr>
              <w:rPr>
                <w:kern w:val="2"/>
                <w:sz w:val="20"/>
                <w:szCs w:val="20"/>
              </w:rPr>
            </w:pPr>
            <w:r w:rsidRPr="007770BC">
              <w:rPr>
                <w:kern w:val="2"/>
                <w:sz w:val="20"/>
                <w:szCs w:val="20"/>
              </w:rPr>
              <w:t>PSM0813</w:t>
            </w:r>
          </w:p>
        </w:tc>
        <w:tc>
          <w:tcPr>
            <w:tcW w:w="1701" w:type="dxa"/>
          </w:tcPr>
          <w:p w:rsidR="008863F4" w:rsidRPr="007770BC" w:rsidRDefault="008863F4" w:rsidP="007770BC">
            <w:pPr>
              <w:rPr>
                <w:kern w:val="2"/>
                <w:sz w:val="20"/>
                <w:szCs w:val="20"/>
              </w:rPr>
            </w:pPr>
            <w:r w:rsidRPr="007770BC">
              <w:rPr>
                <w:kern w:val="2"/>
                <w:sz w:val="20"/>
                <w:szCs w:val="20"/>
              </w:rPr>
              <w:t>50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70.7*; </w:t>
            </w:r>
            <w:r w:rsidRPr="007770BC">
              <w:rPr>
                <w:rFonts w:ascii="Times New Roman" w:hAnsi="Times New Roman"/>
                <w:kern w:val="2"/>
                <w:sz w:val="20"/>
                <w:szCs w:val="20"/>
              </w:rPr>
              <w:t>♀</w:t>
            </w:r>
            <w:r w:rsidRPr="007770BC">
              <w:rPr>
                <w:kern w:val="2"/>
                <w:sz w:val="20"/>
                <w:szCs w:val="20"/>
              </w:rPr>
              <w:t>= 121* (0-12h)</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99.5*; </w:t>
            </w:r>
            <w:r w:rsidRPr="007770BC">
              <w:rPr>
                <w:rFonts w:ascii="Times New Roman" w:hAnsi="Times New Roman"/>
                <w:kern w:val="2"/>
                <w:sz w:val="20"/>
                <w:szCs w:val="20"/>
              </w:rPr>
              <w:t>♀</w:t>
            </w:r>
            <w:r w:rsidRPr="007770BC">
              <w:rPr>
                <w:kern w:val="2"/>
                <w:sz w:val="20"/>
                <w:szCs w:val="20"/>
              </w:rPr>
              <w:t>= 251* (0-12h)</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≈3; </w:t>
            </w:r>
            <w:r w:rsidRPr="007770BC">
              <w:rPr>
                <w:rFonts w:ascii="Times New Roman" w:hAnsi="Times New Roman"/>
                <w:kern w:val="2"/>
                <w:sz w:val="20"/>
                <w:szCs w:val="20"/>
              </w:rPr>
              <w:t>♀</w:t>
            </w:r>
            <w:r w:rsidRPr="007770BC">
              <w:rPr>
                <w:kern w:val="2"/>
                <w:sz w:val="20"/>
                <w:szCs w:val="20"/>
              </w:rPr>
              <w:t xml:space="preserve"> ≈7</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200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177*; </w:t>
            </w:r>
            <w:r w:rsidRPr="007770BC">
              <w:rPr>
                <w:rFonts w:ascii="Times New Roman" w:hAnsi="Times New Roman"/>
                <w:kern w:val="2"/>
                <w:sz w:val="20"/>
                <w:szCs w:val="20"/>
              </w:rPr>
              <w:t>♀</w:t>
            </w:r>
            <w:r w:rsidRPr="007770BC">
              <w:rPr>
                <w:kern w:val="2"/>
                <w:sz w:val="20"/>
                <w:szCs w:val="20"/>
              </w:rPr>
              <w:t>= 440* (0-12h)</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≈5; </w:t>
            </w:r>
            <w:r w:rsidRPr="007770BC">
              <w:rPr>
                <w:rFonts w:ascii="Times New Roman" w:hAnsi="Times New Roman"/>
                <w:kern w:val="2"/>
                <w:sz w:val="20"/>
                <w:szCs w:val="20"/>
              </w:rPr>
              <w:t>♀</w:t>
            </w:r>
            <w:r w:rsidRPr="007770BC">
              <w:rPr>
                <w:kern w:val="2"/>
                <w:sz w:val="20"/>
                <w:szCs w:val="20"/>
              </w:rPr>
              <w:t xml:space="preserve"> ≈13</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 xml:space="preserve">400 </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317*; </w:t>
            </w:r>
            <w:r w:rsidRPr="007770BC">
              <w:rPr>
                <w:rFonts w:ascii="Times New Roman" w:hAnsi="Times New Roman"/>
                <w:kern w:val="2"/>
                <w:sz w:val="20"/>
                <w:szCs w:val="20"/>
              </w:rPr>
              <w:t>♀</w:t>
            </w:r>
            <w:r w:rsidRPr="007770BC">
              <w:rPr>
                <w:kern w:val="2"/>
                <w:sz w:val="20"/>
                <w:szCs w:val="20"/>
              </w:rPr>
              <w:t>= 743* (0-12h)</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≈9; </w:t>
            </w:r>
            <w:r w:rsidRPr="007770BC">
              <w:rPr>
                <w:rFonts w:ascii="Times New Roman" w:hAnsi="Times New Roman"/>
                <w:kern w:val="2"/>
                <w:sz w:val="20"/>
                <w:szCs w:val="20"/>
              </w:rPr>
              <w:t>♀</w:t>
            </w:r>
            <w:r w:rsidRPr="007770BC">
              <w:rPr>
                <w:kern w:val="2"/>
                <w:sz w:val="20"/>
                <w:szCs w:val="20"/>
              </w:rPr>
              <w:t xml:space="preserve"> ≈21</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val="restart"/>
          </w:tcPr>
          <w:p w:rsidR="008863F4" w:rsidRPr="007770BC" w:rsidRDefault="008863F4" w:rsidP="007770BC">
            <w:pPr>
              <w:rPr>
                <w:kern w:val="2"/>
                <w:sz w:val="20"/>
                <w:szCs w:val="20"/>
              </w:rPr>
            </w:pPr>
            <w:r w:rsidRPr="007770BC">
              <w:rPr>
                <w:kern w:val="2"/>
                <w:sz w:val="20"/>
                <w:szCs w:val="20"/>
              </w:rPr>
              <w:t>26 weeks</w:t>
            </w:r>
          </w:p>
          <w:p w:rsidR="008863F4" w:rsidRPr="007770BC" w:rsidRDefault="008863F4" w:rsidP="007770BC">
            <w:pPr>
              <w:rPr>
                <w:kern w:val="2"/>
                <w:sz w:val="20"/>
                <w:szCs w:val="20"/>
              </w:rPr>
            </w:pPr>
            <w:r w:rsidRPr="007770BC">
              <w:rPr>
                <w:kern w:val="2"/>
                <w:sz w:val="20"/>
                <w:szCs w:val="20"/>
              </w:rPr>
              <w:t>(diet + gavage)</w:t>
            </w:r>
          </w:p>
          <w:p w:rsidR="008863F4" w:rsidRPr="007770BC" w:rsidRDefault="008863F4" w:rsidP="007770BC">
            <w:pPr>
              <w:rPr>
                <w:kern w:val="2"/>
                <w:sz w:val="20"/>
                <w:szCs w:val="20"/>
              </w:rPr>
            </w:pPr>
            <w:r w:rsidRPr="007770BC">
              <w:rPr>
                <w:kern w:val="2"/>
                <w:sz w:val="20"/>
                <w:szCs w:val="20"/>
              </w:rPr>
              <w:t>PSM1029</w:t>
            </w:r>
          </w:p>
        </w:tc>
        <w:tc>
          <w:tcPr>
            <w:tcW w:w="1701" w:type="dxa"/>
          </w:tcPr>
          <w:p w:rsidR="008863F4" w:rsidRPr="007770BC" w:rsidRDefault="008863F4" w:rsidP="007770BC">
            <w:pPr>
              <w:rPr>
                <w:kern w:val="2"/>
                <w:sz w:val="20"/>
                <w:szCs w:val="20"/>
              </w:rPr>
            </w:pPr>
            <w:r w:rsidRPr="007770BC">
              <w:rPr>
                <w:kern w:val="2"/>
                <w:sz w:val="20"/>
                <w:szCs w:val="20"/>
              </w:rPr>
              <w:t>100 (diet) + 50 (gavage)</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65.2; </w:t>
            </w:r>
            <w:r w:rsidRPr="007770BC">
              <w:rPr>
                <w:rFonts w:ascii="Times New Roman" w:hAnsi="Times New Roman"/>
                <w:kern w:val="2"/>
                <w:sz w:val="20"/>
                <w:szCs w:val="20"/>
              </w:rPr>
              <w:t>♀</w:t>
            </w:r>
            <w:r w:rsidRPr="007770BC">
              <w:rPr>
                <w:kern w:val="2"/>
                <w:sz w:val="20"/>
                <w:szCs w:val="20"/>
              </w:rPr>
              <w:t>= 144</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 </w:t>
            </w:r>
            <w:r w:rsidRPr="007770BC">
              <w:rPr>
                <w:rFonts w:ascii="Times New Roman" w:hAnsi="Times New Roman"/>
                <w:kern w:val="2"/>
                <w:sz w:val="20"/>
                <w:szCs w:val="20"/>
              </w:rPr>
              <w:t>♀</w:t>
            </w:r>
            <w:r w:rsidRPr="007770BC">
              <w:rPr>
                <w:kern w:val="2"/>
                <w:sz w:val="20"/>
                <w:szCs w:val="20"/>
              </w:rPr>
              <w:t xml:space="preserve"> ≈2</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100 (diet) + 130 (gavage)</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116; </w:t>
            </w:r>
            <w:r w:rsidRPr="007770BC">
              <w:rPr>
                <w:rFonts w:ascii="Times New Roman" w:hAnsi="Times New Roman"/>
                <w:kern w:val="2"/>
                <w:sz w:val="20"/>
                <w:szCs w:val="20"/>
              </w:rPr>
              <w:t>♀</w:t>
            </w:r>
            <w:r w:rsidRPr="007770BC">
              <w:rPr>
                <w:kern w:val="2"/>
                <w:sz w:val="20"/>
                <w:szCs w:val="20"/>
              </w:rPr>
              <w:t>= 196</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100 (diet) + 350 (gavage)</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257; </w:t>
            </w:r>
            <w:r w:rsidRPr="007770BC">
              <w:rPr>
                <w:rFonts w:ascii="Times New Roman" w:hAnsi="Times New Roman"/>
                <w:kern w:val="2"/>
                <w:sz w:val="20"/>
                <w:szCs w:val="20"/>
              </w:rPr>
              <w:t>♀</w:t>
            </w:r>
            <w:r w:rsidRPr="007770BC">
              <w:rPr>
                <w:kern w:val="2"/>
                <w:sz w:val="20"/>
                <w:szCs w:val="20"/>
              </w:rPr>
              <w:t>= 464</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≈4; </w:t>
            </w:r>
            <w:r w:rsidRPr="007770BC">
              <w:rPr>
                <w:rFonts w:ascii="Times New Roman" w:hAnsi="Times New Roman"/>
                <w:kern w:val="2"/>
                <w:sz w:val="20"/>
                <w:szCs w:val="20"/>
              </w:rPr>
              <w:t>♀</w:t>
            </w:r>
            <w:r w:rsidRPr="007770BC">
              <w:rPr>
                <w:kern w:val="2"/>
                <w:sz w:val="20"/>
                <w:szCs w:val="20"/>
              </w:rPr>
              <w:t xml:space="preserve"> ≈7</w:t>
            </w:r>
          </w:p>
        </w:tc>
      </w:tr>
    </w:tbl>
    <w:p w:rsidR="008863F4" w:rsidRDefault="008863F4" w:rsidP="008863F4"/>
    <w:tbl>
      <w:tblPr>
        <w:tblStyle w:val="TableTGAblue"/>
        <w:tblW w:w="8897" w:type="dxa"/>
        <w:tblLayout w:type="fixed"/>
        <w:tblLook w:val="01E0" w:firstRow="1" w:lastRow="1" w:firstColumn="1" w:lastColumn="1" w:noHBand="0" w:noVBand="0"/>
      </w:tblPr>
      <w:tblGrid>
        <w:gridCol w:w="1384"/>
        <w:gridCol w:w="1843"/>
        <w:gridCol w:w="1701"/>
        <w:gridCol w:w="2126"/>
        <w:gridCol w:w="1843"/>
      </w:tblGrid>
      <w:tr w:rsidR="009F38B1" w:rsidRPr="007770BC" w:rsidTr="009F38B1">
        <w:trPr>
          <w:cnfStyle w:val="100000000000" w:firstRow="1" w:lastRow="0" w:firstColumn="0" w:lastColumn="0" w:oddVBand="0" w:evenVBand="0" w:oddHBand="0" w:evenHBand="0" w:firstRowFirstColumn="0" w:firstRowLastColumn="0" w:lastRowFirstColumn="0" w:lastRowLastColumn="0"/>
          <w:trHeight w:val="227"/>
        </w:trPr>
        <w:tc>
          <w:tcPr>
            <w:tcW w:w="1384" w:type="dxa"/>
          </w:tcPr>
          <w:p w:rsidR="008863F4" w:rsidRPr="007770BC" w:rsidRDefault="008863F4" w:rsidP="007770BC">
            <w:pPr>
              <w:rPr>
                <w:sz w:val="20"/>
                <w:szCs w:val="20"/>
              </w:rPr>
            </w:pPr>
            <w:r w:rsidRPr="007770BC">
              <w:rPr>
                <w:sz w:val="20"/>
                <w:szCs w:val="20"/>
              </w:rPr>
              <w:t>Species</w:t>
            </w:r>
          </w:p>
        </w:tc>
        <w:tc>
          <w:tcPr>
            <w:tcW w:w="1843" w:type="dxa"/>
          </w:tcPr>
          <w:p w:rsidR="008863F4" w:rsidRPr="007770BC" w:rsidRDefault="008863F4" w:rsidP="007770BC">
            <w:pPr>
              <w:rPr>
                <w:sz w:val="20"/>
                <w:szCs w:val="20"/>
              </w:rPr>
            </w:pPr>
            <w:r w:rsidRPr="007770BC">
              <w:rPr>
                <w:sz w:val="20"/>
                <w:szCs w:val="20"/>
              </w:rPr>
              <w:t>Study duration</w:t>
            </w:r>
          </w:p>
        </w:tc>
        <w:tc>
          <w:tcPr>
            <w:tcW w:w="1701" w:type="dxa"/>
          </w:tcPr>
          <w:p w:rsidR="008863F4" w:rsidRPr="007770BC" w:rsidRDefault="008863F4" w:rsidP="007770BC">
            <w:pPr>
              <w:rPr>
                <w:sz w:val="20"/>
                <w:szCs w:val="20"/>
              </w:rPr>
            </w:pPr>
            <w:r w:rsidRPr="007770BC">
              <w:rPr>
                <w:sz w:val="20"/>
                <w:szCs w:val="20"/>
              </w:rPr>
              <w:t>Dose</w:t>
            </w:r>
            <w:r w:rsidRPr="007770BC">
              <w:rPr>
                <w:sz w:val="20"/>
                <w:szCs w:val="20"/>
              </w:rPr>
              <w:br/>
              <w:t>(mg/kg/day)</w:t>
            </w:r>
          </w:p>
        </w:tc>
        <w:tc>
          <w:tcPr>
            <w:tcW w:w="2126" w:type="dxa"/>
          </w:tcPr>
          <w:p w:rsidR="008863F4" w:rsidRPr="007770BC" w:rsidRDefault="008863F4" w:rsidP="007770BC">
            <w:pPr>
              <w:rPr>
                <w:sz w:val="20"/>
                <w:szCs w:val="20"/>
              </w:rPr>
            </w:pPr>
            <w:r w:rsidRPr="007770BC">
              <w:rPr>
                <w:sz w:val="20"/>
                <w:szCs w:val="20"/>
              </w:rPr>
              <w:t>AUC</w:t>
            </w:r>
            <w:r w:rsidRPr="007770BC">
              <w:rPr>
                <w:sz w:val="20"/>
                <w:szCs w:val="20"/>
                <w:vertAlign w:val="subscript"/>
              </w:rPr>
              <w:t>0–24h</w:t>
            </w:r>
            <w:r w:rsidRPr="007770BC">
              <w:rPr>
                <w:sz w:val="20"/>
                <w:szCs w:val="20"/>
              </w:rPr>
              <w:t xml:space="preserve"> or AUC</w:t>
            </w:r>
            <w:r w:rsidRPr="007770BC">
              <w:rPr>
                <w:sz w:val="20"/>
                <w:szCs w:val="20"/>
                <w:vertAlign w:val="subscript"/>
              </w:rPr>
              <w:t>0–τ</w:t>
            </w:r>
            <w:r w:rsidRPr="007770BC">
              <w:rPr>
                <w:w w:val="50"/>
                <w:sz w:val="20"/>
                <w:szCs w:val="20"/>
                <w:vertAlign w:val="subscript"/>
              </w:rPr>
              <w:t> </w:t>
            </w:r>
            <w:r w:rsidRPr="007770BC">
              <w:rPr>
                <w:sz w:val="20"/>
                <w:szCs w:val="20"/>
              </w:rPr>
              <w:br/>
              <w:t>(</w:t>
            </w:r>
            <w:proofErr w:type="spellStart"/>
            <w:r w:rsidRPr="007770BC">
              <w:rPr>
                <w:rFonts w:eastAsia="Gulim"/>
                <w:sz w:val="20"/>
                <w:szCs w:val="20"/>
              </w:rPr>
              <w:t>μ</w:t>
            </w:r>
            <w:r w:rsidRPr="007770BC">
              <w:rPr>
                <w:sz w:val="20"/>
                <w:szCs w:val="20"/>
              </w:rPr>
              <w:t>g∙h</w:t>
            </w:r>
            <w:proofErr w:type="spellEnd"/>
            <w:r w:rsidRPr="007770BC">
              <w:rPr>
                <w:sz w:val="20"/>
                <w:szCs w:val="20"/>
              </w:rPr>
              <w:t>/mL)</w:t>
            </w:r>
          </w:p>
        </w:tc>
        <w:tc>
          <w:tcPr>
            <w:tcW w:w="1843" w:type="dxa"/>
          </w:tcPr>
          <w:p w:rsidR="008863F4" w:rsidRPr="007770BC" w:rsidRDefault="008863F4" w:rsidP="007770BC">
            <w:pPr>
              <w:rPr>
                <w:sz w:val="20"/>
                <w:szCs w:val="20"/>
              </w:rPr>
            </w:pPr>
            <w:r w:rsidRPr="007770BC">
              <w:rPr>
                <w:sz w:val="20"/>
                <w:szCs w:val="20"/>
              </w:rPr>
              <w:t>Exposure ratio</w:t>
            </w:r>
            <w:r w:rsidRPr="007770BC">
              <w:rPr>
                <w:sz w:val="20"/>
                <w:szCs w:val="20"/>
                <w:vertAlign w:val="superscript"/>
              </w:rPr>
              <w:t>#</w:t>
            </w:r>
          </w:p>
        </w:tc>
      </w:tr>
      <w:tr w:rsidR="008863F4" w:rsidRPr="007770BC" w:rsidTr="009F38B1">
        <w:trPr>
          <w:trHeight w:val="227"/>
        </w:trPr>
        <w:tc>
          <w:tcPr>
            <w:tcW w:w="1384" w:type="dxa"/>
            <w:vMerge w:val="restart"/>
          </w:tcPr>
          <w:p w:rsidR="008863F4" w:rsidRPr="007770BC" w:rsidRDefault="008863F4" w:rsidP="007770BC">
            <w:pPr>
              <w:rPr>
                <w:b/>
                <w:kern w:val="2"/>
                <w:sz w:val="20"/>
                <w:szCs w:val="20"/>
              </w:rPr>
            </w:pPr>
            <w:r w:rsidRPr="007770BC">
              <w:rPr>
                <w:b/>
                <w:kern w:val="2"/>
                <w:sz w:val="20"/>
                <w:szCs w:val="20"/>
              </w:rPr>
              <w:t>Rat</w:t>
            </w:r>
          </w:p>
          <w:p w:rsidR="008863F4" w:rsidRPr="007770BC" w:rsidRDefault="008863F4" w:rsidP="007770BC">
            <w:pPr>
              <w:rPr>
                <w:color w:val="00B050"/>
                <w:kern w:val="2"/>
                <w:sz w:val="20"/>
                <w:szCs w:val="20"/>
              </w:rPr>
            </w:pPr>
            <w:r w:rsidRPr="007770BC">
              <w:rPr>
                <w:kern w:val="2"/>
                <w:sz w:val="20"/>
                <w:szCs w:val="20"/>
              </w:rPr>
              <w:t>(</w:t>
            </w:r>
            <w:proofErr w:type="spellStart"/>
            <w:r w:rsidRPr="007770BC">
              <w:rPr>
                <w:kern w:val="2"/>
                <w:sz w:val="20"/>
                <w:szCs w:val="20"/>
              </w:rPr>
              <w:t>Wistar</w:t>
            </w:r>
            <w:proofErr w:type="spellEnd"/>
            <w:r w:rsidRPr="007770BC">
              <w:rPr>
                <w:kern w:val="2"/>
                <w:sz w:val="20"/>
                <w:szCs w:val="20"/>
              </w:rPr>
              <w:t>; carcinogenesis)</w:t>
            </w:r>
          </w:p>
        </w:tc>
        <w:tc>
          <w:tcPr>
            <w:tcW w:w="1843" w:type="dxa"/>
            <w:vMerge w:val="restart"/>
          </w:tcPr>
          <w:p w:rsidR="008863F4" w:rsidRPr="007770BC" w:rsidRDefault="008863F4" w:rsidP="007770BC">
            <w:pPr>
              <w:rPr>
                <w:kern w:val="2"/>
                <w:sz w:val="20"/>
                <w:szCs w:val="20"/>
              </w:rPr>
            </w:pPr>
            <w:r w:rsidRPr="007770BC">
              <w:rPr>
                <w:kern w:val="2"/>
                <w:sz w:val="20"/>
                <w:szCs w:val="20"/>
              </w:rPr>
              <w:t>104 weeks</w:t>
            </w:r>
          </w:p>
          <w:p w:rsidR="008863F4" w:rsidRPr="007770BC" w:rsidRDefault="008863F4" w:rsidP="007770BC">
            <w:pPr>
              <w:rPr>
                <w:kern w:val="2"/>
                <w:sz w:val="20"/>
                <w:szCs w:val="20"/>
              </w:rPr>
            </w:pPr>
            <w:r w:rsidRPr="007770BC">
              <w:rPr>
                <w:kern w:val="2"/>
                <w:sz w:val="20"/>
                <w:szCs w:val="20"/>
              </w:rPr>
              <w:t>(diet + gavage; 52-wk sampling)</w:t>
            </w:r>
          </w:p>
          <w:p w:rsidR="008863F4" w:rsidRPr="007770BC" w:rsidRDefault="008863F4" w:rsidP="007770BC">
            <w:pPr>
              <w:rPr>
                <w:kern w:val="2"/>
                <w:sz w:val="20"/>
                <w:szCs w:val="20"/>
              </w:rPr>
            </w:pPr>
            <w:r w:rsidRPr="007770BC">
              <w:rPr>
                <w:kern w:val="2"/>
                <w:sz w:val="20"/>
                <w:szCs w:val="20"/>
              </w:rPr>
              <w:t>NCD1305</w:t>
            </w:r>
          </w:p>
        </w:tc>
        <w:tc>
          <w:tcPr>
            <w:tcW w:w="1701" w:type="dxa"/>
          </w:tcPr>
          <w:p w:rsidR="008863F4" w:rsidRPr="007770BC" w:rsidRDefault="008863F4" w:rsidP="007770BC">
            <w:pPr>
              <w:rPr>
                <w:kern w:val="2"/>
                <w:sz w:val="20"/>
                <w:szCs w:val="20"/>
              </w:rPr>
            </w:pPr>
            <w:r w:rsidRPr="007770BC">
              <w:rPr>
                <w:kern w:val="2"/>
                <w:sz w:val="20"/>
                <w:szCs w:val="20"/>
              </w:rPr>
              <w:t>150</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84.7; </w:t>
            </w:r>
            <w:r w:rsidRPr="007770BC">
              <w:rPr>
                <w:rFonts w:ascii="Times New Roman" w:hAnsi="Times New Roman"/>
                <w:kern w:val="2"/>
                <w:sz w:val="20"/>
                <w:szCs w:val="20"/>
              </w:rPr>
              <w:t>♀</w:t>
            </w:r>
            <w:r w:rsidRPr="007770BC">
              <w:rPr>
                <w:kern w:val="2"/>
                <w:sz w:val="20"/>
                <w:szCs w:val="20"/>
              </w:rPr>
              <w:t>= 121</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≈1; </w:t>
            </w:r>
            <w:r w:rsidRPr="007770BC">
              <w:rPr>
                <w:rFonts w:ascii="Times New Roman" w:hAnsi="Times New Roman"/>
                <w:kern w:val="2"/>
                <w:sz w:val="20"/>
                <w:szCs w:val="20"/>
              </w:rPr>
              <w:t>♀</w:t>
            </w:r>
            <w:r w:rsidRPr="007770BC">
              <w:rPr>
                <w:kern w:val="2"/>
                <w:sz w:val="20"/>
                <w:szCs w:val="20"/>
              </w:rPr>
              <w:t xml:space="preserve"> ≈2</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230</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124; </w:t>
            </w:r>
            <w:r w:rsidRPr="007770BC">
              <w:rPr>
                <w:rFonts w:ascii="Times New Roman" w:hAnsi="Times New Roman"/>
                <w:kern w:val="2"/>
                <w:sz w:val="20"/>
                <w:szCs w:val="20"/>
              </w:rPr>
              <w:t>♀</w:t>
            </w:r>
            <w:r w:rsidRPr="007770BC">
              <w:rPr>
                <w:kern w:val="2"/>
                <w:sz w:val="20"/>
                <w:szCs w:val="20"/>
              </w:rPr>
              <w:t>= 197</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≈2;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450</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333; </w:t>
            </w:r>
            <w:r w:rsidRPr="007770BC">
              <w:rPr>
                <w:rFonts w:ascii="Times New Roman" w:hAnsi="Times New Roman"/>
                <w:kern w:val="2"/>
                <w:sz w:val="20"/>
                <w:szCs w:val="20"/>
              </w:rPr>
              <w:t>♀</w:t>
            </w:r>
            <w:r w:rsidRPr="007770BC">
              <w:rPr>
                <w:kern w:val="2"/>
                <w:sz w:val="20"/>
                <w:szCs w:val="20"/>
              </w:rPr>
              <w:t>= 529</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≈5; </w:t>
            </w:r>
            <w:r w:rsidRPr="007770BC">
              <w:rPr>
                <w:rFonts w:ascii="Times New Roman" w:hAnsi="Times New Roman"/>
                <w:kern w:val="2"/>
                <w:sz w:val="20"/>
                <w:szCs w:val="20"/>
              </w:rPr>
              <w:t>♀</w:t>
            </w:r>
            <w:r w:rsidRPr="007770BC">
              <w:rPr>
                <w:kern w:val="2"/>
                <w:sz w:val="20"/>
                <w:szCs w:val="20"/>
              </w:rPr>
              <w:t xml:space="preserve"> ≈8</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700</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510; </w:t>
            </w:r>
            <w:r w:rsidRPr="007770BC">
              <w:rPr>
                <w:rFonts w:ascii="Times New Roman" w:hAnsi="Times New Roman"/>
                <w:kern w:val="2"/>
                <w:sz w:val="20"/>
                <w:szCs w:val="20"/>
              </w:rPr>
              <w:t>♀</w:t>
            </w:r>
            <w:r w:rsidRPr="007770BC">
              <w:rPr>
                <w:kern w:val="2"/>
                <w:sz w:val="20"/>
                <w:szCs w:val="20"/>
              </w:rPr>
              <w:t>= 635</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≈7; </w:t>
            </w:r>
            <w:r w:rsidRPr="007770BC">
              <w:rPr>
                <w:rFonts w:ascii="Times New Roman" w:hAnsi="Times New Roman"/>
                <w:kern w:val="2"/>
                <w:sz w:val="20"/>
                <w:szCs w:val="20"/>
              </w:rPr>
              <w:t>♀</w:t>
            </w:r>
            <w:r w:rsidRPr="007770BC">
              <w:rPr>
                <w:kern w:val="2"/>
                <w:sz w:val="20"/>
                <w:szCs w:val="20"/>
              </w:rPr>
              <w:t xml:space="preserve"> ≈9</w:t>
            </w:r>
          </w:p>
        </w:tc>
      </w:tr>
      <w:tr w:rsidR="008863F4" w:rsidRPr="007770BC" w:rsidTr="009F38B1">
        <w:trPr>
          <w:trHeight w:val="227"/>
        </w:trPr>
        <w:tc>
          <w:tcPr>
            <w:tcW w:w="1384" w:type="dxa"/>
            <w:vMerge w:val="restart"/>
          </w:tcPr>
          <w:p w:rsidR="008863F4" w:rsidRPr="007770BC" w:rsidRDefault="008863F4" w:rsidP="007770BC">
            <w:pPr>
              <w:rPr>
                <w:b/>
                <w:kern w:val="2"/>
                <w:sz w:val="20"/>
                <w:szCs w:val="20"/>
              </w:rPr>
            </w:pPr>
            <w:r w:rsidRPr="007770BC">
              <w:rPr>
                <w:b/>
                <w:kern w:val="2"/>
                <w:sz w:val="20"/>
                <w:szCs w:val="20"/>
              </w:rPr>
              <w:t>Dog</w:t>
            </w:r>
          </w:p>
          <w:p w:rsidR="008863F4" w:rsidRPr="007770BC" w:rsidRDefault="008863F4" w:rsidP="007770BC">
            <w:pPr>
              <w:rPr>
                <w:color w:val="00B050"/>
                <w:kern w:val="2"/>
                <w:sz w:val="20"/>
                <w:szCs w:val="20"/>
              </w:rPr>
            </w:pPr>
            <w:r w:rsidRPr="007770BC">
              <w:rPr>
                <w:kern w:val="2"/>
                <w:sz w:val="20"/>
                <w:szCs w:val="20"/>
              </w:rPr>
              <w:lastRenderedPageBreak/>
              <w:t>(Beagle)</w:t>
            </w:r>
          </w:p>
        </w:tc>
        <w:tc>
          <w:tcPr>
            <w:tcW w:w="1843" w:type="dxa"/>
            <w:vMerge w:val="restart"/>
          </w:tcPr>
          <w:p w:rsidR="008863F4" w:rsidRPr="007770BC" w:rsidRDefault="008863F4" w:rsidP="007770BC">
            <w:pPr>
              <w:rPr>
                <w:kern w:val="2"/>
                <w:sz w:val="20"/>
                <w:szCs w:val="20"/>
              </w:rPr>
            </w:pPr>
            <w:r w:rsidRPr="007770BC">
              <w:rPr>
                <w:kern w:val="2"/>
                <w:sz w:val="20"/>
                <w:szCs w:val="20"/>
              </w:rPr>
              <w:lastRenderedPageBreak/>
              <w:t>4 weeks</w:t>
            </w:r>
          </w:p>
          <w:p w:rsidR="008863F4" w:rsidRPr="007770BC" w:rsidRDefault="008863F4" w:rsidP="007770BC">
            <w:pPr>
              <w:rPr>
                <w:kern w:val="2"/>
                <w:sz w:val="20"/>
                <w:szCs w:val="20"/>
              </w:rPr>
            </w:pPr>
            <w:r w:rsidRPr="007770BC">
              <w:rPr>
                <w:kern w:val="2"/>
                <w:sz w:val="20"/>
                <w:szCs w:val="20"/>
              </w:rPr>
              <w:lastRenderedPageBreak/>
              <w:t>(gavage)</w:t>
            </w:r>
          </w:p>
          <w:p w:rsidR="008863F4" w:rsidRPr="007770BC" w:rsidRDefault="008863F4" w:rsidP="007770BC">
            <w:pPr>
              <w:rPr>
                <w:kern w:val="2"/>
                <w:sz w:val="20"/>
                <w:szCs w:val="20"/>
              </w:rPr>
            </w:pPr>
            <w:r w:rsidRPr="007770BC">
              <w:rPr>
                <w:kern w:val="2"/>
                <w:sz w:val="20"/>
                <w:szCs w:val="20"/>
              </w:rPr>
              <w:t>TA0660</w:t>
            </w:r>
          </w:p>
        </w:tc>
        <w:tc>
          <w:tcPr>
            <w:tcW w:w="1701" w:type="dxa"/>
          </w:tcPr>
          <w:p w:rsidR="008863F4" w:rsidRPr="007770BC" w:rsidRDefault="008863F4" w:rsidP="007770BC">
            <w:pPr>
              <w:rPr>
                <w:kern w:val="2"/>
                <w:sz w:val="20"/>
                <w:szCs w:val="20"/>
              </w:rPr>
            </w:pPr>
            <w:r w:rsidRPr="007770BC">
              <w:rPr>
                <w:kern w:val="2"/>
                <w:sz w:val="20"/>
                <w:szCs w:val="20"/>
              </w:rPr>
              <w:lastRenderedPageBreak/>
              <w:t>6</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14.7* (0-12h)</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≈0.4</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15ˢ</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31.5* (0-12h)</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≈1</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37.5</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75.1* (0-12h)</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≈2</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94</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263* (0-12h)</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≈8</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val="restart"/>
          </w:tcPr>
          <w:p w:rsidR="008863F4" w:rsidRPr="007770BC" w:rsidRDefault="008863F4" w:rsidP="007770BC">
            <w:pPr>
              <w:rPr>
                <w:kern w:val="2"/>
                <w:sz w:val="20"/>
                <w:szCs w:val="20"/>
              </w:rPr>
            </w:pPr>
            <w:r w:rsidRPr="007770BC">
              <w:rPr>
                <w:kern w:val="2"/>
                <w:sz w:val="20"/>
                <w:szCs w:val="20"/>
              </w:rPr>
              <w:t>4 weeks</w:t>
            </w:r>
          </w:p>
          <w:p w:rsidR="008863F4" w:rsidRPr="007770BC" w:rsidRDefault="008863F4" w:rsidP="007770BC">
            <w:pPr>
              <w:rPr>
                <w:kern w:val="2"/>
                <w:sz w:val="20"/>
                <w:szCs w:val="20"/>
              </w:rPr>
            </w:pPr>
            <w:r w:rsidRPr="007770BC">
              <w:rPr>
                <w:kern w:val="2"/>
                <w:sz w:val="20"/>
                <w:szCs w:val="20"/>
              </w:rPr>
              <w:t>(continuous infusion)</w:t>
            </w:r>
          </w:p>
          <w:p w:rsidR="008863F4" w:rsidRPr="007770BC" w:rsidRDefault="008863F4" w:rsidP="007770BC">
            <w:pPr>
              <w:rPr>
                <w:kern w:val="2"/>
                <w:sz w:val="20"/>
                <w:szCs w:val="20"/>
              </w:rPr>
            </w:pPr>
            <w:r w:rsidRPr="007770BC">
              <w:rPr>
                <w:kern w:val="2"/>
                <w:sz w:val="20"/>
                <w:szCs w:val="20"/>
              </w:rPr>
              <w:t>NCD1543</w:t>
            </w:r>
          </w:p>
        </w:tc>
        <w:tc>
          <w:tcPr>
            <w:tcW w:w="1701" w:type="dxa"/>
          </w:tcPr>
          <w:p w:rsidR="008863F4" w:rsidRPr="007770BC" w:rsidRDefault="008863F4" w:rsidP="007770BC">
            <w:pPr>
              <w:rPr>
                <w:kern w:val="2"/>
                <w:sz w:val="20"/>
                <w:szCs w:val="20"/>
              </w:rPr>
            </w:pPr>
            <w:r w:rsidRPr="007770BC">
              <w:rPr>
                <w:kern w:val="2"/>
                <w:sz w:val="20"/>
                <w:szCs w:val="20"/>
              </w:rPr>
              <w:t>30ˢ</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58.4</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≈1</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100</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209; </w:t>
            </w:r>
            <w:r w:rsidRPr="007770BC">
              <w:rPr>
                <w:rFonts w:ascii="Times New Roman" w:hAnsi="Times New Roman"/>
                <w:kern w:val="2"/>
                <w:sz w:val="20"/>
                <w:szCs w:val="20"/>
              </w:rPr>
              <w:t>♀</w:t>
            </w:r>
            <w:r w:rsidRPr="007770BC">
              <w:rPr>
                <w:kern w:val="2"/>
                <w:sz w:val="20"/>
                <w:szCs w:val="20"/>
              </w:rPr>
              <w:t>= 200</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150/200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624 </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≈9</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val="restart"/>
          </w:tcPr>
          <w:p w:rsidR="008863F4" w:rsidRPr="007770BC" w:rsidRDefault="008863F4" w:rsidP="007770BC">
            <w:pPr>
              <w:rPr>
                <w:rFonts w:eastAsia="Times New Roman"/>
                <w:kern w:val="2"/>
                <w:sz w:val="20"/>
                <w:szCs w:val="20"/>
              </w:rPr>
            </w:pPr>
          </w:p>
          <w:p w:rsidR="008863F4" w:rsidRPr="007770BC" w:rsidRDefault="008863F4" w:rsidP="007770BC">
            <w:pPr>
              <w:rPr>
                <w:kern w:val="2"/>
                <w:sz w:val="20"/>
                <w:szCs w:val="20"/>
              </w:rPr>
            </w:pPr>
            <w:r w:rsidRPr="007770BC">
              <w:rPr>
                <w:kern w:val="2"/>
                <w:sz w:val="20"/>
                <w:szCs w:val="20"/>
              </w:rPr>
              <w:t>13 weeks</w:t>
            </w:r>
          </w:p>
          <w:p w:rsidR="008863F4" w:rsidRPr="007770BC" w:rsidRDefault="008863F4" w:rsidP="007770BC">
            <w:pPr>
              <w:rPr>
                <w:kern w:val="2"/>
                <w:sz w:val="20"/>
                <w:szCs w:val="20"/>
              </w:rPr>
            </w:pPr>
            <w:r w:rsidRPr="007770BC">
              <w:rPr>
                <w:kern w:val="2"/>
                <w:sz w:val="20"/>
                <w:szCs w:val="20"/>
              </w:rPr>
              <w:t>(gavage)</w:t>
            </w:r>
          </w:p>
          <w:p w:rsidR="008863F4" w:rsidRPr="007770BC" w:rsidRDefault="008863F4" w:rsidP="007770BC">
            <w:pPr>
              <w:rPr>
                <w:rFonts w:eastAsia="Times New Roman"/>
                <w:kern w:val="2"/>
                <w:sz w:val="20"/>
                <w:szCs w:val="20"/>
              </w:rPr>
            </w:pPr>
            <w:r w:rsidRPr="007770BC">
              <w:rPr>
                <w:kern w:val="2"/>
                <w:sz w:val="20"/>
                <w:szCs w:val="20"/>
              </w:rPr>
              <w:t>PSM0812</w:t>
            </w:r>
          </w:p>
        </w:tc>
        <w:tc>
          <w:tcPr>
            <w:tcW w:w="1701" w:type="dxa"/>
          </w:tcPr>
          <w:p w:rsidR="008863F4" w:rsidRPr="007770BC" w:rsidRDefault="008863F4" w:rsidP="007770BC">
            <w:pPr>
              <w:rPr>
                <w:kern w:val="2"/>
                <w:sz w:val="20"/>
                <w:szCs w:val="20"/>
              </w:rPr>
            </w:pPr>
            <w:r w:rsidRPr="007770BC">
              <w:rPr>
                <w:kern w:val="2"/>
                <w:sz w:val="20"/>
                <w:szCs w:val="20"/>
              </w:rPr>
              <w:t>6</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15.5* (0-12h)</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≈0.4</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15</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39.4* (0-12h)</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≈1</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37.5</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104* (0-12h)</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val="restart"/>
          </w:tcPr>
          <w:p w:rsidR="008863F4" w:rsidRPr="007770BC" w:rsidRDefault="008863F4" w:rsidP="007770BC">
            <w:pPr>
              <w:rPr>
                <w:rFonts w:eastAsia="Times New Roman"/>
                <w:kern w:val="2"/>
                <w:sz w:val="20"/>
                <w:szCs w:val="20"/>
              </w:rPr>
            </w:pPr>
          </w:p>
          <w:p w:rsidR="008863F4" w:rsidRPr="007770BC" w:rsidRDefault="008863F4" w:rsidP="007770BC">
            <w:pPr>
              <w:rPr>
                <w:kern w:val="2"/>
                <w:sz w:val="20"/>
                <w:szCs w:val="20"/>
              </w:rPr>
            </w:pPr>
            <w:r w:rsidRPr="007770BC">
              <w:rPr>
                <w:kern w:val="2"/>
                <w:sz w:val="20"/>
                <w:szCs w:val="20"/>
              </w:rPr>
              <w:t>26 weeks</w:t>
            </w:r>
          </w:p>
          <w:p w:rsidR="008863F4" w:rsidRPr="007770BC" w:rsidRDefault="008863F4" w:rsidP="007770BC">
            <w:pPr>
              <w:rPr>
                <w:kern w:val="2"/>
                <w:sz w:val="20"/>
                <w:szCs w:val="20"/>
              </w:rPr>
            </w:pPr>
            <w:r w:rsidRPr="007770BC">
              <w:rPr>
                <w:kern w:val="2"/>
                <w:sz w:val="20"/>
                <w:szCs w:val="20"/>
              </w:rPr>
              <w:t>(gavage)</w:t>
            </w:r>
          </w:p>
          <w:p w:rsidR="008863F4" w:rsidRPr="007770BC" w:rsidRDefault="008863F4" w:rsidP="007770BC">
            <w:pPr>
              <w:rPr>
                <w:rFonts w:eastAsia="Times New Roman"/>
                <w:kern w:val="2"/>
                <w:sz w:val="20"/>
                <w:szCs w:val="20"/>
              </w:rPr>
            </w:pPr>
            <w:r w:rsidRPr="007770BC">
              <w:rPr>
                <w:kern w:val="2"/>
                <w:sz w:val="20"/>
                <w:szCs w:val="20"/>
              </w:rPr>
              <w:t>PSM1013</w:t>
            </w:r>
          </w:p>
        </w:tc>
        <w:tc>
          <w:tcPr>
            <w:tcW w:w="1701" w:type="dxa"/>
          </w:tcPr>
          <w:p w:rsidR="008863F4" w:rsidRPr="007770BC" w:rsidRDefault="008863F4" w:rsidP="007770BC">
            <w:pPr>
              <w:rPr>
                <w:kern w:val="2"/>
                <w:sz w:val="20"/>
                <w:szCs w:val="20"/>
              </w:rPr>
            </w:pPr>
            <w:r w:rsidRPr="007770BC">
              <w:rPr>
                <w:kern w:val="2"/>
                <w:sz w:val="20"/>
                <w:szCs w:val="20"/>
              </w:rPr>
              <w:t>15</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34.7</w:t>
            </w:r>
          </w:p>
        </w:tc>
        <w:tc>
          <w:tcPr>
            <w:tcW w:w="1843"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≈0.5</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37.5</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79.1</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≈1</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75</w:t>
            </w:r>
          </w:p>
        </w:tc>
        <w:tc>
          <w:tcPr>
            <w:tcW w:w="2126"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192</w:t>
            </w:r>
          </w:p>
        </w:tc>
        <w:tc>
          <w:tcPr>
            <w:tcW w:w="1843" w:type="dxa"/>
          </w:tcPr>
          <w:p w:rsidR="008863F4" w:rsidRPr="007770BC" w:rsidRDefault="008863F4" w:rsidP="007770BC">
            <w:pPr>
              <w:rPr>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xml:space="preserve"> ≈3</w:t>
            </w:r>
          </w:p>
        </w:tc>
      </w:tr>
      <w:tr w:rsidR="008863F4" w:rsidRPr="007770BC" w:rsidTr="009F38B1">
        <w:trPr>
          <w:trHeight w:val="227"/>
        </w:trPr>
        <w:tc>
          <w:tcPr>
            <w:tcW w:w="1384" w:type="dxa"/>
            <w:vMerge w:val="restart"/>
          </w:tcPr>
          <w:p w:rsidR="008863F4" w:rsidRPr="007770BC" w:rsidRDefault="008863F4" w:rsidP="007770BC">
            <w:pPr>
              <w:rPr>
                <w:b/>
                <w:kern w:val="2"/>
                <w:sz w:val="20"/>
                <w:szCs w:val="20"/>
              </w:rPr>
            </w:pPr>
            <w:r w:rsidRPr="007770BC">
              <w:rPr>
                <w:b/>
                <w:kern w:val="2"/>
                <w:sz w:val="20"/>
                <w:szCs w:val="20"/>
              </w:rPr>
              <w:t>Monkey</w:t>
            </w:r>
          </w:p>
          <w:p w:rsidR="008863F4" w:rsidRPr="007770BC" w:rsidRDefault="008863F4" w:rsidP="007770BC">
            <w:pPr>
              <w:rPr>
                <w:color w:val="00B050"/>
                <w:kern w:val="2"/>
                <w:sz w:val="20"/>
                <w:szCs w:val="20"/>
              </w:rPr>
            </w:pPr>
            <w:r w:rsidRPr="007770BC">
              <w:rPr>
                <w:kern w:val="2"/>
                <w:sz w:val="20"/>
                <w:szCs w:val="20"/>
              </w:rPr>
              <w:t>(</w:t>
            </w:r>
            <w:proofErr w:type="spellStart"/>
            <w:r w:rsidRPr="007770BC">
              <w:rPr>
                <w:kern w:val="2"/>
                <w:sz w:val="20"/>
                <w:szCs w:val="20"/>
              </w:rPr>
              <w:t>Cynomolgus</w:t>
            </w:r>
            <w:proofErr w:type="spellEnd"/>
            <w:r w:rsidRPr="007770BC">
              <w:rPr>
                <w:kern w:val="2"/>
                <w:sz w:val="20"/>
                <w:szCs w:val="20"/>
              </w:rPr>
              <w:t>)</w:t>
            </w:r>
          </w:p>
        </w:tc>
        <w:tc>
          <w:tcPr>
            <w:tcW w:w="1843" w:type="dxa"/>
            <w:vMerge w:val="restart"/>
          </w:tcPr>
          <w:p w:rsidR="008863F4" w:rsidRPr="007770BC" w:rsidRDefault="008863F4" w:rsidP="007770BC">
            <w:pPr>
              <w:rPr>
                <w:kern w:val="2"/>
                <w:sz w:val="20"/>
                <w:szCs w:val="20"/>
              </w:rPr>
            </w:pPr>
            <w:r w:rsidRPr="007770BC">
              <w:rPr>
                <w:kern w:val="2"/>
                <w:sz w:val="20"/>
                <w:szCs w:val="20"/>
              </w:rPr>
              <w:t>4 weeks</w:t>
            </w:r>
          </w:p>
          <w:p w:rsidR="008863F4" w:rsidRPr="007770BC" w:rsidRDefault="008863F4" w:rsidP="007770BC">
            <w:pPr>
              <w:rPr>
                <w:rFonts w:eastAsia="Times New Roman"/>
                <w:kern w:val="2"/>
                <w:sz w:val="20"/>
                <w:szCs w:val="20"/>
              </w:rPr>
            </w:pPr>
            <w:r w:rsidRPr="007770BC">
              <w:rPr>
                <w:kern w:val="2"/>
                <w:sz w:val="20"/>
                <w:szCs w:val="20"/>
              </w:rPr>
              <w:t>PSM1101</w:t>
            </w:r>
          </w:p>
        </w:tc>
        <w:tc>
          <w:tcPr>
            <w:tcW w:w="1701" w:type="dxa"/>
          </w:tcPr>
          <w:p w:rsidR="008863F4" w:rsidRPr="007770BC" w:rsidRDefault="008863F4" w:rsidP="007770BC">
            <w:pPr>
              <w:rPr>
                <w:kern w:val="2"/>
                <w:sz w:val="20"/>
                <w:szCs w:val="20"/>
              </w:rPr>
            </w:pPr>
            <w:r w:rsidRPr="007770BC">
              <w:rPr>
                <w:kern w:val="2"/>
                <w:sz w:val="20"/>
                <w:szCs w:val="20"/>
              </w:rPr>
              <w:t>300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238</w:t>
            </w:r>
          </w:p>
        </w:tc>
        <w:tc>
          <w:tcPr>
            <w:tcW w:w="1843" w:type="dxa"/>
          </w:tcPr>
          <w:p w:rsidR="008863F4" w:rsidRPr="007770BC" w:rsidRDefault="008863F4" w:rsidP="007770BC">
            <w:pPr>
              <w:rPr>
                <w:kern w:val="2"/>
                <w:sz w:val="20"/>
                <w:szCs w:val="20"/>
              </w:rPr>
            </w:pPr>
            <w:r w:rsidRPr="007770BC">
              <w:rPr>
                <w:kern w:val="2"/>
                <w:sz w:val="20"/>
                <w:szCs w:val="20"/>
              </w:rPr>
              <w:t>3.4</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600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728</w:t>
            </w:r>
          </w:p>
        </w:tc>
        <w:tc>
          <w:tcPr>
            <w:tcW w:w="1843" w:type="dxa"/>
          </w:tcPr>
          <w:p w:rsidR="008863F4" w:rsidRPr="007770BC" w:rsidRDefault="008863F4" w:rsidP="007770BC">
            <w:pPr>
              <w:rPr>
                <w:kern w:val="2"/>
                <w:sz w:val="20"/>
                <w:szCs w:val="20"/>
              </w:rPr>
            </w:pPr>
            <w:r w:rsidRPr="007770BC">
              <w:rPr>
                <w:kern w:val="2"/>
                <w:sz w:val="20"/>
                <w:szCs w:val="20"/>
              </w:rPr>
              <w:t>10</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900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1518</w:t>
            </w:r>
          </w:p>
        </w:tc>
        <w:tc>
          <w:tcPr>
            <w:tcW w:w="1843" w:type="dxa"/>
          </w:tcPr>
          <w:p w:rsidR="008863F4" w:rsidRPr="007770BC" w:rsidRDefault="008863F4" w:rsidP="007770BC">
            <w:pPr>
              <w:rPr>
                <w:kern w:val="2"/>
                <w:sz w:val="20"/>
                <w:szCs w:val="20"/>
              </w:rPr>
            </w:pPr>
            <w:r w:rsidRPr="007770BC">
              <w:rPr>
                <w:kern w:val="2"/>
                <w:sz w:val="20"/>
                <w:szCs w:val="20"/>
              </w:rPr>
              <w:t>22</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val="restart"/>
          </w:tcPr>
          <w:p w:rsidR="008863F4" w:rsidRPr="007770BC" w:rsidRDefault="008863F4" w:rsidP="007770BC">
            <w:pPr>
              <w:rPr>
                <w:kern w:val="2"/>
                <w:sz w:val="20"/>
                <w:szCs w:val="20"/>
              </w:rPr>
            </w:pPr>
            <w:r w:rsidRPr="007770BC">
              <w:rPr>
                <w:kern w:val="2"/>
                <w:sz w:val="20"/>
                <w:szCs w:val="20"/>
              </w:rPr>
              <w:t>39 weeks</w:t>
            </w:r>
          </w:p>
          <w:p w:rsidR="008863F4" w:rsidRPr="007770BC" w:rsidRDefault="008863F4" w:rsidP="007770BC">
            <w:pPr>
              <w:rPr>
                <w:kern w:val="2"/>
                <w:sz w:val="20"/>
                <w:szCs w:val="20"/>
              </w:rPr>
            </w:pPr>
            <w:r w:rsidRPr="007770BC">
              <w:rPr>
                <w:kern w:val="2"/>
                <w:sz w:val="20"/>
                <w:szCs w:val="20"/>
              </w:rPr>
              <w:t>PSM1140</w:t>
            </w:r>
          </w:p>
        </w:tc>
        <w:tc>
          <w:tcPr>
            <w:tcW w:w="1701" w:type="dxa"/>
          </w:tcPr>
          <w:p w:rsidR="008863F4" w:rsidRPr="007770BC" w:rsidRDefault="008863F4" w:rsidP="007770BC">
            <w:pPr>
              <w:rPr>
                <w:kern w:val="2"/>
                <w:sz w:val="20"/>
                <w:szCs w:val="20"/>
              </w:rPr>
            </w:pPr>
            <w:r w:rsidRPr="007770BC">
              <w:rPr>
                <w:kern w:val="2"/>
                <w:sz w:val="20"/>
                <w:szCs w:val="20"/>
              </w:rPr>
              <w:t>300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267</w:t>
            </w:r>
          </w:p>
        </w:tc>
        <w:tc>
          <w:tcPr>
            <w:tcW w:w="1843" w:type="dxa"/>
          </w:tcPr>
          <w:p w:rsidR="008863F4" w:rsidRPr="007770BC" w:rsidRDefault="008863F4" w:rsidP="007770BC">
            <w:pPr>
              <w:rPr>
                <w:kern w:val="2"/>
                <w:sz w:val="20"/>
                <w:szCs w:val="20"/>
              </w:rPr>
            </w:pPr>
            <w:r w:rsidRPr="007770BC">
              <w:rPr>
                <w:kern w:val="2"/>
                <w:sz w:val="20"/>
                <w:szCs w:val="20"/>
              </w:rPr>
              <w:t>3.8</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600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1133</w:t>
            </w:r>
          </w:p>
        </w:tc>
        <w:tc>
          <w:tcPr>
            <w:tcW w:w="1843" w:type="dxa"/>
          </w:tcPr>
          <w:p w:rsidR="008863F4" w:rsidRPr="007770BC" w:rsidRDefault="008863F4" w:rsidP="007770BC">
            <w:pPr>
              <w:rPr>
                <w:kern w:val="2"/>
                <w:sz w:val="20"/>
                <w:szCs w:val="20"/>
              </w:rPr>
            </w:pPr>
            <w:r w:rsidRPr="007770BC">
              <w:rPr>
                <w:kern w:val="2"/>
                <w:sz w:val="20"/>
                <w:szCs w:val="20"/>
              </w:rPr>
              <w:t>16</w:t>
            </w:r>
          </w:p>
        </w:tc>
      </w:tr>
      <w:tr w:rsidR="008863F4" w:rsidRPr="007770BC" w:rsidTr="009F38B1">
        <w:trPr>
          <w:trHeight w:val="227"/>
        </w:trPr>
        <w:tc>
          <w:tcPr>
            <w:tcW w:w="1384" w:type="dxa"/>
            <w:vMerge/>
          </w:tcPr>
          <w:p w:rsidR="008863F4" w:rsidRPr="007770BC" w:rsidRDefault="008863F4" w:rsidP="007770BC">
            <w:pPr>
              <w:rPr>
                <w:color w:val="00B050"/>
                <w:kern w:val="2"/>
                <w:sz w:val="20"/>
                <w:szCs w:val="20"/>
              </w:rPr>
            </w:pPr>
          </w:p>
        </w:tc>
        <w:tc>
          <w:tcPr>
            <w:tcW w:w="1843" w:type="dxa"/>
            <w:vMerge/>
          </w:tcPr>
          <w:p w:rsidR="008863F4" w:rsidRPr="007770BC" w:rsidRDefault="008863F4" w:rsidP="007770BC">
            <w:pPr>
              <w:rPr>
                <w:kern w:val="2"/>
                <w:sz w:val="20"/>
                <w:szCs w:val="20"/>
              </w:rPr>
            </w:pPr>
          </w:p>
        </w:tc>
        <w:tc>
          <w:tcPr>
            <w:tcW w:w="1701" w:type="dxa"/>
          </w:tcPr>
          <w:p w:rsidR="008863F4" w:rsidRPr="007770BC" w:rsidRDefault="008863F4" w:rsidP="007770BC">
            <w:pPr>
              <w:rPr>
                <w:kern w:val="2"/>
                <w:sz w:val="20"/>
                <w:szCs w:val="20"/>
              </w:rPr>
            </w:pPr>
            <w:r w:rsidRPr="007770BC">
              <w:rPr>
                <w:kern w:val="2"/>
                <w:sz w:val="20"/>
                <w:szCs w:val="20"/>
              </w:rPr>
              <w:t>900</w:t>
            </w:r>
          </w:p>
        </w:tc>
        <w:tc>
          <w:tcPr>
            <w:tcW w:w="2126" w:type="dxa"/>
          </w:tcPr>
          <w:p w:rsidR="008863F4" w:rsidRPr="007770BC" w:rsidRDefault="008863F4"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 &amp; </w:t>
            </w:r>
            <w:r w:rsidRPr="007770BC">
              <w:rPr>
                <w:rFonts w:ascii="Times New Roman" w:hAnsi="Times New Roman"/>
                <w:kern w:val="2"/>
                <w:sz w:val="20"/>
                <w:szCs w:val="20"/>
              </w:rPr>
              <w:t>♀</w:t>
            </w:r>
            <w:r w:rsidRPr="007770BC">
              <w:rPr>
                <w:kern w:val="2"/>
                <w:sz w:val="20"/>
                <w:szCs w:val="20"/>
              </w:rPr>
              <w:t>= 2351</w:t>
            </w:r>
          </w:p>
        </w:tc>
        <w:tc>
          <w:tcPr>
            <w:tcW w:w="1843" w:type="dxa"/>
          </w:tcPr>
          <w:p w:rsidR="008863F4" w:rsidRPr="007770BC" w:rsidRDefault="008863F4" w:rsidP="007770BC">
            <w:pPr>
              <w:rPr>
                <w:kern w:val="2"/>
                <w:sz w:val="20"/>
                <w:szCs w:val="20"/>
              </w:rPr>
            </w:pPr>
            <w:r w:rsidRPr="007770BC">
              <w:rPr>
                <w:kern w:val="2"/>
                <w:sz w:val="20"/>
                <w:szCs w:val="20"/>
              </w:rPr>
              <w:t>33</w:t>
            </w:r>
          </w:p>
        </w:tc>
      </w:tr>
    </w:tbl>
    <w:p w:rsidR="00376D5E" w:rsidRDefault="00A34BE3" w:rsidP="009F38B1">
      <w:pPr>
        <w:pStyle w:val="TableDescription"/>
        <w:rPr>
          <w:rFonts w:asciiTheme="minorHAnsi" w:eastAsiaTheme="minorHAnsi" w:hAnsiTheme="minorHAnsi"/>
          <w:szCs w:val="18"/>
        </w:rPr>
      </w:pPr>
      <w:r w:rsidRPr="00A91846">
        <w:rPr>
          <w:position w:val="-2"/>
          <w:vertAlign w:val="superscript"/>
        </w:rPr>
        <w:t>#</w:t>
      </w:r>
      <w:r>
        <w:t xml:space="preserve">= </w:t>
      </w:r>
      <w:proofErr w:type="spellStart"/>
      <w:r w:rsidRPr="00A91846">
        <w:t>animal</w:t>
      </w:r>
      <w:proofErr w:type="gramStart"/>
      <w:r w:rsidRPr="00A91846">
        <w:t>:human</w:t>
      </w:r>
      <w:proofErr w:type="spellEnd"/>
      <w:proofErr w:type="gramEnd"/>
      <w:r w:rsidRPr="00A91846">
        <w:t xml:space="preserve"> plasma AUC</w:t>
      </w:r>
      <w:r w:rsidRPr="00A91846">
        <w:rPr>
          <w:vertAlign w:val="subscript"/>
        </w:rPr>
        <w:t>0–24</w:t>
      </w:r>
      <w:r w:rsidRPr="00A91846">
        <w:rPr>
          <w:w w:val="50"/>
          <w:vertAlign w:val="subscript"/>
        </w:rPr>
        <w:t> </w:t>
      </w:r>
      <w:r w:rsidRPr="00A91846">
        <w:rPr>
          <w:vertAlign w:val="subscript"/>
        </w:rPr>
        <w:t>h</w:t>
      </w:r>
      <w:r w:rsidRPr="00A91846">
        <w:t xml:space="preserve"> </w:t>
      </w:r>
      <w:r>
        <w:t>based on the derived human AUC</w:t>
      </w:r>
      <w:r>
        <w:rPr>
          <w:vertAlign w:val="subscript"/>
        </w:rPr>
        <w:t>0-24h</w:t>
      </w:r>
      <w:r>
        <w:t xml:space="preserve"> of 70 </w:t>
      </w:r>
      <w:proofErr w:type="spellStart"/>
      <w:r w:rsidRPr="0038553C">
        <w:t>μg∙h</w:t>
      </w:r>
      <w:proofErr w:type="spellEnd"/>
      <w:r w:rsidRPr="0038553C">
        <w:t>/</w:t>
      </w:r>
      <w:proofErr w:type="spellStart"/>
      <w:r>
        <w:t>mL</w:t>
      </w:r>
      <w:r w:rsidRPr="007269F4">
        <w:t>.</w:t>
      </w:r>
      <w:proofErr w:type="spellEnd"/>
      <w:r w:rsidRPr="007269F4">
        <w:t xml:space="preserve"> The </w:t>
      </w:r>
      <w:r>
        <w:t xml:space="preserve">sponsor has used a value of 56 </w:t>
      </w:r>
      <w:proofErr w:type="spellStart"/>
      <w:r w:rsidRPr="0038553C">
        <w:t>μg∙h</w:t>
      </w:r>
      <w:proofErr w:type="spellEnd"/>
      <w:r w:rsidRPr="0038553C">
        <w:t>/mL</w:t>
      </w:r>
      <w:r>
        <w:t xml:space="preserve"> based on the oral AUC</w:t>
      </w:r>
      <w:r>
        <w:rPr>
          <w:vertAlign w:val="subscript"/>
        </w:rPr>
        <w:t xml:space="preserve">0-24h.  </w:t>
      </w:r>
      <w:r>
        <w:t>For precautionary reasons, the evaluator has used the IV AUC</w:t>
      </w:r>
      <w:r>
        <w:rPr>
          <w:vertAlign w:val="subscript"/>
        </w:rPr>
        <w:t>0-24h</w:t>
      </w:r>
      <w:r>
        <w:t xml:space="preserve">. The evaluator acknowledges that IV use in humans may only likely occur for a period of several days; however the Australian PI, unlike the US PI, does not stipulate a maximum duration of IV treatment. If the value of 56 </w:t>
      </w:r>
      <w:proofErr w:type="spellStart"/>
      <w:r w:rsidRPr="0038553C">
        <w:t>μg∙h</w:t>
      </w:r>
      <w:proofErr w:type="spellEnd"/>
      <w:r w:rsidRPr="0038553C">
        <w:t>/mL</w:t>
      </w:r>
      <w:r>
        <w:t xml:space="preserve"> is used, the calculated </w:t>
      </w:r>
      <w:r w:rsidRPr="00A91846">
        <w:t>AUC</w:t>
      </w:r>
      <w:r w:rsidRPr="00A91846">
        <w:rPr>
          <w:vertAlign w:val="subscript"/>
        </w:rPr>
        <w:t>0–24</w:t>
      </w:r>
      <w:r w:rsidRPr="00A91846">
        <w:rPr>
          <w:w w:val="50"/>
          <w:vertAlign w:val="subscript"/>
        </w:rPr>
        <w:t> </w:t>
      </w:r>
      <w:r w:rsidRPr="00A91846">
        <w:rPr>
          <w:vertAlign w:val="subscript"/>
        </w:rPr>
        <w:t>h</w:t>
      </w:r>
      <w:r>
        <w:t xml:space="preserve"> ratios will increase by a factor of approximately 1.25</w:t>
      </w:r>
      <w:r>
        <w:rPr>
          <w:rFonts w:asciiTheme="minorHAnsi" w:hAnsiTheme="minorHAnsi"/>
          <w:szCs w:val="18"/>
        </w:rPr>
        <w:t>; * AUC</w:t>
      </w:r>
      <w:r>
        <w:rPr>
          <w:rFonts w:asciiTheme="minorHAnsi" w:hAnsiTheme="minorHAnsi"/>
          <w:szCs w:val="18"/>
          <w:vertAlign w:val="subscript"/>
        </w:rPr>
        <w:t>0-24h</w:t>
      </w:r>
      <w:r>
        <w:rPr>
          <w:rFonts w:asciiTheme="minorHAnsi" w:hAnsiTheme="minorHAnsi"/>
          <w:szCs w:val="18"/>
        </w:rPr>
        <w:t xml:space="preserve"> – ratios are calculated on 2x the AUC</w:t>
      </w:r>
      <w:r>
        <w:rPr>
          <w:rFonts w:asciiTheme="minorHAnsi" w:hAnsiTheme="minorHAnsi"/>
          <w:szCs w:val="18"/>
          <w:vertAlign w:val="subscript"/>
        </w:rPr>
        <w:t>0-12h</w:t>
      </w:r>
      <w:r>
        <w:rPr>
          <w:rFonts w:asciiTheme="minorHAnsi" w:hAnsiTheme="minorHAnsi"/>
          <w:szCs w:val="18"/>
        </w:rPr>
        <w:t xml:space="preserve"> values shown in the table; </w:t>
      </w:r>
      <w:r w:rsidRPr="00BA46FD">
        <w:rPr>
          <w:rFonts w:asciiTheme="minorHAnsi" w:hAnsiTheme="minorHAnsi"/>
          <w:szCs w:val="18"/>
        </w:rPr>
        <w:t>‡</w:t>
      </w:r>
      <w:r>
        <w:rPr>
          <w:rFonts w:asciiTheme="minorHAnsi" w:hAnsiTheme="minorHAnsi"/>
          <w:szCs w:val="18"/>
        </w:rPr>
        <w:t xml:space="preserve"> based on Week 52 data; </w:t>
      </w:r>
      <w:r w:rsidRPr="001256E5">
        <w:rPr>
          <w:rFonts w:asciiTheme="minorHAnsi" w:eastAsiaTheme="minorHAnsi" w:hAnsiTheme="minorHAnsi"/>
          <w:szCs w:val="18"/>
          <w:vertAlign w:val="superscript"/>
        </w:rPr>
        <w:t>ó</w:t>
      </w:r>
      <w:r>
        <w:rPr>
          <w:rFonts w:asciiTheme="minorHAnsi" w:eastAsiaTheme="minorHAnsi" w:hAnsiTheme="minorHAnsi"/>
          <w:szCs w:val="18"/>
        </w:rPr>
        <w:t xml:space="preserve"> Based on Day 1 data</w:t>
      </w:r>
      <w:r w:rsidR="00376D5E">
        <w:rPr>
          <w:rFonts w:asciiTheme="minorHAnsi" w:eastAsiaTheme="minorHAnsi" w:hAnsiTheme="minorHAnsi"/>
          <w:szCs w:val="18"/>
        </w:rPr>
        <w:t>.</w:t>
      </w:r>
    </w:p>
    <w:p w:rsidR="009F38B1" w:rsidRPr="009F38B1" w:rsidRDefault="008863F4" w:rsidP="009F38B1">
      <w:pPr>
        <w:pStyle w:val="Heading5"/>
      </w:pPr>
      <w:bookmarkStart w:id="78" w:name="_Toc450809093"/>
      <w:r w:rsidRPr="009F38B1">
        <w:lastRenderedPageBreak/>
        <w:t>Relative exposure margins for metabolite ucb-42145 in adults</w:t>
      </w:r>
      <w:bookmarkEnd w:id="78"/>
    </w:p>
    <w:p w:rsidR="00376D5E" w:rsidRDefault="008863F4" w:rsidP="009F38B1">
      <w:r w:rsidRPr="009F38B1">
        <w:t>In general adequate levels of systemic exposure for ucb-42145 were achieved in the nonclinical studies in comparison with the expected level of human systemic exposure at the MHRD for normal humans. However, adequate levels of animal exposure at the animal NOAEL w</w:t>
      </w:r>
      <w:r w:rsidR="004608B2">
        <w:t>ere</w:t>
      </w:r>
      <w:r w:rsidRPr="009F38B1">
        <w:t xml:space="preserve"> not achieved in all studies with the expected level of human systemic exposure in patients with severe renal impairment</w:t>
      </w:r>
      <w:r w:rsidR="00376D5E">
        <w:t>.</w:t>
      </w:r>
    </w:p>
    <w:p w:rsidR="00B11747" w:rsidRDefault="00B11747" w:rsidP="00B11747">
      <w:pPr>
        <w:pStyle w:val="TableTitle"/>
      </w:pPr>
      <w:proofErr w:type="gramStart"/>
      <w:r>
        <w:t xml:space="preserve">Table 10: </w:t>
      </w:r>
      <w:r w:rsidR="000A2EB8" w:rsidRPr="000A2EB8">
        <w:t>Relative exposure margins for metabolite ucb-42145</w:t>
      </w:r>
      <w:r>
        <w:t>.</w:t>
      </w:r>
      <w:proofErr w:type="gramEnd"/>
    </w:p>
    <w:tbl>
      <w:tblPr>
        <w:tblStyle w:val="TableTGAblue"/>
        <w:tblW w:w="8774" w:type="dxa"/>
        <w:tblLayout w:type="fixed"/>
        <w:tblLook w:val="01E0" w:firstRow="1" w:lastRow="1" w:firstColumn="1" w:lastColumn="1" w:noHBand="0" w:noVBand="0"/>
      </w:tblPr>
      <w:tblGrid>
        <w:gridCol w:w="1354"/>
        <w:gridCol w:w="1448"/>
        <w:gridCol w:w="1417"/>
        <w:gridCol w:w="1437"/>
        <w:gridCol w:w="1559"/>
        <w:gridCol w:w="1559"/>
      </w:tblGrid>
      <w:tr w:rsidR="006A2DC8" w:rsidRPr="007770BC" w:rsidTr="006A2DC8">
        <w:trPr>
          <w:cnfStyle w:val="100000000000" w:firstRow="1" w:lastRow="0" w:firstColumn="0" w:lastColumn="0" w:oddVBand="0" w:evenVBand="0" w:oddHBand="0" w:evenHBand="0" w:firstRowFirstColumn="0" w:firstRowLastColumn="0" w:lastRowFirstColumn="0" w:lastRowLastColumn="0"/>
        </w:trPr>
        <w:tc>
          <w:tcPr>
            <w:tcW w:w="1354" w:type="dxa"/>
          </w:tcPr>
          <w:p w:rsidR="000A2EB8" w:rsidRPr="007770BC" w:rsidRDefault="000A2EB8" w:rsidP="007770BC">
            <w:pPr>
              <w:rPr>
                <w:sz w:val="20"/>
                <w:szCs w:val="20"/>
              </w:rPr>
            </w:pPr>
            <w:r w:rsidRPr="007770BC">
              <w:rPr>
                <w:sz w:val="20"/>
                <w:szCs w:val="20"/>
              </w:rPr>
              <w:t>Study</w:t>
            </w:r>
          </w:p>
          <w:p w:rsidR="000A2EB8" w:rsidRPr="007770BC" w:rsidRDefault="000A2EB8" w:rsidP="007770BC">
            <w:pPr>
              <w:rPr>
                <w:sz w:val="20"/>
                <w:szCs w:val="20"/>
              </w:rPr>
            </w:pPr>
            <w:r w:rsidRPr="007770BC">
              <w:rPr>
                <w:sz w:val="20"/>
                <w:szCs w:val="20"/>
              </w:rPr>
              <w:t>Species</w:t>
            </w:r>
          </w:p>
        </w:tc>
        <w:tc>
          <w:tcPr>
            <w:tcW w:w="1448" w:type="dxa"/>
          </w:tcPr>
          <w:p w:rsidR="000A2EB8" w:rsidRPr="007770BC" w:rsidRDefault="000A2EB8" w:rsidP="007770BC">
            <w:pPr>
              <w:rPr>
                <w:sz w:val="20"/>
                <w:szCs w:val="20"/>
              </w:rPr>
            </w:pPr>
            <w:r w:rsidRPr="007770BC">
              <w:rPr>
                <w:sz w:val="20"/>
                <w:szCs w:val="20"/>
              </w:rPr>
              <w:t>Study duration</w:t>
            </w:r>
            <w:r w:rsidR="007770BC">
              <w:rPr>
                <w:sz w:val="20"/>
                <w:szCs w:val="20"/>
              </w:rPr>
              <w:t xml:space="preserve"> </w:t>
            </w:r>
            <w:r w:rsidRPr="007770BC">
              <w:rPr>
                <w:sz w:val="20"/>
                <w:szCs w:val="20"/>
              </w:rPr>
              <w:t>Route</w:t>
            </w:r>
          </w:p>
        </w:tc>
        <w:tc>
          <w:tcPr>
            <w:tcW w:w="1417" w:type="dxa"/>
          </w:tcPr>
          <w:p w:rsidR="000A2EB8" w:rsidRPr="007770BC" w:rsidRDefault="000A2EB8" w:rsidP="007822C7">
            <w:pPr>
              <w:rPr>
                <w:sz w:val="20"/>
                <w:szCs w:val="20"/>
              </w:rPr>
            </w:pPr>
            <w:proofErr w:type="spellStart"/>
            <w:r w:rsidRPr="007770BC">
              <w:rPr>
                <w:sz w:val="20"/>
                <w:szCs w:val="20"/>
              </w:rPr>
              <w:t>Brivaracetam</w:t>
            </w:r>
            <w:proofErr w:type="spellEnd"/>
            <w:r w:rsidR="007770BC">
              <w:rPr>
                <w:sz w:val="20"/>
                <w:szCs w:val="20"/>
              </w:rPr>
              <w:t xml:space="preserve"> </w:t>
            </w:r>
            <w:r w:rsidRPr="007770BC">
              <w:rPr>
                <w:sz w:val="20"/>
                <w:szCs w:val="20"/>
              </w:rPr>
              <w:t>Dose</w:t>
            </w:r>
            <w:r w:rsidR="007822C7">
              <w:rPr>
                <w:sz w:val="20"/>
                <w:szCs w:val="20"/>
              </w:rPr>
              <w:t xml:space="preserve"> </w:t>
            </w:r>
            <w:r w:rsidRPr="007770BC">
              <w:rPr>
                <w:sz w:val="20"/>
                <w:szCs w:val="20"/>
              </w:rPr>
              <w:t>(mg/kg/</w:t>
            </w:r>
            <w:r w:rsidR="006A2DC8" w:rsidRPr="007770BC">
              <w:rPr>
                <w:sz w:val="20"/>
                <w:szCs w:val="20"/>
              </w:rPr>
              <w:t xml:space="preserve"> </w:t>
            </w:r>
            <w:r w:rsidRPr="007770BC">
              <w:rPr>
                <w:sz w:val="20"/>
                <w:szCs w:val="20"/>
              </w:rPr>
              <w:t>day)</w:t>
            </w:r>
          </w:p>
        </w:tc>
        <w:tc>
          <w:tcPr>
            <w:tcW w:w="1437" w:type="dxa"/>
          </w:tcPr>
          <w:p w:rsidR="000A2EB8" w:rsidRPr="007770BC" w:rsidRDefault="000A2EB8" w:rsidP="007822C7">
            <w:pPr>
              <w:rPr>
                <w:sz w:val="20"/>
                <w:szCs w:val="20"/>
              </w:rPr>
            </w:pPr>
            <w:r w:rsidRPr="007770BC">
              <w:rPr>
                <w:sz w:val="20"/>
                <w:szCs w:val="20"/>
              </w:rPr>
              <w:t>AUC</w:t>
            </w:r>
            <w:r w:rsidRPr="007770BC">
              <w:rPr>
                <w:sz w:val="20"/>
                <w:szCs w:val="20"/>
                <w:vertAlign w:val="subscript"/>
              </w:rPr>
              <w:t>0–24h</w:t>
            </w:r>
            <w:r w:rsidRPr="007770BC">
              <w:rPr>
                <w:sz w:val="20"/>
                <w:szCs w:val="20"/>
              </w:rPr>
              <w:t xml:space="preserve"> or</w:t>
            </w:r>
            <w:r w:rsidR="007770BC">
              <w:rPr>
                <w:sz w:val="20"/>
                <w:szCs w:val="20"/>
              </w:rPr>
              <w:t xml:space="preserve"> </w:t>
            </w:r>
            <w:r w:rsidRPr="007770BC">
              <w:rPr>
                <w:sz w:val="20"/>
                <w:szCs w:val="20"/>
              </w:rPr>
              <w:t>AUC</w:t>
            </w:r>
            <w:r w:rsidRPr="007770BC">
              <w:rPr>
                <w:sz w:val="20"/>
                <w:szCs w:val="20"/>
                <w:vertAlign w:val="subscript"/>
              </w:rPr>
              <w:t>0–τ</w:t>
            </w:r>
            <w:r w:rsidR="007822C7">
              <w:rPr>
                <w:sz w:val="20"/>
                <w:szCs w:val="20"/>
                <w:vertAlign w:val="subscript"/>
              </w:rPr>
              <w:t xml:space="preserve"> </w:t>
            </w:r>
            <w:r w:rsidRPr="007770BC">
              <w:rPr>
                <w:sz w:val="20"/>
                <w:szCs w:val="20"/>
              </w:rPr>
              <w:br/>
              <w:t>(</w:t>
            </w:r>
            <w:proofErr w:type="spellStart"/>
            <w:r w:rsidRPr="007770BC">
              <w:rPr>
                <w:rFonts w:eastAsia="Gulim"/>
                <w:sz w:val="20"/>
                <w:szCs w:val="20"/>
              </w:rPr>
              <w:t>μ</w:t>
            </w:r>
            <w:r w:rsidRPr="007770BC">
              <w:rPr>
                <w:sz w:val="20"/>
                <w:szCs w:val="20"/>
              </w:rPr>
              <w:t>g∙h</w:t>
            </w:r>
            <w:proofErr w:type="spellEnd"/>
            <w:r w:rsidRPr="007770BC">
              <w:rPr>
                <w:sz w:val="20"/>
                <w:szCs w:val="20"/>
              </w:rPr>
              <w:t>/mL)*</w:t>
            </w:r>
          </w:p>
        </w:tc>
        <w:tc>
          <w:tcPr>
            <w:tcW w:w="1559" w:type="dxa"/>
          </w:tcPr>
          <w:p w:rsidR="000A2EB8" w:rsidRPr="007770BC" w:rsidRDefault="000A2EB8" w:rsidP="007770BC">
            <w:pPr>
              <w:rPr>
                <w:sz w:val="20"/>
                <w:szCs w:val="20"/>
              </w:rPr>
            </w:pPr>
            <w:r w:rsidRPr="007770BC">
              <w:rPr>
                <w:sz w:val="20"/>
                <w:szCs w:val="20"/>
              </w:rPr>
              <w:t>Exposure ratio in normal humans</w:t>
            </w:r>
            <w:r w:rsidRPr="007770BC">
              <w:rPr>
                <w:sz w:val="20"/>
                <w:szCs w:val="20"/>
                <w:vertAlign w:val="superscript"/>
              </w:rPr>
              <w:t>#</w:t>
            </w:r>
          </w:p>
        </w:tc>
        <w:tc>
          <w:tcPr>
            <w:tcW w:w="1559" w:type="dxa"/>
          </w:tcPr>
          <w:p w:rsidR="000A2EB8" w:rsidRPr="007770BC" w:rsidRDefault="000A2EB8" w:rsidP="007770BC">
            <w:pPr>
              <w:rPr>
                <w:sz w:val="20"/>
                <w:szCs w:val="20"/>
                <w:vertAlign w:val="superscript"/>
              </w:rPr>
            </w:pPr>
            <w:r w:rsidRPr="007770BC">
              <w:rPr>
                <w:sz w:val="20"/>
                <w:szCs w:val="20"/>
              </w:rPr>
              <w:t>Exposure ratio in humans with severe renal impairment</w:t>
            </w:r>
            <w:r w:rsidRPr="007770BC">
              <w:rPr>
                <w:sz w:val="20"/>
                <w:szCs w:val="20"/>
                <w:vertAlign w:val="superscript"/>
              </w:rPr>
              <w:t>#</w:t>
            </w:r>
          </w:p>
        </w:tc>
      </w:tr>
      <w:tr w:rsidR="000A2EB8" w:rsidRPr="007770BC" w:rsidTr="006A2DC8">
        <w:trPr>
          <w:trHeight w:val="372"/>
        </w:trPr>
        <w:tc>
          <w:tcPr>
            <w:tcW w:w="1354" w:type="dxa"/>
            <w:vMerge w:val="restart"/>
          </w:tcPr>
          <w:p w:rsidR="000A2EB8" w:rsidRPr="007770BC" w:rsidRDefault="000A2EB8" w:rsidP="007770BC">
            <w:pPr>
              <w:rPr>
                <w:kern w:val="2"/>
                <w:sz w:val="20"/>
                <w:szCs w:val="20"/>
              </w:rPr>
            </w:pPr>
            <w:r w:rsidRPr="007770BC">
              <w:rPr>
                <w:kern w:val="2"/>
                <w:sz w:val="20"/>
                <w:szCs w:val="20"/>
              </w:rPr>
              <w:t>PSM1256</w:t>
            </w:r>
          </w:p>
          <w:p w:rsidR="000A2EB8" w:rsidRPr="007770BC" w:rsidRDefault="000A2EB8" w:rsidP="007770BC">
            <w:pPr>
              <w:rPr>
                <w:kern w:val="2"/>
                <w:sz w:val="20"/>
                <w:szCs w:val="20"/>
              </w:rPr>
            </w:pPr>
            <w:r w:rsidRPr="007770BC">
              <w:rPr>
                <w:b/>
                <w:kern w:val="2"/>
                <w:sz w:val="20"/>
                <w:szCs w:val="20"/>
              </w:rPr>
              <w:t>Mouse</w:t>
            </w:r>
            <w:r w:rsidRPr="007770BC">
              <w:rPr>
                <w:kern w:val="2"/>
                <w:sz w:val="20"/>
                <w:szCs w:val="20"/>
              </w:rPr>
              <w:t xml:space="preserve"> (CD-1)</w:t>
            </w:r>
          </w:p>
        </w:tc>
        <w:tc>
          <w:tcPr>
            <w:tcW w:w="1448" w:type="dxa"/>
            <w:vMerge w:val="restart"/>
          </w:tcPr>
          <w:p w:rsidR="000A2EB8" w:rsidRPr="007770BC" w:rsidRDefault="000A2EB8" w:rsidP="007770BC">
            <w:pPr>
              <w:rPr>
                <w:kern w:val="2"/>
                <w:sz w:val="20"/>
                <w:szCs w:val="20"/>
              </w:rPr>
            </w:pPr>
            <w:r w:rsidRPr="007770BC">
              <w:rPr>
                <w:kern w:val="2"/>
                <w:sz w:val="20"/>
                <w:szCs w:val="20"/>
              </w:rPr>
              <w:t>13 Weeks</w:t>
            </w:r>
          </w:p>
          <w:p w:rsidR="000A2EB8" w:rsidRPr="007770BC" w:rsidRDefault="000A2EB8" w:rsidP="007770BC">
            <w:pPr>
              <w:rPr>
                <w:kern w:val="2"/>
                <w:sz w:val="20"/>
                <w:szCs w:val="20"/>
              </w:rPr>
            </w:pPr>
            <w:r w:rsidRPr="007770BC">
              <w:rPr>
                <w:kern w:val="2"/>
                <w:sz w:val="20"/>
                <w:szCs w:val="20"/>
              </w:rPr>
              <w:t>PO</w:t>
            </w:r>
          </w:p>
        </w:tc>
        <w:tc>
          <w:tcPr>
            <w:tcW w:w="1417" w:type="dxa"/>
          </w:tcPr>
          <w:p w:rsidR="000A2EB8" w:rsidRPr="007770BC" w:rsidRDefault="000A2EB8" w:rsidP="007770BC">
            <w:pPr>
              <w:rPr>
                <w:kern w:val="2"/>
                <w:sz w:val="20"/>
                <w:szCs w:val="20"/>
              </w:rPr>
            </w:pPr>
            <w:r w:rsidRPr="007770BC">
              <w:rPr>
                <w:kern w:val="2"/>
                <w:sz w:val="20"/>
                <w:szCs w:val="20"/>
              </w:rPr>
              <w:t>450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=4.06ˢ; </w:t>
            </w:r>
            <w:r w:rsidRPr="007770BC">
              <w:rPr>
                <w:rFonts w:ascii="Times New Roman" w:hAnsi="Times New Roman"/>
                <w:kern w:val="2"/>
                <w:sz w:val="20"/>
                <w:szCs w:val="20"/>
              </w:rPr>
              <w:t>♀</w:t>
            </w:r>
            <w:r w:rsidRPr="007770BC">
              <w:rPr>
                <w:kern w:val="2"/>
                <w:sz w:val="20"/>
                <w:szCs w:val="20"/>
              </w:rPr>
              <w:t>=3.11</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≈1</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≈0.3; </w:t>
            </w:r>
            <w:r w:rsidRPr="007770BC">
              <w:rPr>
                <w:rFonts w:ascii="Times New Roman" w:hAnsi="Times New Roman"/>
                <w:kern w:val="2"/>
                <w:sz w:val="20"/>
                <w:szCs w:val="20"/>
              </w:rPr>
              <w:t>♀</w:t>
            </w:r>
            <w:r w:rsidRPr="007770BC">
              <w:rPr>
                <w:kern w:val="2"/>
                <w:sz w:val="20"/>
                <w:szCs w:val="20"/>
              </w:rPr>
              <w:t>≈0.3</w:t>
            </w:r>
          </w:p>
        </w:tc>
      </w:tr>
      <w:tr w:rsidR="000A2EB8" w:rsidRPr="007770BC" w:rsidTr="006A2DC8">
        <w:trPr>
          <w:trHeight w:val="409"/>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675</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=9.45; </w:t>
            </w:r>
            <w:r w:rsidRPr="007770BC">
              <w:rPr>
                <w:rFonts w:ascii="Times New Roman" w:hAnsi="Times New Roman"/>
                <w:kern w:val="2"/>
                <w:sz w:val="20"/>
                <w:szCs w:val="20"/>
              </w:rPr>
              <w:t>♀</w:t>
            </w:r>
            <w:r w:rsidRPr="007770BC">
              <w:rPr>
                <w:kern w:val="2"/>
                <w:sz w:val="20"/>
                <w:szCs w:val="20"/>
              </w:rPr>
              <w:t>=11.2</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≈3; </w:t>
            </w:r>
            <w:r w:rsidRPr="007770BC">
              <w:rPr>
                <w:rFonts w:ascii="Times New Roman" w:hAnsi="Times New Roman"/>
                <w:kern w:val="2"/>
                <w:sz w:val="20"/>
                <w:szCs w:val="20"/>
              </w:rPr>
              <w:t>♀</w:t>
            </w:r>
            <w:r w:rsidRPr="007770BC">
              <w:rPr>
                <w:kern w:val="2"/>
                <w:sz w:val="20"/>
                <w:szCs w:val="20"/>
              </w:rPr>
              <w:t>≈3</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≈1</w:t>
            </w:r>
          </w:p>
        </w:tc>
      </w:tr>
      <w:tr w:rsidR="000A2EB8" w:rsidRPr="007770BC" w:rsidTr="006A2DC8">
        <w:trPr>
          <w:trHeight w:val="610"/>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1000</w:t>
            </w:r>
          </w:p>
        </w:tc>
        <w:tc>
          <w:tcPr>
            <w:tcW w:w="1437"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=20.3; </w:t>
            </w:r>
            <w:r w:rsidRPr="007770BC">
              <w:rPr>
                <w:rFonts w:ascii="Times New Roman" w:hAnsi="Times New Roman"/>
                <w:kern w:val="2"/>
                <w:sz w:val="20"/>
                <w:szCs w:val="20"/>
              </w:rPr>
              <w:t>♀</w:t>
            </w:r>
            <w:r w:rsidRPr="007770BC">
              <w:rPr>
                <w:kern w:val="2"/>
                <w:sz w:val="20"/>
                <w:szCs w:val="20"/>
              </w:rPr>
              <w:t>=25.7</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≈6; </w:t>
            </w:r>
            <w:r w:rsidRPr="007770BC">
              <w:rPr>
                <w:rFonts w:ascii="Times New Roman" w:hAnsi="Times New Roman"/>
                <w:kern w:val="2"/>
                <w:sz w:val="20"/>
                <w:szCs w:val="20"/>
              </w:rPr>
              <w:t>♀</w:t>
            </w:r>
            <w:r w:rsidRPr="007770BC">
              <w:rPr>
                <w:kern w:val="2"/>
                <w:sz w:val="20"/>
                <w:szCs w:val="20"/>
              </w:rPr>
              <w:t>≈7</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≈2; </w:t>
            </w:r>
            <w:r w:rsidRPr="007770BC">
              <w:rPr>
                <w:rFonts w:ascii="Times New Roman" w:hAnsi="Times New Roman"/>
                <w:kern w:val="2"/>
                <w:sz w:val="20"/>
                <w:szCs w:val="20"/>
              </w:rPr>
              <w:t>♀</w:t>
            </w:r>
            <w:r w:rsidRPr="007770BC">
              <w:rPr>
                <w:kern w:val="2"/>
                <w:sz w:val="20"/>
                <w:szCs w:val="20"/>
              </w:rPr>
              <w:t>≈2</w:t>
            </w:r>
          </w:p>
        </w:tc>
      </w:tr>
      <w:tr w:rsidR="000A2EB8" w:rsidRPr="007770BC" w:rsidTr="006A2DC8">
        <w:trPr>
          <w:trHeight w:val="239"/>
        </w:trPr>
        <w:tc>
          <w:tcPr>
            <w:tcW w:w="1354" w:type="dxa"/>
            <w:vMerge w:val="restart"/>
          </w:tcPr>
          <w:p w:rsidR="000A2EB8" w:rsidRPr="007770BC" w:rsidRDefault="000A2EB8" w:rsidP="007770BC">
            <w:pPr>
              <w:rPr>
                <w:sz w:val="20"/>
                <w:szCs w:val="20"/>
              </w:rPr>
            </w:pPr>
            <w:r w:rsidRPr="007770BC">
              <w:rPr>
                <w:sz w:val="20"/>
                <w:szCs w:val="20"/>
              </w:rPr>
              <w:t>NCD1304</w:t>
            </w:r>
          </w:p>
          <w:p w:rsidR="000A2EB8" w:rsidRPr="007770BC" w:rsidRDefault="000A2EB8" w:rsidP="007770BC">
            <w:pPr>
              <w:rPr>
                <w:b/>
                <w:kern w:val="2"/>
                <w:sz w:val="20"/>
                <w:szCs w:val="20"/>
              </w:rPr>
            </w:pPr>
            <w:r w:rsidRPr="007770BC">
              <w:rPr>
                <w:b/>
                <w:sz w:val="20"/>
                <w:szCs w:val="20"/>
              </w:rPr>
              <w:t>Mouse</w:t>
            </w:r>
            <w:r w:rsidRPr="007770BC">
              <w:rPr>
                <w:sz w:val="20"/>
                <w:szCs w:val="20"/>
              </w:rPr>
              <w:t xml:space="preserve"> (CD-1)</w:t>
            </w:r>
          </w:p>
        </w:tc>
        <w:tc>
          <w:tcPr>
            <w:tcW w:w="1448" w:type="dxa"/>
            <w:vMerge w:val="restart"/>
          </w:tcPr>
          <w:p w:rsidR="000A2EB8" w:rsidRPr="007770BC" w:rsidRDefault="000A2EB8" w:rsidP="007770BC">
            <w:pPr>
              <w:rPr>
                <w:kern w:val="2"/>
                <w:sz w:val="20"/>
                <w:szCs w:val="20"/>
              </w:rPr>
            </w:pPr>
            <w:r w:rsidRPr="007770BC">
              <w:rPr>
                <w:kern w:val="2"/>
                <w:sz w:val="20"/>
                <w:szCs w:val="20"/>
              </w:rPr>
              <w:t>104 Weeks</w:t>
            </w:r>
          </w:p>
          <w:p w:rsidR="000A2EB8" w:rsidRPr="007770BC" w:rsidRDefault="000A2EB8" w:rsidP="007770BC">
            <w:pPr>
              <w:rPr>
                <w:kern w:val="2"/>
                <w:sz w:val="20"/>
                <w:szCs w:val="20"/>
              </w:rPr>
            </w:pPr>
            <w:r w:rsidRPr="007770BC">
              <w:rPr>
                <w:kern w:val="2"/>
                <w:sz w:val="20"/>
                <w:szCs w:val="20"/>
              </w:rPr>
              <w:t>PO</w:t>
            </w:r>
          </w:p>
        </w:tc>
        <w:tc>
          <w:tcPr>
            <w:tcW w:w="1417" w:type="dxa"/>
          </w:tcPr>
          <w:p w:rsidR="000A2EB8" w:rsidRPr="007770BC" w:rsidRDefault="000A2EB8" w:rsidP="007770BC">
            <w:pPr>
              <w:rPr>
                <w:kern w:val="2"/>
                <w:sz w:val="20"/>
                <w:szCs w:val="20"/>
              </w:rPr>
            </w:pPr>
            <w:r w:rsidRPr="007770BC">
              <w:rPr>
                <w:kern w:val="2"/>
                <w:sz w:val="20"/>
                <w:szCs w:val="20"/>
              </w:rPr>
              <w:t>400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=2.75ˢ; </w:t>
            </w:r>
            <w:r w:rsidRPr="007770BC">
              <w:rPr>
                <w:rFonts w:ascii="Times New Roman" w:hAnsi="Times New Roman"/>
                <w:kern w:val="2"/>
                <w:sz w:val="20"/>
                <w:szCs w:val="20"/>
              </w:rPr>
              <w:t>♀</w:t>
            </w:r>
            <w:r w:rsidRPr="007770BC">
              <w:rPr>
                <w:kern w:val="2"/>
                <w:sz w:val="20"/>
                <w:szCs w:val="20"/>
              </w:rPr>
              <w:t>=2.67</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≈1</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≈0.2; </w:t>
            </w:r>
            <w:r w:rsidRPr="007770BC">
              <w:rPr>
                <w:rFonts w:ascii="Times New Roman" w:hAnsi="Times New Roman"/>
                <w:kern w:val="2"/>
                <w:sz w:val="20"/>
                <w:szCs w:val="20"/>
              </w:rPr>
              <w:t>♀</w:t>
            </w:r>
            <w:r w:rsidRPr="007770BC">
              <w:rPr>
                <w:kern w:val="2"/>
                <w:sz w:val="20"/>
                <w:szCs w:val="20"/>
              </w:rPr>
              <w:t>≈0.2</w:t>
            </w:r>
          </w:p>
        </w:tc>
      </w:tr>
      <w:tr w:rsidR="000A2EB8" w:rsidRPr="007770BC" w:rsidTr="006A2DC8">
        <w:trPr>
          <w:trHeight w:val="31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550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=5.3; </w:t>
            </w:r>
            <w:r w:rsidRPr="007770BC">
              <w:rPr>
                <w:rFonts w:ascii="Times New Roman" w:hAnsi="Times New Roman"/>
                <w:kern w:val="2"/>
                <w:sz w:val="20"/>
                <w:szCs w:val="20"/>
              </w:rPr>
              <w:t>♀</w:t>
            </w:r>
            <w:r w:rsidRPr="007770BC">
              <w:rPr>
                <w:kern w:val="2"/>
                <w:sz w:val="20"/>
                <w:szCs w:val="20"/>
              </w:rPr>
              <w:t>=4.38</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≈2; </w:t>
            </w:r>
            <w:r w:rsidRPr="007770BC">
              <w:rPr>
                <w:rFonts w:ascii="Times New Roman" w:hAnsi="Times New Roman"/>
                <w:kern w:val="2"/>
                <w:sz w:val="20"/>
                <w:szCs w:val="20"/>
              </w:rPr>
              <w:t>♀</w:t>
            </w:r>
            <w:r w:rsidRPr="007770BC">
              <w:rPr>
                <w:kern w:val="2"/>
                <w:sz w:val="20"/>
                <w:szCs w:val="20"/>
              </w:rPr>
              <w:t>≈1</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≈0.5; </w:t>
            </w:r>
            <w:r w:rsidRPr="007770BC">
              <w:rPr>
                <w:rFonts w:ascii="Times New Roman" w:hAnsi="Times New Roman"/>
                <w:kern w:val="2"/>
                <w:sz w:val="20"/>
                <w:szCs w:val="20"/>
              </w:rPr>
              <w:t>♀</w:t>
            </w:r>
            <w:r w:rsidRPr="007770BC">
              <w:rPr>
                <w:kern w:val="2"/>
                <w:sz w:val="20"/>
                <w:szCs w:val="20"/>
              </w:rPr>
              <w:t>≈0.4</w:t>
            </w:r>
          </w:p>
        </w:tc>
      </w:tr>
      <w:tr w:rsidR="000A2EB8" w:rsidRPr="007770BC" w:rsidTr="006A2DC8">
        <w:trPr>
          <w:trHeight w:val="225"/>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700</w:t>
            </w:r>
          </w:p>
        </w:tc>
        <w:tc>
          <w:tcPr>
            <w:tcW w:w="1437"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=8.99; </w:t>
            </w:r>
            <w:r w:rsidRPr="007770BC">
              <w:rPr>
                <w:rFonts w:ascii="Times New Roman" w:hAnsi="Times New Roman"/>
                <w:kern w:val="2"/>
                <w:sz w:val="20"/>
                <w:szCs w:val="20"/>
              </w:rPr>
              <w:t>♀</w:t>
            </w:r>
            <w:r w:rsidRPr="007770BC">
              <w:rPr>
                <w:kern w:val="2"/>
                <w:sz w:val="20"/>
                <w:szCs w:val="20"/>
              </w:rPr>
              <w:t>=8.97</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≈36; </w:t>
            </w:r>
            <w:r w:rsidRPr="007770BC">
              <w:rPr>
                <w:rFonts w:ascii="Times New Roman" w:hAnsi="Times New Roman"/>
                <w:kern w:val="2"/>
                <w:sz w:val="20"/>
                <w:szCs w:val="20"/>
              </w:rPr>
              <w:t>♀</w:t>
            </w:r>
            <w:r w:rsidRPr="007770BC">
              <w:rPr>
                <w:kern w:val="2"/>
                <w:sz w:val="20"/>
                <w:szCs w:val="20"/>
              </w:rPr>
              <w:t>≈3</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≈1</w:t>
            </w:r>
          </w:p>
        </w:tc>
      </w:tr>
      <w:tr w:rsidR="000A2EB8" w:rsidRPr="007770BC" w:rsidTr="006A2DC8">
        <w:trPr>
          <w:trHeight w:val="275"/>
        </w:trPr>
        <w:tc>
          <w:tcPr>
            <w:tcW w:w="1354" w:type="dxa"/>
            <w:vMerge w:val="restart"/>
          </w:tcPr>
          <w:p w:rsidR="000A2EB8" w:rsidRPr="007770BC" w:rsidRDefault="000A2EB8" w:rsidP="007770BC">
            <w:pPr>
              <w:rPr>
                <w:kern w:val="2"/>
                <w:sz w:val="20"/>
                <w:szCs w:val="20"/>
              </w:rPr>
            </w:pPr>
            <w:r w:rsidRPr="007770BC">
              <w:rPr>
                <w:kern w:val="2"/>
                <w:sz w:val="20"/>
                <w:szCs w:val="20"/>
              </w:rPr>
              <w:t>NCD1540</w:t>
            </w:r>
          </w:p>
          <w:p w:rsidR="000A2EB8" w:rsidRPr="007770BC" w:rsidRDefault="000A2EB8" w:rsidP="007770BC">
            <w:pPr>
              <w:rPr>
                <w:b/>
                <w:kern w:val="2"/>
                <w:sz w:val="20"/>
                <w:szCs w:val="20"/>
              </w:rPr>
            </w:pPr>
            <w:r w:rsidRPr="007770BC">
              <w:rPr>
                <w:b/>
                <w:kern w:val="2"/>
                <w:sz w:val="20"/>
                <w:szCs w:val="20"/>
              </w:rPr>
              <w:t xml:space="preserve">Rat </w:t>
            </w:r>
            <w:r w:rsidRPr="007770BC">
              <w:rPr>
                <w:kern w:val="2"/>
                <w:sz w:val="20"/>
                <w:szCs w:val="20"/>
              </w:rPr>
              <w:t>(</w:t>
            </w:r>
            <w:proofErr w:type="spellStart"/>
            <w:r w:rsidRPr="007770BC">
              <w:rPr>
                <w:kern w:val="2"/>
                <w:sz w:val="20"/>
                <w:szCs w:val="20"/>
              </w:rPr>
              <w:t>Wistar</w:t>
            </w:r>
            <w:proofErr w:type="spellEnd"/>
            <w:r w:rsidRPr="007770BC">
              <w:rPr>
                <w:kern w:val="2"/>
                <w:sz w:val="20"/>
                <w:szCs w:val="20"/>
              </w:rPr>
              <w:t>)</w:t>
            </w:r>
          </w:p>
        </w:tc>
        <w:tc>
          <w:tcPr>
            <w:tcW w:w="1448" w:type="dxa"/>
            <w:vMerge w:val="restart"/>
          </w:tcPr>
          <w:p w:rsidR="000A2EB8" w:rsidRPr="007770BC" w:rsidRDefault="000A2EB8" w:rsidP="007770BC">
            <w:pPr>
              <w:rPr>
                <w:kern w:val="2"/>
                <w:sz w:val="20"/>
                <w:szCs w:val="20"/>
              </w:rPr>
            </w:pPr>
            <w:r w:rsidRPr="007770BC">
              <w:rPr>
                <w:kern w:val="2"/>
                <w:sz w:val="20"/>
                <w:szCs w:val="20"/>
              </w:rPr>
              <w:t>4 Weeks</w:t>
            </w:r>
          </w:p>
          <w:p w:rsidR="000A2EB8" w:rsidRPr="007770BC" w:rsidRDefault="000A2EB8" w:rsidP="007770BC">
            <w:pPr>
              <w:rPr>
                <w:kern w:val="2"/>
                <w:sz w:val="20"/>
                <w:szCs w:val="20"/>
              </w:rPr>
            </w:pPr>
            <w:r w:rsidRPr="007770BC">
              <w:rPr>
                <w:kern w:val="2"/>
                <w:sz w:val="20"/>
                <w:szCs w:val="20"/>
              </w:rPr>
              <w:t>Continuous IV infusion</w:t>
            </w:r>
          </w:p>
        </w:tc>
        <w:tc>
          <w:tcPr>
            <w:tcW w:w="1417" w:type="dxa"/>
          </w:tcPr>
          <w:p w:rsidR="000A2EB8" w:rsidRPr="007770BC" w:rsidRDefault="000A2EB8" w:rsidP="007770BC">
            <w:pPr>
              <w:rPr>
                <w:kern w:val="2"/>
                <w:sz w:val="20"/>
                <w:szCs w:val="20"/>
              </w:rPr>
            </w:pPr>
            <w:r w:rsidRPr="007770BC">
              <w:rPr>
                <w:kern w:val="2"/>
                <w:sz w:val="20"/>
                <w:szCs w:val="20"/>
              </w:rPr>
              <w:t>200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=4.17; </w:t>
            </w:r>
            <w:r w:rsidRPr="007770BC">
              <w:rPr>
                <w:rFonts w:ascii="Times New Roman" w:hAnsi="Times New Roman"/>
                <w:kern w:val="2"/>
                <w:sz w:val="20"/>
                <w:szCs w:val="20"/>
              </w:rPr>
              <w:t>♀</w:t>
            </w:r>
            <w:r w:rsidRPr="007770BC">
              <w:rPr>
                <w:kern w:val="2"/>
                <w:sz w:val="20"/>
                <w:szCs w:val="20"/>
              </w:rPr>
              <w:t>=12.4</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≈4</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≈0.4; </w:t>
            </w:r>
            <w:r w:rsidRPr="007770BC">
              <w:rPr>
                <w:rFonts w:ascii="Times New Roman" w:hAnsi="Times New Roman"/>
                <w:kern w:val="2"/>
                <w:sz w:val="20"/>
                <w:szCs w:val="20"/>
              </w:rPr>
              <w:t>♀</w:t>
            </w:r>
            <w:r w:rsidRPr="007770BC">
              <w:rPr>
                <w:kern w:val="2"/>
                <w:sz w:val="20"/>
                <w:szCs w:val="20"/>
              </w:rPr>
              <w:t>≈1</w:t>
            </w:r>
          </w:p>
        </w:tc>
      </w:tr>
      <w:tr w:rsidR="000A2EB8" w:rsidRPr="007770BC" w:rsidTr="006A2DC8">
        <w:trPr>
          <w:trHeight w:val="211"/>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600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=14.1ˢ; </w:t>
            </w:r>
            <w:r w:rsidRPr="007770BC">
              <w:rPr>
                <w:rFonts w:ascii="Times New Roman" w:hAnsi="Times New Roman"/>
                <w:kern w:val="2"/>
                <w:sz w:val="20"/>
                <w:szCs w:val="20"/>
              </w:rPr>
              <w:t>♀</w:t>
            </w:r>
            <w:r w:rsidRPr="007770BC">
              <w:rPr>
                <w:kern w:val="2"/>
                <w:sz w:val="20"/>
                <w:szCs w:val="20"/>
              </w:rPr>
              <w:t>=22.2</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=4; </w:t>
            </w:r>
            <w:r w:rsidRPr="007770BC">
              <w:rPr>
                <w:rFonts w:ascii="Times New Roman" w:hAnsi="Times New Roman"/>
                <w:kern w:val="2"/>
                <w:sz w:val="20"/>
                <w:szCs w:val="20"/>
              </w:rPr>
              <w:t>♀</w:t>
            </w:r>
            <w:r w:rsidRPr="007770BC">
              <w:rPr>
                <w:kern w:val="2"/>
                <w:sz w:val="20"/>
                <w:szCs w:val="20"/>
              </w:rPr>
              <w:t>≈6</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≈2</w:t>
            </w:r>
          </w:p>
        </w:tc>
      </w:tr>
      <w:tr w:rsidR="000A2EB8" w:rsidRPr="007770BC" w:rsidTr="006A2DC8">
        <w:trPr>
          <w:trHeight w:val="248"/>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1000</w:t>
            </w:r>
          </w:p>
        </w:tc>
        <w:tc>
          <w:tcPr>
            <w:tcW w:w="1437"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=16.6; </w:t>
            </w:r>
            <w:r w:rsidRPr="007770BC">
              <w:rPr>
                <w:rFonts w:ascii="Times New Roman" w:hAnsi="Times New Roman"/>
                <w:kern w:val="2"/>
                <w:sz w:val="20"/>
                <w:szCs w:val="20"/>
              </w:rPr>
              <w:t>♀</w:t>
            </w:r>
            <w:r w:rsidRPr="007770BC">
              <w:rPr>
                <w:kern w:val="2"/>
                <w:sz w:val="20"/>
                <w:szCs w:val="20"/>
              </w:rPr>
              <w:t>=70.8</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≈5; </w:t>
            </w:r>
            <w:r w:rsidRPr="007770BC">
              <w:rPr>
                <w:rFonts w:ascii="Times New Roman" w:hAnsi="Times New Roman"/>
                <w:kern w:val="2"/>
                <w:sz w:val="20"/>
                <w:szCs w:val="20"/>
              </w:rPr>
              <w:t>♀</w:t>
            </w:r>
            <w:r w:rsidRPr="007770BC">
              <w:rPr>
                <w:kern w:val="2"/>
                <w:sz w:val="20"/>
                <w:szCs w:val="20"/>
              </w:rPr>
              <w:t>≈20</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≈2; </w:t>
            </w:r>
            <w:r w:rsidRPr="007770BC">
              <w:rPr>
                <w:rFonts w:ascii="Times New Roman" w:hAnsi="Times New Roman"/>
                <w:kern w:val="2"/>
                <w:sz w:val="20"/>
                <w:szCs w:val="20"/>
              </w:rPr>
              <w:t>♀</w:t>
            </w:r>
            <w:r w:rsidRPr="007770BC">
              <w:rPr>
                <w:kern w:val="2"/>
                <w:sz w:val="20"/>
                <w:szCs w:val="20"/>
              </w:rPr>
              <w:t>≈6</w:t>
            </w:r>
          </w:p>
        </w:tc>
      </w:tr>
      <w:tr w:rsidR="000A2EB8" w:rsidRPr="007770BC" w:rsidTr="006A2DC8">
        <w:trPr>
          <w:trHeight w:val="170"/>
        </w:trPr>
        <w:tc>
          <w:tcPr>
            <w:tcW w:w="1354" w:type="dxa"/>
            <w:vMerge w:val="restart"/>
          </w:tcPr>
          <w:p w:rsidR="000A2EB8" w:rsidRPr="007770BC" w:rsidRDefault="000A2EB8" w:rsidP="007770BC">
            <w:pPr>
              <w:rPr>
                <w:kern w:val="2"/>
                <w:sz w:val="20"/>
                <w:szCs w:val="20"/>
              </w:rPr>
            </w:pPr>
            <w:r w:rsidRPr="007770BC">
              <w:rPr>
                <w:kern w:val="2"/>
                <w:sz w:val="20"/>
                <w:szCs w:val="20"/>
              </w:rPr>
              <w:t>PSM1029</w:t>
            </w:r>
          </w:p>
          <w:p w:rsidR="000A2EB8" w:rsidRPr="007770BC" w:rsidRDefault="000A2EB8" w:rsidP="007770BC">
            <w:pPr>
              <w:rPr>
                <w:b/>
                <w:kern w:val="2"/>
                <w:sz w:val="20"/>
                <w:szCs w:val="20"/>
              </w:rPr>
            </w:pPr>
            <w:r w:rsidRPr="007770BC">
              <w:rPr>
                <w:b/>
                <w:kern w:val="2"/>
                <w:sz w:val="20"/>
                <w:szCs w:val="20"/>
              </w:rPr>
              <w:t xml:space="preserve">Rat </w:t>
            </w:r>
            <w:r w:rsidRPr="007770BC">
              <w:rPr>
                <w:kern w:val="2"/>
                <w:sz w:val="20"/>
                <w:szCs w:val="20"/>
              </w:rPr>
              <w:t>(</w:t>
            </w:r>
            <w:proofErr w:type="spellStart"/>
            <w:r w:rsidRPr="007770BC">
              <w:rPr>
                <w:kern w:val="2"/>
                <w:sz w:val="20"/>
                <w:szCs w:val="20"/>
              </w:rPr>
              <w:t>Wistar</w:t>
            </w:r>
            <w:proofErr w:type="spellEnd"/>
            <w:r w:rsidRPr="007770BC">
              <w:rPr>
                <w:kern w:val="2"/>
                <w:sz w:val="20"/>
                <w:szCs w:val="20"/>
              </w:rPr>
              <w:t>)</w:t>
            </w:r>
          </w:p>
        </w:tc>
        <w:tc>
          <w:tcPr>
            <w:tcW w:w="1448" w:type="dxa"/>
            <w:vMerge w:val="restart"/>
          </w:tcPr>
          <w:p w:rsidR="000A2EB8" w:rsidRPr="007770BC" w:rsidRDefault="000A2EB8" w:rsidP="007770BC">
            <w:pPr>
              <w:rPr>
                <w:kern w:val="2"/>
                <w:sz w:val="20"/>
                <w:szCs w:val="20"/>
              </w:rPr>
            </w:pPr>
            <w:r w:rsidRPr="007770BC">
              <w:rPr>
                <w:kern w:val="2"/>
                <w:sz w:val="20"/>
                <w:szCs w:val="20"/>
              </w:rPr>
              <w:t>26 Weeks</w:t>
            </w:r>
          </w:p>
          <w:p w:rsidR="000A2EB8" w:rsidRPr="007770BC" w:rsidRDefault="000A2EB8" w:rsidP="007770BC">
            <w:pPr>
              <w:rPr>
                <w:kern w:val="2"/>
                <w:sz w:val="20"/>
                <w:szCs w:val="20"/>
              </w:rPr>
            </w:pPr>
            <w:r w:rsidRPr="007770BC">
              <w:rPr>
                <w:kern w:val="2"/>
                <w:sz w:val="20"/>
                <w:szCs w:val="20"/>
              </w:rPr>
              <w:t>PO</w:t>
            </w:r>
          </w:p>
        </w:tc>
        <w:tc>
          <w:tcPr>
            <w:tcW w:w="1417" w:type="dxa"/>
          </w:tcPr>
          <w:p w:rsidR="000A2EB8" w:rsidRPr="007770BC" w:rsidRDefault="000A2EB8" w:rsidP="007770BC">
            <w:pPr>
              <w:rPr>
                <w:kern w:val="2"/>
                <w:sz w:val="20"/>
                <w:szCs w:val="20"/>
              </w:rPr>
            </w:pPr>
            <w:r w:rsidRPr="007770BC">
              <w:rPr>
                <w:kern w:val="2"/>
                <w:sz w:val="20"/>
                <w:szCs w:val="20"/>
              </w:rPr>
              <w:t>150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=1.68; </w:t>
            </w:r>
            <w:r w:rsidRPr="007770BC">
              <w:rPr>
                <w:rFonts w:ascii="Times New Roman" w:hAnsi="Times New Roman"/>
                <w:kern w:val="2"/>
                <w:sz w:val="20"/>
                <w:szCs w:val="20"/>
              </w:rPr>
              <w:t>♀</w:t>
            </w:r>
            <w:r w:rsidRPr="007770BC">
              <w:rPr>
                <w:kern w:val="2"/>
                <w:sz w:val="20"/>
                <w:szCs w:val="20"/>
              </w:rPr>
              <w:t>=3.11</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≈0.5; </w:t>
            </w:r>
            <w:r w:rsidRPr="007770BC">
              <w:rPr>
                <w:rFonts w:ascii="Times New Roman" w:hAnsi="Times New Roman"/>
                <w:kern w:val="2"/>
                <w:sz w:val="20"/>
                <w:szCs w:val="20"/>
              </w:rPr>
              <w:t>♀</w:t>
            </w:r>
            <w:r w:rsidRPr="007770BC">
              <w:rPr>
                <w:kern w:val="2"/>
                <w:sz w:val="20"/>
                <w:szCs w:val="20"/>
              </w:rPr>
              <w:t>≈1</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≈0.1; </w:t>
            </w:r>
            <w:r w:rsidRPr="007770BC">
              <w:rPr>
                <w:rFonts w:ascii="Times New Roman" w:hAnsi="Times New Roman"/>
                <w:kern w:val="2"/>
                <w:sz w:val="20"/>
                <w:szCs w:val="20"/>
              </w:rPr>
              <w:t>♀</w:t>
            </w:r>
            <w:r w:rsidRPr="007770BC">
              <w:rPr>
                <w:kern w:val="2"/>
                <w:sz w:val="20"/>
                <w:szCs w:val="20"/>
              </w:rPr>
              <w:t>≈0.3</w:t>
            </w:r>
          </w:p>
        </w:tc>
      </w:tr>
      <w:tr w:rsidR="000A2EB8" w:rsidRPr="007770BC" w:rsidTr="006A2DC8">
        <w:trPr>
          <w:trHeight w:val="24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230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=4.11; </w:t>
            </w:r>
            <w:r w:rsidRPr="007770BC">
              <w:rPr>
                <w:rFonts w:ascii="Times New Roman" w:hAnsi="Times New Roman"/>
                <w:kern w:val="2"/>
                <w:sz w:val="20"/>
                <w:szCs w:val="20"/>
              </w:rPr>
              <w:t>♀</w:t>
            </w:r>
            <w:r w:rsidRPr="007770BC">
              <w:rPr>
                <w:kern w:val="2"/>
                <w:sz w:val="20"/>
                <w:szCs w:val="20"/>
              </w:rPr>
              <w:t>=5.98</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≈2</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≈0.4; </w:t>
            </w:r>
            <w:r w:rsidRPr="007770BC">
              <w:rPr>
                <w:rFonts w:ascii="Times New Roman" w:hAnsi="Times New Roman"/>
                <w:kern w:val="2"/>
                <w:sz w:val="20"/>
                <w:szCs w:val="20"/>
              </w:rPr>
              <w:t>♀</w:t>
            </w:r>
            <w:r w:rsidRPr="007770BC">
              <w:rPr>
                <w:kern w:val="2"/>
                <w:sz w:val="20"/>
                <w:szCs w:val="20"/>
              </w:rPr>
              <w:t>≈0.5</w:t>
            </w:r>
          </w:p>
        </w:tc>
      </w:tr>
      <w:tr w:rsidR="000A2EB8" w:rsidRPr="007770BC" w:rsidTr="006A2DC8">
        <w:trPr>
          <w:trHeight w:val="425"/>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450</w:t>
            </w:r>
          </w:p>
        </w:tc>
        <w:tc>
          <w:tcPr>
            <w:tcW w:w="1437"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=7.86ˢ; </w:t>
            </w:r>
            <w:r w:rsidRPr="007770BC">
              <w:rPr>
                <w:rFonts w:ascii="Times New Roman" w:hAnsi="Times New Roman"/>
                <w:kern w:val="2"/>
                <w:sz w:val="20"/>
                <w:szCs w:val="20"/>
              </w:rPr>
              <w:t>♀</w:t>
            </w:r>
            <w:r w:rsidRPr="007770BC">
              <w:rPr>
                <w:kern w:val="2"/>
                <w:sz w:val="20"/>
                <w:szCs w:val="20"/>
              </w:rPr>
              <w:t>=12.3</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≈2; </w:t>
            </w:r>
            <w:r w:rsidRPr="007770BC">
              <w:rPr>
                <w:rFonts w:ascii="Times New Roman" w:hAnsi="Times New Roman"/>
                <w:kern w:val="2"/>
                <w:sz w:val="20"/>
                <w:szCs w:val="20"/>
              </w:rPr>
              <w:t>♀</w:t>
            </w:r>
            <w:r w:rsidRPr="007770BC">
              <w:rPr>
                <w:kern w:val="2"/>
                <w:sz w:val="20"/>
                <w:szCs w:val="20"/>
              </w:rPr>
              <w:t>≈4</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≈1</w:t>
            </w:r>
          </w:p>
        </w:tc>
      </w:tr>
      <w:tr w:rsidR="000A2EB8" w:rsidRPr="007770BC" w:rsidTr="006A2DC8">
        <w:trPr>
          <w:trHeight w:val="347"/>
        </w:trPr>
        <w:tc>
          <w:tcPr>
            <w:tcW w:w="1354" w:type="dxa"/>
            <w:vMerge w:val="restart"/>
          </w:tcPr>
          <w:p w:rsidR="000A2EB8" w:rsidRPr="007770BC" w:rsidRDefault="000A2EB8" w:rsidP="007770BC">
            <w:pPr>
              <w:rPr>
                <w:kern w:val="2"/>
                <w:sz w:val="20"/>
                <w:szCs w:val="20"/>
              </w:rPr>
            </w:pPr>
            <w:r w:rsidRPr="007770BC">
              <w:rPr>
                <w:kern w:val="2"/>
                <w:sz w:val="20"/>
                <w:szCs w:val="20"/>
              </w:rPr>
              <w:t>NCD1305</w:t>
            </w:r>
          </w:p>
          <w:p w:rsidR="000A2EB8" w:rsidRPr="007770BC" w:rsidRDefault="000A2EB8" w:rsidP="007770BC">
            <w:pPr>
              <w:rPr>
                <w:b/>
                <w:kern w:val="2"/>
                <w:sz w:val="20"/>
                <w:szCs w:val="20"/>
              </w:rPr>
            </w:pPr>
            <w:r w:rsidRPr="007770BC">
              <w:rPr>
                <w:b/>
                <w:kern w:val="2"/>
                <w:sz w:val="20"/>
                <w:szCs w:val="20"/>
              </w:rPr>
              <w:lastRenderedPageBreak/>
              <w:t xml:space="preserve">Rat </w:t>
            </w:r>
            <w:r w:rsidRPr="007770BC">
              <w:rPr>
                <w:kern w:val="2"/>
                <w:sz w:val="20"/>
                <w:szCs w:val="20"/>
              </w:rPr>
              <w:t>(</w:t>
            </w:r>
            <w:proofErr w:type="spellStart"/>
            <w:r w:rsidRPr="007770BC">
              <w:rPr>
                <w:kern w:val="2"/>
                <w:sz w:val="20"/>
                <w:szCs w:val="20"/>
              </w:rPr>
              <w:t>Wistar</w:t>
            </w:r>
            <w:proofErr w:type="spellEnd"/>
            <w:r w:rsidRPr="007770BC">
              <w:rPr>
                <w:kern w:val="2"/>
                <w:sz w:val="20"/>
                <w:szCs w:val="20"/>
              </w:rPr>
              <w:t>)</w:t>
            </w:r>
          </w:p>
          <w:p w:rsidR="000A2EB8" w:rsidRPr="007770BC" w:rsidRDefault="000A2EB8" w:rsidP="007770BC">
            <w:pPr>
              <w:rPr>
                <w:b/>
                <w:kern w:val="2"/>
                <w:sz w:val="20"/>
                <w:szCs w:val="20"/>
              </w:rPr>
            </w:pPr>
          </w:p>
        </w:tc>
        <w:tc>
          <w:tcPr>
            <w:tcW w:w="1448" w:type="dxa"/>
            <w:vMerge w:val="restart"/>
          </w:tcPr>
          <w:p w:rsidR="000A2EB8" w:rsidRPr="007770BC" w:rsidRDefault="000A2EB8" w:rsidP="007770BC">
            <w:pPr>
              <w:rPr>
                <w:kern w:val="2"/>
                <w:sz w:val="20"/>
                <w:szCs w:val="20"/>
              </w:rPr>
            </w:pPr>
            <w:r w:rsidRPr="007770BC">
              <w:rPr>
                <w:kern w:val="2"/>
                <w:sz w:val="20"/>
                <w:szCs w:val="20"/>
              </w:rPr>
              <w:lastRenderedPageBreak/>
              <w:t>52 Weeks</w:t>
            </w:r>
          </w:p>
          <w:p w:rsidR="000A2EB8" w:rsidRPr="007770BC" w:rsidRDefault="000A2EB8" w:rsidP="007770BC">
            <w:pPr>
              <w:rPr>
                <w:kern w:val="2"/>
                <w:sz w:val="20"/>
                <w:szCs w:val="20"/>
              </w:rPr>
            </w:pPr>
            <w:r w:rsidRPr="007770BC">
              <w:rPr>
                <w:kern w:val="2"/>
                <w:sz w:val="20"/>
                <w:szCs w:val="20"/>
              </w:rPr>
              <w:lastRenderedPageBreak/>
              <w:t>PO</w:t>
            </w:r>
          </w:p>
          <w:p w:rsidR="000A2EB8" w:rsidRPr="007770BC" w:rsidRDefault="000A2EB8" w:rsidP="007770BC">
            <w:pPr>
              <w:rPr>
                <w:kern w:val="2"/>
                <w:sz w:val="20"/>
                <w:szCs w:val="20"/>
              </w:rPr>
            </w:pPr>
            <w:r w:rsidRPr="007770BC">
              <w:rPr>
                <w:kern w:val="2"/>
                <w:sz w:val="20"/>
                <w:szCs w:val="20"/>
              </w:rPr>
              <w:t>(104 week study)</w:t>
            </w:r>
          </w:p>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lastRenderedPageBreak/>
              <w:t>150</w:t>
            </w:r>
          </w:p>
        </w:tc>
        <w:tc>
          <w:tcPr>
            <w:tcW w:w="1437"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=2.39; </w:t>
            </w:r>
            <w:r w:rsidRPr="007770BC">
              <w:rPr>
                <w:rFonts w:ascii="Times New Roman" w:hAnsi="Times New Roman"/>
                <w:kern w:val="2"/>
                <w:sz w:val="20"/>
                <w:szCs w:val="20"/>
              </w:rPr>
              <w:t>♀</w:t>
            </w:r>
            <w:r w:rsidRPr="007770BC">
              <w:rPr>
                <w:kern w:val="2"/>
                <w:sz w:val="20"/>
                <w:szCs w:val="20"/>
              </w:rPr>
              <w:t>=3.05</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≈1</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≈0.2; </w:t>
            </w:r>
            <w:r w:rsidRPr="007770BC">
              <w:rPr>
                <w:rFonts w:ascii="Times New Roman" w:hAnsi="Times New Roman"/>
                <w:kern w:val="2"/>
                <w:sz w:val="20"/>
                <w:szCs w:val="20"/>
              </w:rPr>
              <w:t>♀</w:t>
            </w:r>
            <w:r w:rsidRPr="007770BC">
              <w:rPr>
                <w:kern w:val="2"/>
                <w:sz w:val="20"/>
                <w:szCs w:val="20"/>
              </w:rPr>
              <w:t>≈0.3</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230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=3.61; </w:t>
            </w:r>
            <w:r w:rsidRPr="007770BC">
              <w:rPr>
                <w:rFonts w:ascii="Times New Roman" w:hAnsi="Times New Roman"/>
                <w:kern w:val="2"/>
                <w:sz w:val="20"/>
                <w:szCs w:val="20"/>
              </w:rPr>
              <w:t>♀</w:t>
            </w:r>
            <w:r w:rsidRPr="007770BC">
              <w:rPr>
                <w:kern w:val="2"/>
                <w:sz w:val="20"/>
                <w:szCs w:val="20"/>
              </w:rPr>
              <w:t>=5.1</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≈1.0; </w:t>
            </w:r>
            <w:r w:rsidRPr="007770BC">
              <w:rPr>
                <w:rFonts w:ascii="Times New Roman" w:hAnsi="Times New Roman"/>
                <w:kern w:val="2"/>
                <w:sz w:val="20"/>
                <w:szCs w:val="20"/>
              </w:rPr>
              <w:t>♀</w:t>
            </w:r>
            <w:r w:rsidRPr="007770BC">
              <w:rPr>
                <w:kern w:val="2"/>
                <w:sz w:val="20"/>
                <w:szCs w:val="20"/>
              </w:rPr>
              <w:t>≈2</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≈0.3; </w:t>
            </w:r>
            <w:r w:rsidRPr="007770BC">
              <w:rPr>
                <w:rFonts w:ascii="Times New Roman" w:hAnsi="Times New Roman"/>
                <w:kern w:val="2"/>
                <w:sz w:val="20"/>
                <w:szCs w:val="20"/>
              </w:rPr>
              <w:t>♀</w:t>
            </w:r>
            <w:r w:rsidRPr="007770BC">
              <w:rPr>
                <w:kern w:val="2"/>
                <w:sz w:val="20"/>
                <w:szCs w:val="20"/>
              </w:rPr>
              <w:t>≈0.4</w:t>
            </w:r>
          </w:p>
        </w:tc>
      </w:tr>
      <w:tr w:rsidR="000A2EB8" w:rsidRPr="007770BC" w:rsidTr="006A2DC8">
        <w:trPr>
          <w:trHeight w:val="191"/>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450</w:t>
            </w:r>
          </w:p>
        </w:tc>
        <w:tc>
          <w:tcPr>
            <w:tcW w:w="1437"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=10.2; </w:t>
            </w:r>
            <w:r w:rsidRPr="007770BC">
              <w:rPr>
                <w:rFonts w:ascii="Times New Roman" w:hAnsi="Times New Roman"/>
                <w:kern w:val="2"/>
                <w:sz w:val="20"/>
                <w:szCs w:val="20"/>
              </w:rPr>
              <w:t>♀</w:t>
            </w:r>
            <w:r w:rsidRPr="007770BC">
              <w:rPr>
                <w:kern w:val="2"/>
                <w:sz w:val="20"/>
                <w:szCs w:val="20"/>
              </w:rPr>
              <w:t>=13.7</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≈3; </w:t>
            </w:r>
            <w:r w:rsidRPr="007770BC">
              <w:rPr>
                <w:rFonts w:ascii="Times New Roman" w:hAnsi="Times New Roman"/>
                <w:kern w:val="2"/>
                <w:sz w:val="20"/>
                <w:szCs w:val="20"/>
              </w:rPr>
              <w:t>♀</w:t>
            </w:r>
            <w:r w:rsidRPr="007770BC">
              <w:rPr>
                <w:kern w:val="2"/>
                <w:sz w:val="20"/>
                <w:szCs w:val="20"/>
              </w:rPr>
              <w:t>≈4</w:t>
            </w:r>
          </w:p>
        </w:tc>
        <w:tc>
          <w:tcPr>
            <w:tcW w:w="1559" w:type="dxa"/>
          </w:tcPr>
          <w:p w:rsidR="000A2EB8" w:rsidRPr="007770BC" w:rsidRDefault="000A2EB8" w:rsidP="007770BC">
            <w:pPr>
              <w:rPr>
                <w:kern w:val="2"/>
                <w:sz w:val="20"/>
                <w:szCs w:val="20"/>
              </w:rPr>
            </w:pPr>
            <w:r w:rsidRPr="007770BC">
              <w:rPr>
                <w:rFonts w:ascii="Times New Roman" w:hAnsi="Times New Roman"/>
                <w:kern w:val="2"/>
                <w:sz w:val="20"/>
                <w:szCs w:val="20"/>
              </w:rPr>
              <w:t>♂</w:t>
            </w:r>
            <w:r w:rsidRPr="007770BC">
              <w:rPr>
                <w:kern w:val="2"/>
                <w:sz w:val="20"/>
                <w:szCs w:val="20"/>
              </w:rPr>
              <w:t xml:space="preserve">≈0.9; </w:t>
            </w:r>
            <w:r w:rsidRPr="007770BC">
              <w:rPr>
                <w:rFonts w:ascii="Times New Roman" w:hAnsi="Times New Roman"/>
                <w:kern w:val="2"/>
                <w:sz w:val="20"/>
                <w:szCs w:val="20"/>
              </w:rPr>
              <w:t>♀</w:t>
            </w:r>
            <w:r w:rsidRPr="007770BC">
              <w:rPr>
                <w:kern w:val="2"/>
                <w:sz w:val="20"/>
                <w:szCs w:val="20"/>
              </w:rPr>
              <w:t>≈1.2</w:t>
            </w:r>
          </w:p>
        </w:tc>
      </w:tr>
      <w:tr w:rsidR="000A2EB8" w:rsidRPr="007770BC" w:rsidTr="006A2DC8">
        <w:trPr>
          <w:trHeight w:val="383"/>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700</w:t>
            </w:r>
          </w:p>
        </w:tc>
        <w:tc>
          <w:tcPr>
            <w:tcW w:w="1437"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=14.1ˢ; </w:t>
            </w:r>
            <w:r w:rsidRPr="007770BC">
              <w:rPr>
                <w:rFonts w:ascii="Times New Roman" w:hAnsi="Times New Roman"/>
                <w:kern w:val="2"/>
                <w:sz w:val="20"/>
                <w:szCs w:val="20"/>
              </w:rPr>
              <w:t>♀</w:t>
            </w:r>
            <w:r w:rsidRPr="007770BC">
              <w:rPr>
                <w:kern w:val="2"/>
                <w:sz w:val="20"/>
                <w:szCs w:val="20"/>
              </w:rPr>
              <w:t>=16.0</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=4; </w:t>
            </w:r>
            <w:r w:rsidRPr="007770BC">
              <w:rPr>
                <w:rFonts w:ascii="Times New Roman" w:hAnsi="Times New Roman"/>
                <w:kern w:val="2"/>
                <w:sz w:val="20"/>
                <w:szCs w:val="20"/>
              </w:rPr>
              <w:t>♀</w:t>
            </w:r>
            <w:r w:rsidRPr="007770BC">
              <w:rPr>
                <w:kern w:val="2"/>
                <w:sz w:val="20"/>
                <w:szCs w:val="20"/>
              </w:rPr>
              <w:t>≈5</w:t>
            </w:r>
          </w:p>
        </w:tc>
        <w:tc>
          <w:tcPr>
            <w:tcW w:w="1559" w:type="dxa"/>
          </w:tcPr>
          <w:p w:rsidR="000A2EB8" w:rsidRPr="007770BC" w:rsidRDefault="000A2EB8" w:rsidP="007770BC">
            <w:pPr>
              <w:rPr>
                <w:sz w:val="20"/>
                <w:szCs w:val="20"/>
              </w:rPr>
            </w:pPr>
            <w:r w:rsidRPr="007770BC">
              <w:rPr>
                <w:rFonts w:ascii="Times New Roman" w:hAnsi="Times New Roman"/>
                <w:kern w:val="2"/>
                <w:sz w:val="20"/>
                <w:szCs w:val="20"/>
              </w:rPr>
              <w:t>♂</w:t>
            </w:r>
            <w:r w:rsidRPr="007770BC">
              <w:rPr>
                <w:kern w:val="2"/>
                <w:sz w:val="20"/>
                <w:szCs w:val="20"/>
              </w:rPr>
              <w:t xml:space="preserve">≈1; </w:t>
            </w:r>
            <w:r w:rsidRPr="007770BC">
              <w:rPr>
                <w:rFonts w:ascii="Times New Roman" w:hAnsi="Times New Roman"/>
                <w:kern w:val="2"/>
                <w:sz w:val="20"/>
                <w:szCs w:val="20"/>
              </w:rPr>
              <w:t>♀</w:t>
            </w:r>
            <w:r w:rsidRPr="007770BC">
              <w:rPr>
                <w:kern w:val="2"/>
                <w:sz w:val="20"/>
                <w:szCs w:val="20"/>
              </w:rPr>
              <w:t>≈1</w:t>
            </w:r>
          </w:p>
        </w:tc>
      </w:tr>
      <w:tr w:rsidR="000A2EB8" w:rsidRPr="007770BC" w:rsidTr="006A2DC8">
        <w:trPr>
          <w:trHeight w:val="227"/>
        </w:trPr>
        <w:tc>
          <w:tcPr>
            <w:tcW w:w="1354" w:type="dxa"/>
            <w:vMerge w:val="restart"/>
          </w:tcPr>
          <w:p w:rsidR="000A2EB8" w:rsidRPr="007770BC" w:rsidRDefault="000A2EB8" w:rsidP="007770BC">
            <w:pPr>
              <w:rPr>
                <w:sz w:val="20"/>
                <w:szCs w:val="20"/>
              </w:rPr>
            </w:pPr>
            <w:r w:rsidRPr="007770BC">
              <w:rPr>
                <w:sz w:val="20"/>
                <w:szCs w:val="20"/>
              </w:rPr>
              <w:t>PSM1013</w:t>
            </w:r>
          </w:p>
          <w:p w:rsidR="000A2EB8" w:rsidRPr="007770BC" w:rsidRDefault="000A2EB8" w:rsidP="007770BC">
            <w:pPr>
              <w:rPr>
                <w:b/>
                <w:kern w:val="2"/>
                <w:sz w:val="20"/>
                <w:szCs w:val="20"/>
              </w:rPr>
            </w:pPr>
            <w:r w:rsidRPr="007770BC">
              <w:rPr>
                <w:b/>
                <w:sz w:val="20"/>
                <w:szCs w:val="20"/>
              </w:rPr>
              <w:t>Dog</w:t>
            </w:r>
            <w:r w:rsidRPr="007770BC">
              <w:rPr>
                <w:sz w:val="20"/>
                <w:szCs w:val="20"/>
              </w:rPr>
              <w:t xml:space="preserve"> (Beagle)</w:t>
            </w:r>
          </w:p>
        </w:tc>
        <w:tc>
          <w:tcPr>
            <w:tcW w:w="1448" w:type="dxa"/>
            <w:vMerge w:val="restart"/>
          </w:tcPr>
          <w:p w:rsidR="000A2EB8" w:rsidRPr="007770BC" w:rsidRDefault="000A2EB8" w:rsidP="007770BC">
            <w:pPr>
              <w:rPr>
                <w:kern w:val="2"/>
                <w:sz w:val="20"/>
                <w:szCs w:val="20"/>
              </w:rPr>
            </w:pPr>
            <w:r w:rsidRPr="007770BC">
              <w:rPr>
                <w:kern w:val="2"/>
                <w:sz w:val="20"/>
                <w:szCs w:val="20"/>
              </w:rPr>
              <w:t>26 Weeks</w:t>
            </w:r>
          </w:p>
          <w:p w:rsidR="000A2EB8" w:rsidRPr="007770BC" w:rsidRDefault="000A2EB8" w:rsidP="007770BC">
            <w:pPr>
              <w:rPr>
                <w:kern w:val="2"/>
                <w:sz w:val="20"/>
                <w:szCs w:val="20"/>
              </w:rPr>
            </w:pPr>
            <w:r w:rsidRPr="007770BC">
              <w:rPr>
                <w:kern w:val="2"/>
                <w:sz w:val="20"/>
                <w:szCs w:val="20"/>
              </w:rPr>
              <w:t>PO</w:t>
            </w:r>
          </w:p>
        </w:tc>
        <w:tc>
          <w:tcPr>
            <w:tcW w:w="1417" w:type="dxa"/>
          </w:tcPr>
          <w:p w:rsidR="000A2EB8" w:rsidRPr="007770BC" w:rsidRDefault="000A2EB8" w:rsidP="007770BC">
            <w:pPr>
              <w:rPr>
                <w:kern w:val="2"/>
                <w:sz w:val="20"/>
                <w:szCs w:val="20"/>
              </w:rPr>
            </w:pPr>
            <w:r w:rsidRPr="007770BC">
              <w:rPr>
                <w:kern w:val="2"/>
                <w:sz w:val="20"/>
                <w:szCs w:val="20"/>
              </w:rPr>
              <w:t>15</w:t>
            </w:r>
          </w:p>
        </w:tc>
        <w:tc>
          <w:tcPr>
            <w:tcW w:w="1437" w:type="dxa"/>
          </w:tcPr>
          <w:p w:rsidR="000A2EB8" w:rsidRPr="007770BC" w:rsidRDefault="000A2EB8" w:rsidP="007770BC">
            <w:pPr>
              <w:rPr>
                <w:kern w:val="2"/>
                <w:sz w:val="20"/>
                <w:szCs w:val="20"/>
              </w:rPr>
            </w:pPr>
            <w:r w:rsidRPr="007770BC">
              <w:rPr>
                <w:kern w:val="2"/>
                <w:sz w:val="20"/>
                <w:szCs w:val="20"/>
              </w:rPr>
              <w:t>2.82</w:t>
            </w:r>
          </w:p>
        </w:tc>
        <w:tc>
          <w:tcPr>
            <w:tcW w:w="1559" w:type="dxa"/>
          </w:tcPr>
          <w:p w:rsidR="000A2EB8" w:rsidRPr="007770BC" w:rsidRDefault="000A2EB8" w:rsidP="007770BC">
            <w:pPr>
              <w:rPr>
                <w:kern w:val="2"/>
                <w:sz w:val="20"/>
                <w:szCs w:val="20"/>
              </w:rPr>
            </w:pPr>
            <w:r w:rsidRPr="007770BC">
              <w:rPr>
                <w:kern w:val="2"/>
                <w:sz w:val="20"/>
                <w:szCs w:val="20"/>
              </w:rPr>
              <w:t>≈1</w:t>
            </w:r>
          </w:p>
        </w:tc>
        <w:tc>
          <w:tcPr>
            <w:tcW w:w="1559" w:type="dxa"/>
          </w:tcPr>
          <w:p w:rsidR="000A2EB8" w:rsidRPr="007770BC" w:rsidRDefault="000A2EB8" w:rsidP="007770BC">
            <w:pPr>
              <w:rPr>
                <w:kern w:val="2"/>
                <w:sz w:val="20"/>
                <w:szCs w:val="20"/>
              </w:rPr>
            </w:pPr>
            <w:r w:rsidRPr="007770BC">
              <w:rPr>
                <w:kern w:val="2"/>
                <w:sz w:val="20"/>
                <w:szCs w:val="20"/>
              </w:rPr>
              <w:t>≈0.2</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37.5</w:t>
            </w:r>
          </w:p>
        </w:tc>
        <w:tc>
          <w:tcPr>
            <w:tcW w:w="1437" w:type="dxa"/>
          </w:tcPr>
          <w:p w:rsidR="000A2EB8" w:rsidRPr="007770BC" w:rsidRDefault="000A2EB8" w:rsidP="007770BC">
            <w:pPr>
              <w:rPr>
                <w:kern w:val="2"/>
                <w:sz w:val="20"/>
                <w:szCs w:val="20"/>
              </w:rPr>
            </w:pPr>
            <w:r w:rsidRPr="007770BC">
              <w:rPr>
                <w:kern w:val="2"/>
                <w:sz w:val="20"/>
                <w:szCs w:val="20"/>
              </w:rPr>
              <w:t>6.19</w:t>
            </w:r>
          </w:p>
        </w:tc>
        <w:tc>
          <w:tcPr>
            <w:tcW w:w="1559" w:type="dxa"/>
          </w:tcPr>
          <w:p w:rsidR="000A2EB8" w:rsidRPr="007770BC" w:rsidRDefault="000A2EB8" w:rsidP="007770BC">
            <w:pPr>
              <w:rPr>
                <w:kern w:val="2"/>
                <w:sz w:val="20"/>
                <w:szCs w:val="20"/>
              </w:rPr>
            </w:pPr>
            <w:r w:rsidRPr="007770BC">
              <w:rPr>
                <w:kern w:val="2"/>
                <w:sz w:val="20"/>
                <w:szCs w:val="20"/>
              </w:rPr>
              <w:t>≈2</w:t>
            </w:r>
          </w:p>
        </w:tc>
        <w:tc>
          <w:tcPr>
            <w:tcW w:w="1559" w:type="dxa"/>
          </w:tcPr>
          <w:p w:rsidR="000A2EB8" w:rsidRPr="007770BC" w:rsidRDefault="000A2EB8" w:rsidP="007770BC">
            <w:pPr>
              <w:rPr>
                <w:sz w:val="20"/>
                <w:szCs w:val="20"/>
              </w:rPr>
            </w:pPr>
            <w:r w:rsidRPr="007770BC">
              <w:rPr>
                <w:kern w:val="2"/>
                <w:sz w:val="20"/>
                <w:szCs w:val="20"/>
              </w:rPr>
              <w:t>≈0.5</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75</w:t>
            </w:r>
          </w:p>
        </w:tc>
        <w:tc>
          <w:tcPr>
            <w:tcW w:w="1437" w:type="dxa"/>
          </w:tcPr>
          <w:p w:rsidR="000A2EB8" w:rsidRPr="007770BC" w:rsidRDefault="000A2EB8" w:rsidP="007770BC">
            <w:pPr>
              <w:rPr>
                <w:sz w:val="20"/>
                <w:szCs w:val="20"/>
              </w:rPr>
            </w:pPr>
            <w:r w:rsidRPr="007770BC">
              <w:rPr>
                <w:sz w:val="20"/>
                <w:szCs w:val="20"/>
              </w:rPr>
              <w:t>14.7</w:t>
            </w:r>
          </w:p>
        </w:tc>
        <w:tc>
          <w:tcPr>
            <w:tcW w:w="1559" w:type="dxa"/>
          </w:tcPr>
          <w:p w:rsidR="000A2EB8" w:rsidRPr="007770BC" w:rsidRDefault="000A2EB8" w:rsidP="007770BC">
            <w:pPr>
              <w:rPr>
                <w:sz w:val="20"/>
                <w:szCs w:val="20"/>
              </w:rPr>
            </w:pPr>
            <w:r w:rsidRPr="007770BC">
              <w:rPr>
                <w:sz w:val="20"/>
                <w:szCs w:val="20"/>
              </w:rPr>
              <w:t>≈4</w:t>
            </w:r>
          </w:p>
        </w:tc>
        <w:tc>
          <w:tcPr>
            <w:tcW w:w="1559" w:type="dxa"/>
          </w:tcPr>
          <w:p w:rsidR="000A2EB8" w:rsidRPr="007770BC" w:rsidRDefault="000A2EB8" w:rsidP="007770BC">
            <w:pPr>
              <w:rPr>
                <w:sz w:val="20"/>
                <w:szCs w:val="20"/>
              </w:rPr>
            </w:pPr>
            <w:r w:rsidRPr="007770BC">
              <w:rPr>
                <w:kern w:val="2"/>
                <w:sz w:val="20"/>
                <w:szCs w:val="20"/>
              </w:rPr>
              <w:t>≈1</w:t>
            </w:r>
          </w:p>
        </w:tc>
      </w:tr>
      <w:tr w:rsidR="000A2EB8" w:rsidRPr="007770BC" w:rsidTr="006A2DC8">
        <w:trPr>
          <w:trHeight w:val="227"/>
        </w:trPr>
        <w:tc>
          <w:tcPr>
            <w:tcW w:w="1354" w:type="dxa"/>
            <w:vMerge w:val="restart"/>
          </w:tcPr>
          <w:p w:rsidR="000A2EB8" w:rsidRPr="007770BC" w:rsidRDefault="000A2EB8" w:rsidP="007770BC">
            <w:pPr>
              <w:rPr>
                <w:sz w:val="20"/>
                <w:szCs w:val="20"/>
              </w:rPr>
            </w:pPr>
            <w:r w:rsidRPr="007770BC">
              <w:rPr>
                <w:sz w:val="20"/>
                <w:szCs w:val="20"/>
              </w:rPr>
              <w:t>NCD1543</w:t>
            </w:r>
          </w:p>
          <w:p w:rsidR="000A2EB8" w:rsidRPr="007770BC" w:rsidRDefault="000A2EB8" w:rsidP="007770BC">
            <w:pPr>
              <w:rPr>
                <w:b/>
                <w:kern w:val="2"/>
                <w:sz w:val="20"/>
                <w:szCs w:val="20"/>
              </w:rPr>
            </w:pPr>
            <w:r w:rsidRPr="007770BC">
              <w:rPr>
                <w:b/>
                <w:sz w:val="20"/>
                <w:szCs w:val="20"/>
              </w:rPr>
              <w:t>Dog</w:t>
            </w:r>
            <w:r w:rsidRPr="007770BC">
              <w:rPr>
                <w:sz w:val="20"/>
                <w:szCs w:val="20"/>
              </w:rPr>
              <w:t xml:space="preserve"> (Beagle)</w:t>
            </w:r>
          </w:p>
        </w:tc>
        <w:tc>
          <w:tcPr>
            <w:tcW w:w="1448" w:type="dxa"/>
            <w:vMerge w:val="restart"/>
          </w:tcPr>
          <w:p w:rsidR="000A2EB8" w:rsidRPr="007770BC" w:rsidRDefault="000A2EB8" w:rsidP="007770BC">
            <w:pPr>
              <w:rPr>
                <w:kern w:val="2"/>
                <w:sz w:val="20"/>
                <w:szCs w:val="20"/>
              </w:rPr>
            </w:pPr>
            <w:r w:rsidRPr="007770BC">
              <w:rPr>
                <w:kern w:val="2"/>
                <w:sz w:val="20"/>
                <w:szCs w:val="20"/>
              </w:rPr>
              <w:t>4 Weeks</w:t>
            </w:r>
          </w:p>
          <w:p w:rsidR="000A2EB8" w:rsidRPr="007770BC" w:rsidRDefault="000A2EB8" w:rsidP="007770BC">
            <w:pPr>
              <w:rPr>
                <w:kern w:val="2"/>
                <w:sz w:val="20"/>
                <w:szCs w:val="20"/>
              </w:rPr>
            </w:pPr>
            <w:r w:rsidRPr="007770BC">
              <w:rPr>
                <w:kern w:val="2"/>
                <w:sz w:val="20"/>
                <w:szCs w:val="20"/>
              </w:rPr>
              <w:t>Continuous IV infusion</w:t>
            </w:r>
          </w:p>
        </w:tc>
        <w:tc>
          <w:tcPr>
            <w:tcW w:w="1417" w:type="dxa"/>
          </w:tcPr>
          <w:p w:rsidR="000A2EB8" w:rsidRPr="007770BC" w:rsidRDefault="000A2EB8" w:rsidP="007770BC">
            <w:pPr>
              <w:rPr>
                <w:kern w:val="2"/>
                <w:sz w:val="20"/>
                <w:szCs w:val="20"/>
              </w:rPr>
            </w:pPr>
            <w:r w:rsidRPr="007770BC">
              <w:rPr>
                <w:kern w:val="2"/>
                <w:sz w:val="20"/>
                <w:szCs w:val="20"/>
              </w:rPr>
              <w:t>30</w:t>
            </w:r>
          </w:p>
        </w:tc>
        <w:tc>
          <w:tcPr>
            <w:tcW w:w="1437" w:type="dxa"/>
          </w:tcPr>
          <w:p w:rsidR="000A2EB8" w:rsidRPr="007770BC" w:rsidRDefault="000A2EB8" w:rsidP="007770BC">
            <w:pPr>
              <w:rPr>
                <w:kern w:val="2"/>
                <w:sz w:val="20"/>
                <w:szCs w:val="20"/>
              </w:rPr>
            </w:pPr>
            <w:r w:rsidRPr="007770BC">
              <w:rPr>
                <w:kern w:val="2"/>
                <w:sz w:val="20"/>
                <w:szCs w:val="20"/>
              </w:rPr>
              <w:t>5.29</w:t>
            </w:r>
          </w:p>
        </w:tc>
        <w:tc>
          <w:tcPr>
            <w:tcW w:w="1559" w:type="dxa"/>
          </w:tcPr>
          <w:p w:rsidR="000A2EB8" w:rsidRPr="007770BC" w:rsidRDefault="000A2EB8" w:rsidP="007770BC">
            <w:pPr>
              <w:rPr>
                <w:kern w:val="2"/>
                <w:sz w:val="20"/>
                <w:szCs w:val="20"/>
              </w:rPr>
            </w:pPr>
            <w:r w:rsidRPr="007770BC">
              <w:rPr>
                <w:kern w:val="2"/>
                <w:sz w:val="20"/>
                <w:szCs w:val="20"/>
              </w:rPr>
              <w:t>≈2</w:t>
            </w:r>
          </w:p>
        </w:tc>
        <w:tc>
          <w:tcPr>
            <w:tcW w:w="1559" w:type="dxa"/>
          </w:tcPr>
          <w:p w:rsidR="000A2EB8" w:rsidRPr="007770BC" w:rsidRDefault="000A2EB8" w:rsidP="007770BC">
            <w:pPr>
              <w:rPr>
                <w:sz w:val="20"/>
                <w:szCs w:val="20"/>
              </w:rPr>
            </w:pPr>
            <w:r w:rsidRPr="007770BC">
              <w:rPr>
                <w:kern w:val="2"/>
                <w:sz w:val="20"/>
                <w:szCs w:val="20"/>
              </w:rPr>
              <w:t>≈0.5</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100</w:t>
            </w:r>
          </w:p>
        </w:tc>
        <w:tc>
          <w:tcPr>
            <w:tcW w:w="1437" w:type="dxa"/>
          </w:tcPr>
          <w:p w:rsidR="000A2EB8" w:rsidRPr="007770BC" w:rsidRDefault="000A2EB8" w:rsidP="007770BC">
            <w:pPr>
              <w:rPr>
                <w:kern w:val="2"/>
                <w:sz w:val="20"/>
                <w:szCs w:val="20"/>
              </w:rPr>
            </w:pPr>
            <w:r w:rsidRPr="007770BC">
              <w:rPr>
                <w:kern w:val="2"/>
                <w:sz w:val="20"/>
                <w:szCs w:val="20"/>
              </w:rPr>
              <w:t>17.7</w:t>
            </w:r>
          </w:p>
        </w:tc>
        <w:tc>
          <w:tcPr>
            <w:tcW w:w="1559" w:type="dxa"/>
          </w:tcPr>
          <w:p w:rsidR="000A2EB8" w:rsidRPr="007770BC" w:rsidRDefault="000A2EB8" w:rsidP="007770BC">
            <w:pPr>
              <w:rPr>
                <w:kern w:val="2"/>
                <w:sz w:val="20"/>
                <w:szCs w:val="20"/>
              </w:rPr>
            </w:pPr>
            <w:r w:rsidRPr="007770BC">
              <w:rPr>
                <w:kern w:val="2"/>
                <w:sz w:val="20"/>
                <w:szCs w:val="20"/>
              </w:rPr>
              <w:t>≈5</w:t>
            </w:r>
          </w:p>
        </w:tc>
        <w:tc>
          <w:tcPr>
            <w:tcW w:w="1559" w:type="dxa"/>
          </w:tcPr>
          <w:p w:rsidR="000A2EB8" w:rsidRPr="007770BC" w:rsidRDefault="000A2EB8" w:rsidP="007770BC">
            <w:pPr>
              <w:rPr>
                <w:sz w:val="20"/>
                <w:szCs w:val="20"/>
              </w:rPr>
            </w:pPr>
            <w:r w:rsidRPr="007770BC">
              <w:rPr>
                <w:kern w:val="2"/>
                <w:sz w:val="20"/>
                <w:szCs w:val="20"/>
              </w:rPr>
              <w:t>≈2</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150/200</w:t>
            </w:r>
          </w:p>
        </w:tc>
        <w:tc>
          <w:tcPr>
            <w:tcW w:w="1437" w:type="dxa"/>
          </w:tcPr>
          <w:p w:rsidR="000A2EB8" w:rsidRPr="007770BC" w:rsidRDefault="000A2EB8" w:rsidP="007770BC">
            <w:pPr>
              <w:rPr>
                <w:kern w:val="2"/>
                <w:sz w:val="20"/>
                <w:szCs w:val="20"/>
              </w:rPr>
            </w:pPr>
            <w:r w:rsidRPr="007770BC">
              <w:rPr>
                <w:kern w:val="2"/>
                <w:sz w:val="20"/>
                <w:szCs w:val="20"/>
              </w:rPr>
              <w:t>56.3</w:t>
            </w:r>
          </w:p>
        </w:tc>
        <w:tc>
          <w:tcPr>
            <w:tcW w:w="1559" w:type="dxa"/>
          </w:tcPr>
          <w:p w:rsidR="000A2EB8" w:rsidRPr="007770BC" w:rsidRDefault="000A2EB8" w:rsidP="007770BC">
            <w:pPr>
              <w:rPr>
                <w:kern w:val="2"/>
                <w:sz w:val="20"/>
                <w:szCs w:val="20"/>
              </w:rPr>
            </w:pPr>
            <w:r w:rsidRPr="007770BC">
              <w:rPr>
                <w:kern w:val="2"/>
                <w:sz w:val="20"/>
                <w:szCs w:val="20"/>
              </w:rPr>
              <w:t>≈16</w:t>
            </w:r>
          </w:p>
        </w:tc>
        <w:tc>
          <w:tcPr>
            <w:tcW w:w="1559" w:type="dxa"/>
          </w:tcPr>
          <w:p w:rsidR="000A2EB8" w:rsidRPr="007770BC" w:rsidRDefault="000A2EB8" w:rsidP="007770BC">
            <w:pPr>
              <w:rPr>
                <w:sz w:val="20"/>
                <w:szCs w:val="20"/>
              </w:rPr>
            </w:pPr>
            <w:r w:rsidRPr="007770BC">
              <w:rPr>
                <w:kern w:val="2"/>
                <w:sz w:val="20"/>
                <w:szCs w:val="20"/>
              </w:rPr>
              <w:t>≈5</w:t>
            </w:r>
          </w:p>
        </w:tc>
      </w:tr>
      <w:tr w:rsidR="000A2EB8" w:rsidRPr="007770BC" w:rsidTr="006A2DC8">
        <w:trPr>
          <w:trHeight w:val="227"/>
        </w:trPr>
        <w:tc>
          <w:tcPr>
            <w:tcW w:w="1354" w:type="dxa"/>
            <w:vMerge w:val="restart"/>
          </w:tcPr>
          <w:p w:rsidR="000A2EB8" w:rsidRPr="007770BC" w:rsidRDefault="000A2EB8" w:rsidP="007770BC">
            <w:pPr>
              <w:rPr>
                <w:sz w:val="20"/>
                <w:szCs w:val="20"/>
              </w:rPr>
            </w:pPr>
            <w:r w:rsidRPr="007770BC">
              <w:rPr>
                <w:sz w:val="20"/>
                <w:szCs w:val="20"/>
              </w:rPr>
              <w:t>PSM1101</w:t>
            </w:r>
          </w:p>
          <w:p w:rsidR="000A2EB8" w:rsidRPr="007770BC" w:rsidRDefault="000A2EB8" w:rsidP="007770BC">
            <w:pPr>
              <w:rPr>
                <w:b/>
                <w:kern w:val="2"/>
                <w:sz w:val="20"/>
                <w:szCs w:val="20"/>
              </w:rPr>
            </w:pPr>
            <w:r w:rsidRPr="007770BC">
              <w:rPr>
                <w:b/>
                <w:sz w:val="20"/>
                <w:szCs w:val="20"/>
              </w:rPr>
              <w:t>Monkey</w:t>
            </w:r>
          </w:p>
        </w:tc>
        <w:tc>
          <w:tcPr>
            <w:tcW w:w="1448" w:type="dxa"/>
            <w:vMerge w:val="restart"/>
          </w:tcPr>
          <w:p w:rsidR="000A2EB8" w:rsidRPr="007770BC" w:rsidRDefault="000A2EB8" w:rsidP="007770BC">
            <w:pPr>
              <w:rPr>
                <w:kern w:val="2"/>
                <w:sz w:val="20"/>
                <w:szCs w:val="20"/>
              </w:rPr>
            </w:pPr>
            <w:r w:rsidRPr="007770BC">
              <w:rPr>
                <w:kern w:val="2"/>
                <w:sz w:val="20"/>
                <w:szCs w:val="20"/>
              </w:rPr>
              <w:t>4 Weeks</w:t>
            </w:r>
          </w:p>
          <w:p w:rsidR="000A2EB8" w:rsidRPr="007770BC" w:rsidRDefault="000A2EB8" w:rsidP="007770BC">
            <w:pPr>
              <w:rPr>
                <w:kern w:val="2"/>
                <w:sz w:val="20"/>
                <w:szCs w:val="20"/>
              </w:rPr>
            </w:pPr>
            <w:r w:rsidRPr="007770BC">
              <w:rPr>
                <w:kern w:val="2"/>
                <w:sz w:val="20"/>
                <w:szCs w:val="20"/>
              </w:rPr>
              <w:t>PO</w:t>
            </w:r>
          </w:p>
        </w:tc>
        <w:tc>
          <w:tcPr>
            <w:tcW w:w="1417" w:type="dxa"/>
          </w:tcPr>
          <w:p w:rsidR="000A2EB8" w:rsidRPr="007770BC" w:rsidRDefault="000A2EB8" w:rsidP="007770BC">
            <w:pPr>
              <w:rPr>
                <w:kern w:val="2"/>
                <w:sz w:val="20"/>
                <w:szCs w:val="20"/>
              </w:rPr>
            </w:pPr>
            <w:r w:rsidRPr="007770BC">
              <w:rPr>
                <w:kern w:val="2"/>
                <w:sz w:val="20"/>
                <w:szCs w:val="20"/>
              </w:rPr>
              <w:t>300</w:t>
            </w:r>
          </w:p>
        </w:tc>
        <w:tc>
          <w:tcPr>
            <w:tcW w:w="1437" w:type="dxa"/>
          </w:tcPr>
          <w:p w:rsidR="000A2EB8" w:rsidRPr="007770BC" w:rsidRDefault="000A2EB8" w:rsidP="007770BC">
            <w:pPr>
              <w:rPr>
                <w:kern w:val="2"/>
                <w:sz w:val="20"/>
                <w:szCs w:val="20"/>
              </w:rPr>
            </w:pPr>
            <w:r w:rsidRPr="007770BC">
              <w:rPr>
                <w:kern w:val="2"/>
                <w:sz w:val="20"/>
                <w:szCs w:val="20"/>
              </w:rPr>
              <w:t>≈16.7</w:t>
            </w:r>
          </w:p>
        </w:tc>
        <w:tc>
          <w:tcPr>
            <w:tcW w:w="1559" w:type="dxa"/>
          </w:tcPr>
          <w:p w:rsidR="000A2EB8" w:rsidRPr="007770BC" w:rsidRDefault="000A2EB8" w:rsidP="007770BC">
            <w:pPr>
              <w:rPr>
                <w:kern w:val="2"/>
                <w:sz w:val="20"/>
                <w:szCs w:val="20"/>
              </w:rPr>
            </w:pPr>
            <w:r w:rsidRPr="007770BC">
              <w:rPr>
                <w:kern w:val="2"/>
                <w:sz w:val="20"/>
                <w:szCs w:val="20"/>
              </w:rPr>
              <w:t>≈5</w:t>
            </w:r>
          </w:p>
        </w:tc>
        <w:tc>
          <w:tcPr>
            <w:tcW w:w="1559" w:type="dxa"/>
          </w:tcPr>
          <w:p w:rsidR="000A2EB8" w:rsidRPr="007770BC" w:rsidRDefault="000A2EB8" w:rsidP="007770BC">
            <w:pPr>
              <w:rPr>
                <w:sz w:val="20"/>
                <w:szCs w:val="20"/>
              </w:rPr>
            </w:pPr>
            <w:r w:rsidRPr="007770BC">
              <w:rPr>
                <w:sz w:val="20"/>
                <w:szCs w:val="20"/>
              </w:rPr>
              <w:t>≈1</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600</w:t>
            </w:r>
          </w:p>
        </w:tc>
        <w:tc>
          <w:tcPr>
            <w:tcW w:w="1437" w:type="dxa"/>
          </w:tcPr>
          <w:p w:rsidR="000A2EB8" w:rsidRPr="007770BC" w:rsidRDefault="000A2EB8" w:rsidP="007770BC">
            <w:pPr>
              <w:rPr>
                <w:kern w:val="2"/>
                <w:sz w:val="20"/>
                <w:szCs w:val="20"/>
              </w:rPr>
            </w:pPr>
            <w:r w:rsidRPr="007770BC">
              <w:rPr>
                <w:kern w:val="2"/>
                <w:sz w:val="20"/>
                <w:szCs w:val="20"/>
              </w:rPr>
              <w:t>≈51</w:t>
            </w:r>
          </w:p>
        </w:tc>
        <w:tc>
          <w:tcPr>
            <w:tcW w:w="1559" w:type="dxa"/>
          </w:tcPr>
          <w:p w:rsidR="000A2EB8" w:rsidRPr="007770BC" w:rsidRDefault="000A2EB8" w:rsidP="007770BC">
            <w:pPr>
              <w:rPr>
                <w:kern w:val="2"/>
                <w:sz w:val="20"/>
                <w:szCs w:val="20"/>
              </w:rPr>
            </w:pPr>
            <w:r w:rsidRPr="007770BC">
              <w:rPr>
                <w:kern w:val="2"/>
                <w:sz w:val="20"/>
                <w:szCs w:val="20"/>
              </w:rPr>
              <w:t>≈15</w:t>
            </w:r>
          </w:p>
        </w:tc>
        <w:tc>
          <w:tcPr>
            <w:tcW w:w="1559" w:type="dxa"/>
          </w:tcPr>
          <w:p w:rsidR="000A2EB8" w:rsidRPr="007770BC" w:rsidRDefault="000A2EB8" w:rsidP="007770BC">
            <w:pPr>
              <w:rPr>
                <w:sz w:val="20"/>
                <w:szCs w:val="20"/>
              </w:rPr>
            </w:pPr>
            <w:r w:rsidRPr="007770BC">
              <w:rPr>
                <w:sz w:val="20"/>
                <w:szCs w:val="20"/>
              </w:rPr>
              <w:t>≈4</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900</w:t>
            </w:r>
          </w:p>
        </w:tc>
        <w:tc>
          <w:tcPr>
            <w:tcW w:w="1437" w:type="dxa"/>
          </w:tcPr>
          <w:p w:rsidR="000A2EB8" w:rsidRPr="007770BC" w:rsidRDefault="000A2EB8" w:rsidP="007770BC">
            <w:pPr>
              <w:rPr>
                <w:kern w:val="2"/>
                <w:sz w:val="20"/>
                <w:szCs w:val="20"/>
              </w:rPr>
            </w:pPr>
            <w:r w:rsidRPr="007770BC">
              <w:rPr>
                <w:kern w:val="2"/>
                <w:sz w:val="20"/>
                <w:szCs w:val="20"/>
              </w:rPr>
              <w:t>≈106.3</w:t>
            </w:r>
          </w:p>
        </w:tc>
        <w:tc>
          <w:tcPr>
            <w:tcW w:w="1559" w:type="dxa"/>
          </w:tcPr>
          <w:p w:rsidR="000A2EB8" w:rsidRPr="007770BC" w:rsidRDefault="000A2EB8" w:rsidP="007770BC">
            <w:pPr>
              <w:rPr>
                <w:kern w:val="2"/>
                <w:sz w:val="20"/>
                <w:szCs w:val="20"/>
              </w:rPr>
            </w:pPr>
            <w:r w:rsidRPr="007770BC">
              <w:rPr>
                <w:kern w:val="2"/>
                <w:sz w:val="20"/>
                <w:szCs w:val="20"/>
              </w:rPr>
              <w:t>≈30</w:t>
            </w:r>
          </w:p>
        </w:tc>
        <w:tc>
          <w:tcPr>
            <w:tcW w:w="1559" w:type="dxa"/>
          </w:tcPr>
          <w:p w:rsidR="000A2EB8" w:rsidRPr="007770BC" w:rsidRDefault="000A2EB8" w:rsidP="007770BC">
            <w:pPr>
              <w:rPr>
                <w:sz w:val="20"/>
                <w:szCs w:val="20"/>
              </w:rPr>
            </w:pPr>
            <w:r w:rsidRPr="007770BC">
              <w:rPr>
                <w:sz w:val="20"/>
                <w:szCs w:val="20"/>
              </w:rPr>
              <w:t>≈9</w:t>
            </w:r>
          </w:p>
        </w:tc>
      </w:tr>
      <w:tr w:rsidR="000A2EB8" w:rsidRPr="007770BC" w:rsidTr="006A2DC8">
        <w:trPr>
          <w:trHeight w:val="227"/>
        </w:trPr>
        <w:tc>
          <w:tcPr>
            <w:tcW w:w="1354" w:type="dxa"/>
            <w:vMerge w:val="restart"/>
          </w:tcPr>
          <w:p w:rsidR="000A2EB8" w:rsidRPr="007770BC" w:rsidRDefault="000A2EB8" w:rsidP="007770BC">
            <w:pPr>
              <w:rPr>
                <w:sz w:val="20"/>
                <w:szCs w:val="20"/>
              </w:rPr>
            </w:pPr>
            <w:r w:rsidRPr="007770BC">
              <w:rPr>
                <w:sz w:val="20"/>
                <w:szCs w:val="20"/>
              </w:rPr>
              <w:t>PSM1140</w:t>
            </w:r>
          </w:p>
          <w:p w:rsidR="000A2EB8" w:rsidRPr="007770BC" w:rsidRDefault="000A2EB8" w:rsidP="007770BC">
            <w:pPr>
              <w:rPr>
                <w:b/>
                <w:kern w:val="2"/>
                <w:sz w:val="20"/>
                <w:szCs w:val="20"/>
              </w:rPr>
            </w:pPr>
            <w:r w:rsidRPr="007770BC">
              <w:rPr>
                <w:b/>
                <w:sz w:val="20"/>
                <w:szCs w:val="20"/>
              </w:rPr>
              <w:t>Monkey</w:t>
            </w:r>
          </w:p>
        </w:tc>
        <w:tc>
          <w:tcPr>
            <w:tcW w:w="1448" w:type="dxa"/>
            <w:vMerge w:val="restart"/>
          </w:tcPr>
          <w:p w:rsidR="000A2EB8" w:rsidRPr="007770BC" w:rsidRDefault="000A2EB8" w:rsidP="007770BC">
            <w:pPr>
              <w:rPr>
                <w:kern w:val="2"/>
                <w:sz w:val="20"/>
                <w:szCs w:val="20"/>
              </w:rPr>
            </w:pPr>
            <w:r w:rsidRPr="007770BC">
              <w:rPr>
                <w:kern w:val="2"/>
                <w:sz w:val="20"/>
                <w:szCs w:val="20"/>
              </w:rPr>
              <w:t>39 Weeks</w:t>
            </w:r>
          </w:p>
          <w:p w:rsidR="000A2EB8" w:rsidRPr="007770BC" w:rsidRDefault="000A2EB8" w:rsidP="007770BC">
            <w:pPr>
              <w:rPr>
                <w:kern w:val="2"/>
                <w:sz w:val="20"/>
                <w:szCs w:val="20"/>
              </w:rPr>
            </w:pPr>
            <w:r w:rsidRPr="007770BC">
              <w:rPr>
                <w:kern w:val="2"/>
                <w:sz w:val="20"/>
                <w:szCs w:val="20"/>
              </w:rPr>
              <w:t>PO</w:t>
            </w:r>
          </w:p>
        </w:tc>
        <w:tc>
          <w:tcPr>
            <w:tcW w:w="1417" w:type="dxa"/>
          </w:tcPr>
          <w:p w:rsidR="000A2EB8" w:rsidRPr="007770BC" w:rsidRDefault="000A2EB8" w:rsidP="007770BC">
            <w:pPr>
              <w:rPr>
                <w:kern w:val="2"/>
                <w:sz w:val="20"/>
                <w:szCs w:val="20"/>
              </w:rPr>
            </w:pPr>
            <w:r w:rsidRPr="007770BC">
              <w:rPr>
                <w:kern w:val="2"/>
                <w:sz w:val="20"/>
                <w:szCs w:val="20"/>
              </w:rPr>
              <w:t>300</w:t>
            </w:r>
          </w:p>
        </w:tc>
        <w:tc>
          <w:tcPr>
            <w:tcW w:w="1437" w:type="dxa"/>
          </w:tcPr>
          <w:p w:rsidR="000A2EB8" w:rsidRPr="007770BC" w:rsidRDefault="000A2EB8" w:rsidP="007770BC">
            <w:pPr>
              <w:rPr>
                <w:kern w:val="2"/>
                <w:sz w:val="20"/>
                <w:szCs w:val="20"/>
              </w:rPr>
            </w:pPr>
            <w:r w:rsidRPr="007770BC">
              <w:rPr>
                <w:kern w:val="2"/>
                <w:sz w:val="20"/>
                <w:szCs w:val="20"/>
              </w:rPr>
              <w:t>≈18.7</w:t>
            </w:r>
          </w:p>
        </w:tc>
        <w:tc>
          <w:tcPr>
            <w:tcW w:w="1559" w:type="dxa"/>
          </w:tcPr>
          <w:p w:rsidR="000A2EB8" w:rsidRPr="007770BC" w:rsidRDefault="000A2EB8" w:rsidP="007770BC">
            <w:pPr>
              <w:rPr>
                <w:kern w:val="2"/>
                <w:sz w:val="20"/>
                <w:szCs w:val="20"/>
              </w:rPr>
            </w:pPr>
            <w:r w:rsidRPr="007770BC">
              <w:rPr>
                <w:kern w:val="2"/>
                <w:sz w:val="20"/>
                <w:szCs w:val="20"/>
              </w:rPr>
              <w:t>≈5</w:t>
            </w:r>
          </w:p>
        </w:tc>
        <w:tc>
          <w:tcPr>
            <w:tcW w:w="1559" w:type="dxa"/>
          </w:tcPr>
          <w:p w:rsidR="000A2EB8" w:rsidRPr="007770BC" w:rsidRDefault="000A2EB8" w:rsidP="007770BC">
            <w:pPr>
              <w:rPr>
                <w:sz w:val="20"/>
                <w:szCs w:val="20"/>
              </w:rPr>
            </w:pPr>
            <w:r w:rsidRPr="007770BC">
              <w:rPr>
                <w:sz w:val="20"/>
                <w:szCs w:val="20"/>
              </w:rPr>
              <w:t>≈2</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600</w:t>
            </w:r>
          </w:p>
        </w:tc>
        <w:tc>
          <w:tcPr>
            <w:tcW w:w="1437" w:type="dxa"/>
          </w:tcPr>
          <w:p w:rsidR="000A2EB8" w:rsidRPr="007770BC" w:rsidRDefault="000A2EB8" w:rsidP="007770BC">
            <w:pPr>
              <w:rPr>
                <w:kern w:val="2"/>
                <w:sz w:val="20"/>
                <w:szCs w:val="20"/>
              </w:rPr>
            </w:pPr>
            <w:r w:rsidRPr="007770BC">
              <w:rPr>
                <w:kern w:val="2"/>
                <w:sz w:val="20"/>
                <w:szCs w:val="20"/>
              </w:rPr>
              <w:t>≈79.3</w:t>
            </w:r>
          </w:p>
        </w:tc>
        <w:tc>
          <w:tcPr>
            <w:tcW w:w="1559" w:type="dxa"/>
          </w:tcPr>
          <w:p w:rsidR="000A2EB8" w:rsidRPr="007770BC" w:rsidRDefault="000A2EB8" w:rsidP="007770BC">
            <w:pPr>
              <w:rPr>
                <w:kern w:val="2"/>
                <w:sz w:val="20"/>
                <w:szCs w:val="20"/>
              </w:rPr>
            </w:pPr>
            <w:r w:rsidRPr="007770BC">
              <w:rPr>
                <w:kern w:val="2"/>
                <w:sz w:val="20"/>
                <w:szCs w:val="20"/>
              </w:rPr>
              <w:t>≈23</w:t>
            </w:r>
          </w:p>
        </w:tc>
        <w:tc>
          <w:tcPr>
            <w:tcW w:w="1559" w:type="dxa"/>
          </w:tcPr>
          <w:p w:rsidR="000A2EB8" w:rsidRPr="007770BC" w:rsidRDefault="000A2EB8" w:rsidP="007770BC">
            <w:pPr>
              <w:rPr>
                <w:sz w:val="20"/>
                <w:szCs w:val="20"/>
              </w:rPr>
            </w:pPr>
            <w:r w:rsidRPr="007770BC">
              <w:rPr>
                <w:sz w:val="20"/>
                <w:szCs w:val="20"/>
              </w:rPr>
              <w:t>≈7</w:t>
            </w:r>
          </w:p>
        </w:tc>
      </w:tr>
      <w:tr w:rsidR="000A2EB8" w:rsidRPr="007770BC" w:rsidTr="006A2DC8">
        <w:trPr>
          <w:trHeight w:val="227"/>
        </w:trPr>
        <w:tc>
          <w:tcPr>
            <w:tcW w:w="1354" w:type="dxa"/>
            <w:vMerge/>
          </w:tcPr>
          <w:p w:rsidR="000A2EB8" w:rsidRPr="007770BC" w:rsidRDefault="000A2EB8" w:rsidP="007770BC">
            <w:pPr>
              <w:rPr>
                <w:b/>
                <w:kern w:val="2"/>
                <w:sz w:val="20"/>
                <w:szCs w:val="20"/>
              </w:rPr>
            </w:pPr>
          </w:p>
        </w:tc>
        <w:tc>
          <w:tcPr>
            <w:tcW w:w="1448" w:type="dxa"/>
            <w:vMerge/>
          </w:tcPr>
          <w:p w:rsidR="000A2EB8" w:rsidRPr="007770BC" w:rsidRDefault="000A2EB8" w:rsidP="007770BC">
            <w:pPr>
              <w:rPr>
                <w:kern w:val="2"/>
                <w:sz w:val="20"/>
                <w:szCs w:val="20"/>
              </w:rPr>
            </w:pPr>
          </w:p>
        </w:tc>
        <w:tc>
          <w:tcPr>
            <w:tcW w:w="1417" w:type="dxa"/>
          </w:tcPr>
          <w:p w:rsidR="000A2EB8" w:rsidRPr="007770BC" w:rsidRDefault="000A2EB8" w:rsidP="007770BC">
            <w:pPr>
              <w:rPr>
                <w:kern w:val="2"/>
                <w:sz w:val="20"/>
                <w:szCs w:val="20"/>
              </w:rPr>
            </w:pPr>
            <w:r w:rsidRPr="007770BC">
              <w:rPr>
                <w:kern w:val="2"/>
                <w:sz w:val="20"/>
                <w:szCs w:val="20"/>
              </w:rPr>
              <w:t>900</w:t>
            </w:r>
          </w:p>
        </w:tc>
        <w:tc>
          <w:tcPr>
            <w:tcW w:w="1437" w:type="dxa"/>
          </w:tcPr>
          <w:p w:rsidR="000A2EB8" w:rsidRPr="007770BC" w:rsidRDefault="000A2EB8" w:rsidP="007770BC">
            <w:pPr>
              <w:rPr>
                <w:kern w:val="2"/>
                <w:sz w:val="20"/>
                <w:szCs w:val="20"/>
              </w:rPr>
            </w:pPr>
            <w:r w:rsidRPr="007770BC">
              <w:rPr>
                <w:kern w:val="2"/>
                <w:sz w:val="20"/>
                <w:szCs w:val="20"/>
              </w:rPr>
              <w:t>≈165</w:t>
            </w:r>
          </w:p>
        </w:tc>
        <w:tc>
          <w:tcPr>
            <w:tcW w:w="1559" w:type="dxa"/>
          </w:tcPr>
          <w:p w:rsidR="000A2EB8" w:rsidRPr="007770BC" w:rsidRDefault="000A2EB8" w:rsidP="007770BC">
            <w:pPr>
              <w:rPr>
                <w:kern w:val="2"/>
                <w:sz w:val="20"/>
                <w:szCs w:val="20"/>
              </w:rPr>
            </w:pPr>
            <w:r w:rsidRPr="007770BC">
              <w:rPr>
                <w:kern w:val="2"/>
                <w:sz w:val="20"/>
                <w:szCs w:val="20"/>
              </w:rPr>
              <w:t>≈47</w:t>
            </w:r>
          </w:p>
        </w:tc>
        <w:tc>
          <w:tcPr>
            <w:tcW w:w="1559" w:type="dxa"/>
          </w:tcPr>
          <w:p w:rsidR="000A2EB8" w:rsidRPr="007770BC" w:rsidRDefault="000A2EB8" w:rsidP="007770BC">
            <w:pPr>
              <w:rPr>
                <w:sz w:val="20"/>
                <w:szCs w:val="20"/>
              </w:rPr>
            </w:pPr>
            <w:r w:rsidRPr="007770BC">
              <w:rPr>
                <w:sz w:val="20"/>
                <w:szCs w:val="20"/>
              </w:rPr>
              <w:t>≈15</w:t>
            </w:r>
          </w:p>
        </w:tc>
      </w:tr>
    </w:tbl>
    <w:p w:rsidR="000A2EB8" w:rsidRPr="001872B4" w:rsidRDefault="000A2EB8" w:rsidP="006A2DC8">
      <w:pPr>
        <w:pStyle w:val="TableDescription"/>
        <w:rPr>
          <w:b/>
          <w:color w:val="FF0000"/>
        </w:rPr>
      </w:pPr>
      <w:r w:rsidRPr="0056436B">
        <w:t xml:space="preserve">* </w:t>
      </w:r>
      <w:proofErr w:type="gramStart"/>
      <w:r w:rsidRPr="0056436B">
        <w:t>at</w:t>
      </w:r>
      <w:proofErr w:type="gramEnd"/>
      <w:r w:rsidRPr="0056436B">
        <w:t xml:space="preserve"> study termination unless otherwise noted; # Healthy volunteer data from Study No. N01109 for 200 mg PO dose – AUC</w:t>
      </w:r>
      <w:r>
        <w:t>= 3.51</w:t>
      </w:r>
      <w:r w:rsidRPr="0056436B">
        <w:t xml:space="preserve"> </w:t>
      </w:r>
      <w:proofErr w:type="spellStart"/>
      <w:r w:rsidRPr="0056436B">
        <w:rPr>
          <w:rFonts w:eastAsia="Gulim"/>
        </w:rPr>
        <w:t>μ</w:t>
      </w:r>
      <w:r w:rsidRPr="0056436B">
        <w:t>g.h</w:t>
      </w:r>
      <w:proofErr w:type="spellEnd"/>
      <w:r w:rsidRPr="0056436B">
        <w:t>/mL</w:t>
      </w:r>
      <w:r>
        <w:t xml:space="preserve">, severe renal impairment data - </w:t>
      </w:r>
      <w:r w:rsidRPr="0056436B">
        <w:t>AUC</w:t>
      </w:r>
      <w:r>
        <w:t>= 11.4</w:t>
      </w:r>
      <w:r w:rsidRPr="0056436B">
        <w:t xml:space="preserve"> </w:t>
      </w:r>
      <w:proofErr w:type="spellStart"/>
      <w:r w:rsidRPr="0056436B">
        <w:rPr>
          <w:rFonts w:eastAsia="Gulim"/>
        </w:rPr>
        <w:t>μ</w:t>
      </w:r>
      <w:r w:rsidRPr="0056436B">
        <w:t>g.h</w:t>
      </w:r>
      <w:proofErr w:type="spellEnd"/>
      <w:r w:rsidRPr="0056436B">
        <w:t>/mL</w:t>
      </w:r>
      <w:r>
        <w:t xml:space="preserve">; </w:t>
      </w:r>
      <w:r w:rsidRPr="0014588B">
        <w:rPr>
          <w:kern w:val="2"/>
          <w:szCs w:val="18"/>
        </w:rPr>
        <w:t>ˢ</w:t>
      </w:r>
      <w:r w:rsidR="00B3544A">
        <w:rPr>
          <w:kern w:val="2"/>
          <w:szCs w:val="18"/>
        </w:rPr>
        <w:t xml:space="preserve"> </w:t>
      </w:r>
      <w:r>
        <w:rPr>
          <w:kern w:val="2"/>
          <w:szCs w:val="18"/>
        </w:rPr>
        <w:t>Study NOEL or NOAEL.</w:t>
      </w:r>
    </w:p>
    <w:p w:rsidR="000A2EB8" w:rsidRPr="006A2DC8" w:rsidRDefault="000A2EB8" w:rsidP="006A2DC8">
      <w:pPr>
        <w:pStyle w:val="Heading5"/>
      </w:pPr>
      <w:bookmarkStart w:id="79" w:name="_Toc450809094"/>
      <w:r w:rsidRPr="006A2DC8">
        <w:t>Relative exposure margins for metabolite ucb-100406-1 in adults</w:t>
      </w:r>
      <w:bookmarkEnd w:id="79"/>
    </w:p>
    <w:p w:rsidR="00376D5E" w:rsidRDefault="000A2EB8" w:rsidP="006A2DC8">
      <w:r w:rsidRPr="006A2DC8">
        <w:t>In general adequate levels of systemic exposure for ucb-100406-1 were achieved in the nonclinical studies in comparison with the expected level of human systemic exposure at the MHRD for both normal patients and patients with severe renal impairment</w:t>
      </w:r>
      <w:r w:rsidR="00376D5E">
        <w:t>.</w:t>
      </w:r>
    </w:p>
    <w:p w:rsidR="0094641F" w:rsidRDefault="0094641F" w:rsidP="0094641F">
      <w:pPr>
        <w:pStyle w:val="TableTitle"/>
      </w:pPr>
      <w:proofErr w:type="gramStart"/>
      <w:r>
        <w:lastRenderedPageBreak/>
        <w:t xml:space="preserve">Table 11: </w:t>
      </w:r>
      <w:r w:rsidRPr="0094641F">
        <w:t>Relative exposure margins for metabolite ucb-100406-1</w:t>
      </w:r>
      <w:r>
        <w:t>.</w:t>
      </w:r>
      <w:proofErr w:type="gramEnd"/>
    </w:p>
    <w:tbl>
      <w:tblPr>
        <w:tblStyle w:val="TableTGAblue"/>
        <w:tblW w:w="8613" w:type="dxa"/>
        <w:tblLayout w:type="fixed"/>
        <w:tblLook w:val="01E0" w:firstRow="1" w:lastRow="1" w:firstColumn="1" w:lastColumn="1" w:noHBand="0" w:noVBand="0"/>
      </w:tblPr>
      <w:tblGrid>
        <w:gridCol w:w="1384"/>
        <w:gridCol w:w="1418"/>
        <w:gridCol w:w="1417"/>
        <w:gridCol w:w="1418"/>
        <w:gridCol w:w="1417"/>
        <w:gridCol w:w="1559"/>
      </w:tblGrid>
      <w:tr w:rsidR="0094641F" w:rsidRPr="007822C7" w:rsidTr="0094641F">
        <w:trPr>
          <w:cnfStyle w:val="100000000000" w:firstRow="1" w:lastRow="0" w:firstColumn="0" w:lastColumn="0" w:oddVBand="0" w:evenVBand="0" w:oddHBand="0" w:evenHBand="0" w:firstRowFirstColumn="0" w:firstRowLastColumn="0" w:lastRowFirstColumn="0" w:lastRowLastColumn="0"/>
        </w:trPr>
        <w:tc>
          <w:tcPr>
            <w:tcW w:w="1384" w:type="dxa"/>
          </w:tcPr>
          <w:p w:rsidR="0094641F" w:rsidRPr="007822C7" w:rsidRDefault="0094641F" w:rsidP="007822C7">
            <w:pPr>
              <w:rPr>
                <w:sz w:val="20"/>
                <w:szCs w:val="20"/>
              </w:rPr>
            </w:pPr>
            <w:r w:rsidRPr="007822C7">
              <w:rPr>
                <w:sz w:val="20"/>
                <w:szCs w:val="20"/>
              </w:rPr>
              <w:t>Study</w:t>
            </w:r>
            <w:r w:rsidR="007822C7">
              <w:rPr>
                <w:sz w:val="20"/>
                <w:szCs w:val="20"/>
              </w:rPr>
              <w:t xml:space="preserve"> </w:t>
            </w:r>
            <w:r w:rsidRPr="007822C7">
              <w:rPr>
                <w:sz w:val="20"/>
                <w:szCs w:val="20"/>
              </w:rPr>
              <w:t>Species</w:t>
            </w:r>
          </w:p>
        </w:tc>
        <w:tc>
          <w:tcPr>
            <w:tcW w:w="1418" w:type="dxa"/>
          </w:tcPr>
          <w:p w:rsidR="0094641F" w:rsidRPr="007822C7" w:rsidRDefault="0094641F" w:rsidP="007822C7">
            <w:pPr>
              <w:rPr>
                <w:sz w:val="20"/>
                <w:szCs w:val="20"/>
              </w:rPr>
            </w:pPr>
            <w:r w:rsidRPr="007822C7">
              <w:rPr>
                <w:sz w:val="20"/>
                <w:szCs w:val="20"/>
              </w:rPr>
              <w:t>Study duration</w:t>
            </w:r>
            <w:r w:rsidR="007822C7">
              <w:rPr>
                <w:sz w:val="20"/>
                <w:szCs w:val="20"/>
              </w:rPr>
              <w:t xml:space="preserve"> </w:t>
            </w:r>
            <w:r w:rsidRPr="007822C7">
              <w:rPr>
                <w:sz w:val="20"/>
                <w:szCs w:val="20"/>
              </w:rPr>
              <w:t>Route</w:t>
            </w:r>
          </w:p>
        </w:tc>
        <w:tc>
          <w:tcPr>
            <w:tcW w:w="1417" w:type="dxa"/>
          </w:tcPr>
          <w:p w:rsidR="0094641F" w:rsidRPr="007822C7" w:rsidRDefault="0094641F" w:rsidP="007822C7">
            <w:pPr>
              <w:rPr>
                <w:sz w:val="20"/>
                <w:szCs w:val="20"/>
              </w:rPr>
            </w:pPr>
            <w:proofErr w:type="spellStart"/>
            <w:r w:rsidRPr="007822C7">
              <w:rPr>
                <w:sz w:val="20"/>
                <w:szCs w:val="20"/>
              </w:rPr>
              <w:t>Brivaracetam</w:t>
            </w:r>
            <w:proofErr w:type="spellEnd"/>
            <w:r w:rsidR="007822C7">
              <w:rPr>
                <w:sz w:val="20"/>
                <w:szCs w:val="20"/>
              </w:rPr>
              <w:t xml:space="preserve"> </w:t>
            </w:r>
            <w:r w:rsidRPr="007822C7">
              <w:rPr>
                <w:sz w:val="20"/>
                <w:szCs w:val="20"/>
              </w:rPr>
              <w:t>Dose</w:t>
            </w:r>
            <w:r w:rsidR="007822C7">
              <w:rPr>
                <w:sz w:val="20"/>
                <w:szCs w:val="20"/>
              </w:rPr>
              <w:t xml:space="preserve"> </w:t>
            </w:r>
            <w:r w:rsidRPr="007822C7">
              <w:rPr>
                <w:sz w:val="20"/>
                <w:szCs w:val="20"/>
              </w:rPr>
              <w:t>(mg/kg/ day)</w:t>
            </w:r>
          </w:p>
        </w:tc>
        <w:tc>
          <w:tcPr>
            <w:tcW w:w="1418" w:type="dxa"/>
          </w:tcPr>
          <w:p w:rsidR="0094641F" w:rsidRPr="007822C7" w:rsidRDefault="0094641F" w:rsidP="007822C7">
            <w:pPr>
              <w:rPr>
                <w:sz w:val="20"/>
                <w:szCs w:val="20"/>
              </w:rPr>
            </w:pPr>
            <w:r w:rsidRPr="007822C7">
              <w:rPr>
                <w:sz w:val="20"/>
                <w:szCs w:val="20"/>
              </w:rPr>
              <w:t>AUC</w:t>
            </w:r>
            <w:r w:rsidRPr="007822C7">
              <w:rPr>
                <w:sz w:val="20"/>
                <w:szCs w:val="20"/>
                <w:vertAlign w:val="subscript"/>
              </w:rPr>
              <w:t>0–24h</w:t>
            </w:r>
            <w:r w:rsidRPr="007822C7">
              <w:rPr>
                <w:sz w:val="20"/>
                <w:szCs w:val="20"/>
              </w:rPr>
              <w:t xml:space="preserve"> or</w:t>
            </w:r>
          </w:p>
          <w:p w:rsidR="0094641F" w:rsidRPr="007822C7" w:rsidRDefault="0094641F" w:rsidP="007822C7">
            <w:pPr>
              <w:rPr>
                <w:sz w:val="20"/>
                <w:szCs w:val="20"/>
              </w:rPr>
            </w:pPr>
            <w:r w:rsidRPr="007822C7">
              <w:rPr>
                <w:sz w:val="20"/>
                <w:szCs w:val="20"/>
              </w:rPr>
              <w:t>AUC</w:t>
            </w:r>
            <w:r w:rsidRPr="007822C7">
              <w:rPr>
                <w:sz w:val="20"/>
                <w:szCs w:val="20"/>
                <w:vertAlign w:val="subscript"/>
              </w:rPr>
              <w:t>0–τ</w:t>
            </w:r>
            <w:r w:rsidRPr="007822C7">
              <w:rPr>
                <w:w w:val="50"/>
                <w:sz w:val="20"/>
                <w:szCs w:val="20"/>
                <w:vertAlign w:val="subscript"/>
              </w:rPr>
              <w:t> </w:t>
            </w:r>
            <w:r w:rsidR="007822C7">
              <w:rPr>
                <w:w w:val="50"/>
                <w:sz w:val="20"/>
                <w:szCs w:val="20"/>
                <w:vertAlign w:val="subscript"/>
              </w:rPr>
              <w:t xml:space="preserve"> </w:t>
            </w:r>
            <w:r w:rsidRPr="007822C7">
              <w:rPr>
                <w:sz w:val="20"/>
                <w:szCs w:val="20"/>
              </w:rPr>
              <w:t>(</w:t>
            </w:r>
            <w:proofErr w:type="spellStart"/>
            <w:r w:rsidRPr="007822C7">
              <w:rPr>
                <w:rFonts w:eastAsia="Gulim"/>
                <w:sz w:val="20"/>
                <w:szCs w:val="20"/>
              </w:rPr>
              <w:t>μ</w:t>
            </w:r>
            <w:r w:rsidRPr="007822C7">
              <w:rPr>
                <w:sz w:val="20"/>
                <w:szCs w:val="20"/>
              </w:rPr>
              <w:t>g∙h</w:t>
            </w:r>
            <w:proofErr w:type="spellEnd"/>
            <w:r w:rsidRPr="007822C7">
              <w:rPr>
                <w:sz w:val="20"/>
                <w:szCs w:val="20"/>
              </w:rPr>
              <w:t>/mL)*</w:t>
            </w:r>
          </w:p>
        </w:tc>
        <w:tc>
          <w:tcPr>
            <w:tcW w:w="1417" w:type="dxa"/>
          </w:tcPr>
          <w:p w:rsidR="0094641F" w:rsidRPr="007822C7" w:rsidRDefault="0094641F" w:rsidP="007822C7">
            <w:pPr>
              <w:rPr>
                <w:sz w:val="20"/>
                <w:szCs w:val="20"/>
              </w:rPr>
            </w:pPr>
            <w:r w:rsidRPr="007822C7">
              <w:rPr>
                <w:sz w:val="20"/>
                <w:szCs w:val="20"/>
              </w:rPr>
              <w:t>Exposure ratio in normal humans</w:t>
            </w:r>
            <w:r w:rsidRPr="007822C7">
              <w:rPr>
                <w:sz w:val="20"/>
                <w:szCs w:val="20"/>
                <w:vertAlign w:val="superscript"/>
              </w:rPr>
              <w:t>#</w:t>
            </w:r>
          </w:p>
        </w:tc>
        <w:tc>
          <w:tcPr>
            <w:tcW w:w="1559" w:type="dxa"/>
          </w:tcPr>
          <w:p w:rsidR="0094641F" w:rsidRPr="007822C7" w:rsidRDefault="0094641F" w:rsidP="007822C7">
            <w:pPr>
              <w:rPr>
                <w:sz w:val="20"/>
                <w:szCs w:val="20"/>
                <w:vertAlign w:val="superscript"/>
              </w:rPr>
            </w:pPr>
            <w:r w:rsidRPr="007822C7">
              <w:rPr>
                <w:sz w:val="20"/>
                <w:szCs w:val="20"/>
              </w:rPr>
              <w:t>Exposure ratio in humans with severe renal impairment</w:t>
            </w:r>
            <w:r w:rsidRPr="007822C7">
              <w:rPr>
                <w:sz w:val="20"/>
                <w:szCs w:val="20"/>
                <w:vertAlign w:val="superscript"/>
              </w:rPr>
              <w:t>#</w:t>
            </w:r>
          </w:p>
        </w:tc>
      </w:tr>
      <w:tr w:rsidR="0094641F" w:rsidRPr="007822C7" w:rsidTr="0094641F">
        <w:trPr>
          <w:trHeight w:val="372"/>
        </w:trPr>
        <w:tc>
          <w:tcPr>
            <w:tcW w:w="1384" w:type="dxa"/>
            <w:vMerge w:val="restart"/>
          </w:tcPr>
          <w:p w:rsidR="0094641F" w:rsidRPr="007822C7" w:rsidRDefault="0094641F" w:rsidP="007822C7">
            <w:pPr>
              <w:rPr>
                <w:kern w:val="2"/>
                <w:sz w:val="20"/>
                <w:szCs w:val="20"/>
              </w:rPr>
            </w:pPr>
            <w:r w:rsidRPr="007822C7">
              <w:rPr>
                <w:kern w:val="2"/>
                <w:sz w:val="20"/>
                <w:szCs w:val="20"/>
              </w:rPr>
              <w:t>PSM1256</w:t>
            </w:r>
          </w:p>
          <w:p w:rsidR="0094641F" w:rsidRPr="007822C7" w:rsidRDefault="0094641F" w:rsidP="007822C7">
            <w:pPr>
              <w:rPr>
                <w:kern w:val="2"/>
                <w:sz w:val="20"/>
                <w:szCs w:val="20"/>
              </w:rPr>
            </w:pPr>
            <w:r w:rsidRPr="007822C7">
              <w:rPr>
                <w:b/>
                <w:kern w:val="2"/>
                <w:sz w:val="20"/>
                <w:szCs w:val="20"/>
              </w:rPr>
              <w:t>Mouse</w:t>
            </w:r>
            <w:r w:rsidRPr="007822C7">
              <w:rPr>
                <w:kern w:val="2"/>
                <w:sz w:val="20"/>
                <w:szCs w:val="20"/>
              </w:rPr>
              <w:t xml:space="preserve"> (CD-1)</w:t>
            </w:r>
          </w:p>
        </w:tc>
        <w:tc>
          <w:tcPr>
            <w:tcW w:w="1418" w:type="dxa"/>
            <w:vMerge w:val="restart"/>
          </w:tcPr>
          <w:p w:rsidR="0094641F" w:rsidRPr="007822C7" w:rsidRDefault="0094641F" w:rsidP="007822C7">
            <w:pPr>
              <w:rPr>
                <w:kern w:val="2"/>
                <w:sz w:val="20"/>
                <w:szCs w:val="20"/>
              </w:rPr>
            </w:pPr>
            <w:r w:rsidRPr="007822C7">
              <w:rPr>
                <w:kern w:val="2"/>
                <w:sz w:val="20"/>
                <w:szCs w:val="20"/>
              </w:rPr>
              <w:t>13 Weeks</w:t>
            </w:r>
          </w:p>
          <w:p w:rsidR="0094641F" w:rsidRPr="007822C7" w:rsidRDefault="0094641F" w:rsidP="007822C7">
            <w:pPr>
              <w:rPr>
                <w:kern w:val="2"/>
                <w:sz w:val="20"/>
                <w:szCs w:val="20"/>
              </w:rPr>
            </w:pPr>
            <w:r w:rsidRPr="007822C7">
              <w:rPr>
                <w:kern w:val="2"/>
                <w:sz w:val="20"/>
                <w:szCs w:val="20"/>
              </w:rPr>
              <w:t>PO</w:t>
            </w:r>
          </w:p>
        </w:tc>
        <w:tc>
          <w:tcPr>
            <w:tcW w:w="1417" w:type="dxa"/>
          </w:tcPr>
          <w:p w:rsidR="0094641F" w:rsidRPr="007822C7" w:rsidRDefault="0094641F" w:rsidP="007822C7">
            <w:pPr>
              <w:rPr>
                <w:kern w:val="2"/>
                <w:sz w:val="20"/>
                <w:szCs w:val="20"/>
              </w:rPr>
            </w:pPr>
            <w:r w:rsidRPr="007822C7">
              <w:rPr>
                <w:kern w:val="2"/>
                <w:sz w:val="20"/>
                <w:szCs w:val="20"/>
              </w:rPr>
              <w:t>450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=185ˢ; </w:t>
            </w:r>
            <w:r w:rsidRPr="007822C7">
              <w:rPr>
                <w:rFonts w:ascii="Times New Roman" w:hAnsi="Times New Roman"/>
                <w:kern w:val="2"/>
                <w:sz w:val="20"/>
                <w:szCs w:val="20"/>
              </w:rPr>
              <w:t>♀</w:t>
            </w:r>
            <w:r w:rsidRPr="007822C7">
              <w:rPr>
                <w:kern w:val="2"/>
                <w:sz w:val="20"/>
                <w:szCs w:val="20"/>
              </w:rPr>
              <w:t>=164</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≈13; </w:t>
            </w:r>
            <w:r w:rsidRPr="007822C7">
              <w:rPr>
                <w:rFonts w:ascii="Times New Roman" w:hAnsi="Times New Roman"/>
                <w:kern w:val="2"/>
                <w:sz w:val="20"/>
                <w:szCs w:val="20"/>
              </w:rPr>
              <w:t>♀</w:t>
            </w:r>
            <w:r w:rsidRPr="007822C7">
              <w:rPr>
                <w:kern w:val="2"/>
                <w:sz w:val="20"/>
                <w:szCs w:val="20"/>
              </w:rPr>
              <w:t>≈12</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 </w:t>
            </w:r>
            <w:r w:rsidRPr="007822C7">
              <w:rPr>
                <w:rFonts w:ascii="Times New Roman" w:hAnsi="Times New Roman"/>
                <w:kern w:val="2"/>
                <w:sz w:val="20"/>
                <w:szCs w:val="20"/>
              </w:rPr>
              <w:t>♀</w:t>
            </w:r>
            <w:r w:rsidRPr="007822C7">
              <w:rPr>
                <w:kern w:val="2"/>
                <w:sz w:val="20"/>
                <w:szCs w:val="20"/>
              </w:rPr>
              <w:t>≈3</w:t>
            </w:r>
          </w:p>
        </w:tc>
      </w:tr>
      <w:tr w:rsidR="0094641F" w:rsidRPr="007822C7" w:rsidTr="0094641F">
        <w:trPr>
          <w:trHeight w:val="409"/>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675</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=300; </w:t>
            </w:r>
            <w:r w:rsidRPr="007822C7">
              <w:rPr>
                <w:rFonts w:ascii="Times New Roman" w:hAnsi="Times New Roman"/>
                <w:kern w:val="2"/>
                <w:sz w:val="20"/>
                <w:szCs w:val="20"/>
              </w:rPr>
              <w:t>♀</w:t>
            </w:r>
            <w:r w:rsidRPr="007822C7">
              <w:rPr>
                <w:kern w:val="2"/>
                <w:sz w:val="20"/>
                <w:szCs w:val="20"/>
              </w:rPr>
              <w:t>=289</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≈21 </w:t>
            </w:r>
            <w:r w:rsidRPr="007822C7">
              <w:rPr>
                <w:rFonts w:ascii="Times New Roman" w:hAnsi="Times New Roman"/>
                <w:kern w:val="2"/>
                <w:sz w:val="20"/>
                <w:szCs w:val="20"/>
              </w:rPr>
              <w:t>♀</w:t>
            </w:r>
            <w:r w:rsidRPr="007822C7">
              <w:rPr>
                <w:kern w:val="2"/>
                <w:sz w:val="20"/>
                <w:szCs w:val="20"/>
              </w:rPr>
              <w:t>≈21</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≈5; </w:t>
            </w:r>
            <w:r w:rsidRPr="007822C7">
              <w:rPr>
                <w:rFonts w:ascii="Times New Roman" w:hAnsi="Times New Roman"/>
                <w:kern w:val="2"/>
                <w:sz w:val="20"/>
                <w:szCs w:val="20"/>
              </w:rPr>
              <w:t>♀</w:t>
            </w:r>
            <w:r w:rsidRPr="007822C7">
              <w:rPr>
                <w:kern w:val="2"/>
                <w:sz w:val="20"/>
                <w:szCs w:val="20"/>
              </w:rPr>
              <w:t>≈5</w:t>
            </w:r>
          </w:p>
        </w:tc>
      </w:tr>
      <w:tr w:rsidR="0094641F" w:rsidRPr="007822C7" w:rsidTr="0094641F">
        <w:trPr>
          <w:trHeight w:val="610"/>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1000</w:t>
            </w:r>
          </w:p>
        </w:tc>
        <w:tc>
          <w:tcPr>
            <w:tcW w:w="1418"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=403; </w:t>
            </w:r>
            <w:r w:rsidRPr="007822C7">
              <w:rPr>
                <w:rFonts w:ascii="Times New Roman" w:hAnsi="Times New Roman"/>
                <w:kern w:val="2"/>
                <w:sz w:val="20"/>
                <w:szCs w:val="20"/>
              </w:rPr>
              <w:t>♀</w:t>
            </w:r>
            <w:r w:rsidRPr="007822C7">
              <w:rPr>
                <w:kern w:val="2"/>
                <w:sz w:val="20"/>
                <w:szCs w:val="20"/>
              </w:rPr>
              <w:t>=456</w:t>
            </w:r>
          </w:p>
        </w:tc>
        <w:tc>
          <w:tcPr>
            <w:tcW w:w="1417"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≈29; </w:t>
            </w:r>
            <w:r w:rsidRPr="007822C7">
              <w:rPr>
                <w:rFonts w:ascii="Times New Roman" w:hAnsi="Times New Roman"/>
                <w:kern w:val="2"/>
                <w:sz w:val="20"/>
                <w:szCs w:val="20"/>
              </w:rPr>
              <w:t>♀</w:t>
            </w:r>
            <w:r w:rsidRPr="007822C7">
              <w:rPr>
                <w:kern w:val="2"/>
                <w:sz w:val="20"/>
                <w:szCs w:val="20"/>
              </w:rPr>
              <w:t>≈32</w:t>
            </w:r>
          </w:p>
        </w:tc>
        <w:tc>
          <w:tcPr>
            <w:tcW w:w="1559"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≈7; </w:t>
            </w:r>
            <w:r w:rsidRPr="007822C7">
              <w:rPr>
                <w:rFonts w:ascii="Times New Roman" w:hAnsi="Times New Roman"/>
                <w:kern w:val="2"/>
                <w:sz w:val="20"/>
                <w:szCs w:val="20"/>
              </w:rPr>
              <w:t>♀</w:t>
            </w:r>
            <w:r w:rsidRPr="007822C7">
              <w:rPr>
                <w:kern w:val="2"/>
                <w:sz w:val="20"/>
                <w:szCs w:val="20"/>
              </w:rPr>
              <w:t>≈8</w:t>
            </w:r>
          </w:p>
        </w:tc>
      </w:tr>
      <w:tr w:rsidR="0094641F" w:rsidRPr="007822C7" w:rsidTr="0094641F">
        <w:trPr>
          <w:trHeight w:val="239"/>
        </w:trPr>
        <w:tc>
          <w:tcPr>
            <w:tcW w:w="1384" w:type="dxa"/>
            <w:vMerge w:val="restart"/>
          </w:tcPr>
          <w:p w:rsidR="0094641F" w:rsidRPr="007822C7" w:rsidRDefault="0094641F" w:rsidP="007822C7">
            <w:pPr>
              <w:rPr>
                <w:sz w:val="20"/>
                <w:szCs w:val="20"/>
              </w:rPr>
            </w:pPr>
            <w:r w:rsidRPr="007822C7">
              <w:rPr>
                <w:sz w:val="20"/>
                <w:szCs w:val="20"/>
              </w:rPr>
              <w:t>NCD1304</w:t>
            </w:r>
          </w:p>
          <w:p w:rsidR="0094641F" w:rsidRPr="007822C7" w:rsidRDefault="0094641F" w:rsidP="007822C7">
            <w:pPr>
              <w:rPr>
                <w:b/>
                <w:kern w:val="2"/>
                <w:sz w:val="20"/>
                <w:szCs w:val="20"/>
              </w:rPr>
            </w:pPr>
            <w:r w:rsidRPr="007822C7">
              <w:rPr>
                <w:b/>
                <w:sz w:val="20"/>
                <w:szCs w:val="20"/>
              </w:rPr>
              <w:t>Mouse</w:t>
            </w:r>
            <w:r w:rsidRPr="007822C7">
              <w:rPr>
                <w:sz w:val="20"/>
                <w:szCs w:val="20"/>
              </w:rPr>
              <w:t xml:space="preserve"> (CD-1)</w:t>
            </w:r>
          </w:p>
        </w:tc>
        <w:tc>
          <w:tcPr>
            <w:tcW w:w="1418" w:type="dxa"/>
            <w:vMerge w:val="restart"/>
          </w:tcPr>
          <w:p w:rsidR="0094641F" w:rsidRPr="007822C7" w:rsidRDefault="0094641F" w:rsidP="007822C7">
            <w:pPr>
              <w:rPr>
                <w:kern w:val="2"/>
                <w:sz w:val="20"/>
                <w:szCs w:val="20"/>
              </w:rPr>
            </w:pPr>
            <w:r w:rsidRPr="007822C7">
              <w:rPr>
                <w:kern w:val="2"/>
                <w:sz w:val="20"/>
                <w:szCs w:val="20"/>
              </w:rPr>
              <w:t>104 Weeks</w:t>
            </w:r>
          </w:p>
          <w:p w:rsidR="0094641F" w:rsidRPr="007822C7" w:rsidRDefault="0094641F" w:rsidP="007822C7">
            <w:pPr>
              <w:rPr>
                <w:kern w:val="2"/>
                <w:sz w:val="20"/>
                <w:szCs w:val="20"/>
              </w:rPr>
            </w:pPr>
            <w:r w:rsidRPr="007822C7">
              <w:rPr>
                <w:kern w:val="2"/>
                <w:sz w:val="20"/>
                <w:szCs w:val="20"/>
              </w:rPr>
              <w:t>PO</w:t>
            </w:r>
          </w:p>
        </w:tc>
        <w:tc>
          <w:tcPr>
            <w:tcW w:w="1417" w:type="dxa"/>
          </w:tcPr>
          <w:p w:rsidR="0094641F" w:rsidRPr="007822C7" w:rsidRDefault="0094641F" w:rsidP="007822C7">
            <w:pPr>
              <w:rPr>
                <w:kern w:val="2"/>
                <w:sz w:val="20"/>
                <w:szCs w:val="20"/>
              </w:rPr>
            </w:pPr>
            <w:r w:rsidRPr="007822C7">
              <w:rPr>
                <w:kern w:val="2"/>
                <w:sz w:val="20"/>
                <w:szCs w:val="20"/>
              </w:rPr>
              <w:t>400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=155ˢ; </w:t>
            </w:r>
            <w:r w:rsidRPr="007822C7">
              <w:rPr>
                <w:rFonts w:ascii="Times New Roman" w:hAnsi="Times New Roman"/>
                <w:kern w:val="2"/>
                <w:sz w:val="20"/>
                <w:szCs w:val="20"/>
              </w:rPr>
              <w:t>♀</w:t>
            </w:r>
            <w:r w:rsidRPr="007822C7">
              <w:rPr>
                <w:kern w:val="2"/>
                <w:sz w:val="20"/>
                <w:szCs w:val="20"/>
              </w:rPr>
              <w:t>=148</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≈11; </w:t>
            </w:r>
            <w:r w:rsidRPr="007822C7">
              <w:rPr>
                <w:rFonts w:ascii="Times New Roman" w:hAnsi="Times New Roman"/>
                <w:kern w:val="2"/>
                <w:sz w:val="20"/>
                <w:szCs w:val="20"/>
              </w:rPr>
              <w:t>♀</w:t>
            </w:r>
            <w:r w:rsidRPr="007822C7">
              <w:rPr>
                <w:kern w:val="2"/>
                <w:sz w:val="20"/>
                <w:szCs w:val="20"/>
              </w:rPr>
              <w:t>≈11</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 </w:t>
            </w:r>
            <w:r w:rsidRPr="007822C7">
              <w:rPr>
                <w:rFonts w:ascii="Times New Roman" w:hAnsi="Times New Roman"/>
                <w:kern w:val="2"/>
                <w:sz w:val="20"/>
                <w:szCs w:val="20"/>
              </w:rPr>
              <w:t>♀</w:t>
            </w:r>
            <w:r w:rsidRPr="007822C7">
              <w:rPr>
                <w:kern w:val="2"/>
                <w:sz w:val="20"/>
                <w:szCs w:val="20"/>
              </w:rPr>
              <w:t>≈3</w:t>
            </w:r>
          </w:p>
        </w:tc>
      </w:tr>
      <w:tr w:rsidR="0094641F" w:rsidRPr="007822C7" w:rsidTr="0094641F">
        <w:trPr>
          <w:trHeight w:val="31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550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=241; </w:t>
            </w:r>
            <w:r w:rsidRPr="007822C7">
              <w:rPr>
                <w:rFonts w:ascii="Times New Roman" w:hAnsi="Times New Roman"/>
                <w:kern w:val="2"/>
                <w:sz w:val="20"/>
                <w:szCs w:val="20"/>
              </w:rPr>
              <w:t>♀</w:t>
            </w:r>
            <w:r w:rsidRPr="007822C7">
              <w:rPr>
                <w:kern w:val="2"/>
                <w:sz w:val="20"/>
                <w:szCs w:val="20"/>
              </w:rPr>
              <w:t>=237</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≈17; </w:t>
            </w:r>
            <w:r w:rsidRPr="007822C7">
              <w:rPr>
                <w:rFonts w:ascii="Times New Roman" w:hAnsi="Times New Roman"/>
                <w:kern w:val="2"/>
                <w:sz w:val="20"/>
                <w:szCs w:val="20"/>
              </w:rPr>
              <w:t>♀</w:t>
            </w:r>
            <w:r w:rsidRPr="007822C7">
              <w:rPr>
                <w:kern w:val="2"/>
                <w:sz w:val="20"/>
                <w:szCs w:val="20"/>
              </w:rPr>
              <w:t>≈17</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≈4; </w:t>
            </w:r>
            <w:r w:rsidRPr="007822C7">
              <w:rPr>
                <w:rFonts w:ascii="Times New Roman" w:hAnsi="Times New Roman"/>
                <w:kern w:val="2"/>
                <w:sz w:val="20"/>
                <w:szCs w:val="20"/>
              </w:rPr>
              <w:t>♀</w:t>
            </w:r>
            <w:r w:rsidRPr="007822C7">
              <w:rPr>
                <w:kern w:val="2"/>
                <w:sz w:val="20"/>
                <w:szCs w:val="20"/>
              </w:rPr>
              <w:t>≈4</w:t>
            </w:r>
          </w:p>
        </w:tc>
      </w:tr>
      <w:tr w:rsidR="0094641F" w:rsidRPr="007822C7" w:rsidTr="0094641F">
        <w:trPr>
          <w:trHeight w:val="225"/>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700</w:t>
            </w:r>
          </w:p>
        </w:tc>
        <w:tc>
          <w:tcPr>
            <w:tcW w:w="1418"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=314; </w:t>
            </w:r>
            <w:r w:rsidRPr="007822C7">
              <w:rPr>
                <w:rFonts w:ascii="Times New Roman" w:hAnsi="Times New Roman"/>
                <w:kern w:val="2"/>
                <w:sz w:val="20"/>
                <w:szCs w:val="20"/>
              </w:rPr>
              <w:t>♀</w:t>
            </w:r>
            <w:r w:rsidRPr="007822C7">
              <w:rPr>
                <w:kern w:val="2"/>
                <w:sz w:val="20"/>
                <w:szCs w:val="20"/>
              </w:rPr>
              <w:t>=341</w:t>
            </w:r>
          </w:p>
        </w:tc>
        <w:tc>
          <w:tcPr>
            <w:tcW w:w="1417"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≈22; </w:t>
            </w:r>
            <w:r w:rsidRPr="007822C7">
              <w:rPr>
                <w:rFonts w:ascii="Times New Roman" w:hAnsi="Times New Roman"/>
                <w:kern w:val="2"/>
                <w:sz w:val="20"/>
                <w:szCs w:val="20"/>
              </w:rPr>
              <w:t>♀</w:t>
            </w:r>
            <w:r w:rsidRPr="007822C7">
              <w:rPr>
                <w:kern w:val="2"/>
                <w:sz w:val="20"/>
                <w:szCs w:val="20"/>
              </w:rPr>
              <w:t>≈24</w:t>
            </w:r>
          </w:p>
        </w:tc>
        <w:tc>
          <w:tcPr>
            <w:tcW w:w="1559"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≈6; </w:t>
            </w:r>
            <w:r w:rsidRPr="007822C7">
              <w:rPr>
                <w:rFonts w:ascii="Times New Roman" w:hAnsi="Times New Roman"/>
                <w:kern w:val="2"/>
                <w:sz w:val="20"/>
                <w:szCs w:val="20"/>
              </w:rPr>
              <w:t>♀</w:t>
            </w:r>
            <w:r w:rsidRPr="007822C7">
              <w:rPr>
                <w:kern w:val="2"/>
                <w:sz w:val="20"/>
                <w:szCs w:val="20"/>
              </w:rPr>
              <w:t>≈6</w:t>
            </w:r>
          </w:p>
        </w:tc>
      </w:tr>
      <w:tr w:rsidR="0094641F" w:rsidRPr="007822C7" w:rsidTr="0094641F">
        <w:trPr>
          <w:trHeight w:val="275"/>
        </w:trPr>
        <w:tc>
          <w:tcPr>
            <w:tcW w:w="1384" w:type="dxa"/>
            <w:vMerge w:val="restart"/>
          </w:tcPr>
          <w:p w:rsidR="0094641F" w:rsidRPr="007822C7" w:rsidRDefault="0094641F" w:rsidP="007822C7">
            <w:pPr>
              <w:rPr>
                <w:kern w:val="2"/>
                <w:sz w:val="20"/>
                <w:szCs w:val="20"/>
              </w:rPr>
            </w:pPr>
            <w:r w:rsidRPr="007822C7">
              <w:rPr>
                <w:kern w:val="2"/>
                <w:sz w:val="20"/>
                <w:szCs w:val="20"/>
              </w:rPr>
              <w:t>NCD1540</w:t>
            </w:r>
          </w:p>
          <w:p w:rsidR="0094641F" w:rsidRPr="007822C7" w:rsidRDefault="0094641F" w:rsidP="007822C7">
            <w:pPr>
              <w:rPr>
                <w:b/>
                <w:kern w:val="2"/>
                <w:sz w:val="20"/>
                <w:szCs w:val="20"/>
              </w:rPr>
            </w:pPr>
            <w:r w:rsidRPr="007822C7">
              <w:rPr>
                <w:b/>
                <w:kern w:val="2"/>
                <w:sz w:val="20"/>
                <w:szCs w:val="20"/>
              </w:rPr>
              <w:t xml:space="preserve">Rat </w:t>
            </w:r>
            <w:r w:rsidRPr="007822C7">
              <w:rPr>
                <w:kern w:val="2"/>
                <w:sz w:val="20"/>
                <w:szCs w:val="20"/>
              </w:rPr>
              <w:t>(</w:t>
            </w:r>
            <w:proofErr w:type="spellStart"/>
            <w:r w:rsidRPr="007822C7">
              <w:rPr>
                <w:kern w:val="2"/>
                <w:sz w:val="20"/>
                <w:szCs w:val="20"/>
              </w:rPr>
              <w:t>Wistar</w:t>
            </w:r>
            <w:proofErr w:type="spellEnd"/>
            <w:r w:rsidRPr="007822C7">
              <w:rPr>
                <w:kern w:val="2"/>
                <w:sz w:val="20"/>
                <w:szCs w:val="20"/>
              </w:rPr>
              <w:t>)</w:t>
            </w:r>
          </w:p>
        </w:tc>
        <w:tc>
          <w:tcPr>
            <w:tcW w:w="1418" w:type="dxa"/>
            <w:vMerge w:val="restart"/>
          </w:tcPr>
          <w:p w:rsidR="0094641F" w:rsidRPr="007822C7" w:rsidRDefault="0094641F" w:rsidP="007822C7">
            <w:pPr>
              <w:rPr>
                <w:kern w:val="2"/>
                <w:sz w:val="20"/>
                <w:szCs w:val="20"/>
              </w:rPr>
            </w:pPr>
            <w:r w:rsidRPr="007822C7">
              <w:rPr>
                <w:kern w:val="2"/>
                <w:sz w:val="20"/>
                <w:szCs w:val="20"/>
              </w:rPr>
              <w:t>4 Weeks</w:t>
            </w:r>
          </w:p>
          <w:p w:rsidR="0094641F" w:rsidRPr="007822C7" w:rsidRDefault="00186C40" w:rsidP="007822C7">
            <w:pPr>
              <w:rPr>
                <w:kern w:val="2"/>
                <w:sz w:val="20"/>
                <w:szCs w:val="20"/>
              </w:rPr>
            </w:pPr>
            <w:r w:rsidRPr="007822C7">
              <w:rPr>
                <w:kern w:val="2"/>
                <w:sz w:val="20"/>
                <w:szCs w:val="20"/>
              </w:rPr>
              <w:t>c</w:t>
            </w:r>
            <w:r w:rsidR="0094641F" w:rsidRPr="007822C7">
              <w:rPr>
                <w:kern w:val="2"/>
                <w:sz w:val="20"/>
                <w:szCs w:val="20"/>
              </w:rPr>
              <w:t>ontinuous IV infusion</w:t>
            </w:r>
          </w:p>
        </w:tc>
        <w:tc>
          <w:tcPr>
            <w:tcW w:w="1417" w:type="dxa"/>
          </w:tcPr>
          <w:p w:rsidR="0094641F" w:rsidRPr="007822C7" w:rsidRDefault="0094641F" w:rsidP="007822C7">
            <w:pPr>
              <w:rPr>
                <w:kern w:val="2"/>
                <w:sz w:val="20"/>
                <w:szCs w:val="20"/>
              </w:rPr>
            </w:pPr>
            <w:r w:rsidRPr="007822C7">
              <w:rPr>
                <w:kern w:val="2"/>
                <w:sz w:val="20"/>
                <w:szCs w:val="20"/>
              </w:rPr>
              <w:t>200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=117; </w:t>
            </w:r>
            <w:r w:rsidRPr="007822C7">
              <w:rPr>
                <w:rFonts w:ascii="Times New Roman" w:hAnsi="Times New Roman"/>
                <w:kern w:val="2"/>
                <w:sz w:val="20"/>
                <w:szCs w:val="20"/>
              </w:rPr>
              <w:t>♀</w:t>
            </w:r>
            <w:r w:rsidRPr="007822C7">
              <w:rPr>
                <w:kern w:val="2"/>
                <w:sz w:val="20"/>
                <w:szCs w:val="20"/>
              </w:rPr>
              <w:t>=112</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≈8 </w:t>
            </w:r>
            <w:r w:rsidRPr="007822C7">
              <w:rPr>
                <w:rFonts w:ascii="Times New Roman" w:hAnsi="Times New Roman"/>
                <w:kern w:val="2"/>
                <w:sz w:val="20"/>
                <w:szCs w:val="20"/>
              </w:rPr>
              <w:t>♀</w:t>
            </w:r>
            <w:r w:rsidRPr="007822C7">
              <w:rPr>
                <w:kern w:val="2"/>
                <w:sz w:val="20"/>
                <w:szCs w:val="20"/>
              </w:rPr>
              <w:t>≈8</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≈2</w:t>
            </w:r>
          </w:p>
        </w:tc>
      </w:tr>
      <w:tr w:rsidR="0094641F" w:rsidRPr="007822C7" w:rsidTr="0094641F">
        <w:trPr>
          <w:trHeight w:val="211"/>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600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=352ˢ; </w:t>
            </w:r>
            <w:r w:rsidRPr="007822C7">
              <w:rPr>
                <w:rFonts w:ascii="Times New Roman" w:hAnsi="Times New Roman"/>
                <w:kern w:val="2"/>
                <w:sz w:val="20"/>
                <w:szCs w:val="20"/>
              </w:rPr>
              <w:t>♀</w:t>
            </w:r>
            <w:r w:rsidRPr="007822C7">
              <w:rPr>
                <w:kern w:val="2"/>
                <w:sz w:val="20"/>
                <w:szCs w:val="20"/>
              </w:rPr>
              <w:t>=323</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≈25; </w:t>
            </w:r>
            <w:r w:rsidRPr="007822C7">
              <w:rPr>
                <w:rFonts w:ascii="Times New Roman" w:hAnsi="Times New Roman"/>
                <w:kern w:val="2"/>
                <w:sz w:val="20"/>
                <w:szCs w:val="20"/>
              </w:rPr>
              <w:t>♀</w:t>
            </w:r>
            <w:r w:rsidRPr="007822C7">
              <w:rPr>
                <w:kern w:val="2"/>
                <w:sz w:val="20"/>
                <w:szCs w:val="20"/>
              </w:rPr>
              <w:t>≈23</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≈6; </w:t>
            </w:r>
            <w:r w:rsidRPr="007822C7">
              <w:rPr>
                <w:rFonts w:ascii="Times New Roman" w:hAnsi="Times New Roman"/>
                <w:kern w:val="2"/>
                <w:sz w:val="20"/>
                <w:szCs w:val="20"/>
              </w:rPr>
              <w:t>♀</w:t>
            </w:r>
            <w:r w:rsidRPr="007822C7">
              <w:rPr>
                <w:kern w:val="2"/>
                <w:sz w:val="20"/>
                <w:szCs w:val="20"/>
              </w:rPr>
              <w:t>≈6</w:t>
            </w:r>
          </w:p>
        </w:tc>
      </w:tr>
      <w:tr w:rsidR="0094641F" w:rsidRPr="007822C7" w:rsidTr="0094641F">
        <w:trPr>
          <w:trHeight w:val="248"/>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1000</w:t>
            </w:r>
          </w:p>
        </w:tc>
        <w:tc>
          <w:tcPr>
            <w:tcW w:w="1418"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=658; </w:t>
            </w:r>
            <w:r w:rsidRPr="007822C7">
              <w:rPr>
                <w:rFonts w:ascii="Times New Roman" w:hAnsi="Times New Roman"/>
                <w:kern w:val="2"/>
                <w:sz w:val="20"/>
                <w:szCs w:val="20"/>
              </w:rPr>
              <w:t>♀</w:t>
            </w:r>
            <w:r w:rsidRPr="007822C7">
              <w:rPr>
                <w:kern w:val="2"/>
                <w:sz w:val="20"/>
                <w:szCs w:val="20"/>
              </w:rPr>
              <w:t>=517</w:t>
            </w:r>
          </w:p>
        </w:tc>
        <w:tc>
          <w:tcPr>
            <w:tcW w:w="1417"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≈47; </w:t>
            </w:r>
            <w:r w:rsidRPr="007822C7">
              <w:rPr>
                <w:rFonts w:ascii="Times New Roman" w:hAnsi="Times New Roman"/>
                <w:kern w:val="2"/>
                <w:sz w:val="20"/>
                <w:szCs w:val="20"/>
              </w:rPr>
              <w:t>♀</w:t>
            </w:r>
            <w:r w:rsidRPr="007822C7">
              <w:rPr>
                <w:kern w:val="2"/>
                <w:sz w:val="20"/>
                <w:szCs w:val="20"/>
              </w:rPr>
              <w:t>≈37</w:t>
            </w:r>
          </w:p>
        </w:tc>
        <w:tc>
          <w:tcPr>
            <w:tcW w:w="1559"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≈11; </w:t>
            </w:r>
            <w:r w:rsidRPr="007822C7">
              <w:rPr>
                <w:rFonts w:ascii="Times New Roman" w:hAnsi="Times New Roman"/>
                <w:kern w:val="2"/>
                <w:sz w:val="20"/>
                <w:szCs w:val="20"/>
              </w:rPr>
              <w:t>♀</w:t>
            </w:r>
            <w:r w:rsidRPr="007822C7">
              <w:rPr>
                <w:kern w:val="2"/>
                <w:sz w:val="20"/>
                <w:szCs w:val="20"/>
              </w:rPr>
              <w:t>≈9</w:t>
            </w:r>
          </w:p>
        </w:tc>
      </w:tr>
      <w:tr w:rsidR="0094641F" w:rsidRPr="007822C7" w:rsidTr="0094641F">
        <w:trPr>
          <w:trHeight w:val="170"/>
        </w:trPr>
        <w:tc>
          <w:tcPr>
            <w:tcW w:w="1384" w:type="dxa"/>
            <w:vMerge w:val="restart"/>
          </w:tcPr>
          <w:p w:rsidR="0094641F" w:rsidRPr="007822C7" w:rsidRDefault="0094641F" w:rsidP="007822C7">
            <w:pPr>
              <w:rPr>
                <w:kern w:val="2"/>
                <w:sz w:val="20"/>
                <w:szCs w:val="20"/>
              </w:rPr>
            </w:pPr>
            <w:r w:rsidRPr="007822C7">
              <w:rPr>
                <w:kern w:val="2"/>
                <w:sz w:val="20"/>
                <w:szCs w:val="20"/>
              </w:rPr>
              <w:t>PSM1029</w:t>
            </w:r>
          </w:p>
          <w:p w:rsidR="0094641F" w:rsidRPr="007822C7" w:rsidRDefault="0094641F" w:rsidP="007822C7">
            <w:pPr>
              <w:rPr>
                <w:b/>
                <w:kern w:val="2"/>
                <w:sz w:val="20"/>
                <w:szCs w:val="20"/>
              </w:rPr>
            </w:pPr>
            <w:r w:rsidRPr="007822C7">
              <w:rPr>
                <w:b/>
                <w:kern w:val="2"/>
                <w:sz w:val="20"/>
                <w:szCs w:val="20"/>
              </w:rPr>
              <w:t xml:space="preserve">Rat </w:t>
            </w:r>
            <w:r w:rsidRPr="007822C7">
              <w:rPr>
                <w:kern w:val="2"/>
                <w:sz w:val="20"/>
                <w:szCs w:val="20"/>
              </w:rPr>
              <w:t>(</w:t>
            </w:r>
            <w:proofErr w:type="spellStart"/>
            <w:r w:rsidRPr="007822C7">
              <w:rPr>
                <w:kern w:val="2"/>
                <w:sz w:val="20"/>
                <w:szCs w:val="20"/>
              </w:rPr>
              <w:t>Wistar</w:t>
            </w:r>
            <w:proofErr w:type="spellEnd"/>
            <w:r w:rsidRPr="007822C7">
              <w:rPr>
                <w:kern w:val="2"/>
                <w:sz w:val="20"/>
                <w:szCs w:val="20"/>
              </w:rPr>
              <w:t>)</w:t>
            </w:r>
          </w:p>
        </w:tc>
        <w:tc>
          <w:tcPr>
            <w:tcW w:w="1418" w:type="dxa"/>
            <w:vMerge w:val="restart"/>
          </w:tcPr>
          <w:p w:rsidR="0094641F" w:rsidRPr="007822C7" w:rsidRDefault="0094641F" w:rsidP="007822C7">
            <w:pPr>
              <w:rPr>
                <w:kern w:val="2"/>
                <w:sz w:val="20"/>
                <w:szCs w:val="20"/>
              </w:rPr>
            </w:pPr>
            <w:r w:rsidRPr="007822C7">
              <w:rPr>
                <w:kern w:val="2"/>
                <w:sz w:val="20"/>
                <w:szCs w:val="20"/>
              </w:rPr>
              <w:t>26 Weeks</w:t>
            </w:r>
          </w:p>
          <w:p w:rsidR="0094641F" w:rsidRPr="007822C7" w:rsidRDefault="0094641F" w:rsidP="007822C7">
            <w:pPr>
              <w:rPr>
                <w:kern w:val="2"/>
                <w:sz w:val="20"/>
                <w:szCs w:val="20"/>
              </w:rPr>
            </w:pPr>
            <w:r w:rsidRPr="007822C7">
              <w:rPr>
                <w:kern w:val="2"/>
                <w:sz w:val="20"/>
                <w:szCs w:val="20"/>
              </w:rPr>
              <w:t>PO</w:t>
            </w:r>
          </w:p>
        </w:tc>
        <w:tc>
          <w:tcPr>
            <w:tcW w:w="1417" w:type="dxa"/>
          </w:tcPr>
          <w:p w:rsidR="0094641F" w:rsidRPr="007822C7" w:rsidRDefault="0094641F" w:rsidP="007822C7">
            <w:pPr>
              <w:rPr>
                <w:kern w:val="2"/>
                <w:sz w:val="20"/>
                <w:szCs w:val="20"/>
              </w:rPr>
            </w:pPr>
            <w:r w:rsidRPr="007822C7">
              <w:rPr>
                <w:kern w:val="2"/>
                <w:sz w:val="20"/>
                <w:szCs w:val="20"/>
              </w:rPr>
              <w:t>150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=75.4; </w:t>
            </w:r>
            <w:r w:rsidRPr="007822C7">
              <w:rPr>
                <w:rFonts w:ascii="Times New Roman" w:hAnsi="Times New Roman"/>
                <w:kern w:val="2"/>
                <w:sz w:val="20"/>
                <w:szCs w:val="20"/>
              </w:rPr>
              <w:t>♀</w:t>
            </w:r>
            <w:r w:rsidRPr="007822C7">
              <w:rPr>
                <w:kern w:val="2"/>
                <w:sz w:val="20"/>
                <w:szCs w:val="20"/>
              </w:rPr>
              <w:t>=82.6</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≈5; </w:t>
            </w:r>
            <w:r w:rsidRPr="007822C7">
              <w:rPr>
                <w:rFonts w:ascii="Times New Roman" w:hAnsi="Times New Roman"/>
                <w:kern w:val="2"/>
                <w:sz w:val="20"/>
                <w:szCs w:val="20"/>
              </w:rPr>
              <w:t>♀</w:t>
            </w:r>
            <w:r w:rsidRPr="007822C7">
              <w:rPr>
                <w:kern w:val="2"/>
                <w:sz w:val="20"/>
                <w:szCs w:val="20"/>
              </w:rPr>
              <w:t>≈6</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 </w:t>
            </w:r>
            <w:r w:rsidRPr="007822C7">
              <w:rPr>
                <w:rFonts w:ascii="Times New Roman" w:hAnsi="Times New Roman"/>
                <w:kern w:val="2"/>
                <w:sz w:val="20"/>
                <w:szCs w:val="20"/>
              </w:rPr>
              <w:t>♀</w:t>
            </w:r>
            <w:r w:rsidRPr="007822C7">
              <w:rPr>
                <w:kern w:val="2"/>
                <w:sz w:val="20"/>
                <w:szCs w:val="20"/>
              </w:rPr>
              <w:t>≈1</w:t>
            </w:r>
          </w:p>
        </w:tc>
      </w:tr>
      <w:tr w:rsidR="0094641F" w:rsidRPr="007822C7" w:rsidTr="0094641F">
        <w:trPr>
          <w:trHeight w:val="24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230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=151; </w:t>
            </w:r>
            <w:r w:rsidRPr="007822C7">
              <w:rPr>
                <w:rFonts w:ascii="Times New Roman" w:hAnsi="Times New Roman"/>
                <w:kern w:val="2"/>
                <w:sz w:val="20"/>
                <w:szCs w:val="20"/>
              </w:rPr>
              <w:t>♀</w:t>
            </w:r>
            <w:r w:rsidRPr="007822C7">
              <w:rPr>
                <w:kern w:val="2"/>
                <w:sz w:val="20"/>
                <w:szCs w:val="20"/>
              </w:rPr>
              <w:t>=151</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≈11; </w:t>
            </w:r>
            <w:r w:rsidRPr="007822C7">
              <w:rPr>
                <w:rFonts w:ascii="Times New Roman" w:hAnsi="Times New Roman"/>
                <w:kern w:val="2"/>
                <w:sz w:val="20"/>
                <w:szCs w:val="20"/>
              </w:rPr>
              <w:t>♀</w:t>
            </w:r>
            <w:r w:rsidRPr="007822C7">
              <w:rPr>
                <w:kern w:val="2"/>
                <w:sz w:val="20"/>
                <w:szCs w:val="20"/>
              </w:rPr>
              <w:t>≈11</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 </w:t>
            </w:r>
            <w:r w:rsidRPr="007822C7">
              <w:rPr>
                <w:rFonts w:ascii="Times New Roman" w:hAnsi="Times New Roman"/>
                <w:kern w:val="2"/>
                <w:sz w:val="20"/>
                <w:szCs w:val="20"/>
              </w:rPr>
              <w:t>♀</w:t>
            </w:r>
            <w:r w:rsidRPr="007822C7">
              <w:rPr>
                <w:kern w:val="2"/>
                <w:sz w:val="20"/>
                <w:szCs w:val="20"/>
              </w:rPr>
              <w:t>≈3</w:t>
            </w:r>
          </w:p>
        </w:tc>
      </w:tr>
      <w:tr w:rsidR="0094641F" w:rsidRPr="007822C7" w:rsidTr="0094641F">
        <w:trPr>
          <w:trHeight w:val="425"/>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450</w:t>
            </w:r>
          </w:p>
        </w:tc>
        <w:tc>
          <w:tcPr>
            <w:tcW w:w="1418"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=276ˢ; </w:t>
            </w:r>
            <w:r w:rsidRPr="007822C7">
              <w:rPr>
                <w:rFonts w:ascii="Times New Roman" w:hAnsi="Times New Roman"/>
                <w:kern w:val="2"/>
                <w:sz w:val="20"/>
                <w:szCs w:val="20"/>
              </w:rPr>
              <w:t>♀</w:t>
            </w:r>
            <w:r w:rsidRPr="007822C7">
              <w:rPr>
                <w:kern w:val="2"/>
                <w:sz w:val="20"/>
                <w:szCs w:val="20"/>
              </w:rPr>
              <w:t>=276</w:t>
            </w:r>
          </w:p>
        </w:tc>
        <w:tc>
          <w:tcPr>
            <w:tcW w:w="1417"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≈20; </w:t>
            </w:r>
            <w:r w:rsidRPr="007822C7">
              <w:rPr>
                <w:rFonts w:ascii="Times New Roman" w:hAnsi="Times New Roman"/>
                <w:kern w:val="2"/>
                <w:sz w:val="20"/>
                <w:szCs w:val="20"/>
              </w:rPr>
              <w:t>♀</w:t>
            </w:r>
            <w:r w:rsidRPr="007822C7">
              <w:rPr>
                <w:kern w:val="2"/>
                <w:sz w:val="20"/>
                <w:szCs w:val="20"/>
              </w:rPr>
              <w:t>≈20</w:t>
            </w:r>
          </w:p>
        </w:tc>
        <w:tc>
          <w:tcPr>
            <w:tcW w:w="1559"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≈5; </w:t>
            </w:r>
            <w:r w:rsidRPr="007822C7">
              <w:rPr>
                <w:rFonts w:ascii="Times New Roman" w:hAnsi="Times New Roman"/>
                <w:kern w:val="2"/>
                <w:sz w:val="20"/>
                <w:szCs w:val="20"/>
              </w:rPr>
              <w:t>♀</w:t>
            </w:r>
            <w:r w:rsidRPr="007822C7">
              <w:rPr>
                <w:kern w:val="2"/>
                <w:sz w:val="20"/>
                <w:szCs w:val="20"/>
              </w:rPr>
              <w:t>≈5</w:t>
            </w:r>
          </w:p>
        </w:tc>
      </w:tr>
      <w:tr w:rsidR="0094641F" w:rsidRPr="007822C7" w:rsidTr="0094641F">
        <w:trPr>
          <w:trHeight w:val="347"/>
        </w:trPr>
        <w:tc>
          <w:tcPr>
            <w:tcW w:w="1384" w:type="dxa"/>
            <w:vMerge w:val="restart"/>
          </w:tcPr>
          <w:p w:rsidR="0094641F" w:rsidRPr="007822C7" w:rsidRDefault="0094641F" w:rsidP="007822C7">
            <w:pPr>
              <w:rPr>
                <w:kern w:val="2"/>
                <w:sz w:val="20"/>
                <w:szCs w:val="20"/>
              </w:rPr>
            </w:pPr>
            <w:r w:rsidRPr="007822C7">
              <w:rPr>
                <w:kern w:val="2"/>
                <w:sz w:val="20"/>
                <w:szCs w:val="20"/>
              </w:rPr>
              <w:t>NCD1305</w:t>
            </w:r>
          </w:p>
          <w:p w:rsidR="0094641F" w:rsidRPr="007822C7" w:rsidRDefault="0094641F" w:rsidP="007822C7">
            <w:pPr>
              <w:rPr>
                <w:b/>
                <w:kern w:val="2"/>
                <w:sz w:val="20"/>
                <w:szCs w:val="20"/>
              </w:rPr>
            </w:pPr>
            <w:r w:rsidRPr="007822C7">
              <w:rPr>
                <w:b/>
                <w:kern w:val="2"/>
                <w:sz w:val="20"/>
                <w:szCs w:val="20"/>
              </w:rPr>
              <w:t xml:space="preserve">Rat </w:t>
            </w:r>
            <w:r w:rsidRPr="007822C7">
              <w:rPr>
                <w:kern w:val="2"/>
                <w:sz w:val="20"/>
                <w:szCs w:val="20"/>
              </w:rPr>
              <w:t>(</w:t>
            </w:r>
            <w:proofErr w:type="spellStart"/>
            <w:r w:rsidRPr="007822C7">
              <w:rPr>
                <w:kern w:val="2"/>
                <w:sz w:val="20"/>
                <w:szCs w:val="20"/>
              </w:rPr>
              <w:t>Wistar</w:t>
            </w:r>
            <w:proofErr w:type="spellEnd"/>
            <w:r w:rsidRPr="007822C7">
              <w:rPr>
                <w:kern w:val="2"/>
                <w:sz w:val="20"/>
                <w:szCs w:val="20"/>
              </w:rPr>
              <w:t>)</w:t>
            </w:r>
          </w:p>
          <w:p w:rsidR="0094641F" w:rsidRPr="007822C7" w:rsidRDefault="0094641F" w:rsidP="007822C7">
            <w:pPr>
              <w:rPr>
                <w:b/>
                <w:kern w:val="2"/>
                <w:sz w:val="20"/>
                <w:szCs w:val="20"/>
              </w:rPr>
            </w:pPr>
          </w:p>
        </w:tc>
        <w:tc>
          <w:tcPr>
            <w:tcW w:w="1418" w:type="dxa"/>
            <w:vMerge w:val="restart"/>
          </w:tcPr>
          <w:p w:rsidR="0094641F" w:rsidRPr="007822C7" w:rsidRDefault="0094641F" w:rsidP="007822C7">
            <w:pPr>
              <w:rPr>
                <w:kern w:val="2"/>
                <w:sz w:val="20"/>
                <w:szCs w:val="20"/>
              </w:rPr>
            </w:pPr>
            <w:r w:rsidRPr="007822C7">
              <w:rPr>
                <w:kern w:val="2"/>
                <w:sz w:val="20"/>
                <w:szCs w:val="20"/>
              </w:rPr>
              <w:t>52 Weeks</w:t>
            </w:r>
          </w:p>
          <w:p w:rsidR="0094641F" w:rsidRPr="007822C7" w:rsidRDefault="0094641F" w:rsidP="007822C7">
            <w:pPr>
              <w:rPr>
                <w:kern w:val="2"/>
                <w:sz w:val="20"/>
                <w:szCs w:val="20"/>
              </w:rPr>
            </w:pPr>
            <w:r w:rsidRPr="007822C7">
              <w:rPr>
                <w:kern w:val="2"/>
                <w:sz w:val="20"/>
                <w:szCs w:val="20"/>
              </w:rPr>
              <w:t>PO</w:t>
            </w:r>
          </w:p>
          <w:p w:rsidR="0094641F" w:rsidRPr="007822C7" w:rsidRDefault="0094641F" w:rsidP="007822C7">
            <w:pPr>
              <w:rPr>
                <w:kern w:val="2"/>
                <w:sz w:val="20"/>
                <w:szCs w:val="20"/>
              </w:rPr>
            </w:pPr>
            <w:r w:rsidRPr="007822C7">
              <w:rPr>
                <w:kern w:val="2"/>
                <w:sz w:val="20"/>
                <w:szCs w:val="20"/>
              </w:rPr>
              <w:t>(104 week study)</w:t>
            </w:r>
          </w:p>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150</w:t>
            </w:r>
          </w:p>
        </w:tc>
        <w:tc>
          <w:tcPr>
            <w:tcW w:w="1418"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=102; </w:t>
            </w:r>
            <w:r w:rsidRPr="007822C7">
              <w:rPr>
                <w:rFonts w:ascii="Times New Roman" w:hAnsi="Times New Roman"/>
                <w:kern w:val="2"/>
                <w:sz w:val="20"/>
                <w:szCs w:val="20"/>
              </w:rPr>
              <w:t>♀</w:t>
            </w:r>
            <w:r w:rsidRPr="007822C7">
              <w:rPr>
                <w:kern w:val="2"/>
                <w:sz w:val="20"/>
                <w:szCs w:val="20"/>
              </w:rPr>
              <w:t>=92.7</w:t>
            </w:r>
          </w:p>
        </w:tc>
        <w:tc>
          <w:tcPr>
            <w:tcW w:w="1417"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≈7; </w:t>
            </w:r>
            <w:r w:rsidRPr="007822C7">
              <w:rPr>
                <w:rFonts w:ascii="Times New Roman" w:hAnsi="Times New Roman"/>
                <w:kern w:val="2"/>
                <w:sz w:val="20"/>
                <w:szCs w:val="20"/>
              </w:rPr>
              <w:t>♀</w:t>
            </w:r>
            <w:r w:rsidRPr="007822C7">
              <w:rPr>
                <w:kern w:val="2"/>
                <w:sz w:val="20"/>
                <w:szCs w:val="20"/>
              </w:rPr>
              <w:t>≈7</w:t>
            </w:r>
          </w:p>
        </w:tc>
        <w:tc>
          <w:tcPr>
            <w:tcW w:w="1559"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≈2</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230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=167; </w:t>
            </w:r>
            <w:r w:rsidRPr="007822C7">
              <w:rPr>
                <w:rFonts w:ascii="Times New Roman" w:hAnsi="Times New Roman"/>
                <w:kern w:val="2"/>
                <w:sz w:val="20"/>
                <w:szCs w:val="20"/>
              </w:rPr>
              <w:t>♀</w:t>
            </w:r>
            <w:r w:rsidRPr="007822C7">
              <w:rPr>
                <w:kern w:val="2"/>
                <w:sz w:val="20"/>
                <w:szCs w:val="20"/>
              </w:rPr>
              <w:t>=154</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≈12; </w:t>
            </w:r>
            <w:r w:rsidRPr="007822C7">
              <w:rPr>
                <w:rFonts w:ascii="Times New Roman" w:hAnsi="Times New Roman"/>
                <w:kern w:val="2"/>
                <w:sz w:val="20"/>
                <w:szCs w:val="20"/>
              </w:rPr>
              <w:t>♀</w:t>
            </w:r>
            <w:r w:rsidRPr="007822C7">
              <w:rPr>
                <w:kern w:val="2"/>
                <w:sz w:val="20"/>
                <w:szCs w:val="20"/>
              </w:rPr>
              <w:t>≈11</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 </w:t>
            </w:r>
            <w:r w:rsidRPr="007822C7">
              <w:rPr>
                <w:rFonts w:ascii="Times New Roman" w:hAnsi="Times New Roman"/>
                <w:kern w:val="2"/>
                <w:sz w:val="20"/>
                <w:szCs w:val="20"/>
              </w:rPr>
              <w:t>♀</w:t>
            </w:r>
            <w:r w:rsidRPr="007822C7">
              <w:rPr>
                <w:kern w:val="2"/>
                <w:sz w:val="20"/>
                <w:szCs w:val="20"/>
              </w:rPr>
              <w:t>≈3</w:t>
            </w:r>
          </w:p>
        </w:tc>
      </w:tr>
      <w:tr w:rsidR="0094641F" w:rsidRPr="007822C7" w:rsidTr="0094641F">
        <w:trPr>
          <w:trHeight w:val="191"/>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450</w:t>
            </w:r>
          </w:p>
        </w:tc>
        <w:tc>
          <w:tcPr>
            <w:tcW w:w="1418"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=337; </w:t>
            </w:r>
            <w:r w:rsidRPr="007822C7">
              <w:rPr>
                <w:rFonts w:ascii="Times New Roman" w:hAnsi="Times New Roman"/>
                <w:kern w:val="2"/>
                <w:sz w:val="20"/>
                <w:szCs w:val="20"/>
              </w:rPr>
              <w:t>♀</w:t>
            </w:r>
            <w:r w:rsidRPr="007822C7">
              <w:rPr>
                <w:kern w:val="2"/>
                <w:sz w:val="20"/>
                <w:szCs w:val="20"/>
              </w:rPr>
              <w:t>=347</w:t>
            </w:r>
          </w:p>
        </w:tc>
        <w:tc>
          <w:tcPr>
            <w:tcW w:w="1417"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≈24; </w:t>
            </w:r>
            <w:r w:rsidRPr="007822C7">
              <w:rPr>
                <w:rFonts w:ascii="Times New Roman" w:hAnsi="Times New Roman"/>
                <w:kern w:val="2"/>
                <w:sz w:val="20"/>
                <w:szCs w:val="20"/>
              </w:rPr>
              <w:t>♀</w:t>
            </w:r>
            <w:r w:rsidRPr="007822C7">
              <w:rPr>
                <w:kern w:val="2"/>
                <w:sz w:val="20"/>
                <w:szCs w:val="20"/>
              </w:rPr>
              <w:t>≈25</w:t>
            </w:r>
          </w:p>
        </w:tc>
        <w:tc>
          <w:tcPr>
            <w:tcW w:w="1559" w:type="dxa"/>
          </w:tcPr>
          <w:p w:rsidR="0094641F" w:rsidRPr="007822C7" w:rsidRDefault="0094641F"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≈6; </w:t>
            </w:r>
            <w:r w:rsidRPr="007822C7">
              <w:rPr>
                <w:rFonts w:ascii="Times New Roman" w:hAnsi="Times New Roman"/>
                <w:kern w:val="2"/>
                <w:sz w:val="20"/>
                <w:szCs w:val="20"/>
              </w:rPr>
              <w:t>♀</w:t>
            </w:r>
            <w:r w:rsidRPr="007822C7">
              <w:rPr>
                <w:kern w:val="2"/>
                <w:sz w:val="20"/>
                <w:szCs w:val="20"/>
              </w:rPr>
              <w:t>≈6</w:t>
            </w:r>
          </w:p>
        </w:tc>
      </w:tr>
      <w:tr w:rsidR="0094641F" w:rsidRPr="007822C7" w:rsidTr="0094641F">
        <w:trPr>
          <w:trHeight w:val="383"/>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700</w:t>
            </w:r>
          </w:p>
        </w:tc>
        <w:tc>
          <w:tcPr>
            <w:tcW w:w="1418"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=476ˢ; </w:t>
            </w:r>
            <w:r w:rsidRPr="007822C7">
              <w:rPr>
                <w:rFonts w:ascii="Times New Roman" w:hAnsi="Times New Roman"/>
                <w:kern w:val="2"/>
                <w:sz w:val="20"/>
                <w:szCs w:val="20"/>
              </w:rPr>
              <w:t>♀</w:t>
            </w:r>
            <w:r w:rsidRPr="007822C7">
              <w:rPr>
                <w:kern w:val="2"/>
                <w:sz w:val="20"/>
                <w:szCs w:val="20"/>
              </w:rPr>
              <w:t>=449</w:t>
            </w:r>
          </w:p>
        </w:tc>
        <w:tc>
          <w:tcPr>
            <w:tcW w:w="1417"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≈34; </w:t>
            </w:r>
            <w:r w:rsidRPr="007822C7">
              <w:rPr>
                <w:rFonts w:ascii="Times New Roman" w:hAnsi="Times New Roman"/>
                <w:kern w:val="2"/>
                <w:sz w:val="20"/>
                <w:szCs w:val="20"/>
              </w:rPr>
              <w:t>♀</w:t>
            </w:r>
            <w:r w:rsidRPr="007822C7">
              <w:rPr>
                <w:kern w:val="2"/>
                <w:sz w:val="20"/>
                <w:szCs w:val="20"/>
              </w:rPr>
              <w:t>≈32</w:t>
            </w:r>
          </w:p>
        </w:tc>
        <w:tc>
          <w:tcPr>
            <w:tcW w:w="1559" w:type="dxa"/>
          </w:tcPr>
          <w:p w:rsidR="0094641F" w:rsidRPr="007822C7" w:rsidRDefault="0094641F" w:rsidP="007822C7">
            <w:pPr>
              <w:rPr>
                <w:sz w:val="20"/>
                <w:szCs w:val="20"/>
              </w:rPr>
            </w:pPr>
            <w:r w:rsidRPr="007822C7">
              <w:rPr>
                <w:rFonts w:ascii="Times New Roman" w:hAnsi="Times New Roman"/>
                <w:kern w:val="2"/>
                <w:sz w:val="20"/>
                <w:szCs w:val="20"/>
              </w:rPr>
              <w:t>♂</w:t>
            </w:r>
            <w:r w:rsidRPr="007822C7">
              <w:rPr>
                <w:kern w:val="2"/>
                <w:sz w:val="20"/>
                <w:szCs w:val="20"/>
              </w:rPr>
              <w:t xml:space="preserve">≈8; </w:t>
            </w:r>
            <w:r w:rsidRPr="007822C7">
              <w:rPr>
                <w:rFonts w:ascii="Times New Roman" w:hAnsi="Times New Roman"/>
                <w:kern w:val="2"/>
                <w:sz w:val="20"/>
                <w:szCs w:val="20"/>
              </w:rPr>
              <w:t>♀</w:t>
            </w:r>
            <w:r w:rsidRPr="007822C7">
              <w:rPr>
                <w:kern w:val="2"/>
                <w:sz w:val="20"/>
                <w:szCs w:val="20"/>
              </w:rPr>
              <w:t>≈8</w:t>
            </w:r>
          </w:p>
        </w:tc>
      </w:tr>
      <w:tr w:rsidR="0094641F" w:rsidRPr="007822C7" w:rsidTr="0094641F">
        <w:trPr>
          <w:trHeight w:val="227"/>
        </w:trPr>
        <w:tc>
          <w:tcPr>
            <w:tcW w:w="1384" w:type="dxa"/>
            <w:vMerge w:val="restart"/>
          </w:tcPr>
          <w:p w:rsidR="0094641F" w:rsidRPr="007822C7" w:rsidRDefault="0094641F" w:rsidP="007822C7">
            <w:pPr>
              <w:rPr>
                <w:sz w:val="20"/>
                <w:szCs w:val="20"/>
              </w:rPr>
            </w:pPr>
            <w:r w:rsidRPr="007822C7">
              <w:rPr>
                <w:sz w:val="20"/>
                <w:szCs w:val="20"/>
              </w:rPr>
              <w:t>PSM1013</w:t>
            </w:r>
          </w:p>
          <w:p w:rsidR="0094641F" w:rsidRPr="007822C7" w:rsidRDefault="0094641F" w:rsidP="007822C7">
            <w:pPr>
              <w:rPr>
                <w:b/>
                <w:kern w:val="2"/>
                <w:sz w:val="20"/>
                <w:szCs w:val="20"/>
              </w:rPr>
            </w:pPr>
            <w:r w:rsidRPr="007822C7">
              <w:rPr>
                <w:b/>
                <w:sz w:val="20"/>
                <w:szCs w:val="20"/>
              </w:rPr>
              <w:t>Dog</w:t>
            </w:r>
            <w:r w:rsidRPr="007822C7">
              <w:rPr>
                <w:sz w:val="20"/>
                <w:szCs w:val="20"/>
              </w:rPr>
              <w:t xml:space="preserve"> (Beagle)</w:t>
            </w:r>
          </w:p>
        </w:tc>
        <w:tc>
          <w:tcPr>
            <w:tcW w:w="1418" w:type="dxa"/>
            <w:vMerge w:val="restart"/>
          </w:tcPr>
          <w:p w:rsidR="0094641F" w:rsidRPr="007822C7" w:rsidRDefault="0094641F" w:rsidP="007822C7">
            <w:pPr>
              <w:rPr>
                <w:kern w:val="2"/>
                <w:sz w:val="20"/>
                <w:szCs w:val="20"/>
              </w:rPr>
            </w:pPr>
            <w:r w:rsidRPr="007822C7">
              <w:rPr>
                <w:kern w:val="2"/>
                <w:sz w:val="20"/>
                <w:szCs w:val="20"/>
              </w:rPr>
              <w:t>26 Weeks</w:t>
            </w:r>
          </w:p>
          <w:p w:rsidR="0094641F" w:rsidRPr="007822C7" w:rsidRDefault="0094641F" w:rsidP="007822C7">
            <w:pPr>
              <w:rPr>
                <w:kern w:val="2"/>
                <w:sz w:val="20"/>
                <w:szCs w:val="20"/>
              </w:rPr>
            </w:pPr>
            <w:r w:rsidRPr="007822C7">
              <w:rPr>
                <w:kern w:val="2"/>
                <w:sz w:val="20"/>
                <w:szCs w:val="20"/>
              </w:rPr>
              <w:t>PO</w:t>
            </w:r>
          </w:p>
        </w:tc>
        <w:tc>
          <w:tcPr>
            <w:tcW w:w="1417" w:type="dxa"/>
          </w:tcPr>
          <w:p w:rsidR="0094641F" w:rsidRPr="007822C7" w:rsidRDefault="0094641F" w:rsidP="007822C7">
            <w:pPr>
              <w:rPr>
                <w:kern w:val="2"/>
                <w:sz w:val="20"/>
                <w:szCs w:val="20"/>
              </w:rPr>
            </w:pPr>
            <w:r w:rsidRPr="007822C7">
              <w:rPr>
                <w:kern w:val="2"/>
                <w:sz w:val="20"/>
                <w:szCs w:val="20"/>
              </w:rPr>
              <w:t>15</w:t>
            </w:r>
          </w:p>
        </w:tc>
        <w:tc>
          <w:tcPr>
            <w:tcW w:w="1418" w:type="dxa"/>
          </w:tcPr>
          <w:p w:rsidR="0094641F" w:rsidRPr="007822C7" w:rsidRDefault="0094641F" w:rsidP="007822C7">
            <w:pPr>
              <w:rPr>
                <w:kern w:val="2"/>
                <w:sz w:val="20"/>
                <w:szCs w:val="20"/>
              </w:rPr>
            </w:pPr>
            <w:r w:rsidRPr="007822C7">
              <w:rPr>
                <w:kern w:val="2"/>
                <w:sz w:val="20"/>
                <w:szCs w:val="20"/>
              </w:rPr>
              <w:t>28.5</w:t>
            </w:r>
          </w:p>
        </w:tc>
        <w:tc>
          <w:tcPr>
            <w:tcW w:w="1417" w:type="dxa"/>
          </w:tcPr>
          <w:p w:rsidR="0094641F" w:rsidRPr="007822C7" w:rsidRDefault="0094641F" w:rsidP="007822C7">
            <w:pPr>
              <w:rPr>
                <w:kern w:val="2"/>
                <w:sz w:val="20"/>
                <w:szCs w:val="20"/>
              </w:rPr>
            </w:pPr>
            <w:r w:rsidRPr="007822C7">
              <w:rPr>
                <w:kern w:val="2"/>
                <w:sz w:val="20"/>
                <w:szCs w:val="20"/>
              </w:rPr>
              <w:t>≈2</w:t>
            </w:r>
          </w:p>
        </w:tc>
        <w:tc>
          <w:tcPr>
            <w:tcW w:w="1559" w:type="dxa"/>
          </w:tcPr>
          <w:p w:rsidR="0094641F" w:rsidRPr="007822C7" w:rsidRDefault="0094641F" w:rsidP="007822C7">
            <w:pPr>
              <w:rPr>
                <w:kern w:val="2"/>
                <w:sz w:val="20"/>
                <w:szCs w:val="20"/>
              </w:rPr>
            </w:pPr>
            <w:r w:rsidRPr="007822C7">
              <w:rPr>
                <w:kern w:val="2"/>
                <w:sz w:val="20"/>
                <w:szCs w:val="20"/>
              </w:rPr>
              <w:t>≈0.5</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37.5</w:t>
            </w:r>
          </w:p>
        </w:tc>
        <w:tc>
          <w:tcPr>
            <w:tcW w:w="1418" w:type="dxa"/>
          </w:tcPr>
          <w:p w:rsidR="0094641F" w:rsidRPr="007822C7" w:rsidRDefault="0094641F" w:rsidP="007822C7">
            <w:pPr>
              <w:rPr>
                <w:kern w:val="2"/>
                <w:sz w:val="20"/>
                <w:szCs w:val="20"/>
              </w:rPr>
            </w:pPr>
            <w:r w:rsidRPr="007822C7">
              <w:rPr>
                <w:kern w:val="2"/>
                <w:sz w:val="20"/>
                <w:szCs w:val="20"/>
              </w:rPr>
              <w:t>59.9</w:t>
            </w:r>
          </w:p>
        </w:tc>
        <w:tc>
          <w:tcPr>
            <w:tcW w:w="1417" w:type="dxa"/>
          </w:tcPr>
          <w:p w:rsidR="0094641F" w:rsidRPr="007822C7" w:rsidRDefault="0094641F" w:rsidP="007822C7">
            <w:pPr>
              <w:rPr>
                <w:sz w:val="20"/>
                <w:szCs w:val="20"/>
              </w:rPr>
            </w:pPr>
            <w:r w:rsidRPr="007822C7">
              <w:rPr>
                <w:kern w:val="2"/>
                <w:sz w:val="20"/>
                <w:szCs w:val="20"/>
              </w:rPr>
              <w:t>≈4</w:t>
            </w:r>
          </w:p>
        </w:tc>
        <w:tc>
          <w:tcPr>
            <w:tcW w:w="1559" w:type="dxa"/>
          </w:tcPr>
          <w:p w:rsidR="0094641F" w:rsidRPr="007822C7" w:rsidRDefault="0094641F" w:rsidP="007822C7">
            <w:pPr>
              <w:rPr>
                <w:sz w:val="20"/>
                <w:szCs w:val="20"/>
              </w:rPr>
            </w:pPr>
            <w:r w:rsidRPr="007822C7">
              <w:rPr>
                <w:kern w:val="2"/>
                <w:sz w:val="20"/>
                <w:szCs w:val="20"/>
              </w:rPr>
              <w:t>≈1.0</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75</w:t>
            </w:r>
          </w:p>
        </w:tc>
        <w:tc>
          <w:tcPr>
            <w:tcW w:w="1418" w:type="dxa"/>
          </w:tcPr>
          <w:p w:rsidR="0094641F" w:rsidRPr="007822C7" w:rsidRDefault="0094641F" w:rsidP="007822C7">
            <w:pPr>
              <w:rPr>
                <w:sz w:val="20"/>
                <w:szCs w:val="20"/>
              </w:rPr>
            </w:pPr>
            <w:r w:rsidRPr="007822C7">
              <w:rPr>
                <w:sz w:val="20"/>
                <w:szCs w:val="20"/>
              </w:rPr>
              <w:t>106</w:t>
            </w:r>
          </w:p>
        </w:tc>
        <w:tc>
          <w:tcPr>
            <w:tcW w:w="1417" w:type="dxa"/>
          </w:tcPr>
          <w:p w:rsidR="0094641F" w:rsidRPr="007822C7" w:rsidRDefault="0094641F" w:rsidP="007822C7">
            <w:pPr>
              <w:rPr>
                <w:sz w:val="20"/>
                <w:szCs w:val="20"/>
              </w:rPr>
            </w:pPr>
            <w:r w:rsidRPr="007822C7">
              <w:rPr>
                <w:kern w:val="2"/>
                <w:sz w:val="20"/>
                <w:szCs w:val="20"/>
              </w:rPr>
              <w:t>≈8</w:t>
            </w:r>
          </w:p>
        </w:tc>
        <w:tc>
          <w:tcPr>
            <w:tcW w:w="1559" w:type="dxa"/>
          </w:tcPr>
          <w:p w:rsidR="0094641F" w:rsidRPr="007822C7" w:rsidRDefault="0094641F" w:rsidP="007822C7">
            <w:pPr>
              <w:rPr>
                <w:sz w:val="20"/>
                <w:szCs w:val="20"/>
              </w:rPr>
            </w:pPr>
            <w:r w:rsidRPr="007822C7">
              <w:rPr>
                <w:kern w:val="2"/>
                <w:sz w:val="20"/>
                <w:szCs w:val="20"/>
              </w:rPr>
              <w:t>≈2</w:t>
            </w:r>
          </w:p>
        </w:tc>
      </w:tr>
      <w:tr w:rsidR="0094641F" w:rsidRPr="007822C7" w:rsidTr="0094641F">
        <w:trPr>
          <w:trHeight w:val="227"/>
        </w:trPr>
        <w:tc>
          <w:tcPr>
            <w:tcW w:w="1384" w:type="dxa"/>
            <w:vMerge w:val="restart"/>
          </w:tcPr>
          <w:p w:rsidR="0094641F" w:rsidRPr="007822C7" w:rsidRDefault="0094641F" w:rsidP="007822C7">
            <w:pPr>
              <w:rPr>
                <w:sz w:val="20"/>
                <w:szCs w:val="20"/>
              </w:rPr>
            </w:pPr>
            <w:r w:rsidRPr="007822C7">
              <w:rPr>
                <w:sz w:val="20"/>
                <w:szCs w:val="20"/>
              </w:rPr>
              <w:t>NCD1543</w:t>
            </w:r>
          </w:p>
          <w:p w:rsidR="0094641F" w:rsidRPr="007822C7" w:rsidRDefault="0094641F" w:rsidP="007822C7">
            <w:pPr>
              <w:rPr>
                <w:b/>
                <w:kern w:val="2"/>
                <w:sz w:val="20"/>
                <w:szCs w:val="20"/>
              </w:rPr>
            </w:pPr>
            <w:r w:rsidRPr="007822C7">
              <w:rPr>
                <w:b/>
                <w:sz w:val="20"/>
                <w:szCs w:val="20"/>
              </w:rPr>
              <w:t>Dog</w:t>
            </w:r>
            <w:r w:rsidRPr="007822C7">
              <w:rPr>
                <w:sz w:val="20"/>
                <w:szCs w:val="20"/>
              </w:rPr>
              <w:t xml:space="preserve"> (Beagle)</w:t>
            </w:r>
          </w:p>
        </w:tc>
        <w:tc>
          <w:tcPr>
            <w:tcW w:w="1418" w:type="dxa"/>
            <w:vMerge w:val="restart"/>
          </w:tcPr>
          <w:p w:rsidR="0094641F" w:rsidRPr="007822C7" w:rsidRDefault="0094641F" w:rsidP="007822C7">
            <w:pPr>
              <w:rPr>
                <w:kern w:val="2"/>
                <w:sz w:val="20"/>
                <w:szCs w:val="20"/>
              </w:rPr>
            </w:pPr>
            <w:r w:rsidRPr="007822C7">
              <w:rPr>
                <w:kern w:val="2"/>
                <w:sz w:val="20"/>
                <w:szCs w:val="20"/>
              </w:rPr>
              <w:t>4 Weeks</w:t>
            </w:r>
          </w:p>
          <w:p w:rsidR="0094641F" w:rsidRPr="007822C7" w:rsidRDefault="003E34C6" w:rsidP="007822C7">
            <w:pPr>
              <w:rPr>
                <w:kern w:val="2"/>
                <w:sz w:val="20"/>
                <w:szCs w:val="20"/>
              </w:rPr>
            </w:pPr>
            <w:r w:rsidRPr="007822C7">
              <w:rPr>
                <w:kern w:val="2"/>
                <w:sz w:val="20"/>
                <w:szCs w:val="20"/>
              </w:rPr>
              <w:t>c</w:t>
            </w:r>
            <w:r w:rsidR="0094641F" w:rsidRPr="007822C7">
              <w:rPr>
                <w:kern w:val="2"/>
                <w:sz w:val="20"/>
                <w:szCs w:val="20"/>
              </w:rPr>
              <w:t>ontinuous IV infusion</w:t>
            </w:r>
          </w:p>
        </w:tc>
        <w:tc>
          <w:tcPr>
            <w:tcW w:w="1417" w:type="dxa"/>
          </w:tcPr>
          <w:p w:rsidR="0094641F" w:rsidRPr="007822C7" w:rsidRDefault="0094641F" w:rsidP="007822C7">
            <w:pPr>
              <w:rPr>
                <w:kern w:val="2"/>
                <w:sz w:val="20"/>
                <w:szCs w:val="20"/>
              </w:rPr>
            </w:pPr>
            <w:r w:rsidRPr="007822C7">
              <w:rPr>
                <w:kern w:val="2"/>
                <w:sz w:val="20"/>
                <w:szCs w:val="20"/>
              </w:rPr>
              <w:t>30</w:t>
            </w:r>
          </w:p>
        </w:tc>
        <w:tc>
          <w:tcPr>
            <w:tcW w:w="1418" w:type="dxa"/>
          </w:tcPr>
          <w:p w:rsidR="0094641F" w:rsidRPr="007822C7" w:rsidRDefault="0094641F" w:rsidP="007822C7">
            <w:pPr>
              <w:rPr>
                <w:kern w:val="2"/>
                <w:sz w:val="20"/>
                <w:szCs w:val="20"/>
              </w:rPr>
            </w:pPr>
            <w:r w:rsidRPr="007822C7">
              <w:rPr>
                <w:kern w:val="2"/>
                <w:sz w:val="20"/>
                <w:szCs w:val="20"/>
              </w:rPr>
              <w:t>70.9</w:t>
            </w:r>
          </w:p>
        </w:tc>
        <w:tc>
          <w:tcPr>
            <w:tcW w:w="1417" w:type="dxa"/>
          </w:tcPr>
          <w:p w:rsidR="0094641F" w:rsidRPr="007822C7" w:rsidRDefault="0094641F" w:rsidP="007822C7">
            <w:pPr>
              <w:rPr>
                <w:sz w:val="20"/>
                <w:szCs w:val="20"/>
              </w:rPr>
            </w:pPr>
            <w:r w:rsidRPr="007822C7">
              <w:rPr>
                <w:kern w:val="2"/>
                <w:sz w:val="20"/>
                <w:szCs w:val="20"/>
              </w:rPr>
              <w:t>≈5</w:t>
            </w:r>
          </w:p>
        </w:tc>
        <w:tc>
          <w:tcPr>
            <w:tcW w:w="1559" w:type="dxa"/>
          </w:tcPr>
          <w:p w:rsidR="0094641F" w:rsidRPr="007822C7" w:rsidRDefault="0094641F" w:rsidP="007822C7">
            <w:pPr>
              <w:rPr>
                <w:sz w:val="20"/>
                <w:szCs w:val="20"/>
              </w:rPr>
            </w:pPr>
            <w:r w:rsidRPr="007822C7">
              <w:rPr>
                <w:kern w:val="2"/>
                <w:sz w:val="20"/>
                <w:szCs w:val="20"/>
              </w:rPr>
              <w:t>≈1</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100</w:t>
            </w:r>
          </w:p>
        </w:tc>
        <w:tc>
          <w:tcPr>
            <w:tcW w:w="1418" w:type="dxa"/>
          </w:tcPr>
          <w:p w:rsidR="0094641F" w:rsidRPr="007822C7" w:rsidRDefault="0094641F" w:rsidP="007822C7">
            <w:pPr>
              <w:rPr>
                <w:kern w:val="2"/>
                <w:sz w:val="20"/>
                <w:szCs w:val="20"/>
              </w:rPr>
            </w:pPr>
            <w:r w:rsidRPr="007822C7">
              <w:rPr>
                <w:kern w:val="2"/>
                <w:sz w:val="20"/>
                <w:szCs w:val="20"/>
              </w:rPr>
              <w:t>161</w:t>
            </w:r>
          </w:p>
        </w:tc>
        <w:tc>
          <w:tcPr>
            <w:tcW w:w="1417" w:type="dxa"/>
          </w:tcPr>
          <w:p w:rsidR="0094641F" w:rsidRPr="007822C7" w:rsidRDefault="0094641F" w:rsidP="007822C7">
            <w:pPr>
              <w:rPr>
                <w:sz w:val="20"/>
                <w:szCs w:val="20"/>
              </w:rPr>
            </w:pPr>
            <w:r w:rsidRPr="007822C7">
              <w:rPr>
                <w:kern w:val="2"/>
                <w:sz w:val="20"/>
                <w:szCs w:val="20"/>
              </w:rPr>
              <w:t>≈11</w:t>
            </w:r>
          </w:p>
        </w:tc>
        <w:tc>
          <w:tcPr>
            <w:tcW w:w="1559" w:type="dxa"/>
          </w:tcPr>
          <w:p w:rsidR="0094641F" w:rsidRPr="007822C7" w:rsidRDefault="0094641F" w:rsidP="007822C7">
            <w:pPr>
              <w:rPr>
                <w:sz w:val="20"/>
                <w:szCs w:val="20"/>
              </w:rPr>
            </w:pPr>
            <w:r w:rsidRPr="007822C7">
              <w:rPr>
                <w:kern w:val="2"/>
                <w:sz w:val="20"/>
                <w:szCs w:val="20"/>
              </w:rPr>
              <w:t>≈3</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150/200</w:t>
            </w:r>
          </w:p>
        </w:tc>
        <w:tc>
          <w:tcPr>
            <w:tcW w:w="1418" w:type="dxa"/>
          </w:tcPr>
          <w:p w:rsidR="0094641F" w:rsidRPr="007822C7" w:rsidRDefault="0094641F" w:rsidP="007822C7">
            <w:pPr>
              <w:rPr>
                <w:kern w:val="2"/>
                <w:sz w:val="20"/>
                <w:szCs w:val="20"/>
              </w:rPr>
            </w:pPr>
            <w:r w:rsidRPr="007822C7">
              <w:rPr>
                <w:kern w:val="2"/>
                <w:sz w:val="20"/>
                <w:szCs w:val="20"/>
              </w:rPr>
              <w:t>305</w:t>
            </w:r>
          </w:p>
        </w:tc>
        <w:tc>
          <w:tcPr>
            <w:tcW w:w="1417" w:type="dxa"/>
          </w:tcPr>
          <w:p w:rsidR="0094641F" w:rsidRPr="007822C7" w:rsidRDefault="0094641F" w:rsidP="007822C7">
            <w:pPr>
              <w:rPr>
                <w:sz w:val="20"/>
                <w:szCs w:val="20"/>
              </w:rPr>
            </w:pPr>
            <w:r w:rsidRPr="007822C7">
              <w:rPr>
                <w:kern w:val="2"/>
                <w:sz w:val="20"/>
                <w:szCs w:val="20"/>
              </w:rPr>
              <w:t>≈22</w:t>
            </w:r>
          </w:p>
        </w:tc>
        <w:tc>
          <w:tcPr>
            <w:tcW w:w="1559" w:type="dxa"/>
          </w:tcPr>
          <w:p w:rsidR="0094641F" w:rsidRPr="007822C7" w:rsidRDefault="0094641F" w:rsidP="007822C7">
            <w:pPr>
              <w:rPr>
                <w:sz w:val="20"/>
                <w:szCs w:val="20"/>
              </w:rPr>
            </w:pPr>
            <w:r w:rsidRPr="007822C7">
              <w:rPr>
                <w:kern w:val="2"/>
                <w:sz w:val="20"/>
                <w:szCs w:val="20"/>
              </w:rPr>
              <w:t>≈5</w:t>
            </w:r>
          </w:p>
        </w:tc>
      </w:tr>
      <w:tr w:rsidR="0094641F" w:rsidRPr="007822C7" w:rsidTr="0094641F">
        <w:trPr>
          <w:trHeight w:val="227"/>
        </w:trPr>
        <w:tc>
          <w:tcPr>
            <w:tcW w:w="1384" w:type="dxa"/>
            <w:vMerge w:val="restart"/>
          </w:tcPr>
          <w:p w:rsidR="0094641F" w:rsidRPr="007822C7" w:rsidRDefault="0094641F" w:rsidP="007822C7">
            <w:pPr>
              <w:rPr>
                <w:sz w:val="20"/>
                <w:szCs w:val="20"/>
              </w:rPr>
            </w:pPr>
            <w:r w:rsidRPr="007822C7">
              <w:rPr>
                <w:sz w:val="20"/>
                <w:szCs w:val="20"/>
              </w:rPr>
              <w:t>PSM1101</w:t>
            </w:r>
          </w:p>
          <w:p w:rsidR="0094641F" w:rsidRPr="007822C7" w:rsidRDefault="0094641F" w:rsidP="007822C7">
            <w:pPr>
              <w:rPr>
                <w:b/>
                <w:kern w:val="2"/>
                <w:sz w:val="20"/>
                <w:szCs w:val="20"/>
              </w:rPr>
            </w:pPr>
            <w:r w:rsidRPr="007822C7">
              <w:rPr>
                <w:b/>
                <w:sz w:val="20"/>
                <w:szCs w:val="20"/>
              </w:rPr>
              <w:t>Monkey</w:t>
            </w:r>
          </w:p>
        </w:tc>
        <w:tc>
          <w:tcPr>
            <w:tcW w:w="1418" w:type="dxa"/>
            <w:vMerge w:val="restart"/>
          </w:tcPr>
          <w:p w:rsidR="0094641F" w:rsidRPr="007822C7" w:rsidRDefault="0094641F" w:rsidP="007822C7">
            <w:pPr>
              <w:rPr>
                <w:kern w:val="2"/>
                <w:sz w:val="20"/>
                <w:szCs w:val="20"/>
              </w:rPr>
            </w:pPr>
            <w:r w:rsidRPr="007822C7">
              <w:rPr>
                <w:kern w:val="2"/>
                <w:sz w:val="20"/>
                <w:szCs w:val="20"/>
              </w:rPr>
              <w:t>4 Weeks</w:t>
            </w:r>
          </w:p>
          <w:p w:rsidR="0094641F" w:rsidRPr="007822C7" w:rsidRDefault="0094641F" w:rsidP="007822C7">
            <w:pPr>
              <w:rPr>
                <w:kern w:val="2"/>
                <w:sz w:val="20"/>
                <w:szCs w:val="20"/>
              </w:rPr>
            </w:pPr>
            <w:r w:rsidRPr="007822C7">
              <w:rPr>
                <w:kern w:val="2"/>
                <w:sz w:val="20"/>
                <w:szCs w:val="20"/>
              </w:rPr>
              <w:t>PO</w:t>
            </w:r>
          </w:p>
        </w:tc>
        <w:tc>
          <w:tcPr>
            <w:tcW w:w="1417" w:type="dxa"/>
          </w:tcPr>
          <w:p w:rsidR="0094641F" w:rsidRPr="007822C7" w:rsidRDefault="0094641F" w:rsidP="007822C7">
            <w:pPr>
              <w:rPr>
                <w:kern w:val="2"/>
                <w:sz w:val="20"/>
                <w:szCs w:val="20"/>
              </w:rPr>
            </w:pPr>
            <w:r w:rsidRPr="007822C7">
              <w:rPr>
                <w:kern w:val="2"/>
                <w:sz w:val="20"/>
                <w:szCs w:val="20"/>
              </w:rPr>
              <w:t>300</w:t>
            </w:r>
          </w:p>
        </w:tc>
        <w:tc>
          <w:tcPr>
            <w:tcW w:w="1418" w:type="dxa"/>
          </w:tcPr>
          <w:p w:rsidR="0094641F" w:rsidRPr="007822C7" w:rsidRDefault="0094641F" w:rsidP="007822C7">
            <w:pPr>
              <w:rPr>
                <w:kern w:val="2"/>
                <w:sz w:val="20"/>
                <w:szCs w:val="20"/>
              </w:rPr>
            </w:pPr>
            <w:r w:rsidRPr="007822C7">
              <w:rPr>
                <w:kern w:val="2"/>
                <w:sz w:val="20"/>
                <w:szCs w:val="20"/>
              </w:rPr>
              <w:t>649</w:t>
            </w:r>
          </w:p>
        </w:tc>
        <w:tc>
          <w:tcPr>
            <w:tcW w:w="1417" w:type="dxa"/>
          </w:tcPr>
          <w:p w:rsidR="0094641F" w:rsidRPr="007822C7" w:rsidRDefault="0094641F" w:rsidP="007822C7">
            <w:pPr>
              <w:rPr>
                <w:sz w:val="20"/>
                <w:szCs w:val="20"/>
              </w:rPr>
            </w:pPr>
            <w:r w:rsidRPr="007822C7">
              <w:rPr>
                <w:sz w:val="20"/>
                <w:szCs w:val="20"/>
              </w:rPr>
              <w:t>≈46</w:t>
            </w:r>
          </w:p>
        </w:tc>
        <w:tc>
          <w:tcPr>
            <w:tcW w:w="1559" w:type="dxa"/>
          </w:tcPr>
          <w:p w:rsidR="0094641F" w:rsidRPr="007822C7" w:rsidRDefault="0094641F" w:rsidP="007822C7">
            <w:pPr>
              <w:rPr>
                <w:sz w:val="20"/>
                <w:szCs w:val="20"/>
              </w:rPr>
            </w:pPr>
            <w:r w:rsidRPr="007822C7">
              <w:rPr>
                <w:sz w:val="20"/>
                <w:szCs w:val="20"/>
              </w:rPr>
              <w:t>≈11</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600</w:t>
            </w:r>
          </w:p>
        </w:tc>
        <w:tc>
          <w:tcPr>
            <w:tcW w:w="1418" w:type="dxa"/>
          </w:tcPr>
          <w:p w:rsidR="0094641F" w:rsidRPr="007822C7" w:rsidRDefault="0094641F" w:rsidP="007822C7">
            <w:pPr>
              <w:rPr>
                <w:kern w:val="2"/>
                <w:sz w:val="20"/>
                <w:szCs w:val="20"/>
              </w:rPr>
            </w:pPr>
            <w:r w:rsidRPr="007822C7">
              <w:rPr>
                <w:kern w:val="2"/>
                <w:sz w:val="20"/>
                <w:szCs w:val="20"/>
              </w:rPr>
              <w:t>1069</w:t>
            </w:r>
          </w:p>
        </w:tc>
        <w:tc>
          <w:tcPr>
            <w:tcW w:w="1417" w:type="dxa"/>
          </w:tcPr>
          <w:p w:rsidR="0094641F" w:rsidRPr="007822C7" w:rsidRDefault="0094641F" w:rsidP="007822C7">
            <w:pPr>
              <w:rPr>
                <w:sz w:val="20"/>
                <w:szCs w:val="20"/>
              </w:rPr>
            </w:pPr>
            <w:r w:rsidRPr="007822C7">
              <w:rPr>
                <w:sz w:val="20"/>
                <w:szCs w:val="20"/>
              </w:rPr>
              <w:t>≈76</w:t>
            </w:r>
          </w:p>
        </w:tc>
        <w:tc>
          <w:tcPr>
            <w:tcW w:w="1559" w:type="dxa"/>
          </w:tcPr>
          <w:p w:rsidR="0094641F" w:rsidRPr="007822C7" w:rsidRDefault="0094641F" w:rsidP="007822C7">
            <w:pPr>
              <w:rPr>
                <w:sz w:val="20"/>
                <w:szCs w:val="20"/>
              </w:rPr>
            </w:pPr>
            <w:r w:rsidRPr="007822C7">
              <w:rPr>
                <w:sz w:val="20"/>
                <w:szCs w:val="20"/>
              </w:rPr>
              <w:t>≈19</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900</w:t>
            </w:r>
          </w:p>
        </w:tc>
        <w:tc>
          <w:tcPr>
            <w:tcW w:w="1418" w:type="dxa"/>
          </w:tcPr>
          <w:p w:rsidR="0094641F" w:rsidRPr="007822C7" w:rsidRDefault="0094641F" w:rsidP="007822C7">
            <w:pPr>
              <w:rPr>
                <w:kern w:val="2"/>
                <w:sz w:val="20"/>
                <w:szCs w:val="20"/>
              </w:rPr>
            </w:pPr>
            <w:r w:rsidRPr="007822C7">
              <w:rPr>
                <w:kern w:val="2"/>
                <w:sz w:val="20"/>
                <w:szCs w:val="20"/>
              </w:rPr>
              <w:t>1231</w:t>
            </w:r>
          </w:p>
        </w:tc>
        <w:tc>
          <w:tcPr>
            <w:tcW w:w="1417" w:type="dxa"/>
          </w:tcPr>
          <w:p w:rsidR="0094641F" w:rsidRPr="007822C7" w:rsidRDefault="0094641F" w:rsidP="007822C7">
            <w:pPr>
              <w:rPr>
                <w:sz w:val="20"/>
                <w:szCs w:val="20"/>
              </w:rPr>
            </w:pPr>
            <w:r w:rsidRPr="007822C7">
              <w:rPr>
                <w:sz w:val="20"/>
                <w:szCs w:val="20"/>
              </w:rPr>
              <w:t>≈87</w:t>
            </w:r>
          </w:p>
        </w:tc>
        <w:tc>
          <w:tcPr>
            <w:tcW w:w="1559" w:type="dxa"/>
          </w:tcPr>
          <w:p w:rsidR="0094641F" w:rsidRPr="007822C7" w:rsidRDefault="0094641F" w:rsidP="007822C7">
            <w:pPr>
              <w:rPr>
                <w:sz w:val="20"/>
                <w:szCs w:val="20"/>
              </w:rPr>
            </w:pPr>
            <w:r w:rsidRPr="007822C7">
              <w:rPr>
                <w:sz w:val="20"/>
                <w:szCs w:val="20"/>
              </w:rPr>
              <w:t>≈21</w:t>
            </w:r>
          </w:p>
        </w:tc>
      </w:tr>
      <w:tr w:rsidR="0094641F" w:rsidRPr="007822C7" w:rsidTr="0094641F">
        <w:trPr>
          <w:trHeight w:val="227"/>
        </w:trPr>
        <w:tc>
          <w:tcPr>
            <w:tcW w:w="1384" w:type="dxa"/>
            <w:vMerge w:val="restart"/>
          </w:tcPr>
          <w:p w:rsidR="0094641F" w:rsidRPr="007822C7" w:rsidRDefault="0094641F" w:rsidP="007822C7">
            <w:pPr>
              <w:rPr>
                <w:sz w:val="20"/>
                <w:szCs w:val="20"/>
              </w:rPr>
            </w:pPr>
            <w:r w:rsidRPr="007822C7">
              <w:rPr>
                <w:sz w:val="20"/>
                <w:szCs w:val="20"/>
              </w:rPr>
              <w:t>PSM1140</w:t>
            </w:r>
          </w:p>
          <w:p w:rsidR="0094641F" w:rsidRPr="007822C7" w:rsidRDefault="0094641F" w:rsidP="007822C7">
            <w:pPr>
              <w:rPr>
                <w:b/>
                <w:kern w:val="2"/>
                <w:sz w:val="20"/>
                <w:szCs w:val="20"/>
              </w:rPr>
            </w:pPr>
            <w:r w:rsidRPr="007822C7">
              <w:rPr>
                <w:b/>
                <w:sz w:val="20"/>
                <w:szCs w:val="20"/>
              </w:rPr>
              <w:t>Monkey</w:t>
            </w:r>
          </w:p>
        </w:tc>
        <w:tc>
          <w:tcPr>
            <w:tcW w:w="1418" w:type="dxa"/>
            <w:vMerge w:val="restart"/>
          </w:tcPr>
          <w:p w:rsidR="0094641F" w:rsidRPr="007822C7" w:rsidRDefault="0094641F" w:rsidP="007822C7">
            <w:pPr>
              <w:rPr>
                <w:kern w:val="2"/>
                <w:sz w:val="20"/>
                <w:szCs w:val="20"/>
              </w:rPr>
            </w:pPr>
            <w:r w:rsidRPr="007822C7">
              <w:rPr>
                <w:kern w:val="2"/>
                <w:sz w:val="20"/>
                <w:szCs w:val="20"/>
              </w:rPr>
              <w:t>39 Weeks</w:t>
            </w:r>
          </w:p>
          <w:p w:rsidR="0094641F" w:rsidRPr="007822C7" w:rsidRDefault="0094641F" w:rsidP="007822C7">
            <w:pPr>
              <w:rPr>
                <w:kern w:val="2"/>
                <w:sz w:val="20"/>
                <w:szCs w:val="20"/>
              </w:rPr>
            </w:pPr>
            <w:r w:rsidRPr="007822C7">
              <w:rPr>
                <w:kern w:val="2"/>
                <w:sz w:val="20"/>
                <w:szCs w:val="20"/>
              </w:rPr>
              <w:t>PO</w:t>
            </w:r>
          </w:p>
        </w:tc>
        <w:tc>
          <w:tcPr>
            <w:tcW w:w="1417" w:type="dxa"/>
          </w:tcPr>
          <w:p w:rsidR="0094641F" w:rsidRPr="007822C7" w:rsidRDefault="0094641F" w:rsidP="007822C7">
            <w:pPr>
              <w:rPr>
                <w:kern w:val="2"/>
                <w:sz w:val="20"/>
                <w:szCs w:val="20"/>
              </w:rPr>
            </w:pPr>
            <w:r w:rsidRPr="007822C7">
              <w:rPr>
                <w:kern w:val="2"/>
                <w:sz w:val="20"/>
                <w:szCs w:val="20"/>
              </w:rPr>
              <w:t>300</w:t>
            </w:r>
          </w:p>
        </w:tc>
        <w:tc>
          <w:tcPr>
            <w:tcW w:w="1418" w:type="dxa"/>
          </w:tcPr>
          <w:p w:rsidR="0094641F" w:rsidRPr="007822C7" w:rsidRDefault="0094641F" w:rsidP="007822C7">
            <w:pPr>
              <w:rPr>
                <w:kern w:val="2"/>
                <w:sz w:val="20"/>
                <w:szCs w:val="20"/>
              </w:rPr>
            </w:pPr>
            <w:r w:rsidRPr="007822C7">
              <w:rPr>
                <w:kern w:val="2"/>
                <w:sz w:val="20"/>
                <w:szCs w:val="20"/>
              </w:rPr>
              <w:t>≈729</w:t>
            </w:r>
          </w:p>
        </w:tc>
        <w:tc>
          <w:tcPr>
            <w:tcW w:w="1417" w:type="dxa"/>
          </w:tcPr>
          <w:p w:rsidR="0094641F" w:rsidRPr="007822C7" w:rsidRDefault="0094641F" w:rsidP="007822C7">
            <w:pPr>
              <w:rPr>
                <w:sz w:val="20"/>
                <w:szCs w:val="20"/>
              </w:rPr>
            </w:pPr>
            <w:r w:rsidRPr="007822C7">
              <w:rPr>
                <w:sz w:val="20"/>
                <w:szCs w:val="20"/>
              </w:rPr>
              <w:t>≈52</w:t>
            </w:r>
          </w:p>
        </w:tc>
        <w:tc>
          <w:tcPr>
            <w:tcW w:w="1559" w:type="dxa"/>
          </w:tcPr>
          <w:p w:rsidR="0094641F" w:rsidRPr="007822C7" w:rsidRDefault="0094641F" w:rsidP="007822C7">
            <w:pPr>
              <w:rPr>
                <w:sz w:val="20"/>
                <w:szCs w:val="20"/>
              </w:rPr>
            </w:pPr>
            <w:r w:rsidRPr="007822C7">
              <w:rPr>
                <w:sz w:val="20"/>
                <w:szCs w:val="20"/>
              </w:rPr>
              <w:t>≈13</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600</w:t>
            </w:r>
          </w:p>
        </w:tc>
        <w:tc>
          <w:tcPr>
            <w:tcW w:w="1418" w:type="dxa"/>
          </w:tcPr>
          <w:p w:rsidR="0094641F" w:rsidRPr="007822C7" w:rsidRDefault="0094641F" w:rsidP="007822C7">
            <w:pPr>
              <w:rPr>
                <w:kern w:val="2"/>
                <w:sz w:val="20"/>
                <w:szCs w:val="20"/>
              </w:rPr>
            </w:pPr>
            <w:r w:rsidRPr="007822C7">
              <w:rPr>
                <w:kern w:val="2"/>
                <w:sz w:val="20"/>
                <w:szCs w:val="20"/>
              </w:rPr>
              <w:t>≈1054</w:t>
            </w:r>
          </w:p>
        </w:tc>
        <w:tc>
          <w:tcPr>
            <w:tcW w:w="1417" w:type="dxa"/>
          </w:tcPr>
          <w:p w:rsidR="0094641F" w:rsidRPr="007822C7" w:rsidRDefault="0094641F" w:rsidP="007822C7">
            <w:pPr>
              <w:rPr>
                <w:sz w:val="20"/>
                <w:szCs w:val="20"/>
              </w:rPr>
            </w:pPr>
            <w:r w:rsidRPr="007822C7">
              <w:rPr>
                <w:sz w:val="20"/>
                <w:szCs w:val="20"/>
              </w:rPr>
              <w:t>≈75</w:t>
            </w:r>
          </w:p>
        </w:tc>
        <w:tc>
          <w:tcPr>
            <w:tcW w:w="1559" w:type="dxa"/>
          </w:tcPr>
          <w:p w:rsidR="0094641F" w:rsidRPr="007822C7" w:rsidRDefault="0094641F" w:rsidP="007822C7">
            <w:pPr>
              <w:rPr>
                <w:sz w:val="20"/>
                <w:szCs w:val="20"/>
              </w:rPr>
            </w:pPr>
            <w:r w:rsidRPr="007822C7">
              <w:rPr>
                <w:sz w:val="20"/>
                <w:szCs w:val="20"/>
              </w:rPr>
              <w:t>≈18</w:t>
            </w:r>
          </w:p>
        </w:tc>
      </w:tr>
      <w:tr w:rsidR="0094641F" w:rsidRPr="007822C7" w:rsidTr="0094641F">
        <w:trPr>
          <w:trHeight w:val="227"/>
        </w:trPr>
        <w:tc>
          <w:tcPr>
            <w:tcW w:w="1384" w:type="dxa"/>
            <w:vMerge/>
          </w:tcPr>
          <w:p w:rsidR="0094641F" w:rsidRPr="007822C7" w:rsidRDefault="0094641F" w:rsidP="007822C7">
            <w:pPr>
              <w:rPr>
                <w:b/>
                <w:kern w:val="2"/>
                <w:sz w:val="20"/>
                <w:szCs w:val="20"/>
              </w:rPr>
            </w:pPr>
          </w:p>
        </w:tc>
        <w:tc>
          <w:tcPr>
            <w:tcW w:w="1418" w:type="dxa"/>
            <w:vMerge/>
          </w:tcPr>
          <w:p w:rsidR="0094641F" w:rsidRPr="007822C7" w:rsidRDefault="0094641F" w:rsidP="007822C7">
            <w:pPr>
              <w:rPr>
                <w:kern w:val="2"/>
                <w:sz w:val="20"/>
                <w:szCs w:val="20"/>
              </w:rPr>
            </w:pPr>
          </w:p>
        </w:tc>
        <w:tc>
          <w:tcPr>
            <w:tcW w:w="1417" w:type="dxa"/>
          </w:tcPr>
          <w:p w:rsidR="0094641F" w:rsidRPr="007822C7" w:rsidRDefault="0094641F" w:rsidP="007822C7">
            <w:pPr>
              <w:rPr>
                <w:kern w:val="2"/>
                <w:sz w:val="20"/>
                <w:szCs w:val="20"/>
              </w:rPr>
            </w:pPr>
            <w:r w:rsidRPr="007822C7">
              <w:rPr>
                <w:kern w:val="2"/>
                <w:sz w:val="20"/>
                <w:szCs w:val="20"/>
              </w:rPr>
              <w:t>900</w:t>
            </w:r>
          </w:p>
        </w:tc>
        <w:tc>
          <w:tcPr>
            <w:tcW w:w="1418" w:type="dxa"/>
          </w:tcPr>
          <w:p w:rsidR="0094641F" w:rsidRPr="007822C7" w:rsidRDefault="0094641F" w:rsidP="007822C7">
            <w:pPr>
              <w:rPr>
                <w:sz w:val="20"/>
                <w:szCs w:val="20"/>
              </w:rPr>
            </w:pPr>
            <w:r w:rsidRPr="007822C7">
              <w:rPr>
                <w:sz w:val="20"/>
                <w:szCs w:val="20"/>
              </w:rPr>
              <w:t>≈1458</w:t>
            </w:r>
          </w:p>
        </w:tc>
        <w:tc>
          <w:tcPr>
            <w:tcW w:w="1417" w:type="dxa"/>
          </w:tcPr>
          <w:p w:rsidR="0094641F" w:rsidRPr="007822C7" w:rsidRDefault="0094641F" w:rsidP="007822C7">
            <w:pPr>
              <w:rPr>
                <w:sz w:val="20"/>
                <w:szCs w:val="20"/>
              </w:rPr>
            </w:pPr>
            <w:r w:rsidRPr="007822C7">
              <w:rPr>
                <w:sz w:val="20"/>
                <w:szCs w:val="20"/>
              </w:rPr>
              <w:t>≈103</w:t>
            </w:r>
          </w:p>
        </w:tc>
        <w:tc>
          <w:tcPr>
            <w:tcW w:w="1559" w:type="dxa"/>
          </w:tcPr>
          <w:p w:rsidR="0094641F" w:rsidRPr="007822C7" w:rsidRDefault="0094641F" w:rsidP="007822C7">
            <w:pPr>
              <w:rPr>
                <w:sz w:val="20"/>
                <w:szCs w:val="20"/>
              </w:rPr>
            </w:pPr>
            <w:r w:rsidRPr="007822C7">
              <w:rPr>
                <w:sz w:val="20"/>
                <w:szCs w:val="20"/>
              </w:rPr>
              <w:t>≈25</w:t>
            </w:r>
          </w:p>
        </w:tc>
      </w:tr>
    </w:tbl>
    <w:p w:rsidR="0094641F" w:rsidRPr="001872B4" w:rsidRDefault="0094641F" w:rsidP="0094641F">
      <w:pPr>
        <w:pStyle w:val="TableDescription"/>
      </w:pPr>
      <w:r w:rsidRPr="001872B4">
        <w:t xml:space="preserve">* </w:t>
      </w:r>
      <w:proofErr w:type="gramStart"/>
      <w:r w:rsidRPr="001872B4">
        <w:t>at</w:t>
      </w:r>
      <w:proofErr w:type="gramEnd"/>
      <w:r w:rsidRPr="001872B4">
        <w:t xml:space="preserve"> study termination unless otherwise noted. </w:t>
      </w:r>
      <w:proofErr w:type="gramStart"/>
      <w:r w:rsidRPr="001872B4">
        <w:t># Healthy volunteer data from Study No.</w:t>
      </w:r>
      <w:proofErr w:type="gramEnd"/>
      <w:r w:rsidRPr="001872B4">
        <w:t xml:space="preserve"> N01109 for 200 mg PO dose – AUC</w:t>
      </w:r>
      <w:r>
        <w:t xml:space="preserve">= </w:t>
      </w:r>
      <w:r w:rsidRPr="001872B4">
        <w:t xml:space="preserve">14.1 </w:t>
      </w:r>
      <w:proofErr w:type="spellStart"/>
      <w:r w:rsidRPr="001872B4">
        <w:rPr>
          <w:rFonts w:eastAsia="Gulim"/>
        </w:rPr>
        <w:t>μ</w:t>
      </w:r>
      <w:r w:rsidRPr="001872B4">
        <w:t>g.h</w:t>
      </w:r>
      <w:proofErr w:type="spellEnd"/>
      <w:r w:rsidRPr="001872B4">
        <w:t>/mL, severe renal impairment data - AUC</w:t>
      </w:r>
      <w:r>
        <w:t xml:space="preserve">= </w:t>
      </w:r>
      <w:r w:rsidRPr="001872B4">
        <w:t xml:space="preserve">57.5 </w:t>
      </w:r>
      <w:proofErr w:type="spellStart"/>
      <w:r w:rsidRPr="001872B4">
        <w:rPr>
          <w:rFonts w:eastAsia="Gulim"/>
        </w:rPr>
        <w:t>μ</w:t>
      </w:r>
      <w:r w:rsidRPr="001872B4">
        <w:t>g.h</w:t>
      </w:r>
      <w:proofErr w:type="spellEnd"/>
      <w:r w:rsidRPr="001872B4">
        <w:t>/mL</w:t>
      </w:r>
    </w:p>
    <w:p w:rsidR="0094641F" w:rsidRPr="0094641F" w:rsidRDefault="0094641F" w:rsidP="0094641F">
      <w:pPr>
        <w:pStyle w:val="Heading5"/>
      </w:pPr>
      <w:bookmarkStart w:id="80" w:name="_Toc450809095"/>
      <w:r w:rsidRPr="0094641F">
        <w:t>Relative exposure margins for metabolite ucb-107092-1 in adults</w:t>
      </w:r>
      <w:bookmarkEnd w:id="80"/>
    </w:p>
    <w:p w:rsidR="0094641F" w:rsidRPr="0094641F" w:rsidRDefault="0094641F" w:rsidP="0094641F">
      <w:r w:rsidRPr="0094641F">
        <w:t>In general</w:t>
      </w:r>
      <w:r w:rsidR="003979F7">
        <w:t>,</w:t>
      </w:r>
      <w:r w:rsidRPr="0094641F">
        <w:t xml:space="preserve"> adequate levels of systemic exposure for ucb-107092-1 were achieved at the NOAEL</w:t>
      </w:r>
      <w:r w:rsidR="00E0691C">
        <w:t>s</w:t>
      </w:r>
      <w:r w:rsidRPr="0094641F">
        <w:t xml:space="preserve"> in the nonclinical studies (except in the 4 week </w:t>
      </w:r>
      <w:proofErr w:type="spellStart"/>
      <w:r w:rsidRPr="0094641F">
        <w:t>cynomolgus</w:t>
      </w:r>
      <w:proofErr w:type="spellEnd"/>
      <w:r w:rsidRPr="0094641F">
        <w:t xml:space="preserve"> monkey study with regard to </w:t>
      </w:r>
      <w:proofErr w:type="spellStart"/>
      <w:r w:rsidRPr="0094641F">
        <w:t>renally</w:t>
      </w:r>
      <w:proofErr w:type="spellEnd"/>
      <w:r w:rsidRPr="0094641F">
        <w:t xml:space="preserve"> impaired humans) in comparison with the expected level of human systemic exposure at the MHRD in normal humans. Because of the propensity for increased (by </w:t>
      </w:r>
      <w:r w:rsidR="007633E6">
        <w:t xml:space="preserve">approximately </w:t>
      </w:r>
      <w:r w:rsidRPr="0094641F">
        <w:t>21X) plasma AUC of this metabolite in humans with severe renal impairment, additional nonclinical studies with purified ucb-107092-1 were performed, in which adequate exposures in comparison to exposure to ucb-107092-1 in humans with severe renal impairment were achieved.</w:t>
      </w:r>
    </w:p>
    <w:p w:rsidR="004A1C7D" w:rsidRDefault="004A1C7D" w:rsidP="004A1C7D">
      <w:pPr>
        <w:pStyle w:val="TableTitle"/>
      </w:pPr>
      <w:proofErr w:type="gramStart"/>
      <w:r>
        <w:lastRenderedPageBreak/>
        <w:t xml:space="preserve">Table 12: </w:t>
      </w:r>
      <w:r w:rsidRPr="004A1C7D">
        <w:t>Relative exposure margins for metabolite ucb-107092-1</w:t>
      </w:r>
      <w:r>
        <w:t>.</w:t>
      </w:r>
      <w:proofErr w:type="gramEnd"/>
    </w:p>
    <w:tbl>
      <w:tblPr>
        <w:tblStyle w:val="TableTGAblue"/>
        <w:tblW w:w="8897" w:type="dxa"/>
        <w:tblLayout w:type="fixed"/>
        <w:tblLook w:val="01E0" w:firstRow="1" w:lastRow="1" w:firstColumn="1" w:lastColumn="1" w:noHBand="0" w:noVBand="0"/>
      </w:tblPr>
      <w:tblGrid>
        <w:gridCol w:w="1809"/>
        <w:gridCol w:w="1560"/>
        <w:gridCol w:w="1404"/>
        <w:gridCol w:w="13"/>
        <w:gridCol w:w="1276"/>
        <w:gridCol w:w="1276"/>
        <w:gridCol w:w="1559"/>
      </w:tblGrid>
      <w:tr w:rsidR="002F3BCE" w:rsidRPr="007822C7" w:rsidTr="002F3BCE">
        <w:trPr>
          <w:cnfStyle w:val="100000000000" w:firstRow="1" w:lastRow="0" w:firstColumn="0" w:lastColumn="0" w:oddVBand="0" w:evenVBand="0" w:oddHBand="0" w:evenHBand="0" w:firstRowFirstColumn="0" w:firstRowLastColumn="0" w:lastRowFirstColumn="0" w:lastRowLastColumn="0"/>
        </w:trPr>
        <w:tc>
          <w:tcPr>
            <w:tcW w:w="1809" w:type="dxa"/>
          </w:tcPr>
          <w:p w:rsidR="00186C40" w:rsidRPr="007822C7" w:rsidRDefault="00186C40" w:rsidP="007822C7">
            <w:pPr>
              <w:rPr>
                <w:sz w:val="20"/>
                <w:szCs w:val="20"/>
              </w:rPr>
            </w:pPr>
            <w:r w:rsidRPr="007822C7">
              <w:rPr>
                <w:sz w:val="20"/>
                <w:szCs w:val="20"/>
              </w:rPr>
              <w:t>Study</w:t>
            </w:r>
            <w:r w:rsidR="007822C7">
              <w:rPr>
                <w:sz w:val="20"/>
                <w:szCs w:val="20"/>
              </w:rPr>
              <w:t xml:space="preserve"> </w:t>
            </w:r>
            <w:r w:rsidRPr="007822C7">
              <w:rPr>
                <w:sz w:val="20"/>
                <w:szCs w:val="20"/>
              </w:rPr>
              <w:t>Species</w:t>
            </w:r>
          </w:p>
        </w:tc>
        <w:tc>
          <w:tcPr>
            <w:tcW w:w="1560" w:type="dxa"/>
          </w:tcPr>
          <w:p w:rsidR="00186C40" w:rsidRPr="007822C7" w:rsidRDefault="00186C40" w:rsidP="007822C7">
            <w:pPr>
              <w:rPr>
                <w:sz w:val="20"/>
                <w:szCs w:val="20"/>
              </w:rPr>
            </w:pPr>
            <w:r w:rsidRPr="007822C7">
              <w:rPr>
                <w:sz w:val="20"/>
                <w:szCs w:val="20"/>
              </w:rPr>
              <w:t>Study duration</w:t>
            </w:r>
            <w:r w:rsidR="007822C7">
              <w:rPr>
                <w:sz w:val="20"/>
                <w:szCs w:val="20"/>
              </w:rPr>
              <w:t xml:space="preserve"> </w:t>
            </w:r>
            <w:r w:rsidRPr="007822C7">
              <w:rPr>
                <w:sz w:val="20"/>
                <w:szCs w:val="20"/>
              </w:rPr>
              <w:t>Route</w:t>
            </w:r>
          </w:p>
        </w:tc>
        <w:tc>
          <w:tcPr>
            <w:tcW w:w="1404" w:type="dxa"/>
          </w:tcPr>
          <w:p w:rsidR="00186C40" w:rsidRPr="007822C7" w:rsidRDefault="00186C40" w:rsidP="007822C7">
            <w:pPr>
              <w:rPr>
                <w:sz w:val="20"/>
                <w:szCs w:val="20"/>
              </w:rPr>
            </w:pPr>
            <w:proofErr w:type="spellStart"/>
            <w:r w:rsidRPr="007822C7">
              <w:rPr>
                <w:sz w:val="20"/>
                <w:szCs w:val="20"/>
              </w:rPr>
              <w:t>Brivaracetam</w:t>
            </w:r>
            <w:proofErr w:type="spellEnd"/>
            <w:r w:rsidR="007822C7">
              <w:rPr>
                <w:sz w:val="20"/>
                <w:szCs w:val="20"/>
              </w:rPr>
              <w:t xml:space="preserve"> </w:t>
            </w:r>
            <w:r w:rsidRPr="007822C7">
              <w:rPr>
                <w:sz w:val="20"/>
                <w:szCs w:val="20"/>
              </w:rPr>
              <w:t>Dose</w:t>
            </w:r>
            <w:r w:rsidR="007822C7">
              <w:rPr>
                <w:sz w:val="20"/>
                <w:szCs w:val="20"/>
              </w:rPr>
              <w:t xml:space="preserve"> </w:t>
            </w:r>
            <w:r w:rsidRPr="007822C7">
              <w:rPr>
                <w:sz w:val="20"/>
                <w:szCs w:val="20"/>
              </w:rPr>
              <w:t>(mg/kg/</w:t>
            </w:r>
            <w:r w:rsidR="009A3E55" w:rsidRPr="007822C7">
              <w:rPr>
                <w:sz w:val="20"/>
                <w:szCs w:val="20"/>
              </w:rPr>
              <w:t xml:space="preserve"> </w:t>
            </w:r>
            <w:r w:rsidRPr="007822C7">
              <w:rPr>
                <w:sz w:val="20"/>
                <w:szCs w:val="20"/>
              </w:rPr>
              <w:t>day)</w:t>
            </w:r>
          </w:p>
        </w:tc>
        <w:tc>
          <w:tcPr>
            <w:tcW w:w="1289" w:type="dxa"/>
            <w:gridSpan w:val="2"/>
          </w:tcPr>
          <w:p w:rsidR="00186C40" w:rsidRPr="007822C7" w:rsidRDefault="00186C40" w:rsidP="007822C7">
            <w:pPr>
              <w:rPr>
                <w:sz w:val="20"/>
                <w:szCs w:val="20"/>
              </w:rPr>
            </w:pPr>
            <w:r w:rsidRPr="007822C7">
              <w:rPr>
                <w:sz w:val="20"/>
                <w:szCs w:val="20"/>
              </w:rPr>
              <w:t>AUC</w:t>
            </w:r>
            <w:r w:rsidRPr="007822C7">
              <w:rPr>
                <w:sz w:val="20"/>
                <w:szCs w:val="20"/>
                <w:vertAlign w:val="subscript"/>
              </w:rPr>
              <w:t>0–24h</w:t>
            </w:r>
            <w:r w:rsidRPr="007822C7">
              <w:rPr>
                <w:sz w:val="20"/>
                <w:szCs w:val="20"/>
              </w:rPr>
              <w:t xml:space="preserve"> or</w:t>
            </w:r>
            <w:r w:rsidR="007822C7">
              <w:rPr>
                <w:sz w:val="20"/>
                <w:szCs w:val="20"/>
              </w:rPr>
              <w:t xml:space="preserve"> </w:t>
            </w:r>
            <w:r w:rsidRPr="007822C7">
              <w:rPr>
                <w:sz w:val="20"/>
                <w:szCs w:val="20"/>
              </w:rPr>
              <w:t>AUC</w:t>
            </w:r>
            <w:r w:rsidRPr="007822C7">
              <w:rPr>
                <w:sz w:val="20"/>
                <w:szCs w:val="20"/>
                <w:vertAlign w:val="subscript"/>
              </w:rPr>
              <w:t>0–τ</w:t>
            </w:r>
            <w:r w:rsidRPr="007822C7">
              <w:rPr>
                <w:w w:val="50"/>
                <w:sz w:val="20"/>
                <w:szCs w:val="20"/>
                <w:vertAlign w:val="subscript"/>
              </w:rPr>
              <w:t> </w:t>
            </w:r>
            <w:r w:rsidR="007822C7">
              <w:rPr>
                <w:w w:val="50"/>
                <w:sz w:val="20"/>
                <w:szCs w:val="20"/>
                <w:vertAlign w:val="subscript"/>
              </w:rPr>
              <w:t xml:space="preserve"> </w:t>
            </w:r>
            <w:r w:rsidRPr="007822C7">
              <w:rPr>
                <w:sz w:val="20"/>
                <w:szCs w:val="20"/>
              </w:rPr>
              <w:t>(</w:t>
            </w:r>
            <w:proofErr w:type="spellStart"/>
            <w:r w:rsidRPr="007822C7">
              <w:rPr>
                <w:rFonts w:eastAsia="Gulim"/>
                <w:sz w:val="20"/>
                <w:szCs w:val="20"/>
              </w:rPr>
              <w:t>μ</w:t>
            </w:r>
            <w:r w:rsidRPr="007822C7">
              <w:rPr>
                <w:sz w:val="20"/>
                <w:szCs w:val="20"/>
              </w:rPr>
              <w:t>g∙h</w:t>
            </w:r>
            <w:proofErr w:type="spellEnd"/>
            <w:r w:rsidRPr="007822C7">
              <w:rPr>
                <w:sz w:val="20"/>
                <w:szCs w:val="20"/>
              </w:rPr>
              <w:t>/mL)*</w:t>
            </w:r>
          </w:p>
        </w:tc>
        <w:tc>
          <w:tcPr>
            <w:tcW w:w="1276" w:type="dxa"/>
          </w:tcPr>
          <w:p w:rsidR="00186C40" w:rsidRPr="007822C7" w:rsidRDefault="009A3E55" w:rsidP="007822C7">
            <w:pPr>
              <w:rPr>
                <w:sz w:val="20"/>
                <w:szCs w:val="20"/>
              </w:rPr>
            </w:pPr>
            <w:r w:rsidRPr="007822C7">
              <w:rPr>
                <w:sz w:val="20"/>
                <w:szCs w:val="20"/>
              </w:rPr>
              <w:t>ER</w:t>
            </w:r>
            <w:r w:rsidR="00186C40" w:rsidRPr="007822C7">
              <w:rPr>
                <w:sz w:val="20"/>
                <w:szCs w:val="20"/>
              </w:rPr>
              <w:t xml:space="preserve"> in normal humans</w:t>
            </w:r>
            <w:r w:rsidR="00186C40" w:rsidRPr="007822C7">
              <w:rPr>
                <w:sz w:val="20"/>
                <w:szCs w:val="20"/>
                <w:vertAlign w:val="superscript"/>
              </w:rPr>
              <w:t>#</w:t>
            </w:r>
          </w:p>
        </w:tc>
        <w:tc>
          <w:tcPr>
            <w:tcW w:w="1559" w:type="dxa"/>
          </w:tcPr>
          <w:p w:rsidR="00186C40" w:rsidRPr="007822C7" w:rsidRDefault="009A3E55" w:rsidP="007822C7">
            <w:pPr>
              <w:rPr>
                <w:sz w:val="20"/>
                <w:szCs w:val="20"/>
                <w:vertAlign w:val="superscript"/>
              </w:rPr>
            </w:pPr>
            <w:r w:rsidRPr="007822C7">
              <w:rPr>
                <w:sz w:val="20"/>
                <w:szCs w:val="20"/>
              </w:rPr>
              <w:t>ER</w:t>
            </w:r>
            <w:r w:rsidR="00186C40" w:rsidRPr="007822C7">
              <w:rPr>
                <w:sz w:val="20"/>
                <w:szCs w:val="20"/>
              </w:rPr>
              <w:t xml:space="preserve"> in humans with severe renal impairment</w:t>
            </w:r>
            <w:r w:rsidR="00186C40" w:rsidRPr="007822C7">
              <w:rPr>
                <w:sz w:val="20"/>
                <w:szCs w:val="20"/>
                <w:vertAlign w:val="superscript"/>
              </w:rPr>
              <w:t>#</w:t>
            </w:r>
          </w:p>
        </w:tc>
      </w:tr>
      <w:tr w:rsidR="00186C40" w:rsidRPr="007822C7" w:rsidTr="002F3BCE">
        <w:trPr>
          <w:trHeight w:val="372"/>
        </w:trPr>
        <w:tc>
          <w:tcPr>
            <w:tcW w:w="1809" w:type="dxa"/>
            <w:vMerge w:val="restart"/>
          </w:tcPr>
          <w:p w:rsidR="00186C40" w:rsidRPr="007822C7" w:rsidRDefault="00186C40" w:rsidP="007822C7">
            <w:pPr>
              <w:rPr>
                <w:kern w:val="2"/>
                <w:sz w:val="20"/>
                <w:szCs w:val="20"/>
              </w:rPr>
            </w:pPr>
            <w:r w:rsidRPr="007822C7">
              <w:rPr>
                <w:kern w:val="2"/>
                <w:sz w:val="20"/>
                <w:szCs w:val="20"/>
              </w:rPr>
              <w:t>PSM1256</w:t>
            </w:r>
          </w:p>
          <w:p w:rsidR="00186C40" w:rsidRPr="007822C7" w:rsidRDefault="00186C40" w:rsidP="007822C7">
            <w:pPr>
              <w:rPr>
                <w:kern w:val="2"/>
                <w:sz w:val="20"/>
                <w:szCs w:val="20"/>
              </w:rPr>
            </w:pPr>
            <w:r w:rsidRPr="007822C7">
              <w:rPr>
                <w:b/>
                <w:kern w:val="2"/>
                <w:sz w:val="20"/>
                <w:szCs w:val="20"/>
              </w:rPr>
              <w:t>Mouse</w:t>
            </w:r>
            <w:r w:rsidRPr="007822C7">
              <w:rPr>
                <w:kern w:val="2"/>
                <w:sz w:val="20"/>
                <w:szCs w:val="20"/>
              </w:rPr>
              <w:t xml:space="preserve"> (CD-1)</w:t>
            </w:r>
          </w:p>
        </w:tc>
        <w:tc>
          <w:tcPr>
            <w:tcW w:w="1560" w:type="dxa"/>
            <w:vMerge w:val="restart"/>
          </w:tcPr>
          <w:p w:rsidR="00186C40" w:rsidRPr="007822C7" w:rsidRDefault="00186C40" w:rsidP="007822C7">
            <w:pPr>
              <w:rPr>
                <w:kern w:val="2"/>
                <w:sz w:val="20"/>
                <w:szCs w:val="20"/>
              </w:rPr>
            </w:pPr>
            <w:r w:rsidRPr="007822C7">
              <w:rPr>
                <w:kern w:val="2"/>
                <w:sz w:val="20"/>
                <w:szCs w:val="20"/>
              </w:rPr>
              <w:t>13 Weeks</w:t>
            </w:r>
          </w:p>
          <w:p w:rsidR="00186C40" w:rsidRPr="007822C7" w:rsidRDefault="00186C40" w:rsidP="007822C7">
            <w:pPr>
              <w:rPr>
                <w:kern w:val="2"/>
                <w:sz w:val="20"/>
                <w:szCs w:val="20"/>
              </w:rPr>
            </w:pPr>
            <w:r w:rsidRPr="007822C7">
              <w:rPr>
                <w:kern w:val="2"/>
                <w:sz w:val="20"/>
                <w:szCs w:val="20"/>
              </w:rPr>
              <w:t>PO</w:t>
            </w:r>
          </w:p>
        </w:tc>
        <w:tc>
          <w:tcPr>
            <w:tcW w:w="1404" w:type="dxa"/>
          </w:tcPr>
          <w:p w:rsidR="00186C40" w:rsidRPr="007822C7" w:rsidRDefault="00186C40" w:rsidP="007822C7">
            <w:pPr>
              <w:rPr>
                <w:kern w:val="2"/>
                <w:sz w:val="20"/>
                <w:szCs w:val="20"/>
              </w:rPr>
            </w:pPr>
            <w:r w:rsidRPr="007822C7">
              <w:rPr>
                <w:kern w:val="2"/>
                <w:sz w:val="20"/>
                <w:szCs w:val="20"/>
              </w:rPr>
              <w:t>450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=1.77ˢ; </w:t>
            </w:r>
            <w:r w:rsidRPr="007822C7">
              <w:rPr>
                <w:rFonts w:ascii="Times New Roman" w:hAnsi="Times New Roman"/>
                <w:kern w:val="2"/>
                <w:sz w:val="20"/>
                <w:szCs w:val="20"/>
              </w:rPr>
              <w:t>♀</w:t>
            </w:r>
            <w:r w:rsidRPr="007822C7">
              <w:rPr>
                <w:kern w:val="2"/>
                <w:sz w:val="20"/>
                <w:szCs w:val="20"/>
              </w:rPr>
              <w:t>=1.32</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 </w:t>
            </w:r>
            <w:r w:rsidRPr="007822C7">
              <w:rPr>
                <w:rFonts w:ascii="Times New Roman" w:hAnsi="Times New Roman"/>
                <w:kern w:val="2"/>
                <w:sz w:val="20"/>
                <w:szCs w:val="20"/>
              </w:rPr>
              <w:t>♀</w:t>
            </w:r>
            <w:r w:rsidRPr="007822C7">
              <w:rPr>
                <w:kern w:val="2"/>
                <w:sz w:val="20"/>
                <w:szCs w:val="20"/>
              </w:rPr>
              <w:t>≈1</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≈0.05; </w:t>
            </w:r>
            <w:r w:rsidRPr="007822C7">
              <w:rPr>
                <w:rFonts w:ascii="Times New Roman" w:hAnsi="Times New Roman"/>
                <w:kern w:val="2"/>
                <w:sz w:val="20"/>
                <w:szCs w:val="20"/>
              </w:rPr>
              <w:t>♀</w:t>
            </w:r>
            <w:r w:rsidRPr="007822C7">
              <w:rPr>
                <w:kern w:val="2"/>
                <w:sz w:val="20"/>
                <w:szCs w:val="20"/>
              </w:rPr>
              <w:t>&lt;0.1</w:t>
            </w:r>
          </w:p>
        </w:tc>
      </w:tr>
      <w:tr w:rsidR="00186C40" w:rsidRPr="007822C7" w:rsidTr="002F3BCE">
        <w:trPr>
          <w:trHeight w:val="409"/>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675</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=2.92; </w:t>
            </w:r>
            <w:r w:rsidRPr="007822C7">
              <w:rPr>
                <w:rFonts w:ascii="Times New Roman" w:hAnsi="Times New Roman"/>
                <w:kern w:val="2"/>
                <w:sz w:val="20"/>
                <w:szCs w:val="20"/>
              </w:rPr>
              <w:t>♀</w:t>
            </w:r>
            <w:r w:rsidRPr="007822C7">
              <w:rPr>
                <w:kern w:val="2"/>
                <w:sz w:val="20"/>
                <w:szCs w:val="20"/>
              </w:rPr>
              <w:t>=2.93</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≈2</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≈0.08;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423"/>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1000</w:t>
            </w:r>
          </w:p>
        </w:tc>
        <w:tc>
          <w:tcPr>
            <w:tcW w:w="1289" w:type="dxa"/>
            <w:gridSpan w:val="2"/>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=3.71; </w:t>
            </w:r>
            <w:r w:rsidRPr="007822C7">
              <w:rPr>
                <w:rFonts w:ascii="Times New Roman" w:hAnsi="Times New Roman"/>
                <w:kern w:val="2"/>
                <w:sz w:val="20"/>
                <w:szCs w:val="20"/>
              </w:rPr>
              <w:t>♀</w:t>
            </w:r>
            <w:r w:rsidRPr="007822C7">
              <w:rPr>
                <w:kern w:val="2"/>
                <w:sz w:val="20"/>
                <w:szCs w:val="20"/>
              </w:rPr>
              <w:t>=3.83</w:t>
            </w:r>
          </w:p>
        </w:tc>
        <w:tc>
          <w:tcPr>
            <w:tcW w:w="1276"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≈2</w:t>
            </w:r>
          </w:p>
        </w:tc>
        <w:tc>
          <w:tcPr>
            <w:tcW w:w="1559"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≈0.1;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239"/>
        </w:trPr>
        <w:tc>
          <w:tcPr>
            <w:tcW w:w="1809" w:type="dxa"/>
            <w:vMerge w:val="restart"/>
          </w:tcPr>
          <w:p w:rsidR="00186C40" w:rsidRPr="007822C7" w:rsidRDefault="00186C40" w:rsidP="007822C7">
            <w:pPr>
              <w:rPr>
                <w:sz w:val="20"/>
                <w:szCs w:val="20"/>
              </w:rPr>
            </w:pPr>
            <w:r w:rsidRPr="007822C7">
              <w:rPr>
                <w:sz w:val="20"/>
                <w:szCs w:val="20"/>
              </w:rPr>
              <w:t>NCD1304</w:t>
            </w:r>
          </w:p>
          <w:p w:rsidR="00186C40" w:rsidRPr="007822C7" w:rsidRDefault="00186C40" w:rsidP="007822C7">
            <w:pPr>
              <w:rPr>
                <w:b/>
                <w:kern w:val="2"/>
                <w:sz w:val="20"/>
                <w:szCs w:val="20"/>
              </w:rPr>
            </w:pPr>
            <w:r w:rsidRPr="007822C7">
              <w:rPr>
                <w:b/>
                <w:sz w:val="20"/>
                <w:szCs w:val="20"/>
              </w:rPr>
              <w:t>Mouse</w:t>
            </w:r>
            <w:r w:rsidRPr="007822C7">
              <w:rPr>
                <w:sz w:val="20"/>
                <w:szCs w:val="20"/>
              </w:rPr>
              <w:t xml:space="preserve"> (CD-1)</w:t>
            </w:r>
          </w:p>
        </w:tc>
        <w:tc>
          <w:tcPr>
            <w:tcW w:w="1560" w:type="dxa"/>
            <w:vMerge w:val="restart"/>
          </w:tcPr>
          <w:p w:rsidR="00186C40" w:rsidRPr="007822C7" w:rsidRDefault="00186C40" w:rsidP="007822C7">
            <w:pPr>
              <w:rPr>
                <w:kern w:val="2"/>
                <w:sz w:val="20"/>
                <w:szCs w:val="20"/>
              </w:rPr>
            </w:pPr>
            <w:r w:rsidRPr="007822C7">
              <w:rPr>
                <w:kern w:val="2"/>
                <w:sz w:val="20"/>
                <w:szCs w:val="20"/>
              </w:rPr>
              <w:t>104 Weeks</w:t>
            </w:r>
          </w:p>
          <w:p w:rsidR="00186C40" w:rsidRPr="007822C7" w:rsidRDefault="00186C40" w:rsidP="007822C7">
            <w:pPr>
              <w:rPr>
                <w:kern w:val="2"/>
                <w:sz w:val="20"/>
                <w:szCs w:val="20"/>
              </w:rPr>
            </w:pPr>
            <w:r w:rsidRPr="007822C7">
              <w:rPr>
                <w:kern w:val="2"/>
                <w:sz w:val="20"/>
                <w:szCs w:val="20"/>
              </w:rPr>
              <w:t>PO</w:t>
            </w:r>
          </w:p>
        </w:tc>
        <w:tc>
          <w:tcPr>
            <w:tcW w:w="1404" w:type="dxa"/>
          </w:tcPr>
          <w:p w:rsidR="00186C40" w:rsidRPr="007822C7" w:rsidRDefault="00186C40" w:rsidP="007822C7">
            <w:pPr>
              <w:rPr>
                <w:kern w:val="2"/>
                <w:sz w:val="20"/>
                <w:szCs w:val="20"/>
              </w:rPr>
            </w:pPr>
            <w:r w:rsidRPr="007822C7">
              <w:rPr>
                <w:kern w:val="2"/>
                <w:sz w:val="20"/>
                <w:szCs w:val="20"/>
              </w:rPr>
              <w:t>400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=1.5ˢ; </w:t>
            </w:r>
            <w:r w:rsidRPr="007822C7">
              <w:rPr>
                <w:rFonts w:ascii="Times New Roman" w:hAnsi="Times New Roman"/>
                <w:kern w:val="2"/>
                <w:sz w:val="20"/>
                <w:szCs w:val="20"/>
              </w:rPr>
              <w:t>♀</w:t>
            </w:r>
            <w:r w:rsidRPr="007822C7">
              <w:rPr>
                <w:kern w:val="2"/>
                <w:sz w:val="20"/>
                <w:szCs w:val="20"/>
              </w:rPr>
              <w:t>=1.52</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 </w:t>
            </w:r>
            <w:r w:rsidRPr="007822C7">
              <w:rPr>
                <w:rFonts w:ascii="Times New Roman" w:hAnsi="Times New Roman"/>
                <w:kern w:val="2"/>
                <w:sz w:val="20"/>
                <w:szCs w:val="20"/>
              </w:rPr>
              <w:t>♀</w:t>
            </w:r>
            <w:r w:rsidRPr="007822C7">
              <w:rPr>
                <w:kern w:val="2"/>
                <w:sz w:val="20"/>
                <w:szCs w:val="20"/>
              </w:rPr>
              <w:t>≈1</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≈0.04; </w:t>
            </w:r>
            <w:r w:rsidRPr="007822C7">
              <w:rPr>
                <w:rFonts w:ascii="Times New Roman" w:hAnsi="Times New Roman"/>
                <w:kern w:val="2"/>
                <w:sz w:val="20"/>
                <w:szCs w:val="20"/>
              </w:rPr>
              <w:t>♀</w:t>
            </w:r>
            <w:r w:rsidRPr="007822C7">
              <w:rPr>
                <w:kern w:val="2"/>
                <w:sz w:val="20"/>
                <w:szCs w:val="20"/>
              </w:rPr>
              <w:t>&lt;0.1</w:t>
            </w:r>
          </w:p>
        </w:tc>
      </w:tr>
      <w:tr w:rsidR="00186C40" w:rsidRPr="007822C7" w:rsidTr="002F3BCE">
        <w:trPr>
          <w:trHeight w:val="31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550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=2.57; </w:t>
            </w:r>
            <w:r w:rsidRPr="007822C7">
              <w:rPr>
                <w:rFonts w:ascii="Times New Roman" w:hAnsi="Times New Roman"/>
                <w:kern w:val="2"/>
                <w:sz w:val="20"/>
                <w:szCs w:val="20"/>
              </w:rPr>
              <w:t>♀</w:t>
            </w:r>
            <w:r w:rsidRPr="007822C7">
              <w:rPr>
                <w:kern w:val="2"/>
                <w:sz w:val="20"/>
                <w:szCs w:val="20"/>
              </w:rPr>
              <w:t>=5.15</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≈3</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≈0.04;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225"/>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700</w:t>
            </w:r>
          </w:p>
        </w:tc>
        <w:tc>
          <w:tcPr>
            <w:tcW w:w="1289" w:type="dxa"/>
            <w:gridSpan w:val="2"/>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=3.48; </w:t>
            </w:r>
            <w:r w:rsidRPr="007822C7">
              <w:rPr>
                <w:rFonts w:ascii="Times New Roman" w:hAnsi="Times New Roman"/>
                <w:kern w:val="2"/>
                <w:sz w:val="20"/>
                <w:szCs w:val="20"/>
              </w:rPr>
              <w:t>♀</w:t>
            </w:r>
            <w:r w:rsidRPr="007822C7">
              <w:rPr>
                <w:kern w:val="2"/>
                <w:sz w:val="20"/>
                <w:szCs w:val="20"/>
              </w:rPr>
              <w:t>=3.42</w:t>
            </w:r>
          </w:p>
        </w:tc>
        <w:tc>
          <w:tcPr>
            <w:tcW w:w="1276"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≈2</w:t>
            </w:r>
          </w:p>
        </w:tc>
        <w:tc>
          <w:tcPr>
            <w:tcW w:w="1559"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≈0.05;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275"/>
        </w:trPr>
        <w:tc>
          <w:tcPr>
            <w:tcW w:w="1809" w:type="dxa"/>
            <w:vMerge w:val="restart"/>
          </w:tcPr>
          <w:p w:rsidR="00186C40" w:rsidRPr="007822C7" w:rsidRDefault="00186C40" w:rsidP="007822C7">
            <w:pPr>
              <w:rPr>
                <w:kern w:val="2"/>
                <w:sz w:val="20"/>
                <w:szCs w:val="20"/>
              </w:rPr>
            </w:pPr>
            <w:r w:rsidRPr="007822C7">
              <w:rPr>
                <w:kern w:val="2"/>
                <w:sz w:val="20"/>
                <w:szCs w:val="20"/>
              </w:rPr>
              <w:t>NCD1540</w:t>
            </w:r>
          </w:p>
          <w:p w:rsidR="00186C40" w:rsidRPr="007822C7" w:rsidRDefault="00186C40" w:rsidP="007822C7">
            <w:pPr>
              <w:rPr>
                <w:b/>
                <w:kern w:val="2"/>
                <w:sz w:val="20"/>
                <w:szCs w:val="20"/>
              </w:rPr>
            </w:pPr>
            <w:r w:rsidRPr="007822C7">
              <w:rPr>
                <w:b/>
                <w:kern w:val="2"/>
                <w:sz w:val="20"/>
                <w:szCs w:val="20"/>
              </w:rPr>
              <w:t xml:space="preserve">Rat </w:t>
            </w:r>
            <w:r w:rsidRPr="007822C7">
              <w:rPr>
                <w:kern w:val="2"/>
                <w:sz w:val="20"/>
                <w:szCs w:val="20"/>
              </w:rPr>
              <w:t>(</w:t>
            </w:r>
            <w:proofErr w:type="spellStart"/>
            <w:r w:rsidRPr="007822C7">
              <w:rPr>
                <w:kern w:val="2"/>
                <w:sz w:val="20"/>
                <w:szCs w:val="20"/>
              </w:rPr>
              <w:t>Wistar</w:t>
            </w:r>
            <w:proofErr w:type="spellEnd"/>
            <w:r w:rsidRPr="007822C7">
              <w:rPr>
                <w:kern w:val="2"/>
                <w:sz w:val="20"/>
                <w:szCs w:val="20"/>
              </w:rPr>
              <w:t>)</w:t>
            </w:r>
          </w:p>
        </w:tc>
        <w:tc>
          <w:tcPr>
            <w:tcW w:w="1560" w:type="dxa"/>
            <w:vMerge w:val="restart"/>
          </w:tcPr>
          <w:p w:rsidR="00186C40" w:rsidRPr="007822C7" w:rsidRDefault="00186C40" w:rsidP="007822C7">
            <w:pPr>
              <w:rPr>
                <w:kern w:val="2"/>
                <w:sz w:val="20"/>
                <w:szCs w:val="20"/>
              </w:rPr>
            </w:pPr>
            <w:r w:rsidRPr="007822C7">
              <w:rPr>
                <w:kern w:val="2"/>
                <w:sz w:val="20"/>
                <w:szCs w:val="20"/>
              </w:rPr>
              <w:t>4 Weeks</w:t>
            </w:r>
          </w:p>
          <w:p w:rsidR="00186C40" w:rsidRPr="007822C7" w:rsidRDefault="00186C40" w:rsidP="007822C7">
            <w:pPr>
              <w:rPr>
                <w:kern w:val="2"/>
                <w:sz w:val="20"/>
                <w:szCs w:val="20"/>
              </w:rPr>
            </w:pPr>
            <w:r w:rsidRPr="007822C7">
              <w:rPr>
                <w:kern w:val="2"/>
                <w:sz w:val="20"/>
                <w:szCs w:val="20"/>
              </w:rPr>
              <w:t>continuous IV infusion</w:t>
            </w:r>
          </w:p>
        </w:tc>
        <w:tc>
          <w:tcPr>
            <w:tcW w:w="1404" w:type="dxa"/>
          </w:tcPr>
          <w:p w:rsidR="00186C40" w:rsidRPr="007822C7" w:rsidRDefault="00186C40" w:rsidP="007822C7">
            <w:pPr>
              <w:rPr>
                <w:kern w:val="2"/>
                <w:sz w:val="20"/>
                <w:szCs w:val="20"/>
              </w:rPr>
            </w:pPr>
            <w:r w:rsidRPr="007822C7">
              <w:rPr>
                <w:kern w:val="2"/>
                <w:sz w:val="20"/>
                <w:szCs w:val="20"/>
              </w:rPr>
              <w:t>200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=1.25; </w:t>
            </w:r>
            <w:r w:rsidRPr="007822C7">
              <w:rPr>
                <w:rFonts w:ascii="Times New Roman" w:hAnsi="Times New Roman"/>
                <w:kern w:val="2"/>
                <w:sz w:val="20"/>
                <w:szCs w:val="20"/>
              </w:rPr>
              <w:t>♀</w:t>
            </w:r>
            <w:r w:rsidRPr="007822C7">
              <w:rPr>
                <w:kern w:val="2"/>
                <w:sz w:val="20"/>
                <w:szCs w:val="20"/>
              </w:rPr>
              <w:t>=1.07</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 </w:t>
            </w:r>
            <w:r w:rsidRPr="007822C7">
              <w:rPr>
                <w:rFonts w:ascii="Times New Roman" w:hAnsi="Times New Roman"/>
                <w:kern w:val="2"/>
                <w:sz w:val="20"/>
                <w:szCs w:val="20"/>
              </w:rPr>
              <w:t>♀</w:t>
            </w:r>
            <w:r w:rsidRPr="007822C7">
              <w:rPr>
                <w:kern w:val="2"/>
                <w:sz w:val="20"/>
                <w:szCs w:val="20"/>
              </w:rPr>
              <w:t>≈0.6</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≈0.03; </w:t>
            </w:r>
            <w:r w:rsidRPr="007822C7">
              <w:rPr>
                <w:rFonts w:ascii="Times New Roman" w:hAnsi="Times New Roman"/>
                <w:kern w:val="2"/>
                <w:sz w:val="20"/>
                <w:szCs w:val="20"/>
              </w:rPr>
              <w:t>♀</w:t>
            </w:r>
            <w:r w:rsidRPr="007822C7">
              <w:rPr>
                <w:kern w:val="2"/>
                <w:sz w:val="20"/>
                <w:szCs w:val="20"/>
              </w:rPr>
              <w:t>&lt;0.1</w:t>
            </w:r>
          </w:p>
        </w:tc>
      </w:tr>
      <w:tr w:rsidR="00186C40" w:rsidRPr="007822C7" w:rsidTr="002F3BCE">
        <w:trPr>
          <w:trHeight w:val="211"/>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600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=3.66ˢ; </w:t>
            </w:r>
            <w:r w:rsidRPr="007822C7">
              <w:rPr>
                <w:rFonts w:ascii="Times New Roman" w:hAnsi="Times New Roman"/>
                <w:kern w:val="2"/>
                <w:sz w:val="20"/>
                <w:szCs w:val="20"/>
              </w:rPr>
              <w:t>♀</w:t>
            </w:r>
            <w:r w:rsidRPr="007822C7">
              <w:rPr>
                <w:kern w:val="2"/>
                <w:sz w:val="20"/>
                <w:szCs w:val="20"/>
              </w:rPr>
              <w:t>=3.79</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≈2</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≈0.1;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248"/>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1000</w:t>
            </w:r>
          </w:p>
        </w:tc>
        <w:tc>
          <w:tcPr>
            <w:tcW w:w="1289" w:type="dxa"/>
            <w:gridSpan w:val="2"/>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=6.54; </w:t>
            </w:r>
            <w:r w:rsidRPr="007822C7">
              <w:rPr>
                <w:rFonts w:ascii="Times New Roman" w:hAnsi="Times New Roman"/>
                <w:kern w:val="2"/>
                <w:sz w:val="20"/>
                <w:szCs w:val="20"/>
              </w:rPr>
              <w:t>♀</w:t>
            </w:r>
            <w:r w:rsidRPr="007822C7">
              <w:rPr>
                <w:kern w:val="2"/>
                <w:sz w:val="20"/>
                <w:szCs w:val="20"/>
              </w:rPr>
              <w:t>=5.37</w:t>
            </w:r>
          </w:p>
        </w:tc>
        <w:tc>
          <w:tcPr>
            <w:tcW w:w="1276"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≈4; </w:t>
            </w:r>
            <w:r w:rsidRPr="007822C7">
              <w:rPr>
                <w:rFonts w:ascii="Times New Roman" w:hAnsi="Times New Roman"/>
                <w:kern w:val="2"/>
                <w:sz w:val="20"/>
                <w:szCs w:val="20"/>
              </w:rPr>
              <w:t>♀</w:t>
            </w:r>
            <w:r w:rsidRPr="007822C7">
              <w:rPr>
                <w:kern w:val="2"/>
                <w:sz w:val="20"/>
                <w:szCs w:val="20"/>
              </w:rPr>
              <w:t>≈3</w:t>
            </w:r>
          </w:p>
        </w:tc>
        <w:tc>
          <w:tcPr>
            <w:tcW w:w="1559"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≈0.2; </w:t>
            </w:r>
            <w:r w:rsidRPr="007822C7">
              <w:rPr>
                <w:rFonts w:ascii="Times New Roman" w:hAnsi="Times New Roman"/>
                <w:kern w:val="2"/>
                <w:sz w:val="20"/>
                <w:szCs w:val="20"/>
              </w:rPr>
              <w:t>♀</w:t>
            </w:r>
            <w:r w:rsidRPr="007822C7">
              <w:rPr>
                <w:kern w:val="2"/>
                <w:sz w:val="20"/>
                <w:szCs w:val="20"/>
              </w:rPr>
              <w:t>≈0.2</w:t>
            </w:r>
          </w:p>
        </w:tc>
      </w:tr>
      <w:tr w:rsidR="00186C40" w:rsidRPr="007822C7" w:rsidTr="002F3BCE">
        <w:trPr>
          <w:trHeight w:val="170"/>
        </w:trPr>
        <w:tc>
          <w:tcPr>
            <w:tcW w:w="1809" w:type="dxa"/>
            <w:vMerge w:val="restart"/>
          </w:tcPr>
          <w:p w:rsidR="00186C40" w:rsidRPr="007822C7" w:rsidRDefault="00186C40" w:rsidP="007822C7">
            <w:pPr>
              <w:rPr>
                <w:kern w:val="2"/>
                <w:sz w:val="20"/>
                <w:szCs w:val="20"/>
              </w:rPr>
            </w:pPr>
            <w:r w:rsidRPr="007822C7">
              <w:rPr>
                <w:kern w:val="2"/>
                <w:sz w:val="20"/>
                <w:szCs w:val="20"/>
              </w:rPr>
              <w:t>PSM1029</w:t>
            </w:r>
          </w:p>
          <w:p w:rsidR="00186C40" w:rsidRPr="007822C7" w:rsidRDefault="00186C40" w:rsidP="007822C7">
            <w:pPr>
              <w:rPr>
                <w:b/>
                <w:kern w:val="2"/>
                <w:sz w:val="20"/>
                <w:szCs w:val="20"/>
              </w:rPr>
            </w:pPr>
            <w:r w:rsidRPr="007822C7">
              <w:rPr>
                <w:b/>
                <w:kern w:val="2"/>
                <w:sz w:val="20"/>
                <w:szCs w:val="20"/>
              </w:rPr>
              <w:t xml:space="preserve">Rat </w:t>
            </w:r>
            <w:r w:rsidRPr="007822C7">
              <w:rPr>
                <w:kern w:val="2"/>
                <w:sz w:val="20"/>
                <w:szCs w:val="20"/>
              </w:rPr>
              <w:t>(</w:t>
            </w:r>
            <w:proofErr w:type="spellStart"/>
            <w:r w:rsidRPr="007822C7">
              <w:rPr>
                <w:kern w:val="2"/>
                <w:sz w:val="20"/>
                <w:szCs w:val="20"/>
              </w:rPr>
              <w:t>Wistar</w:t>
            </w:r>
            <w:proofErr w:type="spellEnd"/>
            <w:r w:rsidRPr="007822C7">
              <w:rPr>
                <w:kern w:val="2"/>
                <w:sz w:val="20"/>
                <w:szCs w:val="20"/>
              </w:rPr>
              <w:t>)</w:t>
            </w:r>
          </w:p>
        </w:tc>
        <w:tc>
          <w:tcPr>
            <w:tcW w:w="1560" w:type="dxa"/>
            <w:vMerge w:val="restart"/>
          </w:tcPr>
          <w:p w:rsidR="00186C40" w:rsidRPr="007822C7" w:rsidRDefault="00186C40" w:rsidP="007822C7">
            <w:pPr>
              <w:rPr>
                <w:kern w:val="2"/>
                <w:sz w:val="20"/>
                <w:szCs w:val="20"/>
              </w:rPr>
            </w:pPr>
            <w:r w:rsidRPr="007822C7">
              <w:rPr>
                <w:kern w:val="2"/>
                <w:sz w:val="20"/>
                <w:szCs w:val="20"/>
              </w:rPr>
              <w:t>26 Weeks</w:t>
            </w:r>
          </w:p>
          <w:p w:rsidR="00186C40" w:rsidRPr="007822C7" w:rsidRDefault="00186C40" w:rsidP="007822C7">
            <w:pPr>
              <w:rPr>
                <w:kern w:val="2"/>
                <w:sz w:val="20"/>
                <w:szCs w:val="20"/>
              </w:rPr>
            </w:pPr>
            <w:r w:rsidRPr="007822C7">
              <w:rPr>
                <w:kern w:val="2"/>
                <w:sz w:val="20"/>
                <w:szCs w:val="20"/>
              </w:rPr>
              <w:t>PO</w:t>
            </w:r>
          </w:p>
        </w:tc>
        <w:tc>
          <w:tcPr>
            <w:tcW w:w="1404" w:type="dxa"/>
          </w:tcPr>
          <w:p w:rsidR="00186C40" w:rsidRPr="007822C7" w:rsidRDefault="00186C40" w:rsidP="007822C7">
            <w:pPr>
              <w:rPr>
                <w:kern w:val="2"/>
                <w:sz w:val="20"/>
                <w:szCs w:val="20"/>
              </w:rPr>
            </w:pPr>
            <w:r w:rsidRPr="007822C7">
              <w:rPr>
                <w:kern w:val="2"/>
                <w:sz w:val="20"/>
                <w:szCs w:val="20"/>
              </w:rPr>
              <w:t>150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=1.37; </w:t>
            </w:r>
            <w:r w:rsidRPr="007822C7">
              <w:rPr>
                <w:rFonts w:ascii="Times New Roman" w:hAnsi="Times New Roman"/>
                <w:kern w:val="2"/>
                <w:sz w:val="20"/>
                <w:szCs w:val="20"/>
              </w:rPr>
              <w:t>♀</w:t>
            </w:r>
            <w:r w:rsidRPr="007822C7">
              <w:rPr>
                <w:kern w:val="2"/>
                <w:sz w:val="20"/>
                <w:szCs w:val="20"/>
              </w:rPr>
              <w:t>=1.35</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≈1; </w:t>
            </w:r>
            <w:r w:rsidRPr="007822C7">
              <w:rPr>
                <w:rFonts w:ascii="Times New Roman" w:hAnsi="Times New Roman"/>
                <w:kern w:val="2"/>
                <w:sz w:val="20"/>
                <w:szCs w:val="20"/>
              </w:rPr>
              <w:t>♀</w:t>
            </w:r>
            <w:r w:rsidRPr="007822C7">
              <w:rPr>
                <w:kern w:val="2"/>
                <w:sz w:val="20"/>
                <w:szCs w:val="20"/>
              </w:rPr>
              <w:t>≈1</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≈0.04; </w:t>
            </w:r>
            <w:r w:rsidRPr="007822C7">
              <w:rPr>
                <w:rFonts w:ascii="Times New Roman" w:hAnsi="Times New Roman"/>
                <w:kern w:val="2"/>
                <w:sz w:val="20"/>
                <w:szCs w:val="20"/>
              </w:rPr>
              <w:t>♀</w:t>
            </w:r>
            <w:r w:rsidRPr="007822C7">
              <w:rPr>
                <w:kern w:val="2"/>
                <w:sz w:val="20"/>
                <w:szCs w:val="20"/>
              </w:rPr>
              <w:t>≈0.04</w:t>
            </w:r>
          </w:p>
        </w:tc>
      </w:tr>
      <w:tr w:rsidR="00186C40" w:rsidRPr="007822C7" w:rsidTr="002F3BCE">
        <w:trPr>
          <w:trHeight w:val="24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230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=2.90; </w:t>
            </w:r>
            <w:r w:rsidRPr="007822C7">
              <w:rPr>
                <w:rFonts w:ascii="Times New Roman" w:hAnsi="Times New Roman"/>
                <w:kern w:val="2"/>
                <w:sz w:val="20"/>
                <w:szCs w:val="20"/>
              </w:rPr>
              <w:t>♀</w:t>
            </w:r>
            <w:r w:rsidRPr="007822C7">
              <w:rPr>
                <w:kern w:val="2"/>
                <w:sz w:val="20"/>
                <w:szCs w:val="20"/>
              </w:rPr>
              <w:t>=2.63</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≈2</w:t>
            </w:r>
          </w:p>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≈2</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≈0.1</w:t>
            </w:r>
          </w:p>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425"/>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450</w:t>
            </w:r>
          </w:p>
        </w:tc>
        <w:tc>
          <w:tcPr>
            <w:tcW w:w="1289" w:type="dxa"/>
            <w:gridSpan w:val="2"/>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=4.94ˢ; </w:t>
            </w:r>
            <w:r w:rsidRPr="007822C7">
              <w:rPr>
                <w:rFonts w:ascii="Times New Roman" w:hAnsi="Times New Roman"/>
                <w:kern w:val="2"/>
                <w:sz w:val="20"/>
                <w:szCs w:val="20"/>
              </w:rPr>
              <w:t>♀</w:t>
            </w:r>
            <w:r w:rsidRPr="007822C7">
              <w:rPr>
                <w:kern w:val="2"/>
                <w:sz w:val="20"/>
                <w:szCs w:val="20"/>
              </w:rPr>
              <w:t>=4.33</w:t>
            </w:r>
          </w:p>
        </w:tc>
        <w:tc>
          <w:tcPr>
            <w:tcW w:w="1276"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≈3; </w:t>
            </w:r>
            <w:r w:rsidRPr="007822C7">
              <w:rPr>
                <w:rFonts w:ascii="Times New Roman" w:hAnsi="Times New Roman"/>
                <w:kern w:val="2"/>
                <w:sz w:val="20"/>
                <w:szCs w:val="20"/>
              </w:rPr>
              <w:t>♀</w:t>
            </w:r>
            <w:r w:rsidRPr="007822C7">
              <w:rPr>
                <w:kern w:val="2"/>
                <w:sz w:val="20"/>
                <w:szCs w:val="20"/>
              </w:rPr>
              <w:t>≈3</w:t>
            </w:r>
          </w:p>
        </w:tc>
        <w:tc>
          <w:tcPr>
            <w:tcW w:w="1559"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≈0.1;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347"/>
        </w:trPr>
        <w:tc>
          <w:tcPr>
            <w:tcW w:w="1809" w:type="dxa"/>
            <w:vMerge w:val="restart"/>
          </w:tcPr>
          <w:p w:rsidR="00186C40" w:rsidRPr="007822C7" w:rsidRDefault="00186C40" w:rsidP="007822C7">
            <w:pPr>
              <w:rPr>
                <w:kern w:val="2"/>
                <w:sz w:val="20"/>
                <w:szCs w:val="20"/>
              </w:rPr>
            </w:pPr>
            <w:r w:rsidRPr="007822C7">
              <w:rPr>
                <w:kern w:val="2"/>
                <w:sz w:val="20"/>
                <w:szCs w:val="20"/>
              </w:rPr>
              <w:t>NCD1305</w:t>
            </w:r>
          </w:p>
          <w:p w:rsidR="00186C40" w:rsidRPr="007822C7" w:rsidRDefault="00186C40" w:rsidP="007822C7">
            <w:pPr>
              <w:rPr>
                <w:b/>
                <w:kern w:val="2"/>
                <w:sz w:val="20"/>
                <w:szCs w:val="20"/>
              </w:rPr>
            </w:pPr>
            <w:r w:rsidRPr="007822C7">
              <w:rPr>
                <w:b/>
                <w:kern w:val="2"/>
                <w:sz w:val="20"/>
                <w:szCs w:val="20"/>
              </w:rPr>
              <w:t xml:space="preserve">Rat </w:t>
            </w:r>
            <w:r w:rsidRPr="007822C7">
              <w:rPr>
                <w:kern w:val="2"/>
                <w:sz w:val="20"/>
                <w:szCs w:val="20"/>
              </w:rPr>
              <w:t>(</w:t>
            </w:r>
            <w:proofErr w:type="spellStart"/>
            <w:r w:rsidRPr="007822C7">
              <w:rPr>
                <w:kern w:val="2"/>
                <w:sz w:val="20"/>
                <w:szCs w:val="20"/>
              </w:rPr>
              <w:t>Wistar</w:t>
            </w:r>
            <w:proofErr w:type="spellEnd"/>
            <w:r w:rsidRPr="007822C7">
              <w:rPr>
                <w:kern w:val="2"/>
                <w:sz w:val="20"/>
                <w:szCs w:val="20"/>
              </w:rPr>
              <w:t>)</w:t>
            </w:r>
          </w:p>
          <w:p w:rsidR="00186C40" w:rsidRPr="007822C7" w:rsidRDefault="00186C40" w:rsidP="007822C7">
            <w:pPr>
              <w:rPr>
                <w:b/>
                <w:kern w:val="2"/>
                <w:sz w:val="20"/>
                <w:szCs w:val="20"/>
              </w:rPr>
            </w:pPr>
          </w:p>
        </w:tc>
        <w:tc>
          <w:tcPr>
            <w:tcW w:w="1560" w:type="dxa"/>
            <w:vMerge w:val="restart"/>
          </w:tcPr>
          <w:p w:rsidR="00186C40" w:rsidRPr="007822C7" w:rsidRDefault="00186C40" w:rsidP="007822C7">
            <w:pPr>
              <w:rPr>
                <w:kern w:val="2"/>
                <w:sz w:val="20"/>
                <w:szCs w:val="20"/>
              </w:rPr>
            </w:pPr>
            <w:r w:rsidRPr="007822C7">
              <w:rPr>
                <w:kern w:val="2"/>
                <w:sz w:val="20"/>
                <w:szCs w:val="20"/>
              </w:rPr>
              <w:t>52 Weeks</w:t>
            </w:r>
          </w:p>
          <w:p w:rsidR="00186C40" w:rsidRPr="007822C7" w:rsidRDefault="00186C40" w:rsidP="007822C7">
            <w:pPr>
              <w:rPr>
                <w:kern w:val="2"/>
                <w:sz w:val="20"/>
                <w:szCs w:val="20"/>
              </w:rPr>
            </w:pPr>
            <w:r w:rsidRPr="007822C7">
              <w:rPr>
                <w:kern w:val="2"/>
                <w:sz w:val="20"/>
                <w:szCs w:val="20"/>
              </w:rPr>
              <w:t>PO</w:t>
            </w:r>
          </w:p>
          <w:p w:rsidR="00186C40" w:rsidRPr="007822C7" w:rsidRDefault="00186C40" w:rsidP="007822C7">
            <w:pPr>
              <w:rPr>
                <w:kern w:val="2"/>
                <w:sz w:val="20"/>
                <w:szCs w:val="20"/>
              </w:rPr>
            </w:pPr>
            <w:r w:rsidRPr="007822C7">
              <w:rPr>
                <w:kern w:val="2"/>
                <w:sz w:val="20"/>
                <w:szCs w:val="20"/>
              </w:rPr>
              <w:t>(104 week study)</w:t>
            </w:r>
          </w:p>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150</w:t>
            </w:r>
          </w:p>
        </w:tc>
        <w:tc>
          <w:tcPr>
            <w:tcW w:w="1289" w:type="dxa"/>
            <w:gridSpan w:val="2"/>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=1.97; </w:t>
            </w:r>
            <w:r w:rsidRPr="007822C7">
              <w:rPr>
                <w:rFonts w:ascii="Times New Roman" w:hAnsi="Times New Roman"/>
                <w:kern w:val="2"/>
                <w:sz w:val="20"/>
                <w:szCs w:val="20"/>
              </w:rPr>
              <w:t>♀</w:t>
            </w:r>
            <w:r w:rsidRPr="007822C7">
              <w:rPr>
                <w:kern w:val="2"/>
                <w:sz w:val="20"/>
                <w:szCs w:val="20"/>
              </w:rPr>
              <w:t>=1.07</w:t>
            </w:r>
          </w:p>
        </w:tc>
        <w:tc>
          <w:tcPr>
            <w:tcW w:w="1276"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≈1; </w:t>
            </w:r>
            <w:r w:rsidRPr="007822C7">
              <w:rPr>
                <w:rFonts w:ascii="Times New Roman" w:hAnsi="Times New Roman"/>
                <w:kern w:val="2"/>
                <w:sz w:val="20"/>
                <w:szCs w:val="20"/>
              </w:rPr>
              <w:t>♀</w:t>
            </w:r>
            <w:r w:rsidRPr="007822C7">
              <w:rPr>
                <w:kern w:val="2"/>
                <w:sz w:val="20"/>
                <w:szCs w:val="20"/>
              </w:rPr>
              <w:t>≈0.6</w:t>
            </w:r>
          </w:p>
        </w:tc>
        <w:tc>
          <w:tcPr>
            <w:tcW w:w="1559" w:type="dxa"/>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 xml:space="preserve">≈0.1; </w:t>
            </w:r>
            <w:r w:rsidRPr="007822C7">
              <w:rPr>
                <w:rFonts w:ascii="Times New Roman" w:hAnsi="Times New Roman"/>
                <w:kern w:val="2"/>
                <w:sz w:val="20"/>
                <w:szCs w:val="20"/>
              </w:rPr>
              <w:t>♀</w:t>
            </w:r>
            <w:r w:rsidRPr="007822C7">
              <w:rPr>
                <w:kern w:val="2"/>
                <w:sz w:val="20"/>
                <w:szCs w:val="20"/>
              </w:rPr>
              <w:t>&lt;0.1</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230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=3.02; </w:t>
            </w:r>
            <w:r w:rsidRPr="007822C7">
              <w:rPr>
                <w:rFonts w:ascii="Times New Roman" w:hAnsi="Times New Roman"/>
                <w:kern w:val="2"/>
                <w:sz w:val="20"/>
                <w:szCs w:val="20"/>
              </w:rPr>
              <w:t>♀</w:t>
            </w:r>
            <w:r w:rsidRPr="007822C7">
              <w:rPr>
                <w:kern w:val="2"/>
                <w:sz w:val="20"/>
                <w:szCs w:val="20"/>
              </w:rPr>
              <w:t>=2.11</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≈2; </w:t>
            </w:r>
            <w:r w:rsidRPr="007822C7">
              <w:rPr>
                <w:rFonts w:ascii="Times New Roman" w:hAnsi="Times New Roman"/>
                <w:kern w:val="2"/>
                <w:sz w:val="20"/>
                <w:szCs w:val="20"/>
              </w:rPr>
              <w:t>♀</w:t>
            </w:r>
            <w:r w:rsidRPr="007822C7">
              <w:rPr>
                <w:kern w:val="2"/>
                <w:sz w:val="20"/>
                <w:szCs w:val="20"/>
              </w:rPr>
              <w:t>≈1</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≈0.1;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191"/>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450</w:t>
            </w:r>
          </w:p>
        </w:tc>
        <w:tc>
          <w:tcPr>
            <w:tcW w:w="1289" w:type="dxa"/>
            <w:gridSpan w:val="2"/>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=5.94; </w:t>
            </w:r>
            <w:r w:rsidRPr="007822C7">
              <w:rPr>
                <w:rFonts w:ascii="Times New Roman" w:hAnsi="Times New Roman"/>
                <w:kern w:val="2"/>
                <w:sz w:val="20"/>
                <w:szCs w:val="20"/>
              </w:rPr>
              <w:t>♀</w:t>
            </w:r>
            <w:r w:rsidRPr="007822C7">
              <w:rPr>
                <w:kern w:val="2"/>
                <w:sz w:val="20"/>
                <w:szCs w:val="20"/>
              </w:rPr>
              <w:t>=4.98</w:t>
            </w:r>
          </w:p>
        </w:tc>
        <w:tc>
          <w:tcPr>
            <w:tcW w:w="1276"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≈4; </w:t>
            </w:r>
            <w:r w:rsidRPr="007822C7">
              <w:rPr>
                <w:rFonts w:ascii="Times New Roman" w:hAnsi="Times New Roman"/>
                <w:kern w:val="2"/>
                <w:sz w:val="20"/>
                <w:szCs w:val="20"/>
              </w:rPr>
              <w:t>♀</w:t>
            </w:r>
            <w:r w:rsidRPr="007822C7">
              <w:rPr>
                <w:kern w:val="2"/>
                <w:sz w:val="20"/>
                <w:szCs w:val="20"/>
              </w:rPr>
              <w:t>≈3</w:t>
            </w:r>
          </w:p>
        </w:tc>
        <w:tc>
          <w:tcPr>
            <w:tcW w:w="1559" w:type="dxa"/>
          </w:tcPr>
          <w:p w:rsidR="00186C40" w:rsidRPr="007822C7" w:rsidRDefault="00186C40" w:rsidP="007822C7">
            <w:pPr>
              <w:rPr>
                <w:kern w:val="2"/>
                <w:sz w:val="20"/>
                <w:szCs w:val="20"/>
              </w:rPr>
            </w:pPr>
            <w:r w:rsidRPr="007822C7">
              <w:rPr>
                <w:rFonts w:ascii="Times New Roman" w:hAnsi="Times New Roman"/>
                <w:kern w:val="2"/>
                <w:sz w:val="20"/>
                <w:szCs w:val="20"/>
              </w:rPr>
              <w:t>♂</w:t>
            </w:r>
            <w:r w:rsidRPr="007822C7">
              <w:rPr>
                <w:kern w:val="2"/>
                <w:sz w:val="20"/>
                <w:szCs w:val="20"/>
              </w:rPr>
              <w:t xml:space="preserve">≈0.2; </w:t>
            </w:r>
            <w:r w:rsidRPr="007822C7">
              <w:rPr>
                <w:rFonts w:ascii="Times New Roman" w:hAnsi="Times New Roman"/>
                <w:kern w:val="2"/>
                <w:sz w:val="20"/>
                <w:szCs w:val="20"/>
              </w:rPr>
              <w:t>♀</w:t>
            </w:r>
            <w:r w:rsidRPr="007822C7">
              <w:rPr>
                <w:kern w:val="2"/>
                <w:sz w:val="20"/>
                <w:szCs w:val="20"/>
              </w:rPr>
              <w:t>≈0.1</w:t>
            </w:r>
          </w:p>
        </w:tc>
      </w:tr>
      <w:tr w:rsidR="00186C40" w:rsidRPr="007822C7" w:rsidTr="002F3BCE">
        <w:trPr>
          <w:trHeight w:val="383"/>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700</w:t>
            </w:r>
          </w:p>
        </w:tc>
        <w:tc>
          <w:tcPr>
            <w:tcW w:w="1289" w:type="dxa"/>
            <w:gridSpan w:val="2"/>
          </w:tcPr>
          <w:p w:rsidR="00186C40" w:rsidRPr="007822C7" w:rsidRDefault="00186C40" w:rsidP="007822C7">
            <w:pPr>
              <w:rPr>
                <w:sz w:val="20"/>
                <w:szCs w:val="20"/>
              </w:rPr>
            </w:pPr>
            <w:r w:rsidRPr="007822C7">
              <w:rPr>
                <w:rFonts w:ascii="Times New Roman" w:hAnsi="Times New Roman"/>
                <w:kern w:val="2"/>
                <w:sz w:val="20"/>
                <w:szCs w:val="20"/>
              </w:rPr>
              <w:t>♂</w:t>
            </w:r>
            <w:r w:rsidRPr="007822C7">
              <w:rPr>
                <w:kern w:val="2"/>
                <w:sz w:val="20"/>
                <w:szCs w:val="20"/>
              </w:rPr>
              <w:t>=9.24ˢ</w:t>
            </w:r>
            <w:r w:rsidRPr="007822C7">
              <w:rPr>
                <w:kern w:val="2"/>
                <w:sz w:val="20"/>
                <w:szCs w:val="20"/>
              </w:rPr>
              <w:lastRenderedPageBreak/>
              <w:t xml:space="preserve">; </w:t>
            </w:r>
            <w:r w:rsidRPr="007822C7">
              <w:rPr>
                <w:rFonts w:ascii="Times New Roman" w:hAnsi="Times New Roman"/>
                <w:kern w:val="2"/>
                <w:sz w:val="20"/>
                <w:szCs w:val="20"/>
              </w:rPr>
              <w:t>♀</w:t>
            </w:r>
            <w:r w:rsidRPr="007822C7">
              <w:rPr>
                <w:kern w:val="2"/>
                <w:sz w:val="20"/>
                <w:szCs w:val="20"/>
              </w:rPr>
              <w:t>=7.38</w:t>
            </w:r>
          </w:p>
        </w:tc>
        <w:tc>
          <w:tcPr>
            <w:tcW w:w="1276" w:type="dxa"/>
          </w:tcPr>
          <w:p w:rsidR="00186C40" w:rsidRPr="007822C7" w:rsidRDefault="00186C40" w:rsidP="007822C7">
            <w:pPr>
              <w:rPr>
                <w:sz w:val="20"/>
                <w:szCs w:val="20"/>
              </w:rPr>
            </w:pPr>
            <w:r w:rsidRPr="007822C7">
              <w:rPr>
                <w:rFonts w:ascii="Times New Roman" w:hAnsi="Times New Roman"/>
                <w:kern w:val="2"/>
                <w:sz w:val="20"/>
                <w:szCs w:val="20"/>
              </w:rPr>
              <w:lastRenderedPageBreak/>
              <w:t>♂</w:t>
            </w:r>
            <w:r w:rsidRPr="007822C7">
              <w:rPr>
                <w:kern w:val="2"/>
                <w:sz w:val="20"/>
                <w:szCs w:val="20"/>
              </w:rPr>
              <w:t xml:space="preserve">≈6; </w:t>
            </w:r>
            <w:r w:rsidRPr="007822C7">
              <w:rPr>
                <w:rFonts w:ascii="Times New Roman" w:hAnsi="Times New Roman"/>
                <w:kern w:val="2"/>
                <w:sz w:val="20"/>
                <w:szCs w:val="20"/>
              </w:rPr>
              <w:lastRenderedPageBreak/>
              <w:t>♀</w:t>
            </w:r>
            <w:r w:rsidRPr="007822C7">
              <w:rPr>
                <w:kern w:val="2"/>
                <w:sz w:val="20"/>
                <w:szCs w:val="20"/>
              </w:rPr>
              <w:t>≈4</w:t>
            </w:r>
          </w:p>
        </w:tc>
        <w:tc>
          <w:tcPr>
            <w:tcW w:w="1559" w:type="dxa"/>
          </w:tcPr>
          <w:p w:rsidR="00186C40" w:rsidRPr="007822C7" w:rsidRDefault="00186C40" w:rsidP="007822C7">
            <w:pPr>
              <w:rPr>
                <w:sz w:val="20"/>
                <w:szCs w:val="20"/>
              </w:rPr>
            </w:pPr>
            <w:r w:rsidRPr="007822C7">
              <w:rPr>
                <w:rFonts w:ascii="Times New Roman" w:hAnsi="Times New Roman"/>
                <w:kern w:val="2"/>
                <w:sz w:val="20"/>
                <w:szCs w:val="20"/>
              </w:rPr>
              <w:lastRenderedPageBreak/>
              <w:t>♂</w:t>
            </w:r>
            <w:r w:rsidRPr="007822C7">
              <w:rPr>
                <w:kern w:val="2"/>
                <w:sz w:val="20"/>
                <w:szCs w:val="20"/>
              </w:rPr>
              <w:t xml:space="preserve">≈0.3; </w:t>
            </w:r>
            <w:r w:rsidRPr="007822C7">
              <w:rPr>
                <w:rFonts w:ascii="Times New Roman" w:hAnsi="Times New Roman"/>
                <w:kern w:val="2"/>
                <w:sz w:val="20"/>
                <w:szCs w:val="20"/>
              </w:rPr>
              <w:lastRenderedPageBreak/>
              <w:t>♀</w:t>
            </w:r>
            <w:r w:rsidRPr="007822C7">
              <w:rPr>
                <w:kern w:val="2"/>
                <w:sz w:val="20"/>
                <w:szCs w:val="20"/>
              </w:rPr>
              <w:t>≈0.2</w:t>
            </w:r>
          </w:p>
        </w:tc>
      </w:tr>
      <w:tr w:rsidR="00186C40" w:rsidRPr="007822C7" w:rsidTr="002F3BCE">
        <w:trPr>
          <w:trHeight w:val="227"/>
        </w:trPr>
        <w:tc>
          <w:tcPr>
            <w:tcW w:w="1809" w:type="dxa"/>
            <w:vMerge w:val="restart"/>
          </w:tcPr>
          <w:p w:rsidR="00186C40" w:rsidRPr="007822C7" w:rsidRDefault="00186C40" w:rsidP="007822C7">
            <w:pPr>
              <w:rPr>
                <w:sz w:val="20"/>
                <w:szCs w:val="20"/>
              </w:rPr>
            </w:pPr>
            <w:r w:rsidRPr="007822C7">
              <w:rPr>
                <w:sz w:val="20"/>
                <w:szCs w:val="20"/>
              </w:rPr>
              <w:lastRenderedPageBreak/>
              <w:t>PSM1013</w:t>
            </w:r>
          </w:p>
          <w:p w:rsidR="00186C40" w:rsidRPr="007822C7" w:rsidRDefault="00186C40" w:rsidP="007822C7">
            <w:pPr>
              <w:rPr>
                <w:b/>
                <w:kern w:val="2"/>
                <w:sz w:val="20"/>
                <w:szCs w:val="20"/>
              </w:rPr>
            </w:pPr>
            <w:r w:rsidRPr="007822C7">
              <w:rPr>
                <w:b/>
                <w:sz w:val="20"/>
                <w:szCs w:val="20"/>
              </w:rPr>
              <w:t>Dog</w:t>
            </w:r>
            <w:r w:rsidRPr="007822C7">
              <w:rPr>
                <w:sz w:val="20"/>
                <w:szCs w:val="20"/>
              </w:rPr>
              <w:t xml:space="preserve"> (Beagle)</w:t>
            </w:r>
          </w:p>
        </w:tc>
        <w:tc>
          <w:tcPr>
            <w:tcW w:w="1560" w:type="dxa"/>
            <w:vMerge w:val="restart"/>
          </w:tcPr>
          <w:p w:rsidR="00186C40" w:rsidRPr="007822C7" w:rsidRDefault="00186C40" w:rsidP="007822C7">
            <w:pPr>
              <w:rPr>
                <w:kern w:val="2"/>
                <w:sz w:val="20"/>
                <w:szCs w:val="20"/>
              </w:rPr>
            </w:pPr>
            <w:r w:rsidRPr="007822C7">
              <w:rPr>
                <w:kern w:val="2"/>
                <w:sz w:val="20"/>
                <w:szCs w:val="20"/>
              </w:rPr>
              <w:t>26 Weeks</w:t>
            </w:r>
          </w:p>
          <w:p w:rsidR="00186C40" w:rsidRPr="007822C7" w:rsidRDefault="00186C40" w:rsidP="007822C7">
            <w:pPr>
              <w:rPr>
                <w:kern w:val="2"/>
                <w:sz w:val="20"/>
                <w:szCs w:val="20"/>
              </w:rPr>
            </w:pPr>
            <w:r w:rsidRPr="007822C7">
              <w:rPr>
                <w:kern w:val="2"/>
                <w:sz w:val="20"/>
                <w:szCs w:val="20"/>
              </w:rPr>
              <w:t>PO</w:t>
            </w:r>
          </w:p>
        </w:tc>
        <w:tc>
          <w:tcPr>
            <w:tcW w:w="1404" w:type="dxa"/>
          </w:tcPr>
          <w:p w:rsidR="00186C40" w:rsidRPr="007822C7" w:rsidRDefault="00186C40" w:rsidP="007822C7">
            <w:pPr>
              <w:rPr>
                <w:kern w:val="2"/>
                <w:sz w:val="20"/>
                <w:szCs w:val="20"/>
              </w:rPr>
            </w:pPr>
            <w:r w:rsidRPr="007822C7">
              <w:rPr>
                <w:kern w:val="2"/>
                <w:sz w:val="20"/>
                <w:szCs w:val="20"/>
              </w:rPr>
              <w:t>15</w:t>
            </w:r>
          </w:p>
        </w:tc>
        <w:tc>
          <w:tcPr>
            <w:tcW w:w="1289" w:type="dxa"/>
            <w:gridSpan w:val="2"/>
          </w:tcPr>
          <w:p w:rsidR="00186C40" w:rsidRPr="007822C7" w:rsidRDefault="00186C40" w:rsidP="007822C7">
            <w:pPr>
              <w:rPr>
                <w:kern w:val="2"/>
                <w:sz w:val="20"/>
                <w:szCs w:val="20"/>
              </w:rPr>
            </w:pPr>
            <w:r w:rsidRPr="007822C7">
              <w:rPr>
                <w:kern w:val="2"/>
                <w:sz w:val="20"/>
                <w:szCs w:val="20"/>
              </w:rPr>
              <w:t>1.23</w:t>
            </w:r>
          </w:p>
        </w:tc>
        <w:tc>
          <w:tcPr>
            <w:tcW w:w="1276" w:type="dxa"/>
          </w:tcPr>
          <w:p w:rsidR="00186C40" w:rsidRPr="007822C7" w:rsidRDefault="00186C40" w:rsidP="007822C7">
            <w:pPr>
              <w:rPr>
                <w:kern w:val="2"/>
                <w:sz w:val="20"/>
                <w:szCs w:val="20"/>
              </w:rPr>
            </w:pPr>
            <w:r w:rsidRPr="007822C7">
              <w:rPr>
                <w:kern w:val="2"/>
                <w:sz w:val="20"/>
                <w:szCs w:val="20"/>
              </w:rPr>
              <w:t>≈1</w:t>
            </w:r>
          </w:p>
        </w:tc>
        <w:tc>
          <w:tcPr>
            <w:tcW w:w="1559" w:type="dxa"/>
          </w:tcPr>
          <w:p w:rsidR="00186C40" w:rsidRPr="007822C7" w:rsidRDefault="00186C40" w:rsidP="007822C7">
            <w:pPr>
              <w:rPr>
                <w:kern w:val="2"/>
                <w:sz w:val="20"/>
                <w:szCs w:val="20"/>
              </w:rPr>
            </w:pPr>
            <w:r w:rsidRPr="007822C7">
              <w:rPr>
                <w:kern w:val="2"/>
                <w:sz w:val="20"/>
                <w:szCs w:val="20"/>
              </w:rPr>
              <w:t>&lt;0.1</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37.5</w:t>
            </w:r>
          </w:p>
        </w:tc>
        <w:tc>
          <w:tcPr>
            <w:tcW w:w="1289" w:type="dxa"/>
            <w:gridSpan w:val="2"/>
          </w:tcPr>
          <w:p w:rsidR="00186C40" w:rsidRPr="007822C7" w:rsidRDefault="00186C40" w:rsidP="007822C7">
            <w:pPr>
              <w:rPr>
                <w:kern w:val="2"/>
                <w:sz w:val="20"/>
                <w:szCs w:val="20"/>
              </w:rPr>
            </w:pPr>
            <w:r w:rsidRPr="007822C7">
              <w:rPr>
                <w:kern w:val="2"/>
                <w:sz w:val="20"/>
                <w:szCs w:val="20"/>
              </w:rPr>
              <w:t>2.49</w:t>
            </w:r>
          </w:p>
        </w:tc>
        <w:tc>
          <w:tcPr>
            <w:tcW w:w="1276" w:type="dxa"/>
          </w:tcPr>
          <w:p w:rsidR="00186C40" w:rsidRPr="007822C7" w:rsidRDefault="00186C40" w:rsidP="007822C7">
            <w:pPr>
              <w:rPr>
                <w:sz w:val="20"/>
                <w:szCs w:val="20"/>
              </w:rPr>
            </w:pPr>
            <w:r w:rsidRPr="007822C7">
              <w:rPr>
                <w:kern w:val="2"/>
                <w:sz w:val="20"/>
                <w:szCs w:val="20"/>
              </w:rPr>
              <w:t>≈2</w:t>
            </w:r>
          </w:p>
        </w:tc>
        <w:tc>
          <w:tcPr>
            <w:tcW w:w="1559" w:type="dxa"/>
          </w:tcPr>
          <w:p w:rsidR="00186C40" w:rsidRPr="007822C7" w:rsidRDefault="00186C40" w:rsidP="007822C7">
            <w:pPr>
              <w:rPr>
                <w:sz w:val="20"/>
                <w:szCs w:val="20"/>
              </w:rPr>
            </w:pPr>
            <w:r w:rsidRPr="007822C7">
              <w:rPr>
                <w:kern w:val="2"/>
                <w:sz w:val="20"/>
                <w:szCs w:val="20"/>
              </w:rPr>
              <w:t>≈0.1</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75</w:t>
            </w:r>
          </w:p>
        </w:tc>
        <w:tc>
          <w:tcPr>
            <w:tcW w:w="1289" w:type="dxa"/>
            <w:gridSpan w:val="2"/>
          </w:tcPr>
          <w:p w:rsidR="00186C40" w:rsidRPr="007822C7" w:rsidRDefault="00186C40" w:rsidP="007822C7">
            <w:pPr>
              <w:rPr>
                <w:sz w:val="20"/>
                <w:szCs w:val="20"/>
              </w:rPr>
            </w:pPr>
            <w:r w:rsidRPr="007822C7">
              <w:rPr>
                <w:sz w:val="20"/>
                <w:szCs w:val="20"/>
              </w:rPr>
              <w:t>4.66</w:t>
            </w:r>
          </w:p>
        </w:tc>
        <w:tc>
          <w:tcPr>
            <w:tcW w:w="1276" w:type="dxa"/>
          </w:tcPr>
          <w:p w:rsidR="00186C40" w:rsidRPr="007822C7" w:rsidRDefault="00186C40" w:rsidP="007822C7">
            <w:pPr>
              <w:rPr>
                <w:sz w:val="20"/>
                <w:szCs w:val="20"/>
              </w:rPr>
            </w:pPr>
            <w:r w:rsidRPr="007822C7">
              <w:rPr>
                <w:kern w:val="2"/>
                <w:sz w:val="20"/>
                <w:szCs w:val="20"/>
              </w:rPr>
              <w:t>≈3</w:t>
            </w:r>
          </w:p>
        </w:tc>
        <w:tc>
          <w:tcPr>
            <w:tcW w:w="1559" w:type="dxa"/>
          </w:tcPr>
          <w:p w:rsidR="00186C40" w:rsidRPr="007822C7" w:rsidRDefault="00186C40" w:rsidP="007822C7">
            <w:pPr>
              <w:rPr>
                <w:sz w:val="20"/>
                <w:szCs w:val="20"/>
              </w:rPr>
            </w:pPr>
            <w:r w:rsidRPr="007822C7">
              <w:rPr>
                <w:kern w:val="2"/>
                <w:sz w:val="20"/>
                <w:szCs w:val="20"/>
              </w:rPr>
              <w:t>≈0.11</w:t>
            </w:r>
          </w:p>
        </w:tc>
      </w:tr>
      <w:tr w:rsidR="00186C40" w:rsidRPr="007822C7" w:rsidTr="002F3BCE">
        <w:trPr>
          <w:trHeight w:val="227"/>
        </w:trPr>
        <w:tc>
          <w:tcPr>
            <w:tcW w:w="1809" w:type="dxa"/>
            <w:vMerge w:val="restart"/>
          </w:tcPr>
          <w:p w:rsidR="00186C40" w:rsidRPr="007822C7" w:rsidRDefault="00186C40" w:rsidP="007822C7">
            <w:pPr>
              <w:rPr>
                <w:sz w:val="20"/>
                <w:szCs w:val="20"/>
              </w:rPr>
            </w:pPr>
            <w:r w:rsidRPr="007822C7">
              <w:rPr>
                <w:sz w:val="20"/>
                <w:szCs w:val="20"/>
              </w:rPr>
              <w:t>NCD1543</w:t>
            </w:r>
          </w:p>
          <w:p w:rsidR="00186C40" w:rsidRPr="007822C7" w:rsidRDefault="00186C40" w:rsidP="007822C7">
            <w:pPr>
              <w:rPr>
                <w:b/>
                <w:kern w:val="2"/>
                <w:sz w:val="20"/>
                <w:szCs w:val="20"/>
              </w:rPr>
            </w:pPr>
            <w:r w:rsidRPr="007822C7">
              <w:rPr>
                <w:b/>
                <w:sz w:val="20"/>
                <w:szCs w:val="20"/>
              </w:rPr>
              <w:t>Dog</w:t>
            </w:r>
            <w:r w:rsidRPr="007822C7">
              <w:rPr>
                <w:sz w:val="20"/>
                <w:szCs w:val="20"/>
              </w:rPr>
              <w:t xml:space="preserve"> (Beagle)</w:t>
            </w:r>
          </w:p>
        </w:tc>
        <w:tc>
          <w:tcPr>
            <w:tcW w:w="1560" w:type="dxa"/>
            <w:vMerge w:val="restart"/>
          </w:tcPr>
          <w:p w:rsidR="00186C40" w:rsidRPr="007822C7" w:rsidRDefault="00186C40" w:rsidP="007822C7">
            <w:pPr>
              <w:rPr>
                <w:kern w:val="2"/>
                <w:sz w:val="20"/>
                <w:szCs w:val="20"/>
              </w:rPr>
            </w:pPr>
            <w:r w:rsidRPr="007822C7">
              <w:rPr>
                <w:kern w:val="2"/>
                <w:sz w:val="20"/>
                <w:szCs w:val="20"/>
              </w:rPr>
              <w:t>4 Weeks</w:t>
            </w:r>
          </w:p>
          <w:p w:rsidR="00186C40" w:rsidRPr="007822C7" w:rsidRDefault="002F3BCE" w:rsidP="007822C7">
            <w:pPr>
              <w:rPr>
                <w:kern w:val="2"/>
                <w:sz w:val="20"/>
                <w:szCs w:val="20"/>
              </w:rPr>
            </w:pPr>
            <w:r w:rsidRPr="007822C7">
              <w:rPr>
                <w:kern w:val="2"/>
                <w:sz w:val="20"/>
                <w:szCs w:val="20"/>
              </w:rPr>
              <w:t>c</w:t>
            </w:r>
            <w:r w:rsidR="00186C40" w:rsidRPr="007822C7">
              <w:rPr>
                <w:kern w:val="2"/>
                <w:sz w:val="20"/>
                <w:szCs w:val="20"/>
              </w:rPr>
              <w:t>ontinuous IV infusion</w:t>
            </w:r>
          </w:p>
        </w:tc>
        <w:tc>
          <w:tcPr>
            <w:tcW w:w="1404" w:type="dxa"/>
          </w:tcPr>
          <w:p w:rsidR="00186C40" w:rsidRPr="007822C7" w:rsidRDefault="00186C40" w:rsidP="007822C7">
            <w:pPr>
              <w:rPr>
                <w:kern w:val="2"/>
                <w:sz w:val="20"/>
                <w:szCs w:val="20"/>
              </w:rPr>
            </w:pPr>
            <w:r w:rsidRPr="007822C7">
              <w:rPr>
                <w:kern w:val="2"/>
                <w:sz w:val="20"/>
                <w:szCs w:val="20"/>
              </w:rPr>
              <w:t>30</w:t>
            </w:r>
          </w:p>
        </w:tc>
        <w:tc>
          <w:tcPr>
            <w:tcW w:w="1289" w:type="dxa"/>
            <w:gridSpan w:val="2"/>
          </w:tcPr>
          <w:p w:rsidR="00186C40" w:rsidRPr="007822C7" w:rsidRDefault="00186C40" w:rsidP="007822C7">
            <w:pPr>
              <w:rPr>
                <w:kern w:val="2"/>
                <w:sz w:val="20"/>
                <w:szCs w:val="20"/>
              </w:rPr>
            </w:pPr>
            <w:r w:rsidRPr="007822C7">
              <w:rPr>
                <w:kern w:val="2"/>
                <w:sz w:val="20"/>
                <w:szCs w:val="20"/>
              </w:rPr>
              <w:t>2.29</w:t>
            </w:r>
          </w:p>
        </w:tc>
        <w:tc>
          <w:tcPr>
            <w:tcW w:w="1276" w:type="dxa"/>
          </w:tcPr>
          <w:p w:rsidR="00186C40" w:rsidRPr="007822C7" w:rsidRDefault="00186C40" w:rsidP="007822C7">
            <w:pPr>
              <w:rPr>
                <w:sz w:val="20"/>
                <w:szCs w:val="20"/>
              </w:rPr>
            </w:pPr>
            <w:r w:rsidRPr="007822C7">
              <w:rPr>
                <w:kern w:val="2"/>
                <w:sz w:val="20"/>
                <w:szCs w:val="20"/>
              </w:rPr>
              <w:t>≈1</w:t>
            </w:r>
          </w:p>
        </w:tc>
        <w:tc>
          <w:tcPr>
            <w:tcW w:w="1559" w:type="dxa"/>
          </w:tcPr>
          <w:p w:rsidR="00186C40" w:rsidRPr="007822C7" w:rsidRDefault="00186C40" w:rsidP="007822C7">
            <w:pPr>
              <w:rPr>
                <w:sz w:val="20"/>
                <w:szCs w:val="20"/>
              </w:rPr>
            </w:pPr>
            <w:r w:rsidRPr="007822C7">
              <w:rPr>
                <w:kern w:val="2"/>
                <w:sz w:val="20"/>
                <w:szCs w:val="20"/>
              </w:rPr>
              <w:t>≈0.1</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100</w:t>
            </w:r>
          </w:p>
        </w:tc>
        <w:tc>
          <w:tcPr>
            <w:tcW w:w="1289" w:type="dxa"/>
            <w:gridSpan w:val="2"/>
          </w:tcPr>
          <w:p w:rsidR="00186C40" w:rsidRPr="007822C7" w:rsidRDefault="00186C40" w:rsidP="007822C7">
            <w:pPr>
              <w:rPr>
                <w:kern w:val="2"/>
                <w:sz w:val="20"/>
                <w:szCs w:val="20"/>
              </w:rPr>
            </w:pPr>
            <w:r w:rsidRPr="007822C7">
              <w:rPr>
                <w:kern w:val="2"/>
                <w:sz w:val="20"/>
                <w:szCs w:val="20"/>
              </w:rPr>
              <w:t>5.24</w:t>
            </w:r>
          </w:p>
        </w:tc>
        <w:tc>
          <w:tcPr>
            <w:tcW w:w="1276" w:type="dxa"/>
          </w:tcPr>
          <w:p w:rsidR="00186C40" w:rsidRPr="007822C7" w:rsidRDefault="00186C40" w:rsidP="007822C7">
            <w:pPr>
              <w:rPr>
                <w:sz w:val="20"/>
                <w:szCs w:val="20"/>
              </w:rPr>
            </w:pPr>
            <w:r w:rsidRPr="007822C7">
              <w:rPr>
                <w:kern w:val="2"/>
                <w:sz w:val="20"/>
                <w:szCs w:val="20"/>
              </w:rPr>
              <w:t>≈3</w:t>
            </w:r>
          </w:p>
        </w:tc>
        <w:tc>
          <w:tcPr>
            <w:tcW w:w="1559" w:type="dxa"/>
          </w:tcPr>
          <w:p w:rsidR="00186C40" w:rsidRPr="007822C7" w:rsidRDefault="00186C40" w:rsidP="007822C7">
            <w:pPr>
              <w:rPr>
                <w:sz w:val="20"/>
                <w:szCs w:val="20"/>
              </w:rPr>
            </w:pPr>
            <w:r w:rsidRPr="007822C7">
              <w:rPr>
                <w:kern w:val="2"/>
                <w:sz w:val="20"/>
                <w:szCs w:val="20"/>
              </w:rPr>
              <w:t>≈0.1</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150/200</w:t>
            </w:r>
          </w:p>
        </w:tc>
        <w:tc>
          <w:tcPr>
            <w:tcW w:w="1289" w:type="dxa"/>
            <w:gridSpan w:val="2"/>
          </w:tcPr>
          <w:p w:rsidR="00186C40" w:rsidRPr="007822C7" w:rsidRDefault="00186C40" w:rsidP="007822C7">
            <w:pPr>
              <w:rPr>
                <w:kern w:val="2"/>
                <w:sz w:val="20"/>
                <w:szCs w:val="20"/>
              </w:rPr>
            </w:pPr>
            <w:r w:rsidRPr="007822C7">
              <w:rPr>
                <w:kern w:val="2"/>
                <w:sz w:val="20"/>
                <w:szCs w:val="20"/>
              </w:rPr>
              <w:t>10.5</w:t>
            </w:r>
          </w:p>
        </w:tc>
        <w:tc>
          <w:tcPr>
            <w:tcW w:w="1276" w:type="dxa"/>
          </w:tcPr>
          <w:p w:rsidR="00186C40" w:rsidRPr="007822C7" w:rsidRDefault="00186C40" w:rsidP="007822C7">
            <w:pPr>
              <w:rPr>
                <w:sz w:val="20"/>
                <w:szCs w:val="20"/>
              </w:rPr>
            </w:pPr>
            <w:r w:rsidRPr="007822C7">
              <w:rPr>
                <w:kern w:val="2"/>
                <w:sz w:val="20"/>
                <w:szCs w:val="20"/>
              </w:rPr>
              <w:t>≈6</w:t>
            </w:r>
          </w:p>
        </w:tc>
        <w:tc>
          <w:tcPr>
            <w:tcW w:w="1559" w:type="dxa"/>
          </w:tcPr>
          <w:p w:rsidR="00186C40" w:rsidRPr="007822C7" w:rsidRDefault="00186C40" w:rsidP="007822C7">
            <w:pPr>
              <w:rPr>
                <w:sz w:val="20"/>
                <w:szCs w:val="20"/>
              </w:rPr>
            </w:pPr>
            <w:r w:rsidRPr="007822C7">
              <w:rPr>
                <w:kern w:val="2"/>
                <w:sz w:val="20"/>
                <w:szCs w:val="20"/>
              </w:rPr>
              <w:t>≈0.3</w:t>
            </w:r>
          </w:p>
        </w:tc>
      </w:tr>
      <w:tr w:rsidR="00186C40" w:rsidRPr="007822C7" w:rsidTr="002F3BCE">
        <w:trPr>
          <w:trHeight w:val="227"/>
        </w:trPr>
        <w:tc>
          <w:tcPr>
            <w:tcW w:w="1809" w:type="dxa"/>
            <w:vMerge w:val="restart"/>
          </w:tcPr>
          <w:p w:rsidR="00186C40" w:rsidRPr="007822C7" w:rsidRDefault="00186C40" w:rsidP="007822C7">
            <w:pPr>
              <w:rPr>
                <w:sz w:val="20"/>
                <w:szCs w:val="20"/>
              </w:rPr>
            </w:pPr>
            <w:r w:rsidRPr="007822C7">
              <w:rPr>
                <w:sz w:val="20"/>
                <w:szCs w:val="20"/>
              </w:rPr>
              <w:t>PSM1101</w:t>
            </w:r>
          </w:p>
          <w:p w:rsidR="00186C40" w:rsidRPr="007822C7" w:rsidRDefault="00186C40" w:rsidP="007822C7">
            <w:pPr>
              <w:rPr>
                <w:b/>
                <w:kern w:val="2"/>
                <w:sz w:val="20"/>
                <w:szCs w:val="20"/>
              </w:rPr>
            </w:pPr>
            <w:r w:rsidRPr="007822C7">
              <w:rPr>
                <w:b/>
                <w:sz w:val="20"/>
                <w:szCs w:val="20"/>
              </w:rPr>
              <w:t>Monkey</w:t>
            </w:r>
          </w:p>
        </w:tc>
        <w:tc>
          <w:tcPr>
            <w:tcW w:w="1560" w:type="dxa"/>
            <w:vMerge w:val="restart"/>
          </w:tcPr>
          <w:p w:rsidR="00186C40" w:rsidRPr="007822C7" w:rsidRDefault="00186C40" w:rsidP="007822C7">
            <w:pPr>
              <w:rPr>
                <w:kern w:val="2"/>
                <w:sz w:val="20"/>
                <w:szCs w:val="20"/>
              </w:rPr>
            </w:pPr>
            <w:r w:rsidRPr="007822C7">
              <w:rPr>
                <w:kern w:val="2"/>
                <w:sz w:val="20"/>
                <w:szCs w:val="20"/>
              </w:rPr>
              <w:t>4 Weeks</w:t>
            </w:r>
          </w:p>
          <w:p w:rsidR="00186C40" w:rsidRPr="007822C7" w:rsidRDefault="00186C40" w:rsidP="007822C7">
            <w:pPr>
              <w:rPr>
                <w:kern w:val="2"/>
                <w:sz w:val="20"/>
                <w:szCs w:val="20"/>
              </w:rPr>
            </w:pPr>
            <w:r w:rsidRPr="007822C7">
              <w:rPr>
                <w:kern w:val="2"/>
                <w:sz w:val="20"/>
                <w:szCs w:val="20"/>
              </w:rPr>
              <w:t>PO</w:t>
            </w:r>
          </w:p>
        </w:tc>
        <w:tc>
          <w:tcPr>
            <w:tcW w:w="1404" w:type="dxa"/>
          </w:tcPr>
          <w:p w:rsidR="00186C40" w:rsidRPr="007822C7" w:rsidRDefault="00186C40" w:rsidP="007822C7">
            <w:pPr>
              <w:rPr>
                <w:kern w:val="2"/>
                <w:sz w:val="20"/>
                <w:szCs w:val="20"/>
              </w:rPr>
            </w:pPr>
            <w:r w:rsidRPr="007822C7">
              <w:rPr>
                <w:kern w:val="2"/>
                <w:sz w:val="20"/>
                <w:szCs w:val="20"/>
              </w:rPr>
              <w:t>300</w:t>
            </w:r>
          </w:p>
        </w:tc>
        <w:tc>
          <w:tcPr>
            <w:tcW w:w="1289" w:type="dxa"/>
            <w:gridSpan w:val="2"/>
          </w:tcPr>
          <w:p w:rsidR="00186C40" w:rsidRPr="007822C7" w:rsidRDefault="00186C40" w:rsidP="007822C7">
            <w:pPr>
              <w:rPr>
                <w:kern w:val="2"/>
                <w:sz w:val="20"/>
                <w:szCs w:val="20"/>
              </w:rPr>
            </w:pPr>
            <w:r w:rsidRPr="007822C7">
              <w:rPr>
                <w:kern w:val="2"/>
                <w:sz w:val="20"/>
                <w:szCs w:val="20"/>
              </w:rPr>
              <w:t>≈17.8</w:t>
            </w:r>
          </w:p>
        </w:tc>
        <w:tc>
          <w:tcPr>
            <w:tcW w:w="1276" w:type="dxa"/>
          </w:tcPr>
          <w:p w:rsidR="00186C40" w:rsidRPr="007822C7" w:rsidRDefault="00186C40" w:rsidP="007822C7">
            <w:pPr>
              <w:rPr>
                <w:sz w:val="20"/>
                <w:szCs w:val="20"/>
              </w:rPr>
            </w:pPr>
            <w:r w:rsidRPr="007822C7">
              <w:rPr>
                <w:kern w:val="2"/>
                <w:sz w:val="20"/>
                <w:szCs w:val="20"/>
              </w:rPr>
              <w:t>≈</w:t>
            </w:r>
            <w:r w:rsidRPr="007822C7">
              <w:rPr>
                <w:sz w:val="20"/>
                <w:szCs w:val="20"/>
              </w:rPr>
              <w:t>11</w:t>
            </w:r>
          </w:p>
        </w:tc>
        <w:tc>
          <w:tcPr>
            <w:tcW w:w="1559" w:type="dxa"/>
          </w:tcPr>
          <w:p w:rsidR="00186C40" w:rsidRPr="007822C7" w:rsidRDefault="00186C40" w:rsidP="007822C7">
            <w:pPr>
              <w:rPr>
                <w:sz w:val="20"/>
                <w:szCs w:val="20"/>
              </w:rPr>
            </w:pPr>
            <w:r w:rsidRPr="007822C7">
              <w:rPr>
                <w:kern w:val="2"/>
                <w:sz w:val="20"/>
                <w:szCs w:val="20"/>
              </w:rPr>
              <w:t>≈</w:t>
            </w:r>
            <w:r w:rsidRPr="007822C7">
              <w:rPr>
                <w:sz w:val="20"/>
                <w:szCs w:val="20"/>
              </w:rPr>
              <w:t>0.5</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600</w:t>
            </w:r>
          </w:p>
        </w:tc>
        <w:tc>
          <w:tcPr>
            <w:tcW w:w="1289" w:type="dxa"/>
            <w:gridSpan w:val="2"/>
          </w:tcPr>
          <w:p w:rsidR="00186C40" w:rsidRPr="007822C7" w:rsidRDefault="00186C40" w:rsidP="007822C7">
            <w:pPr>
              <w:rPr>
                <w:kern w:val="2"/>
                <w:sz w:val="20"/>
                <w:szCs w:val="20"/>
              </w:rPr>
            </w:pPr>
            <w:r w:rsidRPr="007822C7">
              <w:rPr>
                <w:kern w:val="2"/>
                <w:sz w:val="20"/>
                <w:szCs w:val="20"/>
              </w:rPr>
              <w:t>≈29.6</w:t>
            </w:r>
          </w:p>
        </w:tc>
        <w:tc>
          <w:tcPr>
            <w:tcW w:w="1276" w:type="dxa"/>
          </w:tcPr>
          <w:p w:rsidR="00186C40" w:rsidRPr="007822C7" w:rsidRDefault="00186C40" w:rsidP="007822C7">
            <w:pPr>
              <w:rPr>
                <w:sz w:val="20"/>
                <w:szCs w:val="20"/>
              </w:rPr>
            </w:pPr>
            <w:r w:rsidRPr="007822C7">
              <w:rPr>
                <w:kern w:val="2"/>
                <w:sz w:val="20"/>
                <w:szCs w:val="20"/>
              </w:rPr>
              <w:t>≈</w:t>
            </w:r>
            <w:r w:rsidRPr="007822C7">
              <w:rPr>
                <w:sz w:val="20"/>
                <w:szCs w:val="20"/>
              </w:rPr>
              <w:t>18</w:t>
            </w:r>
          </w:p>
        </w:tc>
        <w:tc>
          <w:tcPr>
            <w:tcW w:w="1559" w:type="dxa"/>
          </w:tcPr>
          <w:p w:rsidR="00186C40" w:rsidRPr="007822C7" w:rsidRDefault="00186C40" w:rsidP="007822C7">
            <w:pPr>
              <w:rPr>
                <w:sz w:val="20"/>
                <w:szCs w:val="20"/>
              </w:rPr>
            </w:pPr>
            <w:r w:rsidRPr="007822C7">
              <w:rPr>
                <w:kern w:val="2"/>
                <w:sz w:val="20"/>
                <w:szCs w:val="20"/>
              </w:rPr>
              <w:t>≈</w:t>
            </w:r>
            <w:r w:rsidRPr="007822C7">
              <w:rPr>
                <w:sz w:val="20"/>
                <w:szCs w:val="20"/>
              </w:rPr>
              <w:t>0.8</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900</w:t>
            </w:r>
          </w:p>
        </w:tc>
        <w:tc>
          <w:tcPr>
            <w:tcW w:w="1289" w:type="dxa"/>
            <w:gridSpan w:val="2"/>
          </w:tcPr>
          <w:p w:rsidR="00186C40" w:rsidRPr="007822C7" w:rsidRDefault="00186C40" w:rsidP="007822C7">
            <w:pPr>
              <w:rPr>
                <w:kern w:val="2"/>
                <w:sz w:val="20"/>
                <w:szCs w:val="20"/>
              </w:rPr>
            </w:pPr>
            <w:r w:rsidRPr="007822C7">
              <w:rPr>
                <w:kern w:val="2"/>
                <w:sz w:val="20"/>
                <w:szCs w:val="20"/>
              </w:rPr>
              <w:t>≈34.3</w:t>
            </w:r>
          </w:p>
        </w:tc>
        <w:tc>
          <w:tcPr>
            <w:tcW w:w="1276" w:type="dxa"/>
          </w:tcPr>
          <w:p w:rsidR="00186C40" w:rsidRPr="007822C7" w:rsidRDefault="00186C40" w:rsidP="007822C7">
            <w:pPr>
              <w:rPr>
                <w:sz w:val="20"/>
                <w:szCs w:val="20"/>
              </w:rPr>
            </w:pPr>
            <w:r w:rsidRPr="007822C7">
              <w:rPr>
                <w:kern w:val="2"/>
                <w:sz w:val="20"/>
                <w:szCs w:val="20"/>
              </w:rPr>
              <w:t>≈</w:t>
            </w:r>
            <w:r w:rsidRPr="007822C7">
              <w:rPr>
                <w:sz w:val="20"/>
                <w:szCs w:val="20"/>
              </w:rPr>
              <w:t>21</w:t>
            </w:r>
          </w:p>
        </w:tc>
        <w:tc>
          <w:tcPr>
            <w:tcW w:w="1559" w:type="dxa"/>
          </w:tcPr>
          <w:p w:rsidR="00186C40" w:rsidRPr="007822C7" w:rsidRDefault="00186C40" w:rsidP="007822C7">
            <w:pPr>
              <w:rPr>
                <w:sz w:val="20"/>
                <w:szCs w:val="20"/>
              </w:rPr>
            </w:pPr>
            <w:r w:rsidRPr="007822C7">
              <w:rPr>
                <w:kern w:val="2"/>
                <w:sz w:val="20"/>
                <w:szCs w:val="20"/>
              </w:rPr>
              <w:t>≈</w:t>
            </w:r>
            <w:r w:rsidRPr="007822C7">
              <w:rPr>
                <w:sz w:val="20"/>
                <w:szCs w:val="20"/>
              </w:rPr>
              <w:t>1</w:t>
            </w:r>
          </w:p>
        </w:tc>
      </w:tr>
      <w:tr w:rsidR="00186C40" w:rsidRPr="007822C7" w:rsidTr="002F3BCE">
        <w:trPr>
          <w:trHeight w:val="227"/>
        </w:trPr>
        <w:tc>
          <w:tcPr>
            <w:tcW w:w="1809" w:type="dxa"/>
            <w:vMerge w:val="restart"/>
          </w:tcPr>
          <w:p w:rsidR="00186C40" w:rsidRPr="007822C7" w:rsidRDefault="00186C40" w:rsidP="007822C7">
            <w:pPr>
              <w:rPr>
                <w:sz w:val="20"/>
                <w:szCs w:val="20"/>
              </w:rPr>
            </w:pPr>
            <w:r w:rsidRPr="007822C7">
              <w:rPr>
                <w:sz w:val="20"/>
                <w:szCs w:val="20"/>
              </w:rPr>
              <w:t>PSM1140</w:t>
            </w:r>
          </w:p>
          <w:p w:rsidR="00186C40" w:rsidRPr="007822C7" w:rsidRDefault="00186C40" w:rsidP="007822C7">
            <w:pPr>
              <w:rPr>
                <w:b/>
                <w:kern w:val="2"/>
                <w:sz w:val="20"/>
                <w:szCs w:val="20"/>
              </w:rPr>
            </w:pPr>
            <w:r w:rsidRPr="007822C7">
              <w:rPr>
                <w:b/>
                <w:sz w:val="20"/>
                <w:szCs w:val="20"/>
              </w:rPr>
              <w:t>Monkey</w:t>
            </w:r>
          </w:p>
        </w:tc>
        <w:tc>
          <w:tcPr>
            <w:tcW w:w="1560" w:type="dxa"/>
            <w:vMerge w:val="restart"/>
          </w:tcPr>
          <w:p w:rsidR="00186C40" w:rsidRPr="007822C7" w:rsidRDefault="00186C40" w:rsidP="007822C7">
            <w:pPr>
              <w:rPr>
                <w:kern w:val="2"/>
                <w:sz w:val="20"/>
                <w:szCs w:val="20"/>
              </w:rPr>
            </w:pPr>
            <w:r w:rsidRPr="007822C7">
              <w:rPr>
                <w:kern w:val="2"/>
                <w:sz w:val="20"/>
                <w:szCs w:val="20"/>
              </w:rPr>
              <w:t>39 Weeks</w:t>
            </w:r>
          </w:p>
          <w:p w:rsidR="00186C40" w:rsidRPr="007822C7" w:rsidRDefault="00186C40" w:rsidP="007822C7">
            <w:pPr>
              <w:rPr>
                <w:kern w:val="2"/>
                <w:sz w:val="20"/>
                <w:szCs w:val="20"/>
              </w:rPr>
            </w:pPr>
            <w:r w:rsidRPr="007822C7">
              <w:rPr>
                <w:kern w:val="2"/>
                <w:sz w:val="20"/>
                <w:szCs w:val="20"/>
              </w:rPr>
              <w:t>PO</w:t>
            </w:r>
          </w:p>
        </w:tc>
        <w:tc>
          <w:tcPr>
            <w:tcW w:w="1404" w:type="dxa"/>
          </w:tcPr>
          <w:p w:rsidR="00186C40" w:rsidRPr="007822C7" w:rsidRDefault="00186C40" w:rsidP="007822C7">
            <w:pPr>
              <w:rPr>
                <w:kern w:val="2"/>
                <w:sz w:val="20"/>
                <w:szCs w:val="20"/>
              </w:rPr>
            </w:pPr>
            <w:r w:rsidRPr="007822C7">
              <w:rPr>
                <w:kern w:val="2"/>
                <w:sz w:val="20"/>
                <w:szCs w:val="20"/>
              </w:rPr>
              <w:t>300</w:t>
            </w:r>
          </w:p>
        </w:tc>
        <w:tc>
          <w:tcPr>
            <w:tcW w:w="1289" w:type="dxa"/>
            <w:gridSpan w:val="2"/>
          </w:tcPr>
          <w:p w:rsidR="00186C40" w:rsidRPr="007822C7" w:rsidRDefault="00186C40" w:rsidP="007822C7">
            <w:pPr>
              <w:rPr>
                <w:kern w:val="2"/>
                <w:sz w:val="20"/>
                <w:szCs w:val="20"/>
              </w:rPr>
            </w:pPr>
            <w:r w:rsidRPr="007822C7">
              <w:rPr>
                <w:kern w:val="2"/>
                <w:sz w:val="20"/>
                <w:szCs w:val="20"/>
              </w:rPr>
              <w:t>≈24</w:t>
            </w:r>
          </w:p>
        </w:tc>
        <w:tc>
          <w:tcPr>
            <w:tcW w:w="1276" w:type="dxa"/>
          </w:tcPr>
          <w:p w:rsidR="00186C40" w:rsidRPr="007822C7" w:rsidRDefault="00186C40" w:rsidP="007822C7">
            <w:pPr>
              <w:rPr>
                <w:sz w:val="20"/>
                <w:szCs w:val="20"/>
              </w:rPr>
            </w:pPr>
            <w:r w:rsidRPr="007822C7">
              <w:rPr>
                <w:sz w:val="20"/>
                <w:szCs w:val="20"/>
              </w:rPr>
              <w:t>≈14</w:t>
            </w:r>
          </w:p>
        </w:tc>
        <w:tc>
          <w:tcPr>
            <w:tcW w:w="1559" w:type="dxa"/>
          </w:tcPr>
          <w:p w:rsidR="00186C40" w:rsidRPr="007822C7" w:rsidRDefault="00186C40" w:rsidP="007822C7">
            <w:pPr>
              <w:rPr>
                <w:sz w:val="20"/>
                <w:szCs w:val="20"/>
              </w:rPr>
            </w:pPr>
            <w:r w:rsidRPr="007822C7">
              <w:rPr>
                <w:sz w:val="20"/>
                <w:szCs w:val="20"/>
              </w:rPr>
              <w:t>≈1</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600</w:t>
            </w:r>
          </w:p>
        </w:tc>
        <w:tc>
          <w:tcPr>
            <w:tcW w:w="1289" w:type="dxa"/>
            <w:gridSpan w:val="2"/>
          </w:tcPr>
          <w:p w:rsidR="00186C40" w:rsidRPr="007822C7" w:rsidRDefault="00186C40" w:rsidP="007822C7">
            <w:pPr>
              <w:rPr>
                <w:kern w:val="2"/>
                <w:sz w:val="20"/>
                <w:szCs w:val="20"/>
              </w:rPr>
            </w:pPr>
            <w:r w:rsidRPr="007822C7">
              <w:rPr>
                <w:kern w:val="2"/>
                <w:sz w:val="20"/>
                <w:szCs w:val="20"/>
              </w:rPr>
              <w:t>≈34</w:t>
            </w:r>
          </w:p>
        </w:tc>
        <w:tc>
          <w:tcPr>
            <w:tcW w:w="1276" w:type="dxa"/>
          </w:tcPr>
          <w:p w:rsidR="00186C40" w:rsidRPr="007822C7" w:rsidRDefault="00186C40" w:rsidP="007822C7">
            <w:pPr>
              <w:rPr>
                <w:sz w:val="20"/>
                <w:szCs w:val="20"/>
              </w:rPr>
            </w:pPr>
            <w:r w:rsidRPr="007822C7">
              <w:rPr>
                <w:sz w:val="20"/>
                <w:szCs w:val="20"/>
              </w:rPr>
              <w:t>≈20</w:t>
            </w:r>
          </w:p>
        </w:tc>
        <w:tc>
          <w:tcPr>
            <w:tcW w:w="1559" w:type="dxa"/>
          </w:tcPr>
          <w:p w:rsidR="00186C40" w:rsidRPr="007822C7" w:rsidRDefault="00186C40" w:rsidP="007822C7">
            <w:pPr>
              <w:rPr>
                <w:sz w:val="20"/>
                <w:szCs w:val="20"/>
              </w:rPr>
            </w:pPr>
            <w:r w:rsidRPr="007822C7">
              <w:rPr>
                <w:sz w:val="20"/>
                <w:szCs w:val="20"/>
              </w:rPr>
              <w:t>≈1</w:t>
            </w:r>
          </w:p>
        </w:tc>
      </w:tr>
      <w:tr w:rsidR="00186C40" w:rsidRPr="007822C7" w:rsidTr="002F3BCE">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04" w:type="dxa"/>
          </w:tcPr>
          <w:p w:rsidR="00186C40" w:rsidRPr="007822C7" w:rsidRDefault="00186C40" w:rsidP="007822C7">
            <w:pPr>
              <w:rPr>
                <w:kern w:val="2"/>
                <w:sz w:val="20"/>
                <w:szCs w:val="20"/>
              </w:rPr>
            </w:pPr>
            <w:r w:rsidRPr="007822C7">
              <w:rPr>
                <w:kern w:val="2"/>
                <w:sz w:val="20"/>
                <w:szCs w:val="20"/>
              </w:rPr>
              <w:t>900</w:t>
            </w:r>
          </w:p>
        </w:tc>
        <w:tc>
          <w:tcPr>
            <w:tcW w:w="1289" w:type="dxa"/>
            <w:gridSpan w:val="2"/>
          </w:tcPr>
          <w:p w:rsidR="00186C40" w:rsidRPr="007822C7" w:rsidRDefault="00186C40" w:rsidP="007822C7">
            <w:pPr>
              <w:rPr>
                <w:sz w:val="20"/>
                <w:szCs w:val="20"/>
              </w:rPr>
            </w:pPr>
            <w:r w:rsidRPr="007822C7">
              <w:rPr>
                <w:sz w:val="20"/>
                <w:szCs w:val="20"/>
              </w:rPr>
              <w:t>≈47</w:t>
            </w:r>
          </w:p>
        </w:tc>
        <w:tc>
          <w:tcPr>
            <w:tcW w:w="1276" w:type="dxa"/>
          </w:tcPr>
          <w:p w:rsidR="00186C40" w:rsidRPr="007822C7" w:rsidRDefault="00186C40" w:rsidP="007822C7">
            <w:pPr>
              <w:rPr>
                <w:sz w:val="20"/>
                <w:szCs w:val="20"/>
              </w:rPr>
            </w:pPr>
            <w:r w:rsidRPr="007822C7">
              <w:rPr>
                <w:sz w:val="20"/>
                <w:szCs w:val="20"/>
              </w:rPr>
              <w:t>≈28</w:t>
            </w:r>
          </w:p>
        </w:tc>
        <w:tc>
          <w:tcPr>
            <w:tcW w:w="1559" w:type="dxa"/>
          </w:tcPr>
          <w:p w:rsidR="00186C40" w:rsidRPr="007822C7" w:rsidRDefault="00186C40" w:rsidP="007822C7">
            <w:pPr>
              <w:rPr>
                <w:sz w:val="20"/>
                <w:szCs w:val="20"/>
              </w:rPr>
            </w:pPr>
            <w:r w:rsidRPr="007822C7">
              <w:rPr>
                <w:sz w:val="20"/>
                <w:szCs w:val="20"/>
              </w:rPr>
              <w:t>≈1</w:t>
            </w:r>
          </w:p>
        </w:tc>
      </w:tr>
      <w:tr w:rsidR="00186C40" w:rsidRPr="007822C7" w:rsidTr="002F3BCE">
        <w:trPr>
          <w:trHeight w:val="227"/>
        </w:trPr>
        <w:tc>
          <w:tcPr>
            <w:tcW w:w="8897" w:type="dxa"/>
            <w:gridSpan w:val="7"/>
          </w:tcPr>
          <w:p w:rsidR="00186C40" w:rsidRPr="007822C7" w:rsidRDefault="00186C40" w:rsidP="007822C7">
            <w:pPr>
              <w:rPr>
                <w:color w:val="FF0000"/>
                <w:kern w:val="2"/>
                <w:sz w:val="20"/>
                <w:szCs w:val="20"/>
              </w:rPr>
            </w:pPr>
            <w:r w:rsidRPr="007822C7">
              <w:rPr>
                <w:sz w:val="20"/>
                <w:szCs w:val="20"/>
              </w:rPr>
              <w:br w:type="page"/>
            </w:r>
            <w:r w:rsidRPr="007822C7">
              <w:rPr>
                <w:kern w:val="2"/>
                <w:sz w:val="20"/>
                <w:szCs w:val="20"/>
              </w:rPr>
              <w:t>Note: since this metabolite displays substantially higher AUC values in patients with renal impairment and the level of exposure of animals to ucb-107092-1 in the above studies was insufficient, an additional series of studies specifically on this metabolite were performed. These studies h</w:t>
            </w:r>
            <w:r w:rsidR="00272646" w:rsidRPr="007822C7">
              <w:rPr>
                <w:kern w:val="2"/>
                <w:sz w:val="20"/>
                <w:szCs w:val="20"/>
              </w:rPr>
              <w:t>ave been evaluated in detail</w:t>
            </w:r>
            <w:r w:rsidRPr="007822C7">
              <w:rPr>
                <w:kern w:val="2"/>
                <w:sz w:val="20"/>
                <w:szCs w:val="20"/>
              </w:rPr>
              <w:t>. The relative exposure achieved in these studies are summarised below.</w:t>
            </w:r>
          </w:p>
        </w:tc>
      </w:tr>
      <w:tr w:rsidR="00186C40" w:rsidRPr="007822C7" w:rsidTr="00272646">
        <w:trPr>
          <w:trHeight w:val="227"/>
        </w:trPr>
        <w:tc>
          <w:tcPr>
            <w:tcW w:w="1809" w:type="dxa"/>
            <w:vMerge w:val="restart"/>
          </w:tcPr>
          <w:p w:rsidR="00186C40" w:rsidRPr="007822C7" w:rsidRDefault="00186C40" w:rsidP="007822C7">
            <w:pPr>
              <w:rPr>
                <w:color w:val="0000FF"/>
                <w:kern w:val="2"/>
                <w:sz w:val="20"/>
                <w:szCs w:val="20"/>
              </w:rPr>
            </w:pPr>
            <w:r w:rsidRPr="007822C7">
              <w:rPr>
                <w:rFonts w:eastAsia="MS Mincho" w:cstheme="minorBidi"/>
                <w:sz w:val="20"/>
                <w:szCs w:val="20"/>
              </w:rPr>
              <w:br w:type="page"/>
            </w:r>
            <w:r w:rsidRPr="007822C7">
              <w:rPr>
                <w:kern w:val="2"/>
                <w:sz w:val="20"/>
                <w:szCs w:val="20"/>
              </w:rPr>
              <w:t>NCD1781</w:t>
            </w:r>
          </w:p>
          <w:p w:rsidR="00186C40" w:rsidRPr="007822C7" w:rsidRDefault="00186C40" w:rsidP="007822C7">
            <w:pPr>
              <w:rPr>
                <w:kern w:val="2"/>
                <w:sz w:val="20"/>
                <w:szCs w:val="20"/>
              </w:rPr>
            </w:pPr>
            <w:r w:rsidRPr="007822C7">
              <w:rPr>
                <w:b/>
                <w:kern w:val="2"/>
                <w:sz w:val="20"/>
                <w:szCs w:val="20"/>
              </w:rPr>
              <w:t>Rat</w:t>
            </w:r>
            <w:r w:rsidRPr="007822C7">
              <w:rPr>
                <w:kern w:val="2"/>
                <w:sz w:val="20"/>
                <w:szCs w:val="20"/>
              </w:rPr>
              <w:t xml:space="preserve"> (</w:t>
            </w:r>
            <w:proofErr w:type="spellStart"/>
            <w:r w:rsidRPr="007822C7">
              <w:rPr>
                <w:kern w:val="2"/>
                <w:sz w:val="20"/>
                <w:szCs w:val="20"/>
              </w:rPr>
              <w:t>Wistar</w:t>
            </w:r>
            <w:proofErr w:type="spellEnd"/>
            <w:r w:rsidRPr="007822C7">
              <w:rPr>
                <w:kern w:val="2"/>
                <w:sz w:val="20"/>
                <w:szCs w:val="20"/>
              </w:rPr>
              <w:t>)</w:t>
            </w:r>
          </w:p>
        </w:tc>
        <w:tc>
          <w:tcPr>
            <w:tcW w:w="1560" w:type="dxa"/>
            <w:vMerge w:val="restart"/>
          </w:tcPr>
          <w:p w:rsidR="00186C40" w:rsidRPr="007822C7" w:rsidRDefault="00186C40" w:rsidP="007822C7">
            <w:pPr>
              <w:rPr>
                <w:kern w:val="2"/>
                <w:sz w:val="20"/>
                <w:szCs w:val="20"/>
              </w:rPr>
            </w:pPr>
            <w:r w:rsidRPr="007822C7">
              <w:rPr>
                <w:kern w:val="2"/>
                <w:sz w:val="20"/>
                <w:szCs w:val="20"/>
              </w:rPr>
              <w:t>14 Days</w:t>
            </w:r>
          </w:p>
          <w:p w:rsidR="00186C40" w:rsidRPr="007822C7" w:rsidRDefault="00272646" w:rsidP="007822C7">
            <w:pPr>
              <w:rPr>
                <w:kern w:val="2"/>
                <w:sz w:val="20"/>
                <w:szCs w:val="20"/>
              </w:rPr>
            </w:pPr>
            <w:r w:rsidRPr="007822C7">
              <w:rPr>
                <w:kern w:val="2"/>
                <w:sz w:val="20"/>
                <w:szCs w:val="20"/>
              </w:rPr>
              <w:t>c</w:t>
            </w:r>
            <w:r w:rsidR="00186C40" w:rsidRPr="007822C7">
              <w:rPr>
                <w:kern w:val="2"/>
                <w:sz w:val="20"/>
                <w:szCs w:val="20"/>
              </w:rPr>
              <w:t>ontinuous IV infusion</w:t>
            </w:r>
          </w:p>
        </w:tc>
        <w:tc>
          <w:tcPr>
            <w:tcW w:w="1417" w:type="dxa"/>
            <w:gridSpan w:val="2"/>
          </w:tcPr>
          <w:p w:rsidR="00186C40" w:rsidRPr="007822C7" w:rsidRDefault="00186C40" w:rsidP="007822C7">
            <w:pPr>
              <w:rPr>
                <w:kern w:val="2"/>
                <w:sz w:val="20"/>
                <w:szCs w:val="20"/>
              </w:rPr>
            </w:pPr>
            <w:r w:rsidRPr="007822C7">
              <w:rPr>
                <w:kern w:val="2"/>
                <w:sz w:val="20"/>
                <w:szCs w:val="20"/>
              </w:rPr>
              <w:t>500</w:t>
            </w:r>
          </w:p>
        </w:tc>
        <w:tc>
          <w:tcPr>
            <w:tcW w:w="1276" w:type="dxa"/>
          </w:tcPr>
          <w:p w:rsidR="00186C40" w:rsidRPr="007822C7" w:rsidRDefault="00186C40" w:rsidP="007822C7">
            <w:pPr>
              <w:rPr>
                <w:sz w:val="20"/>
                <w:szCs w:val="20"/>
              </w:rPr>
            </w:pPr>
            <w:r w:rsidRPr="007822C7">
              <w:rPr>
                <w:rFonts w:ascii="Times New Roman" w:hAnsi="Times New Roman"/>
                <w:sz w:val="20"/>
                <w:szCs w:val="20"/>
              </w:rPr>
              <w:t>♂</w:t>
            </w:r>
            <w:r w:rsidRPr="007822C7">
              <w:rPr>
                <w:sz w:val="20"/>
                <w:szCs w:val="20"/>
              </w:rPr>
              <w:t xml:space="preserve">=334ˢ; </w:t>
            </w:r>
            <w:r w:rsidRPr="007822C7">
              <w:rPr>
                <w:rFonts w:ascii="Times New Roman" w:hAnsi="Times New Roman"/>
                <w:sz w:val="20"/>
                <w:szCs w:val="20"/>
              </w:rPr>
              <w:t>♀</w:t>
            </w:r>
            <w:r w:rsidRPr="007822C7">
              <w:rPr>
                <w:sz w:val="20"/>
                <w:szCs w:val="20"/>
              </w:rPr>
              <w:t>=370</w:t>
            </w:r>
          </w:p>
        </w:tc>
        <w:tc>
          <w:tcPr>
            <w:tcW w:w="1276"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=200; </w:t>
            </w:r>
            <w:r w:rsidRPr="007822C7">
              <w:rPr>
                <w:rFonts w:ascii="Times New Roman" w:hAnsi="Times New Roman"/>
                <w:sz w:val="20"/>
                <w:szCs w:val="20"/>
              </w:rPr>
              <w:t>♀</w:t>
            </w:r>
            <w:r w:rsidRPr="007822C7">
              <w:rPr>
                <w:sz w:val="20"/>
                <w:szCs w:val="20"/>
              </w:rPr>
              <w:t>=222</w:t>
            </w:r>
          </w:p>
        </w:tc>
        <w:tc>
          <w:tcPr>
            <w:tcW w:w="1559"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≈9; </w:t>
            </w:r>
            <w:r w:rsidRPr="007822C7">
              <w:rPr>
                <w:rFonts w:ascii="Times New Roman" w:hAnsi="Times New Roman"/>
                <w:sz w:val="20"/>
                <w:szCs w:val="20"/>
              </w:rPr>
              <w:t>♀</w:t>
            </w:r>
            <w:r w:rsidRPr="007822C7">
              <w:rPr>
                <w:sz w:val="20"/>
                <w:szCs w:val="20"/>
              </w:rPr>
              <w:t>≈10</w:t>
            </w:r>
          </w:p>
        </w:tc>
      </w:tr>
      <w:tr w:rsidR="00186C40" w:rsidRPr="007822C7" w:rsidTr="00272646">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17" w:type="dxa"/>
            <w:gridSpan w:val="2"/>
          </w:tcPr>
          <w:p w:rsidR="00186C40" w:rsidRPr="007822C7" w:rsidRDefault="00186C40" w:rsidP="007822C7">
            <w:pPr>
              <w:rPr>
                <w:kern w:val="2"/>
                <w:sz w:val="20"/>
                <w:szCs w:val="20"/>
              </w:rPr>
            </w:pPr>
            <w:r w:rsidRPr="007822C7">
              <w:rPr>
                <w:kern w:val="2"/>
                <w:sz w:val="20"/>
                <w:szCs w:val="20"/>
              </w:rPr>
              <w:t>1000</w:t>
            </w:r>
          </w:p>
        </w:tc>
        <w:tc>
          <w:tcPr>
            <w:tcW w:w="1276" w:type="dxa"/>
          </w:tcPr>
          <w:p w:rsidR="00186C40" w:rsidRPr="007822C7" w:rsidRDefault="00186C40" w:rsidP="007822C7">
            <w:pPr>
              <w:rPr>
                <w:sz w:val="20"/>
                <w:szCs w:val="20"/>
              </w:rPr>
            </w:pPr>
            <w:r w:rsidRPr="007822C7">
              <w:rPr>
                <w:rFonts w:ascii="Times New Roman" w:hAnsi="Times New Roman"/>
                <w:sz w:val="20"/>
                <w:szCs w:val="20"/>
              </w:rPr>
              <w:t>♂</w:t>
            </w:r>
            <w:r w:rsidRPr="007822C7">
              <w:rPr>
                <w:sz w:val="20"/>
                <w:szCs w:val="20"/>
              </w:rPr>
              <w:t xml:space="preserve">=1173; </w:t>
            </w:r>
            <w:r w:rsidRPr="007822C7">
              <w:rPr>
                <w:rFonts w:ascii="Times New Roman" w:hAnsi="Times New Roman"/>
                <w:sz w:val="20"/>
                <w:szCs w:val="20"/>
              </w:rPr>
              <w:t>♀</w:t>
            </w:r>
            <w:r w:rsidRPr="007822C7">
              <w:rPr>
                <w:sz w:val="20"/>
                <w:szCs w:val="20"/>
              </w:rPr>
              <w:t>=1084</w:t>
            </w:r>
          </w:p>
        </w:tc>
        <w:tc>
          <w:tcPr>
            <w:tcW w:w="1276"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=702; </w:t>
            </w:r>
            <w:r w:rsidRPr="007822C7">
              <w:rPr>
                <w:rFonts w:ascii="Times New Roman" w:hAnsi="Times New Roman"/>
                <w:sz w:val="20"/>
                <w:szCs w:val="20"/>
              </w:rPr>
              <w:t>♀</w:t>
            </w:r>
            <w:r w:rsidRPr="007822C7">
              <w:rPr>
                <w:sz w:val="20"/>
                <w:szCs w:val="20"/>
              </w:rPr>
              <w:t>=649</w:t>
            </w:r>
          </w:p>
        </w:tc>
        <w:tc>
          <w:tcPr>
            <w:tcW w:w="1559"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≈33; </w:t>
            </w:r>
            <w:r w:rsidRPr="007822C7">
              <w:rPr>
                <w:rFonts w:ascii="Times New Roman" w:hAnsi="Times New Roman"/>
                <w:sz w:val="20"/>
                <w:szCs w:val="20"/>
              </w:rPr>
              <w:t>♀</w:t>
            </w:r>
            <w:r w:rsidRPr="007822C7">
              <w:rPr>
                <w:sz w:val="20"/>
                <w:szCs w:val="20"/>
              </w:rPr>
              <w:t>≈30</w:t>
            </w:r>
          </w:p>
        </w:tc>
      </w:tr>
      <w:tr w:rsidR="00186C40" w:rsidRPr="007822C7" w:rsidTr="00272646">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17" w:type="dxa"/>
            <w:gridSpan w:val="2"/>
          </w:tcPr>
          <w:p w:rsidR="00186C40" w:rsidRPr="007822C7" w:rsidRDefault="00186C40" w:rsidP="007822C7">
            <w:pPr>
              <w:rPr>
                <w:kern w:val="2"/>
                <w:sz w:val="20"/>
                <w:szCs w:val="20"/>
              </w:rPr>
            </w:pPr>
            <w:r w:rsidRPr="007822C7">
              <w:rPr>
                <w:kern w:val="2"/>
                <w:sz w:val="20"/>
                <w:szCs w:val="20"/>
              </w:rPr>
              <w:t>2000</w:t>
            </w:r>
          </w:p>
        </w:tc>
        <w:tc>
          <w:tcPr>
            <w:tcW w:w="1276" w:type="dxa"/>
          </w:tcPr>
          <w:p w:rsidR="00186C40" w:rsidRPr="007822C7" w:rsidRDefault="00186C40" w:rsidP="007822C7">
            <w:pPr>
              <w:rPr>
                <w:sz w:val="20"/>
                <w:szCs w:val="20"/>
              </w:rPr>
            </w:pPr>
            <w:r w:rsidRPr="007822C7">
              <w:rPr>
                <w:rFonts w:ascii="Times New Roman" w:hAnsi="Times New Roman"/>
                <w:sz w:val="20"/>
                <w:szCs w:val="20"/>
              </w:rPr>
              <w:t>♂</w:t>
            </w:r>
            <w:r w:rsidRPr="007822C7">
              <w:rPr>
                <w:sz w:val="20"/>
                <w:szCs w:val="20"/>
              </w:rPr>
              <w:t xml:space="preserve">=10191; </w:t>
            </w:r>
            <w:r w:rsidRPr="007822C7">
              <w:rPr>
                <w:rFonts w:ascii="Times New Roman" w:hAnsi="Times New Roman"/>
                <w:sz w:val="20"/>
                <w:szCs w:val="20"/>
              </w:rPr>
              <w:t>♀</w:t>
            </w:r>
            <w:r w:rsidRPr="007822C7">
              <w:rPr>
                <w:sz w:val="20"/>
                <w:szCs w:val="20"/>
              </w:rPr>
              <w:t>=7554</w:t>
            </w:r>
          </w:p>
        </w:tc>
        <w:tc>
          <w:tcPr>
            <w:tcW w:w="1276"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=6102; </w:t>
            </w:r>
            <w:r w:rsidRPr="007822C7">
              <w:rPr>
                <w:rFonts w:ascii="Times New Roman" w:hAnsi="Times New Roman"/>
                <w:sz w:val="20"/>
                <w:szCs w:val="20"/>
              </w:rPr>
              <w:t>♀</w:t>
            </w:r>
            <w:r w:rsidRPr="007822C7">
              <w:rPr>
                <w:sz w:val="20"/>
                <w:szCs w:val="20"/>
              </w:rPr>
              <w:t>=4523</w:t>
            </w:r>
          </w:p>
        </w:tc>
        <w:tc>
          <w:tcPr>
            <w:tcW w:w="1559"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≈285; </w:t>
            </w:r>
            <w:r w:rsidRPr="007822C7">
              <w:rPr>
                <w:rFonts w:ascii="Times New Roman" w:hAnsi="Times New Roman"/>
                <w:sz w:val="20"/>
                <w:szCs w:val="20"/>
              </w:rPr>
              <w:t>♀</w:t>
            </w:r>
            <w:r w:rsidRPr="007822C7">
              <w:rPr>
                <w:sz w:val="20"/>
                <w:szCs w:val="20"/>
              </w:rPr>
              <w:t>≈211</w:t>
            </w:r>
          </w:p>
        </w:tc>
      </w:tr>
      <w:tr w:rsidR="00186C40" w:rsidRPr="007822C7" w:rsidTr="00272646">
        <w:trPr>
          <w:trHeight w:val="227"/>
        </w:trPr>
        <w:tc>
          <w:tcPr>
            <w:tcW w:w="1809" w:type="dxa"/>
            <w:vMerge w:val="restart"/>
          </w:tcPr>
          <w:p w:rsidR="00186C40" w:rsidRPr="007822C7" w:rsidRDefault="00186C40" w:rsidP="007822C7">
            <w:pPr>
              <w:rPr>
                <w:kern w:val="2"/>
                <w:sz w:val="20"/>
                <w:szCs w:val="20"/>
              </w:rPr>
            </w:pPr>
            <w:r w:rsidRPr="007822C7">
              <w:rPr>
                <w:kern w:val="2"/>
                <w:sz w:val="20"/>
                <w:szCs w:val="20"/>
              </w:rPr>
              <w:t>NCD1982</w:t>
            </w:r>
          </w:p>
          <w:p w:rsidR="00186C40" w:rsidRPr="007822C7" w:rsidRDefault="00186C40" w:rsidP="007822C7">
            <w:pPr>
              <w:rPr>
                <w:kern w:val="2"/>
                <w:sz w:val="20"/>
                <w:szCs w:val="20"/>
              </w:rPr>
            </w:pPr>
            <w:r w:rsidRPr="007822C7">
              <w:rPr>
                <w:b/>
                <w:kern w:val="2"/>
                <w:sz w:val="20"/>
                <w:szCs w:val="20"/>
              </w:rPr>
              <w:t>Rat</w:t>
            </w:r>
            <w:r w:rsidRPr="007822C7">
              <w:rPr>
                <w:kern w:val="2"/>
                <w:sz w:val="20"/>
                <w:szCs w:val="20"/>
              </w:rPr>
              <w:t xml:space="preserve"> (</w:t>
            </w:r>
            <w:proofErr w:type="spellStart"/>
            <w:r w:rsidRPr="007822C7">
              <w:rPr>
                <w:kern w:val="2"/>
                <w:sz w:val="20"/>
                <w:szCs w:val="20"/>
              </w:rPr>
              <w:t>Wistar</w:t>
            </w:r>
            <w:proofErr w:type="spellEnd"/>
            <w:r w:rsidRPr="007822C7">
              <w:rPr>
                <w:kern w:val="2"/>
                <w:sz w:val="20"/>
                <w:szCs w:val="20"/>
              </w:rPr>
              <w:t>)</w:t>
            </w:r>
          </w:p>
        </w:tc>
        <w:tc>
          <w:tcPr>
            <w:tcW w:w="1560" w:type="dxa"/>
            <w:vMerge w:val="restart"/>
          </w:tcPr>
          <w:p w:rsidR="00186C40" w:rsidRPr="007822C7" w:rsidRDefault="00186C40" w:rsidP="007822C7">
            <w:pPr>
              <w:rPr>
                <w:kern w:val="2"/>
                <w:sz w:val="20"/>
                <w:szCs w:val="20"/>
              </w:rPr>
            </w:pPr>
            <w:r w:rsidRPr="007822C7">
              <w:rPr>
                <w:kern w:val="2"/>
                <w:sz w:val="20"/>
                <w:szCs w:val="20"/>
              </w:rPr>
              <w:t>13 week</w:t>
            </w:r>
          </w:p>
          <w:p w:rsidR="00186C40" w:rsidRPr="007822C7" w:rsidRDefault="00272646" w:rsidP="007822C7">
            <w:pPr>
              <w:rPr>
                <w:kern w:val="2"/>
                <w:sz w:val="20"/>
                <w:szCs w:val="20"/>
              </w:rPr>
            </w:pPr>
            <w:r w:rsidRPr="007822C7">
              <w:rPr>
                <w:kern w:val="2"/>
                <w:sz w:val="20"/>
                <w:szCs w:val="20"/>
              </w:rPr>
              <w:t>c</w:t>
            </w:r>
            <w:r w:rsidR="00186C40" w:rsidRPr="007822C7">
              <w:rPr>
                <w:kern w:val="2"/>
                <w:sz w:val="20"/>
                <w:szCs w:val="20"/>
              </w:rPr>
              <w:t>ontinuous IV infusion</w:t>
            </w:r>
          </w:p>
        </w:tc>
        <w:tc>
          <w:tcPr>
            <w:tcW w:w="1417" w:type="dxa"/>
            <w:gridSpan w:val="2"/>
          </w:tcPr>
          <w:p w:rsidR="00186C40" w:rsidRPr="007822C7" w:rsidRDefault="00186C40" w:rsidP="007822C7">
            <w:pPr>
              <w:rPr>
                <w:kern w:val="2"/>
                <w:sz w:val="20"/>
                <w:szCs w:val="20"/>
              </w:rPr>
            </w:pPr>
            <w:r w:rsidRPr="007822C7">
              <w:rPr>
                <w:kern w:val="2"/>
                <w:sz w:val="20"/>
                <w:szCs w:val="20"/>
              </w:rPr>
              <w:t>500</w:t>
            </w:r>
          </w:p>
        </w:tc>
        <w:tc>
          <w:tcPr>
            <w:tcW w:w="1276" w:type="dxa"/>
          </w:tcPr>
          <w:p w:rsidR="00186C40" w:rsidRPr="007822C7" w:rsidRDefault="00186C40" w:rsidP="007822C7">
            <w:pPr>
              <w:rPr>
                <w:sz w:val="20"/>
                <w:szCs w:val="20"/>
              </w:rPr>
            </w:pPr>
            <w:r w:rsidRPr="007822C7">
              <w:rPr>
                <w:rFonts w:ascii="Times New Roman" w:hAnsi="Times New Roman"/>
                <w:sz w:val="20"/>
                <w:szCs w:val="20"/>
              </w:rPr>
              <w:t>♂</w:t>
            </w:r>
            <w:r w:rsidRPr="007822C7">
              <w:rPr>
                <w:sz w:val="20"/>
                <w:szCs w:val="20"/>
              </w:rPr>
              <w:t xml:space="preserve">=268; </w:t>
            </w:r>
            <w:r w:rsidRPr="007822C7">
              <w:rPr>
                <w:rFonts w:ascii="Times New Roman" w:hAnsi="Times New Roman"/>
                <w:sz w:val="20"/>
                <w:szCs w:val="20"/>
              </w:rPr>
              <w:t>♀</w:t>
            </w:r>
            <w:r w:rsidRPr="007822C7">
              <w:rPr>
                <w:sz w:val="20"/>
                <w:szCs w:val="20"/>
              </w:rPr>
              <w:t>=289</w:t>
            </w:r>
          </w:p>
        </w:tc>
        <w:tc>
          <w:tcPr>
            <w:tcW w:w="1276"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=161; </w:t>
            </w:r>
            <w:r w:rsidRPr="007822C7">
              <w:rPr>
                <w:rFonts w:ascii="Times New Roman" w:hAnsi="Times New Roman"/>
                <w:sz w:val="20"/>
                <w:szCs w:val="20"/>
              </w:rPr>
              <w:t>♀</w:t>
            </w:r>
            <w:r w:rsidRPr="007822C7">
              <w:rPr>
                <w:sz w:val="20"/>
                <w:szCs w:val="20"/>
              </w:rPr>
              <w:t>=173.1</w:t>
            </w:r>
          </w:p>
        </w:tc>
        <w:tc>
          <w:tcPr>
            <w:tcW w:w="1559"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≈8; </w:t>
            </w:r>
            <w:r w:rsidRPr="007822C7">
              <w:rPr>
                <w:rFonts w:ascii="Times New Roman" w:hAnsi="Times New Roman"/>
                <w:sz w:val="20"/>
                <w:szCs w:val="20"/>
              </w:rPr>
              <w:t>♀</w:t>
            </w:r>
            <w:r w:rsidRPr="007822C7">
              <w:rPr>
                <w:sz w:val="20"/>
                <w:szCs w:val="20"/>
              </w:rPr>
              <w:t>≈8</w:t>
            </w:r>
          </w:p>
        </w:tc>
      </w:tr>
      <w:tr w:rsidR="00186C40" w:rsidRPr="007822C7" w:rsidTr="00272646">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17" w:type="dxa"/>
            <w:gridSpan w:val="2"/>
          </w:tcPr>
          <w:p w:rsidR="00186C40" w:rsidRPr="007822C7" w:rsidRDefault="00186C40" w:rsidP="007822C7">
            <w:pPr>
              <w:rPr>
                <w:kern w:val="2"/>
                <w:sz w:val="20"/>
                <w:szCs w:val="20"/>
              </w:rPr>
            </w:pPr>
            <w:r w:rsidRPr="007822C7">
              <w:rPr>
                <w:kern w:val="2"/>
                <w:sz w:val="20"/>
                <w:szCs w:val="20"/>
              </w:rPr>
              <w:t>1000</w:t>
            </w:r>
          </w:p>
        </w:tc>
        <w:tc>
          <w:tcPr>
            <w:tcW w:w="1276" w:type="dxa"/>
          </w:tcPr>
          <w:p w:rsidR="00186C40" w:rsidRPr="007822C7" w:rsidRDefault="00186C40" w:rsidP="007822C7">
            <w:pPr>
              <w:rPr>
                <w:sz w:val="20"/>
                <w:szCs w:val="20"/>
              </w:rPr>
            </w:pPr>
            <w:r w:rsidRPr="007822C7">
              <w:rPr>
                <w:rFonts w:ascii="Times New Roman" w:hAnsi="Times New Roman"/>
                <w:sz w:val="20"/>
                <w:szCs w:val="20"/>
              </w:rPr>
              <w:t>♂</w:t>
            </w:r>
            <w:r w:rsidRPr="007822C7">
              <w:rPr>
                <w:sz w:val="20"/>
                <w:szCs w:val="20"/>
              </w:rPr>
              <w:t xml:space="preserve">=605; </w:t>
            </w:r>
            <w:r w:rsidRPr="007822C7">
              <w:rPr>
                <w:rFonts w:ascii="Times New Roman" w:hAnsi="Times New Roman"/>
                <w:sz w:val="20"/>
                <w:szCs w:val="20"/>
              </w:rPr>
              <w:lastRenderedPageBreak/>
              <w:t>♀</w:t>
            </w:r>
            <w:r w:rsidRPr="007822C7">
              <w:rPr>
                <w:sz w:val="20"/>
                <w:szCs w:val="20"/>
              </w:rPr>
              <w:t>=775</w:t>
            </w:r>
          </w:p>
        </w:tc>
        <w:tc>
          <w:tcPr>
            <w:tcW w:w="1276" w:type="dxa"/>
          </w:tcPr>
          <w:p w:rsidR="00186C40" w:rsidRPr="007822C7" w:rsidRDefault="00186C40" w:rsidP="007822C7">
            <w:pPr>
              <w:rPr>
                <w:b/>
                <w:color w:val="FF0000"/>
                <w:kern w:val="2"/>
                <w:sz w:val="20"/>
                <w:szCs w:val="20"/>
              </w:rPr>
            </w:pPr>
            <w:r w:rsidRPr="007822C7">
              <w:rPr>
                <w:rFonts w:ascii="Times New Roman" w:hAnsi="Times New Roman"/>
                <w:sz w:val="20"/>
                <w:szCs w:val="20"/>
              </w:rPr>
              <w:lastRenderedPageBreak/>
              <w:t>♂</w:t>
            </w:r>
            <w:r w:rsidRPr="007822C7">
              <w:rPr>
                <w:sz w:val="20"/>
                <w:szCs w:val="20"/>
              </w:rPr>
              <w:t>=362;</w:t>
            </w:r>
            <w:r w:rsidRPr="007822C7">
              <w:rPr>
                <w:rFonts w:ascii="Times New Roman" w:hAnsi="Times New Roman"/>
                <w:sz w:val="20"/>
                <w:szCs w:val="20"/>
              </w:rPr>
              <w:lastRenderedPageBreak/>
              <w:t>♀</w:t>
            </w:r>
            <w:r w:rsidRPr="007822C7">
              <w:rPr>
                <w:sz w:val="20"/>
                <w:szCs w:val="20"/>
              </w:rPr>
              <w:t>=464</w:t>
            </w:r>
          </w:p>
        </w:tc>
        <w:tc>
          <w:tcPr>
            <w:tcW w:w="1559" w:type="dxa"/>
          </w:tcPr>
          <w:p w:rsidR="00186C40" w:rsidRPr="007822C7" w:rsidRDefault="00186C40" w:rsidP="007822C7">
            <w:pPr>
              <w:rPr>
                <w:b/>
                <w:color w:val="FF0000"/>
                <w:kern w:val="2"/>
                <w:sz w:val="20"/>
                <w:szCs w:val="20"/>
              </w:rPr>
            </w:pPr>
            <w:r w:rsidRPr="007822C7">
              <w:rPr>
                <w:rFonts w:ascii="Times New Roman" w:hAnsi="Times New Roman"/>
                <w:sz w:val="20"/>
                <w:szCs w:val="20"/>
              </w:rPr>
              <w:lastRenderedPageBreak/>
              <w:t>♂</w:t>
            </w:r>
            <w:r w:rsidRPr="007822C7">
              <w:rPr>
                <w:sz w:val="20"/>
                <w:szCs w:val="20"/>
              </w:rPr>
              <w:t xml:space="preserve">≈17; </w:t>
            </w:r>
            <w:r w:rsidRPr="007822C7">
              <w:rPr>
                <w:rFonts w:ascii="Times New Roman" w:hAnsi="Times New Roman"/>
                <w:sz w:val="20"/>
                <w:szCs w:val="20"/>
              </w:rPr>
              <w:lastRenderedPageBreak/>
              <w:t>♀</w:t>
            </w:r>
            <w:r w:rsidRPr="007822C7">
              <w:rPr>
                <w:sz w:val="20"/>
                <w:szCs w:val="20"/>
              </w:rPr>
              <w:t>≈22</w:t>
            </w:r>
          </w:p>
        </w:tc>
      </w:tr>
      <w:tr w:rsidR="00186C40" w:rsidRPr="007822C7" w:rsidTr="00272646">
        <w:trPr>
          <w:trHeight w:val="227"/>
        </w:trPr>
        <w:tc>
          <w:tcPr>
            <w:tcW w:w="1809" w:type="dxa"/>
            <w:vMerge/>
          </w:tcPr>
          <w:p w:rsidR="00186C40" w:rsidRPr="007822C7" w:rsidRDefault="00186C40" w:rsidP="007822C7">
            <w:pPr>
              <w:rPr>
                <w:b/>
                <w:kern w:val="2"/>
                <w:sz w:val="20"/>
                <w:szCs w:val="20"/>
              </w:rPr>
            </w:pPr>
          </w:p>
        </w:tc>
        <w:tc>
          <w:tcPr>
            <w:tcW w:w="1560" w:type="dxa"/>
            <w:vMerge/>
          </w:tcPr>
          <w:p w:rsidR="00186C40" w:rsidRPr="007822C7" w:rsidRDefault="00186C40" w:rsidP="007822C7">
            <w:pPr>
              <w:rPr>
                <w:kern w:val="2"/>
                <w:sz w:val="20"/>
                <w:szCs w:val="20"/>
              </w:rPr>
            </w:pPr>
          </w:p>
        </w:tc>
        <w:tc>
          <w:tcPr>
            <w:tcW w:w="1417" w:type="dxa"/>
            <w:gridSpan w:val="2"/>
          </w:tcPr>
          <w:p w:rsidR="00186C40" w:rsidRPr="007822C7" w:rsidRDefault="00186C40" w:rsidP="007822C7">
            <w:pPr>
              <w:rPr>
                <w:kern w:val="2"/>
                <w:sz w:val="20"/>
                <w:szCs w:val="20"/>
              </w:rPr>
            </w:pPr>
            <w:r w:rsidRPr="007822C7">
              <w:rPr>
                <w:kern w:val="2"/>
                <w:sz w:val="20"/>
                <w:szCs w:val="20"/>
              </w:rPr>
              <w:t>2000</w:t>
            </w:r>
          </w:p>
        </w:tc>
        <w:tc>
          <w:tcPr>
            <w:tcW w:w="1276" w:type="dxa"/>
          </w:tcPr>
          <w:p w:rsidR="00186C40" w:rsidRPr="007822C7" w:rsidRDefault="00186C40" w:rsidP="007822C7">
            <w:pPr>
              <w:rPr>
                <w:sz w:val="20"/>
                <w:szCs w:val="20"/>
              </w:rPr>
            </w:pPr>
            <w:r w:rsidRPr="007822C7">
              <w:rPr>
                <w:rFonts w:ascii="Times New Roman" w:hAnsi="Times New Roman"/>
                <w:sz w:val="20"/>
                <w:szCs w:val="20"/>
              </w:rPr>
              <w:t>♂</w:t>
            </w:r>
            <w:r w:rsidRPr="007822C7">
              <w:rPr>
                <w:sz w:val="20"/>
                <w:szCs w:val="20"/>
              </w:rPr>
              <w:t xml:space="preserve">=1220; </w:t>
            </w:r>
            <w:r w:rsidRPr="007822C7">
              <w:rPr>
                <w:rFonts w:ascii="Times New Roman" w:hAnsi="Times New Roman"/>
                <w:sz w:val="20"/>
                <w:szCs w:val="20"/>
              </w:rPr>
              <w:t>♀</w:t>
            </w:r>
            <w:r w:rsidRPr="007822C7">
              <w:rPr>
                <w:sz w:val="20"/>
                <w:szCs w:val="20"/>
              </w:rPr>
              <w:t>=1818</w:t>
            </w:r>
          </w:p>
        </w:tc>
        <w:tc>
          <w:tcPr>
            <w:tcW w:w="1276"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=731;</w:t>
            </w:r>
            <w:r w:rsidRPr="007822C7">
              <w:rPr>
                <w:rFonts w:ascii="Times New Roman" w:hAnsi="Times New Roman"/>
                <w:sz w:val="20"/>
                <w:szCs w:val="20"/>
              </w:rPr>
              <w:t>♀</w:t>
            </w:r>
            <w:r w:rsidRPr="007822C7">
              <w:rPr>
                <w:sz w:val="20"/>
                <w:szCs w:val="20"/>
              </w:rPr>
              <w:t>=1089</w:t>
            </w:r>
          </w:p>
        </w:tc>
        <w:tc>
          <w:tcPr>
            <w:tcW w:w="1559" w:type="dxa"/>
          </w:tcPr>
          <w:p w:rsidR="00186C40" w:rsidRPr="007822C7" w:rsidRDefault="00186C40" w:rsidP="007822C7">
            <w:pPr>
              <w:rPr>
                <w:b/>
                <w:color w:val="FF0000"/>
                <w:kern w:val="2"/>
                <w:sz w:val="20"/>
                <w:szCs w:val="20"/>
              </w:rPr>
            </w:pPr>
            <w:r w:rsidRPr="007822C7">
              <w:rPr>
                <w:rFonts w:ascii="Times New Roman" w:hAnsi="Times New Roman"/>
                <w:sz w:val="20"/>
                <w:szCs w:val="20"/>
              </w:rPr>
              <w:t>♂</w:t>
            </w:r>
            <w:r w:rsidRPr="007822C7">
              <w:rPr>
                <w:sz w:val="20"/>
                <w:szCs w:val="20"/>
              </w:rPr>
              <w:t xml:space="preserve">≈34; </w:t>
            </w:r>
            <w:r w:rsidRPr="007822C7">
              <w:rPr>
                <w:rFonts w:ascii="Times New Roman" w:hAnsi="Times New Roman"/>
                <w:sz w:val="20"/>
                <w:szCs w:val="20"/>
              </w:rPr>
              <w:t>♀</w:t>
            </w:r>
            <w:r w:rsidRPr="007822C7">
              <w:rPr>
                <w:sz w:val="20"/>
                <w:szCs w:val="20"/>
              </w:rPr>
              <w:t>≈51</w:t>
            </w:r>
          </w:p>
        </w:tc>
      </w:tr>
    </w:tbl>
    <w:p w:rsidR="00186C40" w:rsidRPr="002D611F" w:rsidRDefault="00186C40" w:rsidP="00272646">
      <w:pPr>
        <w:pStyle w:val="TableDescription"/>
      </w:pPr>
      <w:r>
        <w:t xml:space="preserve">* </w:t>
      </w:r>
      <w:proofErr w:type="gramStart"/>
      <w:r>
        <w:t>at</w:t>
      </w:r>
      <w:proofErr w:type="gramEnd"/>
      <w:r>
        <w:t xml:space="preserve"> study termination unless otherwise noted. </w:t>
      </w:r>
      <w:proofErr w:type="gramStart"/>
      <w:r w:rsidRPr="0056436B">
        <w:t># Healthy volunteer data from Study No.</w:t>
      </w:r>
      <w:proofErr w:type="gramEnd"/>
      <w:r w:rsidRPr="0056436B">
        <w:t xml:space="preserve"> N01109 for 200 mg PO dose – AUC</w:t>
      </w:r>
      <w:r>
        <w:t>= 1.67</w:t>
      </w:r>
      <w:r w:rsidRPr="0056436B">
        <w:t xml:space="preserve"> </w:t>
      </w:r>
      <w:proofErr w:type="spellStart"/>
      <w:r w:rsidRPr="0056436B">
        <w:rPr>
          <w:rFonts w:eastAsia="Gulim"/>
        </w:rPr>
        <w:t>μ</w:t>
      </w:r>
      <w:r w:rsidRPr="0056436B">
        <w:t>g.h</w:t>
      </w:r>
      <w:proofErr w:type="spellEnd"/>
      <w:r w:rsidRPr="0056436B">
        <w:t>/mL</w:t>
      </w:r>
      <w:r>
        <w:t xml:space="preserve">, severe renal impairment data - </w:t>
      </w:r>
      <w:r w:rsidRPr="0056436B">
        <w:t>AUC</w:t>
      </w:r>
      <w:r>
        <w:t>= 35.8</w:t>
      </w:r>
      <w:r w:rsidRPr="0056436B">
        <w:t xml:space="preserve"> </w:t>
      </w:r>
      <w:proofErr w:type="spellStart"/>
      <w:r w:rsidRPr="0056436B">
        <w:rPr>
          <w:rFonts w:eastAsia="Gulim"/>
        </w:rPr>
        <w:t>μ</w:t>
      </w:r>
      <w:r w:rsidRPr="0056436B">
        <w:t>g.h</w:t>
      </w:r>
      <w:proofErr w:type="spellEnd"/>
      <w:r w:rsidRPr="0056436B">
        <w:t>/mL</w:t>
      </w:r>
    </w:p>
    <w:p w:rsidR="00186C40" w:rsidRDefault="00186C40" w:rsidP="00272646">
      <w:pPr>
        <w:pStyle w:val="Heading5"/>
      </w:pPr>
      <w:bookmarkStart w:id="81" w:name="_Toc450809096"/>
      <w:r>
        <w:t>Relative exposure margins for metabolite ucb-102933-1 in adults</w:t>
      </w:r>
      <w:bookmarkEnd w:id="81"/>
    </w:p>
    <w:p w:rsidR="00376D5E" w:rsidRDefault="00186C40" w:rsidP="00272646">
      <w:r w:rsidRPr="00272646">
        <w:t>While TK data for this metabolite are available in the animal studies, it is generally not found in humans. It is of important as a biomarker for hepatic porphyria in animals, particularly in dogs</w:t>
      </w:r>
      <w:r w:rsidR="00376D5E">
        <w:t>.</w:t>
      </w:r>
    </w:p>
    <w:p w:rsidR="00E35B41" w:rsidRDefault="00E35B41" w:rsidP="00E35B41">
      <w:pPr>
        <w:pStyle w:val="TableTitle"/>
      </w:pPr>
      <w:proofErr w:type="gramStart"/>
      <w:r>
        <w:t xml:space="preserve">Table 12: </w:t>
      </w:r>
      <w:r w:rsidRPr="004A1C7D">
        <w:t>Relative exposure margins for metabolite ucb-107092-1</w:t>
      </w:r>
      <w:r>
        <w:t>.</w:t>
      </w:r>
      <w:proofErr w:type="gramEnd"/>
    </w:p>
    <w:tbl>
      <w:tblPr>
        <w:tblStyle w:val="TableTGAblue"/>
        <w:tblW w:w="8897" w:type="dxa"/>
        <w:tblLayout w:type="fixed"/>
        <w:tblLook w:val="01E0" w:firstRow="1" w:lastRow="1" w:firstColumn="1" w:lastColumn="1" w:noHBand="0" w:noVBand="0"/>
      </w:tblPr>
      <w:tblGrid>
        <w:gridCol w:w="1809"/>
        <w:gridCol w:w="1560"/>
        <w:gridCol w:w="1984"/>
        <w:gridCol w:w="1559"/>
        <w:gridCol w:w="1985"/>
      </w:tblGrid>
      <w:tr w:rsidR="00E35B41" w:rsidRPr="007822C7" w:rsidTr="00E35B41">
        <w:trPr>
          <w:cnfStyle w:val="100000000000" w:firstRow="1" w:lastRow="0" w:firstColumn="0" w:lastColumn="0" w:oddVBand="0" w:evenVBand="0" w:oddHBand="0" w:evenHBand="0" w:firstRowFirstColumn="0" w:firstRowLastColumn="0" w:lastRowFirstColumn="0" w:lastRowLastColumn="0"/>
        </w:trPr>
        <w:tc>
          <w:tcPr>
            <w:tcW w:w="1809" w:type="dxa"/>
          </w:tcPr>
          <w:p w:rsidR="00E35B41" w:rsidRPr="007822C7" w:rsidRDefault="00E35B41" w:rsidP="007822C7">
            <w:pPr>
              <w:rPr>
                <w:sz w:val="20"/>
                <w:szCs w:val="20"/>
              </w:rPr>
            </w:pPr>
            <w:r w:rsidRPr="007822C7">
              <w:rPr>
                <w:sz w:val="20"/>
                <w:szCs w:val="20"/>
              </w:rPr>
              <w:t>Study</w:t>
            </w:r>
          </w:p>
          <w:p w:rsidR="00E35B41" w:rsidRPr="007822C7" w:rsidRDefault="00E35B41" w:rsidP="007822C7">
            <w:pPr>
              <w:rPr>
                <w:sz w:val="20"/>
                <w:szCs w:val="20"/>
              </w:rPr>
            </w:pPr>
            <w:r w:rsidRPr="007822C7">
              <w:rPr>
                <w:sz w:val="20"/>
                <w:szCs w:val="20"/>
              </w:rPr>
              <w:t>Species</w:t>
            </w:r>
          </w:p>
        </w:tc>
        <w:tc>
          <w:tcPr>
            <w:tcW w:w="1560" w:type="dxa"/>
          </w:tcPr>
          <w:p w:rsidR="00E35B41" w:rsidRPr="007822C7" w:rsidRDefault="00E35B41" w:rsidP="00EB215B">
            <w:pPr>
              <w:rPr>
                <w:sz w:val="20"/>
                <w:szCs w:val="20"/>
              </w:rPr>
            </w:pPr>
            <w:r w:rsidRPr="007822C7">
              <w:rPr>
                <w:sz w:val="20"/>
                <w:szCs w:val="20"/>
              </w:rPr>
              <w:t>Study duration</w:t>
            </w:r>
            <w:r w:rsidR="00EB215B">
              <w:rPr>
                <w:sz w:val="20"/>
                <w:szCs w:val="20"/>
              </w:rPr>
              <w:t xml:space="preserve"> </w:t>
            </w:r>
            <w:r w:rsidRPr="007822C7">
              <w:rPr>
                <w:sz w:val="20"/>
                <w:szCs w:val="20"/>
              </w:rPr>
              <w:t>Route</w:t>
            </w:r>
          </w:p>
        </w:tc>
        <w:tc>
          <w:tcPr>
            <w:tcW w:w="1984" w:type="dxa"/>
          </w:tcPr>
          <w:p w:rsidR="00E35B41" w:rsidRPr="007822C7" w:rsidRDefault="00E35B41" w:rsidP="00EB215B">
            <w:pPr>
              <w:rPr>
                <w:sz w:val="20"/>
                <w:szCs w:val="20"/>
              </w:rPr>
            </w:pPr>
            <w:proofErr w:type="spellStart"/>
            <w:r w:rsidRPr="007822C7">
              <w:rPr>
                <w:sz w:val="20"/>
                <w:szCs w:val="20"/>
              </w:rPr>
              <w:t>Brivaracetam</w:t>
            </w:r>
            <w:proofErr w:type="spellEnd"/>
            <w:r w:rsidR="00EB215B">
              <w:rPr>
                <w:sz w:val="20"/>
                <w:szCs w:val="20"/>
              </w:rPr>
              <w:t xml:space="preserve"> </w:t>
            </w:r>
            <w:r w:rsidRPr="007822C7">
              <w:rPr>
                <w:sz w:val="20"/>
                <w:szCs w:val="20"/>
              </w:rPr>
              <w:t>Dose</w:t>
            </w:r>
            <w:r w:rsidR="00EB215B">
              <w:rPr>
                <w:sz w:val="20"/>
                <w:szCs w:val="20"/>
              </w:rPr>
              <w:t xml:space="preserve"> </w:t>
            </w:r>
            <w:r w:rsidRPr="007822C7">
              <w:rPr>
                <w:sz w:val="20"/>
                <w:szCs w:val="20"/>
              </w:rPr>
              <w:t>(mg/kg/day)</w:t>
            </w:r>
          </w:p>
        </w:tc>
        <w:tc>
          <w:tcPr>
            <w:tcW w:w="1559" w:type="dxa"/>
          </w:tcPr>
          <w:p w:rsidR="00E35B41" w:rsidRPr="007822C7" w:rsidRDefault="00E35B41" w:rsidP="007822C7">
            <w:pPr>
              <w:rPr>
                <w:sz w:val="20"/>
                <w:szCs w:val="20"/>
              </w:rPr>
            </w:pPr>
            <w:r w:rsidRPr="007822C7">
              <w:rPr>
                <w:sz w:val="20"/>
                <w:szCs w:val="20"/>
              </w:rPr>
              <w:t>AUC</w:t>
            </w:r>
            <w:r w:rsidRPr="007822C7">
              <w:rPr>
                <w:sz w:val="20"/>
                <w:szCs w:val="20"/>
                <w:vertAlign w:val="subscript"/>
              </w:rPr>
              <w:t>0–24h</w:t>
            </w:r>
            <w:r w:rsidRPr="007822C7">
              <w:rPr>
                <w:sz w:val="20"/>
                <w:szCs w:val="20"/>
              </w:rPr>
              <w:t xml:space="preserve"> or</w:t>
            </w:r>
          </w:p>
          <w:p w:rsidR="00E35B41" w:rsidRPr="007822C7" w:rsidRDefault="00E35B41" w:rsidP="00EB215B">
            <w:pPr>
              <w:rPr>
                <w:sz w:val="20"/>
                <w:szCs w:val="20"/>
              </w:rPr>
            </w:pPr>
            <w:r w:rsidRPr="007822C7">
              <w:rPr>
                <w:sz w:val="20"/>
                <w:szCs w:val="20"/>
              </w:rPr>
              <w:t>AUC</w:t>
            </w:r>
            <w:r w:rsidRPr="007822C7">
              <w:rPr>
                <w:sz w:val="20"/>
                <w:szCs w:val="20"/>
                <w:vertAlign w:val="subscript"/>
              </w:rPr>
              <w:t>0–τ</w:t>
            </w:r>
            <w:r w:rsidR="00EB215B">
              <w:rPr>
                <w:sz w:val="20"/>
                <w:szCs w:val="20"/>
                <w:vertAlign w:val="subscript"/>
              </w:rPr>
              <w:t xml:space="preserve"> </w:t>
            </w:r>
            <w:r w:rsidRPr="007822C7">
              <w:rPr>
                <w:sz w:val="20"/>
                <w:szCs w:val="20"/>
              </w:rPr>
              <w:t>(</w:t>
            </w:r>
            <w:proofErr w:type="spellStart"/>
            <w:r w:rsidRPr="007822C7">
              <w:rPr>
                <w:rFonts w:eastAsia="Gulim"/>
                <w:sz w:val="20"/>
                <w:szCs w:val="20"/>
              </w:rPr>
              <w:t>μ</w:t>
            </w:r>
            <w:r w:rsidRPr="007822C7">
              <w:rPr>
                <w:sz w:val="20"/>
                <w:szCs w:val="20"/>
              </w:rPr>
              <w:t>g∙h</w:t>
            </w:r>
            <w:proofErr w:type="spellEnd"/>
            <w:r w:rsidRPr="007822C7">
              <w:rPr>
                <w:sz w:val="20"/>
                <w:szCs w:val="20"/>
              </w:rPr>
              <w:t>/mL)*</w:t>
            </w:r>
          </w:p>
        </w:tc>
        <w:tc>
          <w:tcPr>
            <w:tcW w:w="1985" w:type="dxa"/>
          </w:tcPr>
          <w:p w:rsidR="00E35B41" w:rsidRPr="007822C7" w:rsidRDefault="00E35B41" w:rsidP="007822C7">
            <w:pPr>
              <w:rPr>
                <w:sz w:val="20"/>
                <w:szCs w:val="20"/>
              </w:rPr>
            </w:pPr>
            <w:r w:rsidRPr="007822C7">
              <w:rPr>
                <w:sz w:val="20"/>
                <w:szCs w:val="20"/>
              </w:rPr>
              <w:t>Exposure ratio</w:t>
            </w:r>
            <w:r w:rsidRPr="007822C7">
              <w:rPr>
                <w:sz w:val="20"/>
                <w:szCs w:val="20"/>
                <w:vertAlign w:val="superscript"/>
              </w:rPr>
              <w:t>#</w:t>
            </w:r>
          </w:p>
        </w:tc>
      </w:tr>
      <w:tr w:rsidR="00E35B41" w:rsidRPr="007822C7" w:rsidTr="00E35B41">
        <w:trPr>
          <w:trHeight w:val="372"/>
        </w:trPr>
        <w:tc>
          <w:tcPr>
            <w:tcW w:w="1809" w:type="dxa"/>
            <w:vMerge w:val="restart"/>
          </w:tcPr>
          <w:p w:rsidR="00E35B41" w:rsidRPr="007822C7" w:rsidRDefault="00E35B41" w:rsidP="007822C7">
            <w:pPr>
              <w:rPr>
                <w:kern w:val="2"/>
                <w:sz w:val="20"/>
                <w:szCs w:val="20"/>
              </w:rPr>
            </w:pPr>
            <w:r w:rsidRPr="007822C7">
              <w:rPr>
                <w:kern w:val="2"/>
                <w:sz w:val="20"/>
                <w:szCs w:val="20"/>
              </w:rPr>
              <w:t>PSM1256</w:t>
            </w:r>
          </w:p>
          <w:p w:rsidR="00E35B41" w:rsidRPr="007822C7" w:rsidRDefault="00E35B41" w:rsidP="007822C7">
            <w:pPr>
              <w:rPr>
                <w:kern w:val="2"/>
                <w:sz w:val="20"/>
                <w:szCs w:val="20"/>
              </w:rPr>
            </w:pPr>
            <w:r w:rsidRPr="007822C7">
              <w:rPr>
                <w:b/>
                <w:kern w:val="2"/>
                <w:sz w:val="20"/>
                <w:szCs w:val="20"/>
              </w:rPr>
              <w:t>Mouse</w:t>
            </w:r>
            <w:r w:rsidRPr="007822C7">
              <w:rPr>
                <w:kern w:val="2"/>
                <w:sz w:val="20"/>
                <w:szCs w:val="20"/>
              </w:rPr>
              <w:t xml:space="preserve"> (CD-1)</w:t>
            </w:r>
          </w:p>
        </w:tc>
        <w:tc>
          <w:tcPr>
            <w:tcW w:w="1560" w:type="dxa"/>
            <w:vMerge w:val="restart"/>
          </w:tcPr>
          <w:p w:rsidR="00E35B41" w:rsidRPr="007822C7" w:rsidRDefault="00E35B41" w:rsidP="007822C7">
            <w:pPr>
              <w:rPr>
                <w:kern w:val="2"/>
                <w:sz w:val="20"/>
                <w:szCs w:val="20"/>
              </w:rPr>
            </w:pPr>
            <w:r w:rsidRPr="007822C7">
              <w:rPr>
                <w:kern w:val="2"/>
                <w:sz w:val="20"/>
                <w:szCs w:val="20"/>
              </w:rPr>
              <w:t>13 Weeks</w:t>
            </w:r>
          </w:p>
          <w:p w:rsidR="00E35B41" w:rsidRPr="007822C7" w:rsidRDefault="00E35B41" w:rsidP="007822C7">
            <w:pPr>
              <w:rPr>
                <w:kern w:val="2"/>
                <w:sz w:val="20"/>
                <w:szCs w:val="20"/>
              </w:rPr>
            </w:pPr>
            <w:r w:rsidRPr="007822C7">
              <w:rPr>
                <w:kern w:val="2"/>
                <w:sz w:val="20"/>
                <w:szCs w:val="20"/>
              </w:rPr>
              <w:t>PO</w:t>
            </w:r>
          </w:p>
        </w:tc>
        <w:tc>
          <w:tcPr>
            <w:tcW w:w="1984" w:type="dxa"/>
          </w:tcPr>
          <w:p w:rsidR="00E35B41" w:rsidRPr="007822C7" w:rsidRDefault="00E35B41" w:rsidP="007822C7">
            <w:pPr>
              <w:rPr>
                <w:kern w:val="2"/>
                <w:sz w:val="20"/>
                <w:szCs w:val="20"/>
              </w:rPr>
            </w:pPr>
            <w:r w:rsidRPr="007822C7">
              <w:rPr>
                <w:kern w:val="2"/>
                <w:sz w:val="20"/>
                <w:szCs w:val="20"/>
              </w:rPr>
              <w:t>450</w:t>
            </w:r>
          </w:p>
        </w:tc>
        <w:tc>
          <w:tcPr>
            <w:tcW w:w="1559" w:type="dxa"/>
          </w:tcPr>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=22.5</w:t>
            </w:r>
          </w:p>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=11.5</w:t>
            </w:r>
          </w:p>
        </w:tc>
        <w:tc>
          <w:tcPr>
            <w:tcW w:w="1985" w:type="dxa"/>
          </w:tcPr>
          <w:p w:rsidR="00E35B41" w:rsidRPr="007822C7" w:rsidRDefault="00E35B41" w:rsidP="007822C7">
            <w:pPr>
              <w:rPr>
                <w:kern w:val="2"/>
                <w:sz w:val="20"/>
                <w:szCs w:val="20"/>
              </w:rPr>
            </w:pPr>
            <w:r w:rsidRPr="007822C7">
              <w:rPr>
                <w:kern w:val="2"/>
                <w:sz w:val="20"/>
                <w:szCs w:val="20"/>
              </w:rPr>
              <w:t>Generally not found in humans</w:t>
            </w:r>
          </w:p>
        </w:tc>
      </w:tr>
      <w:tr w:rsidR="00E35B41" w:rsidRPr="007822C7" w:rsidTr="00E35B41">
        <w:trPr>
          <w:trHeight w:val="409"/>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675</w:t>
            </w:r>
          </w:p>
        </w:tc>
        <w:tc>
          <w:tcPr>
            <w:tcW w:w="1559" w:type="dxa"/>
          </w:tcPr>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=56.5</w:t>
            </w:r>
          </w:p>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=28.7</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610"/>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1000</w:t>
            </w:r>
          </w:p>
        </w:tc>
        <w:tc>
          <w:tcPr>
            <w:tcW w:w="1559" w:type="dxa"/>
          </w:tcPr>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=86.4</w:t>
            </w:r>
          </w:p>
          <w:p w:rsidR="00E35B41" w:rsidRPr="007822C7" w:rsidRDefault="00E35B41" w:rsidP="007822C7">
            <w:pPr>
              <w:rPr>
                <w:sz w:val="20"/>
                <w:szCs w:val="20"/>
              </w:rPr>
            </w:pPr>
            <w:r w:rsidRPr="007822C7">
              <w:rPr>
                <w:rFonts w:ascii="Times New Roman" w:hAnsi="Times New Roman"/>
                <w:kern w:val="2"/>
                <w:sz w:val="20"/>
                <w:szCs w:val="20"/>
              </w:rPr>
              <w:t>♀</w:t>
            </w:r>
            <w:r w:rsidRPr="007822C7">
              <w:rPr>
                <w:kern w:val="2"/>
                <w:sz w:val="20"/>
                <w:szCs w:val="20"/>
              </w:rPr>
              <w:t>=69.9</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170"/>
        </w:trPr>
        <w:tc>
          <w:tcPr>
            <w:tcW w:w="1809" w:type="dxa"/>
            <w:vMerge w:val="restart"/>
          </w:tcPr>
          <w:p w:rsidR="00E35B41" w:rsidRPr="007822C7" w:rsidRDefault="00E35B41" w:rsidP="007822C7">
            <w:pPr>
              <w:rPr>
                <w:kern w:val="2"/>
                <w:sz w:val="20"/>
                <w:szCs w:val="20"/>
              </w:rPr>
            </w:pPr>
            <w:r w:rsidRPr="007822C7">
              <w:rPr>
                <w:kern w:val="2"/>
                <w:sz w:val="20"/>
                <w:szCs w:val="20"/>
              </w:rPr>
              <w:t>PSM1029</w:t>
            </w:r>
          </w:p>
          <w:p w:rsidR="00E35B41" w:rsidRPr="007822C7" w:rsidRDefault="00E35B41" w:rsidP="007822C7">
            <w:pPr>
              <w:rPr>
                <w:b/>
                <w:kern w:val="2"/>
                <w:sz w:val="20"/>
                <w:szCs w:val="20"/>
              </w:rPr>
            </w:pPr>
            <w:r w:rsidRPr="007822C7">
              <w:rPr>
                <w:b/>
                <w:kern w:val="2"/>
                <w:sz w:val="20"/>
                <w:szCs w:val="20"/>
              </w:rPr>
              <w:t xml:space="preserve">Rat </w:t>
            </w:r>
            <w:r w:rsidRPr="007822C7">
              <w:rPr>
                <w:kern w:val="2"/>
                <w:sz w:val="20"/>
                <w:szCs w:val="20"/>
              </w:rPr>
              <w:t>(</w:t>
            </w:r>
            <w:proofErr w:type="spellStart"/>
            <w:r w:rsidRPr="007822C7">
              <w:rPr>
                <w:kern w:val="2"/>
                <w:sz w:val="20"/>
                <w:szCs w:val="20"/>
              </w:rPr>
              <w:t>Wistar</w:t>
            </w:r>
            <w:proofErr w:type="spellEnd"/>
            <w:r w:rsidRPr="007822C7">
              <w:rPr>
                <w:kern w:val="2"/>
                <w:sz w:val="20"/>
                <w:szCs w:val="20"/>
              </w:rPr>
              <w:t>)</w:t>
            </w:r>
          </w:p>
        </w:tc>
        <w:tc>
          <w:tcPr>
            <w:tcW w:w="1560" w:type="dxa"/>
            <w:vMerge w:val="restart"/>
          </w:tcPr>
          <w:p w:rsidR="00E35B41" w:rsidRPr="007822C7" w:rsidRDefault="00E35B41" w:rsidP="007822C7">
            <w:pPr>
              <w:rPr>
                <w:kern w:val="2"/>
                <w:sz w:val="20"/>
                <w:szCs w:val="20"/>
              </w:rPr>
            </w:pPr>
            <w:r w:rsidRPr="007822C7">
              <w:rPr>
                <w:kern w:val="2"/>
                <w:sz w:val="20"/>
                <w:szCs w:val="20"/>
              </w:rPr>
              <w:t>26 Weeks</w:t>
            </w:r>
          </w:p>
          <w:p w:rsidR="00E35B41" w:rsidRPr="007822C7" w:rsidRDefault="00E35B41" w:rsidP="007822C7">
            <w:pPr>
              <w:rPr>
                <w:kern w:val="2"/>
                <w:sz w:val="20"/>
                <w:szCs w:val="20"/>
              </w:rPr>
            </w:pPr>
            <w:r w:rsidRPr="007822C7">
              <w:rPr>
                <w:kern w:val="2"/>
                <w:sz w:val="20"/>
                <w:szCs w:val="20"/>
              </w:rPr>
              <w:t>PO</w:t>
            </w:r>
          </w:p>
        </w:tc>
        <w:tc>
          <w:tcPr>
            <w:tcW w:w="1984" w:type="dxa"/>
          </w:tcPr>
          <w:p w:rsidR="00E35B41" w:rsidRPr="007822C7" w:rsidRDefault="00E35B41" w:rsidP="007822C7">
            <w:pPr>
              <w:rPr>
                <w:kern w:val="2"/>
                <w:sz w:val="20"/>
                <w:szCs w:val="20"/>
              </w:rPr>
            </w:pPr>
            <w:r w:rsidRPr="007822C7">
              <w:rPr>
                <w:kern w:val="2"/>
                <w:sz w:val="20"/>
                <w:szCs w:val="20"/>
              </w:rPr>
              <w:t>150</w:t>
            </w:r>
          </w:p>
        </w:tc>
        <w:tc>
          <w:tcPr>
            <w:tcW w:w="1559" w:type="dxa"/>
          </w:tcPr>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=3.67</w:t>
            </w:r>
          </w:p>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=3.66</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47"/>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230</w:t>
            </w:r>
          </w:p>
        </w:tc>
        <w:tc>
          <w:tcPr>
            <w:tcW w:w="1559" w:type="dxa"/>
          </w:tcPr>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=6.87</w:t>
            </w:r>
          </w:p>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=6.02</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425"/>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450</w:t>
            </w:r>
          </w:p>
        </w:tc>
        <w:tc>
          <w:tcPr>
            <w:tcW w:w="1559" w:type="dxa"/>
          </w:tcPr>
          <w:p w:rsidR="00E35B41" w:rsidRPr="007822C7" w:rsidRDefault="00E35B41" w:rsidP="007822C7">
            <w:pPr>
              <w:rPr>
                <w:kern w:val="2"/>
                <w:sz w:val="20"/>
                <w:szCs w:val="20"/>
              </w:rPr>
            </w:pPr>
            <w:r w:rsidRPr="007822C7">
              <w:rPr>
                <w:rFonts w:ascii="Times New Roman" w:hAnsi="Times New Roman"/>
                <w:kern w:val="2"/>
                <w:sz w:val="20"/>
                <w:szCs w:val="20"/>
              </w:rPr>
              <w:t>♂</w:t>
            </w:r>
            <w:r w:rsidRPr="007822C7">
              <w:rPr>
                <w:kern w:val="2"/>
                <w:sz w:val="20"/>
                <w:szCs w:val="20"/>
              </w:rPr>
              <w:t>=16.3</w:t>
            </w:r>
          </w:p>
          <w:p w:rsidR="00E35B41" w:rsidRPr="007822C7" w:rsidRDefault="00E35B41" w:rsidP="007822C7">
            <w:pPr>
              <w:rPr>
                <w:sz w:val="20"/>
                <w:szCs w:val="20"/>
              </w:rPr>
            </w:pPr>
            <w:r w:rsidRPr="007822C7">
              <w:rPr>
                <w:rFonts w:ascii="Times New Roman" w:hAnsi="Times New Roman"/>
                <w:kern w:val="2"/>
                <w:sz w:val="20"/>
                <w:szCs w:val="20"/>
              </w:rPr>
              <w:t>♀</w:t>
            </w:r>
            <w:r w:rsidRPr="007822C7">
              <w:rPr>
                <w:kern w:val="2"/>
                <w:sz w:val="20"/>
                <w:szCs w:val="20"/>
              </w:rPr>
              <w:t>=14.4</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val="restart"/>
          </w:tcPr>
          <w:p w:rsidR="00E35B41" w:rsidRPr="007822C7" w:rsidRDefault="00E35B41" w:rsidP="007822C7">
            <w:pPr>
              <w:rPr>
                <w:sz w:val="20"/>
                <w:szCs w:val="20"/>
              </w:rPr>
            </w:pPr>
            <w:r w:rsidRPr="007822C7">
              <w:rPr>
                <w:sz w:val="20"/>
                <w:szCs w:val="20"/>
              </w:rPr>
              <w:t>PSM1013</w:t>
            </w:r>
          </w:p>
          <w:p w:rsidR="00E35B41" w:rsidRPr="007822C7" w:rsidRDefault="00E35B41" w:rsidP="007822C7">
            <w:pPr>
              <w:rPr>
                <w:b/>
                <w:kern w:val="2"/>
                <w:sz w:val="20"/>
                <w:szCs w:val="20"/>
              </w:rPr>
            </w:pPr>
            <w:r w:rsidRPr="007822C7">
              <w:rPr>
                <w:b/>
                <w:sz w:val="20"/>
                <w:szCs w:val="20"/>
              </w:rPr>
              <w:t>Dog</w:t>
            </w:r>
            <w:r w:rsidRPr="007822C7">
              <w:rPr>
                <w:sz w:val="20"/>
                <w:szCs w:val="20"/>
              </w:rPr>
              <w:t xml:space="preserve"> (Beagle)</w:t>
            </w:r>
          </w:p>
        </w:tc>
        <w:tc>
          <w:tcPr>
            <w:tcW w:w="1560" w:type="dxa"/>
            <w:vMerge w:val="restart"/>
          </w:tcPr>
          <w:p w:rsidR="00E35B41" w:rsidRPr="007822C7" w:rsidRDefault="00E35B41" w:rsidP="007822C7">
            <w:pPr>
              <w:rPr>
                <w:kern w:val="2"/>
                <w:sz w:val="20"/>
                <w:szCs w:val="20"/>
              </w:rPr>
            </w:pPr>
            <w:r w:rsidRPr="007822C7">
              <w:rPr>
                <w:kern w:val="2"/>
                <w:sz w:val="20"/>
                <w:szCs w:val="20"/>
              </w:rPr>
              <w:t>26 Weeks</w:t>
            </w:r>
          </w:p>
          <w:p w:rsidR="00E35B41" w:rsidRPr="007822C7" w:rsidRDefault="00E35B41" w:rsidP="007822C7">
            <w:pPr>
              <w:rPr>
                <w:kern w:val="2"/>
                <w:sz w:val="20"/>
                <w:szCs w:val="20"/>
              </w:rPr>
            </w:pPr>
            <w:r w:rsidRPr="007822C7">
              <w:rPr>
                <w:kern w:val="2"/>
                <w:sz w:val="20"/>
                <w:szCs w:val="20"/>
              </w:rPr>
              <w:t>PO</w:t>
            </w:r>
          </w:p>
        </w:tc>
        <w:tc>
          <w:tcPr>
            <w:tcW w:w="1984" w:type="dxa"/>
          </w:tcPr>
          <w:p w:rsidR="00E35B41" w:rsidRPr="007822C7" w:rsidRDefault="00E35B41" w:rsidP="007822C7">
            <w:pPr>
              <w:rPr>
                <w:kern w:val="2"/>
                <w:sz w:val="20"/>
                <w:szCs w:val="20"/>
              </w:rPr>
            </w:pPr>
            <w:r w:rsidRPr="007822C7">
              <w:rPr>
                <w:kern w:val="2"/>
                <w:sz w:val="20"/>
                <w:szCs w:val="20"/>
              </w:rPr>
              <w:t>15</w:t>
            </w:r>
          </w:p>
        </w:tc>
        <w:tc>
          <w:tcPr>
            <w:tcW w:w="1559" w:type="dxa"/>
          </w:tcPr>
          <w:p w:rsidR="00E35B41" w:rsidRPr="007822C7" w:rsidRDefault="00E35B41" w:rsidP="007822C7">
            <w:pPr>
              <w:rPr>
                <w:kern w:val="2"/>
                <w:sz w:val="20"/>
                <w:szCs w:val="20"/>
              </w:rPr>
            </w:pPr>
            <w:r w:rsidRPr="007822C7">
              <w:rPr>
                <w:kern w:val="2"/>
                <w:sz w:val="20"/>
                <w:szCs w:val="20"/>
              </w:rPr>
              <w:t>11.8</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37.5</w:t>
            </w:r>
          </w:p>
        </w:tc>
        <w:tc>
          <w:tcPr>
            <w:tcW w:w="1559" w:type="dxa"/>
          </w:tcPr>
          <w:p w:rsidR="00E35B41" w:rsidRPr="007822C7" w:rsidRDefault="00E35B41" w:rsidP="007822C7">
            <w:pPr>
              <w:rPr>
                <w:kern w:val="2"/>
                <w:sz w:val="20"/>
                <w:szCs w:val="20"/>
              </w:rPr>
            </w:pPr>
            <w:r w:rsidRPr="007822C7">
              <w:rPr>
                <w:kern w:val="2"/>
                <w:sz w:val="20"/>
                <w:szCs w:val="20"/>
              </w:rPr>
              <w:t>40.8</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75</w:t>
            </w:r>
          </w:p>
        </w:tc>
        <w:tc>
          <w:tcPr>
            <w:tcW w:w="1559" w:type="dxa"/>
          </w:tcPr>
          <w:p w:rsidR="00E35B41" w:rsidRPr="007822C7" w:rsidRDefault="00E35B41" w:rsidP="007822C7">
            <w:pPr>
              <w:rPr>
                <w:sz w:val="20"/>
                <w:szCs w:val="20"/>
              </w:rPr>
            </w:pPr>
            <w:r w:rsidRPr="007822C7">
              <w:rPr>
                <w:sz w:val="20"/>
                <w:szCs w:val="20"/>
              </w:rPr>
              <w:t>117</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val="restart"/>
          </w:tcPr>
          <w:p w:rsidR="00E35B41" w:rsidRPr="007822C7" w:rsidRDefault="00E35B41" w:rsidP="007822C7">
            <w:pPr>
              <w:rPr>
                <w:sz w:val="20"/>
                <w:szCs w:val="20"/>
              </w:rPr>
            </w:pPr>
            <w:r w:rsidRPr="007822C7">
              <w:rPr>
                <w:sz w:val="20"/>
                <w:szCs w:val="20"/>
              </w:rPr>
              <w:t>PSM1101</w:t>
            </w:r>
          </w:p>
          <w:p w:rsidR="00E35B41" w:rsidRPr="007822C7" w:rsidRDefault="00E35B41" w:rsidP="007822C7">
            <w:pPr>
              <w:rPr>
                <w:b/>
                <w:kern w:val="2"/>
                <w:sz w:val="20"/>
                <w:szCs w:val="20"/>
              </w:rPr>
            </w:pPr>
            <w:r w:rsidRPr="007822C7">
              <w:rPr>
                <w:b/>
                <w:sz w:val="20"/>
                <w:szCs w:val="20"/>
              </w:rPr>
              <w:t>Monkey</w:t>
            </w:r>
          </w:p>
        </w:tc>
        <w:tc>
          <w:tcPr>
            <w:tcW w:w="1560" w:type="dxa"/>
            <w:vMerge w:val="restart"/>
          </w:tcPr>
          <w:p w:rsidR="00E35B41" w:rsidRPr="007822C7" w:rsidRDefault="00E35B41" w:rsidP="007822C7">
            <w:pPr>
              <w:rPr>
                <w:kern w:val="2"/>
                <w:sz w:val="20"/>
                <w:szCs w:val="20"/>
              </w:rPr>
            </w:pPr>
            <w:r w:rsidRPr="007822C7">
              <w:rPr>
                <w:kern w:val="2"/>
                <w:sz w:val="20"/>
                <w:szCs w:val="20"/>
              </w:rPr>
              <w:t>4 Weeks</w:t>
            </w:r>
          </w:p>
          <w:p w:rsidR="00E35B41" w:rsidRPr="007822C7" w:rsidRDefault="00E35B41" w:rsidP="007822C7">
            <w:pPr>
              <w:rPr>
                <w:kern w:val="2"/>
                <w:sz w:val="20"/>
                <w:szCs w:val="20"/>
              </w:rPr>
            </w:pPr>
            <w:r w:rsidRPr="007822C7">
              <w:rPr>
                <w:kern w:val="2"/>
                <w:sz w:val="20"/>
                <w:szCs w:val="20"/>
              </w:rPr>
              <w:t>PO</w:t>
            </w:r>
          </w:p>
        </w:tc>
        <w:tc>
          <w:tcPr>
            <w:tcW w:w="1984" w:type="dxa"/>
          </w:tcPr>
          <w:p w:rsidR="00E35B41" w:rsidRPr="007822C7" w:rsidRDefault="00E35B41" w:rsidP="007822C7">
            <w:pPr>
              <w:rPr>
                <w:kern w:val="2"/>
                <w:sz w:val="20"/>
                <w:szCs w:val="20"/>
              </w:rPr>
            </w:pPr>
            <w:r w:rsidRPr="007822C7">
              <w:rPr>
                <w:kern w:val="2"/>
                <w:sz w:val="20"/>
                <w:szCs w:val="20"/>
              </w:rPr>
              <w:t>300</w:t>
            </w:r>
          </w:p>
        </w:tc>
        <w:tc>
          <w:tcPr>
            <w:tcW w:w="1559" w:type="dxa"/>
          </w:tcPr>
          <w:p w:rsidR="00E35B41" w:rsidRPr="007822C7" w:rsidRDefault="00E35B41" w:rsidP="007822C7">
            <w:pPr>
              <w:rPr>
                <w:kern w:val="2"/>
                <w:sz w:val="20"/>
                <w:szCs w:val="20"/>
              </w:rPr>
            </w:pPr>
            <w:r w:rsidRPr="007822C7">
              <w:rPr>
                <w:kern w:val="2"/>
                <w:sz w:val="20"/>
                <w:szCs w:val="20"/>
              </w:rPr>
              <w:t>≈9</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600</w:t>
            </w:r>
          </w:p>
        </w:tc>
        <w:tc>
          <w:tcPr>
            <w:tcW w:w="1559" w:type="dxa"/>
          </w:tcPr>
          <w:p w:rsidR="00E35B41" w:rsidRPr="007822C7" w:rsidRDefault="00E35B41" w:rsidP="007822C7">
            <w:pPr>
              <w:rPr>
                <w:kern w:val="2"/>
                <w:sz w:val="20"/>
                <w:szCs w:val="20"/>
              </w:rPr>
            </w:pPr>
            <w:r w:rsidRPr="007822C7">
              <w:rPr>
                <w:kern w:val="2"/>
                <w:sz w:val="20"/>
                <w:szCs w:val="20"/>
              </w:rPr>
              <w:t>≈18</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900</w:t>
            </w:r>
          </w:p>
        </w:tc>
        <w:tc>
          <w:tcPr>
            <w:tcW w:w="1559" w:type="dxa"/>
          </w:tcPr>
          <w:p w:rsidR="00E35B41" w:rsidRPr="007822C7" w:rsidRDefault="00E35B41" w:rsidP="007822C7">
            <w:pPr>
              <w:rPr>
                <w:kern w:val="2"/>
                <w:sz w:val="20"/>
                <w:szCs w:val="20"/>
              </w:rPr>
            </w:pPr>
            <w:r w:rsidRPr="007822C7">
              <w:rPr>
                <w:kern w:val="2"/>
                <w:sz w:val="20"/>
                <w:szCs w:val="20"/>
              </w:rPr>
              <w:t>≈18</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val="restart"/>
          </w:tcPr>
          <w:p w:rsidR="00E35B41" w:rsidRPr="007822C7" w:rsidRDefault="00E35B41" w:rsidP="007822C7">
            <w:pPr>
              <w:rPr>
                <w:sz w:val="20"/>
                <w:szCs w:val="20"/>
              </w:rPr>
            </w:pPr>
            <w:r w:rsidRPr="007822C7">
              <w:rPr>
                <w:sz w:val="20"/>
                <w:szCs w:val="20"/>
              </w:rPr>
              <w:t>PSM1140</w:t>
            </w:r>
          </w:p>
          <w:p w:rsidR="00E35B41" w:rsidRPr="007822C7" w:rsidRDefault="00E35B41" w:rsidP="007822C7">
            <w:pPr>
              <w:rPr>
                <w:b/>
                <w:kern w:val="2"/>
                <w:sz w:val="20"/>
                <w:szCs w:val="20"/>
              </w:rPr>
            </w:pPr>
            <w:r w:rsidRPr="007822C7">
              <w:rPr>
                <w:b/>
                <w:sz w:val="20"/>
                <w:szCs w:val="20"/>
              </w:rPr>
              <w:t>Monkey</w:t>
            </w:r>
          </w:p>
        </w:tc>
        <w:tc>
          <w:tcPr>
            <w:tcW w:w="1560" w:type="dxa"/>
            <w:vMerge w:val="restart"/>
          </w:tcPr>
          <w:p w:rsidR="00E35B41" w:rsidRPr="007822C7" w:rsidRDefault="00E35B41" w:rsidP="007822C7">
            <w:pPr>
              <w:rPr>
                <w:kern w:val="2"/>
                <w:sz w:val="20"/>
                <w:szCs w:val="20"/>
              </w:rPr>
            </w:pPr>
            <w:r w:rsidRPr="007822C7">
              <w:rPr>
                <w:kern w:val="2"/>
                <w:sz w:val="20"/>
                <w:szCs w:val="20"/>
              </w:rPr>
              <w:t>39 Weeks</w:t>
            </w:r>
          </w:p>
          <w:p w:rsidR="00E35B41" w:rsidRPr="007822C7" w:rsidRDefault="00E35B41" w:rsidP="007822C7">
            <w:pPr>
              <w:rPr>
                <w:kern w:val="2"/>
                <w:sz w:val="20"/>
                <w:szCs w:val="20"/>
              </w:rPr>
            </w:pPr>
            <w:r w:rsidRPr="007822C7">
              <w:rPr>
                <w:kern w:val="2"/>
                <w:sz w:val="20"/>
                <w:szCs w:val="20"/>
              </w:rPr>
              <w:t>PO</w:t>
            </w:r>
          </w:p>
        </w:tc>
        <w:tc>
          <w:tcPr>
            <w:tcW w:w="1984" w:type="dxa"/>
          </w:tcPr>
          <w:p w:rsidR="00E35B41" w:rsidRPr="007822C7" w:rsidRDefault="00E35B41" w:rsidP="007822C7">
            <w:pPr>
              <w:rPr>
                <w:kern w:val="2"/>
                <w:sz w:val="20"/>
                <w:szCs w:val="20"/>
              </w:rPr>
            </w:pPr>
            <w:r w:rsidRPr="007822C7">
              <w:rPr>
                <w:kern w:val="2"/>
                <w:sz w:val="20"/>
                <w:szCs w:val="20"/>
              </w:rPr>
              <w:t>300</w:t>
            </w:r>
          </w:p>
        </w:tc>
        <w:tc>
          <w:tcPr>
            <w:tcW w:w="1559" w:type="dxa"/>
          </w:tcPr>
          <w:p w:rsidR="00E35B41" w:rsidRPr="007822C7" w:rsidRDefault="00E35B41" w:rsidP="007822C7">
            <w:pPr>
              <w:rPr>
                <w:kern w:val="2"/>
                <w:sz w:val="20"/>
                <w:szCs w:val="20"/>
              </w:rPr>
            </w:pPr>
            <w:r w:rsidRPr="007822C7">
              <w:rPr>
                <w:kern w:val="2"/>
                <w:sz w:val="20"/>
                <w:szCs w:val="20"/>
              </w:rPr>
              <w:t>≈40</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600</w:t>
            </w:r>
          </w:p>
        </w:tc>
        <w:tc>
          <w:tcPr>
            <w:tcW w:w="1559" w:type="dxa"/>
          </w:tcPr>
          <w:p w:rsidR="00E35B41" w:rsidRPr="007822C7" w:rsidRDefault="00E35B41" w:rsidP="007822C7">
            <w:pPr>
              <w:rPr>
                <w:kern w:val="2"/>
                <w:sz w:val="20"/>
                <w:szCs w:val="20"/>
              </w:rPr>
            </w:pPr>
            <w:r w:rsidRPr="007822C7">
              <w:rPr>
                <w:kern w:val="2"/>
                <w:sz w:val="20"/>
                <w:szCs w:val="20"/>
              </w:rPr>
              <w:t>≈227</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r w:rsidR="00E35B41" w:rsidRPr="007822C7" w:rsidTr="00E35B41">
        <w:trPr>
          <w:trHeight w:val="227"/>
        </w:trPr>
        <w:tc>
          <w:tcPr>
            <w:tcW w:w="1809" w:type="dxa"/>
            <w:vMerge/>
          </w:tcPr>
          <w:p w:rsidR="00E35B41" w:rsidRPr="007822C7" w:rsidRDefault="00E35B41" w:rsidP="007822C7">
            <w:pPr>
              <w:rPr>
                <w:b/>
                <w:kern w:val="2"/>
                <w:sz w:val="20"/>
                <w:szCs w:val="20"/>
              </w:rPr>
            </w:pPr>
          </w:p>
        </w:tc>
        <w:tc>
          <w:tcPr>
            <w:tcW w:w="1560" w:type="dxa"/>
            <w:vMerge/>
          </w:tcPr>
          <w:p w:rsidR="00E35B41" w:rsidRPr="007822C7" w:rsidRDefault="00E35B41" w:rsidP="007822C7">
            <w:pPr>
              <w:rPr>
                <w:kern w:val="2"/>
                <w:sz w:val="20"/>
                <w:szCs w:val="20"/>
              </w:rPr>
            </w:pPr>
          </w:p>
        </w:tc>
        <w:tc>
          <w:tcPr>
            <w:tcW w:w="1984" w:type="dxa"/>
          </w:tcPr>
          <w:p w:rsidR="00E35B41" w:rsidRPr="007822C7" w:rsidRDefault="00E35B41" w:rsidP="007822C7">
            <w:pPr>
              <w:rPr>
                <w:kern w:val="2"/>
                <w:sz w:val="20"/>
                <w:szCs w:val="20"/>
              </w:rPr>
            </w:pPr>
            <w:r w:rsidRPr="007822C7">
              <w:rPr>
                <w:kern w:val="2"/>
                <w:sz w:val="20"/>
                <w:szCs w:val="20"/>
              </w:rPr>
              <w:t>900</w:t>
            </w:r>
          </w:p>
        </w:tc>
        <w:tc>
          <w:tcPr>
            <w:tcW w:w="1559" w:type="dxa"/>
          </w:tcPr>
          <w:p w:rsidR="00E35B41" w:rsidRPr="007822C7" w:rsidRDefault="00E35B41" w:rsidP="007822C7">
            <w:pPr>
              <w:rPr>
                <w:sz w:val="20"/>
                <w:szCs w:val="20"/>
              </w:rPr>
            </w:pPr>
            <w:r w:rsidRPr="007822C7">
              <w:rPr>
                <w:sz w:val="20"/>
                <w:szCs w:val="20"/>
              </w:rPr>
              <w:t>≈376</w:t>
            </w:r>
          </w:p>
        </w:tc>
        <w:tc>
          <w:tcPr>
            <w:tcW w:w="1985" w:type="dxa"/>
          </w:tcPr>
          <w:p w:rsidR="00E35B41" w:rsidRPr="007822C7" w:rsidRDefault="00E35B41" w:rsidP="007822C7">
            <w:pPr>
              <w:rPr>
                <w:sz w:val="20"/>
                <w:szCs w:val="20"/>
              </w:rPr>
            </w:pPr>
            <w:r w:rsidRPr="007822C7">
              <w:rPr>
                <w:kern w:val="2"/>
                <w:sz w:val="20"/>
                <w:szCs w:val="20"/>
              </w:rPr>
              <w:t>Generally not found in humans</w:t>
            </w:r>
          </w:p>
        </w:tc>
      </w:tr>
    </w:tbl>
    <w:p w:rsidR="00E35B41" w:rsidRDefault="00E35B41" w:rsidP="00E35B41">
      <w:pPr>
        <w:pStyle w:val="TableDescription"/>
      </w:pPr>
      <w:r>
        <w:t xml:space="preserve">* </w:t>
      </w:r>
      <w:proofErr w:type="gramStart"/>
      <w:r>
        <w:t>at</w:t>
      </w:r>
      <w:proofErr w:type="gramEnd"/>
      <w:r>
        <w:t xml:space="preserve"> study termination unless otherwise noted.</w:t>
      </w:r>
    </w:p>
    <w:p w:rsidR="00E35B41" w:rsidRPr="00E35B41" w:rsidRDefault="00E35B41" w:rsidP="00E35B41">
      <w:pPr>
        <w:pStyle w:val="Heading5"/>
      </w:pPr>
      <w:bookmarkStart w:id="82" w:name="_Toc450809097"/>
      <w:r w:rsidRPr="00E35B41">
        <w:t>Relative exposure margins for brivaracetam and its metabolites in juveniles</w:t>
      </w:r>
      <w:bookmarkEnd w:id="82"/>
    </w:p>
    <w:p w:rsidR="00376D5E" w:rsidRDefault="00E35B41" w:rsidP="00E35B41">
      <w:r w:rsidRPr="00E35B41">
        <w:t>Brivaracetam is not recommended for use in children &lt;16 years of age. Although studies in juvenile animals wer</w:t>
      </w:r>
      <w:r>
        <w:t>e performed</w:t>
      </w:r>
      <w:r w:rsidRPr="00E35B41">
        <w:t>, no human AUC data for this developmental stage were submitted. Thus</w:t>
      </w:r>
      <w:r w:rsidR="00766BE9">
        <w:t>,</w:t>
      </w:r>
      <w:r w:rsidRPr="00E35B41">
        <w:t xml:space="preserve"> relevant AUC ratios cannot be calculated. It should be noted that in juvenile animals (rats and dogs) total plasma exposure was generally similar to exposure in adult animals, except at </w:t>
      </w:r>
      <w:r w:rsidR="00BD151F">
        <w:t>PND</w:t>
      </w:r>
      <w:r w:rsidRPr="00E35B41">
        <w:t xml:space="preserve"> 4 where </w:t>
      </w:r>
      <w:r w:rsidR="0021109D">
        <w:t xml:space="preserve">approximately </w:t>
      </w:r>
      <w:r w:rsidR="00493DFC">
        <w:t xml:space="preserve">a </w:t>
      </w:r>
      <w:r w:rsidRPr="00E35B41">
        <w:t>4X higher exposure was achieved in juvenile rats compared with adults</w:t>
      </w:r>
      <w:r w:rsidR="00376D5E">
        <w:t>.</w:t>
      </w:r>
    </w:p>
    <w:p w:rsidR="00E35B41" w:rsidRDefault="00E35B41" w:rsidP="00E35B41">
      <w:r w:rsidRPr="00E35B41">
        <w:t xml:space="preserve">Relevant </w:t>
      </w:r>
      <w:proofErr w:type="spellStart"/>
      <w:r w:rsidRPr="00E35B41">
        <w:t>toxicokinetic</w:t>
      </w:r>
      <w:proofErr w:type="spellEnd"/>
      <w:r w:rsidRPr="00E35B41">
        <w:t xml:space="preserve"> data of </w:t>
      </w:r>
      <w:proofErr w:type="spellStart"/>
      <w:r w:rsidRPr="00E35B41">
        <w:t>brivaracetam</w:t>
      </w:r>
      <w:proofErr w:type="spellEnd"/>
      <w:r w:rsidRPr="00E35B41">
        <w:t xml:space="preserve"> and its metabolites in juvenile rats are shown below (NOAEL</w:t>
      </w:r>
      <w:r w:rsidR="00BD151F">
        <w:t xml:space="preserve"> </w:t>
      </w:r>
      <w:r w:rsidRPr="00E35B41">
        <w:t>= 600 mg/kg/day)</w:t>
      </w:r>
      <w:r w:rsidR="00965FE7">
        <w:t>.</w:t>
      </w:r>
    </w:p>
    <w:p w:rsidR="00965FE7" w:rsidRDefault="00965FE7" w:rsidP="00965FE7">
      <w:pPr>
        <w:pStyle w:val="TableTitle"/>
      </w:pPr>
      <w:r>
        <w:lastRenderedPageBreak/>
        <w:t>Table 1</w:t>
      </w:r>
      <w:r w:rsidR="004510A9">
        <w:t>3</w:t>
      </w:r>
      <w:r>
        <w:t xml:space="preserve">: </w:t>
      </w:r>
      <w:r w:rsidR="004510A9">
        <w:t xml:space="preserve">PK parameter values of </w:t>
      </w:r>
      <w:proofErr w:type="spellStart"/>
      <w:r w:rsidR="004510A9">
        <w:t>ucb</w:t>
      </w:r>
      <w:proofErr w:type="spellEnd"/>
      <w:r w:rsidR="004510A9">
        <w:t xml:space="preserve"> 34714 and its metabolites in juvenile </w:t>
      </w:r>
      <w:proofErr w:type="spellStart"/>
      <w:r w:rsidR="004510A9">
        <w:t>Wistar</w:t>
      </w:r>
      <w:proofErr w:type="spellEnd"/>
      <w:r w:rsidR="004510A9">
        <w:t xml:space="preserve"> rats (male &amp; female) after rep</w:t>
      </w:r>
      <w:r w:rsidR="002760B0">
        <w:t xml:space="preserve">eat administration of </w:t>
      </w:r>
      <w:proofErr w:type="spellStart"/>
      <w:r w:rsidR="002760B0">
        <w:t>ucb</w:t>
      </w:r>
      <w:proofErr w:type="spellEnd"/>
      <w:r w:rsidR="002760B0">
        <w:t xml:space="preserve"> 34714</w:t>
      </w:r>
      <w:r>
        <w:t>.</w:t>
      </w:r>
    </w:p>
    <w:p w:rsidR="00965FE7" w:rsidRDefault="002760B0" w:rsidP="00E35B41">
      <w:r>
        <w:rPr>
          <w:noProof/>
          <w:lang w:eastAsia="en-AU"/>
        </w:rPr>
        <w:drawing>
          <wp:inline distT="0" distB="0" distL="0" distR="0" wp14:anchorId="047A4FE8" wp14:editId="63582044">
            <wp:extent cx="4818301" cy="2793688"/>
            <wp:effectExtent l="0" t="0" r="1905" b="6985"/>
            <wp:docPr id="291" name="Picture 291" descr="Table 13: PK parameter values of ucb 34714 and its metabolites in juvenile Wistar rats (male &amp; female) after repeat administration of ucb 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19391" cy="2794320"/>
                    </a:xfrm>
                    <a:prstGeom prst="rect">
                      <a:avLst/>
                    </a:prstGeom>
                  </pic:spPr>
                </pic:pic>
              </a:graphicData>
            </a:graphic>
          </wp:inline>
        </w:drawing>
      </w:r>
    </w:p>
    <w:p w:rsidR="00965FE7" w:rsidRDefault="00965FE7" w:rsidP="00965FE7">
      <w:pPr>
        <w:spacing w:after="200" w:line="276" w:lineRule="auto"/>
      </w:pPr>
      <w:r>
        <w:t xml:space="preserve">Key </w:t>
      </w:r>
      <w:proofErr w:type="spellStart"/>
      <w:r>
        <w:t>toxicokinetic</w:t>
      </w:r>
      <w:proofErr w:type="spellEnd"/>
      <w:r>
        <w:t xml:space="preserve"> data for </w:t>
      </w:r>
      <w:proofErr w:type="spellStart"/>
      <w:r>
        <w:t>brivaracetam</w:t>
      </w:r>
      <w:proofErr w:type="spellEnd"/>
      <w:r>
        <w:t xml:space="preserve"> i</w:t>
      </w:r>
      <w:r w:rsidR="00766BE9">
        <w:t>n juvenile dogs are shown below.</w:t>
      </w:r>
    </w:p>
    <w:p w:rsidR="002760B0" w:rsidRDefault="002760B0" w:rsidP="002760B0">
      <w:pPr>
        <w:pStyle w:val="TableTitle"/>
      </w:pPr>
      <w:r>
        <w:t xml:space="preserve">Table 14: </w:t>
      </w:r>
      <w:r w:rsidR="00C4438C">
        <w:t xml:space="preserve">Mean PK parameter values of </w:t>
      </w:r>
      <w:proofErr w:type="spellStart"/>
      <w:r w:rsidR="00C4438C">
        <w:t>ucb</w:t>
      </w:r>
      <w:proofErr w:type="spellEnd"/>
      <w:r w:rsidR="00C4438C">
        <w:t xml:space="preserve"> 34714 in male &amp; female juvenile beagle dogs after single and repeat o</w:t>
      </w:r>
      <w:r w:rsidR="00081579">
        <w:t xml:space="preserve">ral administration of </w:t>
      </w:r>
      <w:proofErr w:type="spellStart"/>
      <w:r w:rsidR="00081579">
        <w:t>ucb</w:t>
      </w:r>
      <w:proofErr w:type="spellEnd"/>
      <w:r w:rsidR="00081579">
        <w:t xml:space="preserve"> 34714</w:t>
      </w:r>
      <w:r>
        <w:t>.</w:t>
      </w:r>
    </w:p>
    <w:p w:rsidR="00965FE7" w:rsidRPr="00E35B41" w:rsidRDefault="00081579" w:rsidP="00E35B41">
      <w:r>
        <w:rPr>
          <w:noProof/>
          <w:lang w:eastAsia="en-AU"/>
        </w:rPr>
        <w:drawing>
          <wp:inline distT="0" distB="0" distL="0" distR="0" wp14:anchorId="46DAB841" wp14:editId="4FDB7080">
            <wp:extent cx="4989440" cy="2779907"/>
            <wp:effectExtent l="0" t="0" r="1905" b="1905"/>
            <wp:docPr id="293" name="Picture 293" descr="Table 14: Mean PK parameter values of ucb 34714 in male &amp; female juvenile beagle dogs after single and repeat oral administration of ucb 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87396" cy="2778768"/>
                    </a:xfrm>
                    <a:prstGeom prst="rect">
                      <a:avLst/>
                    </a:prstGeom>
                  </pic:spPr>
                </pic:pic>
              </a:graphicData>
            </a:graphic>
          </wp:inline>
        </w:drawing>
      </w:r>
    </w:p>
    <w:p w:rsidR="00081579" w:rsidRPr="00B43EC8" w:rsidRDefault="00081579" w:rsidP="00081579">
      <w:pPr>
        <w:pStyle w:val="Heading4"/>
      </w:pPr>
      <w:bookmarkStart w:id="83" w:name="_Toc450809098"/>
      <w:r>
        <w:t>M</w:t>
      </w:r>
      <w:r w:rsidRPr="00B43EC8">
        <w:t>ajor toxicological properties of brivaracetam</w:t>
      </w:r>
      <w:bookmarkEnd w:id="83"/>
    </w:p>
    <w:p w:rsidR="00081579" w:rsidRPr="00B43EC8" w:rsidRDefault="00081579" w:rsidP="00081579">
      <w:pPr>
        <w:pStyle w:val="Heading5"/>
      </w:pPr>
      <w:bookmarkStart w:id="84" w:name="_Toc450809099"/>
      <w:r w:rsidRPr="00B43EC8">
        <w:t>Mortality</w:t>
      </w:r>
      <w:bookmarkEnd w:id="84"/>
    </w:p>
    <w:p w:rsidR="00081579" w:rsidRPr="00081579" w:rsidRDefault="00081579" w:rsidP="00081579">
      <w:r w:rsidRPr="00081579">
        <w:t>High lev</w:t>
      </w:r>
      <w:r w:rsidR="00766BE9">
        <w:t>els of brivaracetam exposure (approximately ≥</w:t>
      </w:r>
      <w:r w:rsidRPr="00081579">
        <w:t xml:space="preserve">17-25 the MRHD based on AUC comparison) were associated with euthanasia in extremis and euthanasia due to severe clinical signs in the rat 4 week repeated oral (gavage) exposure study. Severe clinical signs included dyspnoea, hunched posture, </w:t>
      </w:r>
      <w:proofErr w:type="spellStart"/>
      <w:r w:rsidRPr="00081579">
        <w:t>piloerection</w:t>
      </w:r>
      <w:proofErr w:type="spellEnd"/>
      <w:r w:rsidRPr="00081579">
        <w:t xml:space="preserve"> and ataxia.</w:t>
      </w:r>
    </w:p>
    <w:p w:rsidR="00081579" w:rsidRPr="00081579" w:rsidRDefault="00081579" w:rsidP="00081579">
      <w:r w:rsidRPr="00081579">
        <w:t>Near lifetime oral exposure to brivaracetam was not associated with effects on lifespan or actuarial attrition rate in rats and mice.</w:t>
      </w:r>
    </w:p>
    <w:p w:rsidR="00081579" w:rsidRPr="00B43EC8" w:rsidRDefault="00081579" w:rsidP="00081579">
      <w:pPr>
        <w:pStyle w:val="Heading5"/>
      </w:pPr>
      <w:bookmarkStart w:id="85" w:name="_Toc450809100"/>
      <w:r w:rsidRPr="00B43EC8">
        <w:lastRenderedPageBreak/>
        <w:t>Effects on food consumption, body weight and weight gain</w:t>
      </w:r>
      <w:bookmarkEnd w:id="85"/>
    </w:p>
    <w:p w:rsidR="00081579" w:rsidRPr="00081579" w:rsidRDefault="00081579" w:rsidP="00081579">
      <w:r w:rsidRPr="00081579">
        <w:t>Effects on food consumption, body weight and weight gain that exceeded maximum tolerated dose parameter</w:t>
      </w:r>
      <w:r w:rsidR="00AE31F7">
        <w:t>s (that is,</w:t>
      </w:r>
      <w:r w:rsidRPr="00081579">
        <w:t xml:space="preserve"> &gt;10% bodyweight loss) in adult animals were observed only after </w:t>
      </w:r>
      <w:proofErr w:type="spellStart"/>
      <w:r w:rsidRPr="00081579">
        <w:t>supratherapeutic</w:t>
      </w:r>
      <w:proofErr w:type="spellEnd"/>
      <w:r w:rsidRPr="00081579">
        <w:t xml:space="preserve"> levels of </w:t>
      </w:r>
      <w:proofErr w:type="spellStart"/>
      <w:r w:rsidRPr="00081579">
        <w:t>brivaracetam</w:t>
      </w:r>
      <w:proofErr w:type="spellEnd"/>
      <w:r w:rsidRPr="00081579">
        <w:t xml:space="preserve"> exposure (≥1X MRHD based on AUC comparison) and typically only within approximately the first week of treatment (i.e. generally before metabolic </w:t>
      </w:r>
      <w:proofErr w:type="spellStart"/>
      <w:r w:rsidRPr="00081579">
        <w:t>autoinduction</w:t>
      </w:r>
      <w:proofErr w:type="spellEnd"/>
      <w:r w:rsidRPr="00081579">
        <w:t xml:space="preserve">). In dogs, decreased body weight gain was associated with serum biochemical and </w:t>
      </w:r>
      <w:proofErr w:type="spellStart"/>
      <w:r w:rsidRPr="00081579">
        <w:t>microanatomic</w:t>
      </w:r>
      <w:proofErr w:type="spellEnd"/>
      <w:r w:rsidRPr="00081579">
        <w:t xml:space="preserve"> evidence of liver damage.</w:t>
      </w:r>
    </w:p>
    <w:p w:rsidR="00081579" w:rsidRPr="00B43EC8" w:rsidRDefault="00081579" w:rsidP="00081579">
      <w:pPr>
        <w:pStyle w:val="Heading5"/>
      </w:pPr>
      <w:bookmarkStart w:id="86" w:name="_Toc450809101"/>
      <w:r w:rsidRPr="00B43EC8">
        <w:t>Effects on the liver</w:t>
      </w:r>
      <w:bookmarkEnd w:id="86"/>
    </w:p>
    <w:p w:rsidR="00081579" w:rsidRPr="00081579" w:rsidRDefault="00081579" w:rsidP="00081579">
      <w:r w:rsidRPr="00081579">
        <w:t>Overall, the human risk of brivaracetam</w:t>
      </w:r>
      <w:r w:rsidR="008F1F69">
        <w:t xml:space="preserve"> </w:t>
      </w:r>
      <w:r w:rsidRPr="00081579">
        <w:t>associated hepatotoxicity is low. Generally, exposures at le</w:t>
      </w:r>
      <w:r w:rsidR="00FF0871">
        <w:t>ast approximately ≥</w:t>
      </w:r>
      <w:r w:rsidRPr="00081579">
        <w:t>2X the MRHD based on AUC comparison were required to produce dose</w:t>
      </w:r>
      <w:r w:rsidR="008F1F69">
        <w:t xml:space="preserve"> </w:t>
      </w:r>
      <w:r w:rsidRPr="00081579">
        <w:t xml:space="preserve">related metabolically adaptive (hepatomegaly, </w:t>
      </w:r>
      <w:proofErr w:type="spellStart"/>
      <w:r w:rsidRPr="00081579">
        <w:t>centrilobular</w:t>
      </w:r>
      <w:proofErr w:type="spellEnd"/>
      <w:r w:rsidRPr="00081579">
        <w:t xml:space="preserve"> hepatocellular hypertrophy, ± </w:t>
      </w:r>
      <w:proofErr w:type="spellStart"/>
      <w:r w:rsidRPr="00081579">
        <w:t>lipofuscinosis</w:t>
      </w:r>
      <w:proofErr w:type="spellEnd"/>
      <w:r w:rsidRPr="00081579">
        <w:t>) and/or maladaptive (serum biochemical evidence of hepatocellular damage, singl</w:t>
      </w:r>
      <w:r w:rsidR="00FF0871">
        <w:t>e cell necrosis and</w:t>
      </w:r>
      <w:r w:rsidRPr="00081579">
        <w:t xml:space="preserve"> bile duct hyperplasia and </w:t>
      </w:r>
      <w:proofErr w:type="spellStart"/>
      <w:r w:rsidRPr="00081579">
        <w:t>peribiliary</w:t>
      </w:r>
      <w:proofErr w:type="spellEnd"/>
      <w:r w:rsidRPr="00081579">
        <w:t xml:space="preserve"> inflammation [particularly </w:t>
      </w:r>
      <w:r w:rsidRPr="00081579">
        <w:rPr>
          <w:rFonts w:ascii="Times New Roman" w:hAnsi="Times New Roman"/>
        </w:rPr>
        <w:t>♂</w:t>
      </w:r>
      <w:r w:rsidRPr="00081579">
        <w:t xml:space="preserve">], </w:t>
      </w:r>
      <w:proofErr w:type="spellStart"/>
      <w:r w:rsidRPr="00081579">
        <w:t>periportal</w:t>
      </w:r>
      <w:proofErr w:type="spellEnd"/>
      <w:r w:rsidRPr="00081579">
        <w:t xml:space="preserve"> hepatocellular </w:t>
      </w:r>
      <w:proofErr w:type="spellStart"/>
      <w:r w:rsidRPr="00081579">
        <w:t>vacuolation</w:t>
      </w:r>
      <w:proofErr w:type="spellEnd"/>
      <w:r w:rsidRPr="00081579">
        <w:t xml:space="preserve"> [particularly </w:t>
      </w:r>
      <w:r w:rsidRPr="00081579">
        <w:rPr>
          <w:rFonts w:ascii="Times New Roman" w:hAnsi="Times New Roman"/>
        </w:rPr>
        <w:t>♀</w:t>
      </w:r>
      <w:r w:rsidRPr="00081579">
        <w:t xml:space="preserve">], ↑ pre-neoplastic foci of altered hepatocytes [particularly </w:t>
      </w:r>
      <w:r w:rsidRPr="00081579">
        <w:rPr>
          <w:rFonts w:ascii="Times New Roman" w:hAnsi="Times New Roman"/>
        </w:rPr>
        <w:t>♂</w:t>
      </w:r>
      <w:r w:rsidRPr="00081579">
        <w:t>]) changes in rodents. These effects were most likely due to relatively mild</w:t>
      </w:r>
      <w:r w:rsidR="00ED235E">
        <w:t xml:space="preserve"> CAR-</w:t>
      </w:r>
      <w:proofErr w:type="spellStart"/>
      <w:r w:rsidR="00ED235E">
        <w:t>xenosensor</w:t>
      </w:r>
      <w:proofErr w:type="spellEnd"/>
      <w:r w:rsidR="00ED235E">
        <w:t xml:space="preserve"> associated (that is,</w:t>
      </w:r>
      <w:r w:rsidRPr="00081579">
        <w:t xml:space="preserve"> </w:t>
      </w:r>
      <w:proofErr w:type="spellStart"/>
      <w:r w:rsidRPr="00081579">
        <w:t>phenobarbitone</w:t>
      </w:r>
      <w:proofErr w:type="spellEnd"/>
      <w:r w:rsidR="00021DAF">
        <w:t xml:space="preserve"> </w:t>
      </w:r>
      <w:r w:rsidRPr="00081579">
        <w:t>like) metabolic adapti</w:t>
      </w:r>
      <w:r w:rsidR="008F1F69">
        <w:t xml:space="preserve">on/maladaptation (a largely </w:t>
      </w:r>
      <w:r w:rsidR="00EB215B">
        <w:t>non-</w:t>
      </w:r>
      <w:r w:rsidR="00EB215B" w:rsidRPr="00081579">
        <w:t>human</w:t>
      </w:r>
      <w:r w:rsidRPr="00081579">
        <w:t xml:space="preserve"> relevant mode of action). </w:t>
      </w:r>
      <w:proofErr w:type="spellStart"/>
      <w:r w:rsidRPr="00081579">
        <w:t>Supratherapeutic</w:t>
      </w:r>
      <w:proofErr w:type="spellEnd"/>
      <w:r w:rsidRPr="00081579">
        <w:t xml:space="preserve"> exposure in d</w:t>
      </w:r>
      <w:r w:rsidR="00627D2A">
        <w:t xml:space="preserve">ogs resulted in </w:t>
      </w:r>
      <w:proofErr w:type="spellStart"/>
      <w:r w:rsidR="00627D2A">
        <w:t>porphyrigenesis</w:t>
      </w:r>
      <w:proofErr w:type="spellEnd"/>
      <w:r w:rsidR="00627D2A">
        <w:t xml:space="preserve"> </w:t>
      </w:r>
      <w:r w:rsidRPr="00081579">
        <w:t>associated hepatic toxicity (species</w:t>
      </w:r>
      <w:r w:rsidR="004464C9">
        <w:t xml:space="preserve"> </w:t>
      </w:r>
      <w:r w:rsidRPr="00081579">
        <w:t>specific; not human relevant).</w:t>
      </w:r>
    </w:p>
    <w:p w:rsidR="00081579" w:rsidRPr="00081579" w:rsidRDefault="00005B1F" w:rsidP="00081579">
      <w:r>
        <w:t xml:space="preserve">Since relatively mild CAR </w:t>
      </w:r>
      <w:proofErr w:type="spellStart"/>
      <w:r w:rsidR="00081579" w:rsidRPr="00081579">
        <w:t>xenosensor</w:t>
      </w:r>
      <w:proofErr w:type="spellEnd"/>
      <w:r w:rsidR="00081579" w:rsidRPr="00081579">
        <w:t xml:space="preserve"> (</w:t>
      </w:r>
      <w:proofErr w:type="spellStart"/>
      <w:r w:rsidR="00081579" w:rsidRPr="00081579">
        <w:t>phenobarbitone</w:t>
      </w:r>
      <w:proofErr w:type="spellEnd"/>
      <w:r w:rsidR="00081579" w:rsidRPr="00081579">
        <w:t>)/</w:t>
      </w:r>
      <w:proofErr w:type="spellStart"/>
      <w:r w:rsidR="00081579" w:rsidRPr="00081579">
        <w:t>porphyrigenesis</w:t>
      </w:r>
      <w:proofErr w:type="spellEnd"/>
      <w:r w:rsidR="00081579" w:rsidRPr="00081579">
        <w:t xml:space="preserve"> associated effects on the liver have limited human relevance, dose comparisons are inaccurate.</w:t>
      </w:r>
    </w:p>
    <w:p w:rsidR="00376D5E" w:rsidRDefault="00081579" w:rsidP="00081579">
      <w:r w:rsidRPr="00081579">
        <w:t>Overall, the risk of clin</w:t>
      </w:r>
      <w:r w:rsidR="00005B1F">
        <w:t xml:space="preserve">ically significant brivaracetam </w:t>
      </w:r>
      <w:r w:rsidRPr="00081579">
        <w:t>associated liver damage in humans appears to be low</w:t>
      </w:r>
      <w:r w:rsidR="00376D5E">
        <w:t>.</w:t>
      </w:r>
    </w:p>
    <w:p w:rsidR="00081579" w:rsidRPr="00B43EC8" w:rsidRDefault="00081579" w:rsidP="00081579">
      <w:pPr>
        <w:pStyle w:val="Heading5"/>
      </w:pPr>
      <w:bookmarkStart w:id="87" w:name="_Toc450809102"/>
      <w:r w:rsidRPr="00B43EC8">
        <w:t>Effects on the thyroid</w:t>
      </w:r>
      <w:bookmarkEnd w:id="87"/>
    </w:p>
    <w:p w:rsidR="00376D5E" w:rsidRDefault="00081579" w:rsidP="00081579">
      <w:r w:rsidRPr="00081579">
        <w:t xml:space="preserve">Increased relative thyroid weight, diffuse follicular hypertrophy with colloid changes and small increases in the incidence of thyroid follicular cell neoplasia and follicular </w:t>
      </w:r>
      <w:proofErr w:type="spellStart"/>
      <w:r w:rsidRPr="00081579">
        <w:t>lipofuscinosis</w:t>
      </w:r>
      <w:proofErr w:type="spellEnd"/>
      <w:r w:rsidRPr="00081579">
        <w:t xml:space="preserve"> were associated with repeated dosing with brivaracetam. Given that brivaracetam is associated with modest induction of hepatic thyroxine-UGT, thus these effects are likely due to metabolic induction</w:t>
      </w:r>
      <w:r w:rsidR="00021DAF">
        <w:t xml:space="preserve"> </w:t>
      </w:r>
      <w:r w:rsidRPr="00081579">
        <w:t>associated effects on the hypothalamic-pituitary-thyroid axis. Because of the lower thyroid efficiency of rats and catabolic differences, humans are regarded as being resistant to these types of effects. Accordingly these findings limited human relevance</w:t>
      </w:r>
      <w:r w:rsidR="00376D5E">
        <w:t>.</w:t>
      </w:r>
    </w:p>
    <w:p w:rsidR="00081579" w:rsidRPr="00081579" w:rsidRDefault="00081579" w:rsidP="00081579">
      <w:r w:rsidRPr="00081579">
        <w:t>Transient and fully reversible lower mean serum T4 levels, without concurrent reductions in T3 levels, were observed in juvenile generation dogs exposed to brivaracetam between PND4-276. However, no overt evidence of decompensated hypothyroidism or overt disruption of the hypothalamic-pituitary-thyroid axis was observed. This is consistent with the facts that T4 is a pro-hormone and part of the circulating functional reserve pool of thyroid hormones and that no changes to serum T3 (the major penultimate active form of the hormone) were observed. The NOAEL for these effects was &gt;1X the MRHD (based on AUC comparison). It should also be noted that brivaracetam is not intended for use in juveniles.</w:t>
      </w:r>
    </w:p>
    <w:p w:rsidR="00376D5E" w:rsidRDefault="00081579" w:rsidP="00081579">
      <w:r w:rsidRPr="00081579">
        <w:t>Overall brivaracetam appears to present a minimal risk to humans in terms of normal thyroid function</w:t>
      </w:r>
      <w:r w:rsidR="00376D5E">
        <w:t>.</w:t>
      </w:r>
    </w:p>
    <w:p w:rsidR="00081579" w:rsidRPr="00B43EC8" w:rsidRDefault="00081579" w:rsidP="00081579">
      <w:pPr>
        <w:pStyle w:val="Heading5"/>
      </w:pPr>
      <w:bookmarkStart w:id="88" w:name="_Toc450809103"/>
      <w:r w:rsidRPr="00B43EC8">
        <w:t>Renal effects in male rats</w:t>
      </w:r>
      <w:bookmarkEnd w:id="88"/>
    </w:p>
    <w:p w:rsidR="00081579" w:rsidRPr="00081579" w:rsidRDefault="00081579" w:rsidP="00081579">
      <w:r w:rsidRPr="00081579">
        <w:t>Repeated daily oral gavage exposure of male rats to high doses of brivaracetam for ≥4 weeks was associated with renal proximal tubular alpha-2u globulin</w:t>
      </w:r>
      <w:r w:rsidR="00021DAF">
        <w:t xml:space="preserve"> </w:t>
      </w:r>
      <w:r w:rsidRPr="00081579">
        <w:t xml:space="preserve">associated hyaline droplet </w:t>
      </w:r>
      <w:proofErr w:type="spellStart"/>
      <w:r w:rsidRPr="00081579">
        <w:t>nephrosis</w:t>
      </w:r>
      <w:proofErr w:type="spellEnd"/>
      <w:r w:rsidRPr="00081579">
        <w:t xml:space="preserve"> (without hyaline cast formation) in some, but not all, of the repeat dose toxicity studies in this species. The effect was also associated with chronic progressive nephropathy in the 4 week continuous infusion study and in the 104 week carcinogenesis </w:t>
      </w:r>
      <w:r w:rsidRPr="00081579">
        <w:lastRenderedPageBreak/>
        <w:t>study in rats. Hyaline</w:t>
      </w:r>
      <w:r w:rsidR="00021DAF">
        <w:t xml:space="preserve"> </w:t>
      </w:r>
      <w:r w:rsidRPr="00081579">
        <w:t>droplet associated renal carcinogenesis in rats was not observed. Brivaracetam</w:t>
      </w:r>
      <w:r w:rsidR="00021DAF">
        <w:t xml:space="preserve"> </w:t>
      </w:r>
      <w:r w:rsidRPr="00081579">
        <w:t>associated increase in alpha-2u globulin renal excretion in male rats was confirmed experimentally. As expected, this effect was not detected in other species and these ef</w:t>
      </w:r>
      <w:r w:rsidR="00021DAF">
        <w:t xml:space="preserve">fects are not regarded as human </w:t>
      </w:r>
      <w:r w:rsidRPr="00081579">
        <w:t>relevant.</w:t>
      </w:r>
      <w:r>
        <w:rPr>
          <w:rStyle w:val="FootnoteReference"/>
        </w:rPr>
        <w:footnoteReference w:id="7"/>
      </w:r>
    </w:p>
    <w:p w:rsidR="00376D5E" w:rsidRDefault="00081579" w:rsidP="00081579">
      <w:r w:rsidRPr="00081579">
        <w:t>Overall brivaracetam appears to present a negligible risk to humans in terms of renal function</w:t>
      </w:r>
      <w:r w:rsidR="00376D5E">
        <w:t>.</w:t>
      </w:r>
    </w:p>
    <w:p w:rsidR="00081579" w:rsidRPr="00B43EC8" w:rsidRDefault="00081579" w:rsidP="00081579">
      <w:pPr>
        <w:pStyle w:val="Heading5"/>
      </w:pPr>
      <w:bookmarkStart w:id="89" w:name="_Toc450809104"/>
      <w:r w:rsidRPr="00B43EC8">
        <w:t>Effects in the salivary gland</w:t>
      </w:r>
      <w:bookmarkEnd w:id="89"/>
    </w:p>
    <w:p w:rsidR="00376D5E" w:rsidRDefault="00081579" w:rsidP="00081579">
      <w:r w:rsidRPr="00081579">
        <w:t xml:space="preserve">Extreme brivaracetam doses (≥28X MRHD based on AUC comparison) were associated with degranulation of the striated ducts of the mandibular salivary gland in rats in the 4 week oral gavage study. These effects were not observed in any other study. Accordingly, this finding is not regarded as being relevant to normal clinical treatment of humans with </w:t>
      </w:r>
      <w:proofErr w:type="spellStart"/>
      <w:r w:rsidRPr="00081579">
        <w:t>brivaracetam</w:t>
      </w:r>
      <w:proofErr w:type="spellEnd"/>
      <w:r w:rsidR="00376D5E">
        <w:t>.</w:t>
      </w:r>
    </w:p>
    <w:p w:rsidR="00081579" w:rsidRPr="00B43EC8" w:rsidRDefault="00081579" w:rsidP="00081579">
      <w:pPr>
        <w:pStyle w:val="Heading5"/>
      </w:pPr>
      <w:bookmarkStart w:id="90" w:name="_Toc450809105"/>
      <w:r w:rsidRPr="00B43EC8">
        <w:t>Effects on the olfactory epithelium</w:t>
      </w:r>
      <w:bookmarkEnd w:id="90"/>
    </w:p>
    <w:p w:rsidR="00376D5E" w:rsidRDefault="00081579" w:rsidP="00081579">
      <w:r w:rsidRPr="00081579">
        <w:t xml:space="preserve">Dose-responsive, minimal to slight </w:t>
      </w:r>
      <w:proofErr w:type="spellStart"/>
      <w:r w:rsidRPr="00081579">
        <w:t>lipofuscinosis</w:t>
      </w:r>
      <w:proofErr w:type="spellEnd"/>
      <w:r w:rsidRPr="00081579">
        <w:t xml:space="preserve"> of the olfactory mucosa was observed at brivaracetam exposures &gt;1X the MRHD (based on AUC comparison) in the near life-time oral exposure mouse carcinogenesis study. This effect is likely due to localised briva</w:t>
      </w:r>
      <w:r w:rsidR="004464C9">
        <w:t xml:space="preserve">racetam biotransformation (that is, </w:t>
      </w:r>
      <w:r w:rsidRPr="00081579">
        <w:t xml:space="preserve">due to the breakdown of smooth endoplasmic reticulum in secondary lysosomes and possible metabolic </w:t>
      </w:r>
      <w:proofErr w:type="spellStart"/>
      <w:r w:rsidRPr="00081579">
        <w:t>autoinduction</w:t>
      </w:r>
      <w:proofErr w:type="spellEnd"/>
      <w:r w:rsidRPr="00081579">
        <w:t xml:space="preserve"> in the olfactory mucosa) and is not regarded as adverse</w:t>
      </w:r>
      <w:r w:rsidR="00376D5E">
        <w:t>.</w:t>
      </w:r>
    </w:p>
    <w:p w:rsidR="00376D5E" w:rsidRDefault="00081579" w:rsidP="00081579">
      <w:r w:rsidRPr="00081579">
        <w:t xml:space="preserve">Higher levels of exposure in females (&gt;1X the MRHD based on AUC comparison) was associated with minimal to slight olfactory mucosal gland hyperplasia. This effect is regarded as adaptive and it only occurred at </w:t>
      </w:r>
      <w:proofErr w:type="spellStart"/>
      <w:r w:rsidRPr="00081579">
        <w:t>supratherapeutic</w:t>
      </w:r>
      <w:proofErr w:type="spellEnd"/>
      <w:r w:rsidRPr="00081579">
        <w:t xml:space="preserve"> levels of exposure compared with the MRHD</w:t>
      </w:r>
      <w:r w:rsidR="00376D5E">
        <w:t>.</w:t>
      </w:r>
    </w:p>
    <w:p w:rsidR="00081579" w:rsidRPr="00B43EC8" w:rsidRDefault="00081579" w:rsidP="0032345E">
      <w:pPr>
        <w:pStyle w:val="Heading5"/>
      </w:pPr>
      <w:bookmarkStart w:id="91" w:name="_Toc450809106"/>
      <w:r w:rsidRPr="00B43EC8">
        <w:t>Effects in the reproductive tract</w:t>
      </w:r>
      <w:bookmarkEnd w:id="91"/>
    </w:p>
    <w:p w:rsidR="00081579" w:rsidRPr="00B43EC8" w:rsidRDefault="00081579" w:rsidP="0032345E">
      <w:pPr>
        <w:pStyle w:val="Heading6"/>
      </w:pPr>
      <w:r w:rsidRPr="00B43EC8">
        <w:t>Rats</w:t>
      </w:r>
    </w:p>
    <w:p w:rsidR="00081579" w:rsidRPr="0032345E" w:rsidRDefault="00081579" w:rsidP="0032345E">
      <w:r w:rsidRPr="0032345E">
        <w:t>Uterine atrophy was noted in 4/10 non-parous females treated with brivaracetam at extreme doses (</w:t>
      </w:r>
      <w:r w:rsidR="00021DAF">
        <w:t xml:space="preserve">approximately </w:t>
      </w:r>
      <w:r w:rsidRPr="0032345E">
        <w:t>28X MRHD based on AUC comparison) in the rat 4 week oral (gavage) repeat daily exposure study. This finding was not replicated in any of the other studies in rats (including the 4week continuous infusion study in rats). Given the extreme dose levels and the lack of replication (in any other study and in any other species), these findings are not regarded as human</w:t>
      </w:r>
      <w:r w:rsidR="00CD6540">
        <w:t xml:space="preserve"> </w:t>
      </w:r>
      <w:r w:rsidRPr="0032345E">
        <w:t>relevant under the proposed normal conditions of use of brivaracetam. Correlates in terms of possible endocrine disruptor effects were observed in male rats in the same study (male rat mammary gland feminisation, diminished secretory content of the male accessory sex glands; see below).</w:t>
      </w:r>
    </w:p>
    <w:p w:rsidR="00081579" w:rsidRPr="00B43EC8" w:rsidRDefault="00081579" w:rsidP="0032345E">
      <w:pPr>
        <w:pStyle w:val="Heading5"/>
      </w:pPr>
      <w:bookmarkStart w:id="92" w:name="_Toc450809107"/>
      <w:r w:rsidRPr="00B43EC8">
        <w:t>Effects in the male rat mammary gland</w:t>
      </w:r>
      <w:bookmarkEnd w:id="92"/>
    </w:p>
    <w:p w:rsidR="00376D5E" w:rsidRDefault="00081579" w:rsidP="0032345E">
      <w:r w:rsidRPr="0032345E">
        <w:t>In the rat 4 week oral (gavage) repeat daily exposure study, moderate to severe mammary gland feminisation was observed in 4/10 males treated with extreme doses (</w:t>
      </w:r>
      <w:r w:rsidR="00CD6540">
        <w:t xml:space="preserve">approximately </w:t>
      </w:r>
      <w:r w:rsidRPr="0032345E">
        <w:t xml:space="preserve">28X MRHD based on AUC comparisons). Given the extreme levels of exposure in this study and the lack of replication (in any other study and in any other species), these findings in the male rat mammary gland are not regarded as human-relevant under the proposed normal conditions of use of </w:t>
      </w:r>
      <w:proofErr w:type="spellStart"/>
      <w:r w:rsidRPr="0032345E">
        <w:t>brivaracetam</w:t>
      </w:r>
      <w:proofErr w:type="spellEnd"/>
      <w:r w:rsidR="00376D5E">
        <w:t>.</w:t>
      </w:r>
    </w:p>
    <w:p w:rsidR="00081579" w:rsidRPr="00B43EC8" w:rsidRDefault="00081579" w:rsidP="0032345E">
      <w:pPr>
        <w:pStyle w:val="Heading5"/>
      </w:pPr>
      <w:bookmarkStart w:id="93" w:name="_Toc450809108"/>
      <w:r w:rsidRPr="00B43EC8">
        <w:t>Effects on the male rat accessory sex glands</w:t>
      </w:r>
      <w:bookmarkEnd w:id="93"/>
    </w:p>
    <w:p w:rsidR="00376D5E" w:rsidRDefault="00081579" w:rsidP="0032345E">
      <w:r w:rsidRPr="0032345E">
        <w:t>In the rat 4 week oral (gavage) repeat daily exposure study, diminished secretory content was observed in the prostate and seminal vesicles of males administered extreme doses (</w:t>
      </w:r>
      <w:r w:rsidR="000D0D51">
        <w:t xml:space="preserve">approximately </w:t>
      </w:r>
      <w:r w:rsidRPr="0032345E">
        <w:t xml:space="preserve">28X MRHD based on AUC comparisons). Given the extreme levels of </w:t>
      </w:r>
      <w:r w:rsidRPr="0032345E">
        <w:lastRenderedPageBreak/>
        <w:t>exposure in this study and the lack of replication of these effects (in any other study and in any other species), these fin</w:t>
      </w:r>
      <w:r w:rsidR="000D0D51">
        <w:t xml:space="preserve">dings are not regarded as human </w:t>
      </w:r>
      <w:r w:rsidRPr="0032345E">
        <w:t xml:space="preserve">relevant under the proposed normal conditions of use of </w:t>
      </w:r>
      <w:proofErr w:type="spellStart"/>
      <w:r w:rsidRPr="0032345E">
        <w:t>brivaracetam</w:t>
      </w:r>
      <w:proofErr w:type="spellEnd"/>
      <w:r w:rsidR="00376D5E">
        <w:t>.</w:t>
      </w:r>
    </w:p>
    <w:p w:rsidR="00081579" w:rsidRPr="00B43EC8" w:rsidRDefault="00081579" w:rsidP="0032345E">
      <w:pPr>
        <w:pStyle w:val="Heading5"/>
      </w:pPr>
      <w:bookmarkStart w:id="94" w:name="_Toc450809109"/>
      <w:r w:rsidRPr="00B43EC8">
        <w:t>Neurobehavioral effects in sub-adult and adult animals</w:t>
      </w:r>
      <w:bookmarkEnd w:id="94"/>
    </w:p>
    <w:p w:rsidR="00081579" w:rsidRPr="00B43EC8" w:rsidRDefault="00081579" w:rsidP="0032345E">
      <w:pPr>
        <w:pStyle w:val="Heading6"/>
      </w:pPr>
      <w:r w:rsidRPr="00B43EC8">
        <w:t>Mice</w:t>
      </w:r>
    </w:p>
    <w:p w:rsidR="00376D5E" w:rsidRDefault="00081579" w:rsidP="0032345E">
      <w:r w:rsidRPr="0032345E">
        <w:t>High levels of repeated daily brivaracetam exposure (</w:t>
      </w:r>
      <w:r w:rsidR="000D0D51">
        <w:t xml:space="preserve">approximately </w:t>
      </w:r>
      <w:r w:rsidRPr="0032345E">
        <w:t>≥9X the MRHD based on AUC comparison) resulted in transient gait disturbances and general behavioural depression. The threshold dose for these effects could be substantially increased by slow dose escalation (escalating by 200 mg/kg/day in mice) then only observed at extreme doses far in excess of the human MRHD (based on AUC comparisons). There were no neuroanatomical correlates</w:t>
      </w:r>
      <w:r w:rsidR="00376D5E">
        <w:t>.</w:t>
      </w:r>
    </w:p>
    <w:p w:rsidR="00081579" w:rsidRPr="00B43EC8" w:rsidRDefault="00081579" w:rsidP="0032345E">
      <w:pPr>
        <w:pStyle w:val="Heading6"/>
      </w:pPr>
      <w:r w:rsidRPr="00B43EC8">
        <w:t>Rats</w:t>
      </w:r>
    </w:p>
    <w:p w:rsidR="00081579" w:rsidRPr="0032345E" w:rsidRDefault="00081579" w:rsidP="0032345E">
      <w:r w:rsidRPr="0032345E">
        <w:t>High levels of repeated</w:t>
      </w:r>
      <w:r w:rsidR="000D0D51">
        <w:t xml:space="preserve"> daily brivaracetam exposure (approximately ≥</w:t>
      </w:r>
      <w:r w:rsidRPr="0032345E">
        <w:t>17X the MRHD for 4 weeks of repeat daily oral exposure based on AUC comparison; ≥2X the MRHD for 26 weeks of repeat daily oral exposure based on AUC comparison) were required to produce transient non-spe</w:t>
      </w:r>
      <w:r w:rsidR="000D0D51">
        <w:t>cific neurobehavioral signs (for example,</w:t>
      </w:r>
      <w:r w:rsidRPr="0032345E">
        <w:t xml:space="preserve"> transient effects on gait; intermittent paddling) without neuroanatomical correlates.</w:t>
      </w:r>
    </w:p>
    <w:p w:rsidR="00081579" w:rsidRPr="00B43EC8" w:rsidRDefault="00081579" w:rsidP="0032345E">
      <w:pPr>
        <w:pStyle w:val="Heading6"/>
      </w:pPr>
      <w:r w:rsidRPr="00B43EC8">
        <w:t>Dogs</w:t>
      </w:r>
    </w:p>
    <w:p w:rsidR="00081579" w:rsidRPr="0032345E" w:rsidRDefault="00081579" w:rsidP="0032345E">
      <w:r w:rsidRPr="0032345E">
        <w:t>Transient incoordination, lethargy and gait disturbances were only observed</w:t>
      </w:r>
      <w:r w:rsidR="00C362D3">
        <w:t xml:space="preserve"> high levels of oral exposure (approximately </w:t>
      </w:r>
      <w:r w:rsidRPr="0032345E">
        <w:t>8X the MRHD based on AUC comparison) in the 4 week repeat gavage exposure study in dogs. There were no neuroanatomical correlates.</w:t>
      </w:r>
    </w:p>
    <w:p w:rsidR="00081579" w:rsidRPr="00B43EC8" w:rsidRDefault="00081579" w:rsidP="0032345E">
      <w:pPr>
        <w:pStyle w:val="Heading6"/>
      </w:pPr>
      <w:r w:rsidRPr="00B43EC8">
        <w:t>Overall risk of neurobehavioral effects</w:t>
      </w:r>
    </w:p>
    <w:p w:rsidR="00081579" w:rsidRPr="0032345E" w:rsidRDefault="00081579" w:rsidP="0032345E">
      <w:r w:rsidRPr="0032345E">
        <w:t xml:space="preserve">In animals high supra-therapeutic levels of brivaracetam exposure are required to produce transient effects on </w:t>
      </w:r>
      <w:proofErr w:type="spellStart"/>
      <w:r w:rsidRPr="0032345E">
        <w:t>neurobehaviour</w:t>
      </w:r>
      <w:proofErr w:type="spellEnd"/>
      <w:r w:rsidRPr="0032345E">
        <w:t>. These effects appear to be avoidable</w:t>
      </w:r>
      <w:r w:rsidR="00033777">
        <w:t xml:space="preserve"> by using dose escalation (that is, </w:t>
      </w:r>
      <w:r w:rsidRPr="0032345E">
        <w:t xml:space="preserve">allowing for metabolite </w:t>
      </w:r>
      <w:proofErr w:type="spellStart"/>
      <w:r w:rsidRPr="0032345E">
        <w:t>autoinduction</w:t>
      </w:r>
      <w:proofErr w:type="spellEnd"/>
      <w:r w:rsidRPr="0032345E">
        <w:t>/metabolic adaptation).</w:t>
      </w:r>
    </w:p>
    <w:p w:rsidR="00081579" w:rsidRPr="0032345E" w:rsidRDefault="00081579" w:rsidP="0032345E">
      <w:r w:rsidRPr="0032345E">
        <w:t>Overall, the risk to humans appears to be low to negligible.</w:t>
      </w:r>
    </w:p>
    <w:p w:rsidR="00081579" w:rsidRPr="00B43EC8" w:rsidRDefault="00081579" w:rsidP="0032345E">
      <w:pPr>
        <w:pStyle w:val="Heading5"/>
      </w:pPr>
      <w:bookmarkStart w:id="95" w:name="_Toc450809110"/>
      <w:r w:rsidRPr="00B43EC8">
        <w:t>Effects on the thymus</w:t>
      </w:r>
      <w:bookmarkEnd w:id="95"/>
    </w:p>
    <w:p w:rsidR="00081579" w:rsidRPr="00B43EC8" w:rsidRDefault="00081579" w:rsidP="0032345E">
      <w:pPr>
        <w:pStyle w:val="Heading6"/>
      </w:pPr>
      <w:r w:rsidRPr="00B43EC8">
        <w:t>Dog</w:t>
      </w:r>
    </w:p>
    <w:p w:rsidR="00376D5E" w:rsidRDefault="00081579" w:rsidP="0032345E">
      <w:r w:rsidRPr="0032345E">
        <w:t>Continuous infusion of brivaracetam for 4 weeks induced reduced thymus weight and minimal to moderate thymic atrophy. The NOAEL for this effect was 2X the MRHD</w:t>
      </w:r>
      <w:r w:rsidR="00376D5E">
        <w:t>.</w:t>
      </w:r>
    </w:p>
    <w:p w:rsidR="00081579" w:rsidRPr="0032345E" w:rsidRDefault="00081579" w:rsidP="0032345E">
      <w:r w:rsidRPr="0032345E">
        <w:t>Repeated oral treatment with brivaracetam from PND 4-31 in pups was also associated with reduced absolute and relative thymic weight and minimal thymic atrophy. The NOAEL for this effect was 15 mg/kg/day in the pups. It should be noted that brivaracetam is not intended for use in juveniles and children.</w:t>
      </w:r>
    </w:p>
    <w:p w:rsidR="00081579" w:rsidRPr="00B43EC8" w:rsidRDefault="00081579" w:rsidP="0032345E">
      <w:pPr>
        <w:pStyle w:val="Heading6"/>
      </w:pPr>
      <w:r w:rsidRPr="00B43EC8">
        <w:t>Overall risk in humans</w:t>
      </w:r>
    </w:p>
    <w:p w:rsidR="00081579" w:rsidRPr="0032345E" w:rsidRDefault="00081579" w:rsidP="0032345E">
      <w:r w:rsidRPr="0032345E">
        <w:t>Since the effects of brivaracetam on thymic weight and thymic atrophy in adult animals were relatively small and only observed at high multiples of the MRHD, the risk to humans is regarded as negligible. It should be noted that brivaracetam is not intended for use in children and juveniles. Accordingly</w:t>
      </w:r>
      <w:r w:rsidR="00CF2081">
        <w:t>,</w:t>
      </w:r>
      <w:r w:rsidRPr="0032345E">
        <w:t xml:space="preserve"> the findings in canine pups are currently not relevant to the proposed clinical indications of brivaracetam.</w:t>
      </w:r>
    </w:p>
    <w:p w:rsidR="00081579" w:rsidRPr="00B43EC8" w:rsidRDefault="00081579" w:rsidP="0032345E">
      <w:pPr>
        <w:pStyle w:val="Heading5"/>
      </w:pPr>
      <w:bookmarkStart w:id="96" w:name="_Toc450809111"/>
      <w:r w:rsidRPr="00B43EC8">
        <w:lastRenderedPageBreak/>
        <w:t>Genotoxicity</w:t>
      </w:r>
      <w:bookmarkEnd w:id="96"/>
    </w:p>
    <w:p w:rsidR="00376D5E" w:rsidRDefault="00081579" w:rsidP="0032345E">
      <w:r w:rsidRPr="0032345E">
        <w:t>The sponsor has presented a high quality data package that exceeds the standard test battery requirements.</w:t>
      </w:r>
      <w:r w:rsidR="00033777">
        <w:rPr>
          <w:rStyle w:val="FootnoteReference"/>
        </w:rPr>
        <w:footnoteReference w:id="8"/>
      </w:r>
      <w:r w:rsidRPr="0032345E">
        <w:t xml:space="preserve"> Where appropriate, the studies were validated by the use of positive controls. Brivaracetam did not induce bacterial reverse mutations, mammalian cell forward mutations or chromosomal aberrations in vitro. </w:t>
      </w:r>
      <w:proofErr w:type="spellStart"/>
      <w:r w:rsidRPr="0032345E">
        <w:t>Brivaracetam</w:t>
      </w:r>
      <w:proofErr w:type="spellEnd"/>
      <w:r w:rsidRPr="0032345E">
        <w:t xml:space="preserve"> is not </w:t>
      </w:r>
      <w:proofErr w:type="spellStart"/>
      <w:r w:rsidRPr="0032345E">
        <w:t>genotoxic</w:t>
      </w:r>
      <w:proofErr w:type="spellEnd"/>
      <w:r w:rsidRPr="0032345E">
        <w:t xml:space="preserve"> in vivo and did not induce mutations in </w:t>
      </w:r>
      <w:proofErr w:type="spellStart"/>
      <w:r w:rsidRPr="0032345E">
        <w:t>LacZ</w:t>
      </w:r>
      <w:proofErr w:type="spellEnd"/>
      <w:r w:rsidRPr="0032345E">
        <w:t xml:space="preserve"> transgenic mice or micronuclei in rats</w:t>
      </w:r>
      <w:r w:rsidR="00376D5E">
        <w:t>.</w:t>
      </w:r>
    </w:p>
    <w:p w:rsidR="00081579" w:rsidRDefault="00081579" w:rsidP="0032345E">
      <w:pPr>
        <w:pStyle w:val="Heading5"/>
      </w:pPr>
      <w:bookmarkStart w:id="97" w:name="_Toc450809112"/>
      <w:r>
        <w:t>Mode of action/mechanistic studies</w:t>
      </w:r>
      <w:bookmarkEnd w:id="97"/>
    </w:p>
    <w:p w:rsidR="00081579" w:rsidRPr="0032345E" w:rsidRDefault="00081579" w:rsidP="0032345E">
      <w:r w:rsidRPr="0032345E">
        <w:t xml:space="preserve">Repeated daily oral exposure of male rats to brivaracetam was associated with increased kidney alpha 2u-globulin. On an mg/mg oral dose basis, brivaracetam induced </w:t>
      </w:r>
      <w:r w:rsidR="00C203DB">
        <w:t xml:space="preserve">approximately </w:t>
      </w:r>
      <w:r w:rsidRPr="0032345E">
        <w:t xml:space="preserve">1.5-3X the amount of kidney alpha 2u-globulin than d-limonene (a classical inducer of renal alpha 2u-globulin and P2 segment renal proximal tubule hyaline droplet </w:t>
      </w:r>
      <w:proofErr w:type="spellStart"/>
      <w:r w:rsidRPr="0032345E">
        <w:t>nephrosis</w:t>
      </w:r>
      <w:proofErr w:type="spellEnd"/>
      <w:r w:rsidRPr="0032345E">
        <w:t xml:space="preserve"> in male rats). The level of kidney alpha 2u-globulin in males was closely correlated with the extent of renal proximal tubular hyaline droplet </w:t>
      </w:r>
      <w:proofErr w:type="spellStart"/>
      <w:r w:rsidRPr="0032345E">
        <w:t>nephrosis</w:t>
      </w:r>
      <w:proofErr w:type="spellEnd"/>
      <w:r w:rsidRPr="0032345E">
        <w:t xml:space="preserve"> present. Neither effect was present in female rats. These studies provided a clear mode of action basis for the brivaracetam-associated renal proximal tubular hyaline droplet </w:t>
      </w:r>
      <w:proofErr w:type="spellStart"/>
      <w:r w:rsidRPr="0032345E">
        <w:t>nephrosis</w:t>
      </w:r>
      <w:proofErr w:type="spellEnd"/>
      <w:r w:rsidRPr="0032345E">
        <w:t xml:space="preserve"> and associated chronic progressive nephropathy that was observed in male rats. These effects are not regarded as human-relevant.</w:t>
      </w:r>
    </w:p>
    <w:p w:rsidR="00081579" w:rsidRPr="0032345E" w:rsidRDefault="00081579" w:rsidP="0032345E">
      <w:r w:rsidRPr="0032345E">
        <w:t xml:space="preserve">More detailed evaluation of the effects on the clitoral, preputial and </w:t>
      </w:r>
      <w:proofErr w:type="spellStart"/>
      <w:r w:rsidRPr="0032345E">
        <w:t>Zymbal’s</w:t>
      </w:r>
      <w:proofErr w:type="spellEnd"/>
      <w:r w:rsidRPr="0032345E">
        <w:t xml:space="preserve"> glands were performed due to the propensity for brivaracetam to accumulate at these sites. No adverse effects were noted and these structures are not present in humans; accordingly the risk is regarded as negligible.</w:t>
      </w:r>
    </w:p>
    <w:p w:rsidR="00081579" w:rsidRDefault="00081579" w:rsidP="0032345E">
      <w:pPr>
        <w:pStyle w:val="Heading5"/>
      </w:pPr>
      <w:bookmarkStart w:id="98" w:name="_Toc450809113"/>
      <w:r>
        <w:t>Carcinogenesis</w:t>
      </w:r>
      <w:bookmarkEnd w:id="98"/>
    </w:p>
    <w:p w:rsidR="00081579" w:rsidRPr="00B43EC8" w:rsidRDefault="00081579" w:rsidP="0032345E">
      <w:pPr>
        <w:pStyle w:val="Heading6"/>
      </w:pPr>
      <w:r w:rsidRPr="00B43EC8">
        <w:t>Mice</w:t>
      </w:r>
    </w:p>
    <w:p w:rsidR="00081579" w:rsidRPr="0032345E" w:rsidRDefault="00081579" w:rsidP="0032345E">
      <w:r w:rsidRPr="0032345E">
        <w:t>Dose</w:t>
      </w:r>
      <w:r w:rsidR="00CF0DA4">
        <w:t xml:space="preserve"> </w:t>
      </w:r>
      <w:r w:rsidRPr="0032345E">
        <w:t xml:space="preserve">related increases in hepatic adenomas and carcinomas were observed in male mice at the 2 highest doses tested (550 and 700 mg/kg/day), associated with respective plasma exposures (AUC) of 2 and 4 times clinical exposure at the MRHD. At the no-effect dose (400 mg/kg/day), plasma AUC exposure was similar to clinical exposure at the MRHD. These hepatic tumour findings are consistent with the detection of altered hepatic foci in shorter duration studies, are almost certainly secondary to hepatic </w:t>
      </w:r>
      <w:proofErr w:type="spellStart"/>
      <w:r w:rsidRPr="0032345E">
        <w:t>autoinduction</w:t>
      </w:r>
      <w:proofErr w:type="spellEnd"/>
      <w:r w:rsidRPr="0032345E">
        <w:t xml:space="preserve"> and are not regarded as being human</w:t>
      </w:r>
      <w:r w:rsidR="00CF2081">
        <w:t xml:space="preserve"> </w:t>
      </w:r>
      <w:r w:rsidRPr="0032345E">
        <w:t>relevant.</w:t>
      </w:r>
    </w:p>
    <w:p w:rsidR="00081579" w:rsidRPr="0032345E" w:rsidRDefault="00081579" w:rsidP="0032345E">
      <w:r w:rsidRPr="0032345E">
        <w:t xml:space="preserve">In the mouse </w:t>
      </w:r>
      <w:r w:rsidR="00DF7AD1">
        <w:t>near life</w:t>
      </w:r>
      <w:r w:rsidRPr="0032345E">
        <w:t xml:space="preserve">time carcinogenesis study, small incidence of benign </w:t>
      </w:r>
      <w:proofErr w:type="spellStart"/>
      <w:r w:rsidRPr="0032345E">
        <w:t>luteomas</w:t>
      </w:r>
      <w:proofErr w:type="spellEnd"/>
      <w:r w:rsidRPr="0032345E">
        <w:t xml:space="preserve"> and benign </w:t>
      </w:r>
      <w:proofErr w:type="spellStart"/>
      <w:r w:rsidRPr="0032345E">
        <w:t>sertoli</w:t>
      </w:r>
      <w:proofErr w:type="spellEnd"/>
      <w:r w:rsidRPr="0032345E">
        <w:t xml:space="preserve"> cell tumours in females treated at &gt;1X the MRHD resulted in a statistically significant (p &lt;0.05) positive trend (notably there was no overall statistically significant difference (p &gt;0.05) between the brivaracetam exposed groups and the control. The incidence of benign </w:t>
      </w:r>
      <w:proofErr w:type="spellStart"/>
      <w:r w:rsidRPr="0032345E">
        <w:t>lu</w:t>
      </w:r>
      <w:r w:rsidR="00CF0DA4">
        <w:t>teomas</w:t>
      </w:r>
      <w:proofErr w:type="spellEnd"/>
      <w:r w:rsidR="00CF0DA4">
        <w:t xml:space="preserve"> observed in this study (approximately </w:t>
      </w:r>
      <w:r w:rsidRPr="0032345E">
        <w:t xml:space="preserve">6.6%) is only slightly higher than the maximum historical background incidence (5%). In the absence of other significant alterations in the female reproductive tract and an absence of these </w:t>
      </w:r>
      <w:proofErr w:type="spellStart"/>
      <w:r w:rsidRPr="0032345E">
        <w:t>neoplasias</w:t>
      </w:r>
      <w:proofErr w:type="spellEnd"/>
      <w:r w:rsidRPr="0032345E">
        <w:t xml:space="preserve"> in the chronic rat study, th</w:t>
      </w:r>
      <w:r w:rsidR="00CF0DA4">
        <w:t xml:space="preserve">e findings regarding hormonally </w:t>
      </w:r>
      <w:r w:rsidRPr="0032345E">
        <w:t xml:space="preserve">influenced benign </w:t>
      </w:r>
      <w:proofErr w:type="spellStart"/>
      <w:r w:rsidRPr="0032345E">
        <w:t>luteomas</w:t>
      </w:r>
      <w:proofErr w:type="spellEnd"/>
      <w:r w:rsidRPr="0032345E">
        <w:t xml:space="preserve"> are unlikely to be of human risk assessment importance. Furthermore, given that brivaracetam and its metabolites are not overt DNA</w:t>
      </w:r>
      <w:r w:rsidR="00CF0DA4">
        <w:t xml:space="preserve"> i</w:t>
      </w:r>
      <w:r w:rsidRPr="0032345E">
        <w:t>nteractive classical mutagens, a threshold “non-</w:t>
      </w:r>
      <w:proofErr w:type="spellStart"/>
      <w:r w:rsidRPr="0032345E">
        <w:t>genotoxic</w:t>
      </w:r>
      <w:proofErr w:type="spellEnd"/>
      <w:r w:rsidRPr="0032345E">
        <w:t xml:space="preserve">” mode of action is likely for these </w:t>
      </w:r>
      <w:proofErr w:type="spellStart"/>
      <w:r w:rsidRPr="0032345E">
        <w:t>neoplasias</w:t>
      </w:r>
      <w:proofErr w:type="spellEnd"/>
      <w:r w:rsidRPr="0032345E">
        <w:t>.</w:t>
      </w:r>
    </w:p>
    <w:p w:rsidR="00376D5E" w:rsidRDefault="004D250D" w:rsidP="0032345E">
      <w:r>
        <w:t xml:space="preserve">The incidence (approximately </w:t>
      </w:r>
      <w:r w:rsidR="00081579" w:rsidRPr="0032345E">
        <w:t xml:space="preserve">5%) of benign </w:t>
      </w:r>
      <w:proofErr w:type="spellStart"/>
      <w:r w:rsidR="00081579" w:rsidRPr="0032345E">
        <w:t>sertoli</w:t>
      </w:r>
      <w:proofErr w:type="spellEnd"/>
      <w:r w:rsidR="00081579" w:rsidRPr="0032345E">
        <w:t xml:space="preserve"> cell tumours observed in females treated at ≥1X the MRHD was &gt;2X the normal maximum historical background incidence (2%) for this type of neoplasia. Accordingly</w:t>
      </w:r>
      <w:r w:rsidR="007D2A24">
        <w:t>,</w:t>
      </w:r>
      <w:r w:rsidR="00081579" w:rsidRPr="0032345E">
        <w:t xml:space="preserve"> this is regarded as a positive trend towards this form of neoplasia. Again, this form of neoplasia is hormonally influenced in mice. No hormonal effects on the female reproductive tract were noted in this study. In the absence </w:t>
      </w:r>
      <w:r w:rsidR="00081579" w:rsidRPr="0032345E">
        <w:lastRenderedPageBreak/>
        <w:t xml:space="preserve">of other significant alterations in the female reproductive tract and an absence of these </w:t>
      </w:r>
      <w:proofErr w:type="spellStart"/>
      <w:r w:rsidR="00081579" w:rsidRPr="0032345E">
        <w:t>neoplasias</w:t>
      </w:r>
      <w:proofErr w:type="spellEnd"/>
      <w:r w:rsidR="00081579" w:rsidRPr="0032345E">
        <w:t xml:space="preserve"> in the chronic rat study, the findings regarding hormonally</w:t>
      </w:r>
      <w:r w:rsidR="007D2A24">
        <w:t xml:space="preserve"> </w:t>
      </w:r>
      <w:r w:rsidR="00081579" w:rsidRPr="0032345E">
        <w:t xml:space="preserve">influenced benign </w:t>
      </w:r>
      <w:proofErr w:type="spellStart"/>
      <w:r w:rsidR="00081579" w:rsidRPr="0032345E">
        <w:t>luteomas</w:t>
      </w:r>
      <w:proofErr w:type="spellEnd"/>
      <w:r w:rsidR="00081579" w:rsidRPr="0032345E">
        <w:t xml:space="preserve"> are unlikely to be of human risk assessment importance. Additionally, brivaracetam and its metabolites are not overt DNA</w:t>
      </w:r>
      <w:r w:rsidR="007D2A24">
        <w:t xml:space="preserve"> </w:t>
      </w:r>
      <w:r w:rsidR="00081579" w:rsidRPr="0032345E">
        <w:t>interactive classical mutagens. Accordingly a threshold “non-</w:t>
      </w:r>
      <w:proofErr w:type="spellStart"/>
      <w:r w:rsidR="00081579" w:rsidRPr="0032345E">
        <w:t>genotoxic</w:t>
      </w:r>
      <w:proofErr w:type="spellEnd"/>
      <w:r w:rsidR="00081579" w:rsidRPr="0032345E">
        <w:t>” mode of action is likely</w:t>
      </w:r>
      <w:r w:rsidR="00376D5E">
        <w:t>.</w:t>
      </w:r>
    </w:p>
    <w:p w:rsidR="00376D5E" w:rsidRDefault="00081579" w:rsidP="0032345E">
      <w:r w:rsidRPr="0032345E">
        <w:t>Overall the human risk of female reproductive tract neoplasia associated with the proposed clinical use of brivaracetam appears to be low and the human relevance of the findings in mice is uncertain</w:t>
      </w:r>
      <w:r w:rsidR="00376D5E">
        <w:t>.</w:t>
      </w:r>
    </w:p>
    <w:p w:rsidR="00081579" w:rsidRPr="00B43EC8" w:rsidRDefault="00081579" w:rsidP="0032345E">
      <w:pPr>
        <w:pStyle w:val="Heading6"/>
      </w:pPr>
      <w:r w:rsidRPr="00B43EC8">
        <w:t>Rats</w:t>
      </w:r>
    </w:p>
    <w:p w:rsidR="00376D5E" w:rsidRDefault="007D2A24" w:rsidP="0032345E">
      <w:r>
        <w:t>High levels (approximately ≥</w:t>
      </w:r>
      <w:r w:rsidR="00081579" w:rsidRPr="0032345E">
        <w:t>17X the MRHD based on AUC comparison) of repeated daily oral exposure of adult rats to brivaracetam for a 4 week period resulted in small reductions in thymus weight in the absence of anatomic pathological correlates</w:t>
      </w:r>
      <w:r w:rsidR="00376D5E">
        <w:t>.</w:t>
      </w:r>
    </w:p>
    <w:p w:rsidR="00376D5E" w:rsidRDefault="00081579" w:rsidP="0032345E">
      <w:r w:rsidRPr="0032345E">
        <w:t xml:space="preserve">In the rat carcinogenesis study, benign </w:t>
      </w:r>
      <w:proofErr w:type="spellStart"/>
      <w:r w:rsidRPr="0032345E">
        <w:t>thymoma</w:t>
      </w:r>
      <w:proofErr w:type="spellEnd"/>
      <w:r w:rsidRPr="0032345E">
        <w:t xml:space="preserve"> displayed a significant trend (p &lt;0.001) compared with controls as a result of a significantly (p &lt;0.01) higher </w:t>
      </w:r>
      <w:r w:rsidR="007D2A24">
        <w:t>incidence in females dosed at approximately ≥</w:t>
      </w:r>
      <w:r w:rsidRPr="0032345E">
        <w:t xml:space="preserve">9X the MRHD based on AUC comparison (p&lt;0.01). The historical incidence for benign </w:t>
      </w:r>
      <w:proofErr w:type="spellStart"/>
      <w:r w:rsidRPr="0032345E">
        <w:t>thymomas</w:t>
      </w:r>
      <w:proofErr w:type="spellEnd"/>
      <w:r w:rsidRPr="0032345E">
        <w:t xml:space="preserve"> for the Charles River Edinburgh facility (provided in response to a S</w:t>
      </w:r>
      <w:r w:rsidR="00355079">
        <w:t xml:space="preserve">ection </w:t>
      </w:r>
      <w:r w:rsidRPr="0032345E">
        <w:t>31 question) a maximum of 10%. Thus</w:t>
      </w:r>
      <w:r w:rsidR="00FC6DB5">
        <w:t>,</w:t>
      </w:r>
      <w:r w:rsidRPr="0032345E">
        <w:t xml:space="preserve"> the incidence of benign </w:t>
      </w:r>
      <w:proofErr w:type="spellStart"/>
      <w:r w:rsidRPr="0032345E">
        <w:t>thymoma</w:t>
      </w:r>
      <w:proofErr w:type="spellEnd"/>
      <w:r w:rsidRPr="0032345E">
        <w:t xml:space="preserve"> observed in females exposed at 9X the MRHD (11/50</w:t>
      </w:r>
      <w:r w:rsidR="00024A4B">
        <w:t xml:space="preserve"> = 22%) is approximately</w:t>
      </w:r>
      <w:r w:rsidR="00024A4B" w:rsidRPr="0032345E">
        <w:t xml:space="preserve"> </w:t>
      </w:r>
      <w:r w:rsidRPr="0032345E">
        <w:t>2X higher than the historical control incidence and the inciden</w:t>
      </w:r>
      <w:r w:rsidR="00024A4B">
        <w:t>ce observed females treated at approximately</w:t>
      </w:r>
      <w:r w:rsidR="00024A4B" w:rsidRPr="0032345E">
        <w:t xml:space="preserve"> </w:t>
      </w:r>
      <w:r w:rsidRPr="0032345E">
        <w:t>8X the MRHD (5/50= 10%) is the same as the maximum historical control incidence</w:t>
      </w:r>
      <w:r w:rsidR="00376D5E">
        <w:t>.</w:t>
      </w:r>
    </w:p>
    <w:p w:rsidR="00376D5E" w:rsidRDefault="00081579" w:rsidP="0032345E">
      <w:r w:rsidRPr="0032345E">
        <w:t xml:space="preserve">The available background historical control data supports a positive carcinogenesis finding for </w:t>
      </w:r>
      <w:proofErr w:type="spellStart"/>
      <w:r w:rsidRPr="0032345E">
        <w:t>brivaracetam</w:t>
      </w:r>
      <w:proofErr w:type="spellEnd"/>
      <w:r w:rsidR="00024A4B">
        <w:t xml:space="preserve"> </w:t>
      </w:r>
      <w:r w:rsidRPr="0032345E">
        <w:t xml:space="preserve">associated benign </w:t>
      </w:r>
      <w:proofErr w:type="spellStart"/>
      <w:r w:rsidRPr="0032345E">
        <w:t>thymoma</w:t>
      </w:r>
      <w:proofErr w:type="spellEnd"/>
      <w:r w:rsidRPr="0032345E">
        <w:t xml:space="preserve"> in female rats following exposure to 9X the MRHD</w:t>
      </w:r>
      <w:r w:rsidR="00376D5E">
        <w:t>.</w:t>
      </w:r>
    </w:p>
    <w:p w:rsidR="00081579" w:rsidRPr="0032345E" w:rsidRDefault="00081579" w:rsidP="0032345E">
      <w:r w:rsidRPr="0032345E">
        <w:t xml:space="preserve">Based on the historical control data, the NOAEL for the effect in female rats is </w:t>
      </w:r>
      <w:r w:rsidR="00FC6DB5">
        <w:t>approximately</w:t>
      </w:r>
      <w:r w:rsidR="00FC6DB5" w:rsidRPr="0032345E">
        <w:t xml:space="preserve"> </w:t>
      </w:r>
      <w:r w:rsidRPr="0032345E">
        <w:t>8X the MRHD. Given the likely threshold “non-</w:t>
      </w:r>
      <w:proofErr w:type="spellStart"/>
      <w:r w:rsidRPr="0032345E">
        <w:t>genotoxic</w:t>
      </w:r>
      <w:proofErr w:type="spellEnd"/>
      <w:r w:rsidRPr="0032345E">
        <w:t>” mode of action and the failure to replicate thymic ne</w:t>
      </w:r>
      <w:r w:rsidR="00024A4B">
        <w:t xml:space="preserve">oplasia in second species (that is, </w:t>
      </w:r>
      <w:r w:rsidRPr="0032345E">
        <w:t>in mice), the NOAEL in rats is regarded as being adequately protective of human health.</w:t>
      </w:r>
    </w:p>
    <w:p w:rsidR="0032345E" w:rsidRPr="00B43EC8" w:rsidRDefault="0032345E" w:rsidP="0032345E">
      <w:pPr>
        <w:pStyle w:val="Heading5"/>
      </w:pPr>
      <w:bookmarkStart w:id="99" w:name="_Toc450809114"/>
      <w:r>
        <w:t>Overall c</w:t>
      </w:r>
      <w:r w:rsidRPr="00B43EC8">
        <w:t>onclusions</w:t>
      </w:r>
      <w:bookmarkEnd w:id="99"/>
    </w:p>
    <w:p w:rsidR="00376D5E" w:rsidRDefault="0032345E" w:rsidP="0032345E">
      <w:r w:rsidRPr="0032345E">
        <w:t>Ove</w:t>
      </w:r>
      <w:r w:rsidR="00E26872">
        <w:t xml:space="preserve">rall, treatment of </w:t>
      </w:r>
      <w:proofErr w:type="gramStart"/>
      <w:r w:rsidR="00E26872">
        <w:t>human</w:t>
      </w:r>
      <w:r w:rsidRPr="0032345E">
        <w:t>s</w:t>
      </w:r>
      <w:proofErr w:type="gramEnd"/>
      <w:r w:rsidRPr="0032345E">
        <w:t xml:space="preserve"> ≥16 years of age with brivaracetam at the anticipated MRHD presents a low nonclinical toxicological risk based on the available nonclinical data</w:t>
      </w:r>
      <w:r w:rsidR="00376D5E">
        <w:t>.</w:t>
      </w:r>
    </w:p>
    <w:p w:rsidR="0032345E" w:rsidRPr="00B43EC8" w:rsidRDefault="0032345E" w:rsidP="0032345E">
      <w:pPr>
        <w:pStyle w:val="Heading5"/>
      </w:pPr>
      <w:bookmarkStart w:id="100" w:name="_Toc450809115"/>
      <w:r w:rsidRPr="00B43EC8">
        <w:t xml:space="preserve">Major toxicological properties of </w:t>
      </w:r>
      <w:r>
        <w:t>ucb-</w:t>
      </w:r>
      <w:r w:rsidRPr="00B43EC8">
        <w:t>107092-1</w:t>
      </w:r>
      <w:bookmarkEnd w:id="100"/>
    </w:p>
    <w:p w:rsidR="0032345E" w:rsidRPr="0032345E" w:rsidRDefault="0032345E" w:rsidP="0032345E">
      <w:r w:rsidRPr="0032345E">
        <w:t>Separate toxicology studies were performed on ucb-107092-1, a major human metabolite of brivaracetam in patients with renal dysfunction, due to: (a) its propensity for greatly increased plasma AUC in human patients with significant renal dysfunction; and (b) the difficulty in achieving adequate ucb-107092-1 exposure to account for the pharmacokinetic situation in humans with impaired renal function in animals dosed with brivaracetam. High levels of exposure, relative to the proposed human exposure level, were achieved in the nonclinical studies (see above).</w:t>
      </w:r>
    </w:p>
    <w:p w:rsidR="0032345E" w:rsidRPr="00B43EC8" w:rsidRDefault="0032345E" w:rsidP="0032345E">
      <w:pPr>
        <w:pStyle w:val="Heading5"/>
      </w:pPr>
      <w:bookmarkStart w:id="101" w:name="_Toc450809116"/>
      <w:r w:rsidRPr="00B43EC8">
        <w:t>Acute toxicity</w:t>
      </w:r>
      <w:bookmarkEnd w:id="101"/>
    </w:p>
    <w:p w:rsidR="0032345E" w:rsidRPr="0032345E" w:rsidRDefault="0032345E" w:rsidP="0032345E">
      <w:proofErr w:type="gramStart"/>
      <w:r w:rsidRPr="0032345E">
        <w:t>ucb-107092-1</w:t>
      </w:r>
      <w:proofErr w:type="gramEnd"/>
      <w:r w:rsidRPr="0032345E">
        <w:t xml:space="preserve"> displays very low acute toxicity (NOEL ≥10000 mg/kg for 24h continuous IV infusion; the maximum practicable IV infusible dose) in rats. The toxicologically conservative NOAEL for 14 days of con</w:t>
      </w:r>
      <w:r w:rsidR="008F54B2">
        <w:t>tinuous IV infusion in rats is approximately</w:t>
      </w:r>
      <w:r w:rsidR="008F54B2" w:rsidRPr="0032345E">
        <w:t xml:space="preserve"> </w:t>
      </w:r>
      <w:r w:rsidRPr="0032345E">
        <w:t>9X the exposure to human patients with severe renal compromise treated with the MRHD of brivaracetam. The major effects observed in the 14 day rat IV infusion study related to minimal hepatotoxicity.</w:t>
      </w:r>
    </w:p>
    <w:p w:rsidR="0032345E" w:rsidRPr="0032345E" w:rsidRDefault="0032345E" w:rsidP="0032345E">
      <w:r w:rsidRPr="0032345E">
        <w:lastRenderedPageBreak/>
        <w:t>No adverse effects attributable to ucb-107092-1 were detected in beagles in a 24h continuous IV infusion ascending dose study (up to the maximum practicable IV dose of 5282 mg/kg).</w:t>
      </w:r>
    </w:p>
    <w:p w:rsidR="0032345E" w:rsidRPr="00B43EC8" w:rsidRDefault="0032345E" w:rsidP="0032345E">
      <w:pPr>
        <w:pStyle w:val="Heading5"/>
      </w:pPr>
      <w:bookmarkStart w:id="102" w:name="_Toc450809117"/>
      <w:proofErr w:type="spellStart"/>
      <w:r w:rsidRPr="00B43EC8">
        <w:t>Subchronic</w:t>
      </w:r>
      <w:proofErr w:type="spellEnd"/>
      <w:r w:rsidRPr="00B43EC8">
        <w:t xml:space="preserve"> toxicity</w:t>
      </w:r>
      <w:bookmarkEnd w:id="102"/>
    </w:p>
    <w:p w:rsidR="00376D5E" w:rsidRDefault="0032345E" w:rsidP="0032345E">
      <w:r w:rsidRPr="0032345E">
        <w:t>13 weeks of continuous IV infusion</w:t>
      </w:r>
      <w:r w:rsidR="0075512B">
        <w:t xml:space="preserve"> of rats with ucb-107092-1 at approximately ≥</w:t>
      </w:r>
      <w:r w:rsidRPr="0032345E">
        <w:t xml:space="preserve">7.5X the maximum anticipated exposure levels in humans with significant renal compromise were associated with small, but statistically significant (p &lt;0.05) reductions in blood haemoglobin, erythrocyte count and haematocrit, although values remained within the normal biological ranges. These effects were also accompanied by a </w:t>
      </w:r>
      <w:proofErr w:type="spellStart"/>
      <w:r w:rsidRPr="0032345E">
        <w:t>reticulocytosis</w:t>
      </w:r>
      <w:proofErr w:type="spellEnd"/>
      <w:r w:rsidRPr="0032345E">
        <w:t xml:space="preserve"> and the effects were reversible upon the cessation of exposure. Overall</w:t>
      </w:r>
      <w:r w:rsidR="005D387A">
        <w:t>,</w:t>
      </w:r>
      <w:r w:rsidRPr="0032345E">
        <w:t xml:space="preserve"> the effects a</w:t>
      </w:r>
      <w:r w:rsidR="0075512B">
        <w:t xml:space="preserve">re regarded as subclinical (that is, </w:t>
      </w:r>
      <w:r w:rsidR="00EB215B">
        <w:t>non-</w:t>
      </w:r>
      <w:r w:rsidR="00EB215B" w:rsidRPr="0032345E">
        <w:t>adverse</w:t>
      </w:r>
      <w:r w:rsidRPr="0032345E">
        <w:t>)</w:t>
      </w:r>
      <w:r w:rsidR="00376D5E">
        <w:t>.</w:t>
      </w:r>
    </w:p>
    <w:p w:rsidR="0032345E" w:rsidRPr="0032345E" w:rsidRDefault="0032345E" w:rsidP="0032345E">
      <w:r w:rsidRPr="0032345E">
        <w:t>Evidence of secondary systemic inflammation was noted in the study. These effects were regarded as being secondary to the infusion procedure and not test article-related.</w:t>
      </w:r>
    </w:p>
    <w:p w:rsidR="0032345E" w:rsidRPr="0032345E" w:rsidRDefault="005D387A" w:rsidP="0032345E">
      <w:r>
        <w:t>The NOAEL for the study was approximately ≥</w:t>
      </w:r>
      <w:r w:rsidR="0032345E" w:rsidRPr="0032345E">
        <w:t>34X the exposure to human patients with severe renal compromise treated with the MRHD of brivaracetam.</w:t>
      </w:r>
    </w:p>
    <w:p w:rsidR="0032345E" w:rsidRPr="0032345E" w:rsidRDefault="0032345E" w:rsidP="0032345E">
      <w:pPr>
        <w:pStyle w:val="Heading5"/>
      </w:pPr>
      <w:bookmarkStart w:id="103" w:name="_Toc450809118"/>
      <w:r w:rsidRPr="0032345E">
        <w:t>Genotoxicity</w:t>
      </w:r>
      <w:bookmarkEnd w:id="103"/>
    </w:p>
    <w:p w:rsidR="0032345E" w:rsidRPr="0032345E" w:rsidRDefault="0032345E" w:rsidP="0032345E">
      <w:proofErr w:type="gramStart"/>
      <w:r w:rsidRPr="0032345E">
        <w:t>ucb-107092-1</w:t>
      </w:r>
      <w:proofErr w:type="gramEnd"/>
      <w:r w:rsidRPr="0032345E">
        <w:t xml:space="preserve"> did not induce reverse mutations in bacteria or forward mutations in mammalian cells in vitro and did not induce micronuclei in the in vivo rat bone marrow micronucleus test. The validity of the tests was confirmed by the use of positive control.</w:t>
      </w:r>
    </w:p>
    <w:p w:rsidR="0032345E" w:rsidRPr="00B43EC8" w:rsidRDefault="0032345E" w:rsidP="0032345E">
      <w:pPr>
        <w:pStyle w:val="Heading5"/>
      </w:pPr>
      <w:bookmarkStart w:id="104" w:name="_Toc450809119"/>
      <w:proofErr w:type="spellStart"/>
      <w:r w:rsidRPr="00B43EC8">
        <w:t>Fetal</w:t>
      </w:r>
      <w:proofErr w:type="spellEnd"/>
      <w:r w:rsidRPr="00B43EC8">
        <w:t xml:space="preserve"> development</w:t>
      </w:r>
      <w:bookmarkEnd w:id="104"/>
    </w:p>
    <w:p w:rsidR="00376D5E" w:rsidRDefault="0032345E" w:rsidP="0032345E">
      <w:r w:rsidRPr="0032345E">
        <w:t>No maternal toxicity or adverse effects on f</w:t>
      </w:r>
      <w:r w:rsidR="00C51D38">
        <w:t>o</w:t>
      </w:r>
      <w:r w:rsidRPr="0032345E">
        <w:t xml:space="preserve">etal development were noted after continuous IV infusion of ucb-107092-1 to pregnant female rats from </w:t>
      </w:r>
      <w:r w:rsidR="00D90F36">
        <w:t>gestational day (</w:t>
      </w:r>
      <w:r w:rsidRPr="0032345E">
        <w:t>GD</w:t>
      </w:r>
      <w:r w:rsidR="00D90F36">
        <w:t xml:space="preserve">) </w:t>
      </w:r>
      <w:r w:rsidRPr="0032345E">
        <w:t>6-17 at doses up to 1000 mg/kg/day,</w:t>
      </w:r>
      <w:r w:rsidR="00670907">
        <w:t xml:space="preserve"> associated with average steady </w:t>
      </w:r>
      <w:r w:rsidRPr="0032345E">
        <w:t xml:space="preserve">state plasma concentration </w:t>
      </w:r>
      <w:proofErr w:type="gramStart"/>
      <w:r w:rsidRPr="0032345E">
        <w:t>of up to 33.8 µg/</w:t>
      </w:r>
      <w:proofErr w:type="spellStart"/>
      <w:r w:rsidRPr="0032345E">
        <w:t>mL</w:t>
      </w:r>
      <w:proofErr w:type="gramEnd"/>
      <w:r w:rsidRPr="0032345E">
        <w:t>.</w:t>
      </w:r>
      <w:proofErr w:type="spellEnd"/>
      <w:r w:rsidRPr="0032345E">
        <w:t xml:space="preserve"> This value</w:t>
      </w:r>
      <w:r w:rsidR="00C51D38">
        <w:t xml:space="preserve"> is approximately 450X the clinical plasma Cm</w:t>
      </w:r>
      <w:r w:rsidRPr="0032345E">
        <w:t xml:space="preserve">ax of ucb-107092-1 following a 200 mg PO dose in healthy subjects, and </w:t>
      </w:r>
      <w:r w:rsidR="00C51D38">
        <w:t>approximately</w:t>
      </w:r>
      <w:r w:rsidR="00C51D38" w:rsidRPr="0032345E">
        <w:t xml:space="preserve"> </w:t>
      </w:r>
      <w:r w:rsidR="00D90F36">
        <w:t>39X the clinical plasma Cm</w:t>
      </w:r>
      <w:r w:rsidRPr="0032345E">
        <w:t xml:space="preserve">ax of ucb-107092-1 following a 200 mg PO dose in </w:t>
      </w:r>
      <w:proofErr w:type="spellStart"/>
      <w:r w:rsidRPr="0032345E">
        <w:t>renally</w:t>
      </w:r>
      <w:proofErr w:type="spellEnd"/>
      <w:r w:rsidRPr="0032345E">
        <w:t xml:space="preserve"> impaired subjects</w:t>
      </w:r>
      <w:r w:rsidR="00376D5E">
        <w:t>.</w:t>
      </w:r>
    </w:p>
    <w:p w:rsidR="0032345E" w:rsidRPr="00B43EC8" w:rsidRDefault="0032345E" w:rsidP="0032345E">
      <w:pPr>
        <w:pStyle w:val="Heading5"/>
      </w:pPr>
      <w:bookmarkStart w:id="105" w:name="_Toc450809120"/>
      <w:r w:rsidRPr="00B43EC8">
        <w:t>Overall conclusions</w:t>
      </w:r>
      <w:bookmarkEnd w:id="105"/>
    </w:p>
    <w:p w:rsidR="0032345E" w:rsidRPr="0032345E" w:rsidRDefault="0032345E" w:rsidP="0032345E">
      <w:proofErr w:type="gramStart"/>
      <w:r w:rsidRPr="0032345E">
        <w:t>ucb-107092-1</w:t>
      </w:r>
      <w:proofErr w:type="gramEnd"/>
      <w:r w:rsidRPr="0032345E">
        <w:t xml:space="preserve"> presents a low nonclinical toxicological risk in normal patients and patients with substantial renal compromise under the proposed conditions of clinical use of brivaracetam.</w:t>
      </w:r>
    </w:p>
    <w:p w:rsidR="0032345E" w:rsidRPr="00B43EC8" w:rsidRDefault="0032345E" w:rsidP="0032345E">
      <w:pPr>
        <w:pStyle w:val="Heading5"/>
      </w:pPr>
      <w:bookmarkStart w:id="106" w:name="_Toc450809121"/>
      <w:r w:rsidRPr="00B43EC8">
        <w:t xml:space="preserve">Major toxicological properties of </w:t>
      </w:r>
      <w:r>
        <w:t>ucb-</w:t>
      </w:r>
      <w:r w:rsidRPr="00B43EC8">
        <w:t>34713 (</w:t>
      </w:r>
      <w:proofErr w:type="spellStart"/>
      <w:r w:rsidRPr="00B43EC8">
        <w:t>diastereoisomer</w:t>
      </w:r>
      <w:proofErr w:type="spellEnd"/>
      <w:r w:rsidRPr="00B43EC8">
        <w:t xml:space="preserve"> of </w:t>
      </w:r>
      <w:proofErr w:type="spellStart"/>
      <w:r w:rsidRPr="00B43EC8">
        <w:t>brivaracetam</w:t>
      </w:r>
      <w:proofErr w:type="spellEnd"/>
      <w:r w:rsidRPr="00B43EC8">
        <w:t>)</w:t>
      </w:r>
      <w:bookmarkEnd w:id="106"/>
    </w:p>
    <w:p w:rsidR="0032345E" w:rsidRPr="0032345E" w:rsidRDefault="0032345E" w:rsidP="0032345E">
      <w:proofErr w:type="gramStart"/>
      <w:r w:rsidRPr="0032345E">
        <w:t>ucb-34713</w:t>
      </w:r>
      <w:proofErr w:type="gramEnd"/>
      <w:r w:rsidRPr="0032345E">
        <w:t xml:space="preserve">, the </w:t>
      </w:r>
      <w:proofErr w:type="spellStart"/>
      <w:r w:rsidRPr="0032345E">
        <w:t>diastereomer</w:t>
      </w:r>
      <w:proofErr w:type="spellEnd"/>
      <w:r w:rsidRPr="0032345E">
        <w:t xml:space="preserve"> of </w:t>
      </w:r>
      <w:proofErr w:type="spellStart"/>
      <w:r w:rsidRPr="0032345E">
        <w:t>brivaracetam</w:t>
      </w:r>
      <w:proofErr w:type="spellEnd"/>
      <w:r w:rsidRPr="0032345E">
        <w:t>, is present as an impurity in brivaracetam batches. In the course of the development of brivaracetam, with process scale up, ucb-34713 was shown to be present at levels up to 2.5%, whereas most of the batches used in nonclinical safety studies contained less than 2%. Accordingly</w:t>
      </w:r>
      <w:r w:rsidR="00D90F36">
        <w:t>,</w:t>
      </w:r>
      <w:r w:rsidRPr="0032345E">
        <w:t xml:space="preserve"> the sponsor supplied additional studies on this </w:t>
      </w:r>
      <w:proofErr w:type="spellStart"/>
      <w:r w:rsidRPr="0032345E">
        <w:t>diastereomer</w:t>
      </w:r>
      <w:proofErr w:type="spellEnd"/>
      <w:r w:rsidRPr="0032345E">
        <w:t>.</w:t>
      </w:r>
    </w:p>
    <w:p w:rsidR="0032345E" w:rsidRPr="00B43EC8" w:rsidRDefault="0032345E" w:rsidP="0032345E">
      <w:pPr>
        <w:pStyle w:val="Heading5"/>
      </w:pPr>
      <w:bookmarkStart w:id="107" w:name="_Toc450809122"/>
      <w:r w:rsidRPr="00B43EC8">
        <w:t>Safety pharmacology</w:t>
      </w:r>
      <w:bookmarkEnd w:id="107"/>
    </w:p>
    <w:p w:rsidR="00376D5E" w:rsidRDefault="0032345E" w:rsidP="0032345E">
      <w:r w:rsidRPr="0032345E">
        <w:t xml:space="preserve">Ucb-34713 did not induce </w:t>
      </w:r>
      <w:proofErr w:type="spellStart"/>
      <w:r w:rsidRPr="0032345E">
        <w:t>channelopathies</w:t>
      </w:r>
      <w:proofErr w:type="spellEnd"/>
      <w:r w:rsidRPr="0032345E">
        <w:t xml:space="preserve"> in </w:t>
      </w:r>
      <w:proofErr w:type="spellStart"/>
      <w:r w:rsidRPr="0032345E">
        <w:t>hERG</w:t>
      </w:r>
      <w:proofErr w:type="spellEnd"/>
      <w:r w:rsidRPr="0032345E">
        <w:t xml:space="preserve"> transfected HEK293 cells or in isolated beagle cardiac Purkinje fibres. On the basis of these data, ucb-34713 appears to be unlikely to induce Torsades des Pointes or other cardiac conduction disturbances under the proposed conditions of clinical use of </w:t>
      </w:r>
      <w:proofErr w:type="spellStart"/>
      <w:r w:rsidRPr="0032345E">
        <w:t>brivaracetam</w:t>
      </w:r>
      <w:proofErr w:type="spellEnd"/>
      <w:r w:rsidR="00376D5E">
        <w:t>.</w:t>
      </w:r>
    </w:p>
    <w:p w:rsidR="0032345E" w:rsidRPr="00B43EC8" w:rsidRDefault="0032345E" w:rsidP="0032345E">
      <w:pPr>
        <w:pStyle w:val="Heading5"/>
      </w:pPr>
      <w:bookmarkStart w:id="108" w:name="_Toc450809123"/>
      <w:proofErr w:type="spellStart"/>
      <w:r w:rsidRPr="00B43EC8">
        <w:t>Subchronic</w:t>
      </w:r>
      <w:proofErr w:type="spellEnd"/>
      <w:r w:rsidRPr="00B43EC8">
        <w:t xml:space="preserve"> repeated oral exposure toxicity study</w:t>
      </w:r>
      <w:bookmarkEnd w:id="108"/>
    </w:p>
    <w:p w:rsidR="0032345E" w:rsidRPr="0032345E" w:rsidRDefault="0032345E" w:rsidP="0032345E">
      <w:r w:rsidRPr="0032345E">
        <w:t>Repeated daily oral exposure for 13 weeks to ucb-34713 wa</w:t>
      </w:r>
      <w:r w:rsidR="00565486">
        <w:t xml:space="preserve">s associated with post dosing (approximately </w:t>
      </w:r>
      <w:r w:rsidRPr="0032345E">
        <w:t>15 min post</w:t>
      </w:r>
      <w:r w:rsidR="00565486">
        <w:t xml:space="preserve"> </w:t>
      </w:r>
      <w:r w:rsidRPr="0032345E">
        <w:t xml:space="preserve">dose) of hyperactivity sometimes followed by </w:t>
      </w:r>
      <w:proofErr w:type="spellStart"/>
      <w:r w:rsidRPr="0032345E">
        <w:t>hypoactivity</w:t>
      </w:r>
      <w:proofErr w:type="spellEnd"/>
      <w:r w:rsidRPr="0032345E">
        <w:t>, mouth rubbing, paddling, excessive grooming and/or salivation. The effects were generally worse after the second daily sub</w:t>
      </w:r>
      <w:r w:rsidR="00565486">
        <w:t xml:space="preserve"> </w:t>
      </w:r>
      <w:r w:rsidRPr="0032345E">
        <w:t>dose. The post</w:t>
      </w:r>
      <w:r w:rsidR="00565486">
        <w:t xml:space="preserve"> </w:t>
      </w:r>
      <w:r w:rsidRPr="0032345E">
        <w:t xml:space="preserve">dose observations were first </w:t>
      </w:r>
      <w:r w:rsidRPr="0032345E">
        <w:lastRenderedPageBreak/>
        <w:t>recorded on Day 9. These effects were seen in all ucb-34713 exposed animals and in the negative control animals. However, the incidence of these effects was higher in the 200 mg/kg/day (administered as 2 sub</w:t>
      </w:r>
      <w:r w:rsidR="00565486">
        <w:t xml:space="preserve"> </w:t>
      </w:r>
      <w:r w:rsidRPr="0032345E">
        <w:t>doses q10h) dose group. The incidence was also higher in males.</w:t>
      </w:r>
    </w:p>
    <w:p w:rsidR="0032345E" w:rsidRPr="0032345E" w:rsidRDefault="0032345E" w:rsidP="0032345E">
      <w:proofErr w:type="spellStart"/>
      <w:r w:rsidRPr="0032345E">
        <w:t>Nonadverse</w:t>
      </w:r>
      <w:proofErr w:type="spellEnd"/>
      <w:r w:rsidRPr="0032345E">
        <w:t xml:space="preserve"> adaptive </w:t>
      </w:r>
      <w:proofErr w:type="spellStart"/>
      <w:r w:rsidRPr="0032345E">
        <w:t>centrilobular</w:t>
      </w:r>
      <w:proofErr w:type="spellEnd"/>
      <w:r w:rsidRPr="0032345E">
        <w:t xml:space="preserve"> hepatocyte hypertrophy and </w:t>
      </w:r>
      <w:proofErr w:type="spellStart"/>
      <w:r w:rsidRPr="0032345E">
        <w:t>lipofuscinosis</w:t>
      </w:r>
      <w:proofErr w:type="spellEnd"/>
      <w:r w:rsidRPr="0032345E">
        <w:t xml:space="preserve"> was observed in the 200 mg/kg/day treatment groups. Administration of ucb-34713 was associated with renal proximal tubular hyaline droplet </w:t>
      </w:r>
      <w:proofErr w:type="spellStart"/>
      <w:r w:rsidRPr="0032345E">
        <w:t>nephrosis</w:t>
      </w:r>
      <w:proofErr w:type="spellEnd"/>
      <w:r w:rsidRPr="0032345E">
        <w:t xml:space="preserve"> (most probably alpha-2u-globulin-related) in male rats. This </w:t>
      </w:r>
      <w:r w:rsidR="00565486">
        <w:t xml:space="preserve">effect is not regarded as </w:t>
      </w:r>
      <w:r w:rsidRPr="0032345E">
        <w:t>relevant</w:t>
      </w:r>
      <w:r w:rsidR="00565486">
        <w:t xml:space="preserve"> to humans</w:t>
      </w:r>
      <w:r w:rsidRPr="0032345E">
        <w:t>.</w:t>
      </w:r>
    </w:p>
    <w:p w:rsidR="0032345E" w:rsidRPr="00B43EC8" w:rsidRDefault="0032345E" w:rsidP="0032345E">
      <w:pPr>
        <w:pStyle w:val="Heading5"/>
      </w:pPr>
      <w:bookmarkStart w:id="109" w:name="_Toc450809124"/>
      <w:r w:rsidRPr="00B43EC8">
        <w:t>Genotoxicity</w:t>
      </w:r>
      <w:bookmarkEnd w:id="109"/>
    </w:p>
    <w:p w:rsidR="0032345E" w:rsidRPr="0032345E" w:rsidRDefault="0032345E" w:rsidP="0032345E">
      <w:r w:rsidRPr="0032345E">
        <w:t>Ucb-34713 did not induce bacterial reverse mutations or forward mutations in mammalian cells.</w:t>
      </w:r>
    </w:p>
    <w:p w:rsidR="0032345E" w:rsidRPr="00B43EC8" w:rsidRDefault="0032345E" w:rsidP="0032345E">
      <w:pPr>
        <w:pStyle w:val="Heading5"/>
      </w:pPr>
      <w:bookmarkStart w:id="110" w:name="_Toc450809125"/>
      <w:r w:rsidRPr="00B43EC8">
        <w:t>Overall conclusions</w:t>
      </w:r>
      <w:bookmarkEnd w:id="110"/>
    </w:p>
    <w:p w:rsidR="0032345E" w:rsidRPr="0032345E" w:rsidRDefault="0032345E" w:rsidP="0032345E">
      <w:r w:rsidRPr="0032345E">
        <w:t>Ucb-34713, as an impurity in brivaracetam, i</w:t>
      </w:r>
      <w:r w:rsidR="00565486">
        <w:t>s adequately qualified</w:t>
      </w:r>
      <w:r w:rsidRPr="0032345E">
        <w:t>. Exposure to ucb-34713 in Briviact under the proposed conditions of clinical use is not associated with unacceptable human risk.</w:t>
      </w:r>
    </w:p>
    <w:p w:rsidR="0032345E" w:rsidRPr="00A91846" w:rsidRDefault="0032345E" w:rsidP="0032345E">
      <w:pPr>
        <w:pStyle w:val="Heading5"/>
      </w:pPr>
      <w:bookmarkStart w:id="111" w:name="_Toc450809126"/>
      <w:r w:rsidRPr="00A91846">
        <w:t>Reproductive toxicity</w:t>
      </w:r>
      <w:bookmarkEnd w:id="111"/>
    </w:p>
    <w:p w:rsidR="0032345E" w:rsidRDefault="0032345E" w:rsidP="0032345E">
      <w:pPr>
        <w:pStyle w:val="Heading6"/>
      </w:pPr>
      <w:bookmarkStart w:id="112" w:name="_Toc450809127"/>
      <w:r w:rsidRPr="00A91846">
        <w:t>Relative exposure</w:t>
      </w:r>
      <w:bookmarkEnd w:id="112"/>
    </w:p>
    <w:p w:rsidR="00C27BF6" w:rsidRDefault="00C27BF6" w:rsidP="00C27BF6">
      <w:r>
        <w:t>See Table 15.</w:t>
      </w:r>
    </w:p>
    <w:p w:rsidR="00C27BF6" w:rsidRPr="00C27BF6" w:rsidRDefault="00C27BF6" w:rsidP="00BD7018">
      <w:pPr>
        <w:pStyle w:val="TableTitle"/>
      </w:pPr>
      <w:proofErr w:type="gramStart"/>
      <w:r w:rsidRPr="00BD7018">
        <w:t>Table 15: Relative exposure.</w:t>
      </w:r>
      <w:proofErr w:type="gramEnd"/>
    </w:p>
    <w:tbl>
      <w:tblPr>
        <w:tblStyle w:val="TableTGAblue"/>
        <w:tblW w:w="8755" w:type="dxa"/>
        <w:tblLayout w:type="fixed"/>
        <w:tblLook w:val="01E0" w:firstRow="1" w:lastRow="1" w:firstColumn="1" w:lastColumn="1" w:noHBand="0" w:noVBand="0"/>
      </w:tblPr>
      <w:tblGrid>
        <w:gridCol w:w="1526"/>
        <w:gridCol w:w="1984"/>
        <w:gridCol w:w="1985"/>
        <w:gridCol w:w="1843"/>
        <w:gridCol w:w="1417"/>
      </w:tblGrid>
      <w:tr w:rsidR="00DB075D" w:rsidRPr="00EB215B" w:rsidTr="00873F48">
        <w:trPr>
          <w:cnfStyle w:val="100000000000" w:firstRow="1" w:lastRow="0" w:firstColumn="0" w:lastColumn="0" w:oddVBand="0" w:evenVBand="0" w:oddHBand="0" w:evenHBand="0" w:firstRowFirstColumn="0" w:firstRowLastColumn="0" w:lastRowFirstColumn="0" w:lastRowLastColumn="0"/>
        </w:trPr>
        <w:tc>
          <w:tcPr>
            <w:tcW w:w="1526" w:type="dxa"/>
          </w:tcPr>
          <w:p w:rsidR="0032345E" w:rsidRPr="00EB215B" w:rsidRDefault="0032345E" w:rsidP="00EB215B">
            <w:pPr>
              <w:rPr>
                <w:sz w:val="20"/>
                <w:szCs w:val="20"/>
              </w:rPr>
            </w:pPr>
            <w:r w:rsidRPr="00EB215B">
              <w:rPr>
                <w:sz w:val="20"/>
                <w:szCs w:val="20"/>
              </w:rPr>
              <w:t>Species</w:t>
            </w:r>
          </w:p>
        </w:tc>
        <w:tc>
          <w:tcPr>
            <w:tcW w:w="1984" w:type="dxa"/>
          </w:tcPr>
          <w:p w:rsidR="0032345E" w:rsidRPr="00EB215B" w:rsidRDefault="0032345E" w:rsidP="00EB215B">
            <w:pPr>
              <w:rPr>
                <w:sz w:val="20"/>
                <w:szCs w:val="20"/>
              </w:rPr>
            </w:pPr>
            <w:r w:rsidRPr="00EB215B">
              <w:rPr>
                <w:sz w:val="20"/>
                <w:szCs w:val="20"/>
              </w:rPr>
              <w:t>Study</w:t>
            </w:r>
          </w:p>
        </w:tc>
        <w:tc>
          <w:tcPr>
            <w:tcW w:w="1985" w:type="dxa"/>
          </w:tcPr>
          <w:p w:rsidR="0032345E" w:rsidRPr="00EB215B" w:rsidRDefault="0032345E" w:rsidP="00EB215B">
            <w:pPr>
              <w:rPr>
                <w:sz w:val="20"/>
                <w:szCs w:val="20"/>
              </w:rPr>
            </w:pPr>
            <w:r w:rsidRPr="00EB215B">
              <w:rPr>
                <w:sz w:val="20"/>
                <w:szCs w:val="20"/>
              </w:rPr>
              <w:t>Oral dose</w:t>
            </w:r>
            <w:r w:rsidR="00EB215B">
              <w:rPr>
                <w:sz w:val="20"/>
                <w:szCs w:val="20"/>
              </w:rPr>
              <w:t xml:space="preserve"> </w:t>
            </w:r>
            <w:r w:rsidRPr="00EB215B">
              <w:rPr>
                <w:sz w:val="20"/>
                <w:szCs w:val="20"/>
              </w:rPr>
              <w:t>(mg/kg/day)</w:t>
            </w:r>
          </w:p>
        </w:tc>
        <w:tc>
          <w:tcPr>
            <w:tcW w:w="1843" w:type="dxa"/>
          </w:tcPr>
          <w:p w:rsidR="0032345E" w:rsidRPr="00EB215B" w:rsidRDefault="0032345E" w:rsidP="00EB215B">
            <w:pPr>
              <w:rPr>
                <w:sz w:val="20"/>
                <w:szCs w:val="20"/>
              </w:rPr>
            </w:pPr>
            <w:r w:rsidRPr="00EB215B">
              <w:rPr>
                <w:sz w:val="20"/>
                <w:szCs w:val="20"/>
              </w:rPr>
              <w:t>AUC</w:t>
            </w:r>
            <w:r w:rsidRPr="00EB215B">
              <w:rPr>
                <w:sz w:val="20"/>
                <w:szCs w:val="20"/>
                <w:vertAlign w:val="subscript"/>
              </w:rPr>
              <w:t>0–24</w:t>
            </w:r>
            <w:r w:rsidRPr="00EB215B">
              <w:rPr>
                <w:w w:val="50"/>
                <w:sz w:val="20"/>
                <w:szCs w:val="20"/>
                <w:vertAlign w:val="subscript"/>
              </w:rPr>
              <w:t> </w:t>
            </w:r>
            <w:r w:rsidRPr="00EB215B">
              <w:rPr>
                <w:sz w:val="20"/>
                <w:szCs w:val="20"/>
                <w:vertAlign w:val="subscript"/>
              </w:rPr>
              <w:t>h</w:t>
            </w:r>
            <w:r w:rsidR="00EB215B">
              <w:rPr>
                <w:sz w:val="20"/>
                <w:szCs w:val="20"/>
                <w:vertAlign w:val="subscript"/>
              </w:rPr>
              <w:t xml:space="preserve"> </w:t>
            </w:r>
            <w:r w:rsidRPr="00EB215B">
              <w:rPr>
                <w:sz w:val="20"/>
                <w:szCs w:val="20"/>
              </w:rPr>
              <w:t>(</w:t>
            </w:r>
            <w:proofErr w:type="spellStart"/>
            <w:r w:rsidRPr="00EB215B">
              <w:rPr>
                <w:rFonts w:eastAsia="Gulim"/>
                <w:sz w:val="20"/>
                <w:szCs w:val="20"/>
              </w:rPr>
              <w:t>μ</w:t>
            </w:r>
            <w:r w:rsidRPr="00EB215B">
              <w:rPr>
                <w:sz w:val="20"/>
                <w:szCs w:val="20"/>
              </w:rPr>
              <w:t>g∙h</w:t>
            </w:r>
            <w:proofErr w:type="spellEnd"/>
            <w:r w:rsidRPr="00EB215B">
              <w:rPr>
                <w:sz w:val="20"/>
                <w:szCs w:val="20"/>
              </w:rPr>
              <w:t>/mL) or</w:t>
            </w:r>
            <w:r w:rsidR="00EB215B">
              <w:rPr>
                <w:sz w:val="20"/>
                <w:szCs w:val="20"/>
              </w:rPr>
              <w:t xml:space="preserve"> </w:t>
            </w:r>
            <w:r w:rsidRPr="00EB215B">
              <w:rPr>
                <w:sz w:val="20"/>
                <w:szCs w:val="20"/>
              </w:rPr>
              <w:t>Mean plasma level (</w:t>
            </w:r>
            <w:proofErr w:type="spellStart"/>
            <w:r w:rsidRPr="00EB215B">
              <w:rPr>
                <w:rFonts w:eastAsia="Gulim"/>
                <w:sz w:val="20"/>
                <w:szCs w:val="20"/>
              </w:rPr>
              <w:t>μ</w:t>
            </w:r>
            <w:r w:rsidRPr="00EB215B">
              <w:rPr>
                <w:sz w:val="20"/>
                <w:szCs w:val="20"/>
              </w:rPr>
              <w:t>g</w:t>
            </w:r>
            <w:proofErr w:type="spellEnd"/>
            <w:r w:rsidRPr="00EB215B">
              <w:rPr>
                <w:sz w:val="20"/>
                <w:szCs w:val="20"/>
              </w:rPr>
              <w:t>/mL)</w:t>
            </w:r>
          </w:p>
        </w:tc>
        <w:tc>
          <w:tcPr>
            <w:tcW w:w="1417" w:type="dxa"/>
          </w:tcPr>
          <w:p w:rsidR="0032345E" w:rsidRPr="00EB215B" w:rsidRDefault="00DB075D" w:rsidP="00EB215B">
            <w:pPr>
              <w:rPr>
                <w:sz w:val="20"/>
                <w:szCs w:val="20"/>
              </w:rPr>
            </w:pPr>
            <w:r w:rsidRPr="00EB215B">
              <w:rPr>
                <w:sz w:val="20"/>
                <w:szCs w:val="20"/>
              </w:rPr>
              <w:t>ER</w:t>
            </w:r>
            <w:r w:rsidR="0032345E" w:rsidRPr="00EB215B">
              <w:rPr>
                <w:sz w:val="20"/>
                <w:szCs w:val="20"/>
                <w:vertAlign w:val="superscript"/>
              </w:rPr>
              <w:t>#</w:t>
            </w:r>
          </w:p>
        </w:tc>
      </w:tr>
      <w:tr w:rsidR="0032345E" w:rsidRPr="00EB215B" w:rsidTr="00873F48">
        <w:trPr>
          <w:trHeight w:val="400"/>
        </w:trPr>
        <w:tc>
          <w:tcPr>
            <w:tcW w:w="1526" w:type="dxa"/>
            <w:vMerge w:val="restart"/>
          </w:tcPr>
          <w:p w:rsidR="0032345E" w:rsidRPr="00EB215B" w:rsidRDefault="0032345E" w:rsidP="00EB215B">
            <w:pPr>
              <w:rPr>
                <w:kern w:val="2"/>
                <w:sz w:val="20"/>
                <w:szCs w:val="20"/>
              </w:rPr>
            </w:pPr>
            <w:r w:rsidRPr="00EB215B">
              <w:rPr>
                <w:kern w:val="2"/>
                <w:sz w:val="20"/>
                <w:szCs w:val="20"/>
              </w:rPr>
              <w:t>PSM0978</w:t>
            </w:r>
          </w:p>
          <w:p w:rsidR="0032345E" w:rsidRPr="00EB215B" w:rsidRDefault="0032345E" w:rsidP="00EB215B">
            <w:pPr>
              <w:rPr>
                <w:color w:val="00B050"/>
                <w:kern w:val="2"/>
                <w:sz w:val="20"/>
                <w:szCs w:val="20"/>
              </w:rPr>
            </w:pPr>
            <w:r w:rsidRPr="00EB215B">
              <w:rPr>
                <w:b/>
                <w:kern w:val="2"/>
                <w:sz w:val="20"/>
                <w:szCs w:val="20"/>
              </w:rPr>
              <w:t>Rat</w:t>
            </w:r>
            <w:r w:rsidRPr="00EB215B">
              <w:rPr>
                <w:kern w:val="2"/>
                <w:sz w:val="20"/>
                <w:szCs w:val="20"/>
              </w:rPr>
              <w:br/>
              <w:t>(</w:t>
            </w:r>
            <w:proofErr w:type="spellStart"/>
            <w:r w:rsidRPr="00EB215B">
              <w:rPr>
                <w:kern w:val="2"/>
                <w:sz w:val="20"/>
                <w:szCs w:val="20"/>
              </w:rPr>
              <w:t>Wistar</w:t>
            </w:r>
            <w:proofErr w:type="spellEnd"/>
            <w:r w:rsidRPr="00EB215B">
              <w:rPr>
                <w:kern w:val="2"/>
                <w:sz w:val="20"/>
                <w:szCs w:val="20"/>
              </w:rPr>
              <w:t>)</w:t>
            </w:r>
          </w:p>
        </w:tc>
        <w:tc>
          <w:tcPr>
            <w:tcW w:w="1984" w:type="dxa"/>
            <w:vMerge w:val="restart"/>
          </w:tcPr>
          <w:p w:rsidR="0032345E" w:rsidRPr="00EB215B" w:rsidRDefault="0032345E" w:rsidP="00EB215B">
            <w:pPr>
              <w:rPr>
                <w:color w:val="00B050"/>
                <w:kern w:val="2"/>
                <w:sz w:val="20"/>
                <w:szCs w:val="20"/>
              </w:rPr>
            </w:pPr>
            <w:r w:rsidRPr="00EB215B">
              <w:rPr>
                <w:kern w:val="2"/>
                <w:sz w:val="20"/>
                <w:szCs w:val="20"/>
              </w:rPr>
              <w:t>Fertility and early embryonic development</w:t>
            </w:r>
          </w:p>
        </w:tc>
        <w:tc>
          <w:tcPr>
            <w:tcW w:w="1985" w:type="dxa"/>
          </w:tcPr>
          <w:p w:rsidR="0032345E" w:rsidRPr="00EB215B" w:rsidRDefault="0032345E" w:rsidP="00EB215B">
            <w:pPr>
              <w:rPr>
                <w:kern w:val="2"/>
                <w:sz w:val="20"/>
                <w:szCs w:val="20"/>
              </w:rPr>
            </w:pPr>
            <w:r w:rsidRPr="00EB215B">
              <w:rPr>
                <w:kern w:val="2"/>
                <w:sz w:val="20"/>
                <w:szCs w:val="20"/>
              </w:rPr>
              <w:t>100</w:t>
            </w:r>
          </w:p>
        </w:tc>
        <w:tc>
          <w:tcPr>
            <w:tcW w:w="1843" w:type="dxa"/>
          </w:tcPr>
          <w:p w:rsidR="005E5160" w:rsidRPr="00EB215B" w:rsidRDefault="0032345E" w:rsidP="00EB215B">
            <w:pPr>
              <w:rPr>
                <w:sz w:val="20"/>
                <w:szCs w:val="20"/>
              </w:rPr>
            </w:pPr>
            <w:r w:rsidRPr="00EB215B">
              <w:rPr>
                <w:rFonts w:ascii="Times New Roman" w:hAnsi="Times New Roman"/>
                <w:sz w:val="20"/>
                <w:szCs w:val="20"/>
              </w:rPr>
              <w:t>♂</w:t>
            </w:r>
            <w:r w:rsidR="005E5160" w:rsidRPr="00EB215B">
              <w:rPr>
                <w:sz w:val="20"/>
                <w:szCs w:val="20"/>
              </w:rPr>
              <w:t>= 27.7*;</w:t>
            </w:r>
          </w:p>
          <w:p w:rsidR="0032345E" w:rsidRPr="00EB215B" w:rsidRDefault="0032345E" w:rsidP="00EB215B">
            <w:pPr>
              <w:rPr>
                <w:sz w:val="20"/>
                <w:szCs w:val="20"/>
              </w:rPr>
            </w:pPr>
            <w:r w:rsidRPr="00EB215B">
              <w:rPr>
                <w:rFonts w:ascii="Times New Roman" w:hAnsi="Times New Roman"/>
                <w:sz w:val="20"/>
                <w:szCs w:val="20"/>
              </w:rPr>
              <w:t>♀</w:t>
            </w:r>
            <w:r w:rsidRPr="00EB215B">
              <w:rPr>
                <w:sz w:val="20"/>
                <w:szCs w:val="20"/>
              </w:rPr>
              <w:t>= 38.6*</w:t>
            </w:r>
          </w:p>
        </w:tc>
        <w:tc>
          <w:tcPr>
            <w:tcW w:w="1417" w:type="dxa"/>
          </w:tcPr>
          <w:p w:rsidR="005E5160" w:rsidRPr="00EB215B" w:rsidRDefault="0032345E" w:rsidP="00EB215B">
            <w:pPr>
              <w:rPr>
                <w:sz w:val="20"/>
                <w:szCs w:val="20"/>
              </w:rPr>
            </w:pPr>
            <w:r w:rsidRPr="00EB215B">
              <w:rPr>
                <w:rFonts w:ascii="Times New Roman" w:hAnsi="Times New Roman"/>
                <w:b/>
                <w:sz w:val="20"/>
                <w:szCs w:val="20"/>
              </w:rPr>
              <w:t>♂</w:t>
            </w:r>
            <w:r w:rsidRPr="00EB215B">
              <w:rPr>
                <w:b/>
                <w:sz w:val="20"/>
                <w:szCs w:val="20"/>
              </w:rPr>
              <w:t xml:space="preserve"> </w:t>
            </w:r>
            <w:r w:rsidRPr="00EB215B">
              <w:rPr>
                <w:rFonts w:cs="Cambria"/>
                <w:sz w:val="20"/>
                <w:szCs w:val="20"/>
              </w:rPr>
              <w:t>≈</w:t>
            </w:r>
            <w:r w:rsidRPr="00EB215B">
              <w:rPr>
                <w:sz w:val="20"/>
                <w:szCs w:val="20"/>
              </w:rPr>
              <w:t>8</w:t>
            </w:r>
            <w:r w:rsidRPr="00EB215B">
              <w:rPr>
                <w:sz w:val="20"/>
                <w:szCs w:val="20"/>
                <w:vertAlign w:val="superscript"/>
              </w:rPr>
              <w:t>†</w:t>
            </w:r>
            <w:r w:rsidR="005E5160" w:rsidRPr="00EB215B">
              <w:rPr>
                <w:sz w:val="20"/>
                <w:szCs w:val="20"/>
              </w:rPr>
              <w:t>;</w:t>
            </w:r>
          </w:p>
          <w:p w:rsidR="0032345E" w:rsidRPr="00EB215B" w:rsidRDefault="0032345E" w:rsidP="00EB215B">
            <w:pPr>
              <w:rPr>
                <w:sz w:val="20"/>
                <w:szCs w:val="20"/>
              </w:rPr>
            </w:pPr>
            <w:r w:rsidRPr="00EB215B">
              <w:rPr>
                <w:rFonts w:ascii="Times New Roman" w:hAnsi="Times New Roman"/>
                <w:sz w:val="20"/>
                <w:szCs w:val="20"/>
              </w:rPr>
              <w:t>♀</w:t>
            </w:r>
            <w:r w:rsidRPr="00EB215B">
              <w:rPr>
                <w:sz w:val="20"/>
                <w:szCs w:val="20"/>
              </w:rPr>
              <w:t xml:space="preserve"> ≈11</w:t>
            </w:r>
            <w:r w:rsidRPr="00EB215B">
              <w:rPr>
                <w:sz w:val="20"/>
                <w:szCs w:val="20"/>
                <w:vertAlign w:val="superscript"/>
              </w:rPr>
              <w:t>†</w:t>
            </w:r>
          </w:p>
        </w:tc>
      </w:tr>
      <w:tr w:rsidR="0032345E" w:rsidRPr="00EB215B" w:rsidTr="00873F48">
        <w:trPr>
          <w:trHeight w:val="400"/>
        </w:trPr>
        <w:tc>
          <w:tcPr>
            <w:tcW w:w="1526" w:type="dxa"/>
            <w:vMerge/>
          </w:tcPr>
          <w:p w:rsidR="0032345E" w:rsidRPr="00EB215B" w:rsidRDefault="0032345E" w:rsidP="00EB215B">
            <w:pPr>
              <w:rPr>
                <w:color w:val="00B050"/>
                <w:kern w:val="2"/>
                <w:sz w:val="20"/>
                <w:szCs w:val="20"/>
              </w:rPr>
            </w:pPr>
          </w:p>
        </w:tc>
        <w:tc>
          <w:tcPr>
            <w:tcW w:w="1984" w:type="dxa"/>
            <w:vMerge/>
          </w:tcPr>
          <w:p w:rsidR="0032345E" w:rsidRPr="00EB215B" w:rsidRDefault="0032345E" w:rsidP="00EB215B">
            <w:pPr>
              <w:rPr>
                <w:color w:val="00B050"/>
                <w:kern w:val="2"/>
                <w:sz w:val="20"/>
                <w:szCs w:val="20"/>
              </w:rPr>
            </w:pPr>
          </w:p>
        </w:tc>
        <w:tc>
          <w:tcPr>
            <w:tcW w:w="1985" w:type="dxa"/>
          </w:tcPr>
          <w:p w:rsidR="0032345E" w:rsidRPr="00EB215B" w:rsidRDefault="0032345E" w:rsidP="00EB215B">
            <w:pPr>
              <w:rPr>
                <w:kern w:val="2"/>
                <w:sz w:val="20"/>
                <w:szCs w:val="20"/>
              </w:rPr>
            </w:pPr>
            <w:r w:rsidRPr="00EB215B">
              <w:rPr>
                <w:kern w:val="2"/>
                <w:sz w:val="20"/>
                <w:szCs w:val="20"/>
              </w:rPr>
              <w:t>200</w:t>
            </w:r>
          </w:p>
        </w:tc>
        <w:tc>
          <w:tcPr>
            <w:tcW w:w="1843" w:type="dxa"/>
          </w:tcPr>
          <w:p w:rsidR="005E5160" w:rsidRPr="00EB215B" w:rsidRDefault="0032345E" w:rsidP="00EB215B">
            <w:pPr>
              <w:rPr>
                <w:sz w:val="20"/>
                <w:szCs w:val="20"/>
              </w:rPr>
            </w:pPr>
            <w:r w:rsidRPr="00EB215B">
              <w:rPr>
                <w:rFonts w:ascii="Times New Roman" w:hAnsi="Times New Roman"/>
                <w:sz w:val="20"/>
                <w:szCs w:val="20"/>
              </w:rPr>
              <w:t>♂</w:t>
            </w:r>
            <w:r w:rsidR="005E5160" w:rsidRPr="00EB215B">
              <w:rPr>
                <w:sz w:val="20"/>
                <w:szCs w:val="20"/>
              </w:rPr>
              <w:t>= 42.3*;</w:t>
            </w:r>
          </w:p>
          <w:p w:rsidR="0032345E" w:rsidRPr="00EB215B" w:rsidRDefault="0032345E" w:rsidP="00EB215B">
            <w:pPr>
              <w:rPr>
                <w:sz w:val="20"/>
                <w:szCs w:val="20"/>
              </w:rPr>
            </w:pPr>
            <w:r w:rsidRPr="00EB215B">
              <w:rPr>
                <w:rFonts w:ascii="Times New Roman" w:hAnsi="Times New Roman"/>
                <w:sz w:val="20"/>
                <w:szCs w:val="20"/>
              </w:rPr>
              <w:t>♀</w:t>
            </w:r>
            <w:r w:rsidRPr="00EB215B">
              <w:rPr>
                <w:sz w:val="20"/>
                <w:szCs w:val="20"/>
              </w:rPr>
              <w:t>= 55.9*</w:t>
            </w:r>
          </w:p>
        </w:tc>
        <w:tc>
          <w:tcPr>
            <w:tcW w:w="1417" w:type="dxa"/>
          </w:tcPr>
          <w:p w:rsidR="005E5160" w:rsidRPr="00EB215B" w:rsidRDefault="0032345E" w:rsidP="00EB215B">
            <w:pPr>
              <w:rPr>
                <w:sz w:val="20"/>
                <w:szCs w:val="20"/>
                <w:vertAlign w:val="superscript"/>
              </w:rPr>
            </w:pPr>
            <w:r w:rsidRPr="00EB215B">
              <w:rPr>
                <w:rFonts w:ascii="Times New Roman" w:hAnsi="Times New Roman"/>
                <w:sz w:val="20"/>
                <w:szCs w:val="20"/>
              </w:rPr>
              <w:t>♂</w:t>
            </w:r>
            <w:r w:rsidRPr="00EB215B">
              <w:rPr>
                <w:sz w:val="20"/>
                <w:szCs w:val="20"/>
              </w:rPr>
              <w:t xml:space="preserve"> ≈12</w:t>
            </w:r>
            <w:r w:rsidRPr="00EB215B">
              <w:rPr>
                <w:sz w:val="20"/>
                <w:szCs w:val="20"/>
                <w:vertAlign w:val="superscript"/>
              </w:rPr>
              <w:t>†;</w:t>
            </w:r>
          </w:p>
          <w:p w:rsidR="0032345E" w:rsidRPr="00EB215B" w:rsidRDefault="0032345E" w:rsidP="00EB215B">
            <w:pPr>
              <w:rPr>
                <w:sz w:val="20"/>
                <w:szCs w:val="20"/>
              </w:rPr>
            </w:pPr>
            <w:r w:rsidRPr="00EB215B">
              <w:rPr>
                <w:rFonts w:ascii="Times New Roman" w:hAnsi="Times New Roman"/>
                <w:sz w:val="20"/>
                <w:szCs w:val="20"/>
              </w:rPr>
              <w:t>♀</w:t>
            </w:r>
            <w:r w:rsidRPr="00EB215B">
              <w:rPr>
                <w:sz w:val="20"/>
                <w:szCs w:val="20"/>
              </w:rPr>
              <w:t xml:space="preserve"> ≈16</w:t>
            </w:r>
            <w:r w:rsidRPr="00EB215B">
              <w:rPr>
                <w:sz w:val="20"/>
                <w:szCs w:val="20"/>
                <w:vertAlign w:val="superscript"/>
              </w:rPr>
              <w:t>†</w:t>
            </w:r>
          </w:p>
        </w:tc>
      </w:tr>
      <w:tr w:rsidR="0032345E" w:rsidRPr="00EB215B" w:rsidTr="00873F48">
        <w:trPr>
          <w:trHeight w:val="400"/>
        </w:trPr>
        <w:tc>
          <w:tcPr>
            <w:tcW w:w="1526" w:type="dxa"/>
            <w:vMerge/>
          </w:tcPr>
          <w:p w:rsidR="0032345E" w:rsidRPr="00EB215B" w:rsidRDefault="0032345E" w:rsidP="00EB215B">
            <w:pPr>
              <w:rPr>
                <w:color w:val="00B050"/>
                <w:kern w:val="2"/>
                <w:sz w:val="20"/>
                <w:szCs w:val="20"/>
              </w:rPr>
            </w:pPr>
          </w:p>
        </w:tc>
        <w:tc>
          <w:tcPr>
            <w:tcW w:w="1984" w:type="dxa"/>
            <w:vMerge/>
          </w:tcPr>
          <w:p w:rsidR="0032345E" w:rsidRPr="00EB215B" w:rsidRDefault="0032345E" w:rsidP="00EB215B">
            <w:pPr>
              <w:rPr>
                <w:color w:val="00B050"/>
                <w:kern w:val="2"/>
                <w:sz w:val="20"/>
                <w:szCs w:val="20"/>
              </w:rPr>
            </w:pPr>
          </w:p>
        </w:tc>
        <w:tc>
          <w:tcPr>
            <w:tcW w:w="1985" w:type="dxa"/>
          </w:tcPr>
          <w:p w:rsidR="0032345E" w:rsidRPr="00EB215B" w:rsidRDefault="0032345E" w:rsidP="00EB215B">
            <w:pPr>
              <w:rPr>
                <w:kern w:val="2"/>
                <w:sz w:val="20"/>
                <w:szCs w:val="20"/>
              </w:rPr>
            </w:pPr>
            <w:r w:rsidRPr="00EB215B">
              <w:rPr>
                <w:kern w:val="2"/>
                <w:sz w:val="20"/>
                <w:szCs w:val="20"/>
              </w:rPr>
              <w:t>400</w:t>
            </w:r>
          </w:p>
        </w:tc>
        <w:tc>
          <w:tcPr>
            <w:tcW w:w="1843" w:type="dxa"/>
          </w:tcPr>
          <w:p w:rsidR="005E5160" w:rsidRPr="00EB215B" w:rsidRDefault="0032345E" w:rsidP="00EB215B">
            <w:pPr>
              <w:rPr>
                <w:sz w:val="20"/>
                <w:szCs w:val="20"/>
              </w:rPr>
            </w:pPr>
            <w:r w:rsidRPr="00EB215B">
              <w:rPr>
                <w:rFonts w:ascii="Times New Roman" w:hAnsi="Times New Roman"/>
                <w:sz w:val="20"/>
                <w:szCs w:val="20"/>
              </w:rPr>
              <w:t>♂</w:t>
            </w:r>
            <w:r w:rsidR="005E5160" w:rsidRPr="00EB215B">
              <w:rPr>
                <w:sz w:val="20"/>
                <w:szCs w:val="20"/>
              </w:rPr>
              <w:t>= 52.1*;</w:t>
            </w:r>
          </w:p>
          <w:p w:rsidR="0032345E" w:rsidRPr="00EB215B" w:rsidRDefault="0032345E" w:rsidP="00EB215B">
            <w:pPr>
              <w:rPr>
                <w:sz w:val="20"/>
                <w:szCs w:val="20"/>
              </w:rPr>
            </w:pPr>
            <w:r w:rsidRPr="00EB215B">
              <w:rPr>
                <w:rFonts w:ascii="Times New Roman" w:hAnsi="Times New Roman"/>
                <w:sz w:val="20"/>
                <w:szCs w:val="20"/>
              </w:rPr>
              <w:t>♀</w:t>
            </w:r>
            <w:r w:rsidRPr="00EB215B">
              <w:rPr>
                <w:sz w:val="20"/>
                <w:szCs w:val="20"/>
              </w:rPr>
              <w:t>= 79.2*</w:t>
            </w:r>
          </w:p>
        </w:tc>
        <w:tc>
          <w:tcPr>
            <w:tcW w:w="1417" w:type="dxa"/>
          </w:tcPr>
          <w:p w:rsidR="005E5160" w:rsidRPr="00EB215B" w:rsidRDefault="0032345E" w:rsidP="00EB215B">
            <w:pPr>
              <w:rPr>
                <w:sz w:val="20"/>
                <w:szCs w:val="20"/>
              </w:rPr>
            </w:pPr>
            <w:r w:rsidRPr="00EB215B">
              <w:rPr>
                <w:rFonts w:ascii="Times New Roman" w:hAnsi="Times New Roman"/>
                <w:sz w:val="20"/>
                <w:szCs w:val="20"/>
              </w:rPr>
              <w:t>♂</w:t>
            </w:r>
            <w:r w:rsidRPr="00EB215B">
              <w:rPr>
                <w:sz w:val="20"/>
                <w:szCs w:val="20"/>
              </w:rPr>
              <w:t xml:space="preserve"> ≈15</w:t>
            </w:r>
            <w:r w:rsidRPr="00EB215B">
              <w:rPr>
                <w:sz w:val="20"/>
                <w:szCs w:val="20"/>
                <w:vertAlign w:val="superscript"/>
              </w:rPr>
              <w:t>†</w:t>
            </w:r>
            <w:r w:rsidR="005E5160" w:rsidRPr="00EB215B">
              <w:rPr>
                <w:sz w:val="20"/>
                <w:szCs w:val="20"/>
              </w:rPr>
              <w:t>;</w:t>
            </w:r>
          </w:p>
          <w:p w:rsidR="0032345E" w:rsidRPr="00EB215B" w:rsidRDefault="0032345E" w:rsidP="00EB215B">
            <w:pPr>
              <w:rPr>
                <w:sz w:val="20"/>
                <w:szCs w:val="20"/>
              </w:rPr>
            </w:pPr>
            <w:r w:rsidRPr="00EB215B">
              <w:rPr>
                <w:rFonts w:ascii="Times New Roman" w:hAnsi="Times New Roman"/>
                <w:sz w:val="20"/>
                <w:szCs w:val="20"/>
              </w:rPr>
              <w:t>♀</w:t>
            </w:r>
            <w:r w:rsidRPr="00EB215B">
              <w:rPr>
                <w:sz w:val="20"/>
                <w:szCs w:val="20"/>
              </w:rPr>
              <w:t xml:space="preserve"> ≈22</w:t>
            </w:r>
            <w:r w:rsidRPr="00EB215B">
              <w:rPr>
                <w:sz w:val="20"/>
                <w:szCs w:val="20"/>
                <w:vertAlign w:val="superscript"/>
              </w:rPr>
              <w:t>†</w:t>
            </w:r>
          </w:p>
        </w:tc>
      </w:tr>
      <w:tr w:rsidR="0032345E" w:rsidRPr="00EB215B" w:rsidTr="00873F48">
        <w:trPr>
          <w:trHeight w:val="400"/>
        </w:trPr>
        <w:tc>
          <w:tcPr>
            <w:tcW w:w="1526" w:type="dxa"/>
            <w:vMerge w:val="restart"/>
          </w:tcPr>
          <w:p w:rsidR="0032345E" w:rsidRPr="00EB215B" w:rsidRDefault="0032345E" w:rsidP="00EB215B">
            <w:pPr>
              <w:rPr>
                <w:kern w:val="2"/>
                <w:sz w:val="20"/>
                <w:szCs w:val="20"/>
              </w:rPr>
            </w:pPr>
            <w:r w:rsidRPr="00EB215B">
              <w:rPr>
                <w:kern w:val="2"/>
                <w:sz w:val="20"/>
                <w:szCs w:val="20"/>
              </w:rPr>
              <w:t>PSM0853</w:t>
            </w:r>
          </w:p>
          <w:p w:rsidR="0032345E" w:rsidRPr="00EB215B" w:rsidRDefault="0032345E" w:rsidP="00EB215B">
            <w:pPr>
              <w:rPr>
                <w:color w:val="00B050"/>
                <w:kern w:val="2"/>
                <w:sz w:val="20"/>
                <w:szCs w:val="20"/>
              </w:rPr>
            </w:pPr>
            <w:r w:rsidRPr="00EB215B">
              <w:rPr>
                <w:b/>
                <w:kern w:val="2"/>
                <w:sz w:val="20"/>
                <w:szCs w:val="20"/>
              </w:rPr>
              <w:t>Rat</w:t>
            </w:r>
            <w:r w:rsidRPr="00EB215B">
              <w:rPr>
                <w:kern w:val="2"/>
                <w:sz w:val="20"/>
                <w:szCs w:val="20"/>
              </w:rPr>
              <w:br/>
              <w:t>(</w:t>
            </w:r>
            <w:proofErr w:type="spellStart"/>
            <w:r w:rsidRPr="00EB215B">
              <w:rPr>
                <w:kern w:val="2"/>
                <w:sz w:val="20"/>
                <w:szCs w:val="20"/>
              </w:rPr>
              <w:t>Wistar</w:t>
            </w:r>
            <w:proofErr w:type="spellEnd"/>
            <w:r w:rsidRPr="00EB215B">
              <w:rPr>
                <w:kern w:val="2"/>
                <w:sz w:val="20"/>
                <w:szCs w:val="20"/>
              </w:rPr>
              <w:t>)</w:t>
            </w:r>
          </w:p>
        </w:tc>
        <w:tc>
          <w:tcPr>
            <w:tcW w:w="1984" w:type="dxa"/>
            <w:vMerge w:val="restart"/>
          </w:tcPr>
          <w:p w:rsidR="0032345E" w:rsidRPr="00EB215B" w:rsidRDefault="0032345E" w:rsidP="00EB215B">
            <w:pPr>
              <w:rPr>
                <w:color w:val="00B050"/>
                <w:kern w:val="2"/>
                <w:sz w:val="20"/>
                <w:szCs w:val="20"/>
              </w:rPr>
            </w:pPr>
            <w:proofErr w:type="spellStart"/>
            <w:r w:rsidRPr="00EB215B">
              <w:rPr>
                <w:kern w:val="2"/>
                <w:sz w:val="20"/>
                <w:szCs w:val="20"/>
              </w:rPr>
              <w:t>Embryofetal</w:t>
            </w:r>
            <w:proofErr w:type="spellEnd"/>
            <w:r w:rsidRPr="00EB215B">
              <w:rPr>
                <w:kern w:val="2"/>
                <w:sz w:val="20"/>
                <w:szCs w:val="20"/>
              </w:rPr>
              <w:t xml:space="preserve"> development</w:t>
            </w:r>
          </w:p>
        </w:tc>
        <w:tc>
          <w:tcPr>
            <w:tcW w:w="1985" w:type="dxa"/>
          </w:tcPr>
          <w:p w:rsidR="0032345E" w:rsidRPr="00EB215B" w:rsidRDefault="0032345E" w:rsidP="00EB215B">
            <w:pPr>
              <w:rPr>
                <w:kern w:val="2"/>
                <w:sz w:val="20"/>
                <w:szCs w:val="20"/>
              </w:rPr>
            </w:pPr>
            <w:r w:rsidRPr="00EB215B">
              <w:rPr>
                <w:kern w:val="2"/>
                <w:sz w:val="20"/>
                <w:szCs w:val="20"/>
              </w:rPr>
              <w:t>150</w:t>
            </w:r>
          </w:p>
        </w:tc>
        <w:tc>
          <w:tcPr>
            <w:tcW w:w="1843" w:type="dxa"/>
          </w:tcPr>
          <w:p w:rsidR="0032345E" w:rsidRPr="00EB215B" w:rsidRDefault="0032345E" w:rsidP="00EB215B">
            <w:pPr>
              <w:rPr>
                <w:sz w:val="20"/>
                <w:szCs w:val="20"/>
              </w:rPr>
            </w:pPr>
            <w:r w:rsidRPr="00EB215B">
              <w:rPr>
                <w:sz w:val="20"/>
                <w:szCs w:val="20"/>
              </w:rPr>
              <w:t>586</w:t>
            </w:r>
          </w:p>
        </w:tc>
        <w:tc>
          <w:tcPr>
            <w:tcW w:w="1417" w:type="dxa"/>
          </w:tcPr>
          <w:p w:rsidR="0032345E" w:rsidRPr="00EB215B" w:rsidRDefault="0032345E" w:rsidP="00EB215B">
            <w:pPr>
              <w:rPr>
                <w:kern w:val="2"/>
                <w:sz w:val="20"/>
                <w:szCs w:val="20"/>
              </w:rPr>
            </w:pPr>
            <w:r w:rsidRPr="00EB215B">
              <w:rPr>
                <w:kern w:val="2"/>
                <w:sz w:val="20"/>
                <w:szCs w:val="20"/>
              </w:rPr>
              <w:t>≈8</w:t>
            </w:r>
          </w:p>
        </w:tc>
      </w:tr>
      <w:tr w:rsidR="0032345E" w:rsidRPr="00EB215B" w:rsidTr="00873F48">
        <w:trPr>
          <w:trHeight w:val="400"/>
        </w:trPr>
        <w:tc>
          <w:tcPr>
            <w:tcW w:w="1526" w:type="dxa"/>
            <w:vMerge/>
          </w:tcPr>
          <w:p w:rsidR="0032345E" w:rsidRPr="00EB215B" w:rsidRDefault="0032345E" w:rsidP="00EB215B">
            <w:pPr>
              <w:rPr>
                <w:color w:val="00B050"/>
                <w:kern w:val="2"/>
                <w:sz w:val="20"/>
                <w:szCs w:val="20"/>
              </w:rPr>
            </w:pPr>
          </w:p>
        </w:tc>
        <w:tc>
          <w:tcPr>
            <w:tcW w:w="1984" w:type="dxa"/>
            <w:vMerge/>
          </w:tcPr>
          <w:p w:rsidR="0032345E" w:rsidRPr="00EB215B" w:rsidRDefault="0032345E" w:rsidP="00EB215B">
            <w:pPr>
              <w:rPr>
                <w:color w:val="00B050"/>
                <w:kern w:val="2"/>
                <w:sz w:val="20"/>
                <w:szCs w:val="20"/>
              </w:rPr>
            </w:pPr>
          </w:p>
        </w:tc>
        <w:tc>
          <w:tcPr>
            <w:tcW w:w="1985" w:type="dxa"/>
          </w:tcPr>
          <w:p w:rsidR="0032345E" w:rsidRPr="00EB215B" w:rsidRDefault="0032345E" w:rsidP="00EB215B">
            <w:pPr>
              <w:rPr>
                <w:kern w:val="2"/>
                <w:sz w:val="20"/>
                <w:szCs w:val="20"/>
              </w:rPr>
            </w:pPr>
            <w:r w:rsidRPr="00EB215B">
              <w:rPr>
                <w:kern w:val="2"/>
                <w:sz w:val="20"/>
                <w:szCs w:val="20"/>
              </w:rPr>
              <w:t>300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0</w:t>
            </w:r>
            <w:r w:rsidRPr="00EB215B">
              <w:rPr>
                <w:kern w:val="2"/>
                <w:sz w:val="20"/>
                <w:szCs w:val="20"/>
              </w:rPr>
              <w:t xml:space="preserve"> </w:t>
            </w:r>
            <w:proofErr w:type="spellStart"/>
            <w:r w:rsidRPr="00EB215B">
              <w:rPr>
                <w:kern w:val="2"/>
                <w:sz w:val="20"/>
                <w:szCs w:val="20"/>
              </w:rPr>
              <w:t>maternotoxicity</w:t>
            </w:r>
            <w:proofErr w:type="spellEnd"/>
            <w:r w:rsidRPr="00EB215B">
              <w:rPr>
                <w:kern w:val="2"/>
                <w:sz w:val="20"/>
                <w:szCs w:val="20"/>
              </w:rPr>
              <w:t>)</w:t>
            </w:r>
          </w:p>
        </w:tc>
        <w:tc>
          <w:tcPr>
            <w:tcW w:w="1843" w:type="dxa"/>
          </w:tcPr>
          <w:p w:rsidR="0032345E" w:rsidRPr="00EB215B" w:rsidRDefault="0032345E" w:rsidP="00EB215B">
            <w:pPr>
              <w:rPr>
                <w:sz w:val="20"/>
                <w:szCs w:val="20"/>
              </w:rPr>
            </w:pPr>
            <w:r w:rsidRPr="00EB215B">
              <w:rPr>
                <w:sz w:val="20"/>
                <w:szCs w:val="20"/>
              </w:rPr>
              <w:t>1099</w:t>
            </w:r>
          </w:p>
        </w:tc>
        <w:tc>
          <w:tcPr>
            <w:tcW w:w="1417" w:type="dxa"/>
          </w:tcPr>
          <w:p w:rsidR="0032345E" w:rsidRPr="00EB215B" w:rsidRDefault="0032345E" w:rsidP="00EB215B">
            <w:pPr>
              <w:rPr>
                <w:kern w:val="2"/>
                <w:sz w:val="20"/>
                <w:szCs w:val="20"/>
              </w:rPr>
            </w:pPr>
            <w:r w:rsidRPr="00EB215B">
              <w:rPr>
                <w:kern w:val="2"/>
                <w:sz w:val="20"/>
                <w:szCs w:val="20"/>
              </w:rPr>
              <w:t>≈16</w:t>
            </w:r>
          </w:p>
        </w:tc>
      </w:tr>
      <w:tr w:rsidR="0032345E" w:rsidRPr="00EB215B" w:rsidTr="00873F48">
        <w:trPr>
          <w:trHeight w:val="400"/>
        </w:trPr>
        <w:tc>
          <w:tcPr>
            <w:tcW w:w="1526" w:type="dxa"/>
            <w:vMerge/>
          </w:tcPr>
          <w:p w:rsidR="0032345E" w:rsidRPr="00EB215B" w:rsidRDefault="0032345E" w:rsidP="00EB215B">
            <w:pPr>
              <w:rPr>
                <w:color w:val="00B050"/>
                <w:kern w:val="2"/>
                <w:sz w:val="20"/>
                <w:szCs w:val="20"/>
              </w:rPr>
            </w:pPr>
          </w:p>
        </w:tc>
        <w:tc>
          <w:tcPr>
            <w:tcW w:w="1984" w:type="dxa"/>
            <w:vMerge/>
          </w:tcPr>
          <w:p w:rsidR="0032345E" w:rsidRPr="00EB215B" w:rsidRDefault="0032345E" w:rsidP="00EB215B">
            <w:pPr>
              <w:rPr>
                <w:color w:val="00B050"/>
                <w:kern w:val="2"/>
                <w:sz w:val="20"/>
                <w:szCs w:val="20"/>
              </w:rPr>
            </w:pPr>
          </w:p>
        </w:tc>
        <w:tc>
          <w:tcPr>
            <w:tcW w:w="1985" w:type="dxa"/>
          </w:tcPr>
          <w:p w:rsidR="0032345E" w:rsidRPr="00EB215B" w:rsidRDefault="0032345E" w:rsidP="00EB215B">
            <w:pPr>
              <w:rPr>
                <w:kern w:val="2"/>
                <w:sz w:val="20"/>
                <w:szCs w:val="20"/>
              </w:rPr>
            </w:pPr>
            <w:r w:rsidRPr="00EB215B">
              <w:rPr>
                <w:kern w:val="2"/>
                <w:sz w:val="20"/>
                <w:szCs w:val="20"/>
              </w:rPr>
              <w:t>600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1</w:t>
            </w:r>
            <w:r w:rsidRPr="00EB215B">
              <w:rPr>
                <w:kern w:val="2"/>
                <w:sz w:val="20"/>
                <w:szCs w:val="20"/>
              </w:rPr>
              <w:t xml:space="preserve"> adverse effects)</w:t>
            </w:r>
          </w:p>
        </w:tc>
        <w:tc>
          <w:tcPr>
            <w:tcW w:w="1843" w:type="dxa"/>
          </w:tcPr>
          <w:p w:rsidR="0032345E" w:rsidRPr="00EB215B" w:rsidRDefault="0032345E" w:rsidP="00EB215B">
            <w:pPr>
              <w:rPr>
                <w:sz w:val="20"/>
                <w:szCs w:val="20"/>
              </w:rPr>
            </w:pPr>
            <w:r w:rsidRPr="00EB215B">
              <w:rPr>
                <w:sz w:val="20"/>
                <w:szCs w:val="20"/>
              </w:rPr>
              <w:t>1801</w:t>
            </w:r>
          </w:p>
        </w:tc>
        <w:tc>
          <w:tcPr>
            <w:tcW w:w="1417" w:type="dxa"/>
          </w:tcPr>
          <w:p w:rsidR="0032345E" w:rsidRPr="00EB215B" w:rsidRDefault="0032345E" w:rsidP="00EB215B">
            <w:pPr>
              <w:rPr>
                <w:kern w:val="2"/>
                <w:sz w:val="20"/>
                <w:szCs w:val="20"/>
              </w:rPr>
            </w:pPr>
            <w:r w:rsidRPr="00EB215B">
              <w:rPr>
                <w:kern w:val="2"/>
                <w:sz w:val="20"/>
                <w:szCs w:val="20"/>
              </w:rPr>
              <w:t>≈26</w:t>
            </w:r>
          </w:p>
        </w:tc>
      </w:tr>
      <w:tr w:rsidR="0032345E" w:rsidRPr="00EB215B" w:rsidTr="00873F48">
        <w:trPr>
          <w:trHeight w:val="260"/>
        </w:trPr>
        <w:tc>
          <w:tcPr>
            <w:tcW w:w="1526" w:type="dxa"/>
            <w:vMerge w:val="restart"/>
          </w:tcPr>
          <w:p w:rsidR="0032345E" w:rsidRPr="00EB215B" w:rsidRDefault="0032345E" w:rsidP="00EB215B">
            <w:pPr>
              <w:rPr>
                <w:kern w:val="2"/>
                <w:sz w:val="20"/>
                <w:szCs w:val="20"/>
              </w:rPr>
            </w:pPr>
            <w:r w:rsidRPr="00EB215B">
              <w:rPr>
                <w:kern w:val="2"/>
                <w:sz w:val="20"/>
                <w:szCs w:val="20"/>
              </w:rPr>
              <w:t>PSM0860</w:t>
            </w:r>
          </w:p>
          <w:p w:rsidR="0032345E" w:rsidRPr="00EB215B" w:rsidRDefault="0032345E" w:rsidP="00EB215B">
            <w:pPr>
              <w:rPr>
                <w:kern w:val="2"/>
                <w:sz w:val="20"/>
                <w:szCs w:val="20"/>
              </w:rPr>
            </w:pPr>
            <w:r w:rsidRPr="00EB215B">
              <w:rPr>
                <w:b/>
                <w:kern w:val="2"/>
                <w:sz w:val="20"/>
                <w:szCs w:val="20"/>
              </w:rPr>
              <w:t>Rabbit</w:t>
            </w:r>
            <w:r w:rsidRPr="00EB215B">
              <w:rPr>
                <w:kern w:val="2"/>
                <w:sz w:val="20"/>
                <w:szCs w:val="20"/>
              </w:rPr>
              <w:br/>
              <w:t>(NZW)</w:t>
            </w:r>
          </w:p>
        </w:tc>
        <w:tc>
          <w:tcPr>
            <w:tcW w:w="1984" w:type="dxa"/>
            <w:vMerge w:val="restart"/>
          </w:tcPr>
          <w:p w:rsidR="0032345E" w:rsidRPr="00EB215B" w:rsidRDefault="0032345E" w:rsidP="00EB215B">
            <w:pPr>
              <w:rPr>
                <w:kern w:val="2"/>
                <w:sz w:val="20"/>
                <w:szCs w:val="20"/>
              </w:rPr>
            </w:pPr>
            <w:proofErr w:type="spellStart"/>
            <w:r w:rsidRPr="00EB215B">
              <w:rPr>
                <w:kern w:val="2"/>
                <w:sz w:val="20"/>
                <w:szCs w:val="20"/>
              </w:rPr>
              <w:t>Embryofetal</w:t>
            </w:r>
            <w:proofErr w:type="spellEnd"/>
            <w:r w:rsidRPr="00EB215B">
              <w:rPr>
                <w:kern w:val="2"/>
                <w:sz w:val="20"/>
                <w:szCs w:val="20"/>
              </w:rPr>
              <w:t xml:space="preserve"> development</w:t>
            </w:r>
          </w:p>
        </w:tc>
        <w:tc>
          <w:tcPr>
            <w:tcW w:w="1985" w:type="dxa"/>
          </w:tcPr>
          <w:p w:rsidR="0032345E" w:rsidRPr="00EB215B" w:rsidRDefault="0032345E" w:rsidP="00EB215B">
            <w:pPr>
              <w:rPr>
                <w:kern w:val="2"/>
                <w:sz w:val="20"/>
                <w:szCs w:val="20"/>
              </w:rPr>
            </w:pPr>
            <w:r w:rsidRPr="00EB215B">
              <w:rPr>
                <w:kern w:val="2"/>
                <w:sz w:val="20"/>
                <w:szCs w:val="20"/>
              </w:rPr>
              <w:t>30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0</w:t>
            </w:r>
            <w:r w:rsidRPr="00EB215B">
              <w:rPr>
                <w:kern w:val="2"/>
                <w:sz w:val="20"/>
                <w:szCs w:val="20"/>
              </w:rPr>
              <w:t xml:space="preserve"> </w:t>
            </w:r>
            <w:proofErr w:type="spellStart"/>
            <w:r w:rsidRPr="00EB215B">
              <w:rPr>
                <w:kern w:val="2"/>
                <w:sz w:val="20"/>
                <w:szCs w:val="20"/>
              </w:rPr>
              <w:t>maternotoxicity</w:t>
            </w:r>
            <w:proofErr w:type="spellEnd"/>
            <w:r w:rsidRPr="00EB215B">
              <w:rPr>
                <w:kern w:val="2"/>
                <w:sz w:val="20"/>
                <w:szCs w:val="20"/>
              </w:rPr>
              <w:t>)</w:t>
            </w:r>
          </w:p>
        </w:tc>
        <w:tc>
          <w:tcPr>
            <w:tcW w:w="1843" w:type="dxa"/>
          </w:tcPr>
          <w:p w:rsidR="0032345E" w:rsidRPr="00EB215B" w:rsidRDefault="0032345E" w:rsidP="00EB215B">
            <w:pPr>
              <w:rPr>
                <w:kern w:val="2"/>
                <w:sz w:val="20"/>
                <w:szCs w:val="20"/>
              </w:rPr>
            </w:pPr>
            <w:r w:rsidRPr="00EB215B">
              <w:rPr>
                <w:kern w:val="2"/>
                <w:sz w:val="20"/>
                <w:szCs w:val="20"/>
              </w:rPr>
              <w:t>62.2</w:t>
            </w:r>
          </w:p>
        </w:tc>
        <w:tc>
          <w:tcPr>
            <w:tcW w:w="1417" w:type="dxa"/>
          </w:tcPr>
          <w:p w:rsidR="0032345E" w:rsidRPr="00EB215B" w:rsidRDefault="0032345E" w:rsidP="00EB215B">
            <w:pPr>
              <w:rPr>
                <w:kern w:val="2"/>
                <w:sz w:val="20"/>
                <w:szCs w:val="20"/>
              </w:rPr>
            </w:pPr>
            <w:r w:rsidRPr="00EB215B">
              <w:rPr>
                <w:kern w:val="2"/>
                <w:sz w:val="20"/>
                <w:szCs w:val="20"/>
              </w:rPr>
              <w:t>≈1</w:t>
            </w:r>
          </w:p>
        </w:tc>
      </w:tr>
      <w:tr w:rsidR="0032345E" w:rsidRPr="00EB215B" w:rsidTr="00873F48">
        <w:trPr>
          <w:trHeight w:val="260"/>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tcPr>
          <w:p w:rsidR="0032345E" w:rsidRPr="00EB215B" w:rsidRDefault="0032345E" w:rsidP="00EB215B">
            <w:pPr>
              <w:rPr>
                <w:kern w:val="2"/>
                <w:sz w:val="20"/>
                <w:szCs w:val="20"/>
              </w:rPr>
            </w:pPr>
            <w:r w:rsidRPr="00EB215B">
              <w:rPr>
                <w:kern w:val="2"/>
                <w:sz w:val="20"/>
                <w:szCs w:val="20"/>
              </w:rPr>
              <w:t>60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0</w:t>
            </w:r>
            <w:r w:rsidRPr="00EB215B">
              <w:rPr>
                <w:kern w:val="2"/>
                <w:sz w:val="20"/>
                <w:szCs w:val="20"/>
              </w:rPr>
              <w:t xml:space="preserve"> </w:t>
            </w:r>
            <w:proofErr w:type="spellStart"/>
            <w:r w:rsidRPr="00EB215B">
              <w:rPr>
                <w:kern w:val="2"/>
                <w:sz w:val="20"/>
                <w:szCs w:val="20"/>
              </w:rPr>
              <w:t>maternotoxicity</w:t>
            </w:r>
            <w:proofErr w:type="spellEnd"/>
            <w:r w:rsidRPr="00EB215B">
              <w:rPr>
                <w:kern w:val="2"/>
                <w:sz w:val="20"/>
                <w:szCs w:val="20"/>
              </w:rPr>
              <w:t>)</w:t>
            </w:r>
          </w:p>
        </w:tc>
        <w:tc>
          <w:tcPr>
            <w:tcW w:w="1843" w:type="dxa"/>
          </w:tcPr>
          <w:p w:rsidR="0032345E" w:rsidRPr="00EB215B" w:rsidRDefault="0032345E" w:rsidP="00EB215B">
            <w:pPr>
              <w:rPr>
                <w:kern w:val="2"/>
                <w:sz w:val="20"/>
                <w:szCs w:val="20"/>
              </w:rPr>
            </w:pPr>
            <w:r w:rsidRPr="00EB215B">
              <w:rPr>
                <w:kern w:val="2"/>
                <w:sz w:val="20"/>
                <w:szCs w:val="20"/>
              </w:rPr>
              <w:t>106</w:t>
            </w:r>
          </w:p>
        </w:tc>
        <w:tc>
          <w:tcPr>
            <w:tcW w:w="1417" w:type="dxa"/>
          </w:tcPr>
          <w:p w:rsidR="0032345E" w:rsidRPr="00EB215B" w:rsidRDefault="0032345E" w:rsidP="00EB215B">
            <w:pPr>
              <w:rPr>
                <w:kern w:val="2"/>
                <w:sz w:val="20"/>
                <w:szCs w:val="20"/>
              </w:rPr>
            </w:pPr>
            <w:r w:rsidRPr="00EB215B">
              <w:rPr>
                <w:kern w:val="2"/>
                <w:sz w:val="20"/>
                <w:szCs w:val="20"/>
              </w:rPr>
              <w:t>≈2</w:t>
            </w:r>
          </w:p>
        </w:tc>
      </w:tr>
      <w:tr w:rsidR="0032345E" w:rsidRPr="00EB215B" w:rsidTr="00873F48">
        <w:trPr>
          <w:trHeight w:val="260"/>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tcPr>
          <w:p w:rsidR="0032345E" w:rsidRPr="00EB215B" w:rsidRDefault="0032345E" w:rsidP="00EB215B">
            <w:pPr>
              <w:rPr>
                <w:kern w:val="2"/>
                <w:sz w:val="20"/>
                <w:szCs w:val="20"/>
              </w:rPr>
            </w:pPr>
            <w:r w:rsidRPr="00EB215B">
              <w:rPr>
                <w:kern w:val="2"/>
                <w:sz w:val="20"/>
                <w:szCs w:val="20"/>
              </w:rPr>
              <w:t>120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0</w:t>
            </w:r>
            <w:r w:rsidRPr="00EB215B">
              <w:rPr>
                <w:kern w:val="2"/>
                <w:sz w:val="20"/>
                <w:szCs w:val="20"/>
              </w:rPr>
              <w:t xml:space="preserve"> </w:t>
            </w:r>
            <w:proofErr w:type="spellStart"/>
            <w:r w:rsidRPr="00EB215B">
              <w:rPr>
                <w:kern w:val="2"/>
                <w:sz w:val="20"/>
                <w:szCs w:val="20"/>
              </w:rPr>
              <w:t>maternotoxicity</w:t>
            </w:r>
            <w:proofErr w:type="spellEnd"/>
            <w:r w:rsidRPr="00EB215B">
              <w:rPr>
                <w:kern w:val="2"/>
                <w:sz w:val="20"/>
                <w:szCs w:val="20"/>
              </w:rPr>
              <w:t>)</w:t>
            </w:r>
          </w:p>
        </w:tc>
        <w:tc>
          <w:tcPr>
            <w:tcW w:w="1843" w:type="dxa"/>
          </w:tcPr>
          <w:p w:rsidR="0032345E" w:rsidRPr="00EB215B" w:rsidRDefault="0032345E" w:rsidP="00EB215B">
            <w:pPr>
              <w:rPr>
                <w:kern w:val="2"/>
                <w:sz w:val="20"/>
                <w:szCs w:val="20"/>
              </w:rPr>
            </w:pPr>
            <w:r w:rsidRPr="00EB215B">
              <w:rPr>
                <w:kern w:val="2"/>
                <w:sz w:val="20"/>
                <w:szCs w:val="20"/>
              </w:rPr>
              <w:t>198</w:t>
            </w:r>
          </w:p>
        </w:tc>
        <w:tc>
          <w:tcPr>
            <w:tcW w:w="1417" w:type="dxa"/>
          </w:tcPr>
          <w:p w:rsidR="0032345E" w:rsidRPr="00EB215B" w:rsidRDefault="0032345E" w:rsidP="00EB215B">
            <w:pPr>
              <w:rPr>
                <w:kern w:val="2"/>
                <w:sz w:val="20"/>
                <w:szCs w:val="20"/>
              </w:rPr>
            </w:pPr>
            <w:r w:rsidRPr="00EB215B">
              <w:rPr>
                <w:kern w:val="2"/>
                <w:sz w:val="20"/>
                <w:szCs w:val="20"/>
              </w:rPr>
              <w:t>≈3</w:t>
            </w:r>
          </w:p>
        </w:tc>
      </w:tr>
      <w:tr w:rsidR="0032345E" w:rsidRPr="00EB215B" w:rsidTr="00873F48">
        <w:trPr>
          <w:trHeight w:val="260"/>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tcPr>
          <w:p w:rsidR="0032345E" w:rsidRPr="00EB215B" w:rsidRDefault="0032345E" w:rsidP="00EB215B">
            <w:pPr>
              <w:rPr>
                <w:kern w:val="2"/>
                <w:sz w:val="20"/>
                <w:szCs w:val="20"/>
              </w:rPr>
            </w:pPr>
            <w:r w:rsidRPr="00EB215B">
              <w:rPr>
                <w:kern w:val="2"/>
                <w:sz w:val="20"/>
                <w:szCs w:val="20"/>
              </w:rPr>
              <w:t>240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0</w:t>
            </w:r>
            <w:r w:rsidRPr="00EB215B">
              <w:rPr>
                <w:kern w:val="2"/>
                <w:sz w:val="20"/>
                <w:szCs w:val="20"/>
              </w:rPr>
              <w:t xml:space="preserve"> </w:t>
            </w:r>
            <w:proofErr w:type="spellStart"/>
            <w:r w:rsidRPr="00EB215B">
              <w:rPr>
                <w:kern w:val="2"/>
                <w:sz w:val="20"/>
                <w:szCs w:val="20"/>
              </w:rPr>
              <w:t>maternotoxicity</w:t>
            </w:r>
            <w:proofErr w:type="spellEnd"/>
            <w:r w:rsidRPr="00EB215B">
              <w:rPr>
                <w:kern w:val="2"/>
                <w:sz w:val="20"/>
                <w:szCs w:val="20"/>
              </w:rPr>
              <w:t>)</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1</w:t>
            </w:r>
            <w:r w:rsidRPr="00EB215B">
              <w:rPr>
                <w:kern w:val="2"/>
                <w:sz w:val="20"/>
                <w:szCs w:val="20"/>
              </w:rPr>
              <w:t xml:space="preserve"> adverse effects)</w:t>
            </w:r>
          </w:p>
        </w:tc>
        <w:tc>
          <w:tcPr>
            <w:tcW w:w="1843" w:type="dxa"/>
          </w:tcPr>
          <w:p w:rsidR="0032345E" w:rsidRPr="00EB215B" w:rsidRDefault="0032345E" w:rsidP="00EB215B">
            <w:pPr>
              <w:rPr>
                <w:kern w:val="2"/>
                <w:sz w:val="20"/>
                <w:szCs w:val="20"/>
              </w:rPr>
            </w:pPr>
            <w:r w:rsidRPr="00EB215B">
              <w:rPr>
                <w:kern w:val="2"/>
                <w:sz w:val="20"/>
                <w:szCs w:val="20"/>
              </w:rPr>
              <w:t>445</w:t>
            </w:r>
          </w:p>
        </w:tc>
        <w:tc>
          <w:tcPr>
            <w:tcW w:w="1417" w:type="dxa"/>
          </w:tcPr>
          <w:p w:rsidR="0032345E" w:rsidRPr="00EB215B" w:rsidRDefault="0032345E" w:rsidP="00EB215B">
            <w:pPr>
              <w:rPr>
                <w:kern w:val="2"/>
                <w:sz w:val="20"/>
                <w:szCs w:val="20"/>
              </w:rPr>
            </w:pPr>
            <w:r w:rsidRPr="00EB215B">
              <w:rPr>
                <w:kern w:val="2"/>
                <w:sz w:val="20"/>
                <w:szCs w:val="20"/>
              </w:rPr>
              <w:t>≈6</w:t>
            </w:r>
          </w:p>
        </w:tc>
      </w:tr>
      <w:tr w:rsidR="0032345E" w:rsidRPr="00EB215B" w:rsidTr="00873F48">
        <w:trPr>
          <w:trHeight w:val="187"/>
        </w:trPr>
        <w:tc>
          <w:tcPr>
            <w:tcW w:w="1526" w:type="dxa"/>
            <w:vMerge w:val="restart"/>
          </w:tcPr>
          <w:p w:rsidR="0032345E" w:rsidRPr="00EB215B" w:rsidRDefault="0032345E" w:rsidP="00EB215B">
            <w:pPr>
              <w:rPr>
                <w:kern w:val="2"/>
                <w:sz w:val="20"/>
                <w:szCs w:val="20"/>
              </w:rPr>
            </w:pPr>
            <w:r w:rsidRPr="00EB215B">
              <w:rPr>
                <w:kern w:val="2"/>
                <w:sz w:val="20"/>
                <w:szCs w:val="20"/>
              </w:rPr>
              <w:t>NCD1330</w:t>
            </w:r>
            <w:r w:rsidRPr="00EB215B">
              <w:rPr>
                <w:kern w:val="2"/>
                <w:sz w:val="20"/>
                <w:szCs w:val="20"/>
              </w:rPr>
              <w:br/>
            </w:r>
            <w:r w:rsidRPr="00EB215B">
              <w:rPr>
                <w:b/>
                <w:kern w:val="2"/>
                <w:sz w:val="20"/>
                <w:szCs w:val="20"/>
              </w:rPr>
              <w:t>Rat</w:t>
            </w:r>
          </w:p>
          <w:p w:rsidR="0032345E" w:rsidRPr="00EB215B" w:rsidRDefault="0032345E" w:rsidP="00EB215B">
            <w:pPr>
              <w:rPr>
                <w:kern w:val="2"/>
                <w:sz w:val="20"/>
                <w:szCs w:val="20"/>
              </w:rPr>
            </w:pPr>
            <w:r w:rsidRPr="00EB215B">
              <w:rPr>
                <w:kern w:val="2"/>
                <w:sz w:val="20"/>
                <w:szCs w:val="20"/>
              </w:rPr>
              <w:t>(</w:t>
            </w:r>
            <w:proofErr w:type="spellStart"/>
            <w:r w:rsidRPr="00EB215B">
              <w:rPr>
                <w:kern w:val="2"/>
                <w:sz w:val="20"/>
                <w:szCs w:val="20"/>
              </w:rPr>
              <w:t>Wistar</w:t>
            </w:r>
            <w:proofErr w:type="spellEnd"/>
            <w:r w:rsidRPr="00EB215B">
              <w:rPr>
                <w:kern w:val="2"/>
                <w:sz w:val="20"/>
                <w:szCs w:val="20"/>
              </w:rPr>
              <w:t>)</w:t>
            </w:r>
          </w:p>
        </w:tc>
        <w:tc>
          <w:tcPr>
            <w:tcW w:w="1984" w:type="dxa"/>
            <w:vMerge w:val="restart"/>
          </w:tcPr>
          <w:p w:rsidR="0032345E" w:rsidRPr="00EB215B" w:rsidRDefault="0032345E" w:rsidP="00EB215B">
            <w:pPr>
              <w:rPr>
                <w:kern w:val="2"/>
                <w:sz w:val="20"/>
                <w:szCs w:val="20"/>
              </w:rPr>
            </w:pPr>
            <w:r w:rsidRPr="00EB215B">
              <w:rPr>
                <w:kern w:val="2"/>
                <w:sz w:val="20"/>
                <w:szCs w:val="20"/>
              </w:rPr>
              <w:t>Pre-postnatal development</w:t>
            </w:r>
          </w:p>
        </w:tc>
        <w:tc>
          <w:tcPr>
            <w:tcW w:w="1985" w:type="dxa"/>
            <w:vMerge w:val="restart"/>
          </w:tcPr>
          <w:p w:rsidR="0032345E" w:rsidRPr="00EB215B" w:rsidRDefault="0032345E" w:rsidP="00EB215B">
            <w:pPr>
              <w:rPr>
                <w:kern w:val="2"/>
                <w:sz w:val="20"/>
                <w:szCs w:val="20"/>
              </w:rPr>
            </w:pPr>
            <w:r w:rsidRPr="00EB215B">
              <w:rPr>
                <w:kern w:val="2"/>
                <w:sz w:val="20"/>
                <w:szCs w:val="20"/>
              </w:rPr>
              <w:t>150</w:t>
            </w:r>
          </w:p>
        </w:tc>
        <w:tc>
          <w:tcPr>
            <w:tcW w:w="1843" w:type="dxa"/>
          </w:tcPr>
          <w:p w:rsidR="0032345E" w:rsidRPr="00EB215B" w:rsidRDefault="0032345E" w:rsidP="00EB215B">
            <w:pPr>
              <w:rPr>
                <w:kern w:val="2"/>
                <w:sz w:val="20"/>
                <w:szCs w:val="20"/>
              </w:rPr>
            </w:pPr>
            <w:r w:rsidRPr="00EB215B">
              <w:rPr>
                <w:kern w:val="2"/>
                <w:sz w:val="20"/>
                <w:szCs w:val="20"/>
              </w:rPr>
              <w:t>278 (Brivaracetam)</w:t>
            </w:r>
          </w:p>
        </w:tc>
        <w:tc>
          <w:tcPr>
            <w:tcW w:w="1417" w:type="dxa"/>
          </w:tcPr>
          <w:p w:rsidR="0032345E" w:rsidRPr="00EB215B" w:rsidRDefault="0032345E" w:rsidP="00EB215B">
            <w:pPr>
              <w:rPr>
                <w:kern w:val="2"/>
                <w:sz w:val="20"/>
                <w:szCs w:val="20"/>
              </w:rPr>
            </w:pPr>
            <w:r w:rsidRPr="00EB215B">
              <w:rPr>
                <w:kern w:val="2"/>
                <w:sz w:val="20"/>
                <w:szCs w:val="20"/>
              </w:rPr>
              <w:t>≈4</w:t>
            </w:r>
          </w:p>
        </w:tc>
      </w:tr>
      <w:tr w:rsidR="0032345E" w:rsidRPr="00EB215B" w:rsidTr="00873F48">
        <w:trPr>
          <w:trHeight w:val="187"/>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tcPr>
          <w:p w:rsidR="0032345E" w:rsidRPr="00EB215B" w:rsidRDefault="0032345E" w:rsidP="00EB215B">
            <w:pPr>
              <w:rPr>
                <w:kern w:val="2"/>
                <w:sz w:val="20"/>
                <w:szCs w:val="20"/>
              </w:rPr>
            </w:pPr>
          </w:p>
        </w:tc>
        <w:tc>
          <w:tcPr>
            <w:tcW w:w="1843" w:type="dxa"/>
          </w:tcPr>
          <w:p w:rsidR="0032345E" w:rsidRPr="00EB215B" w:rsidRDefault="0032345E" w:rsidP="00EB215B">
            <w:pPr>
              <w:rPr>
                <w:kern w:val="2"/>
                <w:sz w:val="20"/>
                <w:szCs w:val="20"/>
              </w:rPr>
            </w:pPr>
            <w:r w:rsidRPr="00EB215B">
              <w:rPr>
                <w:kern w:val="2"/>
                <w:sz w:val="20"/>
                <w:szCs w:val="20"/>
              </w:rPr>
              <w:t>5.30 (ucb-42145)</w:t>
            </w:r>
          </w:p>
        </w:tc>
        <w:tc>
          <w:tcPr>
            <w:tcW w:w="1417" w:type="dxa"/>
          </w:tcPr>
          <w:p w:rsidR="0032345E" w:rsidRPr="00EB215B" w:rsidRDefault="0032345E" w:rsidP="00EB215B">
            <w:pPr>
              <w:rPr>
                <w:kern w:val="2"/>
                <w:sz w:val="20"/>
                <w:szCs w:val="20"/>
              </w:rPr>
            </w:pPr>
            <w:r w:rsidRPr="00EB215B">
              <w:rPr>
                <w:kern w:val="2"/>
                <w:sz w:val="20"/>
                <w:szCs w:val="20"/>
              </w:rPr>
              <w:t>≈2</w:t>
            </w:r>
            <w:r w:rsidRPr="00EB215B">
              <w:rPr>
                <w:sz w:val="20"/>
                <w:szCs w:val="20"/>
                <w:vertAlign w:val="superscript"/>
              </w:rPr>
              <w:t>‡</w:t>
            </w:r>
          </w:p>
        </w:tc>
      </w:tr>
      <w:tr w:rsidR="0032345E" w:rsidRPr="00EB215B" w:rsidTr="00873F48">
        <w:trPr>
          <w:trHeight w:val="187"/>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tcPr>
          <w:p w:rsidR="0032345E" w:rsidRPr="00EB215B" w:rsidRDefault="0032345E" w:rsidP="00EB215B">
            <w:pPr>
              <w:rPr>
                <w:kern w:val="2"/>
                <w:sz w:val="20"/>
                <w:szCs w:val="20"/>
              </w:rPr>
            </w:pPr>
          </w:p>
        </w:tc>
        <w:tc>
          <w:tcPr>
            <w:tcW w:w="1843" w:type="dxa"/>
          </w:tcPr>
          <w:p w:rsidR="0032345E" w:rsidRPr="00EB215B" w:rsidRDefault="0032345E" w:rsidP="00EB215B">
            <w:pPr>
              <w:rPr>
                <w:kern w:val="2"/>
                <w:sz w:val="20"/>
                <w:szCs w:val="20"/>
              </w:rPr>
            </w:pPr>
            <w:r w:rsidRPr="00EB215B">
              <w:rPr>
                <w:kern w:val="2"/>
                <w:sz w:val="20"/>
                <w:szCs w:val="20"/>
              </w:rPr>
              <w:t>78.7 (ucb-100406-1)</w:t>
            </w:r>
          </w:p>
        </w:tc>
        <w:tc>
          <w:tcPr>
            <w:tcW w:w="1417" w:type="dxa"/>
          </w:tcPr>
          <w:p w:rsidR="0032345E" w:rsidRPr="00EB215B" w:rsidRDefault="0032345E" w:rsidP="00EB215B">
            <w:pPr>
              <w:rPr>
                <w:sz w:val="20"/>
                <w:szCs w:val="20"/>
              </w:rPr>
            </w:pPr>
            <w:r w:rsidRPr="00EB215B">
              <w:rPr>
                <w:kern w:val="2"/>
                <w:sz w:val="20"/>
                <w:szCs w:val="20"/>
              </w:rPr>
              <w:t>≈6</w:t>
            </w:r>
            <w:r w:rsidRPr="00EB215B">
              <w:rPr>
                <w:kern w:val="2"/>
                <w:sz w:val="20"/>
                <w:szCs w:val="20"/>
                <w:vertAlign w:val="superscript"/>
              </w:rPr>
              <w:t>κ</w:t>
            </w:r>
          </w:p>
        </w:tc>
      </w:tr>
      <w:tr w:rsidR="0032345E" w:rsidRPr="00EB215B" w:rsidTr="00873F48">
        <w:trPr>
          <w:trHeight w:val="221"/>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val="restart"/>
          </w:tcPr>
          <w:p w:rsidR="0032345E" w:rsidRPr="00EB215B" w:rsidRDefault="0032345E" w:rsidP="00EB215B">
            <w:pPr>
              <w:rPr>
                <w:kern w:val="2"/>
                <w:sz w:val="20"/>
                <w:szCs w:val="20"/>
              </w:rPr>
            </w:pPr>
            <w:r w:rsidRPr="00EB215B">
              <w:rPr>
                <w:kern w:val="2"/>
                <w:sz w:val="20"/>
                <w:szCs w:val="20"/>
              </w:rPr>
              <w:t>300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1</w:t>
            </w:r>
            <w:r w:rsidRPr="00EB215B">
              <w:rPr>
                <w:kern w:val="2"/>
                <w:sz w:val="20"/>
                <w:szCs w:val="20"/>
              </w:rPr>
              <w:t>)</w:t>
            </w:r>
          </w:p>
        </w:tc>
        <w:tc>
          <w:tcPr>
            <w:tcW w:w="1843" w:type="dxa"/>
          </w:tcPr>
          <w:p w:rsidR="0032345E" w:rsidRPr="00EB215B" w:rsidRDefault="0032345E" w:rsidP="00EB215B">
            <w:pPr>
              <w:rPr>
                <w:kern w:val="2"/>
                <w:sz w:val="20"/>
                <w:szCs w:val="20"/>
              </w:rPr>
            </w:pPr>
            <w:r w:rsidRPr="00EB215B">
              <w:rPr>
                <w:kern w:val="2"/>
                <w:sz w:val="20"/>
                <w:szCs w:val="20"/>
              </w:rPr>
              <w:t>377 (Brivaracetam)</w:t>
            </w:r>
          </w:p>
        </w:tc>
        <w:tc>
          <w:tcPr>
            <w:tcW w:w="1417" w:type="dxa"/>
          </w:tcPr>
          <w:p w:rsidR="0032345E" w:rsidRPr="00EB215B" w:rsidRDefault="0032345E" w:rsidP="00EB215B">
            <w:pPr>
              <w:rPr>
                <w:sz w:val="20"/>
                <w:szCs w:val="20"/>
              </w:rPr>
            </w:pPr>
            <w:r w:rsidRPr="00EB215B">
              <w:rPr>
                <w:kern w:val="2"/>
                <w:sz w:val="20"/>
                <w:szCs w:val="20"/>
              </w:rPr>
              <w:t>≈5</w:t>
            </w:r>
          </w:p>
        </w:tc>
      </w:tr>
      <w:tr w:rsidR="0032345E" w:rsidRPr="00EB215B" w:rsidTr="00873F48">
        <w:trPr>
          <w:trHeight w:val="221"/>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tcPr>
          <w:p w:rsidR="0032345E" w:rsidRPr="00EB215B" w:rsidRDefault="0032345E" w:rsidP="00EB215B">
            <w:pPr>
              <w:rPr>
                <w:kern w:val="2"/>
                <w:sz w:val="20"/>
                <w:szCs w:val="20"/>
              </w:rPr>
            </w:pPr>
          </w:p>
        </w:tc>
        <w:tc>
          <w:tcPr>
            <w:tcW w:w="1843" w:type="dxa"/>
          </w:tcPr>
          <w:p w:rsidR="0032345E" w:rsidRPr="00EB215B" w:rsidRDefault="0032345E" w:rsidP="00EB215B">
            <w:pPr>
              <w:rPr>
                <w:kern w:val="2"/>
                <w:sz w:val="20"/>
                <w:szCs w:val="20"/>
              </w:rPr>
            </w:pPr>
            <w:r w:rsidRPr="00EB215B">
              <w:rPr>
                <w:kern w:val="2"/>
                <w:sz w:val="20"/>
                <w:szCs w:val="20"/>
              </w:rPr>
              <w:t>6.16 (ucb-42145)</w:t>
            </w:r>
          </w:p>
        </w:tc>
        <w:tc>
          <w:tcPr>
            <w:tcW w:w="1417" w:type="dxa"/>
          </w:tcPr>
          <w:p w:rsidR="0032345E" w:rsidRPr="00EB215B" w:rsidRDefault="0032345E" w:rsidP="00EB215B">
            <w:pPr>
              <w:rPr>
                <w:sz w:val="20"/>
                <w:szCs w:val="20"/>
              </w:rPr>
            </w:pPr>
            <w:r w:rsidRPr="00EB215B">
              <w:rPr>
                <w:kern w:val="2"/>
                <w:sz w:val="20"/>
                <w:szCs w:val="20"/>
              </w:rPr>
              <w:t>≈2</w:t>
            </w:r>
            <w:r w:rsidRPr="00EB215B">
              <w:rPr>
                <w:sz w:val="20"/>
                <w:szCs w:val="20"/>
                <w:vertAlign w:val="superscript"/>
              </w:rPr>
              <w:t>‡</w:t>
            </w:r>
          </w:p>
        </w:tc>
      </w:tr>
      <w:tr w:rsidR="0032345E" w:rsidRPr="00EB215B" w:rsidTr="00873F48">
        <w:trPr>
          <w:trHeight w:val="221"/>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tcPr>
          <w:p w:rsidR="0032345E" w:rsidRPr="00EB215B" w:rsidRDefault="0032345E" w:rsidP="00EB215B">
            <w:pPr>
              <w:rPr>
                <w:kern w:val="2"/>
                <w:sz w:val="20"/>
                <w:szCs w:val="20"/>
              </w:rPr>
            </w:pPr>
          </w:p>
        </w:tc>
        <w:tc>
          <w:tcPr>
            <w:tcW w:w="1843" w:type="dxa"/>
          </w:tcPr>
          <w:p w:rsidR="0032345E" w:rsidRPr="00EB215B" w:rsidRDefault="0032345E" w:rsidP="00EB215B">
            <w:pPr>
              <w:rPr>
                <w:kern w:val="2"/>
                <w:sz w:val="20"/>
                <w:szCs w:val="20"/>
              </w:rPr>
            </w:pPr>
            <w:r w:rsidRPr="00EB215B">
              <w:rPr>
                <w:kern w:val="2"/>
                <w:sz w:val="20"/>
                <w:szCs w:val="20"/>
              </w:rPr>
              <w:t>132 (ucb-100406-1)</w:t>
            </w:r>
          </w:p>
        </w:tc>
        <w:tc>
          <w:tcPr>
            <w:tcW w:w="1417" w:type="dxa"/>
          </w:tcPr>
          <w:p w:rsidR="0032345E" w:rsidRPr="00EB215B" w:rsidRDefault="0032345E" w:rsidP="00EB215B">
            <w:pPr>
              <w:rPr>
                <w:sz w:val="20"/>
                <w:szCs w:val="20"/>
              </w:rPr>
            </w:pPr>
            <w:r w:rsidRPr="00EB215B">
              <w:rPr>
                <w:kern w:val="2"/>
                <w:sz w:val="20"/>
                <w:szCs w:val="20"/>
              </w:rPr>
              <w:t>≈9</w:t>
            </w:r>
            <w:r w:rsidRPr="00EB215B">
              <w:rPr>
                <w:kern w:val="2"/>
                <w:sz w:val="20"/>
                <w:szCs w:val="20"/>
                <w:vertAlign w:val="superscript"/>
              </w:rPr>
              <w:t xml:space="preserve"> κ</w:t>
            </w:r>
          </w:p>
        </w:tc>
      </w:tr>
      <w:tr w:rsidR="0032345E" w:rsidRPr="00EB215B" w:rsidTr="00873F48">
        <w:trPr>
          <w:trHeight w:val="213"/>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val="restart"/>
          </w:tcPr>
          <w:p w:rsidR="0032345E" w:rsidRPr="00EB215B" w:rsidRDefault="0032345E" w:rsidP="00EB215B">
            <w:pPr>
              <w:rPr>
                <w:kern w:val="2"/>
                <w:sz w:val="20"/>
                <w:szCs w:val="20"/>
              </w:rPr>
            </w:pPr>
            <w:r w:rsidRPr="00EB215B">
              <w:rPr>
                <w:kern w:val="2"/>
                <w:sz w:val="20"/>
                <w:szCs w:val="20"/>
              </w:rPr>
              <w:t>600</w:t>
            </w:r>
            <w:r w:rsidR="00DB075D" w:rsidRPr="00EB215B">
              <w:rPr>
                <w:kern w:val="2"/>
                <w:sz w:val="20"/>
                <w:szCs w:val="20"/>
              </w:rPr>
              <w:t xml:space="preserve"> </w:t>
            </w:r>
            <w:r w:rsidRPr="00EB215B">
              <w:rPr>
                <w:kern w:val="2"/>
                <w:sz w:val="20"/>
                <w:szCs w:val="20"/>
              </w:rPr>
              <w:t>(F</w:t>
            </w:r>
            <w:r w:rsidRPr="00EB215B">
              <w:rPr>
                <w:kern w:val="2"/>
                <w:sz w:val="20"/>
                <w:szCs w:val="20"/>
                <w:vertAlign w:val="subscript"/>
              </w:rPr>
              <w:t>0</w:t>
            </w:r>
            <w:r w:rsidRPr="00EB215B">
              <w:rPr>
                <w:kern w:val="2"/>
                <w:sz w:val="20"/>
                <w:szCs w:val="20"/>
              </w:rPr>
              <w:t>)</w:t>
            </w:r>
          </w:p>
        </w:tc>
        <w:tc>
          <w:tcPr>
            <w:tcW w:w="1843" w:type="dxa"/>
          </w:tcPr>
          <w:p w:rsidR="0032345E" w:rsidRPr="00EB215B" w:rsidRDefault="0032345E" w:rsidP="00EB215B">
            <w:pPr>
              <w:rPr>
                <w:kern w:val="2"/>
                <w:sz w:val="20"/>
                <w:szCs w:val="20"/>
              </w:rPr>
            </w:pPr>
            <w:r w:rsidRPr="00EB215B">
              <w:rPr>
                <w:kern w:val="2"/>
                <w:sz w:val="20"/>
                <w:szCs w:val="20"/>
              </w:rPr>
              <w:t>964 (Brivaracetam)</w:t>
            </w:r>
          </w:p>
        </w:tc>
        <w:tc>
          <w:tcPr>
            <w:tcW w:w="1417" w:type="dxa"/>
          </w:tcPr>
          <w:p w:rsidR="0032345E" w:rsidRPr="00EB215B" w:rsidRDefault="0032345E" w:rsidP="00EB215B">
            <w:pPr>
              <w:rPr>
                <w:sz w:val="20"/>
                <w:szCs w:val="20"/>
              </w:rPr>
            </w:pPr>
            <w:r w:rsidRPr="00EB215B">
              <w:rPr>
                <w:kern w:val="2"/>
                <w:sz w:val="20"/>
                <w:szCs w:val="20"/>
              </w:rPr>
              <w:t>≈14</w:t>
            </w:r>
          </w:p>
        </w:tc>
      </w:tr>
      <w:tr w:rsidR="0032345E" w:rsidRPr="00EB215B" w:rsidTr="00873F48">
        <w:trPr>
          <w:trHeight w:val="213"/>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tcPr>
          <w:p w:rsidR="0032345E" w:rsidRPr="00EB215B" w:rsidRDefault="0032345E" w:rsidP="00EB215B">
            <w:pPr>
              <w:rPr>
                <w:kern w:val="2"/>
                <w:sz w:val="20"/>
                <w:szCs w:val="20"/>
              </w:rPr>
            </w:pPr>
          </w:p>
        </w:tc>
        <w:tc>
          <w:tcPr>
            <w:tcW w:w="1843" w:type="dxa"/>
          </w:tcPr>
          <w:p w:rsidR="0032345E" w:rsidRPr="00EB215B" w:rsidRDefault="0032345E" w:rsidP="00EB215B">
            <w:pPr>
              <w:rPr>
                <w:kern w:val="2"/>
                <w:sz w:val="20"/>
                <w:szCs w:val="20"/>
              </w:rPr>
            </w:pPr>
            <w:r w:rsidRPr="00EB215B">
              <w:rPr>
                <w:kern w:val="2"/>
                <w:sz w:val="20"/>
                <w:szCs w:val="20"/>
              </w:rPr>
              <w:t>20.5 (ucb-42145)</w:t>
            </w:r>
          </w:p>
        </w:tc>
        <w:tc>
          <w:tcPr>
            <w:tcW w:w="1417" w:type="dxa"/>
          </w:tcPr>
          <w:p w:rsidR="0032345E" w:rsidRPr="00EB215B" w:rsidRDefault="0032345E" w:rsidP="00EB215B">
            <w:pPr>
              <w:rPr>
                <w:sz w:val="20"/>
                <w:szCs w:val="20"/>
              </w:rPr>
            </w:pPr>
            <w:r w:rsidRPr="00EB215B">
              <w:rPr>
                <w:kern w:val="2"/>
                <w:sz w:val="20"/>
                <w:szCs w:val="20"/>
              </w:rPr>
              <w:t>≈6</w:t>
            </w:r>
            <w:r w:rsidRPr="00EB215B">
              <w:rPr>
                <w:sz w:val="20"/>
                <w:szCs w:val="20"/>
                <w:vertAlign w:val="superscript"/>
              </w:rPr>
              <w:t>‡</w:t>
            </w:r>
          </w:p>
        </w:tc>
      </w:tr>
      <w:tr w:rsidR="0032345E" w:rsidRPr="00EB215B" w:rsidTr="00873F48">
        <w:trPr>
          <w:trHeight w:val="213"/>
        </w:trPr>
        <w:tc>
          <w:tcPr>
            <w:tcW w:w="1526" w:type="dxa"/>
            <w:vMerge/>
          </w:tcPr>
          <w:p w:rsidR="0032345E" w:rsidRPr="00EB215B" w:rsidRDefault="0032345E" w:rsidP="00EB215B">
            <w:pPr>
              <w:rPr>
                <w:kern w:val="2"/>
                <w:sz w:val="20"/>
                <w:szCs w:val="20"/>
              </w:rPr>
            </w:pPr>
          </w:p>
        </w:tc>
        <w:tc>
          <w:tcPr>
            <w:tcW w:w="1984" w:type="dxa"/>
            <w:vMerge/>
          </w:tcPr>
          <w:p w:rsidR="0032345E" w:rsidRPr="00EB215B" w:rsidRDefault="0032345E" w:rsidP="00EB215B">
            <w:pPr>
              <w:rPr>
                <w:kern w:val="2"/>
                <w:sz w:val="20"/>
                <w:szCs w:val="20"/>
              </w:rPr>
            </w:pPr>
          </w:p>
        </w:tc>
        <w:tc>
          <w:tcPr>
            <w:tcW w:w="1985" w:type="dxa"/>
            <w:vMerge/>
          </w:tcPr>
          <w:p w:rsidR="0032345E" w:rsidRPr="00EB215B" w:rsidRDefault="0032345E" w:rsidP="00EB215B">
            <w:pPr>
              <w:rPr>
                <w:kern w:val="2"/>
                <w:sz w:val="20"/>
                <w:szCs w:val="20"/>
              </w:rPr>
            </w:pPr>
          </w:p>
        </w:tc>
        <w:tc>
          <w:tcPr>
            <w:tcW w:w="1843" w:type="dxa"/>
          </w:tcPr>
          <w:p w:rsidR="0032345E" w:rsidRPr="00EB215B" w:rsidRDefault="0032345E" w:rsidP="00EB215B">
            <w:pPr>
              <w:rPr>
                <w:kern w:val="2"/>
                <w:sz w:val="20"/>
                <w:szCs w:val="20"/>
              </w:rPr>
            </w:pPr>
            <w:r w:rsidRPr="00EB215B">
              <w:rPr>
                <w:kern w:val="2"/>
                <w:sz w:val="20"/>
                <w:szCs w:val="20"/>
              </w:rPr>
              <w:t>342 (ucb-100406-1)</w:t>
            </w:r>
          </w:p>
        </w:tc>
        <w:tc>
          <w:tcPr>
            <w:tcW w:w="1417" w:type="dxa"/>
          </w:tcPr>
          <w:p w:rsidR="0032345E" w:rsidRPr="00EB215B" w:rsidRDefault="0032345E" w:rsidP="00EB215B">
            <w:pPr>
              <w:rPr>
                <w:sz w:val="20"/>
                <w:szCs w:val="20"/>
              </w:rPr>
            </w:pPr>
            <w:r w:rsidRPr="00EB215B">
              <w:rPr>
                <w:kern w:val="2"/>
                <w:sz w:val="20"/>
                <w:szCs w:val="20"/>
              </w:rPr>
              <w:t>≈24</w:t>
            </w:r>
            <w:r w:rsidRPr="00EB215B">
              <w:rPr>
                <w:kern w:val="2"/>
                <w:sz w:val="20"/>
                <w:szCs w:val="20"/>
                <w:vertAlign w:val="superscript"/>
              </w:rPr>
              <w:t xml:space="preserve"> κ</w:t>
            </w:r>
          </w:p>
        </w:tc>
      </w:tr>
    </w:tbl>
    <w:p w:rsidR="007D1910" w:rsidRDefault="00F70EA2" w:rsidP="00873F48">
      <w:pPr>
        <w:pStyle w:val="TableDescription"/>
      </w:pPr>
      <w:r>
        <w:rPr>
          <w:position w:val="-2"/>
          <w:vertAlign w:val="superscript"/>
        </w:rPr>
        <w:t>#</w:t>
      </w:r>
      <w:r>
        <w:t xml:space="preserve">= </w:t>
      </w:r>
      <w:proofErr w:type="spellStart"/>
      <w:r w:rsidRPr="00A91846">
        <w:t>animal</w:t>
      </w:r>
      <w:proofErr w:type="gramStart"/>
      <w:r w:rsidRPr="00A91846">
        <w:t>:human</w:t>
      </w:r>
      <w:proofErr w:type="spellEnd"/>
      <w:proofErr w:type="gramEnd"/>
      <w:r w:rsidRPr="00A91846">
        <w:t xml:space="preserve"> plasma AUC</w:t>
      </w:r>
      <w:r w:rsidRPr="00A91846">
        <w:rPr>
          <w:vertAlign w:val="subscript"/>
        </w:rPr>
        <w:t>0–24</w:t>
      </w:r>
      <w:r w:rsidRPr="00A91846">
        <w:rPr>
          <w:w w:val="50"/>
          <w:vertAlign w:val="subscript"/>
        </w:rPr>
        <w:t> </w:t>
      </w:r>
      <w:r w:rsidRPr="00A91846">
        <w:rPr>
          <w:vertAlign w:val="subscript"/>
        </w:rPr>
        <w:t>h</w:t>
      </w:r>
      <w:r w:rsidRPr="00A91846">
        <w:t xml:space="preserve"> </w:t>
      </w:r>
      <w:r>
        <w:t>based on the derived human AUC</w:t>
      </w:r>
      <w:r>
        <w:rPr>
          <w:vertAlign w:val="subscript"/>
        </w:rPr>
        <w:t>0-24h</w:t>
      </w:r>
      <w:r>
        <w:t xml:space="preserve"> of 70 </w:t>
      </w:r>
      <w:proofErr w:type="spellStart"/>
      <w:r w:rsidRPr="0038553C">
        <w:t>μg∙h</w:t>
      </w:r>
      <w:proofErr w:type="spellEnd"/>
      <w:r w:rsidRPr="0038553C">
        <w:t>/</w:t>
      </w:r>
      <w:proofErr w:type="spellStart"/>
      <w:r w:rsidRPr="0038553C">
        <w:t>mL</w:t>
      </w:r>
      <w:r>
        <w:t>.</w:t>
      </w:r>
      <w:proofErr w:type="spellEnd"/>
      <w:r>
        <w:t xml:space="preserve"> The sponsor has used a value of 56 </w:t>
      </w:r>
      <w:proofErr w:type="spellStart"/>
      <w:r w:rsidRPr="0038553C">
        <w:t>μg∙h</w:t>
      </w:r>
      <w:proofErr w:type="spellEnd"/>
      <w:r w:rsidRPr="0038553C">
        <w:t>/mL</w:t>
      </w:r>
      <w:r>
        <w:t xml:space="preserve"> based on the oral AUC</w:t>
      </w:r>
      <w:r>
        <w:rPr>
          <w:vertAlign w:val="subscript"/>
        </w:rPr>
        <w:t xml:space="preserve">0-24h. </w:t>
      </w:r>
      <w:r>
        <w:t>For precautionary reasons, the evaluator has used the IV AUC</w:t>
      </w:r>
      <w:r>
        <w:rPr>
          <w:vertAlign w:val="subscript"/>
        </w:rPr>
        <w:t>0-24h</w:t>
      </w:r>
      <w:r>
        <w:t xml:space="preserve">. The evaluator acknowledges that IV use in humans may only likely occur for several days; however the Australian PI, unlike the US PI, does not stipulate a maximum duration of IV treatment. If the value </w:t>
      </w:r>
      <w:proofErr w:type="gramStart"/>
      <w:r>
        <w:t xml:space="preserve">of 56 </w:t>
      </w:r>
      <w:proofErr w:type="spellStart"/>
      <w:r w:rsidRPr="0038553C">
        <w:t>μg∙h</w:t>
      </w:r>
      <w:proofErr w:type="spellEnd"/>
      <w:r w:rsidRPr="0038553C">
        <w:t>/mL</w:t>
      </w:r>
      <w:proofErr w:type="gramEnd"/>
      <w:r>
        <w:t xml:space="preserve"> is used, the calculated </w:t>
      </w:r>
      <w:r w:rsidRPr="00A91846">
        <w:t>AUC</w:t>
      </w:r>
      <w:r w:rsidRPr="00A91846">
        <w:rPr>
          <w:vertAlign w:val="subscript"/>
        </w:rPr>
        <w:t>0–24</w:t>
      </w:r>
      <w:r w:rsidRPr="00A91846">
        <w:rPr>
          <w:w w:val="50"/>
          <w:vertAlign w:val="subscript"/>
        </w:rPr>
        <w:t> </w:t>
      </w:r>
      <w:r w:rsidRPr="00A91846">
        <w:rPr>
          <w:vertAlign w:val="subscript"/>
        </w:rPr>
        <w:t>h</w:t>
      </w:r>
      <w:r>
        <w:t xml:space="preserve"> ratios will increase by a factor of approximately 1.25</w:t>
      </w:r>
      <w:r w:rsidR="007D1910">
        <w:t>;</w:t>
      </w:r>
    </w:p>
    <w:p w:rsidR="007D1910" w:rsidRDefault="0032345E" w:rsidP="00873F48">
      <w:pPr>
        <w:pStyle w:val="TableDescription"/>
      </w:pPr>
      <w:r>
        <w:t>* mean plasma</w:t>
      </w:r>
      <w:r w:rsidR="007D1910">
        <w:t xml:space="preserve"> level;</w:t>
      </w:r>
    </w:p>
    <w:p w:rsidR="007D1910" w:rsidRDefault="0032345E" w:rsidP="00873F48">
      <w:pPr>
        <w:pStyle w:val="TableDescription"/>
      </w:pPr>
      <w:r>
        <w:t>†</w:t>
      </w:r>
      <w:r w:rsidR="007D1910">
        <w:t xml:space="preserve"> </w:t>
      </w:r>
      <w:proofErr w:type="gramStart"/>
      <w:r>
        <w:t>animal</w:t>
      </w:r>
      <w:proofErr w:type="gramEnd"/>
      <w:r>
        <w:t xml:space="preserve"> mean plasma concentration: human plasma </w:t>
      </w:r>
      <w:proofErr w:type="spellStart"/>
      <w:r>
        <w:t>C</w:t>
      </w:r>
      <w:r>
        <w:rPr>
          <w:vertAlign w:val="subscript"/>
        </w:rPr>
        <w:t>Max</w:t>
      </w:r>
      <w:proofErr w:type="spellEnd"/>
      <w:r>
        <w:t xml:space="preserve"> of </w:t>
      </w:r>
      <w:r w:rsidR="007D1910">
        <w:t>3.54 µg/mL following IV dosing;</w:t>
      </w:r>
    </w:p>
    <w:p w:rsidR="007D1910" w:rsidRDefault="0032345E" w:rsidP="00873F48">
      <w:pPr>
        <w:pStyle w:val="TableDescription"/>
      </w:pPr>
      <w:r>
        <w:t xml:space="preserve">‡ </w:t>
      </w:r>
      <w:proofErr w:type="spellStart"/>
      <w:proofErr w:type="gramStart"/>
      <w:r>
        <w:t>animal:</w:t>
      </w:r>
      <w:proofErr w:type="gramEnd"/>
      <w:r>
        <w:t>human</w:t>
      </w:r>
      <w:proofErr w:type="spellEnd"/>
      <w:r>
        <w:t xml:space="preserve"> AUC ratio data based on healthy volunteer data from Study No. N01109 for 200 mg PO dose – AUC= 3.51 </w:t>
      </w:r>
      <w:proofErr w:type="spellStart"/>
      <w:r>
        <w:t>μg.h</w:t>
      </w:r>
      <w:proofErr w:type="spellEnd"/>
      <w:r>
        <w:t>/mL, AUC in patients is severe renal impa</w:t>
      </w:r>
      <w:r w:rsidR="007D1910">
        <w:t xml:space="preserve">irment is approximately </w:t>
      </w:r>
      <w:r>
        <w:t xml:space="preserve">3.2X higher thus the exposure ratios for patients with severe renal impairment will be </w:t>
      </w:r>
      <w:r w:rsidR="007D1910">
        <w:t xml:space="preserve">approximately </w:t>
      </w:r>
      <w:r>
        <w:t xml:space="preserve">1/3 those provided in the table. However it is assumed that likelihood of pregnancy in patients with </w:t>
      </w:r>
      <w:r w:rsidR="007D1910">
        <w:t>severe renal impairment is low;</w:t>
      </w:r>
    </w:p>
    <w:p w:rsidR="0032345E" w:rsidRDefault="0032345E" w:rsidP="00873F48">
      <w:pPr>
        <w:pStyle w:val="TableDescription"/>
      </w:pPr>
      <w:proofErr w:type="gramStart"/>
      <w:r w:rsidRPr="00F17BB0">
        <w:rPr>
          <w:vertAlign w:val="superscript"/>
        </w:rPr>
        <w:lastRenderedPageBreak/>
        <w:t>κ</w:t>
      </w:r>
      <w:proofErr w:type="gramEnd"/>
      <w:r>
        <w:t xml:space="preserve"> </w:t>
      </w:r>
      <w:proofErr w:type="spellStart"/>
      <w:r>
        <w:t>animal:human</w:t>
      </w:r>
      <w:proofErr w:type="spellEnd"/>
      <w:r>
        <w:t xml:space="preserve"> AUC ratio data based on healthy volunteer data from Study No. N01109 for a 200 mg PO dose – AUC= 14.1 </w:t>
      </w:r>
      <w:proofErr w:type="spellStart"/>
      <w:r>
        <w:t>μg.h</w:t>
      </w:r>
      <w:proofErr w:type="spellEnd"/>
      <w:r>
        <w:t xml:space="preserve">/mL, AUC in patients with severe renal impairment is </w:t>
      </w:r>
      <w:r w:rsidR="007D1910">
        <w:t xml:space="preserve">approximately </w:t>
      </w:r>
      <w:r>
        <w:t xml:space="preserve">4X higher thus the exposure ratios for patients with severe renal impairment will be </w:t>
      </w:r>
      <w:r w:rsidR="007D1910">
        <w:t xml:space="preserve">approximately </w:t>
      </w:r>
      <w:r>
        <w:t>1/4 those provided in the table. However it is assumed that likelihood of pregnancy in patients with severe renal impairment is low.</w:t>
      </w:r>
    </w:p>
    <w:p w:rsidR="0032345E" w:rsidRDefault="0032345E" w:rsidP="00873F48">
      <w:pPr>
        <w:pStyle w:val="Heading6"/>
      </w:pPr>
      <w:bookmarkStart w:id="113" w:name="_Toc450809128"/>
      <w:r>
        <w:t>Key features</w:t>
      </w:r>
      <w:bookmarkEnd w:id="113"/>
    </w:p>
    <w:p w:rsidR="0032345E" w:rsidRPr="00873F48" w:rsidRDefault="0032345E" w:rsidP="00873F48">
      <w:r w:rsidRPr="00873F48">
        <w:t xml:space="preserve">The </w:t>
      </w:r>
      <w:r w:rsidR="007D1910">
        <w:t>s</w:t>
      </w:r>
      <w:r w:rsidRPr="00873F48">
        <w:t xml:space="preserve">ponsor supplied </w:t>
      </w:r>
      <w:proofErr w:type="gramStart"/>
      <w:r w:rsidRPr="00873F48">
        <w:t>a fertility</w:t>
      </w:r>
      <w:proofErr w:type="gramEnd"/>
      <w:r w:rsidR="007D1910">
        <w:t xml:space="preserve"> </w:t>
      </w:r>
      <w:r w:rsidRPr="00873F48">
        <w:t>embryonic development study in rats, embryof</w:t>
      </w:r>
      <w:r w:rsidR="0010357E">
        <w:t>o</w:t>
      </w:r>
      <w:r w:rsidRPr="00873F48">
        <w:t xml:space="preserve">etal development studies in rats and rabbits and a pre-postnatal development study in rats. Relatively high levels of systemic exposure were achieved in all studies. Pharmacokinetic </w:t>
      </w:r>
      <w:proofErr w:type="spellStart"/>
      <w:r w:rsidRPr="00873F48">
        <w:t>radiotracing</w:t>
      </w:r>
      <w:proofErr w:type="spellEnd"/>
      <w:r w:rsidRPr="00873F48">
        <w:t xml:space="preserve"> distribution studies demonstrated that brivaracetam</w:t>
      </w:r>
      <w:r w:rsidR="005C52B0">
        <w:t xml:space="preserve"> </w:t>
      </w:r>
      <w:r w:rsidRPr="00873F48">
        <w:t>associated radioactivity concentrates (by</w:t>
      </w:r>
      <w:r w:rsidR="007D1910" w:rsidRPr="007D1910">
        <w:t xml:space="preserve"> </w:t>
      </w:r>
      <w:r w:rsidR="007D1910">
        <w:t>approximately</w:t>
      </w:r>
      <w:r w:rsidR="007D1910" w:rsidRPr="00873F48">
        <w:t xml:space="preserve"> </w:t>
      </w:r>
      <w:r w:rsidRPr="00873F48">
        <w:t xml:space="preserve">10X compared with </w:t>
      </w:r>
      <w:proofErr w:type="spellStart"/>
      <w:r w:rsidR="0010357E">
        <w:t xml:space="preserve">non </w:t>
      </w:r>
      <w:r w:rsidRPr="00873F48">
        <w:t>pregnant</w:t>
      </w:r>
      <w:proofErr w:type="spellEnd"/>
      <w:r w:rsidRPr="00873F48">
        <w:t xml:space="preserve"> controls) in the uterus and uterine horns of pregnant rats and is more persistent at these sites compared with non-pregnant animals. Brivaracetam</w:t>
      </w:r>
      <w:r w:rsidR="005C52B0">
        <w:t xml:space="preserve"> </w:t>
      </w:r>
      <w:r w:rsidRPr="00873F48">
        <w:t>associated radioactivity did not</w:t>
      </w:r>
      <w:r w:rsidR="005C52B0">
        <w:t xml:space="preserve"> concentrate in the rat f</w:t>
      </w:r>
      <w:r w:rsidR="0010357E">
        <w:t>o</w:t>
      </w:r>
      <w:r w:rsidR="005C52B0">
        <w:t>etus-</w:t>
      </w:r>
      <w:r w:rsidRPr="00873F48">
        <w:t>f</w:t>
      </w:r>
      <w:r w:rsidR="0010357E">
        <w:t>o</w:t>
      </w:r>
      <w:r w:rsidRPr="00873F48">
        <w:t xml:space="preserve">etal tissue levels essentially reflect maternal plasma concentrations. Given that in animals the milk concentration of brivaracetam is approximately the same as the plasma concentration, </w:t>
      </w:r>
      <w:proofErr w:type="spellStart"/>
      <w:r w:rsidRPr="00873F48">
        <w:t>transmammary</w:t>
      </w:r>
      <w:proofErr w:type="spellEnd"/>
      <w:r w:rsidRPr="00873F48">
        <w:t xml:space="preserve"> exposure of nursing infants appears likely.</w:t>
      </w:r>
    </w:p>
    <w:p w:rsidR="0032345E" w:rsidRPr="00873F48" w:rsidRDefault="0032345E" w:rsidP="00873F48">
      <w:r w:rsidRPr="00873F48">
        <w:t>Brivaracetam exposure at ≥15X the human MRHD (based on rat mean plas</w:t>
      </w:r>
      <w:r w:rsidR="0010357E">
        <w:t>ma concentrations versus clinical Cm</w:t>
      </w:r>
      <w:r w:rsidRPr="00873F48">
        <w:t>ax at the MRHD) did not adversely affect fertility and early embryonic development in rats.</w:t>
      </w:r>
    </w:p>
    <w:p w:rsidR="00376D5E" w:rsidRDefault="0032345E" w:rsidP="00873F48">
      <w:r w:rsidRPr="00873F48">
        <w:t>Brivaracetam did not affect embryof</w:t>
      </w:r>
      <w:r w:rsidR="00BA35EC">
        <w:t>o</w:t>
      </w:r>
      <w:r w:rsidRPr="00873F48">
        <w:t xml:space="preserve">etal development in rats at maternal exposures equivalent to </w:t>
      </w:r>
      <w:r w:rsidR="0010357E">
        <w:t>approximately</w:t>
      </w:r>
      <w:r w:rsidR="0010357E" w:rsidRPr="00873F48">
        <w:t xml:space="preserve"> </w:t>
      </w:r>
      <w:r w:rsidRPr="00873F48">
        <w:t xml:space="preserve">≤26X the human MRHD (based on AUC). </w:t>
      </w:r>
      <w:proofErr w:type="spellStart"/>
      <w:r w:rsidRPr="00873F48">
        <w:t>Maternotoxicity</w:t>
      </w:r>
      <w:proofErr w:type="spellEnd"/>
      <w:r w:rsidRPr="00873F48">
        <w:t xml:space="preserve"> did not occur at exposures equivalent to </w:t>
      </w:r>
      <w:r w:rsidR="0010357E">
        <w:t>approximately</w:t>
      </w:r>
      <w:r w:rsidR="0010357E" w:rsidRPr="00873F48">
        <w:t xml:space="preserve"> </w:t>
      </w:r>
      <w:r w:rsidRPr="00873F48">
        <w:t>≤15X the human MRHD</w:t>
      </w:r>
      <w:r w:rsidR="00376D5E">
        <w:t>.</w:t>
      </w:r>
    </w:p>
    <w:p w:rsidR="0032345E" w:rsidRDefault="0032345E" w:rsidP="00873F48">
      <w:r w:rsidRPr="00873F48">
        <w:t>Poor dose ranging in the rabbit embryof</w:t>
      </w:r>
      <w:r w:rsidR="0010357E">
        <w:t>o</w:t>
      </w:r>
      <w:r w:rsidRPr="00873F48">
        <w:t xml:space="preserve">etal development study resulted in the presence of overt </w:t>
      </w:r>
      <w:proofErr w:type="spellStart"/>
      <w:r w:rsidRPr="00873F48">
        <w:t>maternotoxicity</w:t>
      </w:r>
      <w:proofErr w:type="spellEnd"/>
      <w:r w:rsidRPr="00873F48">
        <w:t xml:space="preserve"> (characterised by reduced body weight gain/body weight loss, reduced feed intake, reduced </w:t>
      </w:r>
      <w:proofErr w:type="spellStart"/>
      <w:r w:rsidRPr="00873F48">
        <w:t>fecal</w:t>
      </w:r>
      <w:proofErr w:type="spellEnd"/>
      <w:r w:rsidRPr="00873F48">
        <w:t xml:space="preserve"> output) at all tested doses. Five females dosed with brivaracetam (2 females at 30 mg/kg/day, 1 female at 120 mg/kg/day and 2 females at 240 mg/kg/day) were prematurel</w:t>
      </w:r>
      <w:r w:rsidR="0010357E">
        <w:t>y euthan</w:t>
      </w:r>
      <w:r w:rsidR="00DD2241">
        <w:t>i</w:t>
      </w:r>
      <w:r w:rsidR="0010357E">
        <w:t xml:space="preserve">sed between </w:t>
      </w:r>
      <w:r w:rsidRPr="00873F48">
        <w:t xml:space="preserve">GD 14 and 16 due to sustained decreases in food </w:t>
      </w:r>
      <w:r w:rsidR="0010357E">
        <w:t xml:space="preserve">consumption and excessive (that is, </w:t>
      </w:r>
      <w:r w:rsidRPr="00873F48">
        <w:t>exceeding MTD parameters) bodyweight losses (320 to 590 g, representing 10 to 16% of the bodyweight recorded on GD 6). When compared to the controls, body weight loss between GD 6 and 12 in the surviving animals treated with br</w:t>
      </w:r>
      <w:r w:rsidR="0010357E">
        <w:t>ivaracetam was more severe (by approximately</w:t>
      </w:r>
      <w:r w:rsidR="0010357E" w:rsidRPr="00873F48">
        <w:t xml:space="preserve"> </w:t>
      </w:r>
      <w:r w:rsidRPr="00873F48">
        <w:t>1.7 - 2.5 X) in animals dosed with brivaracetam (p &lt;0.05 in the 120 and 240 mg/kg/day dose groups). Recovery (possibly due to metabolic adaptation) in the surviving animals was apparent from GD 12 and until the end of the dosing period (significantly greater recovery in the treated animals compared with the controls; p &lt;0.05). During the treatment</w:t>
      </w:r>
      <w:r w:rsidR="0010357E">
        <w:t xml:space="preserve"> </w:t>
      </w:r>
      <w:r w:rsidRPr="00873F48">
        <w:t>free period (GD 20 to 28), the mean bodyweight gain was approximately similar between treated and control groups.</w:t>
      </w:r>
    </w:p>
    <w:p w:rsidR="00873F48" w:rsidRPr="00873F48" w:rsidRDefault="00EB5F4F" w:rsidP="00BF11C3">
      <w:pPr>
        <w:pStyle w:val="TableTitle"/>
      </w:pPr>
      <w:r w:rsidRPr="00BD7018">
        <w:t>Table 1</w:t>
      </w:r>
      <w:r>
        <w:t>6</w:t>
      </w:r>
      <w:r w:rsidRPr="00BD7018">
        <w:t xml:space="preserve">: </w:t>
      </w:r>
      <w:r>
        <w:t xml:space="preserve">Group mean maternal body weight gain </w:t>
      </w:r>
      <w:r w:rsidR="00BF11C3">
        <w:t>(kg) (UCB study number PSM0860)</w:t>
      </w:r>
      <w:r w:rsidRPr="00BD7018">
        <w:t>.</w:t>
      </w:r>
    </w:p>
    <w:p w:rsidR="0032345E" w:rsidRPr="00F2577A" w:rsidRDefault="00BF11C3" w:rsidP="0032345E">
      <w:pPr>
        <w:autoSpaceDE w:val="0"/>
        <w:autoSpaceDN w:val="0"/>
        <w:adjustRightInd w:val="0"/>
        <w:rPr>
          <w:rFonts w:asciiTheme="minorHAnsi" w:eastAsiaTheme="minorHAnsi" w:hAnsiTheme="minorHAnsi" w:cs="TimesNewRoman"/>
        </w:rPr>
      </w:pPr>
      <w:r>
        <w:rPr>
          <w:noProof/>
          <w:lang w:eastAsia="en-AU"/>
        </w:rPr>
        <w:drawing>
          <wp:inline distT="0" distB="0" distL="0" distR="0" wp14:anchorId="089B57D5" wp14:editId="4A85391B">
            <wp:extent cx="5400040" cy="1373087"/>
            <wp:effectExtent l="0" t="0" r="0" b="0"/>
            <wp:docPr id="295" name="Picture 295" descr="Table 16: Group mean maternal body weight gain (kg) (UCB study number PSM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373087"/>
                    </a:xfrm>
                    <a:prstGeom prst="rect">
                      <a:avLst/>
                    </a:prstGeom>
                  </pic:spPr>
                </pic:pic>
              </a:graphicData>
            </a:graphic>
          </wp:inline>
        </w:drawing>
      </w:r>
    </w:p>
    <w:p w:rsidR="0032345E" w:rsidRPr="00BF11C3" w:rsidRDefault="0032345E" w:rsidP="00BF11C3">
      <w:r w:rsidRPr="00BF11C3">
        <w:t>Between GD 6 and 10, the mean food consumption was significantly reduced (p &lt;0.05</w:t>
      </w:r>
      <w:r w:rsidR="00BA35EC">
        <w:t xml:space="preserve">) relative to controls (and </w:t>
      </w:r>
      <w:r w:rsidR="00EB215B">
        <w:t>pre-</w:t>
      </w:r>
      <w:r w:rsidR="00EB215B" w:rsidRPr="00BF11C3">
        <w:t>treatment</w:t>
      </w:r>
      <w:r w:rsidRPr="00BF11C3">
        <w:t xml:space="preserve"> values) in</w:t>
      </w:r>
      <w:r w:rsidR="00BA35EC">
        <w:t xml:space="preserve"> all treated groups. A dose </w:t>
      </w:r>
      <w:r w:rsidRPr="00BF11C3">
        <w:t xml:space="preserve">response relationship was apparent between GD 6 and 8. Between GD 10 and 14, although the mean </w:t>
      </w:r>
      <w:r w:rsidRPr="00BF11C3">
        <w:lastRenderedPageBreak/>
        <w:t>food consumption of all groups receiving briva</w:t>
      </w:r>
      <w:r w:rsidR="00BA35EC">
        <w:t xml:space="preserve">racetam remained lower than </w:t>
      </w:r>
      <w:r w:rsidR="00EB215B">
        <w:t>pre-</w:t>
      </w:r>
      <w:r w:rsidR="00EB215B" w:rsidRPr="00BF11C3">
        <w:t>treatment</w:t>
      </w:r>
      <w:r w:rsidRPr="00BF11C3">
        <w:t xml:space="preserve"> values, a clear tr</w:t>
      </w:r>
      <w:r w:rsidR="00BF11C3" w:rsidRPr="00BF11C3">
        <w:t>end towards recovery was noted.</w:t>
      </w:r>
    </w:p>
    <w:p w:rsidR="00BF11C3" w:rsidRPr="00BF11C3" w:rsidRDefault="00BF11C3" w:rsidP="00BF11C3">
      <w:pPr>
        <w:pStyle w:val="TableTitle"/>
      </w:pPr>
      <w:r w:rsidRPr="00BD7018">
        <w:t>Table 1</w:t>
      </w:r>
      <w:r>
        <w:t>7</w:t>
      </w:r>
      <w:r w:rsidRPr="00BD7018">
        <w:t xml:space="preserve">: </w:t>
      </w:r>
      <w:r>
        <w:t xml:space="preserve">Group mean maternal food consumption (g/rabbit/day) between </w:t>
      </w:r>
      <w:proofErr w:type="gramStart"/>
      <w:r>
        <w:t>Day</w:t>
      </w:r>
      <w:proofErr w:type="gramEnd"/>
      <w:r>
        <w:t xml:space="preserve"> 5-14 of pregnancy (UCB study number PSM0860)</w:t>
      </w:r>
      <w:r w:rsidRPr="00BD7018">
        <w:t>.</w:t>
      </w:r>
    </w:p>
    <w:p w:rsidR="0032345E" w:rsidRPr="00F2577A" w:rsidRDefault="00BF11C3" w:rsidP="0032345E">
      <w:pPr>
        <w:autoSpaceDE w:val="0"/>
        <w:autoSpaceDN w:val="0"/>
        <w:adjustRightInd w:val="0"/>
        <w:rPr>
          <w:rFonts w:ascii="TimesNewRoman" w:eastAsiaTheme="minorHAnsi" w:hAnsi="TimesNewRoman" w:cs="TimesNewRoman"/>
          <w:szCs w:val="23"/>
        </w:rPr>
      </w:pPr>
      <w:r>
        <w:rPr>
          <w:noProof/>
          <w:lang w:eastAsia="en-AU"/>
        </w:rPr>
        <w:drawing>
          <wp:inline distT="0" distB="0" distL="0" distR="0" wp14:anchorId="73EC9985" wp14:editId="56CA85EA">
            <wp:extent cx="5400040" cy="1553088"/>
            <wp:effectExtent l="0" t="0" r="0" b="9525"/>
            <wp:docPr id="296" name="Picture 296" descr="Table 17: Group mean maternal food consumption (g/rabbit/day) between Day 5-14 of pregnancy (UCB study number PSM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553088"/>
                    </a:xfrm>
                    <a:prstGeom prst="rect">
                      <a:avLst/>
                    </a:prstGeom>
                  </pic:spPr>
                </pic:pic>
              </a:graphicData>
            </a:graphic>
          </wp:inline>
        </w:drawing>
      </w:r>
    </w:p>
    <w:p w:rsidR="0032345E" w:rsidRPr="00BF11C3" w:rsidRDefault="0032345E" w:rsidP="00BF11C3">
      <w:r w:rsidRPr="00BF11C3">
        <w:t xml:space="preserve">In most cases, the females showed good recovery during the treatment period (presumably associated with metabolic adaptation), as shown by increased bodyweight gain and food consumption that returned to levels comparable to the Controls between GD 12 and 14. In a small number of females, however, the decreased food consumption and the bodyweight loss persisted to an extent that these animals had to be </w:t>
      </w:r>
      <w:proofErr w:type="spellStart"/>
      <w:r w:rsidRPr="00BF11C3">
        <w:t>euthanased</w:t>
      </w:r>
      <w:proofErr w:type="spellEnd"/>
      <w:r w:rsidRPr="00BF11C3">
        <w:t xml:space="preserve"> for humane reasons (2, 1 and 2 females given 30, 120 and 240 mg/kg/day, respectively). Among these 5 animals, one (animal 39; 30 mg/kg/day group) was not pregnant. Thus the sensitivity of the rabbit to the effect of brivaracetam on food consumption is not due to pregnancy status.</w:t>
      </w:r>
    </w:p>
    <w:p w:rsidR="00BF11C3" w:rsidRPr="00BF11C3" w:rsidRDefault="00BF11C3" w:rsidP="00BF11C3">
      <w:pPr>
        <w:pStyle w:val="TableTitle"/>
      </w:pPr>
      <w:r w:rsidRPr="00BD7018">
        <w:t>Table 1</w:t>
      </w:r>
      <w:r>
        <w:t>8</w:t>
      </w:r>
      <w:r w:rsidRPr="00BD7018">
        <w:t xml:space="preserve">: </w:t>
      </w:r>
      <w:r>
        <w:t>Individual maternal food consumption (g/rabbit/day) and body weight change of animals killed prematurely (UCB study number PSM0860)</w:t>
      </w:r>
      <w:r w:rsidRPr="00BD7018">
        <w:t>.</w:t>
      </w:r>
    </w:p>
    <w:p w:rsidR="00BF11C3" w:rsidRPr="00F2577A" w:rsidRDefault="0055281A" w:rsidP="0032345E">
      <w:pPr>
        <w:autoSpaceDE w:val="0"/>
        <w:autoSpaceDN w:val="0"/>
        <w:adjustRightInd w:val="0"/>
        <w:rPr>
          <w:rFonts w:asciiTheme="minorHAnsi" w:eastAsiaTheme="minorHAnsi" w:hAnsiTheme="minorHAnsi" w:cs="TimesNewRoman"/>
        </w:rPr>
      </w:pPr>
      <w:r>
        <w:rPr>
          <w:noProof/>
          <w:lang w:eastAsia="en-AU"/>
        </w:rPr>
        <w:drawing>
          <wp:inline distT="0" distB="0" distL="0" distR="0" wp14:anchorId="328052ED" wp14:editId="7FFA1DAB">
            <wp:extent cx="5400040" cy="2008284"/>
            <wp:effectExtent l="0" t="0" r="0" b="0"/>
            <wp:docPr id="297" name="Picture 297" descr="Table 18: Individual maternal food consumption (g/rabbit/day) and body weight change of animals killed prematurely (UCB study number PSM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008284"/>
                    </a:xfrm>
                    <a:prstGeom prst="rect">
                      <a:avLst/>
                    </a:prstGeom>
                  </pic:spPr>
                </pic:pic>
              </a:graphicData>
            </a:graphic>
          </wp:inline>
        </w:drawing>
      </w:r>
    </w:p>
    <w:p w:rsidR="00376D5E" w:rsidRDefault="0032345E" w:rsidP="00BF11C3">
      <w:r w:rsidRPr="00BF11C3">
        <w:t xml:space="preserve">There is no obvious </w:t>
      </w:r>
      <w:proofErr w:type="spellStart"/>
      <w:r w:rsidRPr="00BF11C3">
        <w:t>toxicokinetic</w:t>
      </w:r>
      <w:proofErr w:type="spellEnd"/>
      <w:r w:rsidRPr="00BF11C3">
        <w:t xml:space="preserve">/metabolic explanation for the difference in sensitivity between rats and rabbits, and the exact cause for the effects in rabbits is unknown. Evidence of gastric irritancy at the high dose range (300-400 mg/kg/day) was present in the preliminary dose ranging studies, although this was not apparent at lower doses. Based on in vitro data, more extensive brivaracetam biotransformation may occur in rabbits compared with rats and humans. Notably, reduced food consumption and reduced body weight gain/body weight loss was observed in the repeat dose toxicology studies in dogs and monkeys, particularly before the development of metabolic </w:t>
      </w:r>
      <w:proofErr w:type="spellStart"/>
      <w:r w:rsidRPr="00BF11C3">
        <w:t>autoadaption</w:t>
      </w:r>
      <w:proofErr w:type="spellEnd"/>
      <w:r w:rsidRPr="00BF11C3">
        <w:t xml:space="preserve">. Furthermore, the timing of maternal recovery in the rabbit is also consistent with the development of metabolic </w:t>
      </w:r>
      <w:proofErr w:type="spellStart"/>
      <w:r w:rsidRPr="00BF11C3">
        <w:t>autoadaption</w:t>
      </w:r>
      <w:proofErr w:type="spellEnd"/>
      <w:r w:rsidRPr="00BF11C3">
        <w:t>. This also raises the possibility that these effects could have been avoided by slow dose escalation (as was demonstrated in several of the repeated exposure rat studies). However</w:t>
      </w:r>
      <w:r w:rsidR="00BA35EC">
        <w:t>,</w:t>
      </w:r>
      <w:r w:rsidRPr="00BF11C3">
        <w:t xml:space="preserve"> given the lack of definitive data, all of these potential explanations remain largely speculative</w:t>
      </w:r>
      <w:r w:rsidR="00376D5E">
        <w:t>.</w:t>
      </w:r>
    </w:p>
    <w:p w:rsidR="00376D5E" w:rsidRDefault="0032345E" w:rsidP="00BF11C3">
      <w:r w:rsidRPr="00BF11C3">
        <w:lastRenderedPageBreak/>
        <w:t xml:space="preserve">Despite this </w:t>
      </w:r>
      <w:proofErr w:type="spellStart"/>
      <w:r w:rsidRPr="00BF11C3">
        <w:t>maternotoxicity</w:t>
      </w:r>
      <w:proofErr w:type="spellEnd"/>
      <w:r w:rsidRPr="00BF11C3">
        <w:t>, no f</w:t>
      </w:r>
      <w:r w:rsidR="00BA35EC">
        <w:t>o</w:t>
      </w:r>
      <w:r w:rsidRPr="00BF11C3">
        <w:t>etal malformations or major abnormalities were seen in rabbits at any dose. Adverse effects were limited to embryof</w:t>
      </w:r>
      <w:r w:rsidR="00BA35EC">
        <w:t>o</w:t>
      </w:r>
      <w:r w:rsidRPr="00BF11C3">
        <w:t>etal toxicity at the highest tested dose of 240 mg/kg/day, consisting of increased post-implantation loss, and decreased number of live f</w:t>
      </w:r>
      <w:r w:rsidR="00BA35EC">
        <w:t>o</w:t>
      </w:r>
      <w:r w:rsidRPr="00BF11C3">
        <w:t>etuses and reduced f</w:t>
      </w:r>
      <w:r w:rsidR="00BA35EC">
        <w:t>o</w:t>
      </w:r>
      <w:r w:rsidRPr="00BF11C3">
        <w:t>etal bodyweight. The f</w:t>
      </w:r>
      <w:r w:rsidR="00BA35EC">
        <w:t>o</w:t>
      </w:r>
      <w:r w:rsidRPr="00BF11C3">
        <w:t>etal/development NOAEL in the rabbit is cons</w:t>
      </w:r>
      <w:r w:rsidR="00BA35EC">
        <w:t>idered to be approximately</w:t>
      </w:r>
      <w:r w:rsidR="00BA35EC" w:rsidRPr="00BF11C3">
        <w:t xml:space="preserve"> </w:t>
      </w:r>
      <w:r w:rsidRPr="00BF11C3">
        <w:t>3X the MRHD (based on AUC comparison)</w:t>
      </w:r>
      <w:r w:rsidR="00376D5E">
        <w:t>.</w:t>
      </w:r>
    </w:p>
    <w:p w:rsidR="0032345E" w:rsidRPr="00BF11C3" w:rsidRDefault="0032345E" w:rsidP="00BF11C3">
      <w:r w:rsidRPr="00BF11C3">
        <w:t>In the rat pre</w:t>
      </w:r>
      <w:r w:rsidR="00FD25AF">
        <w:t xml:space="preserve"> </w:t>
      </w:r>
      <w:r w:rsidRPr="00BF11C3">
        <w:t xml:space="preserve">postnatal development study, brivaracetam did not produce adverse F0 maternal effects at </w:t>
      </w:r>
      <w:r w:rsidR="00BA35EC">
        <w:t>approximately</w:t>
      </w:r>
      <w:r w:rsidR="00BA35EC" w:rsidRPr="00BF11C3">
        <w:t xml:space="preserve"> </w:t>
      </w:r>
      <w:r w:rsidRPr="00BF11C3">
        <w:t>14X the human MRHD, but did result in small (</w:t>
      </w:r>
      <w:r w:rsidR="00737E48">
        <w:t>approximately</w:t>
      </w:r>
      <w:r w:rsidR="00737E48" w:rsidRPr="00BF11C3">
        <w:t xml:space="preserve"> </w:t>
      </w:r>
      <w:r w:rsidRPr="00BF11C3">
        <w:t xml:space="preserve">5.3-7.5% reductions), but statistically significant (p &lt;0.05) and persistent decreases in body weight in F1 offspring, accompanied by slight, but statistically significant (p &lt;0.05) developmental delay (delay of </w:t>
      </w:r>
      <w:r w:rsidR="00BA35EC">
        <w:t>approximately</w:t>
      </w:r>
      <w:r w:rsidR="00BA35EC" w:rsidRPr="00BF11C3">
        <w:t xml:space="preserve"> </w:t>
      </w:r>
      <w:r w:rsidRPr="00BF11C3">
        <w:t>2 days in development of vaginal patency). The NOEL for F1 effects was 5X human MRHD, based on AUC.</w:t>
      </w:r>
    </w:p>
    <w:p w:rsidR="00376D5E" w:rsidRDefault="0032345E" w:rsidP="00BF11C3">
      <w:r w:rsidRPr="00BF11C3">
        <w:t>Large increases in plasma AUC of several brivaracetam metabolites occurs in patients with severe renal impairment. The reproductive consequences of this were not systematically evaluated. However</w:t>
      </w:r>
      <w:r w:rsidR="00737E48">
        <w:t>,</w:t>
      </w:r>
      <w:r w:rsidRPr="00BF11C3">
        <w:t xml:space="preserve"> an embryof</w:t>
      </w:r>
      <w:r w:rsidR="00E94631">
        <w:t>o</w:t>
      </w:r>
      <w:r w:rsidRPr="00BF11C3">
        <w:t>etal development study was conducted using ucb-107092-1 as the test article. As discussed above, no ucb-107092-1-associated maternal toxicity or adverse effects on f</w:t>
      </w:r>
      <w:r w:rsidR="00E94631">
        <w:t>o</w:t>
      </w:r>
      <w:r w:rsidRPr="00BF11C3">
        <w:t xml:space="preserve">etal development were noted after continuous IV infusion of pregnant female rats from GD6-17 at doses up to 1000 mg/kg/day, with average steady-state plasma concentration of 33.8 </w:t>
      </w:r>
      <w:r w:rsidR="00E94631">
        <w:t>µg/mL, which is 450X clinical Cm</w:t>
      </w:r>
      <w:r w:rsidRPr="00BF11C3">
        <w:t xml:space="preserve">ax after a single 200 mg PO dose (39X in </w:t>
      </w:r>
      <w:proofErr w:type="spellStart"/>
      <w:r w:rsidRPr="00BF11C3">
        <w:t>renally</w:t>
      </w:r>
      <w:proofErr w:type="spellEnd"/>
      <w:r w:rsidRPr="00BF11C3">
        <w:t xml:space="preserve"> impaired subjects)</w:t>
      </w:r>
      <w:r w:rsidR="00376D5E">
        <w:t>.</w:t>
      </w:r>
    </w:p>
    <w:p w:rsidR="0032345E" w:rsidRPr="00BF11C3" w:rsidRDefault="0032345E" w:rsidP="00BF11C3">
      <w:r w:rsidRPr="00BF11C3">
        <w:t xml:space="preserve">Pharmacokinetic </w:t>
      </w:r>
      <w:proofErr w:type="spellStart"/>
      <w:r w:rsidRPr="00BF11C3">
        <w:t>radiotracing</w:t>
      </w:r>
      <w:proofErr w:type="spellEnd"/>
      <w:r w:rsidRPr="00BF11C3">
        <w:t xml:space="preserve"> distribution studies demonstrated that brivaracetam-associated radioactivity conc</w:t>
      </w:r>
      <w:r w:rsidR="00E94631">
        <w:t>entrates (by approximately</w:t>
      </w:r>
      <w:r w:rsidR="00E94631" w:rsidRPr="00BF11C3">
        <w:t xml:space="preserve"> </w:t>
      </w:r>
      <w:r w:rsidRPr="00BF11C3">
        <w:t xml:space="preserve">10X compared with non-pregnant controls) in the uterus and uterine horns of pregnant rats and is more persistent at these sites compared with </w:t>
      </w:r>
      <w:r w:rsidR="00EB215B" w:rsidRPr="00BF11C3">
        <w:t>non</w:t>
      </w:r>
      <w:r w:rsidR="00EB215B">
        <w:t>-pregnant</w:t>
      </w:r>
      <w:r w:rsidR="00E94631">
        <w:t xml:space="preserve"> animals. Brivaracetam </w:t>
      </w:r>
      <w:r w:rsidRPr="00BF11C3">
        <w:t>associated radioactivity did not concentrate in the rat f</w:t>
      </w:r>
      <w:r w:rsidR="00E94631">
        <w:t>oetus:</w:t>
      </w:r>
      <w:r w:rsidRPr="00BF11C3">
        <w:t xml:space="preserve"> the concentration of radioactivity in the f</w:t>
      </w:r>
      <w:r w:rsidR="00E94631">
        <w:t>o</w:t>
      </w:r>
      <w:r w:rsidRPr="00BF11C3">
        <w:t>etus essentially reflected whole blood and plasma concentrations, implying rapid equilibration of radioactivity across the placenta. This is consistent with the Log P of brivaracetam. Radioactivity in the f</w:t>
      </w:r>
      <w:r w:rsidR="00E94631">
        <w:t>o</w:t>
      </w:r>
      <w:r w:rsidRPr="00BF11C3">
        <w:t>etus was completely cleared by 72</w:t>
      </w:r>
      <w:r w:rsidR="00737E48">
        <w:t xml:space="preserve"> </w:t>
      </w:r>
      <w:r w:rsidRPr="00BF11C3">
        <w:t xml:space="preserve">h post dose. Given that in animals the milk concentration of brivaracetam is approximately the same as the plasma concentration, </w:t>
      </w:r>
      <w:proofErr w:type="spellStart"/>
      <w:r w:rsidRPr="00BF11C3">
        <w:t>transmammary</w:t>
      </w:r>
      <w:proofErr w:type="spellEnd"/>
      <w:r w:rsidRPr="00BF11C3">
        <w:t xml:space="preserve"> exposure of nursing infants appears likely.</w:t>
      </w:r>
    </w:p>
    <w:p w:rsidR="0032345E" w:rsidRDefault="0032345E" w:rsidP="00BF11C3">
      <w:pPr>
        <w:pStyle w:val="Heading6"/>
      </w:pPr>
      <w:bookmarkStart w:id="114" w:name="_Toc441841961"/>
      <w:bookmarkStart w:id="115" w:name="_Toc450809129"/>
      <w:r>
        <w:t>Overall conclusions</w:t>
      </w:r>
      <w:bookmarkEnd w:id="114"/>
      <w:bookmarkEnd w:id="115"/>
    </w:p>
    <w:p w:rsidR="00376D5E" w:rsidRDefault="0032345E" w:rsidP="00BF11C3">
      <w:r w:rsidRPr="00BF11C3">
        <w:t>Based on the available nonclinical data, brivaracetam under the proposed conditions of clinical use does not present a significant risk to fertility, pregnancy, embryof</w:t>
      </w:r>
      <w:r w:rsidR="00FD25AF">
        <w:t>o</w:t>
      </w:r>
      <w:r w:rsidRPr="00BF11C3">
        <w:t>etal d</w:t>
      </w:r>
      <w:r w:rsidR="00FD25AF">
        <w:t>evelopment and pre weaning post</w:t>
      </w:r>
      <w:r w:rsidRPr="00BF11C3">
        <w:t>natal development. It should be noted that the interpretability of the rabbit embryof</w:t>
      </w:r>
      <w:r w:rsidR="00FD25AF">
        <w:t>o</w:t>
      </w:r>
      <w:r w:rsidRPr="00BF11C3">
        <w:t xml:space="preserve">etal developmental study may have been affected by the overt </w:t>
      </w:r>
      <w:proofErr w:type="spellStart"/>
      <w:r w:rsidRPr="00BF11C3">
        <w:t>maternotoxicity</w:t>
      </w:r>
      <w:proofErr w:type="spellEnd"/>
      <w:r w:rsidRPr="00BF11C3">
        <w:t xml:space="preserve"> (exceeding the MTD in some cases) (technically the dataset does not meet th</w:t>
      </w:r>
      <w:r w:rsidR="00FD25AF">
        <w:t>e minimum requirements of published guidelines</w:t>
      </w:r>
      <w:r w:rsidRPr="00BF11C3">
        <w:t>).</w:t>
      </w:r>
      <w:r w:rsidR="00FD25AF">
        <w:rPr>
          <w:rStyle w:val="FootnoteReference"/>
        </w:rPr>
        <w:footnoteReference w:id="9"/>
      </w:r>
      <w:r w:rsidRPr="00BF11C3">
        <w:t xml:space="preserve"> However, a clear NOAEL for effects on embryof</w:t>
      </w:r>
      <w:r w:rsidR="00FD25AF">
        <w:t>o</w:t>
      </w:r>
      <w:r w:rsidRPr="00BF11C3">
        <w:t>etal development (</w:t>
      </w:r>
      <w:r w:rsidR="00FD25AF">
        <w:t>approximately</w:t>
      </w:r>
      <w:r w:rsidR="00FD25AF" w:rsidRPr="00BF11C3">
        <w:t xml:space="preserve"> </w:t>
      </w:r>
      <w:r w:rsidRPr="00BF11C3">
        <w:t xml:space="preserve">3X the MRHD based on AUC comparison) was apparent in the study, despite the presence of </w:t>
      </w:r>
      <w:proofErr w:type="spellStart"/>
      <w:r w:rsidRPr="00BF11C3">
        <w:t>maternotoxicity</w:t>
      </w:r>
      <w:proofErr w:type="spellEnd"/>
      <w:r w:rsidR="00376D5E">
        <w:t>.</w:t>
      </w:r>
    </w:p>
    <w:p w:rsidR="0032345E" w:rsidRPr="00BF11C3" w:rsidRDefault="0032345E" w:rsidP="00BF11C3">
      <w:r w:rsidRPr="00BF11C3">
        <w:t xml:space="preserve">Complete data on placental pharmacokinetics are not available. Brivaracetam and/or its metabolites concentrate in the uterus and uterine horns of pregnant rats and are more persistent at these sites compared with </w:t>
      </w:r>
      <w:r w:rsidR="00EB215B" w:rsidRPr="00BF11C3">
        <w:t>non</w:t>
      </w:r>
      <w:r w:rsidR="00EB215B">
        <w:t>-</w:t>
      </w:r>
      <w:r w:rsidR="00EB215B" w:rsidRPr="00BF11C3">
        <w:t>pregnant</w:t>
      </w:r>
      <w:r w:rsidRPr="00BF11C3">
        <w:t xml:space="preserve"> animals. However, concentration in the f</w:t>
      </w:r>
      <w:r w:rsidR="00FD25AF">
        <w:t>o</w:t>
      </w:r>
      <w:r w:rsidRPr="00BF11C3">
        <w:t>etus did not occur in rats.</w:t>
      </w:r>
    </w:p>
    <w:p w:rsidR="0032345E" w:rsidRPr="00BF11C3" w:rsidRDefault="00FD25AF" w:rsidP="00BF11C3">
      <w:proofErr w:type="gramStart"/>
      <w:r>
        <w:t>Trans</w:t>
      </w:r>
      <w:proofErr w:type="gramEnd"/>
      <w:r>
        <w:t xml:space="preserve"> </w:t>
      </w:r>
      <w:r w:rsidR="0032345E" w:rsidRPr="00BF11C3">
        <w:t>mammary exposure of nursing infants appears to be likely based on the available animal data.</w:t>
      </w:r>
    </w:p>
    <w:p w:rsidR="00376D5E" w:rsidRDefault="0032345E" w:rsidP="00BF11C3">
      <w:r w:rsidRPr="00BF11C3">
        <w:lastRenderedPageBreak/>
        <w:t>The sponsor has proposed Pregnancy Category B3,</w:t>
      </w:r>
      <w:r w:rsidR="00BF11C3">
        <w:rPr>
          <w:rStyle w:val="FootnoteReference"/>
        </w:rPr>
        <w:footnoteReference w:id="10"/>
      </w:r>
      <w:r w:rsidRPr="00BF11C3">
        <w:t xml:space="preserve"> which is supported by the nonclinical data</w:t>
      </w:r>
      <w:r w:rsidR="00376D5E">
        <w:t>.</w:t>
      </w:r>
    </w:p>
    <w:p w:rsidR="0032345E" w:rsidRPr="006C0EB5" w:rsidRDefault="0032345E" w:rsidP="00BF11C3">
      <w:pPr>
        <w:pStyle w:val="Heading5"/>
      </w:pPr>
      <w:bookmarkStart w:id="116" w:name="_Toc441841963"/>
      <w:bookmarkStart w:id="117" w:name="_Toc450809130"/>
      <w:r w:rsidRPr="006C0EB5">
        <w:t>Local tolerance</w:t>
      </w:r>
      <w:bookmarkEnd w:id="116"/>
      <w:bookmarkEnd w:id="117"/>
    </w:p>
    <w:p w:rsidR="00376D5E" w:rsidRDefault="0032345E" w:rsidP="00BF11C3">
      <w:r w:rsidRPr="00BF11C3">
        <w:t>Brivaracetam has acceptable local tolerance for both IV and oral administration</w:t>
      </w:r>
      <w:r w:rsidR="00376D5E">
        <w:t>.</w:t>
      </w:r>
    </w:p>
    <w:p w:rsidR="0032345E" w:rsidRPr="00BF11C3" w:rsidRDefault="0032345E" w:rsidP="00BF11C3">
      <w:proofErr w:type="spellStart"/>
      <w:r w:rsidRPr="00BF11C3">
        <w:t>Perivenous</w:t>
      </w:r>
      <w:proofErr w:type="spellEnd"/>
      <w:r w:rsidRPr="00BF11C3">
        <w:t xml:space="preserve"> and venous administration of brivaracetam did not result in adverse effects in rabbits. Completely reversible, minimal to mild muscular degeneration was noted at 24</w:t>
      </w:r>
      <w:r w:rsidR="00C362D3">
        <w:t xml:space="preserve"> </w:t>
      </w:r>
      <w:r w:rsidRPr="00BF11C3">
        <w:t>h following IM injection. Extr</w:t>
      </w:r>
      <w:r w:rsidR="001D42E2">
        <w:t>eme (in comparison with known Cm</w:t>
      </w:r>
      <w:r w:rsidRPr="00BF11C3">
        <w:t xml:space="preserve">ax under conditions of normal clinical use) concentrations </w:t>
      </w:r>
      <w:r w:rsidR="001D42E2">
        <w:t>of brivaracetam (≥30 mg/mL, that is,</w:t>
      </w:r>
      <w:r w:rsidR="00C362D3">
        <w:t xml:space="preserve"> </w:t>
      </w:r>
      <w:r w:rsidRPr="00BF11C3">
        <w:t>3X the concentration of Briviact solution for injection) resulted in human erythrocyte haemolysis in vitro (no effect at 10 and 20 mg/mL).</w:t>
      </w:r>
    </w:p>
    <w:p w:rsidR="0032345E" w:rsidRPr="00BF11C3" w:rsidRDefault="00C362D3" w:rsidP="00BF11C3">
      <w:r>
        <w:t xml:space="preserve">Brivaracetam at doses (approximately </w:t>
      </w:r>
      <w:r w:rsidR="0032345E" w:rsidRPr="00BF11C3">
        <w:t xml:space="preserve">90X the human single dose MHRD, </w:t>
      </w:r>
      <w:proofErr w:type="spellStart"/>
      <w:r w:rsidR="0032345E" w:rsidRPr="00BF11C3">
        <w:t>allometric</w:t>
      </w:r>
      <w:proofErr w:type="spellEnd"/>
      <w:r w:rsidR="0032345E" w:rsidRPr="00BF11C3">
        <w:t xml:space="preserve"> comparison) induced gastric irritation in rats.</w:t>
      </w:r>
    </w:p>
    <w:p w:rsidR="0032345E" w:rsidRDefault="0032345E" w:rsidP="00BF11C3">
      <w:pPr>
        <w:pStyle w:val="Heading5"/>
      </w:pPr>
      <w:bookmarkStart w:id="118" w:name="_Toc450809131"/>
      <w:r w:rsidRPr="00A91846">
        <w:t>Impurities</w:t>
      </w:r>
      <w:bookmarkEnd w:id="118"/>
    </w:p>
    <w:p w:rsidR="0032345E" w:rsidRPr="00BF11C3" w:rsidRDefault="0032345E" w:rsidP="00BF11C3">
      <w:r w:rsidRPr="00BF11C3">
        <w:t>There are no toxicological concerns with the proposed impurity specifications.</w:t>
      </w:r>
    </w:p>
    <w:p w:rsidR="0032345E" w:rsidRPr="00A91846" w:rsidRDefault="0032345E" w:rsidP="00BF11C3">
      <w:pPr>
        <w:pStyle w:val="Heading5"/>
      </w:pPr>
      <w:bookmarkStart w:id="119" w:name="_Toc450809132"/>
      <w:r w:rsidRPr="00A91846">
        <w:t>Paediatric use</w:t>
      </w:r>
      <w:bookmarkEnd w:id="119"/>
    </w:p>
    <w:p w:rsidR="0032345E" w:rsidRPr="00BF11C3" w:rsidRDefault="0032345E" w:rsidP="00BF11C3">
      <w:r w:rsidRPr="00BF11C3">
        <w:t>Brivaracetam is not proposed for paediatric use. However, specific studies covering the early to juvenile developmental stages were submitted.</w:t>
      </w:r>
    </w:p>
    <w:p w:rsidR="00376D5E" w:rsidRDefault="0032345E" w:rsidP="00BF11C3">
      <w:r w:rsidRPr="00BF11C3">
        <w:t xml:space="preserve">In a rat developmental study (brivaracetam exposure from PND4-70), high oral (gavage) doses of brivaracetam (≥300 mg/kg/day) were associated with dyspnoea, </w:t>
      </w:r>
      <w:proofErr w:type="spellStart"/>
      <w:r w:rsidRPr="00BF11C3">
        <w:t>rales</w:t>
      </w:r>
      <w:proofErr w:type="spellEnd"/>
      <w:r w:rsidRPr="00BF11C3">
        <w:t>, pulmonary haemorrhage, and premature mortality. Th</w:t>
      </w:r>
      <w:r w:rsidR="00C362D3">
        <w:t xml:space="preserve">e premature mortality rate was approximately </w:t>
      </w:r>
      <w:r w:rsidRPr="00BF11C3">
        <w:t xml:space="preserve">2X higher females compared with males. Doses of 600 mg/kg/day were associated with &gt;10% reduction in body weight gain without test article-associated adverse effects on food consumption. Reversible suppression of motor activity was noted in males treated at 600 mg/kg/day. Non-reversible effects on auditory startle responses were noted in rats (both sexes) treated at 600 mg/kg/day (PO, gavage). These results imply that exposure to high levels of brivaracetam over PND4-78 induced a permanent defect somewhere in the cochlea </w:t>
      </w:r>
      <w:r w:rsidRPr="00BF11C3">
        <w:sym w:font="Wingdings" w:char="F0E0"/>
      </w:r>
      <w:r w:rsidRPr="00BF11C3">
        <w:t xml:space="preserve"> cranial nerve VIII </w:t>
      </w:r>
      <w:r w:rsidRPr="00BF11C3">
        <w:sym w:font="Wingdings" w:char="F0E0"/>
      </w:r>
      <w:r w:rsidRPr="00BF11C3">
        <w:t xml:space="preserve"> ventral/inferior cochlear nucleus </w:t>
      </w:r>
      <w:r w:rsidRPr="00BF11C3">
        <w:sym w:font="Wingdings" w:char="F0E0"/>
      </w:r>
      <w:r w:rsidRPr="00BF11C3">
        <w:t xml:space="preserve"> lateral lemniscus </w:t>
      </w:r>
      <w:r w:rsidRPr="00BF11C3">
        <w:sym w:font="Wingdings" w:char="F0E0"/>
      </w:r>
      <w:r w:rsidRPr="00BF11C3">
        <w:t xml:space="preserve"> caudal </w:t>
      </w:r>
      <w:proofErr w:type="spellStart"/>
      <w:r w:rsidRPr="00BF11C3">
        <w:t>pontine</w:t>
      </w:r>
      <w:proofErr w:type="spellEnd"/>
      <w:r w:rsidRPr="00BF11C3">
        <w:t xml:space="preserve"> reticular nucleus </w:t>
      </w:r>
      <w:r w:rsidRPr="00BF11C3">
        <w:sym w:font="Wingdings" w:char="F0E0"/>
      </w:r>
      <w:r w:rsidRPr="00BF11C3">
        <w:t xml:space="preserve"> lower motor neuron pathway in rats. The effect displayed a clear dose threshold (doses ≤ 300 mg/kg/day PO did not induce the effect). Exposure of rats to ≤ 600 mg/kg/day over PND</w:t>
      </w:r>
      <w:r w:rsidR="00C362D3">
        <w:t xml:space="preserve"> </w:t>
      </w:r>
      <w:r w:rsidRPr="00BF11C3">
        <w:t>4-70 had no effect on learning or memory, reproductive parameters, reproductive hormone levels, clinical chemistry and haematology parameters or ophthalmoscopy results. However, reduced absolute and relative prostate weight was significantly (p &lt;0.05) reduced in males exposed to 600 mg/kg/day PO from PND</w:t>
      </w:r>
      <w:r w:rsidR="00C362D3">
        <w:t xml:space="preserve"> </w:t>
      </w:r>
      <w:r w:rsidRPr="00BF11C3">
        <w:t xml:space="preserve">4-70, implying that subtle endocrine disruptive effects affecting the androgen system may occur with extreme doses of brivaracetam. Hepatomegaly without microscopic anatomic pathology correlates was present in all brivaracetam exposed animals (most likely due to adaptive metabolic </w:t>
      </w:r>
      <w:proofErr w:type="spellStart"/>
      <w:r w:rsidRPr="00BF11C3">
        <w:t>autoinduction</w:t>
      </w:r>
      <w:proofErr w:type="spellEnd"/>
      <w:r w:rsidRPr="00BF11C3">
        <w:t>)</w:t>
      </w:r>
      <w:r w:rsidR="00376D5E">
        <w:t>.</w:t>
      </w:r>
    </w:p>
    <w:p w:rsidR="00376D5E" w:rsidRDefault="0032345E" w:rsidP="00BF11C3">
      <w:r w:rsidRPr="00BF11C3">
        <w:t xml:space="preserve">Notably, exposure to </w:t>
      </w:r>
      <w:proofErr w:type="spellStart"/>
      <w:r w:rsidRPr="00BF11C3">
        <w:t>brivaracetam</w:t>
      </w:r>
      <w:proofErr w:type="spellEnd"/>
      <w:r w:rsidRPr="00BF11C3">
        <w:t xml:space="preserve"> at 600 mg/kg/day PO from PND</w:t>
      </w:r>
      <w:r w:rsidR="004B2D36">
        <w:t xml:space="preserve"> </w:t>
      </w:r>
      <w:r w:rsidRPr="00BF11C3">
        <w:t xml:space="preserve">4-70 induced reductions in absolute brain weight (PND 22: ↓ 10-16%; PND 71: ↓5-9%; PND100: ↓6-10%), brain length (PND 22: ↓5%; PND 100 ↓ 3%) and brain width (PND 22: ↓ 4%; PND 71: 3%; PND 100: ↓3-4%) in the absence of </w:t>
      </w:r>
      <w:proofErr w:type="spellStart"/>
      <w:r w:rsidRPr="00BF11C3">
        <w:t>microanatomic</w:t>
      </w:r>
      <w:proofErr w:type="spellEnd"/>
      <w:r w:rsidRPr="00BF11C3">
        <w:t xml:space="preserve"> pathology correlates. Due to the apparent lack of reversibility, the effects of brivaracetam on brain weight and gross </w:t>
      </w:r>
      <w:proofErr w:type="spellStart"/>
      <w:r w:rsidRPr="00BF11C3">
        <w:t>morphometry</w:t>
      </w:r>
      <w:proofErr w:type="spellEnd"/>
      <w:r w:rsidRPr="00BF11C3">
        <w:t xml:space="preserve"> are regarded as adverse even in the absence of detectable </w:t>
      </w:r>
      <w:proofErr w:type="spellStart"/>
      <w:r w:rsidRPr="00BF11C3">
        <w:t>microanatomic</w:t>
      </w:r>
      <w:proofErr w:type="spellEnd"/>
      <w:r w:rsidRPr="00BF11C3">
        <w:t xml:space="preserve"> pathology, learning, memory and behavioural correlates (apart from effects on the auditory startle response). Separate carefully controlled vehicle only studies were </w:t>
      </w:r>
      <w:r w:rsidRPr="00BF11C3">
        <w:lastRenderedPageBreak/>
        <w:t>performed in order to better define the normal range for rat absolute brain weight over PND</w:t>
      </w:r>
      <w:r w:rsidR="004B2D36">
        <w:t xml:space="preserve"> </w:t>
      </w:r>
      <w:r w:rsidRPr="00BF11C3">
        <w:t>4-70. These studies demonstrated that while the mean brain weights observed in the brivaracetam exposed juveniles were generally lower than the mean of the normal range, they still fell within the vehicle treatment only normal range. Furthermore, a clear dose response threshold (NOAEL</w:t>
      </w:r>
      <w:r w:rsidR="004B2D36">
        <w:t xml:space="preserve"> </w:t>
      </w:r>
      <w:r w:rsidRPr="00BF11C3">
        <w:t xml:space="preserve">= </w:t>
      </w:r>
      <w:r w:rsidR="00113F2E">
        <w:t xml:space="preserve">300 mg/kg/day) for brivaracetam </w:t>
      </w:r>
      <w:r w:rsidRPr="00BF11C3">
        <w:t xml:space="preserve">associated effects on absolute brain weight and gross </w:t>
      </w:r>
      <w:proofErr w:type="spellStart"/>
      <w:r w:rsidRPr="00BF11C3">
        <w:t>morphometry</w:t>
      </w:r>
      <w:proofErr w:type="spellEnd"/>
      <w:r w:rsidRPr="00BF11C3">
        <w:t xml:space="preserve"> was apparent (equivalent to 3-9X MRHD at the NOAEL)</w:t>
      </w:r>
      <w:r w:rsidR="00376D5E">
        <w:t>.</w:t>
      </w:r>
    </w:p>
    <w:p w:rsidR="0032345E" w:rsidRPr="00BF11C3" w:rsidRDefault="0032345E" w:rsidP="00BF11C3">
      <w:r w:rsidRPr="00BF11C3">
        <w:t>It should be noted that the reduction in body weight detected after exposure to 600 mg/kg/day of brivaracetam is not sufficient to explain the observed effects on brain absolute weight a</w:t>
      </w:r>
      <w:r w:rsidR="004B2D36">
        <w:t xml:space="preserve">nd brain gross </w:t>
      </w:r>
      <w:proofErr w:type="spellStart"/>
      <w:r w:rsidR="004B2D36">
        <w:t>morphometry</w:t>
      </w:r>
      <w:proofErr w:type="spellEnd"/>
      <w:r w:rsidR="004B2D36">
        <w:t xml:space="preserve">, that is, </w:t>
      </w:r>
      <w:r w:rsidRPr="00BF11C3">
        <w:t>a 23% reduction in final body weight in males exposed to 600 mg/kg/day correlated with a 13% increase in relative (to body weight) brain weight. The NOAEL for these effects in males and females was 300 mg/kg/day. The implications for human development of these findings are uncertain.</w:t>
      </w:r>
    </w:p>
    <w:p w:rsidR="0032345E" w:rsidRPr="00BF11C3" w:rsidRDefault="0032345E" w:rsidP="00BF11C3">
      <w:r w:rsidRPr="00BF11C3">
        <w:t xml:space="preserve">Brivaracetam had no effects on mortality, clinical signs, body weight, food consumption, developmental landmarks, ophthalmology, electrocardiography, </w:t>
      </w:r>
      <w:proofErr w:type="spellStart"/>
      <w:r w:rsidRPr="00BF11C3">
        <w:t>neurobehaviour</w:t>
      </w:r>
      <w:proofErr w:type="spellEnd"/>
      <w:r w:rsidRPr="00BF11C3">
        <w:t>, haematology, urinalysis, bone densitometry and mineralisation, serum reproductive hormone levels and neuroanatomy in juvenile dogs exposed at up to 100 mg/kg/day from PND 4 to PND</w:t>
      </w:r>
      <w:r w:rsidR="004B2D36">
        <w:t xml:space="preserve"> </w:t>
      </w:r>
      <w:r w:rsidRPr="00BF11C3">
        <w:t>276. Serum enzyme evidence of hepatocellular damage was present in juvenile dogs treated with 100 mg/kg/day. These effects were correlated with reversible hepatomegaly, hepatocellular brown pigmentation, hepatic fibrosis and inflammation, bile duct proliferation, hepatocellular hypertrophy, hepatocellular necrosis and biliary concretions. These effects were most likely associate</w:t>
      </w:r>
      <w:r w:rsidR="00113F2E">
        <w:t xml:space="preserve">d with </w:t>
      </w:r>
      <w:proofErr w:type="spellStart"/>
      <w:r w:rsidR="00113F2E">
        <w:t>porphyrogensis</w:t>
      </w:r>
      <w:proofErr w:type="spellEnd"/>
      <w:r w:rsidR="00113F2E">
        <w:t xml:space="preserve"> via a </w:t>
      </w:r>
      <w:r w:rsidR="00EB215B">
        <w:t>non-</w:t>
      </w:r>
      <w:r w:rsidR="00EB215B" w:rsidRPr="00BF11C3">
        <w:t>human</w:t>
      </w:r>
      <w:r w:rsidRPr="00BF11C3">
        <w:t xml:space="preserve"> relevant pathway of metabolism and were typically more severe in males. Minor reductions in serum T4 levels, in the absence of any evidence of hypothyroidism (including adverse effects on development) was present in the 100 mg/kg/day high dose group, however, clear evidence of decompensated hypothyroidism (including adverse effects on brain development) were not present in the study. The study NOAEL was 30 mg/kg/day (corresponding to an AUC</w:t>
      </w:r>
      <w:r w:rsidRPr="004B2D36">
        <w:rPr>
          <w:vertAlign w:val="subscript"/>
        </w:rPr>
        <w:t>0-24</w:t>
      </w:r>
      <w:r w:rsidR="004B2D36" w:rsidRPr="004B2D36">
        <w:rPr>
          <w:vertAlign w:val="subscript"/>
        </w:rPr>
        <w:t xml:space="preserve"> </w:t>
      </w:r>
      <w:r w:rsidRPr="004B2D36">
        <w:rPr>
          <w:vertAlign w:val="subscript"/>
        </w:rPr>
        <w:t xml:space="preserve">h </w:t>
      </w:r>
      <w:r w:rsidRPr="00BF11C3">
        <w:t xml:space="preserve">190 </w:t>
      </w:r>
      <w:proofErr w:type="spellStart"/>
      <w:r w:rsidRPr="00BF11C3">
        <w:t>μg</w:t>
      </w:r>
      <w:proofErr w:type="spellEnd"/>
      <w:r w:rsidRPr="00BF11C3">
        <w:t xml:space="preserve"> </w:t>
      </w:r>
      <w:proofErr w:type="spellStart"/>
      <w:r w:rsidRPr="00BF11C3">
        <w:t>eq.h</w:t>
      </w:r>
      <w:proofErr w:type="spellEnd"/>
      <w:r w:rsidRPr="00BF11C3">
        <w:t>/mL at PND 4, an AUC</w:t>
      </w:r>
      <w:r w:rsidRPr="004B2D36">
        <w:rPr>
          <w:vertAlign w:val="subscript"/>
        </w:rPr>
        <w:t>0-24</w:t>
      </w:r>
      <w:r w:rsidR="004B2D36" w:rsidRPr="004B2D36">
        <w:rPr>
          <w:vertAlign w:val="subscript"/>
        </w:rPr>
        <w:t xml:space="preserve"> </w:t>
      </w:r>
      <w:r w:rsidRPr="004B2D36">
        <w:rPr>
          <w:vertAlign w:val="subscript"/>
        </w:rPr>
        <w:t xml:space="preserve">h </w:t>
      </w:r>
      <w:r w:rsidRPr="00BF11C3">
        <w:t xml:space="preserve">63.5 </w:t>
      </w:r>
      <w:proofErr w:type="spellStart"/>
      <w:r w:rsidRPr="00BF11C3">
        <w:t>μg</w:t>
      </w:r>
      <w:proofErr w:type="spellEnd"/>
      <w:r w:rsidRPr="00BF11C3">
        <w:t xml:space="preserve"> </w:t>
      </w:r>
      <w:proofErr w:type="spellStart"/>
      <w:r w:rsidRPr="00BF11C3">
        <w:t>eq.h</w:t>
      </w:r>
      <w:proofErr w:type="spellEnd"/>
      <w:r w:rsidRPr="00BF11C3">
        <w:t>/mL at PND 31 and an AUC</w:t>
      </w:r>
      <w:r w:rsidRPr="004B2D36">
        <w:rPr>
          <w:vertAlign w:val="subscript"/>
        </w:rPr>
        <w:t>0-24</w:t>
      </w:r>
      <w:r w:rsidR="004B2D36" w:rsidRPr="004B2D36">
        <w:rPr>
          <w:vertAlign w:val="subscript"/>
        </w:rPr>
        <w:t xml:space="preserve"> </w:t>
      </w:r>
      <w:r w:rsidRPr="004B2D36">
        <w:rPr>
          <w:vertAlign w:val="subscript"/>
        </w:rPr>
        <w:t xml:space="preserve">h </w:t>
      </w:r>
      <w:r w:rsidRPr="00BF11C3">
        <w:t xml:space="preserve">78.1 </w:t>
      </w:r>
      <w:proofErr w:type="spellStart"/>
      <w:r w:rsidRPr="00BF11C3">
        <w:t>μg</w:t>
      </w:r>
      <w:proofErr w:type="spellEnd"/>
      <w:r w:rsidRPr="00BF11C3">
        <w:t xml:space="preserve"> </w:t>
      </w:r>
      <w:proofErr w:type="spellStart"/>
      <w:r w:rsidRPr="00BF11C3">
        <w:t>eq.h</w:t>
      </w:r>
      <w:proofErr w:type="spellEnd"/>
      <w:r w:rsidRPr="00BF11C3">
        <w:t>/mL on PND 276 (last day of treatment)</w:t>
      </w:r>
    </w:p>
    <w:p w:rsidR="00730B7C" w:rsidRDefault="008E7846" w:rsidP="00730B7C">
      <w:pPr>
        <w:pStyle w:val="Heading3"/>
      </w:pPr>
      <w:bookmarkStart w:id="120" w:name="_Toc247691515"/>
      <w:bookmarkStart w:id="121" w:name="_Toc314842499"/>
      <w:bookmarkStart w:id="122" w:name="_Toc479595225"/>
      <w:r>
        <w:t>Nonclinical summary and conclusions</w:t>
      </w:r>
      <w:bookmarkEnd w:id="120"/>
      <w:bookmarkEnd w:id="121"/>
      <w:bookmarkEnd w:id="122"/>
    </w:p>
    <w:p w:rsidR="00730B7C" w:rsidRPr="00730B7C" w:rsidRDefault="00730B7C" w:rsidP="00730B7C">
      <w:pPr>
        <w:pStyle w:val="Heading4"/>
      </w:pPr>
      <w:r w:rsidRPr="00730B7C">
        <w:t>Summary</w:t>
      </w:r>
    </w:p>
    <w:p w:rsidR="00376D5E" w:rsidRDefault="00730B7C" w:rsidP="00730B7C">
      <w:pPr>
        <w:pStyle w:val="ListBullet"/>
      </w:pPr>
      <w:r w:rsidRPr="00730B7C">
        <w:t xml:space="preserve">Brivaracetam, a 4-n-propyl analogue of </w:t>
      </w:r>
      <w:proofErr w:type="spellStart"/>
      <w:r w:rsidRPr="00730B7C">
        <w:t>levetiracetam</w:t>
      </w:r>
      <w:proofErr w:type="spellEnd"/>
      <w:r w:rsidRPr="00730B7C">
        <w:t>, is a Synaptic Vesi</w:t>
      </w:r>
      <w:r w:rsidR="00113F2E">
        <w:t xml:space="preserve">cle Glycoprotein 2A (SV2A) </w:t>
      </w:r>
      <w:r w:rsidR="00EB215B">
        <w:t>anti-seizure</w:t>
      </w:r>
      <w:r w:rsidR="00113F2E">
        <w:t>/</w:t>
      </w:r>
      <w:r w:rsidR="00EB215B">
        <w:t>anti-</w:t>
      </w:r>
      <w:r w:rsidR="00EB215B" w:rsidRPr="00730B7C">
        <w:t>epileptic</w:t>
      </w:r>
      <w:r w:rsidRPr="00730B7C">
        <w:t xml:space="preserve"> drug. Like other SV2A ligands, the exact MOA of brivaracetam is unknown. Brivaracetam did not act via Na+ channels in normal adult neurons and may act, in part, by inhibiting NMDA excitatory pathways and disinhibiting GABA and glycine inhibitory pathways. Brivaracetam (not its metabolites or its </w:t>
      </w:r>
      <w:proofErr w:type="spellStart"/>
      <w:r w:rsidRPr="00730B7C">
        <w:t>diastereoisomer</w:t>
      </w:r>
      <w:proofErr w:type="spellEnd"/>
      <w:r w:rsidRPr="00730B7C">
        <w:t xml:space="preserve"> impurity) is</w:t>
      </w:r>
      <w:r w:rsidR="00113F2E">
        <w:t xml:space="preserve"> the keystone agent in Briviact</w:t>
      </w:r>
      <w:r w:rsidRPr="00730B7C">
        <w:t xml:space="preserve">, reducing the risk of </w:t>
      </w:r>
      <w:proofErr w:type="spellStart"/>
      <w:r w:rsidRPr="00730B7C">
        <w:t>pharmacometabolomic</w:t>
      </w:r>
      <w:proofErr w:type="spellEnd"/>
      <w:r w:rsidRPr="00730B7C">
        <w:t>/</w:t>
      </w:r>
      <w:proofErr w:type="spellStart"/>
      <w:r w:rsidRPr="00730B7C">
        <w:t>pharmacogenomic</w:t>
      </w:r>
      <w:proofErr w:type="spellEnd"/>
      <w:r w:rsidRPr="00730B7C">
        <w:t xml:space="preserve"> effects</w:t>
      </w:r>
      <w:r w:rsidR="00376D5E">
        <w:t>.</w:t>
      </w:r>
    </w:p>
    <w:p w:rsidR="00730B7C" w:rsidRPr="00730B7C" w:rsidRDefault="00730B7C" w:rsidP="00730B7C">
      <w:pPr>
        <w:pStyle w:val="ListBullet"/>
      </w:pPr>
      <w:r w:rsidRPr="00730B7C">
        <w:t xml:space="preserve">Although </w:t>
      </w:r>
      <w:proofErr w:type="spellStart"/>
      <w:r w:rsidRPr="00730B7C">
        <w:t>brivaracetam</w:t>
      </w:r>
      <w:proofErr w:type="spellEnd"/>
      <w:r w:rsidRPr="00730B7C">
        <w:t xml:space="preserve"> is intended for use as an add-on therapy for partial epilepsy, combination therapy (except diazepam) was not investigated. Under efficacy biased conditions, brivaracetam (at generally behaviourally inactive doses) was, in most animal models, more potent (</w:t>
      </w:r>
      <w:r w:rsidR="00113F2E">
        <w:t xml:space="preserve">approximately </w:t>
      </w:r>
      <w:r w:rsidRPr="00730B7C">
        <w:t>10X) and efficacious (</w:t>
      </w:r>
      <w:r w:rsidR="00113F2E">
        <w:t>approximately</w:t>
      </w:r>
      <w:r w:rsidR="0026692B">
        <w:t xml:space="preserve"> </w:t>
      </w:r>
      <w:r w:rsidRPr="00730B7C">
        <w:t>100% seizure control; including diazepam</w:t>
      </w:r>
      <w:r w:rsidR="0026692B">
        <w:t xml:space="preserve"> </w:t>
      </w:r>
      <w:r w:rsidRPr="00730B7C">
        <w:t>resistant seizu</w:t>
      </w:r>
      <w:r w:rsidR="00113F2E">
        <w:t xml:space="preserve">res and potentially lethal </w:t>
      </w:r>
      <w:r w:rsidR="00EB215B">
        <w:t>self-</w:t>
      </w:r>
      <w:r w:rsidR="00EB215B" w:rsidRPr="00730B7C">
        <w:t>sustaining</w:t>
      </w:r>
      <w:r w:rsidRPr="00730B7C">
        <w:t xml:space="preserve"> status epilepticus) than </w:t>
      </w:r>
      <w:proofErr w:type="spellStart"/>
      <w:r w:rsidRPr="00730B7C">
        <w:t>levetiracetam</w:t>
      </w:r>
      <w:proofErr w:type="spellEnd"/>
      <w:r w:rsidRPr="00730B7C">
        <w:t>. Brivaracetam (</w:t>
      </w:r>
      <w:r w:rsidR="00113F2E">
        <w:t xml:space="preserve">approximately </w:t>
      </w:r>
      <w:r w:rsidRPr="00730B7C">
        <w:t xml:space="preserve">0.9X the single dose MRHD based on BSA comparison; behaviourally inactive dose) strongly synergised diazepam anti-seizure efficacy. Unlike </w:t>
      </w:r>
      <w:proofErr w:type="spellStart"/>
      <w:r w:rsidRPr="00730B7C">
        <w:t>levetiracetam</w:t>
      </w:r>
      <w:proofErr w:type="spellEnd"/>
      <w:r w:rsidRPr="00730B7C">
        <w:t xml:space="preserve">, </w:t>
      </w:r>
      <w:proofErr w:type="spellStart"/>
      <w:r w:rsidRPr="00730B7C">
        <w:t>brivaracetam</w:t>
      </w:r>
      <w:proofErr w:type="spellEnd"/>
      <w:r w:rsidRPr="00730B7C">
        <w:t xml:space="preserve"> induced a window of pos</w:t>
      </w:r>
      <w:r w:rsidR="00092EA7">
        <w:t xml:space="preserve">t </w:t>
      </w:r>
      <w:r w:rsidRPr="00730B7C">
        <w:t xml:space="preserve">washout resistance to seizure recrudescence in </w:t>
      </w:r>
      <w:r w:rsidR="00113F2E">
        <w:t xml:space="preserve">approximately </w:t>
      </w:r>
      <w:r w:rsidRPr="00730B7C">
        <w:t xml:space="preserve">50% of </w:t>
      </w:r>
      <w:proofErr w:type="spellStart"/>
      <w:r w:rsidRPr="00730B7C">
        <w:t>corneally</w:t>
      </w:r>
      <w:proofErr w:type="spellEnd"/>
      <w:r w:rsidRPr="00730B7C">
        <w:t xml:space="preserve"> kindled rats. Brivaracetam reduced (by </w:t>
      </w:r>
      <w:r w:rsidR="00113F2E">
        <w:t xml:space="preserve">approximately </w:t>
      </w:r>
      <w:r w:rsidRPr="00730B7C">
        <w:t xml:space="preserve">20X) corneal kindling, implying prophylactic efficacy. Unlike </w:t>
      </w:r>
      <w:proofErr w:type="spellStart"/>
      <w:r w:rsidRPr="00730B7C">
        <w:lastRenderedPageBreak/>
        <w:t>levetiracetam</w:t>
      </w:r>
      <w:proofErr w:type="spellEnd"/>
      <w:r w:rsidRPr="00730B7C">
        <w:t xml:space="preserve"> and other agents, brivaracetam controlled (without side-effects) </w:t>
      </w:r>
      <w:proofErr w:type="spellStart"/>
      <w:r w:rsidRPr="00730B7C">
        <w:t>harmaline</w:t>
      </w:r>
      <w:proofErr w:type="spellEnd"/>
      <w:r w:rsidRPr="00730B7C">
        <w:t xml:space="preserve"> </w:t>
      </w:r>
      <w:proofErr w:type="spellStart"/>
      <w:r w:rsidRPr="00730B7C">
        <w:t>pharmaco</w:t>
      </w:r>
      <w:proofErr w:type="spellEnd"/>
      <w:r w:rsidRPr="00730B7C">
        <w:t xml:space="preserve">-resistant essential tremor in rats (superior to propranolol, the current “standard of care”). Brivaracetam did not control </w:t>
      </w:r>
      <w:proofErr w:type="spellStart"/>
      <w:r w:rsidRPr="00730B7C">
        <w:t>bicuculline</w:t>
      </w:r>
      <w:proofErr w:type="spellEnd"/>
      <w:r w:rsidRPr="00730B7C">
        <w:t xml:space="preserve">, </w:t>
      </w:r>
      <w:proofErr w:type="spellStart"/>
      <w:r w:rsidRPr="00730B7C">
        <w:t>picrotoxin</w:t>
      </w:r>
      <w:proofErr w:type="spellEnd"/>
      <w:r w:rsidRPr="00730B7C">
        <w:t xml:space="preserve">, </w:t>
      </w:r>
      <w:proofErr w:type="spellStart"/>
      <w:r w:rsidRPr="00730B7C">
        <w:t>pilocarpine</w:t>
      </w:r>
      <w:proofErr w:type="spellEnd"/>
      <w:r w:rsidRPr="00730B7C">
        <w:t>, 4-aminopyridine or caffeine induced seizures.</w:t>
      </w:r>
    </w:p>
    <w:p w:rsidR="00376D5E" w:rsidRDefault="00113F2E" w:rsidP="00730B7C">
      <w:pPr>
        <w:pStyle w:val="ListBullet"/>
      </w:pPr>
      <w:r>
        <w:t>Brivaracetam (approximately ≥</w:t>
      </w:r>
      <w:r w:rsidR="00730B7C" w:rsidRPr="00730B7C">
        <w:t xml:space="preserve">2X single dose MRHD based on BSA comparison) reduced </w:t>
      </w:r>
      <w:proofErr w:type="spellStart"/>
      <w:r w:rsidR="00730B7C" w:rsidRPr="00730B7C">
        <w:t>rotarod</w:t>
      </w:r>
      <w:proofErr w:type="spellEnd"/>
      <w:r w:rsidR="00730B7C" w:rsidRPr="00730B7C">
        <w:t xml:space="preserve"> performance in seizure-prone rats and normal mice (may correlate with somnolence and other CNS related symptoms observed in humans) but at </w:t>
      </w:r>
      <w:r>
        <w:t>approximately</w:t>
      </w:r>
      <w:r w:rsidR="00730B7C" w:rsidRPr="00730B7C">
        <w:t xml:space="preserve">6X the single dose MRHD (based on BSA) did not affect levels of motor activity in normal rats. </w:t>
      </w:r>
      <w:proofErr w:type="spellStart"/>
      <w:r w:rsidR="00730B7C" w:rsidRPr="00730B7C">
        <w:t>Suprath</w:t>
      </w:r>
      <w:r>
        <w:t>erapeutic</w:t>
      </w:r>
      <w:proofErr w:type="spellEnd"/>
      <w:r>
        <w:t xml:space="preserve"> </w:t>
      </w:r>
      <w:proofErr w:type="spellStart"/>
      <w:r>
        <w:t>brivaracetam</w:t>
      </w:r>
      <w:proofErr w:type="spellEnd"/>
      <w:r>
        <w:t xml:space="preserve"> doses (approximately ≥</w:t>
      </w:r>
      <w:r w:rsidR="00730B7C" w:rsidRPr="00730B7C">
        <w:t xml:space="preserve">3X the MRHD based on BSA) produced adverse effects on basic </w:t>
      </w:r>
      <w:proofErr w:type="spellStart"/>
      <w:r w:rsidR="00730B7C" w:rsidRPr="00730B7C">
        <w:t>neurobehaviour</w:t>
      </w:r>
      <w:proofErr w:type="spellEnd"/>
      <w:r w:rsidR="00730B7C" w:rsidRPr="00730B7C">
        <w:t>, learning, memory, muscle tone, nociception and consciousness in rodents. Brivaracetam (</w:t>
      </w:r>
      <w:r>
        <w:t xml:space="preserve">approximately </w:t>
      </w:r>
      <w:r w:rsidR="00730B7C" w:rsidRPr="00730B7C">
        <w:t xml:space="preserve">0.6X the single dose MRHD based on BSA) reduced nociceptive effects in models of sciatic nerve mechanical </w:t>
      </w:r>
      <w:proofErr w:type="spellStart"/>
      <w:r w:rsidR="00730B7C" w:rsidRPr="00730B7C">
        <w:t>hyperalgesia</w:t>
      </w:r>
      <w:proofErr w:type="spellEnd"/>
      <w:r w:rsidR="00730B7C" w:rsidRPr="00730B7C">
        <w:t>/neuropathic pain in normal and diabetic rats. Brivaracetam (</w:t>
      </w:r>
      <w:r>
        <w:t xml:space="preserve">approximately </w:t>
      </w:r>
      <w:r w:rsidR="00730B7C" w:rsidRPr="00730B7C">
        <w:t>0.9X the single dose MRHD based on BSA) had no effect on diazepam-induced behavioural effects. Brivaracetam (</w:t>
      </w:r>
      <w:r>
        <w:t xml:space="preserve">approximately </w:t>
      </w:r>
      <w:r w:rsidR="00730B7C" w:rsidRPr="00730B7C">
        <w:t>0.6X the single dose MRHD based on BSA) inhibited dexamphetamine-</w:t>
      </w:r>
      <w:proofErr w:type="spellStart"/>
      <w:r w:rsidR="00730B7C" w:rsidRPr="00730B7C">
        <w:t>chlordiazepoxide</w:t>
      </w:r>
      <w:proofErr w:type="spellEnd"/>
      <w:r w:rsidR="00730B7C" w:rsidRPr="00730B7C">
        <w:t xml:space="preserve"> induced hyperactive behaviour in rats, with negligible influence on drug-addictive associated behaviours. In rats, extreme doses of brivaracetam (</w:t>
      </w:r>
      <w:r>
        <w:t xml:space="preserve">approximately </w:t>
      </w:r>
      <w:r w:rsidR="00730B7C" w:rsidRPr="00730B7C">
        <w:t xml:space="preserve">≥18-27X the single dose MRHD based on BSA) induced unconsciousness characterized by </w:t>
      </w:r>
      <w:proofErr w:type="spellStart"/>
      <w:r w:rsidR="00730B7C" w:rsidRPr="00730B7C">
        <w:t>areflexia</w:t>
      </w:r>
      <w:proofErr w:type="spellEnd"/>
      <w:r w:rsidR="00376D5E">
        <w:t>.</w:t>
      </w:r>
    </w:p>
    <w:p w:rsidR="00376D5E" w:rsidRDefault="00730B7C" w:rsidP="00730B7C">
      <w:pPr>
        <w:pStyle w:val="ListBullet"/>
      </w:pPr>
      <w:proofErr w:type="spellStart"/>
      <w:r w:rsidRPr="00730B7C">
        <w:t>Brivaracetam</w:t>
      </w:r>
      <w:proofErr w:type="spellEnd"/>
      <w:r w:rsidRPr="00730B7C">
        <w:t xml:space="preserve"> and its key hu</w:t>
      </w:r>
      <w:r w:rsidR="00EB7AEF">
        <w:t xml:space="preserve">man metabolites are not cardiac </w:t>
      </w:r>
      <w:r w:rsidRPr="00730B7C">
        <w:t xml:space="preserve">relevant </w:t>
      </w:r>
      <w:proofErr w:type="spellStart"/>
      <w:r w:rsidRPr="00730B7C">
        <w:t>channelopathic</w:t>
      </w:r>
      <w:proofErr w:type="spellEnd"/>
      <w:r w:rsidRPr="00730B7C">
        <w:t>, even at high (</w:t>
      </w:r>
      <w:proofErr w:type="spellStart"/>
      <w:r w:rsidRPr="00730B7C">
        <w:t>supratherapeutic</w:t>
      </w:r>
      <w:proofErr w:type="spellEnd"/>
      <w:r w:rsidRPr="00730B7C">
        <w:t xml:space="preserve">) concentrations. In female </w:t>
      </w:r>
      <w:r w:rsidR="00113F2E">
        <w:t>(only) dogs, PO brivaracetam (approximately &gt;15X single dose MRHD based on Cm</w:t>
      </w:r>
      <w:r w:rsidRPr="00730B7C">
        <w:t>ax comparison) induced hypotension at 4-20 h post dosing (≤ 25-27 mm Hg reduction in mean arterial pressure). Brivaracetam did not affect GI motility in rats</w:t>
      </w:r>
      <w:r w:rsidR="00376D5E">
        <w:t>.</w:t>
      </w:r>
    </w:p>
    <w:p w:rsidR="00376D5E" w:rsidRDefault="00280FCE" w:rsidP="00730B7C">
      <w:pPr>
        <w:pStyle w:val="ListBullet"/>
      </w:pPr>
      <w:proofErr w:type="spellStart"/>
      <w:r>
        <w:t>Brivaracetam</w:t>
      </w:r>
      <w:proofErr w:type="spellEnd"/>
      <w:r>
        <w:t xml:space="preserve"> (Log P approximately </w:t>
      </w:r>
      <w:r w:rsidR="00730B7C" w:rsidRPr="00730B7C">
        <w:t>1) is rapidly absorbed by diffusion fr</w:t>
      </w:r>
      <w:r>
        <w:t>om the gut (PO and IV AUC and Cm</w:t>
      </w:r>
      <w:r w:rsidR="00730B7C" w:rsidRPr="00730B7C">
        <w:t>ax</w:t>
      </w:r>
      <w:r w:rsidR="00EB7AEF">
        <w:t xml:space="preserve"> are</w:t>
      </w:r>
      <w:r w:rsidR="00730B7C" w:rsidRPr="00730B7C">
        <w:t xml:space="preserve"> </w:t>
      </w:r>
      <w:r w:rsidR="000D016A">
        <w:t xml:space="preserve">approximately </w:t>
      </w:r>
      <w:r w:rsidR="00730B7C" w:rsidRPr="00730B7C">
        <w:t xml:space="preserve">equal) and rapidly equilibrates, by diffusion (↓risk </w:t>
      </w:r>
      <w:r w:rsidR="00E0678D">
        <w:t>of pharmacogenomics and</w:t>
      </w:r>
      <w:r w:rsidR="00730B7C" w:rsidRPr="00730B7C">
        <w:t xml:space="preserve"> victim-perpetrator effects) across the blood brain barrier (</w:t>
      </w:r>
      <w:proofErr w:type="spellStart"/>
      <w:r w:rsidR="00730B7C" w:rsidRPr="00730B7C">
        <w:t>brain</w:t>
      </w:r>
      <w:proofErr w:type="gramStart"/>
      <w:r w:rsidR="00730B7C" w:rsidRPr="00730B7C">
        <w:t>:plasma</w:t>
      </w:r>
      <w:proofErr w:type="spellEnd"/>
      <w:proofErr w:type="gramEnd"/>
      <w:r w:rsidR="00730B7C" w:rsidRPr="00730B7C">
        <w:t xml:space="preserve"> </w:t>
      </w:r>
      <w:r w:rsidR="000D016A">
        <w:t xml:space="preserve">approximately </w:t>
      </w:r>
      <w:r w:rsidR="00730B7C" w:rsidRPr="00730B7C">
        <w:t xml:space="preserve">1; </w:t>
      </w:r>
      <w:proofErr w:type="spellStart"/>
      <w:r w:rsidR="00730B7C" w:rsidRPr="00730B7C">
        <w:t>Tmax</w:t>
      </w:r>
      <w:proofErr w:type="spellEnd"/>
      <w:r w:rsidR="00730B7C" w:rsidRPr="00730B7C">
        <w:t xml:space="preserve"> brain </w:t>
      </w:r>
      <w:r w:rsidR="000D016A">
        <w:t xml:space="preserve">approximately </w:t>
      </w:r>
      <w:r w:rsidR="00730B7C" w:rsidRPr="00730B7C">
        <w:t xml:space="preserve">15min; not affected by sex or administration route). Oral first pass extraction is minimal in humans, rodents and dogs, but very high in </w:t>
      </w:r>
      <w:proofErr w:type="spellStart"/>
      <w:r w:rsidR="00730B7C" w:rsidRPr="00730B7C">
        <w:t>cynomolgus</w:t>
      </w:r>
      <w:proofErr w:type="spellEnd"/>
      <w:r w:rsidR="00730B7C" w:rsidRPr="00730B7C">
        <w:t xml:space="preserve"> monkeys (F &lt;10%</w:t>
      </w:r>
      <w:r w:rsidR="00C34460" w:rsidRPr="00C34460">
        <w:t xml:space="preserve"> </w:t>
      </w:r>
      <w:r w:rsidR="00C34460">
        <w:t>approximately</w:t>
      </w:r>
      <w:r w:rsidR="00730B7C" w:rsidRPr="00730B7C">
        <w:t>). Unlike humans, metabolic auto-induction reduced systemic exposures in rodents and dogs. Female rats generally had higher systemic ex</w:t>
      </w:r>
      <w:r w:rsidR="00B82EEB">
        <w:t>posure and slower elimination compared with</w:t>
      </w:r>
      <w:r w:rsidR="00730B7C" w:rsidRPr="00730B7C">
        <w:t xml:space="preserve"> males (species specific). Brivaracetam generally displayed dose linearity (except in dogs; metabolic difference). Cl</w:t>
      </w:r>
      <w:r w:rsidR="00020FE3">
        <w:t xml:space="preserve"> </w:t>
      </w:r>
      <w:r w:rsidR="00730B7C" w:rsidRPr="00730B7C">
        <w:t>body weight normali</w:t>
      </w:r>
      <w:r w:rsidR="00020FE3">
        <w:t>s</w:t>
      </w:r>
      <w:r w:rsidR="00730B7C" w:rsidRPr="00730B7C">
        <w:t xml:space="preserve">ed in non-primates was </w:t>
      </w:r>
      <w:r w:rsidR="00CC5EA0">
        <w:t xml:space="preserve">approximately </w:t>
      </w:r>
      <w:r w:rsidR="00730B7C" w:rsidRPr="00730B7C">
        <w:t xml:space="preserve">4-21X that of humans (animal T½ </w:t>
      </w:r>
      <w:r w:rsidR="00CC5EA0">
        <w:t xml:space="preserve">approximately </w:t>
      </w:r>
      <w:r w:rsidR="00730B7C" w:rsidRPr="00730B7C">
        <w:t>0.03-0.2X human T½ [</w:t>
      </w:r>
      <w:r w:rsidR="00CC5EA0">
        <w:t xml:space="preserve">approximately </w:t>
      </w:r>
      <w:r w:rsidR="00730B7C" w:rsidRPr="00730B7C">
        <w:t>9 h]), necessitating adaption of the typical study dosing regimens to e</w:t>
      </w:r>
      <w:r w:rsidR="00020FE3">
        <w:t xml:space="preserve">nsure 24 h drug exposure. Human </w:t>
      </w:r>
      <w:r w:rsidR="00730B7C" w:rsidRPr="00730B7C">
        <w:t xml:space="preserve">relevant tissue elimination in rats was rapid and near complete by 24 h. Brivaracetam distributes to </w:t>
      </w:r>
      <w:r w:rsidR="00CC5EA0">
        <w:t xml:space="preserve">approximately </w:t>
      </w:r>
      <w:r w:rsidR="00730B7C" w:rsidRPr="00730B7C">
        <w:t>total body water in rats without human</w:t>
      </w:r>
      <w:r w:rsidR="00B82EEB">
        <w:t xml:space="preserve"> </w:t>
      </w:r>
      <w:r w:rsidR="00730B7C" w:rsidRPr="00730B7C">
        <w:t xml:space="preserve">relevant tissue sequestration. Plasma protein binding was low (12.2-26.5% across species) and the whole </w:t>
      </w:r>
      <w:proofErr w:type="spellStart"/>
      <w:r w:rsidR="00730B7C" w:rsidRPr="00730B7C">
        <w:t>blood</w:t>
      </w:r>
      <w:proofErr w:type="gramStart"/>
      <w:r w:rsidR="00730B7C" w:rsidRPr="00730B7C">
        <w:t>:plasma</w:t>
      </w:r>
      <w:proofErr w:type="spellEnd"/>
      <w:proofErr w:type="gramEnd"/>
      <w:r w:rsidR="00730B7C" w:rsidRPr="00730B7C">
        <w:t xml:space="preserve"> ratio was </w:t>
      </w:r>
      <w:r w:rsidR="00CC5EA0">
        <w:t xml:space="preserve">approximately </w:t>
      </w:r>
      <w:r w:rsidR="00730B7C" w:rsidRPr="00730B7C">
        <w:t xml:space="preserve">1:1. Brivaracetam rapidly crossed the rat placenta (equilibration </w:t>
      </w:r>
      <w:r w:rsidR="00CC5EA0">
        <w:t xml:space="preserve">approximately </w:t>
      </w:r>
      <w:r w:rsidR="00730B7C" w:rsidRPr="00730B7C">
        <w:t xml:space="preserve">1 h; </w:t>
      </w:r>
      <w:proofErr w:type="spellStart"/>
      <w:r w:rsidR="00730B7C" w:rsidRPr="00730B7C">
        <w:t>maternal</w:t>
      </w:r>
      <w:proofErr w:type="gramStart"/>
      <w:r w:rsidR="00730B7C" w:rsidRPr="00730B7C">
        <w:t>:f</w:t>
      </w:r>
      <w:r w:rsidR="00B82EEB">
        <w:t>o</w:t>
      </w:r>
      <w:r w:rsidR="00730B7C" w:rsidRPr="00730B7C">
        <w:t>etal</w:t>
      </w:r>
      <w:proofErr w:type="spellEnd"/>
      <w:proofErr w:type="gramEnd"/>
      <w:r w:rsidR="00730B7C" w:rsidRPr="00730B7C">
        <w:t xml:space="preserve"> and </w:t>
      </w:r>
      <w:proofErr w:type="spellStart"/>
      <w:r w:rsidR="00730B7C" w:rsidRPr="00730B7C">
        <w:t>maternal:placental</w:t>
      </w:r>
      <w:proofErr w:type="spellEnd"/>
      <w:r w:rsidR="00730B7C" w:rsidRPr="00730B7C">
        <w:t xml:space="preserve"> </w:t>
      </w:r>
      <w:r w:rsidR="00CC5EA0">
        <w:t xml:space="preserve">approximately </w:t>
      </w:r>
      <w:r w:rsidR="00730B7C" w:rsidRPr="00730B7C">
        <w:t xml:space="preserve">1:1). Hepatic metabolism caused </w:t>
      </w:r>
      <w:r w:rsidR="00CC5EA0">
        <w:t>most of the plasma clearance (approximately ≤</w:t>
      </w:r>
      <w:r w:rsidR="00730B7C" w:rsidRPr="00730B7C">
        <w:t xml:space="preserve">6% excreted intact). The key </w:t>
      </w:r>
      <w:r w:rsidR="00020FE3">
        <w:t xml:space="preserve">metabolic pathways were: </w:t>
      </w:r>
      <w:proofErr w:type="spellStart"/>
      <w:r w:rsidR="00020FE3">
        <w:t>stereo</w:t>
      </w:r>
      <w:r w:rsidR="00730B7C" w:rsidRPr="00730B7C">
        <w:t>selective</w:t>
      </w:r>
      <w:proofErr w:type="spellEnd"/>
      <w:r w:rsidR="00730B7C" w:rsidRPr="00730B7C">
        <w:t xml:space="preserve"> hydroxylation of the propyl side-chain to ucb-100406-1 (mostly CYP2C19; </w:t>
      </w:r>
      <w:r w:rsidR="00CC5EA0">
        <w:t xml:space="preserve">approximately </w:t>
      </w:r>
      <w:r w:rsidR="00730B7C" w:rsidRPr="00730B7C">
        <w:t xml:space="preserve">30-40% of the dose in all species except humans; </w:t>
      </w:r>
      <w:r w:rsidR="00CC5EA0">
        <w:t xml:space="preserve">approximately </w:t>
      </w:r>
      <w:r w:rsidR="00730B7C" w:rsidRPr="00730B7C">
        <w:t xml:space="preserve">28.2% of the dose in humans), hydrolysis of the </w:t>
      </w:r>
      <w:proofErr w:type="spellStart"/>
      <w:r w:rsidR="00730B7C" w:rsidRPr="00730B7C">
        <w:t>acetamide</w:t>
      </w:r>
      <w:proofErr w:type="spellEnd"/>
      <w:r w:rsidR="00730B7C" w:rsidRPr="00730B7C">
        <w:t xml:space="preserve"> moiety to ucb-42145 (amidase E.C.3.5.1.4; </w:t>
      </w:r>
      <w:r w:rsidR="00CC5EA0">
        <w:t xml:space="preserve">approximately </w:t>
      </w:r>
      <w:r w:rsidR="00020FE3">
        <w:t xml:space="preserve">3-18% of the dose in all </w:t>
      </w:r>
      <w:proofErr w:type="spellStart"/>
      <w:r w:rsidR="00020FE3">
        <w:t xml:space="preserve">non </w:t>
      </w:r>
      <w:r w:rsidR="00730B7C" w:rsidRPr="00730B7C">
        <w:t>human</w:t>
      </w:r>
      <w:proofErr w:type="spellEnd"/>
      <w:r w:rsidR="00730B7C" w:rsidRPr="00730B7C">
        <w:t xml:space="preserve"> species; </w:t>
      </w:r>
      <w:r w:rsidR="00CC5EA0">
        <w:t xml:space="preserve">approximately </w:t>
      </w:r>
      <w:r w:rsidR="00730B7C" w:rsidRPr="00730B7C">
        <w:t xml:space="preserve">56.4% of the dose in humans), and both reactions to form ucb-107092-1 (mostly CYP2C9; </w:t>
      </w:r>
      <w:r w:rsidR="00CC5EA0">
        <w:t xml:space="preserve">approximately </w:t>
      </w:r>
      <w:r w:rsidR="00730B7C" w:rsidRPr="00730B7C">
        <w:t xml:space="preserve">2.5% of the dose in dogs; absent in rodents; </w:t>
      </w:r>
      <w:r w:rsidR="00CC5EA0">
        <w:t>approximately 15.2-</w:t>
      </w:r>
      <w:r w:rsidR="00730B7C" w:rsidRPr="00730B7C">
        <w:t xml:space="preserve">15.9% of the dose </w:t>
      </w:r>
      <w:r w:rsidR="00020FE3">
        <w:t xml:space="preserve">in humans). There were no human </w:t>
      </w:r>
      <w:r w:rsidR="00730B7C" w:rsidRPr="00730B7C">
        <w:t>specific in vivo metab</w:t>
      </w:r>
      <w:r w:rsidR="00020FE3">
        <w:t>olites; however</w:t>
      </w:r>
      <w:r w:rsidR="00B82EEB">
        <w:t>,</w:t>
      </w:r>
      <w:r w:rsidR="00020FE3">
        <w:t xml:space="preserve"> </w:t>
      </w:r>
      <w:proofErr w:type="spellStart"/>
      <w:r w:rsidR="00020FE3">
        <w:t>butyramide</w:t>
      </w:r>
      <w:proofErr w:type="spellEnd"/>
      <w:r w:rsidR="00020FE3">
        <w:t xml:space="preserve"> side </w:t>
      </w:r>
      <w:r w:rsidR="00730B7C" w:rsidRPr="00730B7C">
        <w:t xml:space="preserve">chain hydroxylation occurs in dogs resulting in </w:t>
      </w:r>
      <w:proofErr w:type="spellStart"/>
      <w:r w:rsidR="00730B7C" w:rsidRPr="00730B7C">
        <w:t>porphyrogenesis</w:t>
      </w:r>
      <w:proofErr w:type="spellEnd"/>
      <w:r w:rsidR="00730B7C" w:rsidRPr="00730B7C">
        <w:t xml:space="preserve"> (biomarker is </w:t>
      </w:r>
      <w:r w:rsidR="00730B7C" w:rsidRPr="00730B7C">
        <w:lastRenderedPageBreak/>
        <w:t>ucb-102993-1 formation; not human-relevant). Critically, substantial increases in the plasma AUC of (</w:t>
      </w:r>
      <w:r w:rsidR="00CC5EA0">
        <w:t xml:space="preserve">approximately </w:t>
      </w:r>
      <w:r w:rsidR="00730B7C" w:rsidRPr="00730B7C">
        <w:t xml:space="preserve">21.5X) ucb-107092-1 occurs in </w:t>
      </w:r>
      <w:proofErr w:type="spellStart"/>
      <w:r w:rsidR="00730B7C" w:rsidRPr="00730B7C">
        <w:t>renally</w:t>
      </w:r>
      <w:proofErr w:type="spellEnd"/>
      <w:r w:rsidR="00730B7C" w:rsidRPr="00730B7C">
        <w:t xml:space="preserve"> impaired humans (requiring separate nonclinical toxicology evaluations). Ucb-107092-1 is very rapidly eliminated in urine by rats (&gt;95% decrease in plasma concentration within 1 h of IV dosing). Brivaracetam and its metabolites are rapidly and almost exc</w:t>
      </w:r>
      <w:r w:rsidR="00CC5EA0">
        <w:t>lusively eliminated in urine (approximately ≥</w:t>
      </w:r>
      <w:r w:rsidR="00730B7C" w:rsidRPr="00730B7C">
        <w:t xml:space="preserve">90% radioactivity in 48-168 h). Excretion mass balance is not affected by species, route of administration, sex or pregnancy state. In rats, </w:t>
      </w:r>
      <w:proofErr w:type="spellStart"/>
      <w:r w:rsidR="00730B7C" w:rsidRPr="00730B7C">
        <w:t>brivaracetam</w:t>
      </w:r>
      <w:proofErr w:type="spellEnd"/>
      <w:r w:rsidR="00730B7C" w:rsidRPr="00730B7C">
        <w:t xml:space="preserve"> had rapid </w:t>
      </w:r>
      <w:proofErr w:type="spellStart"/>
      <w:r w:rsidR="00730B7C" w:rsidRPr="00730B7C">
        <w:t>transmamm</w:t>
      </w:r>
      <w:r w:rsidR="005660D9">
        <w:t>ary</w:t>
      </w:r>
      <w:proofErr w:type="spellEnd"/>
      <w:r w:rsidR="005660D9">
        <w:t xml:space="preserve"> equilibration (</w:t>
      </w:r>
      <w:proofErr w:type="spellStart"/>
      <w:r w:rsidR="005660D9">
        <w:t>milk</w:t>
      </w:r>
      <w:proofErr w:type="gramStart"/>
      <w:r w:rsidR="005660D9">
        <w:t>:plasma</w:t>
      </w:r>
      <w:proofErr w:type="spellEnd"/>
      <w:proofErr w:type="gramEnd"/>
      <w:r w:rsidR="005660D9">
        <w:t xml:space="preserve"> </w:t>
      </w:r>
      <w:r w:rsidR="00730B7C" w:rsidRPr="00730B7C">
        <w:t>1:1</w:t>
      </w:r>
      <w:r w:rsidR="005660D9">
        <w:t xml:space="preserve"> approximately</w:t>
      </w:r>
      <w:r w:rsidR="00730B7C" w:rsidRPr="00730B7C">
        <w:t>). Brivaracetam</w:t>
      </w:r>
      <w:r w:rsidR="00020FE3">
        <w:t xml:space="preserve"> is unlikely to precipitate CYP</w:t>
      </w:r>
      <w:r w:rsidR="00730B7C" w:rsidRPr="00730B7C">
        <w:t xml:space="preserve"> or transporter</w:t>
      </w:r>
      <w:r w:rsidR="00020FE3">
        <w:t xml:space="preserve"> </w:t>
      </w:r>
      <w:r w:rsidR="00730B7C" w:rsidRPr="00730B7C">
        <w:t>mediated drug interactions. Brivaracetam was a modest CAR-</w:t>
      </w:r>
      <w:proofErr w:type="spellStart"/>
      <w:r w:rsidR="00730B7C" w:rsidRPr="00730B7C">
        <w:t>xenosensor</w:t>
      </w:r>
      <w:proofErr w:type="spellEnd"/>
      <w:r w:rsidR="00020FE3">
        <w:t xml:space="preserve"> </w:t>
      </w:r>
      <w:r w:rsidR="00730B7C" w:rsidRPr="00730B7C">
        <w:t>mediated CYP2B inducer in rats (human irrelevant). Lesser induction of other CYP families and thyroxine-UGT (with associated mild, human irrelevant, effects on the rat hypothalamic-pituitary-thyroid axis) occu</w:t>
      </w:r>
      <w:r w:rsidR="0044383D">
        <w:t xml:space="preserve">rred (probably </w:t>
      </w:r>
      <w:proofErr w:type="spellStart"/>
      <w:r w:rsidR="0044383D">
        <w:t>xenosensor</w:t>
      </w:r>
      <w:proofErr w:type="spellEnd"/>
      <w:r w:rsidR="0044383D">
        <w:t xml:space="preserve"> cross</w:t>
      </w:r>
      <w:r w:rsidR="00730B7C" w:rsidRPr="00730B7C">
        <w:t>talk)</w:t>
      </w:r>
      <w:r w:rsidR="00376D5E">
        <w:t>.</w:t>
      </w:r>
    </w:p>
    <w:p w:rsidR="00376D5E" w:rsidRDefault="005660D9" w:rsidP="00730B7C">
      <w:pPr>
        <w:pStyle w:val="ListBullet"/>
      </w:pPr>
      <w:r>
        <w:t>Single PO doses approximately ≥</w:t>
      </w:r>
      <w:r w:rsidR="00730B7C" w:rsidRPr="00730B7C">
        <w:t>45X the human single dose MRHD (</w:t>
      </w:r>
      <w:r w:rsidR="0044383D">
        <w:t xml:space="preserve">based on BSA) produced narcosis </w:t>
      </w:r>
      <w:r w:rsidR="00730B7C" w:rsidRPr="00730B7C">
        <w:t xml:space="preserve">like effects in rats and PO doses at </w:t>
      </w:r>
      <w:r>
        <w:t xml:space="preserve">approximately </w:t>
      </w:r>
      <w:r w:rsidR="00730B7C" w:rsidRPr="00730B7C">
        <w:t>90X the human single dose MRHD (based on BSA) induced gastric irritation</w:t>
      </w:r>
      <w:r w:rsidR="00376D5E">
        <w:t>.</w:t>
      </w:r>
    </w:p>
    <w:p w:rsidR="00730B7C" w:rsidRPr="00730B7C" w:rsidRDefault="00730B7C" w:rsidP="00730B7C">
      <w:pPr>
        <w:pStyle w:val="ListBullet"/>
      </w:pPr>
      <w:r w:rsidRPr="00730B7C">
        <w:t>Gen</w:t>
      </w:r>
      <w:r w:rsidR="00B82EEB">
        <w:t>erally high MOEs (</w:t>
      </w:r>
      <w:proofErr w:type="spellStart"/>
      <w:r w:rsidR="00B82EEB">
        <w:t>brivaracetam</w:t>
      </w:r>
      <w:proofErr w:type="spellEnd"/>
      <w:r w:rsidR="00B82EEB">
        <w:t xml:space="preserve"> and</w:t>
      </w:r>
      <w:r w:rsidRPr="00730B7C">
        <w:t xml:space="preserve"> metabolites) were achieved in the non-primate repeat dose toxicology studies. The non-primate brivaracetam NOEL/NOAEL exposure levels in</w:t>
      </w:r>
      <w:r w:rsidR="005660D9">
        <w:t xml:space="preserve"> all repeat dose studies were approximately ≥</w:t>
      </w:r>
      <w:r w:rsidRPr="00730B7C">
        <w:t>1X the MRHD (based on AUC</w:t>
      </w:r>
      <w:r w:rsidRPr="0044383D">
        <w:rPr>
          <w:vertAlign w:val="subscript"/>
        </w:rPr>
        <w:t>0-24</w:t>
      </w:r>
      <w:r w:rsidR="0044383D" w:rsidRPr="0044383D">
        <w:rPr>
          <w:vertAlign w:val="subscript"/>
        </w:rPr>
        <w:t xml:space="preserve"> </w:t>
      </w:r>
      <w:r w:rsidRPr="0044383D">
        <w:rPr>
          <w:vertAlign w:val="subscript"/>
        </w:rPr>
        <w:t>h</w:t>
      </w:r>
      <w:r w:rsidRPr="00730B7C">
        <w:t xml:space="preserve"> comparison). Adequate exposure to brivaracetam was achieved in the </w:t>
      </w:r>
      <w:proofErr w:type="spellStart"/>
      <w:r w:rsidRPr="00730B7C">
        <w:t>cynomolgus</w:t>
      </w:r>
      <w:proofErr w:type="spellEnd"/>
      <w:r w:rsidRPr="00730B7C">
        <w:t xml:space="preserve"> monkey studies (NOAELs ≥1X the MRHD based on AUC</w:t>
      </w:r>
      <w:r w:rsidRPr="0044383D">
        <w:rPr>
          <w:vertAlign w:val="subscript"/>
        </w:rPr>
        <w:t>0-24</w:t>
      </w:r>
      <w:r w:rsidR="0044383D" w:rsidRPr="0044383D">
        <w:rPr>
          <w:vertAlign w:val="subscript"/>
        </w:rPr>
        <w:t xml:space="preserve"> </w:t>
      </w:r>
      <w:r w:rsidRPr="0044383D">
        <w:rPr>
          <w:vertAlign w:val="subscript"/>
        </w:rPr>
        <w:t>h</w:t>
      </w:r>
      <w:r w:rsidRPr="00730B7C">
        <w:t>). Non-primate exposure to the other key human metabolites was adequate (specific studies on ucb-107092-1 were performed). Very high repeated exposures to brivaracetam induced severe toxicity (eutha</w:t>
      </w:r>
      <w:r w:rsidR="00DB3563">
        <w:t xml:space="preserve">nasia in extremis and </w:t>
      </w:r>
      <w:r w:rsidR="0044383D">
        <w:t xml:space="preserve">mortality; approximately </w:t>
      </w:r>
      <w:r w:rsidRPr="00730B7C">
        <w:t>17-25X MRHD based on AUC0-24h) or effects on growth/body weight/food consumption (</w:t>
      </w:r>
      <w:r w:rsidR="0044383D">
        <w:t xml:space="preserve">approximately </w:t>
      </w:r>
      <w:r w:rsidRPr="00730B7C">
        <w:t>≥1 X MRHD based on AUC</w:t>
      </w:r>
      <w:r w:rsidRPr="00B82EEB">
        <w:rPr>
          <w:vertAlign w:val="subscript"/>
        </w:rPr>
        <w:t>0-24</w:t>
      </w:r>
      <w:r w:rsidR="00B82EEB" w:rsidRPr="00B82EEB">
        <w:rPr>
          <w:vertAlign w:val="subscript"/>
        </w:rPr>
        <w:t xml:space="preserve"> </w:t>
      </w:r>
      <w:r w:rsidRPr="00B82EEB">
        <w:rPr>
          <w:vertAlign w:val="subscript"/>
        </w:rPr>
        <w:t>h</w:t>
      </w:r>
      <w:r w:rsidRPr="00730B7C">
        <w:t>) in rodents. In several of the studies, initial weight loss was often accompanied by recovery and/or compensatory weight gain as metabolic adaptation developed.</w:t>
      </w:r>
    </w:p>
    <w:p w:rsidR="00376D5E" w:rsidRDefault="00730B7C" w:rsidP="00730B7C">
      <w:pPr>
        <w:pStyle w:val="ListBullet"/>
      </w:pPr>
      <w:r w:rsidRPr="00730B7C">
        <w:t xml:space="preserve">Overall, the human risk of brivaracetam-associated hepatotoxicity is low. </w:t>
      </w:r>
      <w:r w:rsidR="0044383D">
        <w:t>Generally, exposures at least ≥</w:t>
      </w:r>
      <w:r w:rsidRPr="00730B7C">
        <w:t>2X the MRHD based on AUC</w:t>
      </w:r>
      <w:r w:rsidRPr="0044383D">
        <w:rPr>
          <w:vertAlign w:val="subscript"/>
        </w:rPr>
        <w:t>0-24</w:t>
      </w:r>
      <w:r w:rsidR="0044383D" w:rsidRPr="0044383D">
        <w:rPr>
          <w:vertAlign w:val="subscript"/>
        </w:rPr>
        <w:t xml:space="preserve"> </w:t>
      </w:r>
      <w:r w:rsidRPr="0044383D">
        <w:rPr>
          <w:vertAlign w:val="subscript"/>
        </w:rPr>
        <w:t xml:space="preserve">h </w:t>
      </w:r>
      <w:r w:rsidRPr="00730B7C">
        <w:t xml:space="preserve">comparison resulted generally dose-responsive adaptive </w:t>
      </w:r>
      <w:r w:rsidRPr="00730B7C">
        <w:sym w:font="Wingdings" w:char="F0E0"/>
      </w:r>
      <w:r w:rsidRPr="00730B7C">
        <w:t xml:space="preserve"> maladaptive </w:t>
      </w:r>
      <w:r w:rsidRPr="00730B7C">
        <w:sym w:font="Wingdings" w:char="F0E0"/>
      </w:r>
      <w:r w:rsidRPr="00730B7C">
        <w:t xml:space="preserve"> adverse hepatotoxicity in rodents in association</w:t>
      </w:r>
      <w:r w:rsidR="00B82EEB">
        <w:t xml:space="preserve"> with CAR-</w:t>
      </w:r>
      <w:proofErr w:type="spellStart"/>
      <w:r w:rsidR="00B82EEB">
        <w:t>xenosensor</w:t>
      </w:r>
      <w:proofErr w:type="spellEnd"/>
      <w:r w:rsidR="00B82EEB">
        <w:t xml:space="preserve"> like (that is, </w:t>
      </w:r>
      <w:proofErr w:type="spellStart"/>
      <w:r w:rsidRPr="00730B7C">
        <w:t>phenobarbitone</w:t>
      </w:r>
      <w:proofErr w:type="spellEnd"/>
      <w:r w:rsidR="00B82EEB">
        <w:t xml:space="preserve"> </w:t>
      </w:r>
      <w:r w:rsidRPr="00730B7C">
        <w:t xml:space="preserve">like) effects (limited human relevance). In general, males were more susceptible to these effects. </w:t>
      </w:r>
      <w:proofErr w:type="spellStart"/>
      <w:r w:rsidRPr="00730B7C">
        <w:t>Supratherapeutic</w:t>
      </w:r>
      <w:proofErr w:type="spellEnd"/>
      <w:r w:rsidRPr="00730B7C">
        <w:t xml:space="preserve"> exposure in dogs resulted in </w:t>
      </w:r>
      <w:proofErr w:type="spellStart"/>
      <w:r w:rsidRPr="00730B7C">
        <w:t>porphyrigenesis</w:t>
      </w:r>
      <w:proofErr w:type="spellEnd"/>
      <w:r w:rsidR="00B82EEB">
        <w:t xml:space="preserve"> </w:t>
      </w:r>
      <w:r w:rsidRPr="00730B7C">
        <w:t>associated hepatic toxicity (species specific; not human relevant)</w:t>
      </w:r>
      <w:r w:rsidR="00376D5E">
        <w:t>.</w:t>
      </w:r>
    </w:p>
    <w:p w:rsidR="00376D5E" w:rsidRDefault="00730B7C" w:rsidP="00730B7C">
      <w:pPr>
        <w:pStyle w:val="ListBullet"/>
      </w:pPr>
      <w:r w:rsidRPr="00730B7C">
        <w:t>Dose-responsive, minimal to slight olfac</w:t>
      </w:r>
      <w:r w:rsidR="00B82EEB">
        <w:t xml:space="preserve">tory mucosa </w:t>
      </w:r>
      <w:proofErr w:type="spellStart"/>
      <w:r w:rsidR="00B82EEB">
        <w:t>lipofuscinosis</w:t>
      </w:r>
      <w:proofErr w:type="spellEnd"/>
      <w:r w:rsidR="00B82EEB">
        <w:t xml:space="preserve"> (</w:t>
      </w:r>
      <w:proofErr w:type="spellStart"/>
      <w:r w:rsidR="00B82EEB">
        <w:t xml:space="preserve">non </w:t>
      </w:r>
      <w:r w:rsidRPr="00730B7C">
        <w:t>adverse</w:t>
      </w:r>
      <w:proofErr w:type="spellEnd"/>
      <w:r w:rsidRPr="00730B7C">
        <w:t xml:space="preserve">; secondary to metabolic adaption) was observed with </w:t>
      </w:r>
      <w:r w:rsidR="00C203DB">
        <w:t>brivaracetam exposures approximately ≥</w:t>
      </w:r>
      <w:r w:rsidRPr="00730B7C">
        <w:t>1X MRHD based on AUC</w:t>
      </w:r>
      <w:r w:rsidRPr="00B82EEB">
        <w:rPr>
          <w:vertAlign w:val="subscript"/>
        </w:rPr>
        <w:t>0-24</w:t>
      </w:r>
      <w:r w:rsidR="00B82EEB" w:rsidRPr="00B82EEB">
        <w:rPr>
          <w:vertAlign w:val="subscript"/>
        </w:rPr>
        <w:t xml:space="preserve"> </w:t>
      </w:r>
      <w:r w:rsidRPr="00B82EEB">
        <w:rPr>
          <w:vertAlign w:val="subscript"/>
        </w:rPr>
        <w:t xml:space="preserve">h </w:t>
      </w:r>
      <w:r w:rsidRPr="00730B7C">
        <w:t>comparison in the mouse carcinogenesis study</w:t>
      </w:r>
      <w:r w:rsidR="00376D5E">
        <w:t>.</w:t>
      </w:r>
    </w:p>
    <w:p w:rsidR="00730B7C" w:rsidRPr="00730B7C" w:rsidRDefault="00730B7C" w:rsidP="00730B7C">
      <w:pPr>
        <w:pStyle w:val="ListBullet"/>
      </w:pPr>
      <w:r w:rsidRPr="00730B7C">
        <w:t xml:space="preserve">Some evidence (often not experimentally replicated) of sex hormone endocrine disruption (uterine atrophy in rats, </w:t>
      </w:r>
      <w:r w:rsidRPr="00730B7C">
        <w:rPr>
          <w:rFonts w:ascii="Times New Roman" w:hAnsi="Times New Roman"/>
        </w:rPr>
        <w:t>♂</w:t>
      </w:r>
      <w:r w:rsidRPr="00730B7C">
        <w:t xml:space="preserve"> rat mammary gland development, ↓ secretory content of rat </w:t>
      </w:r>
      <w:r w:rsidRPr="00730B7C">
        <w:rPr>
          <w:rFonts w:ascii="Times New Roman" w:hAnsi="Times New Roman"/>
        </w:rPr>
        <w:t>♂</w:t>
      </w:r>
      <w:r w:rsidRPr="00730B7C">
        <w:t xml:space="preserve"> accessory sex glands) was present in rats and mice at extreme exposure levels, although the clinical risk appears low. A small increase in sex hormone-dependent neoplasia (benign </w:t>
      </w:r>
      <w:proofErr w:type="spellStart"/>
      <w:r w:rsidRPr="00730B7C">
        <w:t>luteomas</w:t>
      </w:r>
      <w:proofErr w:type="spellEnd"/>
      <w:r w:rsidRPr="00730B7C">
        <w:t xml:space="preserve">, benign </w:t>
      </w:r>
      <w:proofErr w:type="spellStart"/>
      <w:r w:rsidRPr="00730B7C">
        <w:t>sertoli</w:t>
      </w:r>
      <w:proofErr w:type="spellEnd"/>
      <w:r w:rsidRPr="00730B7C">
        <w:t xml:space="preserve"> cell tumours in females) was arguably present in female mice in the carcinogenesis study (see below).</w:t>
      </w:r>
    </w:p>
    <w:p w:rsidR="00376D5E" w:rsidRDefault="00730B7C" w:rsidP="00730B7C">
      <w:pPr>
        <w:pStyle w:val="ListBullet"/>
      </w:pPr>
      <w:r w:rsidRPr="00730B7C">
        <w:t>Evidence of neurotoxicity/neurobehavioral effects (gait disturbances, generalised behavioural depression) following repeated brivaracetam exposure was typically only associated with extreme exposure levels</w:t>
      </w:r>
      <w:r w:rsidR="00C203DB">
        <w:t xml:space="preserve"> (approximately ≥</w:t>
      </w:r>
      <w:r w:rsidRPr="00730B7C">
        <w:t>8X the MRHD based on AUC</w:t>
      </w:r>
      <w:r w:rsidRPr="00B82EEB">
        <w:rPr>
          <w:vertAlign w:val="subscript"/>
        </w:rPr>
        <w:t>0-24</w:t>
      </w:r>
      <w:r w:rsidR="00B82EEB" w:rsidRPr="00B82EEB">
        <w:rPr>
          <w:vertAlign w:val="subscript"/>
        </w:rPr>
        <w:t xml:space="preserve"> </w:t>
      </w:r>
      <w:r w:rsidRPr="00B82EEB">
        <w:rPr>
          <w:vertAlign w:val="subscript"/>
        </w:rPr>
        <w:t xml:space="preserve">h </w:t>
      </w:r>
      <w:r w:rsidRPr="00730B7C">
        <w:t>comparison). Mostly, but not exclusively, these effects occurred early in the studies (presumably before reductions in systemic exposure associated with metabolic auto-induction, which does not occur in humans)</w:t>
      </w:r>
      <w:r w:rsidR="00376D5E">
        <w:t>.</w:t>
      </w:r>
    </w:p>
    <w:p w:rsidR="00730B7C" w:rsidRPr="00730B7C" w:rsidRDefault="00730B7C" w:rsidP="00730B7C">
      <w:pPr>
        <w:pStyle w:val="ListBullet"/>
      </w:pPr>
      <w:proofErr w:type="spellStart"/>
      <w:r w:rsidRPr="00730B7C">
        <w:lastRenderedPageBreak/>
        <w:t>Brivaracetam</w:t>
      </w:r>
      <w:proofErr w:type="spellEnd"/>
      <w:r w:rsidRPr="00730B7C">
        <w:t xml:space="preserve"> (and metabolites, including ucb-10709</w:t>
      </w:r>
      <w:r w:rsidR="00B82EEB">
        <w:t>2-1) are not directly DNA inter</w:t>
      </w:r>
      <w:r w:rsidRPr="00730B7C">
        <w:t>acting mutagens. A positive trend (p &lt;0.05; overall incidence not statistically different from control p &gt;0.05) towards an increased incidence of hormonally</w:t>
      </w:r>
      <w:r w:rsidR="00B82EEB">
        <w:t xml:space="preserve"> </w:t>
      </w:r>
      <w:r w:rsidRPr="00730B7C">
        <w:t xml:space="preserve">dependent benign </w:t>
      </w:r>
      <w:proofErr w:type="spellStart"/>
      <w:r w:rsidRPr="00730B7C">
        <w:t>luteomas</w:t>
      </w:r>
      <w:proofErr w:type="spellEnd"/>
      <w:r w:rsidRPr="00730B7C">
        <w:t xml:space="preserve"> and benign </w:t>
      </w:r>
      <w:proofErr w:type="spellStart"/>
      <w:r w:rsidRPr="00730B7C">
        <w:t>sertoli</w:t>
      </w:r>
      <w:proofErr w:type="spellEnd"/>
      <w:r w:rsidRPr="00730B7C">
        <w:t xml:space="preserve"> cell tumours was observed in mice exposed to brivaracetam at </w:t>
      </w:r>
      <w:r w:rsidR="00C203DB">
        <w:t xml:space="preserve">approximately </w:t>
      </w:r>
      <w:r w:rsidRPr="00730B7C">
        <w:t>≥1X the MRHD based on AUC</w:t>
      </w:r>
      <w:r w:rsidRPr="00B82EEB">
        <w:rPr>
          <w:vertAlign w:val="subscript"/>
        </w:rPr>
        <w:t>0-24</w:t>
      </w:r>
      <w:r w:rsidR="00B82EEB" w:rsidRPr="00B82EEB">
        <w:rPr>
          <w:vertAlign w:val="subscript"/>
        </w:rPr>
        <w:t xml:space="preserve"> </w:t>
      </w:r>
      <w:r w:rsidRPr="00B82EEB">
        <w:rPr>
          <w:vertAlign w:val="subscript"/>
        </w:rPr>
        <w:t xml:space="preserve">h </w:t>
      </w:r>
      <w:r w:rsidRPr="00730B7C">
        <w:t>comparison. The</w:t>
      </w:r>
      <w:r w:rsidR="00C203DB">
        <w:t xml:space="preserve"> incidence of benign </w:t>
      </w:r>
      <w:proofErr w:type="spellStart"/>
      <w:r w:rsidR="00C203DB">
        <w:t>luteomas</w:t>
      </w:r>
      <w:proofErr w:type="spellEnd"/>
      <w:r w:rsidR="00C203DB">
        <w:t xml:space="preserve"> (approximately </w:t>
      </w:r>
      <w:r w:rsidR="00B82EEB">
        <w:t>6.6%) was only slightly ↑ compare</w:t>
      </w:r>
      <w:r w:rsidR="001D0449">
        <w:t>d with</w:t>
      </w:r>
      <w:r w:rsidRPr="00730B7C">
        <w:t xml:space="preserve"> the historical control incidence (5%). No other hormonally affected adverse events were noted. Furthermore, the </w:t>
      </w:r>
      <w:proofErr w:type="spellStart"/>
      <w:r w:rsidRPr="00730B7C">
        <w:t>genotoxicity</w:t>
      </w:r>
      <w:proofErr w:type="spellEnd"/>
      <w:r w:rsidRPr="00730B7C">
        <w:t xml:space="preserve"> studies of </w:t>
      </w:r>
      <w:proofErr w:type="spellStart"/>
      <w:r w:rsidRPr="00730B7C">
        <w:t>brivaracetam</w:t>
      </w:r>
      <w:proofErr w:type="spellEnd"/>
      <w:r w:rsidRPr="00730B7C">
        <w:t xml:space="preserve"> imply a threshold “non-</w:t>
      </w:r>
      <w:proofErr w:type="spellStart"/>
      <w:r w:rsidRPr="00730B7C">
        <w:t>genotoxic</w:t>
      </w:r>
      <w:proofErr w:type="spellEnd"/>
      <w:r w:rsidRPr="00730B7C">
        <w:t>” MOA. Furthermore, this form of neoplasia was only marginally observed in one species (mice; possible species specific effect). Accordingly, this finding is of unlikely human risk assessment importance.</w:t>
      </w:r>
    </w:p>
    <w:p w:rsidR="00376D5E" w:rsidRDefault="00C203DB" w:rsidP="00730B7C">
      <w:pPr>
        <w:pStyle w:val="ListBullet"/>
      </w:pPr>
      <w:r>
        <w:t>Brivaracetam exposure at approximately ≥</w:t>
      </w:r>
      <w:r w:rsidR="00730B7C" w:rsidRPr="00730B7C">
        <w:t>2X the MRHD based on plasma concentration comparison was associated with an↑ incidence (</w:t>
      </w:r>
      <w:r>
        <w:t xml:space="preserve">approximately </w:t>
      </w:r>
      <w:r w:rsidR="00730B7C" w:rsidRPr="00730B7C">
        <w:t xml:space="preserve">5%) in females of benign </w:t>
      </w:r>
      <w:proofErr w:type="spellStart"/>
      <w:r w:rsidR="00730B7C" w:rsidRPr="00730B7C">
        <w:t>sertoli</w:t>
      </w:r>
      <w:proofErr w:type="spellEnd"/>
      <w:r w:rsidR="00730B7C" w:rsidRPr="00730B7C">
        <w:t xml:space="preserve"> cell tumours (</w:t>
      </w:r>
      <w:r>
        <w:t xml:space="preserve">approximately </w:t>
      </w:r>
      <w:r w:rsidR="00730B7C" w:rsidRPr="00730B7C">
        <w:t>&gt;2X historical background incidence of 2%) in mice. Again the lack of other hormonally</w:t>
      </w:r>
      <w:r w:rsidR="001E7FA1">
        <w:t xml:space="preserve"> </w:t>
      </w:r>
      <w:r w:rsidR="00730B7C" w:rsidRPr="00730B7C">
        <w:t xml:space="preserve">influenced </w:t>
      </w:r>
      <w:proofErr w:type="gramStart"/>
      <w:r w:rsidR="00730B7C" w:rsidRPr="00730B7C">
        <w:t>effects,</w:t>
      </w:r>
      <w:proofErr w:type="gramEnd"/>
      <w:r w:rsidR="00730B7C" w:rsidRPr="00730B7C">
        <w:t xml:space="preserve"> the lack of mutagenesis, a likely threshold “non</w:t>
      </w:r>
      <w:r w:rsidR="001E7FA1">
        <w:t xml:space="preserve"> </w:t>
      </w:r>
      <w:proofErr w:type="spellStart"/>
      <w:r w:rsidR="00730B7C" w:rsidRPr="00730B7C">
        <w:t>genotoxic</w:t>
      </w:r>
      <w:proofErr w:type="spellEnd"/>
      <w:r w:rsidR="00730B7C" w:rsidRPr="00730B7C">
        <w:t>” mode of action and lack of replication in a second species reduce the human risk assessment importance of these findings</w:t>
      </w:r>
      <w:r w:rsidR="00376D5E">
        <w:t>.</w:t>
      </w:r>
    </w:p>
    <w:p w:rsidR="00376D5E" w:rsidRDefault="00730B7C" w:rsidP="00730B7C">
      <w:pPr>
        <w:pStyle w:val="ListBullet"/>
      </w:pPr>
      <w:r w:rsidRPr="00730B7C">
        <w:t xml:space="preserve">In female rats, </w:t>
      </w:r>
      <w:proofErr w:type="spellStart"/>
      <w:r w:rsidRPr="00730B7C">
        <w:t>brivaracetam</w:t>
      </w:r>
      <w:proofErr w:type="spellEnd"/>
      <w:r w:rsidRPr="00730B7C">
        <w:t xml:space="preserve"> (</w:t>
      </w:r>
      <w:r w:rsidR="0044383D">
        <w:t xml:space="preserve">approximately </w:t>
      </w:r>
      <w:r w:rsidRPr="00730B7C">
        <w:t xml:space="preserve">9X MRHD based on AUC0-24h comparison) was associated with a significant (p &lt;0.01) dose-related trend towards a higher incidence (22%; </w:t>
      </w:r>
      <w:r w:rsidR="0044383D">
        <w:t xml:space="preserve">approximately </w:t>
      </w:r>
      <w:r w:rsidRPr="00730B7C">
        <w:t xml:space="preserve">2X ↑ over maximum historical control incidence of </w:t>
      </w:r>
      <w:r w:rsidR="0044383D">
        <w:t xml:space="preserve">approximately </w:t>
      </w:r>
      <w:r w:rsidRPr="00730B7C">
        <w:t xml:space="preserve">10%) of benign </w:t>
      </w:r>
      <w:proofErr w:type="spellStart"/>
      <w:r w:rsidRPr="00730B7C">
        <w:t>thymomas</w:t>
      </w:r>
      <w:proofErr w:type="spellEnd"/>
      <w:r w:rsidRPr="00730B7C">
        <w:t>. This supports a positive finding for thymic neoplasia in female rats. The effect was not replicated in a second species, although this form of rat neoplasia is regarded as human</w:t>
      </w:r>
      <w:r w:rsidR="008567CA">
        <w:t xml:space="preserve"> </w:t>
      </w:r>
      <w:r w:rsidRPr="00730B7C">
        <w:t>relevant. Assuming a threshold, “non</w:t>
      </w:r>
      <w:r w:rsidR="008567CA">
        <w:t xml:space="preserve"> </w:t>
      </w:r>
      <w:proofErr w:type="spellStart"/>
      <w:r w:rsidRPr="00730B7C">
        <w:t>genotoxic</w:t>
      </w:r>
      <w:proofErr w:type="spellEnd"/>
      <w:r w:rsidRPr="00730B7C">
        <w:t>” mode of action, the NOEAL for these tumours (</w:t>
      </w:r>
      <w:r w:rsidR="0044383D">
        <w:t xml:space="preserve">approximately </w:t>
      </w:r>
      <w:r w:rsidRPr="00730B7C">
        <w:t>8X MRHD based on AUC</w:t>
      </w:r>
      <w:r w:rsidRPr="001E7FA1">
        <w:rPr>
          <w:vertAlign w:val="subscript"/>
        </w:rPr>
        <w:t>0-24</w:t>
      </w:r>
      <w:r w:rsidR="001E7FA1" w:rsidRPr="001E7FA1">
        <w:rPr>
          <w:vertAlign w:val="subscript"/>
        </w:rPr>
        <w:t xml:space="preserve"> </w:t>
      </w:r>
      <w:r w:rsidRPr="001E7FA1">
        <w:rPr>
          <w:vertAlign w:val="subscript"/>
        </w:rPr>
        <w:t xml:space="preserve">h </w:t>
      </w:r>
      <w:r w:rsidRPr="00730B7C">
        <w:t>comparison) is likely adequately protective of human health</w:t>
      </w:r>
      <w:r w:rsidR="00376D5E">
        <w:t>.</w:t>
      </w:r>
    </w:p>
    <w:p w:rsidR="00376D5E" w:rsidRDefault="00730B7C" w:rsidP="00730B7C">
      <w:pPr>
        <w:pStyle w:val="ListBullet"/>
      </w:pPr>
      <w:proofErr w:type="spellStart"/>
      <w:r w:rsidRPr="00730B7C">
        <w:t>Brivaracetam</w:t>
      </w:r>
      <w:proofErr w:type="spellEnd"/>
      <w:r w:rsidRPr="00730B7C">
        <w:t xml:space="preserve"> exposure (</w:t>
      </w:r>
      <w:r w:rsidR="0044383D">
        <w:t xml:space="preserve">approximately </w:t>
      </w:r>
      <w:r w:rsidRPr="00730B7C">
        <w:t>≥15X MRHD based on plasma concentrations) did not affect fertility in rats. Brivaracetam readily crosses the placenta and f</w:t>
      </w:r>
      <w:r w:rsidR="00DB3563">
        <w:t>o</w:t>
      </w:r>
      <w:r w:rsidRPr="00730B7C">
        <w:t xml:space="preserve">etal tissue levels essentially reflect maternal plasma concentration. Exposures equivalent to </w:t>
      </w:r>
      <w:r w:rsidR="002F411F">
        <w:t xml:space="preserve">approximately </w:t>
      </w:r>
      <w:r w:rsidRPr="00730B7C">
        <w:t>≤ 26X MRHD based on AUC</w:t>
      </w:r>
      <w:r w:rsidRPr="001E7FA1">
        <w:rPr>
          <w:vertAlign w:val="subscript"/>
        </w:rPr>
        <w:t>0-24</w:t>
      </w:r>
      <w:r w:rsidR="001E7FA1" w:rsidRPr="001E7FA1">
        <w:rPr>
          <w:vertAlign w:val="subscript"/>
        </w:rPr>
        <w:t xml:space="preserve"> </w:t>
      </w:r>
      <w:r w:rsidRPr="001E7FA1">
        <w:rPr>
          <w:vertAlign w:val="subscript"/>
        </w:rPr>
        <w:t xml:space="preserve">h </w:t>
      </w:r>
      <w:r w:rsidRPr="00730B7C">
        <w:t>comparison did not affect embryof</w:t>
      </w:r>
      <w:r w:rsidR="00DB3563">
        <w:t>o</w:t>
      </w:r>
      <w:r w:rsidRPr="00730B7C">
        <w:t>etal development in rats (</w:t>
      </w:r>
      <w:proofErr w:type="spellStart"/>
      <w:r w:rsidRPr="00730B7C">
        <w:t>maternotoxicity</w:t>
      </w:r>
      <w:proofErr w:type="spellEnd"/>
      <w:r w:rsidRPr="00730B7C">
        <w:t xml:space="preserve"> did not occur at exposures </w:t>
      </w:r>
      <w:r w:rsidR="002F411F">
        <w:t xml:space="preserve">approximately </w:t>
      </w:r>
      <w:r w:rsidRPr="00730B7C">
        <w:t>≤ 16X MRHD based on AUC</w:t>
      </w:r>
      <w:r w:rsidRPr="001E7FA1">
        <w:rPr>
          <w:vertAlign w:val="subscript"/>
        </w:rPr>
        <w:t>0-24</w:t>
      </w:r>
      <w:r w:rsidR="001E7FA1" w:rsidRPr="001E7FA1">
        <w:rPr>
          <w:vertAlign w:val="subscript"/>
        </w:rPr>
        <w:t xml:space="preserve"> </w:t>
      </w:r>
      <w:r w:rsidRPr="001E7FA1">
        <w:rPr>
          <w:vertAlign w:val="subscript"/>
        </w:rPr>
        <w:t>h</w:t>
      </w:r>
      <w:r w:rsidRPr="00730B7C">
        <w:t>). The rabbit embryof</w:t>
      </w:r>
      <w:r w:rsidR="00DB3563">
        <w:t>o</w:t>
      </w:r>
      <w:r w:rsidRPr="00730B7C">
        <w:t xml:space="preserve">etal development study was compromised by overt </w:t>
      </w:r>
      <w:proofErr w:type="spellStart"/>
      <w:r w:rsidRPr="00730B7C">
        <w:t>maternotoxicity</w:t>
      </w:r>
      <w:proofErr w:type="spellEnd"/>
      <w:r w:rsidRPr="00730B7C">
        <w:t xml:space="preserve"> (exceeding MTD parameters in some cases) at all treatment levels. Despite this, a clear NOAEL for adverse effects on embryof</w:t>
      </w:r>
      <w:r w:rsidR="008567CA">
        <w:t>o</w:t>
      </w:r>
      <w:r w:rsidRPr="00730B7C">
        <w:t>etal development was apparent (</w:t>
      </w:r>
      <w:r w:rsidR="002F411F">
        <w:t xml:space="preserve">approximately </w:t>
      </w:r>
      <w:r w:rsidRPr="00730B7C">
        <w:t>3X MRHD based on AUC</w:t>
      </w:r>
      <w:r w:rsidRPr="008567CA">
        <w:rPr>
          <w:vertAlign w:val="subscript"/>
        </w:rPr>
        <w:t>0-24</w:t>
      </w:r>
      <w:r w:rsidR="008567CA" w:rsidRPr="008567CA">
        <w:rPr>
          <w:vertAlign w:val="subscript"/>
        </w:rPr>
        <w:t xml:space="preserve"> </w:t>
      </w:r>
      <w:r w:rsidRPr="008567CA">
        <w:rPr>
          <w:vertAlign w:val="subscript"/>
        </w:rPr>
        <w:t>h</w:t>
      </w:r>
      <w:r w:rsidRPr="00730B7C">
        <w:t>). Higher maternal exposures (</w:t>
      </w:r>
      <w:r w:rsidR="002F411F">
        <w:t xml:space="preserve">approximately </w:t>
      </w:r>
      <w:r w:rsidRPr="00730B7C">
        <w:t>6X MRHD based on AUC</w:t>
      </w:r>
      <w:r w:rsidRPr="008567CA">
        <w:rPr>
          <w:vertAlign w:val="subscript"/>
        </w:rPr>
        <w:t>0-24</w:t>
      </w:r>
      <w:r w:rsidR="008567CA" w:rsidRPr="008567CA">
        <w:rPr>
          <w:vertAlign w:val="subscript"/>
        </w:rPr>
        <w:t xml:space="preserve"> </w:t>
      </w:r>
      <w:r w:rsidRPr="008567CA">
        <w:rPr>
          <w:vertAlign w:val="subscript"/>
        </w:rPr>
        <w:t>h</w:t>
      </w:r>
      <w:r w:rsidRPr="00730B7C">
        <w:t>) resulted i</w:t>
      </w:r>
      <w:r w:rsidR="008567CA">
        <w:t xml:space="preserve">n increased post </w:t>
      </w:r>
      <w:r w:rsidRPr="00730B7C">
        <w:t>implantation loss, decreased number of live f</w:t>
      </w:r>
      <w:r w:rsidR="008567CA">
        <w:t>o</w:t>
      </w:r>
      <w:r w:rsidRPr="00730B7C">
        <w:t>etuses and decreased f</w:t>
      </w:r>
      <w:r w:rsidR="008567CA">
        <w:t>o</w:t>
      </w:r>
      <w:r w:rsidRPr="00730B7C">
        <w:t>etal bodyweight. In the rat pre</w:t>
      </w:r>
      <w:r w:rsidR="008567CA">
        <w:t xml:space="preserve"> </w:t>
      </w:r>
      <w:r w:rsidRPr="00730B7C">
        <w:t xml:space="preserve">postnatal development study, brivaracetam did not produce adverse F0 maternal effects at </w:t>
      </w:r>
      <w:r w:rsidR="002F411F">
        <w:t xml:space="preserve">approximately </w:t>
      </w:r>
      <w:r w:rsidR="001D0449">
        <w:t>14</w:t>
      </w:r>
      <w:r w:rsidRPr="00730B7C">
        <w:t>X the human MRHD based on AUC</w:t>
      </w:r>
      <w:r w:rsidRPr="001D0449">
        <w:rPr>
          <w:vertAlign w:val="subscript"/>
        </w:rPr>
        <w:t>0-24</w:t>
      </w:r>
      <w:r w:rsidR="001D0449" w:rsidRPr="001D0449">
        <w:rPr>
          <w:vertAlign w:val="subscript"/>
        </w:rPr>
        <w:t xml:space="preserve"> </w:t>
      </w:r>
      <w:r w:rsidRPr="001D0449">
        <w:rPr>
          <w:vertAlign w:val="subscript"/>
        </w:rPr>
        <w:t xml:space="preserve">h </w:t>
      </w:r>
      <w:r w:rsidRPr="00730B7C">
        <w:t xml:space="preserve">comparison. Maternal exposure at </w:t>
      </w:r>
      <w:r w:rsidR="002F411F">
        <w:t xml:space="preserve">approximately </w:t>
      </w:r>
      <w:r w:rsidR="001D0449">
        <w:t>14</w:t>
      </w:r>
      <w:r w:rsidRPr="00730B7C">
        <w:t>X the human MRHD resulted in small (</w:t>
      </w:r>
      <w:r w:rsidR="002F411F">
        <w:t xml:space="preserve">approximately </w:t>
      </w:r>
      <w:r w:rsidRPr="00730B7C">
        <w:t xml:space="preserve">5.3-7.5% reductions, p &lt;0.05), persistent decreases in body weight and developmental delay (p &lt;0.05) in F1 offspring. No adverse effects of F0 maternal exposure on sensory function, </w:t>
      </w:r>
      <w:proofErr w:type="spellStart"/>
      <w:r w:rsidRPr="00730B7C">
        <w:t>neurobehaviour</w:t>
      </w:r>
      <w:proofErr w:type="spellEnd"/>
      <w:r w:rsidRPr="00730B7C">
        <w:t xml:space="preserve">, reproductive parameters and anatomic pathology in the F1 pups were noted (NOAEL </w:t>
      </w:r>
      <w:r w:rsidR="002F411F">
        <w:t xml:space="preserve">approximately </w:t>
      </w:r>
      <w:r w:rsidRPr="00730B7C">
        <w:t>5 X MRHD based on AUC)</w:t>
      </w:r>
      <w:r w:rsidR="00376D5E">
        <w:t>.</w:t>
      </w:r>
    </w:p>
    <w:p w:rsidR="00376D5E" w:rsidRDefault="00730B7C" w:rsidP="00730B7C">
      <w:pPr>
        <w:pStyle w:val="ListBullet"/>
      </w:pPr>
      <w:r w:rsidRPr="00730B7C">
        <w:t xml:space="preserve">Although </w:t>
      </w:r>
      <w:proofErr w:type="spellStart"/>
      <w:r w:rsidRPr="00730B7C">
        <w:t>brivaracetam</w:t>
      </w:r>
      <w:proofErr w:type="spellEnd"/>
      <w:r w:rsidRPr="00730B7C">
        <w:t xml:space="preserve"> is not intended to be used in children and juveniles, very high levels of exposure (600 mg/kg/day PO) in juvenile rats over </w:t>
      </w:r>
      <w:r w:rsidR="00DB3563">
        <w:t xml:space="preserve">PND4-70 induced non </w:t>
      </w:r>
      <w:r w:rsidRPr="00730B7C">
        <w:t xml:space="preserve">reversible lower absolute brain weight (PND 22: ↓10-16%; PND 71: ↓5-9%; PND100: ↓6-10%), brain length (PND 22: ↓5%; PND 100 ↓ 3%) and brain width (PND 22: ↓4%; PND 71: 3%; PND 100: ↓3-4%) in the absence of </w:t>
      </w:r>
      <w:proofErr w:type="spellStart"/>
      <w:r w:rsidRPr="00730B7C">
        <w:t>microanatomic</w:t>
      </w:r>
      <w:proofErr w:type="spellEnd"/>
      <w:r w:rsidRPr="00730B7C">
        <w:t xml:space="preserve"> pathology correlates. These effects are regarded as adverse even in the absence of detectable </w:t>
      </w:r>
      <w:proofErr w:type="spellStart"/>
      <w:r w:rsidRPr="00730B7C">
        <w:t>microanatomic</w:t>
      </w:r>
      <w:proofErr w:type="spellEnd"/>
      <w:r w:rsidRPr="00730B7C">
        <w:t xml:space="preserve"> </w:t>
      </w:r>
      <w:r w:rsidRPr="00730B7C">
        <w:lastRenderedPageBreak/>
        <w:t>pathology, learning, memory and behavioural correlates (apart from non-reversible effects on auditory startle responses). The overall human-relevance of the juvenile rat study remains uncertain</w:t>
      </w:r>
      <w:r w:rsidR="00376D5E">
        <w:t>.</w:t>
      </w:r>
    </w:p>
    <w:p w:rsidR="00730B7C" w:rsidRPr="00730B7C" w:rsidRDefault="00730B7C" w:rsidP="00730B7C">
      <w:pPr>
        <w:pStyle w:val="ListBullet"/>
      </w:pPr>
      <w:r w:rsidRPr="00730B7C">
        <w:t xml:space="preserve">In juvenile dogs, the key effects related to </w:t>
      </w:r>
      <w:proofErr w:type="spellStart"/>
      <w:r w:rsidRPr="00730B7C">
        <w:t>hepatoxicity</w:t>
      </w:r>
      <w:proofErr w:type="spellEnd"/>
      <w:r w:rsidRPr="00730B7C">
        <w:t xml:space="preserve"> associated with </w:t>
      </w:r>
      <w:proofErr w:type="spellStart"/>
      <w:r w:rsidRPr="00730B7C">
        <w:t>porphyrigenesis</w:t>
      </w:r>
      <w:proofErr w:type="spellEnd"/>
      <w:r w:rsidRPr="00730B7C">
        <w:t xml:space="preserve"> (not human relevant). Brivaracetam</w:t>
      </w:r>
      <w:r w:rsidR="00A539FA">
        <w:t xml:space="preserve"> </w:t>
      </w:r>
      <w:r w:rsidRPr="00730B7C">
        <w:t>associated reduced (but reversible following the cessation of treatment) mean serum T4, in the absence of effects on T3 and TSH, were present in males and females dosed at 100 mg/kg/day at ≥PND 114. Since T4 is a pro-hormone (part of the thyroid hormone circulating reserve pool) and there was no evidence of physiologically</w:t>
      </w:r>
      <w:r w:rsidR="005C1D94">
        <w:t xml:space="preserve"> </w:t>
      </w:r>
      <w:r w:rsidRPr="00730B7C">
        <w:t>significant disturbance of the hypothalamic-pituitary-thyroid axis, the effects are not regarded as biologically adverse. Critically, effects on brain development were not noted in juvenile dogs. The NOAEL for brivaracetam in juvenile dogs was 30 mg/kg/day corresponding to an AUC</w:t>
      </w:r>
      <w:r w:rsidRPr="005C1D94">
        <w:rPr>
          <w:vertAlign w:val="subscript"/>
        </w:rPr>
        <w:t>0-24</w:t>
      </w:r>
      <w:r w:rsidR="005C1D94" w:rsidRPr="005C1D94">
        <w:rPr>
          <w:vertAlign w:val="subscript"/>
        </w:rPr>
        <w:t xml:space="preserve"> </w:t>
      </w:r>
      <w:r w:rsidRPr="005C1D94">
        <w:rPr>
          <w:vertAlign w:val="subscript"/>
        </w:rPr>
        <w:t xml:space="preserve">h </w:t>
      </w:r>
      <w:r w:rsidRPr="00730B7C">
        <w:t xml:space="preserve">190 </w:t>
      </w:r>
      <w:proofErr w:type="spellStart"/>
      <w:r w:rsidRPr="00730B7C">
        <w:t>μg</w:t>
      </w:r>
      <w:proofErr w:type="spellEnd"/>
      <w:r w:rsidRPr="00730B7C">
        <w:t xml:space="preserve"> </w:t>
      </w:r>
      <w:proofErr w:type="spellStart"/>
      <w:r w:rsidRPr="00730B7C">
        <w:t>eq.h</w:t>
      </w:r>
      <w:proofErr w:type="spellEnd"/>
      <w:r w:rsidRPr="00730B7C">
        <w:t>/mL at PND 4, an AUC</w:t>
      </w:r>
      <w:r w:rsidRPr="001D0449">
        <w:rPr>
          <w:vertAlign w:val="subscript"/>
        </w:rPr>
        <w:t>0-24</w:t>
      </w:r>
      <w:r w:rsidR="001D0449" w:rsidRPr="001D0449">
        <w:rPr>
          <w:vertAlign w:val="subscript"/>
        </w:rPr>
        <w:t xml:space="preserve"> </w:t>
      </w:r>
      <w:r w:rsidRPr="001D0449">
        <w:rPr>
          <w:vertAlign w:val="subscript"/>
        </w:rPr>
        <w:t xml:space="preserve">h </w:t>
      </w:r>
      <w:r w:rsidRPr="00730B7C">
        <w:t xml:space="preserve">63.5 </w:t>
      </w:r>
      <w:proofErr w:type="spellStart"/>
      <w:r w:rsidRPr="00730B7C">
        <w:t>μg</w:t>
      </w:r>
      <w:proofErr w:type="spellEnd"/>
      <w:r w:rsidRPr="00730B7C">
        <w:t xml:space="preserve"> </w:t>
      </w:r>
      <w:proofErr w:type="spellStart"/>
      <w:r w:rsidRPr="00730B7C">
        <w:t>eq.h</w:t>
      </w:r>
      <w:proofErr w:type="spellEnd"/>
      <w:r w:rsidRPr="00730B7C">
        <w:t>/mL at PND 31 and an AUC</w:t>
      </w:r>
      <w:r w:rsidRPr="005C1D94">
        <w:rPr>
          <w:vertAlign w:val="subscript"/>
        </w:rPr>
        <w:t>0-24</w:t>
      </w:r>
      <w:r w:rsidR="005C1D94" w:rsidRPr="005C1D94">
        <w:rPr>
          <w:vertAlign w:val="subscript"/>
        </w:rPr>
        <w:t xml:space="preserve"> </w:t>
      </w:r>
      <w:r w:rsidRPr="005C1D94">
        <w:rPr>
          <w:vertAlign w:val="subscript"/>
        </w:rPr>
        <w:t xml:space="preserve">h </w:t>
      </w:r>
      <w:r w:rsidRPr="00730B7C">
        <w:t xml:space="preserve">78.1 </w:t>
      </w:r>
      <w:proofErr w:type="spellStart"/>
      <w:r w:rsidRPr="00730B7C">
        <w:t>μg</w:t>
      </w:r>
      <w:proofErr w:type="spellEnd"/>
      <w:r w:rsidRPr="00730B7C">
        <w:t xml:space="preserve"> </w:t>
      </w:r>
      <w:proofErr w:type="spellStart"/>
      <w:r w:rsidRPr="00730B7C">
        <w:t>eq.h</w:t>
      </w:r>
      <w:proofErr w:type="spellEnd"/>
      <w:r w:rsidRPr="00730B7C">
        <w:t>/mL on PND 276 (last day of treatment).</w:t>
      </w:r>
    </w:p>
    <w:p w:rsidR="00730B7C" w:rsidRPr="00730B7C" w:rsidRDefault="00730B7C" w:rsidP="00730B7C">
      <w:pPr>
        <w:pStyle w:val="ListBullet"/>
      </w:pPr>
      <w:r w:rsidRPr="00730B7C">
        <w:t>Brivaracetam has acceptable local tolerance.</w:t>
      </w:r>
    </w:p>
    <w:p w:rsidR="00232A97" w:rsidRDefault="00730B7C" w:rsidP="00730B7C">
      <w:pPr>
        <w:pStyle w:val="Heading4"/>
      </w:pPr>
      <w:r>
        <w:t>Conclusions and recommendation</w:t>
      </w:r>
    </w:p>
    <w:p w:rsidR="00730B7C" w:rsidRPr="00730B7C" w:rsidRDefault="00730B7C" w:rsidP="00730B7C">
      <w:pPr>
        <w:pStyle w:val="ListBullet"/>
      </w:pPr>
      <w:r w:rsidRPr="00730B7C">
        <w:t>There are no nonclinical objections regarding approval of Briviact tablets, oral solution and solution for injection as proposed by the sponsor.</w:t>
      </w:r>
    </w:p>
    <w:p w:rsidR="00730B7C" w:rsidRPr="00730B7C" w:rsidRDefault="00730B7C" w:rsidP="00730B7C">
      <w:pPr>
        <w:pStyle w:val="ListBullet"/>
      </w:pPr>
      <w:r w:rsidRPr="00730B7C">
        <w:t>Based on the nonclinical data, brivaracetam displays good potential efficacy and low risk of adverse toxicological effects.</w:t>
      </w:r>
    </w:p>
    <w:p w:rsidR="00730B7C" w:rsidRPr="00730B7C" w:rsidRDefault="00730B7C" w:rsidP="00730B7C">
      <w:pPr>
        <w:pStyle w:val="ListBullet"/>
      </w:pPr>
      <w:r w:rsidRPr="00730B7C">
        <w:t>Based on the animal data, the metabolite ucb-107092-1 presents a low toxicological risk in normal human patients and patients with substantial renal compromise under the proposed conditions of clinical use of brivaracetam.</w:t>
      </w:r>
    </w:p>
    <w:p w:rsidR="00730B7C" w:rsidRPr="00730B7C" w:rsidRDefault="00730B7C" w:rsidP="00730B7C">
      <w:pPr>
        <w:pStyle w:val="ListBullet"/>
      </w:pPr>
      <w:r w:rsidRPr="00730B7C">
        <w:t xml:space="preserve">In general, the results and conclusions drawn from the nonclinical program for brivaracetam detailed in the sponsor’s draft </w:t>
      </w:r>
      <w:r w:rsidR="00A539FA">
        <w:t>RMP</w:t>
      </w:r>
      <w:r w:rsidRPr="00730B7C">
        <w:t xml:space="preserve"> are in general concordance with those of the </w:t>
      </w:r>
      <w:r w:rsidR="00A539FA">
        <w:t>n</w:t>
      </w:r>
      <w:r w:rsidRPr="00730B7C">
        <w:t xml:space="preserve">onclinical </w:t>
      </w:r>
      <w:r w:rsidR="00A539FA">
        <w:t>e</w:t>
      </w:r>
      <w:r w:rsidRPr="00730B7C">
        <w:t>valuator, except that as levels brivaracetam in rat milk essentially reflect maternal plasma levels, trans</w:t>
      </w:r>
      <w:r w:rsidR="00A9466D">
        <w:t xml:space="preserve"> </w:t>
      </w:r>
      <w:r w:rsidRPr="00730B7C">
        <w:t>mammary exposure of nursing infants should be suspected. Sensory</w:t>
      </w:r>
      <w:r w:rsidR="00A9466D">
        <w:t xml:space="preserve"> </w:t>
      </w:r>
      <w:r w:rsidRPr="00730B7C">
        <w:t>motor processing (particularly auditory sensorimotor processing) should be evaluated in children who have had significant brivaracetam exposures, and included as part of the neurodevelopmental monitoring as suggested in the RMP.</w:t>
      </w:r>
    </w:p>
    <w:p w:rsidR="008E7846" w:rsidRPr="00254787" w:rsidRDefault="008E7846" w:rsidP="008E7846">
      <w:pPr>
        <w:pStyle w:val="Heading2"/>
      </w:pPr>
      <w:bookmarkStart w:id="123" w:name="_Toc196046462"/>
      <w:bookmarkStart w:id="124" w:name="_Toc247691516"/>
      <w:bookmarkStart w:id="125" w:name="_Toc314842500"/>
      <w:bookmarkStart w:id="126" w:name="_Toc163441353"/>
      <w:bookmarkStart w:id="127" w:name="_Toc163441348"/>
      <w:bookmarkStart w:id="128" w:name="_Toc479595226"/>
      <w:r>
        <w:t xml:space="preserve">IV. </w:t>
      </w:r>
      <w:r w:rsidRPr="00254787">
        <w:t>Clinical</w:t>
      </w:r>
      <w:bookmarkEnd w:id="123"/>
      <w:r>
        <w:t xml:space="preserve"> </w:t>
      </w:r>
      <w:r w:rsidR="003A7F6C">
        <w:t>f</w:t>
      </w:r>
      <w:r>
        <w:t>indings</w:t>
      </w:r>
      <w:bookmarkEnd w:id="124"/>
      <w:bookmarkEnd w:id="125"/>
      <w:bookmarkEnd w:id="128"/>
    </w:p>
    <w:p w:rsidR="00C80137" w:rsidRDefault="00C80137" w:rsidP="00D425BB">
      <w:bookmarkStart w:id="12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130" w:name="_Toc247691517"/>
      <w:bookmarkStart w:id="131" w:name="_Toc314842501"/>
      <w:bookmarkStart w:id="132" w:name="_Toc479595227"/>
      <w:r w:rsidRPr="00254787">
        <w:t>Introduction</w:t>
      </w:r>
      <w:bookmarkEnd w:id="129"/>
      <w:bookmarkEnd w:id="130"/>
      <w:bookmarkEnd w:id="131"/>
      <w:bookmarkEnd w:id="132"/>
    </w:p>
    <w:p w:rsidR="00256428" w:rsidRPr="00A317F8" w:rsidRDefault="00256428" w:rsidP="00256428">
      <w:r>
        <w:t>The dossier contains preclinical and clinical data to demonstrate the quality, safety and efficacy of a new prescription medicine.</w:t>
      </w:r>
    </w:p>
    <w:p w:rsidR="00605AD4" w:rsidRDefault="00605AD4" w:rsidP="00605AD4">
      <w:pPr>
        <w:pStyle w:val="Heading4"/>
      </w:pPr>
      <w:bookmarkStart w:id="133" w:name="_Toc196046464"/>
      <w:bookmarkStart w:id="134" w:name="_Toc247691518"/>
      <w:bookmarkStart w:id="135" w:name="_Toc314842502"/>
      <w:r w:rsidRPr="00605AD4">
        <w:t xml:space="preserve">Clinical </w:t>
      </w:r>
      <w:r w:rsidR="00F45446">
        <w:t>r</w:t>
      </w:r>
      <w:r w:rsidRPr="00605AD4">
        <w:t>ationale</w:t>
      </w:r>
    </w:p>
    <w:p w:rsidR="00256428" w:rsidRPr="00256428" w:rsidRDefault="00256428" w:rsidP="00256428">
      <w:r w:rsidRPr="00256428">
        <w:t xml:space="preserve">Epilepsy is a common disorder of the brain affecting 1-2% of the world’s population. Epilepsy is characterised by seizures, which are episodes of abnormal, synchronous neuronal firing usually accompanied by a reduction in awareness or by focal neurological symptoms. Seizures are usually classified into focal (‘partial’) seizures, which begin in one part of the brain, or primary generalised seizures, which involve the whole brain network </w:t>
      </w:r>
      <w:r w:rsidRPr="00256428">
        <w:lastRenderedPageBreak/>
        <w:t>from the onset of the seizure. Focal seizures may spread, eventually involving the whole brain as the seizure progresses and these are known as secondarily generalised seizures. Focal seizures are the most common form of seizures, though the seizures may spread so rapidly that the initial focal phase is not clinically apparent.</w:t>
      </w:r>
    </w:p>
    <w:p w:rsidR="00256428" w:rsidRPr="00256428" w:rsidRDefault="00A9466D" w:rsidP="00256428">
      <w:r>
        <w:t>AEDs</w:t>
      </w:r>
      <w:r w:rsidR="00256428" w:rsidRPr="00256428">
        <w:t xml:space="preserve"> usually reduce the frequency and severity of seizures, producing lasting seizure-free intervals in some patients. Most existing anticonvulsants work by inhibiting sodium channels, by enhancing or mimicking the inhibition mediated by endogenous gamma-amino butyric acid (GABA) or by inhibiting the release of excitatory neurotransmitters. Inhibiting voltage-gated calcium channels can also be useful for some seizure types. Despite the rapid development of a range of AEDs, seizures are not adequately controlled in a third of cases, no disease-modifying therapies exist, and comorbidities are a major burden on quality of life. There is an urgent demand to address the unm</w:t>
      </w:r>
      <w:r>
        <w:t xml:space="preserve">et clinical needs of patients; </w:t>
      </w:r>
      <w:r w:rsidR="00256428" w:rsidRPr="00256428">
        <w:t>specifically, treatments for drug</w:t>
      </w:r>
      <w:r>
        <w:t xml:space="preserve"> </w:t>
      </w:r>
      <w:r w:rsidR="00256428" w:rsidRPr="00256428">
        <w:t xml:space="preserve">resistant seizures, treatments with improved tolerability, and treatments that prevent or attenuate </w:t>
      </w:r>
      <w:proofErr w:type="spellStart"/>
      <w:r w:rsidR="00256428" w:rsidRPr="00256428">
        <w:t>epileptogenesis</w:t>
      </w:r>
      <w:proofErr w:type="spellEnd"/>
      <w:r w:rsidR="00256428" w:rsidRPr="00256428">
        <w:t>.</w:t>
      </w:r>
    </w:p>
    <w:p w:rsidR="00256428" w:rsidRPr="00256428" w:rsidRDefault="00256428" w:rsidP="00256428">
      <w:r w:rsidRPr="00256428">
        <w:t xml:space="preserve">Brivaracetam is pharmacologically similar to the AED </w:t>
      </w:r>
      <w:proofErr w:type="spellStart"/>
      <w:r w:rsidRPr="00256428">
        <w:t>levetiracetam</w:t>
      </w:r>
      <w:proofErr w:type="spellEnd"/>
      <w:r w:rsidRPr="00256428">
        <w:t xml:space="preserve">; however, compared to </w:t>
      </w:r>
      <w:proofErr w:type="spellStart"/>
      <w:r w:rsidRPr="00256428">
        <w:t>levetiracetam</w:t>
      </w:r>
      <w:proofErr w:type="spellEnd"/>
      <w:r w:rsidRPr="00256428">
        <w:t>, BRV displays a markedly higher selectivity and affinity for SV2A,</w:t>
      </w:r>
      <w:r>
        <w:rPr>
          <w:rStyle w:val="FootnoteReference"/>
        </w:rPr>
        <w:footnoteReference w:id="11"/>
      </w:r>
      <w:r w:rsidR="00CA20D5">
        <w:t xml:space="preserve"> </w:t>
      </w:r>
      <w:r w:rsidRPr="00256428">
        <w:t xml:space="preserve">and, in contrast to </w:t>
      </w:r>
      <w:proofErr w:type="spellStart"/>
      <w:r w:rsidRPr="00256428">
        <w:t>levetiracetam</w:t>
      </w:r>
      <w:proofErr w:type="spellEnd"/>
      <w:r w:rsidRPr="00256428">
        <w:t>, the mode of action of brivaracetam does not involve inhibition of high-voltage activated calcium currents and AMPA-gated currents.</w:t>
      </w:r>
      <w:r>
        <w:rPr>
          <w:rStyle w:val="FootnoteReference"/>
        </w:rPr>
        <w:footnoteReference w:id="12"/>
      </w:r>
      <w:r w:rsidR="00CA20D5">
        <w:t xml:space="preserve"> </w:t>
      </w:r>
      <w:r w:rsidRPr="00256428">
        <w:t xml:space="preserve">Brivaracetam also differs from </w:t>
      </w:r>
      <w:proofErr w:type="spellStart"/>
      <w:r w:rsidRPr="00256428">
        <w:t>levetiracetam</w:t>
      </w:r>
      <w:proofErr w:type="spellEnd"/>
      <w:r w:rsidRPr="00256428">
        <w:t xml:space="preserve"> in that the higher affinity for SV2A appears to be associated with seizure protection</w:t>
      </w:r>
      <w:r>
        <w:rPr>
          <w:rStyle w:val="FootnoteReference"/>
        </w:rPr>
        <w:footnoteReference w:id="13"/>
      </w:r>
      <w:r w:rsidRPr="00256428">
        <w:t xml:space="preserve"> in the maximal electroshock and </w:t>
      </w:r>
      <w:proofErr w:type="spellStart"/>
      <w:r w:rsidRPr="00256428">
        <w:t>pentylenetetrazol</w:t>
      </w:r>
      <w:proofErr w:type="spellEnd"/>
      <w:r w:rsidRPr="00256428">
        <w:t xml:space="preserve"> seizure models</w:t>
      </w:r>
      <w:r>
        <w:rPr>
          <w:rStyle w:val="FootnoteReference"/>
        </w:rPr>
        <w:footnoteReference w:id="14"/>
      </w:r>
      <w:r w:rsidR="00CA20D5">
        <w:t xml:space="preserve"> </w:t>
      </w:r>
      <w:r w:rsidRPr="00256428">
        <w:t xml:space="preserve">– the two classical screening models for AEDs where </w:t>
      </w:r>
      <w:proofErr w:type="spellStart"/>
      <w:r w:rsidRPr="00256428">
        <w:t>levetiracetam</w:t>
      </w:r>
      <w:proofErr w:type="spellEnd"/>
      <w:r w:rsidRPr="00256428">
        <w:t xml:space="preserve"> was found to be inactive.</w:t>
      </w:r>
      <w:r>
        <w:rPr>
          <w:rStyle w:val="FootnoteReference"/>
        </w:rPr>
        <w:footnoteReference w:id="15"/>
      </w:r>
      <w:r>
        <w:t xml:space="preserve"> </w:t>
      </w:r>
      <w:r w:rsidRPr="00256428">
        <w:t>Brivaracetam may have an additional inhibitory activity on voltage-gated sodium channels (VGSC).</w:t>
      </w:r>
      <w:r>
        <w:rPr>
          <w:rStyle w:val="FootnoteReference"/>
        </w:rPr>
        <w:footnoteReference w:id="16"/>
      </w:r>
      <w:r>
        <w:t xml:space="preserve"> </w:t>
      </w:r>
      <w:r w:rsidRPr="00256428">
        <w:t xml:space="preserve">Testing in various animal models of epilepsy has shown that brivaracetam provides a more potent and complete seizure suppression than </w:t>
      </w:r>
      <w:proofErr w:type="spellStart"/>
      <w:r w:rsidRPr="00256428">
        <w:t>levetiracetam</w:t>
      </w:r>
      <w:proofErr w:type="spellEnd"/>
      <w:r w:rsidRPr="00256428">
        <w:t xml:space="preserve"> in status epilepticus models and in models of partial, drug-resistant, and generalized epilepsy.</w:t>
      </w:r>
      <w:r>
        <w:rPr>
          <w:rStyle w:val="FootnoteReference"/>
        </w:rPr>
        <w:footnoteReference w:id="17"/>
      </w:r>
      <w:r w:rsidR="00CA20D5">
        <w:t xml:space="preserve"> </w:t>
      </w:r>
      <w:r w:rsidRPr="00256428">
        <w:t xml:space="preserve">The </w:t>
      </w:r>
      <w:proofErr w:type="spellStart"/>
      <w:r w:rsidRPr="00256428">
        <w:t>antiepileptogenic</w:t>
      </w:r>
      <w:proofErr w:type="spellEnd"/>
      <w:r w:rsidRPr="00256428">
        <w:t xml:space="preserve"> properties of </w:t>
      </w:r>
      <w:proofErr w:type="spellStart"/>
      <w:r w:rsidRPr="00256428">
        <w:t>brivaracetam</w:t>
      </w:r>
      <w:proofErr w:type="spellEnd"/>
      <w:r w:rsidRPr="00256428">
        <w:t xml:space="preserve"> against kindling acquisition also appear superior to </w:t>
      </w:r>
      <w:proofErr w:type="spellStart"/>
      <w:r w:rsidRPr="00256428">
        <w:t>levetiracetam</w:t>
      </w:r>
      <w:proofErr w:type="spellEnd"/>
      <w:r w:rsidRPr="00256428">
        <w:t xml:space="preserve"> by a more potent and persistent ability to counteract kindling development, in particular following cessation of treatment. Nonclinical (rat) data suggest a more rapid brain penetration of </w:t>
      </w:r>
      <w:proofErr w:type="spellStart"/>
      <w:r w:rsidRPr="00256428">
        <w:t>brivaracetam</w:t>
      </w:r>
      <w:proofErr w:type="spellEnd"/>
      <w:r w:rsidRPr="00256428">
        <w:t xml:space="preserve"> compared with </w:t>
      </w:r>
      <w:proofErr w:type="spellStart"/>
      <w:r w:rsidRPr="00256428">
        <w:t>levetiracetam</w:t>
      </w:r>
      <w:proofErr w:type="spellEnd"/>
      <w:r w:rsidRPr="00256428">
        <w:t>.</w:t>
      </w:r>
    </w:p>
    <w:p w:rsidR="00256428" w:rsidRPr="00256428" w:rsidRDefault="00256428" w:rsidP="00256428">
      <w:r w:rsidRPr="00256428">
        <w:t>The scientific rationale for this possible superiority is reasonable but whether brivaracetam will perform better clini</w:t>
      </w:r>
      <w:r w:rsidR="00A9466D">
        <w:t>cally has yet to be determined since</w:t>
      </w:r>
      <w:r w:rsidRPr="00256428">
        <w:t xml:space="preserve"> no head-to-head study has been conducted.</w:t>
      </w:r>
    </w:p>
    <w:p w:rsidR="00605AD4" w:rsidRDefault="00605AD4" w:rsidP="00605AD4">
      <w:pPr>
        <w:pStyle w:val="Heading4"/>
      </w:pPr>
      <w:r w:rsidRPr="00605AD4">
        <w:t>Guidance</w:t>
      </w:r>
    </w:p>
    <w:p w:rsidR="00CA20D5" w:rsidRPr="00603B69" w:rsidRDefault="00CA20D5" w:rsidP="00CA20D5">
      <w:r>
        <w:t>No pre</w:t>
      </w:r>
      <w:r w:rsidR="00A9466D">
        <w:t xml:space="preserve"> </w:t>
      </w:r>
      <w:r>
        <w:t xml:space="preserve">submission advice was given to the </w:t>
      </w:r>
      <w:r w:rsidR="00415AB5">
        <w:t>s</w:t>
      </w:r>
      <w:r w:rsidR="00575DD3">
        <w:t xml:space="preserve">ponsor by </w:t>
      </w:r>
      <w:r>
        <w:t>TGA.</w:t>
      </w:r>
    </w:p>
    <w:p w:rsidR="00605AD4" w:rsidRDefault="00605AD4" w:rsidP="00605AD4">
      <w:pPr>
        <w:pStyle w:val="Heading4"/>
      </w:pPr>
      <w:r w:rsidRPr="00605AD4">
        <w:lastRenderedPageBreak/>
        <w:t>Contents of the clinical dossier</w:t>
      </w:r>
    </w:p>
    <w:p w:rsidR="00575DD3" w:rsidRPr="00575DD3" w:rsidRDefault="00575DD3" w:rsidP="00575DD3">
      <w:r w:rsidRPr="00575DD3">
        <w:t xml:space="preserve">The clinical pharmacology studies used standard approaches in the investigation of the bioequivalence, bioavailability, tolerability, pharmacokinetics, and </w:t>
      </w:r>
      <w:proofErr w:type="spellStart"/>
      <w:r w:rsidRPr="00575DD3">
        <w:t>pharmacodistribution</w:t>
      </w:r>
      <w:proofErr w:type="spellEnd"/>
      <w:r w:rsidRPr="00575DD3">
        <w:t xml:space="preserve"> of </w:t>
      </w:r>
      <w:proofErr w:type="spellStart"/>
      <w:r w:rsidRPr="00575DD3">
        <w:t>brivaracetam</w:t>
      </w:r>
      <w:proofErr w:type="spellEnd"/>
      <w:r w:rsidRPr="00575DD3">
        <w:t>.</w:t>
      </w:r>
    </w:p>
    <w:p w:rsidR="00575DD3" w:rsidRPr="00575DD3" w:rsidRDefault="00575DD3" w:rsidP="00575DD3">
      <w:r w:rsidRPr="00575DD3">
        <w:t xml:space="preserve">The Phase </w:t>
      </w:r>
      <w:r w:rsidR="00AA503F">
        <w:t>II/III</w:t>
      </w:r>
      <w:r w:rsidRPr="00575DD3">
        <w:t xml:space="preserve"> epilepsy studies employed standard approaches in the investigation of the efficacy, safety, and tolerability of brivaracetam. Key approaches included the use of placebo controls, randomi</w:t>
      </w:r>
      <w:r w:rsidR="009F75FA">
        <w:t>s</w:t>
      </w:r>
      <w:r w:rsidRPr="00575DD3">
        <w:t>ed treatment groups, parallel</w:t>
      </w:r>
      <w:r w:rsidR="009F75FA">
        <w:t xml:space="preserve"> </w:t>
      </w:r>
      <w:r w:rsidRPr="00575DD3">
        <w:t>group, double</w:t>
      </w:r>
      <w:r w:rsidR="009F75FA">
        <w:t xml:space="preserve"> </w:t>
      </w:r>
      <w:r w:rsidRPr="00575DD3">
        <w:t>blind study designs, and standard statistical evaluations. Other clinical studies relevant to safety are included in the dossier.</w:t>
      </w:r>
    </w:p>
    <w:p w:rsidR="00575DD3" w:rsidRPr="00575DD3" w:rsidRDefault="00575DD3" w:rsidP="00575DD3">
      <w:r w:rsidRPr="00575DD3">
        <w:t>The submission contained the following clinical information:</w:t>
      </w:r>
    </w:p>
    <w:p w:rsidR="00376D5E" w:rsidRDefault="00575DD3" w:rsidP="00575DD3">
      <w:pPr>
        <w:pStyle w:val="ListBullet"/>
      </w:pPr>
      <w:r w:rsidRPr="00575DD3">
        <w:t>33 clinical pharmacology studies, including</w:t>
      </w:r>
    </w:p>
    <w:p w:rsidR="00376D5E" w:rsidRDefault="00575DD3" w:rsidP="00575DD3">
      <w:pPr>
        <w:pStyle w:val="ListBullet"/>
      </w:pPr>
      <w:r w:rsidRPr="00575DD3">
        <w:t>2 dose</w:t>
      </w:r>
      <w:r w:rsidR="009F75FA">
        <w:t xml:space="preserve"> </w:t>
      </w:r>
      <w:r w:rsidRPr="00575DD3">
        <w:t>finding studies</w:t>
      </w:r>
      <w:r w:rsidR="00376D5E">
        <w:t>.</w:t>
      </w:r>
    </w:p>
    <w:p w:rsidR="00376D5E" w:rsidRDefault="00575DD3" w:rsidP="00575DD3">
      <w:pPr>
        <w:pStyle w:val="ListBullet"/>
      </w:pPr>
      <w:r w:rsidRPr="00575DD3">
        <w:t>3 pivotal efficacy and 1 safety study</w:t>
      </w:r>
      <w:r w:rsidR="00376D5E">
        <w:t>.</w:t>
      </w:r>
    </w:p>
    <w:p w:rsidR="00376D5E" w:rsidRDefault="00575DD3" w:rsidP="00575DD3">
      <w:pPr>
        <w:pStyle w:val="ListBullet2"/>
      </w:pPr>
      <w:r w:rsidRPr="00575DD3">
        <w:t>The clinical development of BRV with solid oral formulations in subjects 16 years of age and older with partial</w:t>
      </w:r>
      <w:r w:rsidR="009F75FA">
        <w:t xml:space="preserve"> </w:t>
      </w:r>
      <w:r w:rsidRPr="00575DD3">
        <w:t xml:space="preserve">onset seizures is composed of 3 pivotal </w:t>
      </w:r>
      <w:r w:rsidR="00BE1DF3">
        <w:t>Phase III</w:t>
      </w:r>
      <w:r w:rsidRPr="00575DD3">
        <w:t xml:space="preserve"> studies and 1 safety study:</w:t>
      </w:r>
    </w:p>
    <w:p w:rsidR="00376D5E" w:rsidRDefault="00575DD3" w:rsidP="00575DD3">
      <w:pPr>
        <w:pStyle w:val="ListBullet"/>
      </w:pPr>
      <w:r w:rsidRPr="00575DD3">
        <w:t>5 ongoing, long</w:t>
      </w:r>
      <w:r w:rsidR="009F75FA">
        <w:t xml:space="preserve"> </w:t>
      </w:r>
      <w:r w:rsidRPr="00575DD3">
        <w:t>term follow-up (LTFU) studies of BRV are presented</w:t>
      </w:r>
      <w:r w:rsidR="00376D5E">
        <w:t>.</w:t>
      </w:r>
    </w:p>
    <w:p w:rsidR="00575DD3" w:rsidRPr="00575DD3" w:rsidRDefault="00575DD3" w:rsidP="00575DD3">
      <w:pPr>
        <w:pStyle w:val="ListBullet"/>
      </w:pPr>
      <w:r w:rsidRPr="00575DD3">
        <w:t>8 other clinical study reports around safety</w:t>
      </w:r>
    </w:p>
    <w:p w:rsidR="00575DD3" w:rsidRPr="00575DD3" w:rsidRDefault="00575DD3" w:rsidP="00575DD3">
      <w:pPr>
        <w:pStyle w:val="ListBullet"/>
      </w:pPr>
      <w:r>
        <w:t>O</w:t>
      </w:r>
      <w:r w:rsidR="009F75FA">
        <w:t xml:space="preserve">ther, for example, </w:t>
      </w:r>
      <w:r w:rsidRPr="00575DD3">
        <w:t>pooled analyses, meta-analyses, PSURs, Integrated Summary of Efficacy, Integrated Summary of Safety, etc.</w:t>
      </w:r>
    </w:p>
    <w:p w:rsidR="00575DD3" w:rsidRPr="00575DD3" w:rsidRDefault="00575DD3" w:rsidP="00575DD3">
      <w:pPr>
        <w:pStyle w:val="ListBullet"/>
      </w:pPr>
      <w:r w:rsidRPr="00575DD3">
        <w:t>Descriptions and composition of the drug products, formulation development, description of manufacturing process and process controls, reference standards, container closure systems and stability characteristics for the solution for injection, oral solution and tablets.</w:t>
      </w:r>
    </w:p>
    <w:p w:rsidR="00376D5E" w:rsidRDefault="009F75FA" w:rsidP="00575DD3">
      <w:pPr>
        <w:pStyle w:val="ListBullet"/>
      </w:pPr>
      <w:r>
        <w:t>Nonclinical o</w:t>
      </w:r>
      <w:r w:rsidR="00575DD3" w:rsidRPr="00575DD3">
        <w:t xml:space="preserve">verview, including summary of primary pharmacodynamics studies of brivaracetam, mechanism of action studies, secondary pharmacodynamic studies in preclinical models of pain, essential tremor, mania and migraine. Safety pharmacology with respect to effects on the central nervous system, cardiovascular system, respiratory and gastrointestinal system. Pharmacokinetic studies, </w:t>
      </w:r>
      <w:proofErr w:type="spellStart"/>
      <w:r w:rsidR="00575DD3" w:rsidRPr="00575DD3">
        <w:t>toxicokinetic</w:t>
      </w:r>
      <w:proofErr w:type="spellEnd"/>
      <w:r w:rsidR="00575DD3" w:rsidRPr="00575DD3">
        <w:t xml:space="preserve"> data and toxicity studies including </w:t>
      </w:r>
      <w:proofErr w:type="spellStart"/>
      <w:r w:rsidR="00575DD3" w:rsidRPr="00575DD3">
        <w:t>genotoxicity</w:t>
      </w:r>
      <w:proofErr w:type="spellEnd"/>
      <w:r w:rsidR="00575DD3" w:rsidRPr="00575DD3">
        <w:t>, carcinogenicity, reproductive and developmental toxicity, mechanistic toxicity, local tolerance and drug abuse and dependency studies. Effects of human metabolites, drug impurities and pharmacodynamics drug-drug interactions</w:t>
      </w:r>
      <w:r w:rsidR="00376D5E">
        <w:t>.</w:t>
      </w:r>
    </w:p>
    <w:p w:rsidR="00575DD3" w:rsidRPr="00575DD3" w:rsidRDefault="00575DD3" w:rsidP="00575DD3">
      <w:pPr>
        <w:pStyle w:val="ListBullet"/>
      </w:pPr>
      <w:r w:rsidRPr="00575DD3">
        <w:t>Clinical Overview, Summary of Clinical Efficacy, Summary of Clinical Safety and literature references.</w:t>
      </w:r>
    </w:p>
    <w:p w:rsidR="00376D5E" w:rsidRDefault="00575DD3" w:rsidP="00575DD3">
      <w:pPr>
        <w:pStyle w:val="ListBullet"/>
      </w:pPr>
      <w:r w:rsidRPr="00575DD3">
        <w:t>33 clinical pharmacology studies, including</w:t>
      </w:r>
    </w:p>
    <w:p w:rsidR="00376D5E" w:rsidRDefault="00575DD3" w:rsidP="003E445B">
      <w:pPr>
        <w:pStyle w:val="ListBullet2"/>
      </w:pPr>
      <w:r w:rsidRPr="003E445B">
        <w:t>6 that provided bioavailability, 4 pharmacokinetic studies in healthy subjects, 1 pharmacokinetic study in epilepsy patients, 5 intrinsic factor pharmacokinetic studies, and 12 extrinsic factor pharmacokinetic studies</w:t>
      </w:r>
      <w:r w:rsidR="00376D5E">
        <w:t>.</w:t>
      </w:r>
    </w:p>
    <w:p w:rsidR="00575DD3" w:rsidRPr="003E445B" w:rsidRDefault="00575DD3" w:rsidP="003E445B">
      <w:pPr>
        <w:pStyle w:val="ListBullet2"/>
      </w:pPr>
      <w:r w:rsidRPr="003E445B">
        <w:t xml:space="preserve">4 </w:t>
      </w:r>
      <w:proofErr w:type="spellStart"/>
      <w:r w:rsidRPr="003E445B">
        <w:t>pharmacodynamic</w:t>
      </w:r>
      <w:proofErr w:type="spellEnd"/>
      <w:r w:rsidRPr="003E445B">
        <w:t xml:space="preserve"> studies in healthy subjects, 1 pharmacodynamic study in epilepsy patients using suppression of </w:t>
      </w:r>
      <w:proofErr w:type="spellStart"/>
      <w:r w:rsidRPr="003E445B">
        <w:t>photoparoxysmal</w:t>
      </w:r>
      <w:proofErr w:type="spellEnd"/>
      <w:r w:rsidRPr="003E445B">
        <w:t xml:space="preserve"> EEG responses (N01069)</w:t>
      </w:r>
    </w:p>
    <w:p w:rsidR="00376D5E" w:rsidRDefault="00575DD3" w:rsidP="003E445B">
      <w:pPr>
        <w:pStyle w:val="ListBullet"/>
      </w:pPr>
      <w:r w:rsidRPr="003E445B">
        <w:t>2 dose-finding studies. N01114 and N01193:</w:t>
      </w:r>
    </w:p>
    <w:p w:rsidR="00575DD3" w:rsidRPr="003E445B" w:rsidRDefault="00AA503F" w:rsidP="003E445B">
      <w:pPr>
        <w:pStyle w:val="ListBullet2"/>
      </w:pPr>
      <w:r>
        <w:t>Two Phase II</w:t>
      </w:r>
      <w:r w:rsidR="00575DD3" w:rsidRPr="003E445B">
        <w:t>, randomi</w:t>
      </w:r>
      <w:r w:rsidR="009F75FA">
        <w:t>s</w:t>
      </w:r>
      <w:r w:rsidR="00575DD3" w:rsidRPr="003E445B">
        <w:t>ed, double</w:t>
      </w:r>
      <w:r w:rsidR="009F75FA">
        <w:t xml:space="preserve"> </w:t>
      </w:r>
      <w:r w:rsidR="00575DD3" w:rsidRPr="003E445B">
        <w:t>blind, placebo</w:t>
      </w:r>
      <w:r w:rsidR="009F75FA">
        <w:t xml:space="preserve"> </w:t>
      </w:r>
      <w:r w:rsidR="00575DD3" w:rsidRPr="003E445B">
        <w:t>controlled, parallel</w:t>
      </w:r>
      <w:r w:rsidR="009F75FA">
        <w:t xml:space="preserve"> </w:t>
      </w:r>
      <w:r w:rsidR="00575DD3" w:rsidRPr="003E445B">
        <w:t>group, multicentre, dose</w:t>
      </w:r>
      <w:r w:rsidR="009F75FA">
        <w:t xml:space="preserve"> </w:t>
      </w:r>
      <w:r w:rsidR="00575DD3" w:rsidRPr="003E445B">
        <w:t>ranging studies designed to evaluate the efficacy and safety of twice</w:t>
      </w:r>
      <w:r w:rsidR="002A0DEA">
        <w:t xml:space="preserve"> </w:t>
      </w:r>
      <w:r w:rsidR="00575DD3" w:rsidRPr="003E445B">
        <w:t>daily oral administration of brivaracetam 5</w:t>
      </w:r>
      <w:r w:rsidR="009F75FA">
        <w:t xml:space="preserve"> </w:t>
      </w:r>
      <w:r w:rsidR="00575DD3" w:rsidRPr="003E445B">
        <w:t>mg/day to 150</w:t>
      </w:r>
      <w:r w:rsidR="009F75FA">
        <w:t xml:space="preserve"> </w:t>
      </w:r>
      <w:r w:rsidR="00575DD3" w:rsidRPr="003E445B">
        <w:t>mg/day</w:t>
      </w:r>
    </w:p>
    <w:p w:rsidR="00575DD3" w:rsidRPr="003E445B" w:rsidRDefault="00575DD3" w:rsidP="003E445B">
      <w:pPr>
        <w:pStyle w:val="ListBullet"/>
      </w:pPr>
      <w:r w:rsidRPr="003E445B">
        <w:lastRenderedPageBreak/>
        <w:t>3 pivotal efficacy:</w:t>
      </w:r>
    </w:p>
    <w:p w:rsidR="00376D5E" w:rsidRDefault="00575DD3" w:rsidP="003E445B">
      <w:pPr>
        <w:pStyle w:val="ListBullet2"/>
      </w:pPr>
      <w:r w:rsidRPr="003E445B">
        <w:t>The clinical development of BRV with solid oral formulations in subjects 16 years of age and older with partial</w:t>
      </w:r>
      <w:r w:rsidR="002A0DEA">
        <w:t xml:space="preserve"> </w:t>
      </w:r>
      <w:r w:rsidRPr="003E445B">
        <w:t xml:space="preserve">onset seizures is composed of 3 pivotal </w:t>
      </w:r>
      <w:r w:rsidR="00BE1DF3">
        <w:t>Phase III</w:t>
      </w:r>
      <w:r w:rsidRPr="003E445B">
        <w:t xml:space="preserve"> studies and 1 safety study:</w:t>
      </w:r>
    </w:p>
    <w:p w:rsidR="00376D5E" w:rsidRDefault="00575DD3" w:rsidP="003E445B">
      <w:pPr>
        <w:pStyle w:val="ListBullet3"/>
      </w:pPr>
      <w:r w:rsidRPr="003E445B">
        <w:t>N01252, N01253, and N01358: Three pivotal, fixed</w:t>
      </w:r>
      <w:r w:rsidR="002A0DEA">
        <w:t xml:space="preserve"> </w:t>
      </w:r>
      <w:r w:rsidRPr="003E445B">
        <w:t xml:space="preserve">dose, </w:t>
      </w:r>
      <w:r w:rsidR="00BE1DF3">
        <w:t>Phase III</w:t>
      </w:r>
      <w:r w:rsidRPr="003E445B">
        <w:t>, randomized, double</w:t>
      </w:r>
      <w:r w:rsidR="002A0DEA">
        <w:t xml:space="preserve"> </w:t>
      </w:r>
      <w:r w:rsidRPr="003E445B">
        <w:t>blind, placebo</w:t>
      </w:r>
      <w:r w:rsidR="002A0DEA">
        <w:t xml:space="preserve"> </w:t>
      </w:r>
      <w:r w:rsidRPr="003E445B">
        <w:t>controlled, multicentre, studies in adults (≥16 years) with refractory partial</w:t>
      </w:r>
      <w:r w:rsidR="002A0DEA">
        <w:t xml:space="preserve"> </w:t>
      </w:r>
      <w:r w:rsidRPr="003E445B">
        <w:t>onset seizures with or without secondary generalization designed to evaluate the efficacy and safety of twice-daily oral administration of brivaracetam 5</w:t>
      </w:r>
      <w:r w:rsidR="002A0DEA">
        <w:t xml:space="preserve"> </w:t>
      </w:r>
      <w:r w:rsidRPr="003E445B">
        <w:t>mg/day to 200</w:t>
      </w:r>
      <w:r w:rsidR="002A0DEA">
        <w:t xml:space="preserve"> </w:t>
      </w:r>
      <w:r w:rsidRPr="003E445B">
        <w:t>mg/day</w:t>
      </w:r>
    </w:p>
    <w:p w:rsidR="00575DD3" w:rsidRPr="003E445B" w:rsidRDefault="00575DD3" w:rsidP="003E445B">
      <w:pPr>
        <w:pStyle w:val="ListBullet"/>
      </w:pPr>
      <w:r w:rsidRPr="003E445B">
        <w:t>1 supportive safety study:</w:t>
      </w:r>
    </w:p>
    <w:p w:rsidR="00575DD3" w:rsidRPr="003E445B" w:rsidRDefault="00575DD3" w:rsidP="003E445B">
      <w:pPr>
        <w:pStyle w:val="ListBullet2"/>
      </w:pPr>
      <w:r w:rsidRPr="003E445B">
        <w:t>N01254: One supportive flexible</w:t>
      </w:r>
      <w:r w:rsidR="002A0DEA">
        <w:t xml:space="preserve"> </w:t>
      </w:r>
      <w:r w:rsidRPr="003E445B">
        <w:t xml:space="preserve">dose </w:t>
      </w:r>
      <w:r w:rsidR="00BE1DF3">
        <w:t>Phase III</w:t>
      </w:r>
      <w:r w:rsidRPr="003E445B">
        <w:t xml:space="preserve"> placebo</w:t>
      </w:r>
      <w:r w:rsidR="00C90E08">
        <w:t xml:space="preserve"> </w:t>
      </w:r>
      <w:r w:rsidRPr="003E445B">
        <w:t>controlled, flexible</w:t>
      </w:r>
      <w:r w:rsidR="00C90E08">
        <w:t xml:space="preserve"> </w:t>
      </w:r>
      <w:r w:rsidRPr="003E445B">
        <w:t>dose study to obtain additional safety and tolerability data for brivaracetam 20</w:t>
      </w:r>
      <w:r w:rsidR="00C90E08">
        <w:t xml:space="preserve"> </w:t>
      </w:r>
      <w:r w:rsidRPr="003E445B">
        <w:t>mg/day to 150</w:t>
      </w:r>
      <w:r w:rsidR="00C90E08">
        <w:t xml:space="preserve"> </w:t>
      </w:r>
      <w:r w:rsidRPr="003E445B">
        <w:t>mg/day</w:t>
      </w:r>
    </w:p>
    <w:p w:rsidR="00376D5E" w:rsidRDefault="00575DD3" w:rsidP="003E445B">
      <w:pPr>
        <w:pStyle w:val="ListBullet"/>
      </w:pPr>
      <w:r w:rsidRPr="003E445B">
        <w:t>5 ongoing, long-term follow-up (LTFU) studies of BRV are presented</w:t>
      </w:r>
      <w:r w:rsidR="00376D5E">
        <w:t>.</w:t>
      </w:r>
    </w:p>
    <w:p w:rsidR="00376D5E" w:rsidRDefault="00575DD3" w:rsidP="003E445B">
      <w:pPr>
        <w:pStyle w:val="ListBullet2"/>
      </w:pPr>
      <w:r w:rsidRPr="003E445B">
        <w:t>The</w:t>
      </w:r>
      <w:r w:rsidR="00C90E08">
        <w:t xml:space="preserve"> LTFU study data through 17 January </w:t>
      </w:r>
      <w:r w:rsidRPr="003E445B">
        <w:t>2014 were analysed for safety and efficacy data for the submission. As of that date, more than 1900 adult subjects were ongoing participants in the LTFU studies, some of whom had been ongoing for 8 years or more. An additional safety cut of the data through 25 Jun</w:t>
      </w:r>
      <w:r w:rsidR="00C90E08">
        <w:t>e</w:t>
      </w:r>
      <w:r w:rsidRPr="003E445B">
        <w:t xml:space="preserve"> 2014 specifically examined SAEs, deaths, and discontinuations due to AEs</w:t>
      </w:r>
      <w:r w:rsidR="00376D5E">
        <w:t>.</w:t>
      </w:r>
    </w:p>
    <w:p w:rsidR="00376D5E" w:rsidRDefault="00575DD3" w:rsidP="003E445B">
      <w:pPr>
        <w:pStyle w:val="ListBullet3"/>
      </w:pPr>
      <w:r w:rsidRPr="003E445B">
        <w:t xml:space="preserve">N01125 included subjects with partial-onset, primary generalised, or </w:t>
      </w:r>
      <w:proofErr w:type="spellStart"/>
      <w:r w:rsidRPr="003E445B">
        <w:t>Unverric</w:t>
      </w:r>
      <w:r w:rsidR="00AA503F">
        <w:t>ht-Lundborg</w:t>
      </w:r>
      <w:proofErr w:type="spellEnd"/>
      <w:r w:rsidR="00AA503F">
        <w:t xml:space="preserve"> disease from Phase II and Phase III</w:t>
      </w:r>
      <w:r w:rsidRPr="003E445B">
        <w:t xml:space="preserve"> brivaracetam studies (N01114, N01187, N01236, N01252 [subjects from Europe], and N01254 [excluding subjects from India])</w:t>
      </w:r>
      <w:r w:rsidR="00376D5E">
        <w:t>.</w:t>
      </w:r>
    </w:p>
    <w:p w:rsidR="00376D5E" w:rsidRDefault="00575DD3" w:rsidP="003E445B">
      <w:pPr>
        <w:pStyle w:val="ListBullet3"/>
      </w:pPr>
      <w:r w:rsidRPr="003E445B">
        <w:t>N01199 included subjects with partial</w:t>
      </w:r>
      <w:r w:rsidR="00C90E08">
        <w:t xml:space="preserve"> </w:t>
      </w:r>
      <w:r w:rsidRPr="003E445B">
        <w:t>onset or primary generalised from N01193, N01252 (subjects from India), N01253, and N01254 (subjects from India)</w:t>
      </w:r>
      <w:r w:rsidR="00376D5E">
        <w:t>.</w:t>
      </w:r>
    </w:p>
    <w:p w:rsidR="00376D5E" w:rsidRDefault="00575DD3" w:rsidP="003E445B">
      <w:pPr>
        <w:pStyle w:val="ListBullet3"/>
      </w:pPr>
      <w:r w:rsidRPr="003E445B">
        <w:t>N01379 included subjects from N01358 (partial</w:t>
      </w:r>
      <w:r w:rsidR="00C90E08">
        <w:t xml:space="preserve"> </w:t>
      </w:r>
      <w:r w:rsidRPr="003E445B">
        <w:t>onset adjunctive) and the subjects from the safety and tolerability study using an IV formulation in subjects with locali</w:t>
      </w:r>
      <w:r w:rsidR="00C90E08">
        <w:t>s</w:t>
      </w:r>
      <w:r w:rsidRPr="003E445B">
        <w:t>ation</w:t>
      </w:r>
      <w:r w:rsidR="00C90E08">
        <w:t xml:space="preserve"> </w:t>
      </w:r>
      <w:r w:rsidRPr="003E445B">
        <w:t>related and generali</w:t>
      </w:r>
      <w:r w:rsidR="00C90E08">
        <w:t>s</w:t>
      </w:r>
      <w:r w:rsidRPr="003E445B">
        <w:t>ed epilepsy (N01258)</w:t>
      </w:r>
      <w:r w:rsidR="00376D5E">
        <w:t>.</w:t>
      </w:r>
    </w:p>
    <w:p w:rsidR="00376D5E" w:rsidRDefault="00575DD3" w:rsidP="003E445B">
      <w:pPr>
        <w:pStyle w:val="ListBullet3"/>
      </w:pPr>
      <w:r w:rsidRPr="003E445B">
        <w:t>N01315 included subjects with partial</w:t>
      </w:r>
      <w:r w:rsidR="00AB37D7">
        <w:t xml:space="preserve"> </w:t>
      </w:r>
      <w:r w:rsidRPr="003E445B">
        <w:t>onset from the conversion to monotherapy studies (N01276 and N01306)</w:t>
      </w:r>
      <w:r w:rsidR="00376D5E">
        <w:t>.</w:t>
      </w:r>
    </w:p>
    <w:p w:rsidR="00575DD3" w:rsidRPr="003E445B" w:rsidRDefault="00575DD3" w:rsidP="003E445B">
      <w:pPr>
        <w:pStyle w:val="ListBullet3"/>
      </w:pPr>
      <w:r w:rsidRPr="003E445B">
        <w:t xml:space="preserve">N01372 was a </w:t>
      </w:r>
      <w:r w:rsidR="00BE1DF3">
        <w:t xml:space="preserve">Phase </w:t>
      </w:r>
      <w:proofErr w:type="spellStart"/>
      <w:r w:rsidR="00BE1DF3">
        <w:t>III</w:t>
      </w:r>
      <w:r w:rsidRPr="003E445B">
        <w:t>b</w:t>
      </w:r>
      <w:proofErr w:type="spellEnd"/>
      <w:r w:rsidRPr="003E445B">
        <w:t xml:space="preserve"> LTFU in adult subjects continuing from a </w:t>
      </w:r>
      <w:r w:rsidR="00BE1DF3">
        <w:t xml:space="preserve">Phase </w:t>
      </w:r>
      <w:proofErr w:type="spellStart"/>
      <w:r w:rsidR="00BE1DF3">
        <w:t>III</w:t>
      </w:r>
      <w:r w:rsidRPr="003E445B">
        <w:t>b</w:t>
      </w:r>
      <w:proofErr w:type="spellEnd"/>
      <w:r w:rsidRPr="003E445B">
        <w:t xml:space="preserve"> core study (N01395) of brivaracetam in subjects with epilepsy switching from </w:t>
      </w:r>
      <w:proofErr w:type="spellStart"/>
      <w:r w:rsidRPr="003E445B">
        <w:t>levetiracetam</w:t>
      </w:r>
      <w:proofErr w:type="spellEnd"/>
      <w:r w:rsidRPr="003E445B">
        <w:t xml:space="preserve"> due to behavioural </w:t>
      </w:r>
      <w:r w:rsidR="004647ED">
        <w:t>AEs</w:t>
      </w:r>
    </w:p>
    <w:p w:rsidR="00575DD3" w:rsidRPr="003E445B" w:rsidRDefault="00575DD3" w:rsidP="003E445B">
      <w:pPr>
        <w:pStyle w:val="ListBullet"/>
      </w:pPr>
      <w:r w:rsidRPr="003E445B">
        <w:t>8 other clinical study reports</w:t>
      </w:r>
    </w:p>
    <w:p w:rsidR="00575DD3" w:rsidRPr="003E445B" w:rsidRDefault="00575DD3" w:rsidP="003E445B">
      <w:pPr>
        <w:pStyle w:val="ListBullet2"/>
      </w:pPr>
      <w:r w:rsidRPr="003E445B">
        <w:t>N01129 included subjects with mild-to-moderate essential tremor</w:t>
      </w:r>
    </w:p>
    <w:p w:rsidR="00575DD3" w:rsidRPr="003E445B" w:rsidRDefault="00575DD3" w:rsidP="003E445B">
      <w:pPr>
        <w:pStyle w:val="ListBullet2"/>
      </w:pPr>
      <w:r w:rsidRPr="003E445B">
        <w:t>N01162 included subjects with post</w:t>
      </w:r>
      <w:r w:rsidR="004647ED">
        <w:t xml:space="preserve"> </w:t>
      </w:r>
      <w:r w:rsidRPr="003E445B">
        <w:t>herpetic neuralgia</w:t>
      </w:r>
    </w:p>
    <w:p w:rsidR="00376D5E" w:rsidRDefault="00575DD3" w:rsidP="003E445B">
      <w:pPr>
        <w:pStyle w:val="ListBullet2"/>
      </w:pPr>
      <w:r w:rsidRPr="003E445B">
        <w:t xml:space="preserve">N01187 and N01236 included effects on myoclonus with subjects with </w:t>
      </w:r>
      <w:proofErr w:type="spellStart"/>
      <w:r w:rsidRPr="003E445B">
        <w:t>Unverricht</w:t>
      </w:r>
      <w:proofErr w:type="spellEnd"/>
      <w:r w:rsidRPr="003E445B">
        <w:t>-Lundberg disease</w:t>
      </w:r>
    </w:p>
    <w:p w:rsidR="00575DD3" w:rsidRPr="003E445B" w:rsidRDefault="00575DD3" w:rsidP="003E445B">
      <w:pPr>
        <w:pStyle w:val="ListBullet2"/>
      </w:pPr>
      <w:r w:rsidRPr="003E445B">
        <w:t xml:space="preserve">N01395 evaluated behavioural side effects in subjects with epilepsy switched from </w:t>
      </w:r>
      <w:proofErr w:type="spellStart"/>
      <w:r w:rsidRPr="003E445B">
        <w:t>levetiracetam</w:t>
      </w:r>
      <w:proofErr w:type="spellEnd"/>
      <w:r w:rsidRPr="003E445B">
        <w:t xml:space="preserve"> due to nonpsychotic behavioural side effects</w:t>
      </w:r>
    </w:p>
    <w:p w:rsidR="00575DD3" w:rsidRPr="003E445B" w:rsidRDefault="00575DD3" w:rsidP="003E445B">
      <w:pPr>
        <w:pStyle w:val="ListBullet2"/>
      </w:pPr>
      <w:r w:rsidRPr="003E445B">
        <w:t>N01276 and N1306 evaluated the efficacy of brivaracetam in the conversion to monotherapy in subjects with partial</w:t>
      </w:r>
      <w:r w:rsidR="004647ED">
        <w:t xml:space="preserve"> </w:t>
      </w:r>
      <w:r w:rsidRPr="003E445B">
        <w:t>onset seizures when compared to a historical pseudo</w:t>
      </w:r>
      <w:r w:rsidR="004647ED">
        <w:t xml:space="preserve"> </w:t>
      </w:r>
      <w:r w:rsidRPr="003E445B">
        <w:t>placebo control group</w:t>
      </w:r>
    </w:p>
    <w:p w:rsidR="00575DD3" w:rsidRPr="003E445B" w:rsidRDefault="00575DD3" w:rsidP="003E445B">
      <w:pPr>
        <w:pStyle w:val="ListBullet2"/>
      </w:pPr>
      <w:r w:rsidRPr="003E445B">
        <w:t xml:space="preserve">N01394 compared the efficacy of brivaracetam and phenytoin administered IV to adults experiencing </w:t>
      </w:r>
      <w:proofErr w:type="spellStart"/>
      <w:r w:rsidRPr="003E445B">
        <w:t>nonconvulsive</w:t>
      </w:r>
      <w:proofErr w:type="spellEnd"/>
      <w:r w:rsidRPr="003E445B">
        <w:t xml:space="preserve"> electrographic seizures</w:t>
      </w:r>
    </w:p>
    <w:p w:rsidR="00575DD3" w:rsidRPr="00575DD3" w:rsidRDefault="00575DD3" w:rsidP="00575DD3">
      <w:r w:rsidRPr="00575DD3">
        <w:lastRenderedPageBreak/>
        <w:t>Studies included in the clinical overview regarded as pivotal are accepted by the evaluator as pivotal. The clinical development program is broadly consistent with recommended guidelines:</w:t>
      </w:r>
    </w:p>
    <w:p w:rsidR="00575DD3" w:rsidRPr="00575DD3" w:rsidRDefault="00575DD3" w:rsidP="00575DD3">
      <w:r w:rsidRPr="00575DD3">
        <w:t>It should be noted that there was a relative paucity of geriatric subjects included in phase III studies (n = 38).</w:t>
      </w:r>
    </w:p>
    <w:p w:rsidR="00575DD3" w:rsidRPr="00575DD3" w:rsidRDefault="00575DD3" w:rsidP="00575DD3">
      <w:r w:rsidRPr="00575DD3">
        <w:t>In the pivotal studies, prima</w:t>
      </w:r>
      <w:r w:rsidR="00AB37D7">
        <w:t xml:space="preserve">ry endpoints were appropriate: </w:t>
      </w:r>
      <w:r w:rsidRPr="00575DD3">
        <w:t xml:space="preserve">dichotomising groups into responders and </w:t>
      </w:r>
      <w:proofErr w:type="spellStart"/>
      <w:r w:rsidRPr="00575DD3">
        <w:t>nonresponders</w:t>
      </w:r>
      <w:proofErr w:type="spellEnd"/>
      <w:r w:rsidRPr="00575DD3">
        <w:t xml:space="preserve"> as well as reporting change in seizure frequency.</w:t>
      </w:r>
    </w:p>
    <w:p w:rsidR="00376D5E" w:rsidRDefault="00575DD3" w:rsidP="00575DD3">
      <w:r w:rsidRPr="00575DD3">
        <w:t>Pharmacodynamic interactions and potentially additive toxic effects were sufficiently evaluated</w:t>
      </w:r>
      <w:r w:rsidR="00376D5E">
        <w:t>.</w:t>
      </w:r>
    </w:p>
    <w:p w:rsidR="00605AD4" w:rsidRDefault="00605AD4" w:rsidP="00605AD4">
      <w:pPr>
        <w:pStyle w:val="Heading4"/>
      </w:pPr>
      <w:r w:rsidRPr="00605AD4">
        <w:t>Paediatric data</w:t>
      </w:r>
    </w:p>
    <w:p w:rsidR="00376D5E" w:rsidRDefault="003E445B" w:rsidP="003E445B">
      <w:r w:rsidRPr="003E445B">
        <w:t>The submission included paediatric data N01263 with primary objec</w:t>
      </w:r>
      <w:r w:rsidR="00AB37D7">
        <w:t xml:space="preserve">tive to characterise the steady </w:t>
      </w:r>
      <w:r w:rsidRPr="003E445B">
        <w:t>state PK of BRV and its metabolites in subjects from &gt;1month of age to &lt;16 years. Study N01266 (Registry database NCT01364597 2011-000374-60) is an open-label long-term study of adjunctive brivaracetam in paediatric subjects with epilepsy currently reported as ongoing but interpretable safety data are limited and no pharmacodynamic information is available. Further information from this study would be useful in assessing potential clinical value in paediatric patients</w:t>
      </w:r>
      <w:r w:rsidR="00376D5E">
        <w:t>.</w:t>
      </w:r>
    </w:p>
    <w:p w:rsidR="00605AD4" w:rsidRDefault="00605AD4" w:rsidP="00605AD4">
      <w:pPr>
        <w:pStyle w:val="Heading4"/>
      </w:pPr>
      <w:r w:rsidRPr="00605AD4">
        <w:t>Good clinical practice</w:t>
      </w:r>
    </w:p>
    <w:p w:rsidR="003E445B" w:rsidRPr="003E445B" w:rsidRDefault="003E445B" w:rsidP="003E445B">
      <w:bookmarkStart w:id="136" w:name="_Toc241374282"/>
      <w:r w:rsidRPr="003E445B">
        <w:t xml:space="preserve">The pivotal </w:t>
      </w:r>
      <w:r w:rsidR="00BE1DF3">
        <w:t>Phase III</w:t>
      </w:r>
      <w:r w:rsidRPr="003E445B">
        <w:t xml:space="preserve"> efficacy and safety studies included in the application: N01252, N01253, and N01358 were conducted in accordance with </w:t>
      </w:r>
      <w:r w:rsidR="00AC16DC">
        <w:t>published guidelines</w:t>
      </w:r>
      <w:r w:rsidR="00AC16DC">
        <w:rPr>
          <w:rStyle w:val="FootnoteReference"/>
        </w:rPr>
        <w:footnoteReference w:id="18"/>
      </w:r>
      <w:r w:rsidR="00AC16DC">
        <w:t xml:space="preserve"> </w:t>
      </w:r>
      <w:r w:rsidRPr="003E445B">
        <w:t xml:space="preserve">and meet the definition of an adequate and well controlled study for registration in the US as defined in </w:t>
      </w:r>
      <w:r w:rsidR="002F1164">
        <w:t xml:space="preserve">the FDA’s </w:t>
      </w:r>
      <w:r w:rsidR="0083073C" w:rsidRPr="0083073C">
        <w:t>Code of Federal Regulations Title 21</w:t>
      </w:r>
      <w:r w:rsidR="0083073C">
        <w:t>,</w:t>
      </w:r>
      <w:r w:rsidRPr="003E445B">
        <w:t xml:space="preserve"> 314.126(b).</w:t>
      </w:r>
    </w:p>
    <w:p w:rsidR="008E7846" w:rsidRDefault="008E7846" w:rsidP="00605AD4">
      <w:pPr>
        <w:pStyle w:val="Heading3"/>
      </w:pPr>
      <w:bookmarkStart w:id="137" w:name="_Toc479595228"/>
      <w:bookmarkEnd w:id="136"/>
      <w:r w:rsidRPr="00254787">
        <w:t>Pharmacokinetics</w:t>
      </w:r>
      <w:bookmarkEnd w:id="126"/>
      <w:bookmarkEnd w:id="133"/>
      <w:bookmarkEnd w:id="134"/>
      <w:bookmarkEnd w:id="135"/>
      <w:bookmarkEnd w:id="137"/>
    </w:p>
    <w:p w:rsidR="00232A97" w:rsidRDefault="00232A97" w:rsidP="00232A97">
      <w:pPr>
        <w:pStyle w:val="Heading4"/>
      </w:pPr>
      <w:r>
        <w:t>Studies providing pharmacokinetic data</w:t>
      </w:r>
    </w:p>
    <w:p w:rsidR="003E445B" w:rsidRDefault="003E445B" w:rsidP="003E445B">
      <w:r>
        <w:t>Table 19 shows the studies relating to each pharmacokinetic topic and the location of each study summary.</w:t>
      </w:r>
    </w:p>
    <w:p w:rsidR="002634A7" w:rsidRDefault="002634A7" w:rsidP="002634A7">
      <w:pPr>
        <w:pStyle w:val="TableTitle"/>
      </w:pPr>
      <w:proofErr w:type="gramStart"/>
      <w:r>
        <w:t xml:space="preserve">Table 19: </w:t>
      </w:r>
      <w:r w:rsidRPr="002634A7">
        <w:t>Submitted pharmacokinetic studies</w:t>
      </w:r>
      <w:r>
        <w:t>.</w:t>
      </w:r>
      <w:proofErr w:type="gramEnd"/>
    </w:p>
    <w:tbl>
      <w:tblPr>
        <w:tblStyle w:val="TableTGAblue"/>
        <w:tblW w:w="7905" w:type="dxa"/>
        <w:tblLayout w:type="fixed"/>
        <w:tblLook w:val="04A0" w:firstRow="1" w:lastRow="0" w:firstColumn="1" w:lastColumn="0" w:noHBand="0" w:noVBand="1"/>
      </w:tblPr>
      <w:tblGrid>
        <w:gridCol w:w="1844"/>
        <w:gridCol w:w="3260"/>
        <w:gridCol w:w="1701"/>
        <w:gridCol w:w="1100"/>
      </w:tblGrid>
      <w:tr w:rsidR="002634A7" w:rsidRPr="00EB215B" w:rsidTr="002634A7">
        <w:trPr>
          <w:cnfStyle w:val="100000000000" w:firstRow="1" w:lastRow="0" w:firstColumn="0" w:lastColumn="0" w:oddVBand="0" w:evenVBand="0" w:oddHBand="0" w:evenHBand="0" w:firstRowFirstColumn="0" w:firstRowLastColumn="0" w:lastRowFirstColumn="0" w:lastRowLastColumn="0"/>
        </w:trPr>
        <w:tc>
          <w:tcPr>
            <w:tcW w:w="1844" w:type="dxa"/>
          </w:tcPr>
          <w:p w:rsidR="002634A7" w:rsidRPr="00EB215B" w:rsidRDefault="002634A7" w:rsidP="00EB215B">
            <w:pPr>
              <w:rPr>
                <w:b w:val="0"/>
                <w:sz w:val="20"/>
                <w:szCs w:val="20"/>
              </w:rPr>
            </w:pPr>
            <w:r w:rsidRPr="00EB215B">
              <w:rPr>
                <w:sz w:val="20"/>
                <w:szCs w:val="20"/>
              </w:rPr>
              <w:t>PK topic</w:t>
            </w:r>
          </w:p>
        </w:tc>
        <w:tc>
          <w:tcPr>
            <w:tcW w:w="3260" w:type="dxa"/>
          </w:tcPr>
          <w:p w:rsidR="002634A7" w:rsidRPr="00EB215B" w:rsidRDefault="002634A7" w:rsidP="00EB215B">
            <w:pPr>
              <w:rPr>
                <w:b w:val="0"/>
                <w:sz w:val="20"/>
                <w:szCs w:val="20"/>
              </w:rPr>
            </w:pPr>
            <w:r w:rsidRPr="00EB215B">
              <w:rPr>
                <w:sz w:val="20"/>
                <w:szCs w:val="20"/>
              </w:rPr>
              <w:t>Subtopic</w:t>
            </w:r>
          </w:p>
        </w:tc>
        <w:tc>
          <w:tcPr>
            <w:tcW w:w="1701" w:type="dxa"/>
          </w:tcPr>
          <w:p w:rsidR="002634A7" w:rsidRPr="00EB215B" w:rsidRDefault="002634A7" w:rsidP="00EB215B">
            <w:pPr>
              <w:rPr>
                <w:b w:val="0"/>
                <w:sz w:val="20"/>
                <w:szCs w:val="20"/>
              </w:rPr>
            </w:pPr>
            <w:r w:rsidRPr="00EB215B">
              <w:rPr>
                <w:sz w:val="20"/>
                <w:szCs w:val="20"/>
              </w:rPr>
              <w:t>Study ID</w:t>
            </w:r>
          </w:p>
        </w:tc>
        <w:tc>
          <w:tcPr>
            <w:tcW w:w="1100" w:type="dxa"/>
          </w:tcPr>
          <w:p w:rsidR="002634A7" w:rsidRPr="00EB215B" w:rsidRDefault="002634A7" w:rsidP="00EB215B">
            <w:pPr>
              <w:rPr>
                <w:b w:val="0"/>
                <w:sz w:val="20"/>
                <w:szCs w:val="20"/>
              </w:rPr>
            </w:pPr>
            <w:r w:rsidRPr="00EB215B">
              <w:rPr>
                <w:sz w:val="20"/>
                <w:szCs w:val="20"/>
              </w:rPr>
              <w:t>*</w:t>
            </w:r>
          </w:p>
        </w:tc>
      </w:tr>
      <w:tr w:rsidR="002634A7" w:rsidRPr="00EB215B" w:rsidTr="002634A7">
        <w:tc>
          <w:tcPr>
            <w:tcW w:w="1844" w:type="dxa"/>
            <w:vMerge w:val="restart"/>
          </w:tcPr>
          <w:p w:rsidR="002634A7" w:rsidRPr="00EB215B" w:rsidRDefault="002634A7" w:rsidP="00EB215B">
            <w:pPr>
              <w:rPr>
                <w:sz w:val="20"/>
                <w:szCs w:val="20"/>
              </w:rPr>
            </w:pPr>
            <w:r w:rsidRPr="00EB215B">
              <w:rPr>
                <w:sz w:val="20"/>
                <w:szCs w:val="20"/>
              </w:rPr>
              <w:t>PK in healthy adults</w:t>
            </w:r>
          </w:p>
        </w:tc>
        <w:tc>
          <w:tcPr>
            <w:tcW w:w="3260" w:type="dxa"/>
          </w:tcPr>
          <w:p w:rsidR="002634A7" w:rsidRPr="00EB215B" w:rsidRDefault="002634A7" w:rsidP="00EB215B">
            <w:pPr>
              <w:rPr>
                <w:sz w:val="20"/>
                <w:szCs w:val="20"/>
              </w:rPr>
            </w:pPr>
            <w:r w:rsidRPr="00EB215B">
              <w:rPr>
                <w:sz w:val="20"/>
                <w:szCs w:val="20"/>
              </w:rPr>
              <w:t>General PK</w:t>
            </w:r>
            <w:r w:rsidRPr="00EB215B">
              <w:rPr>
                <w:sz w:val="20"/>
                <w:szCs w:val="20"/>
              </w:rPr>
              <w:tab/>
              <w:t>- Single dose</w:t>
            </w:r>
          </w:p>
        </w:tc>
        <w:tc>
          <w:tcPr>
            <w:tcW w:w="1701" w:type="dxa"/>
          </w:tcPr>
          <w:p w:rsidR="002634A7" w:rsidRPr="00EB215B" w:rsidRDefault="002634A7" w:rsidP="00EB215B">
            <w:pPr>
              <w:rPr>
                <w:sz w:val="20"/>
                <w:szCs w:val="20"/>
              </w:rPr>
            </w:pPr>
            <w:r w:rsidRPr="00EB215B">
              <w:rPr>
                <w:sz w:val="20"/>
                <w:szCs w:val="20"/>
              </w:rPr>
              <w:t>N01185</w:t>
            </w:r>
          </w:p>
        </w:tc>
        <w:tc>
          <w:tcPr>
            <w:tcW w:w="1100" w:type="dxa"/>
          </w:tcPr>
          <w:p w:rsidR="002634A7" w:rsidRPr="00EB215B" w:rsidRDefault="002634A7" w:rsidP="00EB215B">
            <w:pPr>
              <w:rPr>
                <w:sz w:val="20"/>
                <w:szCs w:val="20"/>
              </w:rPr>
            </w:pP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p>
        </w:tc>
        <w:tc>
          <w:tcPr>
            <w:tcW w:w="1701" w:type="dxa"/>
          </w:tcPr>
          <w:p w:rsidR="002634A7" w:rsidRPr="00EB215B" w:rsidRDefault="002634A7" w:rsidP="00EB215B">
            <w:pPr>
              <w:rPr>
                <w:sz w:val="20"/>
                <w:szCs w:val="20"/>
              </w:rPr>
            </w:pPr>
            <w:r w:rsidRPr="00EB215B">
              <w:rPr>
                <w:sz w:val="20"/>
                <w:szCs w:val="20"/>
              </w:rPr>
              <w:t>N01256a</w:t>
            </w:r>
          </w:p>
        </w:tc>
        <w:tc>
          <w:tcPr>
            <w:tcW w:w="1100" w:type="dxa"/>
          </w:tcPr>
          <w:p w:rsidR="002634A7" w:rsidRPr="00EB215B" w:rsidRDefault="002634A7" w:rsidP="00EB215B">
            <w:pPr>
              <w:rPr>
                <w:sz w:val="20"/>
                <w:szCs w:val="20"/>
              </w:rPr>
            </w:pP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p>
        </w:tc>
        <w:tc>
          <w:tcPr>
            <w:tcW w:w="1701" w:type="dxa"/>
          </w:tcPr>
          <w:p w:rsidR="002634A7" w:rsidRPr="00EB215B" w:rsidRDefault="002634A7" w:rsidP="00EB215B">
            <w:pPr>
              <w:rPr>
                <w:sz w:val="20"/>
                <w:szCs w:val="20"/>
              </w:rPr>
            </w:pPr>
            <w:r w:rsidRPr="00EB215B">
              <w:rPr>
                <w:sz w:val="20"/>
                <w:szCs w:val="20"/>
              </w:rPr>
              <w:t>N01256b</w:t>
            </w:r>
          </w:p>
          <w:p w:rsidR="002634A7" w:rsidRPr="00EB215B" w:rsidRDefault="002634A7" w:rsidP="00EB215B">
            <w:pPr>
              <w:rPr>
                <w:sz w:val="20"/>
                <w:szCs w:val="20"/>
              </w:rPr>
            </w:pPr>
            <w:r w:rsidRPr="00EB215B">
              <w:rPr>
                <w:sz w:val="20"/>
                <w:szCs w:val="20"/>
              </w:rPr>
              <w:t>EP0007</w:t>
            </w:r>
          </w:p>
          <w:p w:rsidR="002634A7" w:rsidRPr="00EB215B" w:rsidRDefault="002634A7" w:rsidP="00EB215B">
            <w:pPr>
              <w:rPr>
                <w:sz w:val="20"/>
                <w:szCs w:val="20"/>
              </w:rPr>
            </w:pPr>
            <w:r w:rsidRPr="00EB215B">
              <w:rPr>
                <w:sz w:val="20"/>
                <w:szCs w:val="20"/>
              </w:rPr>
              <w:t>N01296</w:t>
            </w:r>
          </w:p>
          <w:p w:rsidR="002634A7" w:rsidRPr="00EB215B" w:rsidRDefault="002634A7" w:rsidP="00EB215B">
            <w:pPr>
              <w:rPr>
                <w:sz w:val="20"/>
                <w:szCs w:val="20"/>
              </w:rPr>
            </w:pPr>
            <w:r w:rsidRPr="00EB215B">
              <w:rPr>
                <w:sz w:val="20"/>
                <w:szCs w:val="20"/>
              </w:rPr>
              <w:t>N01066</w:t>
            </w:r>
          </w:p>
          <w:p w:rsidR="002634A7" w:rsidRPr="00EB215B" w:rsidRDefault="002634A7" w:rsidP="00EB215B">
            <w:pPr>
              <w:rPr>
                <w:sz w:val="20"/>
                <w:szCs w:val="20"/>
              </w:rPr>
            </w:pPr>
            <w:r w:rsidRPr="00EB215B">
              <w:rPr>
                <w:sz w:val="20"/>
                <w:szCs w:val="20"/>
              </w:rPr>
              <w:t>N01068</w:t>
            </w:r>
          </w:p>
          <w:p w:rsidR="002634A7" w:rsidRPr="00EB215B" w:rsidRDefault="002634A7" w:rsidP="00EB215B">
            <w:pPr>
              <w:rPr>
                <w:sz w:val="20"/>
                <w:szCs w:val="20"/>
              </w:rPr>
            </w:pPr>
            <w:r w:rsidRPr="00EB215B">
              <w:rPr>
                <w:sz w:val="20"/>
                <w:szCs w:val="20"/>
              </w:rPr>
              <w:t>N01075</w:t>
            </w:r>
          </w:p>
          <w:p w:rsidR="002634A7" w:rsidRPr="00EB215B" w:rsidRDefault="002634A7" w:rsidP="00EB215B">
            <w:pPr>
              <w:rPr>
                <w:sz w:val="20"/>
                <w:szCs w:val="20"/>
              </w:rPr>
            </w:pPr>
            <w:r w:rsidRPr="00EB215B">
              <w:rPr>
                <w:sz w:val="20"/>
                <w:szCs w:val="20"/>
              </w:rPr>
              <w:lastRenderedPageBreak/>
              <w:t>N01209a</w:t>
            </w:r>
          </w:p>
          <w:p w:rsidR="002634A7" w:rsidRPr="00EB215B" w:rsidRDefault="002634A7" w:rsidP="00EB215B">
            <w:pPr>
              <w:rPr>
                <w:sz w:val="20"/>
                <w:szCs w:val="20"/>
              </w:rPr>
            </w:pPr>
            <w:r w:rsidRPr="00EB215B">
              <w:rPr>
                <w:sz w:val="20"/>
                <w:szCs w:val="20"/>
              </w:rPr>
              <w:t>N01295</w:t>
            </w:r>
          </w:p>
          <w:p w:rsidR="002634A7" w:rsidRPr="00EB215B" w:rsidRDefault="002634A7" w:rsidP="00EB215B">
            <w:pPr>
              <w:rPr>
                <w:sz w:val="20"/>
                <w:szCs w:val="20"/>
              </w:rPr>
            </w:pPr>
            <w:r w:rsidRPr="00EB215B">
              <w:rPr>
                <w:sz w:val="20"/>
                <w:szCs w:val="20"/>
              </w:rPr>
              <w:t>N01069</w:t>
            </w:r>
          </w:p>
        </w:tc>
        <w:tc>
          <w:tcPr>
            <w:tcW w:w="1100" w:type="dxa"/>
          </w:tcPr>
          <w:p w:rsidR="002634A7" w:rsidRPr="00EB215B" w:rsidRDefault="002634A7" w:rsidP="00EB215B">
            <w:pPr>
              <w:rPr>
                <w:sz w:val="20"/>
                <w:szCs w:val="20"/>
              </w:rPr>
            </w:pPr>
          </w:p>
          <w:p w:rsidR="002634A7" w:rsidRPr="00EB215B" w:rsidRDefault="002634A7" w:rsidP="00EB215B">
            <w:pPr>
              <w:rPr>
                <w:sz w:val="20"/>
                <w:szCs w:val="20"/>
              </w:rPr>
            </w:pPr>
          </w:p>
          <w:p w:rsidR="002634A7" w:rsidRPr="00EB215B" w:rsidRDefault="002634A7" w:rsidP="00EB215B">
            <w:pPr>
              <w:rPr>
                <w:sz w:val="20"/>
                <w:szCs w:val="20"/>
              </w:rPr>
            </w:pP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lastRenderedPageBreak/>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B05CD1" w:rsidP="00EB215B">
            <w:pPr>
              <w:rPr>
                <w:sz w:val="20"/>
                <w:szCs w:val="20"/>
              </w:rPr>
            </w:pPr>
            <w:r w:rsidRPr="00EB215B">
              <w:rPr>
                <w:sz w:val="20"/>
                <w:szCs w:val="20"/>
              </w:rPr>
              <w:tab/>
            </w:r>
            <w:r w:rsidRPr="00EB215B">
              <w:rPr>
                <w:sz w:val="20"/>
                <w:szCs w:val="20"/>
              </w:rPr>
              <w:tab/>
            </w:r>
            <w:r w:rsidR="002634A7" w:rsidRPr="00EB215B">
              <w:rPr>
                <w:sz w:val="20"/>
                <w:szCs w:val="20"/>
              </w:rPr>
              <w:t>- Multi-dose</w:t>
            </w:r>
          </w:p>
        </w:tc>
        <w:tc>
          <w:tcPr>
            <w:tcW w:w="1701" w:type="dxa"/>
          </w:tcPr>
          <w:p w:rsidR="002634A7" w:rsidRPr="00EB215B" w:rsidRDefault="002634A7" w:rsidP="00EB215B">
            <w:pPr>
              <w:rPr>
                <w:sz w:val="20"/>
                <w:szCs w:val="20"/>
              </w:rPr>
            </w:pPr>
            <w:r w:rsidRPr="00EB215B">
              <w:rPr>
                <w:sz w:val="20"/>
                <w:szCs w:val="20"/>
              </w:rPr>
              <w:t>N01067</w:t>
            </w:r>
          </w:p>
          <w:p w:rsidR="002634A7" w:rsidRPr="00EB215B" w:rsidRDefault="002634A7" w:rsidP="00EB215B">
            <w:pPr>
              <w:rPr>
                <w:sz w:val="20"/>
                <w:szCs w:val="20"/>
              </w:rPr>
            </w:pPr>
            <w:r w:rsidRPr="00EB215B">
              <w:rPr>
                <w:sz w:val="20"/>
                <w:szCs w:val="20"/>
              </w:rPr>
              <w:t>N01079</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Bioequivalence† - Single dose</w:t>
            </w:r>
          </w:p>
        </w:tc>
        <w:tc>
          <w:tcPr>
            <w:tcW w:w="1701" w:type="dxa"/>
          </w:tcPr>
          <w:p w:rsidR="002634A7" w:rsidRPr="00EB215B" w:rsidRDefault="002634A7" w:rsidP="00EB215B">
            <w:pPr>
              <w:rPr>
                <w:sz w:val="20"/>
                <w:szCs w:val="20"/>
              </w:rPr>
            </w:pPr>
            <w:r w:rsidRPr="00EB215B">
              <w:rPr>
                <w:sz w:val="20"/>
                <w:szCs w:val="20"/>
              </w:rPr>
              <w:t>N01185</w:t>
            </w:r>
          </w:p>
          <w:p w:rsidR="002634A7" w:rsidRPr="00EB215B" w:rsidRDefault="002634A7" w:rsidP="00EB215B">
            <w:pPr>
              <w:rPr>
                <w:sz w:val="20"/>
                <w:szCs w:val="20"/>
              </w:rPr>
            </w:pPr>
            <w:r w:rsidRPr="00EB215B">
              <w:rPr>
                <w:sz w:val="20"/>
                <w:szCs w:val="20"/>
              </w:rPr>
              <w:t>N01256a</w:t>
            </w:r>
          </w:p>
          <w:p w:rsidR="002634A7" w:rsidRPr="00EB215B" w:rsidRDefault="002634A7" w:rsidP="00EB215B">
            <w:pPr>
              <w:rPr>
                <w:sz w:val="20"/>
                <w:szCs w:val="20"/>
              </w:rPr>
            </w:pPr>
            <w:r w:rsidRPr="00EB215B">
              <w:rPr>
                <w:sz w:val="20"/>
                <w:szCs w:val="20"/>
              </w:rPr>
              <w:t>N01256b</w:t>
            </w:r>
          </w:p>
          <w:p w:rsidR="002634A7" w:rsidRPr="00EB215B" w:rsidRDefault="002634A7" w:rsidP="00EB215B">
            <w:pPr>
              <w:rPr>
                <w:sz w:val="20"/>
                <w:szCs w:val="20"/>
              </w:rPr>
            </w:pPr>
            <w:r w:rsidRPr="00EB215B">
              <w:rPr>
                <w:sz w:val="20"/>
                <w:szCs w:val="20"/>
              </w:rPr>
              <w:t>EP0007</w:t>
            </w:r>
          </w:p>
          <w:p w:rsidR="002634A7" w:rsidRPr="00EB215B" w:rsidRDefault="002634A7" w:rsidP="00EB215B">
            <w:pPr>
              <w:rPr>
                <w:sz w:val="20"/>
                <w:szCs w:val="20"/>
              </w:rPr>
            </w:pPr>
            <w:r w:rsidRPr="00EB215B">
              <w:rPr>
                <w:sz w:val="20"/>
                <w:szCs w:val="20"/>
              </w:rPr>
              <w:t>N01287</w:t>
            </w:r>
          </w:p>
          <w:p w:rsidR="002634A7" w:rsidRPr="00EB215B" w:rsidRDefault="002634A7" w:rsidP="00EB215B">
            <w:pPr>
              <w:rPr>
                <w:sz w:val="20"/>
                <w:szCs w:val="20"/>
              </w:rPr>
            </w:pPr>
            <w:r w:rsidRPr="00EB215B">
              <w:rPr>
                <w:sz w:val="20"/>
                <w:szCs w:val="20"/>
              </w:rPr>
              <w:t>N01296</w:t>
            </w:r>
          </w:p>
          <w:p w:rsidR="002634A7" w:rsidRPr="00EB215B" w:rsidRDefault="002634A7" w:rsidP="00EB215B">
            <w:pPr>
              <w:rPr>
                <w:sz w:val="20"/>
                <w:szCs w:val="20"/>
              </w:rPr>
            </w:pPr>
            <w:r w:rsidRPr="00EB215B">
              <w:rPr>
                <w:sz w:val="20"/>
                <w:szCs w:val="20"/>
              </w:rPr>
              <w:t>N01075</w:t>
            </w:r>
          </w:p>
        </w:tc>
        <w:tc>
          <w:tcPr>
            <w:tcW w:w="1100" w:type="dxa"/>
          </w:tcPr>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Food effect</w:t>
            </w:r>
          </w:p>
        </w:tc>
        <w:tc>
          <w:tcPr>
            <w:tcW w:w="1701" w:type="dxa"/>
          </w:tcPr>
          <w:p w:rsidR="002634A7" w:rsidRPr="00EB215B" w:rsidRDefault="002634A7" w:rsidP="00EB215B">
            <w:pPr>
              <w:rPr>
                <w:sz w:val="20"/>
                <w:szCs w:val="20"/>
              </w:rPr>
            </w:pPr>
            <w:r w:rsidRPr="00EB215B">
              <w:rPr>
                <w:sz w:val="20"/>
                <w:szCs w:val="20"/>
              </w:rPr>
              <w:t>N01075</w:t>
            </w:r>
          </w:p>
          <w:p w:rsidR="002634A7" w:rsidRPr="00EB215B" w:rsidRDefault="002634A7" w:rsidP="00EB215B">
            <w:pPr>
              <w:rPr>
                <w:sz w:val="20"/>
                <w:szCs w:val="20"/>
              </w:rPr>
            </w:pPr>
            <w:r w:rsidRPr="00EB215B">
              <w:rPr>
                <w:sz w:val="20"/>
                <w:szCs w:val="20"/>
              </w:rPr>
              <w:t>N01287</w:t>
            </w:r>
          </w:p>
        </w:tc>
        <w:tc>
          <w:tcPr>
            <w:tcW w:w="1100" w:type="dxa"/>
          </w:tcPr>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val="restart"/>
          </w:tcPr>
          <w:p w:rsidR="002634A7" w:rsidRPr="00EB215B" w:rsidRDefault="002634A7" w:rsidP="00EB215B">
            <w:pPr>
              <w:rPr>
                <w:sz w:val="20"/>
                <w:szCs w:val="20"/>
              </w:rPr>
            </w:pPr>
            <w:r w:rsidRPr="00EB215B">
              <w:rPr>
                <w:sz w:val="20"/>
                <w:szCs w:val="20"/>
              </w:rPr>
              <w:t>PK in special populations</w:t>
            </w:r>
          </w:p>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Tar</w:t>
            </w:r>
            <w:r w:rsidR="00D81A54" w:rsidRPr="00EB215B">
              <w:rPr>
                <w:sz w:val="20"/>
                <w:szCs w:val="20"/>
              </w:rPr>
              <w:t>get population - Multi-dose</w:t>
            </w:r>
          </w:p>
        </w:tc>
        <w:tc>
          <w:tcPr>
            <w:tcW w:w="1701" w:type="dxa"/>
          </w:tcPr>
          <w:p w:rsidR="002634A7" w:rsidRPr="00EB215B" w:rsidRDefault="00D81A54" w:rsidP="00EB215B">
            <w:pPr>
              <w:rPr>
                <w:sz w:val="20"/>
                <w:szCs w:val="20"/>
              </w:rPr>
            </w:pPr>
            <w:r w:rsidRPr="00EB215B">
              <w:rPr>
                <w:sz w:val="20"/>
                <w:szCs w:val="20"/>
              </w:rPr>
              <w:t>N01258 §</w:t>
            </w:r>
          </w:p>
        </w:tc>
        <w:tc>
          <w:tcPr>
            <w:tcW w:w="1100" w:type="dxa"/>
          </w:tcPr>
          <w:p w:rsidR="002634A7" w:rsidRPr="00EB215B" w:rsidRDefault="002634A7" w:rsidP="00EB215B">
            <w:pPr>
              <w:rPr>
                <w:sz w:val="20"/>
                <w:szCs w:val="20"/>
              </w:rPr>
            </w:pP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Hepatic impairment</w:t>
            </w:r>
          </w:p>
        </w:tc>
        <w:tc>
          <w:tcPr>
            <w:tcW w:w="1701" w:type="dxa"/>
          </w:tcPr>
          <w:p w:rsidR="002634A7" w:rsidRPr="00EB215B" w:rsidRDefault="002634A7" w:rsidP="00EB215B">
            <w:pPr>
              <w:rPr>
                <w:sz w:val="20"/>
                <w:szCs w:val="20"/>
              </w:rPr>
            </w:pPr>
            <w:r w:rsidRPr="00EB215B">
              <w:rPr>
                <w:sz w:val="20"/>
                <w:szCs w:val="20"/>
              </w:rPr>
              <w:t>N01111</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Renal impairment</w:t>
            </w:r>
          </w:p>
        </w:tc>
        <w:tc>
          <w:tcPr>
            <w:tcW w:w="1701" w:type="dxa"/>
          </w:tcPr>
          <w:p w:rsidR="002634A7" w:rsidRPr="00EB215B" w:rsidRDefault="002634A7" w:rsidP="00EB215B">
            <w:pPr>
              <w:rPr>
                <w:sz w:val="20"/>
                <w:szCs w:val="20"/>
              </w:rPr>
            </w:pPr>
            <w:r w:rsidRPr="00EB215B">
              <w:rPr>
                <w:sz w:val="20"/>
                <w:szCs w:val="20"/>
              </w:rPr>
              <w:t>N01109</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Neonates/infants/children/</w:t>
            </w:r>
            <w:r w:rsidR="000D0582" w:rsidRPr="00EB215B">
              <w:rPr>
                <w:sz w:val="20"/>
                <w:szCs w:val="20"/>
              </w:rPr>
              <w:t xml:space="preserve"> </w:t>
            </w:r>
            <w:r w:rsidRPr="00EB215B">
              <w:rPr>
                <w:sz w:val="20"/>
                <w:szCs w:val="20"/>
              </w:rPr>
              <w:t>adolescents</w:t>
            </w:r>
          </w:p>
        </w:tc>
        <w:tc>
          <w:tcPr>
            <w:tcW w:w="1701" w:type="dxa"/>
          </w:tcPr>
          <w:p w:rsidR="00376D5E" w:rsidRPr="00EB215B" w:rsidRDefault="002634A7" w:rsidP="00EB215B">
            <w:pPr>
              <w:rPr>
                <w:sz w:val="20"/>
                <w:szCs w:val="20"/>
              </w:rPr>
            </w:pPr>
            <w:r w:rsidRPr="00EB215B">
              <w:rPr>
                <w:sz w:val="20"/>
                <w:szCs w:val="20"/>
              </w:rPr>
              <w:t>N01263</w:t>
            </w:r>
          </w:p>
          <w:p w:rsidR="002634A7" w:rsidRPr="00EB215B" w:rsidRDefault="002634A7" w:rsidP="00EB215B">
            <w:pPr>
              <w:rPr>
                <w:sz w:val="20"/>
                <w:szCs w:val="20"/>
              </w:rPr>
            </w:pP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Elderly- Single dose and</w:t>
            </w:r>
          </w:p>
          <w:p w:rsidR="002634A7" w:rsidRPr="00EB215B" w:rsidRDefault="002634A7" w:rsidP="00EB215B">
            <w:pPr>
              <w:rPr>
                <w:sz w:val="20"/>
                <w:szCs w:val="20"/>
              </w:rPr>
            </w:pPr>
            <w:r w:rsidRPr="00EB215B">
              <w:rPr>
                <w:sz w:val="20"/>
                <w:szCs w:val="20"/>
              </w:rPr>
              <w:t xml:space="preserve">              - Multi-dose</w:t>
            </w:r>
          </w:p>
        </w:tc>
        <w:tc>
          <w:tcPr>
            <w:tcW w:w="1701" w:type="dxa"/>
          </w:tcPr>
          <w:p w:rsidR="002634A7" w:rsidRPr="00EB215B" w:rsidRDefault="002634A7" w:rsidP="00EB215B">
            <w:pPr>
              <w:rPr>
                <w:sz w:val="20"/>
                <w:szCs w:val="20"/>
              </w:rPr>
            </w:pPr>
            <w:r w:rsidRPr="00EB215B">
              <w:rPr>
                <w:sz w:val="20"/>
                <w:szCs w:val="20"/>
              </w:rPr>
              <w:t>N01118</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Japanese- Single dose</w:t>
            </w:r>
          </w:p>
        </w:tc>
        <w:tc>
          <w:tcPr>
            <w:tcW w:w="1701" w:type="dxa"/>
          </w:tcPr>
          <w:p w:rsidR="002634A7" w:rsidRPr="00EB215B" w:rsidRDefault="002634A7" w:rsidP="00EB215B">
            <w:pPr>
              <w:rPr>
                <w:sz w:val="20"/>
                <w:szCs w:val="20"/>
              </w:rPr>
            </w:pPr>
            <w:r w:rsidRPr="00EB215B">
              <w:rPr>
                <w:sz w:val="20"/>
                <w:szCs w:val="20"/>
              </w:rPr>
              <w:t>N01209a</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Japanese- Multi-dose</w:t>
            </w:r>
          </w:p>
        </w:tc>
        <w:tc>
          <w:tcPr>
            <w:tcW w:w="1701" w:type="dxa"/>
          </w:tcPr>
          <w:p w:rsidR="002634A7" w:rsidRPr="00EB215B" w:rsidRDefault="002634A7" w:rsidP="00EB215B">
            <w:pPr>
              <w:rPr>
                <w:sz w:val="20"/>
                <w:szCs w:val="20"/>
              </w:rPr>
            </w:pPr>
            <w:r w:rsidRPr="00EB215B">
              <w:rPr>
                <w:sz w:val="20"/>
                <w:szCs w:val="20"/>
              </w:rPr>
              <w:t>N01209b</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tcPr>
          <w:p w:rsidR="002634A7" w:rsidRPr="00EB215B" w:rsidRDefault="002634A7" w:rsidP="00EB215B">
            <w:pPr>
              <w:rPr>
                <w:sz w:val="20"/>
                <w:szCs w:val="20"/>
              </w:rPr>
            </w:pPr>
            <w:r w:rsidRPr="00EB215B">
              <w:rPr>
                <w:sz w:val="20"/>
                <w:szCs w:val="20"/>
              </w:rPr>
              <w:t>Genetic/</w:t>
            </w:r>
            <w:r w:rsidR="00D81A54" w:rsidRPr="00EB215B">
              <w:rPr>
                <w:sz w:val="20"/>
                <w:szCs w:val="20"/>
              </w:rPr>
              <w:t xml:space="preserve"> gender </w:t>
            </w:r>
            <w:r w:rsidRPr="00EB215B">
              <w:rPr>
                <w:sz w:val="20"/>
                <w:szCs w:val="20"/>
              </w:rPr>
              <w:t>related PK</w:t>
            </w:r>
          </w:p>
        </w:tc>
        <w:tc>
          <w:tcPr>
            <w:tcW w:w="3260" w:type="dxa"/>
          </w:tcPr>
          <w:p w:rsidR="00D81A54" w:rsidRPr="00EB215B" w:rsidRDefault="00D81A54" w:rsidP="00EB215B">
            <w:pPr>
              <w:rPr>
                <w:sz w:val="20"/>
                <w:szCs w:val="20"/>
              </w:rPr>
            </w:pPr>
            <w:r w:rsidRPr="00EB215B">
              <w:rPr>
                <w:sz w:val="20"/>
                <w:szCs w:val="20"/>
              </w:rPr>
              <w:t>CYP2C19 polymorphism</w:t>
            </w:r>
          </w:p>
          <w:p w:rsidR="00D81A54" w:rsidRPr="00EB215B" w:rsidRDefault="00D81A54" w:rsidP="00EB215B">
            <w:pPr>
              <w:rPr>
                <w:sz w:val="20"/>
                <w:szCs w:val="20"/>
              </w:rPr>
            </w:pPr>
            <w:r w:rsidRPr="00EB215B">
              <w:rPr>
                <w:sz w:val="20"/>
                <w:szCs w:val="20"/>
              </w:rPr>
              <w:t>CYP2C8 activity</w:t>
            </w:r>
          </w:p>
          <w:p w:rsidR="002634A7" w:rsidRPr="00EB215B" w:rsidRDefault="00D81A54" w:rsidP="00EB215B">
            <w:pPr>
              <w:rPr>
                <w:sz w:val="20"/>
                <w:szCs w:val="20"/>
              </w:rPr>
            </w:pPr>
            <w:r w:rsidRPr="00EB215B">
              <w:rPr>
                <w:sz w:val="20"/>
                <w:szCs w:val="20"/>
              </w:rPr>
              <w:t>CYP4A activity</w:t>
            </w:r>
          </w:p>
        </w:tc>
        <w:tc>
          <w:tcPr>
            <w:tcW w:w="1701" w:type="dxa"/>
          </w:tcPr>
          <w:p w:rsidR="00D81A54" w:rsidRPr="00EB215B" w:rsidRDefault="00D81A54" w:rsidP="00EB215B">
            <w:pPr>
              <w:rPr>
                <w:sz w:val="20"/>
                <w:szCs w:val="20"/>
              </w:rPr>
            </w:pPr>
            <w:r w:rsidRPr="00EB215B">
              <w:rPr>
                <w:sz w:val="20"/>
                <w:szCs w:val="20"/>
              </w:rPr>
              <w:t>N01209a</w:t>
            </w:r>
          </w:p>
          <w:p w:rsidR="00376D5E" w:rsidRPr="00EB215B" w:rsidRDefault="00D81A54" w:rsidP="00EB215B">
            <w:pPr>
              <w:rPr>
                <w:sz w:val="20"/>
                <w:szCs w:val="20"/>
              </w:rPr>
            </w:pPr>
            <w:r w:rsidRPr="00EB215B">
              <w:rPr>
                <w:sz w:val="20"/>
                <w:szCs w:val="20"/>
              </w:rPr>
              <w:t>N01259</w:t>
            </w:r>
          </w:p>
          <w:p w:rsidR="002634A7" w:rsidRPr="00EB215B" w:rsidRDefault="00D81A54" w:rsidP="00EB215B">
            <w:pPr>
              <w:rPr>
                <w:sz w:val="20"/>
                <w:szCs w:val="20"/>
              </w:rPr>
            </w:pPr>
            <w:r w:rsidRPr="00EB215B">
              <w:rPr>
                <w:sz w:val="20"/>
                <w:szCs w:val="20"/>
              </w:rPr>
              <w:t>N01261</w:t>
            </w:r>
          </w:p>
        </w:tc>
        <w:tc>
          <w:tcPr>
            <w:tcW w:w="1100" w:type="dxa"/>
          </w:tcPr>
          <w:p w:rsidR="00D81A54" w:rsidRPr="00EB215B" w:rsidRDefault="00D81A54" w:rsidP="00EB215B">
            <w:pPr>
              <w:rPr>
                <w:sz w:val="20"/>
                <w:szCs w:val="20"/>
              </w:rPr>
            </w:pPr>
            <w:r w:rsidRPr="00EB215B">
              <w:rPr>
                <w:sz w:val="20"/>
                <w:szCs w:val="20"/>
              </w:rPr>
              <w:t>*</w:t>
            </w:r>
          </w:p>
          <w:p w:rsidR="00D81A54" w:rsidRPr="00EB215B" w:rsidRDefault="00D81A54" w:rsidP="00EB215B">
            <w:pPr>
              <w:rPr>
                <w:sz w:val="20"/>
                <w:szCs w:val="20"/>
              </w:rPr>
            </w:pPr>
            <w:r w:rsidRPr="00EB215B">
              <w:rPr>
                <w:sz w:val="20"/>
                <w:szCs w:val="20"/>
              </w:rPr>
              <w:t>*</w:t>
            </w:r>
          </w:p>
          <w:p w:rsidR="002634A7" w:rsidRPr="00EB215B" w:rsidRDefault="00D81A54" w:rsidP="00EB215B">
            <w:pPr>
              <w:rPr>
                <w:sz w:val="20"/>
                <w:szCs w:val="20"/>
              </w:rPr>
            </w:pPr>
            <w:r w:rsidRPr="00EB215B">
              <w:rPr>
                <w:sz w:val="20"/>
                <w:szCs w:val="20"/>
              </w:rPr>
              <w:t>*</w:t>
            </w:r>
          </w:p>
        </w:tc>
      </w:tr>
      <w:tr w:rsidR="002634A7" w:rsidRPr="00EB215B" w:rsidTr="002634A7">
        <w:tc>
          <w:tcPr>
            <w:tcW w:w="1844" w:type="dxa"/>
            <w:vMerge w:val="restart"/>
          </w:tcPr>
          <w:p w:rsidR="002634A7" w:rsidRPr="00EB215B" w:rsidRDefault="002634A7" w:rsidP="00EB215B">
            <w:pPr>
              <w:rPr>
                <w:sz w:val="20"/>
                <w:szCs w:val="20"/>
              </w:rPr>
            </w:pPr>
            <w:r w:rsidRPr="00EB215B">
              <w:rPr>
                <w:sz w:val="20"/>
                <w:szCs w:val="20"/>
              </w:rPr>
              <w:t>PK interactions</w:t>
            </w:r>
          </w:p>
        </w:tc>
        <w:tc>
          <w:tcPr>
            <w:tcW w:w="3260" w:type="dxa"/>
          </w:tcPr>
          <w:p w:rsidR="002634A7" w:rsidRPr="00EB215B" w:rsidRDefault="002634A7" w:rsidP="00EB215B">
            <w:pPr>
              <w:rPr>
                <w:sz w:val="20"/>
                <w:szCs w:val="20"/>
              </w:rPr>
            </w:pPr>
            <w:r w:rsidRPr="00EB215B">
              <w:rPr>
                <w:sz w:val="20"/>
                <w:szCs w:val="20"/>
              </w:rPr>
              <w:t>Ethanol</w:t>
            </w:r>
          </w:p>
        </w:tc>
        <w:tc>
          <w:tcPr>
            <w:tcW w:w="1701" w:type="dxa"/>
          </w:tcPr>
          <w:p w:rsidR="002634A7" w:rsidRPr="00EB215B" w:rsidRDefault="002634A7" w:rsidP="00EB215B">
            <w:pPr>
              <w:rPr>
                <w:sz w:val="20"/>
                <w:szCs w:val="20"/>
              </w:rPr>
            </w:pPr>
            <w:r w:rsidRPr="00EB215B">
              <w:rPr>
                <w:sz w:val="20"/>
                <w:szCs w:val="20"/>
              </w:rPr>
              <w:t xml:space="preserve">EP0041 </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Oral Contraceptive pill</w:t>
            </w:r>
          </w:p>
        </w:tc>
        <w:tc>
          <w:tcPr>
            <w:tcW w:w="1701" w:type="dxa"/>
          </w:tcPr>
          <w:p w:rsidR="00376D5E" w:rsidRPr="00EB215B" w:rsidRDefault="002634A7" w:rsidP="00EB215B">
            <w:pPr>
              <w:rPr>
                <w:sz w:val="20"/>
                <w:szCs w:val="20"/>
              </w:rPr>
            </w:pPr>
            <w:r w:rsidRPr="00EB215B">
              <w:rPr>
                <w:sz w:val="20"/>
                <w:szCs w:val="20"/>
              </w:rPr>
              <w:t>N01080</w:t>
            </w:r>
          </w:p>
          <w:p w:rsidR="002634A7" w:rsidRPr="00EB215B" w:rsidRDefault="002634A7" w:rsidP="00EB215B">
            <w:pPr>
              <w:rPr>
                <w:sz w:val="20"/>
                <w:szCs w:val="20"/>
              </w:rPr>
            </w:pPr>
            <w:r w:rsidRPr="00EB215B">
              <w:rPr>
                <w:sz w:val="20"/>
                <w:szCs w:val="20"/>
              </w:rPr>
              <w:t xml:space="preserve">N01282 </w:t>
            </w:r>
          </w:p>
        </w:tc>
        <w:tc>
          <w:tcPr>
            <w:tcW w:w="1100" w:type="dxa"/>
          </w:tcPr>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Carbamazepine</w:t>
            </w:r>
          </w:p>
        </w:tc>
        <w:tc>
          <w:tcPr>
            <w:tcW w:w="1701" w:type="dxa"/>
          </w:tcPr>
          <w:p w:rsidR="00376D5E" w:rsidRPr="00EB215B" w:rsidRDefault="002634A7" w:rsidP="00EB215B">
            <w:pPr>
              <w:rPr>
                <w:sz w:val="20"/>
                <w:szCs w:val="20"/>
              </w:rPr>
            </w:pPr>
            <w:r w:rsidRPr="00EB215B">
              <w:rPr>
                <w:sz w:val="20"/>
                <w:szCs w:val="20"/>
              </w:rPr>
              <w:t>N01081</w:t>
            </w:r>
          </w:p>
          <w:p w:rsidR="002634A7" w:rsidRPr="00EB215B" w:rsidRDefault="002634A7" w:rsidP="00EB215B">
            <w:pPr>
              <w:rPr>
                <w:sz w:val="20"/>
                <w:szCs w:val="20"/>
              </w:rPr>
            </w:pPr>
            <w:r w:rsidRPr="00EB215B">
              <w:rPr>
                <w:sz w:val="20"/>
                <w:szCs w:val="20"/>
              </w:rPr>
              <w:t>N01133 §</w:t>
            </w:r>
          </w:p>
        </w:tc>
        <w:tc>
          <w:tcPr>
            <w:tcW w:w="1100" w:type="dxa"/>
          </w:tcPr>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Phenytoin</w:t>
            </w:r>
          </w:p>
        </w:tc>
        <w:tc>
          <w:tcPr>
            <w:tcW w:w="1701" w:type="dxa"/>
          </w:tcPr>
          <w:p w:rsidR="00376D5E" w:rsidRPr="00EB215B" w:rsidRDefault="002634A7" w:rsidP="00EB215B">
            <w:pPr>
              <w:rPr>
                <w:sz w:val="20"/>
                <w:szCs w:val="20"/>
              </w:rPr>
            </w:pPr>
            <w:r w:rsidRPr="00EB215B">
              <w:rPr>
                <w:sz w:val="20"/>
                <w:szCs w:val="20"/>
              </w:rPr>
              <w:t>N01082</w:t>
            </w:r>
          </w:p>
          <w:p w:rsidR="002634A7" w:rsidRPr="00EB215B" w:rsidRDefault="002634A7" w:rsidP="00EB215B">
            <w:pPr>
              <w:rPr>
                <w:sz w:val="20"/>
                <w:szCs w:val="20"/>
              </w:rPr>
            </w:pP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 xml:space="preserve">Phenytoin </w:t>
            </w:r>
          </w:p>
        </w:tc>
        <w:tc>
          <w:tcPr>
            <w:tcW w:w="1701" w:type="dxa"/>
          </w:tcPr>
          <w:p w:rsidR="002634A7" w:rsidRPr="00EB215B" w:rsidRDefault="002634A7" w:rsidP="00EB215B">
            <w:pPr>
              <w:rPr>
                <w:sz w:val="20"/>
                <w:szCs w:val="20"/>
              </w:rPr>
            </w:pPr>
            <w:r w:rsidRPr="00EB215B">
              <w:rPr>
                <w:sz w:val="20"/>
                <w:szCs w:val="20"/>
              </w:rPr>
              <w:t>N01172 §</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Phenytoin</w:t>
            </w:r>
          </w:p>
        </w:tc>
        <w:tc>
          <w:tcPr>
            <w:tcW w:w="1701" w:type="dxa"/>
          </w:tcPr>
          <w:p w:rsidR="002634A7" w:rsidRPr="00EB215B" w:rsidRDefault="002634A7" w:rsidP="00EB215B">
            <w:pPr>
              <w:rPr>
                <w:sz w:val="20"/>
                <w:szCs w:val="20"/>
              </w:rPr>
            </w:pPr>
            <w:r w:rsidRPr="00EB215B">
              <w:rPr>
                <w:sz w:val="20"/>
                <w:szCs w:val="20"/>
              </w:rPr>
              <w:t>N01135 §</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Carbamazepine/valproate</w:t>
            </w:r>
          </w:p>
        </w:tc>
        <w:tc>
          <w:tcPr>
            <w:tcW w:w="1701" w:type="dxa"/>
          </w:tcPr>
          <w:p w:rsidR="002634A7" w:rsidRPr="00EB215B" w:rsidRDefault="002634A7" w:rsidP="00EB215B">
            <w:pPr>
              <w:rPr>
                <w:sz w:val="20"/>
                <w:szCs w:val="20"/>
              </w:rPr>
            </w:pPr>
            <w:r w:rsidRPr="00EB215B">
              <w:rPr>
                <w:sz w:val="20"/>
                <w:szCs w:val="20"/>
              </w:rPr>
              <w:t>N01170 §</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Lamotrigine</w:t>
            </w:r>
          </w:p>
        </w:tc>
        <w:tc>
          <w:tcPr>
            <w:tcW w:w="1701" w:type="dxa"/>
          </w:tcPr>
          <w:p w:rsidR="002634A7" w:rsidRPr="00EB215B" w:rsidRDefault="002634A7" w:rsidP="00EB215B">
            <w:pPr>
              <w:rPr>
                <w:sz w:val="20"/>
                <w:szCs w:val="20"/>
              </w:rPr>
            </w:pPr>
            <w:r w:rsidRPr="00EB215B">
              <w:rPr>
                <w:sz w:val="20"/>
                <w:szCs w:val="20"/>
              </w:rPr>
              <w:t xml:space="preserve">N01171 </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proofErr w:type="spellStart"/>
            <w:r w:rsidRPr="00EB215B">
              <w:rPr>
                <w:sz w:val="20"/>
                <w:szCs w:val="20"/>
              </w:rPr>
              <w:t>Gemfibrozil</w:t>
            </w:r>
            <w:proofErr w:type="spellEnd"/>
            <w:r w:rsidRPr="00EB215B">
              <w:rPr>
                <w:sz w:val="20"/>
                <w:szCs w:val="20"/>
              </w:rPr>
              <w:t xml:space="preserve"> &amp; rifampicin</w:t>
            </w:r>
          </w:p>
        </w:tc>
        <w:tc>
          <w:tcPr>
            <w:tcW w:w="1701" w:type="dxa"/>
          </w:tcPr>
          <w:p w:rsidR="002634A7" w:rsidRPr="00EB215B" w:rsidRDefault="002634A7" w:rsidP="00EB215B">
            <w:pPr>
              <w:rPr>
                <w:sz w:val="20"/>
                <w:szCs w:val="20"/>
              </w:rPr>
            </w:pPr>
            <w:r w:rsidRPr="00EB215B">
              <w:rPr>
                <w:sz w:val="20"/>
                <w:szCs w:val="20"/>
              </w:rPr>
              <w:t xml:space="preserve">N01259 </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2634A7">
        <w:trPr>
          <w:trHeight w:val="479"/>
        </w:trPr>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Midazolam</w:t>
            </w:r>
          </w:p>
        </w:tc>
        <w:tc>
          <w:tcPr>
            <w:tcW w:w="1701" w:type="dxa"/>
          </w:tcPr>
          <w:p w:rsidR="002634A7" w:rsidRPr="00EB215B" w:rsidRDefault="002634A7" w:rsidP="00EB215B">
            <w:pPr>
              <w:rPr>
                <w:sz w:val="20"/>
                <w:szCs w:val="20"/>
              </w:rPr>
            </w:pPr>
            <w:r w:rsidRPr="00EB215B">
              <w:rPr>
                <w:sz w:val="20"/>
                <w:szCs w:val="20"/>
              </w:rPr>
              <w:t xml:space="preserve">N01261 </w:t>
            </w:r>
          </w:p>
        </w:tc>
        <w:tc>
          <w:tcPr>
            <w:tcW w:w="1100" w:type="dxa"/>
          </w:tcPr>
          <w:p w:rsidR="002634A7" w:rsidRPr="00EB215B" w:rsidRDefault="002634A7" w:rsidP="00EB215B">
            <w:pPr>
              <w:rPr>
                <w:sz w:val="20"/>
                <w:szCs w:val="20"/>
              </w:rPr>
            </w:pPr>
            <w:r w:rsidRPr="00EB215B">
              <w:rPr>
                <w:sz w:val="20"/>
                <w:szCs w:val="20"/>
              </w:rPr>
              <w:t>*</w:t>
            </w:r>
          </w:p>
        </w:tc>
      </w:tr>
      <w:tr w:rsidR="002634A7" w:rsidRPr="00EB215B" w:rsidTr="00B05CD1">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Target population</w:t>
            </w:r>
          </w:p>
        </w:tc>
        <w:tc>
          <w:tcPr>
            <w:tcW w:w="1701" w:type="dxa"/>
          </w:tcPr>
          <w:p w:rsidR="002634A7" w:rsidRPr="00EB215B" w:rsidRDefault="002634A7" w:rsidP="00EB215B">
            <w:pPr>
              <w:rPr>
                <w:sz w:val="20"/>
                <w:szCs w:val="20"/>
              </w:rPr>
            </w:pPr>
            <w:r w:rsidRPr="00EB215B">
              <w:rPr>
                <w:sz w:val="20"/>
                <w:szCs w:val="20"/>
              </w:rPr>
              <w:t>CL0028 §</w:t>
            </w:r>
          </w:p>
          <w:p w:rsidR="002634A7" w:rsidRPr="00EB215B" w:rsidRDefault="002634A7" w:rsidP="00EB215B">
            <w:pPr>
              <w:rPr>
                <w:sz w:val="20"/>
                <w:szCs w:val="20"/>
              </w:rPr>
            </w:pPr>
            <w:r w:rsidRPr="00EB215B">
              <w:rPr>
                <w:sz w:val="20"/>
                <w:szCs w:val="20"/>
              </w:rPr>
              <w:t>CL0178 §</w:t>
            </w:r>
          </w:p>
        </w:tc>
        <w:tc>
          <w:tcPr>
            <w:tcW w:w="1100" w:type="dxa"/>
          </w:tcPr>
          <w:p w:rsidR="002634A7" w:rsidRPr="00EB215B" w:rsidRDefault="002634A7" w:rsidP="00EB215B">
            <w:pPr>
              <w:rPr>
                <w:sz w:val="20"/>
                <w:szCs w:val="20"/>
              </w:rPr>
            </w:pPr>
            <w:r w:rsidRPr="00EB215B">
              <w:rPr>
                <w:sz w:val="20"/>
                <w:szCs w:val="20"/>
              </w:rPr>
              <w:t>*</w:t>
            </w:r>
          </w:p>
          <w:p w:rsidR="002634A7" w:rsidRPr="00EB215B" w:rsidRDefault="002634A7" w:rsidP="00EB215B">
            <w:pPr>
              <w:rPr>
                <w:sz w:val="20"/>
                <w:szCs w:val="20"/>
              </w:rPr>
            </w:pPr>
            <w:r w:rsidRPr="00EB215B">
              <w:rPr>
                <w:sz w:val="20"/>
                <w:szCs w:val="20"/>
              </w:rPr>
              <w:t>*</w:t>
            </w:r>
          </w:p>
        </w:tc>
      </w:tr>
      <w:tr w:rsidR="002634A7" w:rsidRPr="00EB215B" w:rsidTr="00B05CD1">
        <w:tc>
          <w:tcPr>
            <w:tcW w:w="1844" w:type="dxa"/>
            <w:vMerge/>
          </w:tcPr>
          <w:p w:rsidR="002634A7" w:rsidRPr="00EB215B" w:rsidRDefault="002634A7" w:rsidP="00EB215B">
            <w:pPr>
              <w:rPr>
                <w:sz w:val="20"/>
                <w:szCs w:val="20"/>
              </w:rPr>
            </w:pPr>
          </w:p>
        </w:tc>
        <w:tc>
          <w:tcPr>
            <w:tcW w:w="3260" w:type="dxa"/>
          </w:tcPr>
          <w:p w:rsidR="002634A7" w:rsidRPr="00EB215B" w:rsidRDefault="002634A7" w:rsidP="00EB215B">
            <w:pPr>
              <w:rPr>
                <w:sz w:val="20"/>
                <w:szCs w:val="20"/>
              </w:rPr>
            </w:pPr>
            <w:r w:rsidRPr="00EB215B">
              <w:rPr>
                <w:sz w:val="20"/>
                <w:szCs w:val="20"/>
              </w:rPr>
              <w:t>Paediatric epileptics</w:t>
            </w:r>
          </w:p>
        </w:tc>
        <w:tc>
          <w:tcPr>
            <w:tcW w:w="1701" w:type="dxa"/>
          </w:tcPr>
          <w:p w:rsidR="002634A7" w:rsidRPr="00EB215B" w:rsidRDefault="002634A7" w:rsidP="00EB215B">
            <w:pPr>
              <w:rPr>
                <w:sz w:val="20"/>
                <w:szCs w:val="20"/>
              </w:rPr>
            </w:pPr>
            <w:r w:rsidRPr="00EB215B">
              <w:rPr>
                <w:sz w:val="20"/>
                <w:szCs w:val="20"/>
              </w:rPr>
              <w:t>CL0187</w:t>
            </w:r>
          </w:p>
        </w:tc>
        <w:tc>
          <w:tcPr>
            <w:tcW w:w="1100" w:type="dxa"/>
          </w:tcPr>
          <w:p w:rsidR="002634A7" w:rsidRPr="00EB215B" w:rsidRDefault="002634A7" w:rsidP="00EB215B">
            <w:pPr>
              <w:rPr>
                <w:sz w:val="20"/>
                <w:szCs w:val="20"/>
              </w:rPr>
            </w:pPr>
            <w:r w:rsidRPr="00EB215B">
              <w:rPr>
                <w:sz w:val="20"/>
                <w:szCs w:val="20"/>
              </w:rPr>
              <w:t>*</w:t>
            </w:r>
          </w:p>
        </w:tc>
      </w:tr>
    </w:tbl>
    <w:p w:rsidR="002634A7" w:rsidRDefault="002634A7" w:rsidP="000F3955">
      <w:pPr>
        <w:pStyle w:val="TableDescription"/>
      </w:pPr>
      <w:r>
        <w:t>* Indicates the primary aim of the study.</w:t>
      </w:r>
    </w:p>
    <w:p w:rsidR="002634A7" w:rsidRDefault="002634A7" w:rsidP="000F3955">
      <w:pPr>
        <w:pStyle w:val="TableDescription"/>
      </w:pPr>
      <w:r w:rsidRPr="00AF6927">
        <w:t>†</w:t>
      </w:r>
      <w:r>
        <w:t xml:space="preserve"> Bioequivalence of different formulations.</w:t>
      </w:r>
    </w:p>
    <w:p w:rsidR="002634A7" w:rsidRDefault="002634A7" w:rsidP="000F3955">
      <w:pPr>
        <w:pStyle w:val="TableDescription"/>
      </w:pPr>
      <w:r w:rsidRPr="00BF3808">
        <w:t>§</w:t>
      </w:r>
      <w:r>
        <w:t xml:space="preserve"> Subjects who would be eligible to receive the drug if approved for the proposed indication.</w:t>
      </w:r>
    </w:p>
    <w:p w:rsidR="002634A7" w:rsidRPr="000F3955" w:rsidRDefault="002634A7" w:rsidP="000F3955">
      <w:r w:rsidRPr="000F3955">
        <w:t>None of the pharmacokinetic studies had deficiencies that excluded their results from consideration.</w:t>
      </w:r>
    </w:p>
    <w:p w:rsidR="00605AD4" w:rsidRDefault="00605AD4" w:rsidP="00605AD4">
      <w:pPr>
        <w:pStyle w:val="Heading4"/>
      </w:pPr>
      <w:r>
        <w:t>Evaluator’s conclusions on pharmacokinetics</w:t>
      </w:r>
    </w:p>
    <w:p w:rsidR="000F3955" w:rsidRDefault="000F3955" w:rsidP="000F3955">
      <w:r>
        <w:t>Brivaracetam has been characterised as having rapid and complete oral absorption. Film-coated tablets, oral solution and IV preparations have been demonstrated to have acceptable bioequivalence. Pharmacokinetic studies show predictable metabolism and renal excretion. There were few significant drug interactions. The 3 major metabolites of brivaracetam appear pharmacologically inactive.</w:t>
      </w:r>
    </w:p>
    <w:p w:rsidR="000F3955" w:rsidRDefault="000F3955" w:rsidP="000F3955">
      <w:r>
        <w:t>Because brivaracetam undergoes significant hepatic metabolism, dose adjustment in liver failure would likely be necessary as recommended in the PI. The dosing regimen proposed by the sponsor is appropriate for this. The PK information provided in the PI is satisfactory.</w:t>
      </w:r>
    </w:p>
    <w:p w:rsidR="008E7846" w:rsidRDefault="008E7846" w:rsidP="008E7846">
      <w:pPr>
        <w:pStyle w:val="Heading3"/>
      </w:pPr>
      <w:bookmarkStart w:id="138" w:name="_Toc196046481"/>
      <w:bookmarkStart w:id="139" w:name="_Toc247691520"/>
      <w:bookmarkStart w:id="140" w:name="_Toc314842503"/>
      <w:bookmarkStart w:id="141" w:name="_Toc479595229"/>
      <w:r w:rsidRPr="00254787">
        <w:t>Pharmacodynamics</w:t>
      </w:r>
      <w:bookmarkEnd w:id="127"/>
      <w:bookmarkEnd w:id="138"/>
      <w:bookmarkEnd w:id="139"/>
      <w:bookmarkEnd w:id="140"/>
      <w:bookmarkEnd w:id="141"/>
    </w:p>
    <w:p w:rsidR="00605AD4" w:rsidRDefault="00605AD4" w:rsidP="00605AD4">
      <w:pPr>
        <w:pStyle w:val="Heading4"/>
      </w:pPr>
      <w:r>
        <w:t>Studies providing pharmacodynamic data</w:t>
      </w:r>
    </w:p>
    <w:p w:rsidR="000F3955" w:rsidRDefault="000F3955" w:rsidP="000F3955">
      <w:r>
        <w:t>Table 20 shows the studies relating to each pharmacodynamic topic and the location of each study summary.</w:t>
      </w:r>
    </w:p>
    <w:p w:rsidR="00EC4C82" w:rsidRDefault="00EC4C82" w:rsidP="00EB215B">
      <w:pPr>
        <w:pStyle w:val="TableTitle"/>
        <w:pageBreakBefore/>
      </w:pPr>
      <w:proofErr w:type="gramStart"/>
      <w:r>
        <w:lastRenderedPageBreak/>
        <w:t xml:space="preserve">Table 20: </w:t>
      </w:r>
      <w:r w:rsidRPr="002634A7">
        <w:t>Submitted pharmaco</w:t>
      </w:r>
      <w:r w:rsidR="00D64B34">
        <w:t>dynamic</w:t>
      </w:r>
      <w:r w:rsidRPr="002634A7">
        <w:t xml:space="preserve"> studies</w:t>
      </w:r>
      <w:r>
        <w:t>.</w:t>
      </w:r>
      <w:proofErr w:type="gramEnd"/>
    </w:p>
    <w:tbl>
      <w:tblPr>
        <w:tblStyle w:val="TableTGAblue"/>
        <w:tblW w:w="8472" w:type="dxa"/>
        <w:tblLayout w:type="fixed"/>
        <w:tblLook w:val="04A0" w:firstRow="1" w:lastRow="0" w:firstColumn="1" w:lastColumn="0" w:noHBand="0" w:noVBand="1"/>
      </w:tblPr>
      <w:tblGrid>
        <w:gridCol w:w="1809"/>
        <w:gridCol w:w="2694"/>
        <w:gridCol w:w="1701"/>
        <w:gridCol w:w="2268"/>
      </w:tblGrid>
      <w:tr w:rsidR="00D83751" w:rsidRPr="00EB215B" w:rsidTr="00D83751">
        <w:trPr>
          <w:cnfStyle w:val="100000000000" w:firstRow="1" w:lastRow="0" w:firstColumn="0" w:lastColumn="0" w:oddVBand="0" w:evenVBand="0" w:oddHBand="0" w:evenHBand="0" w:firstRowFirstColumn="0" w:firstRowLastColumn="0" w:lastRowFirstColumn="0" w:lastRowLastColumn="0"/>
        </w:trPr>
        <w:tc>
          <w:tcPr>
            <w:tcW w:w="1809" w:type="dxa"/>
          </w:tcPr>
          <w:p w:rsidR="00D83751" w:rsidRPr="00EB215B" w:rsidRDefault="00D83751" w:rsidP="00EB215B">
            <w:pPr>
              <w:rPr>
                <w:b w:val="0"/>
                <w:sz w:val="20"/>
                <w:szCs w:val="20"/>
              </w:rPr>
            </w:pPr>
            <w:r w:rsidRPr="00EB215B">
              <w:rPr>
                <w:sz w:val="20"/>
                <w:szCs w:val="20"/>
              </w:rPr>
              <w:t>PD Topic</w:t>
            </w:r>
          </w:p>
        </w:tc>
        <w:tc>
          <w:tcPr>
            <w:tcW w:w="2694" w:type="dxa"/>
          </w:tcPr>
          <w:p w:rsidR="00D83751" w:rsidRPr="00EB215B" w:rsidRDefault="00D83751" w:rsidP="00EB215B">
            <w:pPr>
              <w:rPr>
                <w:b w:val="0"/>
                <w:sz w:val="20"/>
                <w:szCs w:val="20"/>
              </w:rPr>
            </w:pPr>
            <w:r w:rsidRPr="00EB215B">
              <w:rPr>
                <w:sz w:val="20"/>
                <w:szCs w:val="20"/>
              </w:rPr>
              <w:t>Subtopic</w:t>
            </w:r>
          </w:p>
        </w:tc>
        <w:tc>
          <w:tcPr>
            <w:tcW w:w="1701" w:type="dxa"/>
          </w:tcPr>
          <w:p w:rsidR="00D83751" w:rsidRPr="00EB215B" w:rsidRDefault="00D83751" w:rsidP="00EB215B">
            <w:pPr>
              <w:rPr>
                <w:b w:val="0"/>
                <w:sz w:val="20"/>
                <w:szCs w:val="20"/>
              </w:rPr>
            </w:pPr>
            <w:r w:rsidRPr="00EB215B">
              <w:rPr>
                <w:sz w:val="20"/>
                <w:szCs w:val="20"/>
              </w:rPr>
              <w:t>Study ID</w:t>
            </w:r>
          </w:p>
        </w:tc>
        <w:tc>
          <w:tcPr>
            <w:tcW w:w="2268" w:type="dxa"/>
          </w:tcPr>
          <w:p w:rsidR="00D83751" w:rsidRPr="00EB215B" w:rsidRDefault="00D83751" w:rsidP="00EB215B">
            <w:pPr>
              <w:rPr>
                <w:b w:val="0"/>
                <w:sz w:val="20"/>
                <w:szCs w:val="20"/>
              </w:rPr>
            </w:pPr>
            <w:r w:rsidRPr="00EB215B">
              <w:rPr>
                <w:sz w:val="20"/>
                <w:szCs w:val="20"/>
              </w:rPr>
              <w:t>*</w:t>
            </w:r>
          </w:p>
        </w:tc>
      </w:tr>
      <w:tr w:rsidR="00D83751" w:rsidRPr="00EB215B" w:rsidTr="00D83751">
        <w:tc>
          <w:tcPr>
            <w:tcW w:w="1809" w:type="dxa"/>
            <w:vMerge w:val="restart"/>
          </w:tcPr>
          <w:p w:rsidR="00D83751" w:rsidRPr="00EB215B" w:rsidRDefault="00D83751" w:rsidP="00EB215B">
            <w:pPr>
              <w:rPr>
                <w:sz w:val="20"/>
                <w:szCs w:val="20"/>
              </w:rPr>
            </w:pPr>
            <w:r w:rsidRPr="00EB215B">
              <w:rPr>
                <w:sz w:val="20"/>
                <w:szCs w:val="20"/>
              </w:rPr>
              <w:t>Primary Pharmacology</w:t>
            </w:r>
            <w:bookmarkStart w:id="142" w:name="Table_1"/>
            <w:bookmarkEnd w:id="142"/>
          </w:p>
        </w:tc>
        <w:tc>
          <w:tcPr>
            <w:tcW w:w="2694" w:type="dxa"/>
          </w:tcPr>
          <w:p w:rsidR="00D83751" w:rsidRPr="00EB215B" w:rsidRDefault="00D83751" w:rsidP="00EB215B">
            <w:pPr>
              <w:rPr>
                <w:sz w:val="20"/>
                <w:szCs w:val="20"/>
              </w:rPr>
            </w:pPr>
            <w:r w:rsidRPr="00EB215B">
              <w:rPr>
                <w:sz w:val="20"/>
                <w:szCs w:val="20"/>
              </w:rPr>
              <w:t>Effect on Seizures</w:t>
            </w:r>
          </w:p>
        </w:tc>
        <w:tc>
          <w:tcPr>
            <w:tcW w:w="1701" w:type="dxa"/>
          </w:tcPr>
          <w:p w:rsidR="00D83751" w:rsidRPr="00EB215B" w:rsidRDefault="00D83751" w:rsidP="00EB215B">
            <w:pPr>
              <w:rPr>
                <w:sz w:val="20"/>
                <w:szCs w:val="20"/>
              </w:rPr>
            </w:pPr>
            <w:r w:rsidRPr="00EB215B">
              <w:rPr>
                <w:sz w:val="20"/>
                <w:szCs w:val="20"/>
              </w:rPr>
              <w:t>N01114 §</w:t>
            </w:r>
          </w:p>
          <w:p w:rsidR="00D83751" w:rsidRPr="00EB215B" w:rsidRDefault="00D83751" w:rsidP="00EB215B">
            <w:pPr>
              <w:rPr>
                <w:sz w:val="20"/>
                <w:szCs w:val="20"/>
              </w:rPr>
            </w:pPr>
            <w:r w:rsidRPr="00EB215B">
              <w:rPr>
                <w:sz w:val="20"/>
                <w:szCs w:val="20"/>
              </w:rPr>
              <w:t>N01193 §</w:t>
            </w:r>
          </w:p>
          <w:p w:rsidR="00D83751" w:rsidRPr="00EB215B" w:rsidRDefault="00D83751" w:rsidP="00EB215B">
            <w:pPr>
              <w:rPr>
                <w:sz w:val="20"/>
                <w:szCs w:val="20"/>
              </w:rPr>
            </w:pPr>
            <w:r w:rsidRPr="00EB215B">
              <w:rPr>
                <w:sz w:val="20"/>
                <w:szCs w:val="20"/>
              </w:rPr>
              <w:t>N01252 §</w:t>
            </w:r>
          </w:p>
          <w:p w:rsidR="00D83751" w:rsidRPr="00EB215B" w:rsidRDefault="00D83751" w:rsidP="00EB215B">
            <w:pPr>
              <w:rPr>
                <w:sz w:val="20"/>
                <w:szCs w:val="20"/>
              </w:rPr>
            </w:pPr>
            <w:r w:rsidRPr="00EB215B">
              <w:rPr>
                <w:sz w:val="20"/>
                <w:szCs w:val="20"/>
              </w:rPr>
              <w:t>N01253 §</w:t>
            </w:r>
          </w:p>
          <w:p w:rsidR="00D83751" w:rsidRPr="00EB215B" w:rsidRDefault="00D83751" w:rsidP="00EB215B">
            <w:pPr>
              <w:rPr>
                <w:sz w:val="20"/>
                <w:szCs w:val="20"/>
              </w:rPr>
            </w:pPr>
            <w:r w:rsidRPr="00EB215B">
              <w:rPr>
                <w:sz w:val="20"/>
                <w:szCs w:val="20"/>
              </w:rPr>
              <w:t>N01254 §</w:t>
            </w:r>
          </w:p>
          <w:p w:rsidR="00D83751" w:rsidRPr="00EB215B" w:rsidRDefault="00D83751" w:rsidP="00EB215B">
            <w:pPr>
              <w:rPr>
                <w:sz w:val="20"/>
                <w:szCs w:val="20"/>
              </w:rPr>
            </w:pPr>
            <w:r w:rsidRPr="00EB215B">
              <w:rPr>
                <w:sz w:val="20"/>
                <w:szCs w:val="20"/>
              </w:rPr>
              <w:t>N01358 §</w:t>
            </w:r>
          </w:p>
          <w:p w:rsidR="00D83751" w:rsidRPr="00EB215B" w:rsidRDefault="00D83751" w:rsidP="00EB215B">
            <w:pPr>
              <w:rPr>
                <w:sz w:val="20"/>
                <w:szCs w:val="20"/>
              </w:rPr>
            </w:pPr>
            <w:r w:rsidRPr="00EB215B">
              <w:rPr>
                <w:sz w:val="20"/>
                <w:szCs w:val="20"/>
              </w:rPr>
              <w:t>N01125 §</w:t>
            </w:r>
          </w:p>
          <w:p w:rsidR="00D83751" w:rsidRPr="00EB215B" w:rsidRDefault="00D83751" w:rsidP="00EB215B">
            <w:pPr>
              <w:rPr>
                <w:sz w:val="20"/>
                <w:szCs w:val="20"/>
              </w:rPr>
            </w:pPr>
            <w:r w:rsidRPr="00EB215B">
              <w:rPr>
                <w:sz w:val="20"/>
                <w:szCs w:val="20"/>
              </w:rPr>
              <w:t>N01199 §</w:t>
            </w:r>
          </w:p>
          <w:p w:rsidR="00D83751" w:rsidRPr="00EB215B" w:rsidRDefault="00D83751" w:rsidP="00EB215B">
            <w:pPr>
              <w:rPr>
                <w:sz w:val="20"/>
                <w:szCs w:val="20"/>
              </w:rPr>
            </w:pPr>
            <w:r w:rsidRPr="00EB215B">
              <w:rPr>
                <w:sz w:val="20"/>
                <w:szCs w:val="20"/>
              </w:rPr>
              <w:t>N01379 §</w:t>
            </w:r>
          </w:p>
        </w:tc>
        <w:tc>
          <w:tcPr>
            <w:tcW w:w="2268" w:type="dxa"/>
          </w:tcPr>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tc>
      </w:tr>
      <w:tr w:rsidR="00D83751" w:rsidRPr="00EB215B" w:rsidTr="00D83751">
        <w:tc>
          <w:tcPr>
            <w:tcW w:w="1809" w:type="dxa"/>
            <w:vMerge/>
          </w:tcPr>
          <w:p w:rsidR="00D83751" w:rsidRPr="00EB215B" w:rsidRDefault="00D83751" w:rsidP="00EB215B">
            <w:pPr>
              <w:rPr>
                <w:sz w:val="20"/>
                <w:szCs w:val="20"/>
              </w:rPr>
            </w:pPr>
          </w:p>
        </w:tc>
        <w:tc>
          <w:tcPr>
            <w:tcW w:w="2694" w:type="dxa"/>
          </w:tcPr>
          <w:p w:rsidR="00D83751" w:rsidRPr="00EB215B" w:rsidRDefault="00D83751" w:rsidP="00EB215B">
            <w:pPr>
              <w:rPr>
                <w:sz w:val="20"/>
                <w:szCs w:val="20"/>
              </w:rPr>
            </w:pPr>
            <w:r w:rsidRPr="00EB215B">
              <w:rPr>
                <w:sz w:val="20"/>
                <w:szCs w:val="20"/>
              </w:rPr>
              <w:t>Effect on evoked pain</w:t>
            </w:r>
          </w:p>
          <w:p w:rsidR="00D83751" w:rsidRPr="00EB215B" w:rsidRDefault="00D83751" w:rsidP="00EB215B">
            <w:pPr>
              <w:rPr>
                <w:sz w:val="20"/>
                <w:szCs w:val="20"/>
              </w:rPr>
            </w:pPr>
            <w:r w:rsidRPr="00EB215B">
              <w:rPr>
                <w:sz w:val="20"/>
                <w:szCs w:val="20"/>
              </w:rPr>
              <w:t>Subjective drug effects</w:t>
            </w:r>
          </w:p>
          <w:p w:rsidR="00D83751" w:rsidRPr="00EB215B" w:rsidRDefault="00D83751" w:rsidP="00EB215B">
            <w:pPr>
              <w:rPr>
                <w:sz w:val="20"/>
                <w:szCs w:val="20"/>
              </w:rPr>
            </w:pPr>
            <w:r w:rsidRPr="00EB215B">
              <w:rPr>
                <w:sz w:val="20"/>
                <w:szCs w:val="20"/>
              </w:rPr>
              <w:t xml:space="preserve">Photosensitive </w:t>
            </w:r>
            <w:proofErr w:type="spellStart"/>
            <w:r w:rsidRPr="00EB215B">
              <w:rPr>
                <w:sz w:val="20"/>
                <w:szCs w:val="20"/>
              </w:rPr>
              <w:t>epileptiform</w:t>
            </w:r>
            <w:proofErr w:type="spellEnd"/>
            <w:r w:rsidRPr="00EB215B">
              <w:rPr>
                <w:sz w:val="20"/>
                <w:szCs w:val="20"/>
              </w:rPr>
              <w:t xml:space="preserve"> discharges</w:t>
            </w:r>
          </w:p>
        </w:tc>
        <w:tc>
          <w:tcPr>
            <w:tcW w:w="1701" w:type="dxa"/>
          </w:tcPr>
          <w:p w:rsidR="00D83751" w:rsidRPr="00EB215B" w:rsidRDefault="00D83751" w:rsidP="00EB215B">
            <w:pPr>
              <w:rPr>
                <w:sz w:val="20"/>
                <w:szCs w:val="20"/>
              </w:rPr>
            </w:pPr>
            <w:r w:rsidRPr="00EB215B">
              <w:rPr>
                <w:sz w:val="20"/>
                <w:szCs w:val="20"/>
              </w:rPr>
              <w:t>N01079</w:t>
            </w:r>
          </w:p>
          <w:p w:rsidR="00D83751" w:rsidRPr="00EB215B" w:rsidRDefault="00D83751" w:rsidP="00EB215B">
            <w:pPr>
              <w:rPr>
                <w:sz w:val="20"/>
                <w:szCs w:val="20"/>
              </w:rPr>
            </w:pPr>
            <w:r w:rsidRPr="00EB215B">
              <w:rPr>
                <w:sz w:val="20"/>
                <w:szCs w:val="20"/>
              </w:rPr>
              <w:t>N01295</w:t>
            </w:r>
          </w:p>
          <w:p w:rsidR="00D83751" w:rsidRPr="00EB215B" w:rsidRDefault="00D83751" w:rsidP="00EB215B">
            <w:pPr>
              <w:rPr>
                <w:sz w:val="20"/>
                <w:szCs w:val="20"/>
              </w:rPr>
            </w:pPr>
            <w:r w:rsidRPr="00EB215B">
              <w:rPr>
                <w:sz w:val="20"/>
                <w:szCs w:val="20"/>
              </w:rPr>
              <w:t>N01069 §</w:t>
            </w:r>
          </w:p>
        </w:tc>
        <w:tc>
          <w:tcPr>
            <w:tcW w:w="2268" w:type="dxa"/>
          </w:tcPr>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tc>
      </w:tr>
      <w:tr w:rsidR="00D83751" w:rsidRPr="00EB215B" w:rsidTr="00D83751">
        <w:tc>
          <w:tcPr>
            <w:tcW w:w="1809" w:type="dxa"/>
            <w:vMerge w:val="restart"/>
          </w:tcPr>
          <w:p w:rsidR="00D83751" w:rsidRPr="00EB215B" w:rsidRDefault="00D83751" w:rsidP="00EB215B">
            <w:pPr>
              <w:rPr>
                <w:sz w:val="20"/>
                <w:szCs w:val="20"/>
              </w:rPr>
            </w:pPr>
            <w:r w:rsidRPr="00EB215B">
              <w:rPr>
                <w:sz w:val="20"/>
                <w:szCs w:val="20"/>
              </w:rPr>
              <w:t>Secondary Pharmacology</w:t>
            </w:r>
          </w:p>
        </w:tc>
        <w:tc>
          <w:tcPr>
            <w:tcW w:w="2694" w:type="dxa"/>
          </w:tcPr>
          <w:p w:rsidR="00D83751" w:rsidRPr="00EB215B" w:rsidRDefault="00D83751" w:rsidP="00EB215B">
            <w:pPr>
              <w:rPr>
                <w:sz w:val="20"/>
                <w:szCs w:val="20"/>
              </w:rPr>
            </w:pPr>
            <w:r w:rsidRPr="00EB215B">
              <w:rPr>
                <w:sz w:val="20"/>
                <w:szCs w:val="20"/>
              </w:rPr>
              <w:t>Effect on Saccadic eye movements</w:t>
            </w:r>
          </w:p>
        </w:tc>
        <w:tc>
          <w:tcPr>
            <w:tcW w:w="1701" w:type="dxa"/>
          </w:tcPr>
          <w:p w:rsidR="00D83751" w:rsidRPr="00EB215B" w:rsidRDefault="00D83751" w:rsidP="00EB215B">
            <w:pPr>
              <w:rPr>
                <w:sz w:val="20"/>
                <w:szCs w:val="20"/>
              </w:rPr>
            </w:pPr>
            <w:r w:rsidRPr="00EB215B">
              <w:rPr>
                <w:sz w:val="20"/>
                <w:szCs w:val="20"/>
              </w:rPr>
              <w:t>N01066</w:t>
            </w:r>
          </w:p>
          <w:p w:rsidR="00D83751" w:rsidRPr="00EB215B" w:rsidRDefault="00D83751" w:rsidP="00EB215B">
            <w:pPr>
              <w:rPr>
                <w:sz w:val="20"/>
                <w:szCs w:val="20"/>
              </w:rPr>
            </w:pPr>
            <w:r w:rsidRPr="00EB215B">
              <w:rPr>
                <w:sz w:val="20"/>
                <w:szCs w:val="20"/>
              </w:rPr>
              <w:t>EP0041</w:t>
            </w:r>
          </w:p>
        </w:tc>
        <w:tc>
          <w:tcPr>
            <w:tcW w:w="2268" w:type="dxa"/>
          </w:tcPr>
          <w:p w:rsidR="00D83751" w:rsidRPr="00EB215B" w:rsidRDefault="00D83751" w:rsidP="00EB215B">
            <w:pPr>
              <w:rPr>
                <w:sz w:val="20"/>
                <w:szCs w:val="20"/>
              </w:rPr>
            </w:pPr>
            <w:r w:rsidRPr="00EB215B">
              <w:rPr>
                <w:sz w:val="20"/>
                <w:szCs w:val="20"/>
              </w:rPr>
              <w:t>*</w:t>
            </w:r>
          </w:p>
        </w:tc>
      </w:tr>
      <w:tr w:rsidR="00D83751" w:rsidRPr="00EB215B" w:rsidTr="00D83751">
        <w:trPr>
          <w:trHeight w:val="7513"/>
        </w:trPr>
        <w:tc>
          <w:tcPr>
            <w:tcW w:w="1809" w:type="dxa"/>
            <w:vMerge/>
          </w:tcPr>
          <w:p w:rsidR="00D83751" w:rsidRPr="00EB215B" w:rsidRDefault="00D83751" w:rsidP="00EB215B">
            <w:pPr>
              <w:rPr>
                <w:sz w:val="20"/>
                <w:szCs w:val="20"/>
              </w:rPr>
            </w:pPr>
          </w:p>
        </w:tc>
        <w:tc>
          <w:tcPr>
            <w:tcW w:w="2694" w:type="dxa"/>
          </w:tcPr>
          <w:p w:rsidR="00D83751" w:rsidRPr="00EB215B" w:rsidRDefault="00D83751" w:rsidP="00EB215B">
            <w:pPr>
              <w:rPr>
                <w:sz w:val="20"/>
                <w:szCs w:val="20"/>
              </w:rPr>
            </w:pPr>
            <w:r w:rsidRPr="00EB215B">
              <w:rPr>
                <w:sz w:val="20"/>
                <w:szCs w:val="20"/>
              </w:rPr>
              <w:t>Smooth pursuit eye movements</w:t>
            </w:r>
          </w:p>
          <w:p w:rsidR="00376D5E" w:rsidRPr="00EB215B" w:rsidRDefault="00D83751" w:rsidP="00EB215B">
            <w:pPr>
              <w:rPr>
                <w:sz w:val="20"/>
                <w:szCs w:val="20"/>
              </w:rPr>
            </w:pPr>
            <w:r w:rsidRPr="00EB215B">
              <w:rPr>
                <w:sz w:val="20"/>
                <w:szCs w:val="20"/>
              </w:rPr>
              <w:t>Adaptive tracking</w:t>
            </w:r>
          </w:p>
          <w:p w:rsidR="00D83751" w:rsidRPr="00EB215B" w:rsidRDefault="00D83751" w:rsidP="00EB215B">
            <w:pPr>
              <w:rPr>
                <w:sz w:val="20"/>
                <w:szCs w:val="20"/>
              </w:rPr>
            </w:pPr>
            <w:r w:rsidRPr="00EB215B">
              <w:rPr>
                <w:sz w:val="20"/>
                <w:szCs w:val="20"/>
              </w:rPr>
              <w:t>Effect on Number Pairs task</w:t>
            </w:r>
          </w:p>
          <w:p w:rsidR="00D83751" w:rsidRPr="00EB215B" w:rsidRDefault="00D83751" w:rsidP="00EB215B">
            <w:pPr>
              <w:rPr>
                <w:sz w:val="20"/>
                <w:szCs w:val="20"/>
              </w:rPr>
            </w:pPr>
            <w:r w:rsidRPr="00EB215B">
              <w:rPr>
                <w:sz w:val="20"/>
                <w:szCs w:val="20"/>
              </w:rPr>
              <w:t>Effect on Choice Reaction Time</w:t>
            </w:r>
          </w:p>
          <w:p w:rsidR="00D83751" w:rsidRPr="00EB215B" w:rsidRDefault="00D83751" w:rsidP="00EB215B">
            <w:pPr>
              <w:rPr>
                <w:sz w:val="20"/>
                <w:szCs w:val="20"/>
              </w:rPr>
            </w:pPr>
            <w:r w:rsidRPr="00EB215B">
              <w:rPr>
                <w:sz w:val="20"/>
                <w:szCs w:val="20"/>
              </w:rPr>
              <w:t>Effect on Tapping Test</w:t>
            </w:r>
          </w:p>
          <w:p w:rsidR="00D83751" w:rsidRPr="00EB215B" w:rsidRDefault="00D83751" w:rsidP="00EB215B">
            <w:pPr>
              <w:rPr>
                <w:sz w:val="20"/>
                <w:szCs w:val="20"/>
              </w:rPr>
            </w:pPr>
            <w:r w:rsidRPr="00EB215B">
              <w:rPr>
                <w:sz w:val="20"/>
                <w:szCs w:val="20"/>
              </w:rPr>
              <w:t>Effect on ARCI 49</w:t>
            </w: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 xml:space="preserve">Effect on Bond and </w:t>
            </w:r>
            <w:proofErr w:type="spellStart"/>
            <w:r w:rsidRPr="00EB215B">
              <w:rPr>
                <w:sz w:val="20"/>
                <w:szCs w:val="20"/>
              </w:rPr>
              <w:t>Lader’s</w:t>
            </w:r>
            <w:proofErr w:type="spellEnd"/>
            <w:r w:rsidRPr="00EB215B">
              <w:rPr>
                <w:sz w:val="20"/>
                <w:szCs w:val="20"/>
              </w:rPr>
              <w:t xml:space="preserve"> VAS</w:t>
            </w: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Effect on Pharmacodynamic EEG</w:t>
            </w:r>
          </w:p>
          <w:p w:rsidR="00D83751" w:rsidRPr="00EB215B" w:rsidRDefault="00D83751" w:rsidP="00EB215B">
            <w:pPr>
              <w:rPr>
                <w:sz w:val="20"/>
                <w:szCs w:val="20"/>
              </w:rPr>
            </w:pPr>
            <w:r w:rsidRPr="00EB215B">
              <w:rPr>
                <w:sz w:val="20"/>
                <w:szCs w:val="20"/>
              </w:rPr>
              <w:t>Effect on Neurological Assessments</w:t>
            </w: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Visual verbal learning test</w:t>
            </w:r>
          </w:p>
          <w:p w:rsidR="00D83751" w:rsidRPr="00EB215B" w:rsidRDefault="00D83751" w:rsidP="00EB215B">
            <w:pPr>
              <w:rPr>
                <w:sz w:val="20"/>
                <w:szCs w:val="20"/>
              </w:rPr>
            </w:pPr>
            <w:r w:rsidRPr="00EB215B">
              <w:rPr>
                <w:sz w:val="20"/>
                <w:szCs w:val="20"/>
              </w:rPr>
              <w:t>Essential tremor</w:t>
            </w:r>
          </w:p>
          <w:p w:rsidR="00D83751" w:rsidRPr="00EB215B" w:rsidRDefault="00D83751" w:rsidP="00EB215B">
            <w:pPr>
              <w:rPr>
                <w:sz w:val="20"/>
                <w:szCs w:val="20"/>
              </w:rPr>
            </w:pPr>
            <w:r w:rsidRPr="00EB215B">
              <w:rPr>
                <w:sz w:val="20"/>
                <w:szCs w:val="20"/>
              </w:rPr>
              <w:t>Post-herpetic neuralgia</w:t>
            </w:r>
          </w:p>
          <w:p w:rsidR="00D83751" w:rsidRPr="00EB215B" w:rsidRDefault="00D83751" w:rsidP="00EB215B">
            <w:pPr>
              <w:rPr>
                <w:sz w:val="20"/>
                <w:szCs w:val="20"/>
              </w:rPr>
            </w:pPr>
            <w:r w:rsidRPr="00EB215B">
              <w:rPr>
                <w:sz w:val="20"/>
                <w:szCs w:val="20"/>
              </w:rPr>
              <w:t>Myoclonus of ULD</w:t>
            </w:r>
          </w:p>
          <w:p w:rsidR="00D83751" w:rsidRPr="00EB215B" w:rsidRDefault="00D83751" w:rsidP="00EB215B">
            <w:pPr>
              <w:rPr>
                <w:sz w:val="20"/>
                <w:szCs w:val="20"/>
              </w:rPr>
            </w:pPr>
            <w:r w:rsidRPr="00EB215B">
              <w:rPr>
                <w:sz w:val="20"/>
                <w:szCs w:val="20"/>
              </w:rPr>
              <w:t>Myoclonus of ULD</w:t>
            </w:r>
          </w:p>
        </w:tc>
        <w:tc>
          <w:tcPr>
            <w:tcW w:w="1701" w:type="dxa"/>
          </w:tcPr>
          <w:p w:rsidR="00D83751" w:rsidRPr="00EB215B" w:rsidRDefault="00D83751" w:rsidP="00EB215B">
            <w:pPr>
              <w:rPr>
                <w:sz w:val="20"/>
                <w:szCs w:val="20"/>
              </w:rPr>
            </w:pPr>
            <w:r w:rsidRPr="00EB215B">
              <w:rPr>
                <w:sz w:val="20"/>
                <w:szCs w:val="20"/>
              </w:rPr>
              <w:t>EP0041</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EP0041</w:t>
            </w:r>
          </w:p>
          <w:p w:rsidR="00D83751" w:rsidRPr="00EB215B" w:rsidRDefault="00D83751" w:rsidP="00EB215B">
            <w:pPr>
              <w:rPr>
                <w:sz w:val="20"/>
                <w:szCs w:val="20"/>
              </w:rPr>
            </w:pPr>
            <w:r w:rsidRPr="00EB215B">
              <w:rPr>
                <w:sz w:val="20"/>
                <w:szCs w:val="20"/>
              </w:rPr>
              <w:t>N01066</w:t>
            </w:r>
          </w:p>
          <w:p w:rsidR="00D83751" w:rsidRPr="00EB215B" w:rsidRDefault="00D83751" w:rsidP="00EB215B">
            <w:pPr>
              <w:rPr>
                <w:sz w:val="20"/>
                <w:szCs w:val="20"/>
              </w:rPr>
            </w:pPr>
            <w:r w:rsidRPr="00EB215B">
              <w:rPr>
                <w:sz w:val="20"/>
                <w:szCs w:val="20"/>
              </w:rPr>
              <w:t>N01066</w:t>
            </w:r>
          </w:p>
          <w:p w:rsidR="00D83751" w:rsidRPr="00EB215B" w:rsidRDefault="00D83751" w:rsidP="00EB215B">
            <w:pPr>
              <w:rPr>
                <w:sz w:val="20"/>
                <w:szCs w:val="20"/>
              </w:rPr>
            </w:pPr>
            <w:r w:rsidRPr="00EB215B">
              <w:rPr>
                <w:sz w:val="20"/>
                <w:szCs w:val="20"/>
              </w:rPr>
              <w:t>N01079</w:t>
            </w:r>
          </w:p>
          <w:p w:rsidR="00D83751" w:rsidRPr="00EB215B" w:rsidRDefault="00D83751" w:rsidP="00EB215B">
            <w:pPr>
              <w:rPr>
                <w:sz w:val="20"/>
                <w:szCs w:val="20"/>
              </w:rPr>
            </w:pPr>
            <w:r w:rsidRPr="00EB215B">
              <w:rPr>
                <w:sz w:val="20"/>
                <w:szCs w:val="20"/>
              </w:rPr>
              <w:t>N01066</w:t>
            </w:r>
          </w:p>
          <w:p w:rsidR="00D83751" w:rsidRPr="00EB215B" w:rsidRDefault="00D83751" w:rsidP="00EB215B">
            <w:pPr>
              <w:rPr>
                <w:sz w:val="20"/>
                <w:szCs w:val="20"/>
              </w:rPr>
            </w:pPr>
            <w:r w:rsidRPr="00EB215B">
              <w:rPr>
                <w:sz w:val="20"/>
                <w:szCs w:val="20"/>
              </w:rPr>
              <w:t>N01066</w:t>
            </w:r>
          </w:p>
          <w:p w:rsidR="00D83751" w:rsidRPr="00EB215B" w:rsidRDefault="00D83751" w:rsidP="00EB215B">
            <w:pPr>
              <w:rPr>
                <w:sz w:val="20"/>
                <w:szCs w:val="20"/>
              </w:rPr>
            </w:pPr>
            <w:r w:rsidRPr="00EB215B">
              <w:rPr>
                <w:sz w:val="20"/>
                <w:szCs w:val="20"/>
              </w:rPr>
              <w:t>N01069</w:t>
            </w:r>
          </w:p>
          <w:p w:rsidR="00D83751" w:rsidRPr="00EB215B" w:rsidRDefault="00D83751" w:rsidP="00EB215B">
            <w:pPr>
              <w:rPr>
                <w:sz w:val="20"/>
                <w:szCs w:val="20"/>
              </w:rPr>
            </w:pPr>
            <w:r w:rsidRPr="00EB215B">
              <w:rPr>
                <w:sz w:val="20"/>
                <w:szCs w:val="20"/>
              </w:rPr>
              <w:t>N01118</w:t>
            </w:r>
          </w:p>
          <w:p w:rsidR="00D83751" w:rsidRPr="00EB215B" w:rsidRDefault="00D83751" w:rsidP="00EB215B">
            <w:pPr>
              <w:rPr>
                <w:sz w:val="20"/>
                <w:szCs w:val="20"/>
              </w:rPr>
            </w:pPr>
            <w:r w:rsidRPr="00EB215B">
              <w:rPr>
                <w:sz w:val="20"/>
                <w:szCs w:val="20"/>
              </w:rPr>
              <w:t>N01079</w:t>
            </w:r>
          </w:p>
          <w:p w:rsidR="00D83751" w:rsidRPr="00EB215B" w:rsidRDefault="00D83751" w:rsidP="00EB215B">
            <w:pPr>
              <w:rPr>
                <w:sz w:val="20"/>
                <w:szCs w:val="20"/>
              </w:rPr>
            </w:pPr>
            <w:r w:rsidRPr="00EB215B">
              <w:rPr>
                <w:sz w:val="20"/>
                <w:szCs w:val="20"/>
              </w:rPr>
              <w:t>N01295</w:t>
            </w:r>
          </w:p>
          <w:p w:rsidR="00D83751" w:rsidRPr="00EB215B" w:rsidRDefault="00D83751" w:rsidP="00EB215B">
            <w:pPr>
              <w:rPr>
                <w:sz w:val="20"/>
                <w:szCs w:val="20"/>
              </w:rPr>
            </w:pPr>
            <w:r w:rsidRPr="00EB215B">
              <w:rPr>
                <w:sz w:val="20"/>
                <w:szCs w:val="20"/>
              </w:rPr>
              <w:t>N01066</w:t>
            </w:r>
          </w:p>
          <w:p w:rsidR="00D83751" w:rsidRPr="00EB215B" w:rsidRDefault="00D83751" w:rsidP="00EB215B">
            <w:pPr>
              <w:rPr>
                <w:sz w:val="20"/>
                <w:szCs w:val="20"/>
              </w:rPr>
            </w:pPr>
            <w:r w:rsidRPr="00EB215B">
              <w:rPr>
                <w:sz w:val="20"/>
                <w:szCs w:val="20"/>
              </w:rPr>
              <w:t>N01067</w:t>
            </w:r>
          </w:p>
          <w:p w:rsidR="00D83751" w:rsidRPr="00EB215B" w:rsidRDefault="00D83751" w:rsidP="00EB215B">
            <w:pPr>
              <w:rPr>
                <w:sz w:val="20"/>
                <w:szCs w:val="20"/>
              </w:rPr>
            </w:pPr>
            <w:r w:rsidRPr="00EB215B">
              <w:rPr>
                <w:sz w:val="20"/>
                <w:szCs w:val="20"/>
              </w:rPr>
              <w:t>N01118</w:t>
            </w:r>
          </w:p>
          <w:p w:rsidR="00D83751" w:rsidRPr="00EB215B" w:rsidRDefault="00D83751" w:rsidP="00EB215B">
            <w:pPr>
              <w:rPr>
                <w:sz w:val="20"/>
                <w:szCs w:val="20"/>
              </w:rPr>
            </w:pPr>
            <w:r w:rsidRPr="00EB215B">
              <w:rPr>
                <w:sz w:val="20"/>
                <w:szCs w:val="20"/>
              </w:rPr>
              <w:t>EP0041</w:t>
            </w:r>
          </w:p>
          <w:p w:rsidR="00D83751" w:rsidRPr="00EB215B" w:rsidRDefault="00D83751" w:rsidP="00EB215B">
            <w:pPr>
              <w:rPr>
                <w:sz w:val="20"/>
                <w:szCs w:val="20"/>
              </w:rPr>
            </w:pPr>
            <w:r w:rsidRPr="00EB215B">
              <w:rPr>
                <w:sz w:val="20"/>
                <w:szCs w:val="20"/>
              </w:rPr>
              <w:t>N01079</w:t>
            </w:r>
          </w:p>
          <w:p w:rsidR="00D83751" w:rsidRPr="00EB215B" w:rsidRDefault="00D83751" w:rsidP="00EB215B">
            <w:pPr>
              <w:rPr>
                <w:sz w:val="20"/>
                <w:szCs w:val="20"/>
              </w:rPr>
            </w:pPr>
            <w:r w:rsidRPr="00EB215B">
              <w:rPr>
                <w:sz w:val="20"/>
                <w:szCs w:val="20"/>
              </w:rPr>
              <w:t>N01066</w:t>
            </w:r>
          </w:p>
          <w:p w:rsidR="00D83751" w:rsidRPr="00EB215B" w:rsidRDefault="00D83751" w:rsidP="00EB215B">
            <w:pPr>
              <w:rPr>
                <w:sz w:val="20"/>
                <w:szCs w:val="20"/>
              </w:rPr>
            </w:pPr>
            <w:r w:rsidRPr="00EB215B">
              <w:rPr>
                <w:sz w:val="20"/>
                <w:szCs w:val="20"/>
              </w:rPr>
              <w:t>N01295</w:t>
            </w:r>
          </w:p>
          <w:p w:rsidR="00D83751" w:rsidRPr="00EB215B" w:rsidRDefault="00D83751" w:rsidP="00EB215B">
            <w:pPr>
              <w:rPr>
                <w:sz w:val="20"/>
                <w:szCs w:val="20"/>
              </w:rPr>
            </w:pPr>
            <w:r w:rsidRPr="00EB215B">
              <w:rPr>
                <w:sz w:val="20"/>
                <w:szCs w:val="20"/>
              </w:rPr>
              <w:t>N01069 §</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N01067</w:t>
            </w:r>
          </w:p>
          <w:p w:rsidR="00D83751" w:rsidRPr="00EB215B" w:rsidRDefault="00D83751" w:rsidP="00EB215B">
            <w:pPr>
              <w:rPr>
                <w:sz w:val="20"/>
                <w:szCs w:val="20"/>
              </w:rPr>
            </w:pPr>
            <w:r w:rsidRPr="00EB215B">
              <w:rPr>
                <w:sz w:val="20"/>
                <w:szCs w:val="20"/>
              </w:rPr>
              <w:t>N01118</w:t>
            </w:r>
          </w:p>
          <w:p w:rsidR="00D83751" w:rsidRPr="00EB215B" w:rsidRDefault="00D83751" w:rsidP="00EB215B">
            <w:pPr>
              <w:rPr>
                <w:sz w:val="20"/>
                <w:szCs w:val="20"/>
              </w:rPr>
            </w:pPr>
            <w:r w:rsidRPr="00EB215B">
              <w:rPr>
                <w:sz w:val="20"/>
                <w:szCs w:val="20"/>
              </w:rPr>
              <w:t>EP0041</w:t>
            </w:r>
          </w:p>
          <w:p w:rsidR="00D83751" w:rsidRPr="00EB215B" w:rsidRDefault="00D83751" w:rsidP="00EB215B">
            <w:pPr>
              <w:rPr>
                <w:sz w:val="20"/>
                <w:szCs w:val="20"/>
              </w:rPr>
            </w:pPr>
            <w:r w:rsidRPr="00EB215B">
              <w:rPr>
                <w:sz w:val="20"/>
                <w:szCs w:val="20"/>
              </w:rPr>
              <w:t>EP0041</w:t>
            </w:r>
          </w:p>
          <w:p w:rsidR="00D83751" w:rsidRPr="00EB215B" w:rsidRDefault="00D83751" w:rsidP="00EB215B">
            <w:pPr>
              <w:rPr>
                <w:sz w:val="20"/>
                <w:szCs w:val="20"/>
              </w:rPr>
            </w:pPr>
            <w:r w:rsidRPr="00EB215B">
              <w:rPr>
                <w:sz w:val="20"/>
                <w:szCs w:val="20"/>
              </w:rPr>
              <w:t>N01129</w:t>
            </w:r>
          </w:p>
          <w:p w:rsidR="00D83751" w:rsidRPr="00EB215B" w:rsidRDefault="00D83751" w:rsidP="00EB215B">
            <w:pPr>
              <w:rPr>
                <w:sz w:val="20"/>
                <w:szCs w:val="20"/>
              </w:rPr>
            </w:pPr>
            <w:r w:rsidRPr="00EB215B">
              <w:rPr>
                <w:sz w:val="20"/>
                <w:szCs w:val="20"/>
              </w:rPr>
              <w:t>N01162</w:t>
            </w:r>
          </w:p>
          <w:p w:rsidR="00D83751" w:rsidRPr="00EB215B" w:rsidRDefault="00D83751" w:rsidP="00EB215B">
            <w:pPr>
              <w:rPr>
                <w:sz w:val="20"/>
                <w:szCs w:val="20"/>
              </w:rPr>
            </w:pPr>
            <w:r w:rsidRPr="00EB215B">
              <w:rPr>
                <w:sz w:val="20"/>
                <w:szCs w:val="20"/>
              </w:rPr>
              <w:t>N01187</w:t>
            </w:r>
          </w:p>
          <w:p w:rsidR="00D83751" w:rsidRPr="00EB215B" w:rsidRDefault="00D83751" w:rsidP="00EB215B">
            <w:pPr>
              <w:rPr>
                <w:sz w:val="20"/>
                <w:szCs w:val="20"/>
              </w:rPr>
            </w:pPr>
            <w:r w:rsidRPr="00EB215B">
              <w:rPr>
                <w:sz w:val="20"/>
                <w:szCs w:val="20"/>
              </w:rPr>
              <w:t>N01236</w:t>
            </w:r>
          </w:p>
        </w:tc>
        <w:tc>
          <w:tcPr>
            <w:tcW w:w="2268" w:type="dxa"/>
          </w:tcPr>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p>
          <w:p w:rsidR="00D83751" w:rsidRPr="00EB215B" w:rsidRDefault="00D83751" w:rsidP="00EB215B">
            <w:pPr>
              <w:rPr>
                <w:sz w:val="20"/>
                <w:szCs w:val="20"/>
              </w:rPr>
            </w:pP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p w:rsidR="00D83751" w:rsidRPr="00EB215B" w:rsidRDefault="00D83751" w:rsidP="00EB215B">
            <w:pPr>
              <w:rPr>
                <w:sz w:val="20"/>
                <w:szCs w:val="20"/>
              </w:rPr>
            </w:pPr>
            <w:r w:rsidRPr="00EB215B">
              <w:rPr>
                <w:sz w:val="20"/>
                <w:szCs w:val="20"/>
              </w:rPr>
              <w:t>*</w:t>
            </w:r>
          </w:p>
        </w:tc>
      </w:tr>
      <w:tr w:rsidR="00D83751" w:rsidRPr="00EB215B" w:rsidTr="00D83751">
        <w:tc>
          <w:tcPr>
            <w:tcW w:w="1809" w:type="dxa"/>
            <w:vMerge w:val="restart"/>
          </w:tcPr>
          <w:p w:rsidR="00D83751" w:rsidRPr="00EB215B" w:rsidRDefault="00D83751" w:rsidP="00EB215B">
            <w:pPr>
              <w:rPr>
                <w:sz w:val="20"/>
                <w:szCs w:val="20"/>
              </w:rPr>
            </w:pPr>
            <w:r w:rsidRPr="00EB215B">
              <w:rPr>
                <w:sz w:val="20"/>
                <w:szCs w:val="20"/>
              </w:rPr>
              <w:t>PD Interactions</w:t>
            </w:r>
          </w:p>
        </w:tc>
        <w:tc>
          <w:tcPr>
            <w:tcW w:w="2694" w:type="dxa"/>
          </w:tcPr>
          <w:p w:rsidR="00D83751" w:rsidRPr="00EB215B" w:rsidRDefault="00D83751" w:rsidP="00EB215B">
            <w:pPr>
              <w:rPr>
                <w:sz w:val="20"/>
                <w:szCs w:val="20"/>
              </w:rPr>
            </w:pPr>
            <w:proofErr w:type="spellStart"/>
            <w:r w:rsidRPr="00EB215B">
              <w:rPr>
                <w:sz w:val="20"/>
                <w:szCs w:val="20"/>
              </w:rPr>
              <w:t>levetiracetam</w:t>
            </w:r>
            <w:proofErr w:type="spellEnd"/>
          </w:p>
        </w:tc>
        <w:tc>
          <w:tcPr>
            <w:tcW w:w="1701" w:type="dxa"/>
          </w:tcPr>
          <w:p w:rsidR="00D83751" w:rsidRPr="00EB215B" w:rsidRDefault="00D83751" w:rsidP="00EB215B">
            <w:pPr>
              <w:rPr>
                <w:sz w:val="20"/>
                <w:szCs w:val="20"/>
              </w:rPr>
            </w:pPr>
            <w:r w:rsidRPr="00EB215B">
              <w:rPr>
                <w:sz w:val="20"/>
                <w:szCs w:val="20"/>
              </w:rPr>
              <w:t>CL0027 §</w:t>
            </w:r>
          </w:p>
        </w:tc>
        <w:tc>
          <w:tcPr>
            <w:tcW w:w="2268" w:type="dxa"/>
          </w:tcPr>
          <w:p w:rsidR="00D83751" w:rsidRPr="00EB215B" w:rsidRDefault="00D83751" w:rsidP="00EB215B">
            <w:pPr>
              <w:rPr>
                <w:sz w:val="20"/>
                <w:szCs w:val="20"/>
              </w:rPr>
            </w:pPr>
          </w:p>
        </w:tc>
      </w:tr>
      <w:tr w:rsidR="00D83751" w:rsidRPr="00EB215B" w:rsidTr="00D83751">
        <w:tc>
          <w:tcPr>
            <w:tcW w:w="1809" w:type="dxa"/>
            <w:vMerge/>
          </w:tcPr>
          <w:p w:rsidR="00D83751" w:rsidRPr="00EB215B" w:rsidRDefault="00D83751" w:rsidP="00EB215B">
            <w:pPr>
              <w:rPr>
                <w:sz w:val="20"/>
                <w:szCs w:val="20"/>
              </w:rPr>
            </w:pPr>
          </w:p>
        </w:tc>
        <w:tc>
          <w:tcPr>
            <w:tcW w:w="2694" w:type="dxa"/>
          </w:tcPr>
          <w:p w:rsidR="00D83751" w:rsidRPr="00EB215B" w:rsidRDefault="00D83751" w:rsidP="00EB215B">
            <w:pPr>
              <w:rPr>
                <w:sz w:val="20"/>
                <w:szCs w:val="20"/>
              </w:rPr>
            </w:pPr>
            <w:r w:rsidRPr="00EB215B">
              <w:rPr>
                <w:sz w:val="20"/>
                <w:szCs w:val="20"/>
              </w:rPr>
              <w:t>ethanol</w:t>
            </w:r>
          </w:p>
        </w:tc>
        <w:tc>
          <w:tcPr>
            <w:tcW w:w="1701" w:type="dxa"/>
          </w:tcPr>
          <w:p w:rsidR="00D83751" w:rsidRPr="00EB215B" w:rsidRDefault="00D83751" w:rsidP="00EB215B">
            <w:pPr>
              <w:rPr>
                <w:sz w:val="20"/>
                <w:szCs w:val="20"/>
              </w:rPr>
            </w:pPr>
            <w:r w:rsidRPr="00EB215B">
              <w:rPr>
                <w:sz w:val="20"/>
                <w:szCs w:val="20"/>
              </w:rPr>
              <w:t>EP0041</w:t>
            </w:r>
          </w:p>
        </w:tc>
        <w:tc>
          <w:tcPr>
            <w:tcW w:w="2268" w:type="dxa"/>
          </w:tcPr>
          <w:p w:rsidR="00D83751" w:rsidRPr="00EB215B" w:rsidRDefault="00D83751" w:rsidP="00EB215B">
            <w:pPr>
              <w:rPr>
                <w:sz w:val="20"/>
                <w:szCs w:val="20"/>
              </w:rPr>
            </w:pPr>
          </w:p>
        </w:tc>
      </w:tr>
      <w:tr w:rsidR="00D83751" w:rsidRPr="00EB215B" w:rsidTr="00D83751">
        <w:tc>
          <w:tcPr>
            <w:tcW w:w="1809" w:type="dxa"/>
            <w:vMerge w:val="restart"/>
          </w:tcPr>
          <w:p w:rsidR="00D83751" w:rsidRPr="00EB215B" w:rsidRDefault="00D83751" w:rsidP="00EB215B">
            <w:pPr>
              <w:rPr>
                <w:sz w:val="20"/>
                <w:szCs w:val="20"/>
              </w:rPr>
            </w:pPr>
            <w:r w:rsidRPr="00EB215B">
              <w:rPr>
                <w:sz w:val="20"/>
                <w:szCs w:val="20"/>
              </w:rPr>
              <w:t>Population PD and PK-PD analyses</w:t>
            </w:r>
          </w:p>
        </w:tc>
        <w:tc>
          <w:tcPr>
            <w:tcW w:w="2694" w:type="dxa"/>
          </w:tcPr>
          <w:p w:rsidR="00D83751" w:rsidRPr="00EB215B" w:rsidRDefault="00D83751" w:rsidP="00EB215B">
            <w:pPr>
              <w:rPr>
                <w:sz w:val="20"/>
                <w:szCs w:val="20"/>
              </w:rPr>
            </w:pPr>
            <w:r w:rsidRPr="00EB215B">
              <w:rPr>
                <w:sz w:val="20"/>
                <w:szCs w:val="20"/>
              </w:rPr>
              <w:t>Healthy subjects</w:t>
            </w:r>
          </w:p>
        </w:tc>
        <w:tc>
          <w:tcPr>
            <w:tcW w:w="1701" w:type="dxa"/>
          </w:tcPr>
          <w:p w:rsidR="00D83751" w:rsidRPr="00EB215B" w:rsidRDefault="00D83751" w:rsidP="00EB215B">
            <w:pPr>
              <w:rPr>
                <w:sz w:val="20"/>
                <w:szCs w:val="20"/>
              </w:rPr>
            </w:pPr>
          </w:p>
        </w:tc>
        <w:tc>
          <w:tcPr>
            <w:tcW w:w="2268" w:type="dxa"/>
          </w:tcPr>
          <w:p w:rsidR="00D83751" w:rsidRPr="00EB215B" w:rsidRDefault="00D83751" w:rsidP="00EB215B">
            <w:pPr>
              <w:rPr>
                <w:sz w:val="20"/>
                <w:szCs w:val="20"/>
              </w:rPr>
            </w:pPr>
          </w:p>
        </w:tc>
      </w:tr>
      <w:tr w:rsidR="00D83751" w:rsidRPr="00EB215B" w:rsidTr="00D83751">
        <w:tc>
          <w:tcPr>
            <w:tcW w:w="1809" w:type="dxa"/>
            <w:vMerge/>
          </w:tcPr>
          <w:p w:rsidR="00D83751" w:rsidRPr="00EB215B" w:rsidRDefault="00D83751" w:rsidP="00EB215B">
            <w:pPr>
              <w:rPr>
                <w:sz w:val="20"/>
                <w:szCs w:val="20"/>
              </w:rPr>
            </w:pPr>
          </w:p>
        </w:tc>
        <w:tc>
          <w:tcPr>
            <w:tcW w:w="2694" w:type="dxa"/>
          </w:tcPr>
          <w:p w:rsidR="00D83751" w:rsidRPr="00EB215B" w:rsidRDefault="00D83751" w:rsidP="00EB215B">
            <w:pPr>
              <w:rPr>
                <w:sz w:val="20"/>
                <w:szCs w:val="20"/>
              </w:rPr>
            </w:pPr>
            <w:r w:rsidRPr="00EB215B">
              <w:rPr>
                <w:sz w:val="20"/>
                <w:szCs w:val="20"/>
              </w:rPr>
              <w:t>Target population</w:t>
            </w:r>
          </w:p>
        </w:tc>
        <w:tc>
          <w:tcPr>
            <w:tcW w:w="1701" w:type="dxa"/>
          </w:tcPr>
          <w:p w:rsidR="00D83751" w:rsidRPr="00EB215B" w:rsidRDefault="00D83751" w:rsidP="00EB215B">
            <w:pPr>
              <w:rPr>
                <w:sz w:val="20"/>
                <w:szCs w:val="20"/>
              </w:rPr>
            </w:pPr>
            <w:r w:rsidRPr="00EB215B">
              <w:rPr>
                <w:sz w:val="20"/>
                <w:szCs w:val="20"/>
              </w:rPr>
              <w:t>CL0027</w:t>
            </w:r>
          </w:p>
        </w:tc>
        <w:tc>
          <w:tcPr>
            <w:tcW w:w="2268" w:type="dxa"/>
          </w:tcPr>
          <w:p w:rsidR="00D83751" w:rsidRPr="00EB215B" w:rsidRDefault="00D83751" w:rsidP="00EB215B">
            <w:pPr>
              <w:rPr>
                <w:sz w:val="20"/>
                <w:szCs w:val="20"/>
              </w:rPr>
            </w:pPr>
            <w:r w:rsidRPr="00EB215B">
              <w:rPr>
                <w:sz w:val="20"/>
                <w:szCs w:val="20"/>
              </w:rPr>
              <w:t>*</w:t>
            </w:r>
          </w:p>
        </w:tc>
      </w:tr>
    </w:tbl>
    <w:p w:rsidR="000F3955" w:rsidRDefault="000F3955" w:rsidP="00D83751">
      <w:pPr>
        <w:pStyle w:val="TableDescription"/>
      </w:pPr>
      <w:r>
        <w:t>* Indicates the primary aim of the study.</w:t>
      </w:r>
    </w:p>
    <w:p w:rsidR="000F3955" w:rsidRDefault="000F3955" w:rsidP="00D83751">
      <w:pPr>
        <w:pStyle w:val="TableDescription"/>
        <w:rPr>
          <w:szCs w:val="20"/>
        </w:rPr>
      </w:pPr>
      <w:r w:rsidRPr="00BF3808">
        <w:t>§</w:t>
      </w:r>
      <w:r>
        <w:rPr>
          <w:szCs w:val="20"/>
        </w:rPr>
        <w:t xml:space="preserve"> Subjects who would be eligible to receive the drug if approved for the proposed indication.</w:t>
      </w:r>
    </w:p>
    <w:p w:rsidR="00B25D9D" w:rsidRDefault="000F3955" w:rsidP="00B25D9D">
      <w:pPr>
        <w:pStyle w:val="TableDescription"/>
        <w:rPr>
          <w:szCs w:val="20"/>
        </w:rPr>
      </w:pPr>
      <w:r w:rsidRPr="00AF6927">
        <w:t>‡</w:t>
      </w:r>
      <w:r>
        <w:rPr>
          <w:szCs w:val="20"/>
        </w:rPr>
        <w:t xml:space="preserve"> And adolescents if applicable.</w:t>
      </w:r>
    </w:p>
    <w:p w:rsidR="000F3955" w:rsidRDefault="00B25D9D" w:rsidP="00B25D9D">
      <w:r>
        <w:lastRenderedPageBreak/>
        <w:t>Table 21</w:t>
      </w:r>
      <w:r w:rsidR="000F3955" w:rsidRPr="00B25D9D">
        <w:t xml:space="preserve"> lists pharmacodynamic results that were excluded from consideratio</w:t>
      </w:r>
      <w:r w:rsidR="008607FF">
        <w:t>n due to study deficiencies.</w:t>
      </w:r>
    </w:p>
    <w:p w:rsidR="008607FF" w:rsidRDefault="008607FF" w:rsidP="008607FF">
      <w:pPr>
        <w:pStyle w:val="TableTitle"/>
      </w:pPr>
      <w:r>
        <w:t xml:space="preserve">Table 21: </w:t>
      </w:r>
      <w:r w:rsidRPr="008607FF">
        <w:t>Pharmacodynamic results excluded from consideration</w:t>
      </w:r>
      <w:r>
        <w:t>.</w:t>
      </w:r>
    </w:p>
    <w:tbl>
      <w:tblPr>
        <w:tblStyle w:val="TableTGAblue"/>
        <w:tblW w:w="8613" w:type="dxa"/>
        <w:tblLayout w:type="fixed"/>
        <w:tblLook w:val="04A0" w:firstRow="1" w:lastRow="0" w:firstColumn="1" w:lastColumn="0" w:noHBand="0" w:noVBand="1"/>
      </w:tblPr>
      <w:tblGrid>
        <w:gridCol w:w="1242"/>
        <w:gridCol w:w="5529"/>
        <w:gridCol w:w="1842"/>
      </w:tblGrid>
      <w:tr w:rsidR="008607FF" w:rsidRPr="00EB215B" w:rsidTr="008607FF">
        <w:trPr>
          <w:cnfStyle w:val="100000000000" w:firstRow="1" w:lastRow="0" w:firstColumn="0" w:lastColumn="0" w:oddVBand="0" w:evenVBand="0" w:oddHBand="0" w:evenHBand="0" w:firstRowFirstColumn="0" w:firstRowLastColumn="0" w:lastRowFirstColumn="0" w:lastRowLastColumn="0"/>
        </w:trPr>
        <w:tc>
          <w:tcPr>
            <w:tcW w:w="1242" w:type="dxa"/>
          </w:tcPr>
          <w:p w:rsidR="008607FF" w:rsidRPr="00EB215B" w:rsidRDefault="008607FF" w:rsidP="00EB215B">
            <w:pPr>
              <w:ind w:left="0"/>
              <w:rPr>
                <w:b w:val="0"/>
                <w:sz w:val="20"/>
                <w:szCs w:val="20"/>
              </w:rPr>
            </w:pPr>
            <w:r w:rsidRPr="00EB215B">
              <w:rPr>
                <w:sz w:val="20"/>
                <w:szCs w:val="20"/>
              </w:rPr>
              <w:t>Study ID</w:t>
            </w:r>
          </w:p>
        </w:tc>
        <w:tc>
          <w:tcPr>
            <w:tcW w:w="5529" w:type="dxa"/>
          </w:tcPr>
          <w:p w:rsidR="008607FF" w:rsidRPr="00EB215B" w:rsidRDefault="008607FF" w:rsidP="00EB215B">
            <w:pPr>
              <w:rPr>
                <w:b w:val="0"/>
                <w:sz w:val="20"/>
                <w:szCs w:val="20"/>
              </w:rPr>
            </w:pPr>
            <w:r w:rsidRPr="00EB215B">
              <w:rPr>
                <w:sz w:val="20"/>
                <w:szCs w:val="20"/>
              </w:rPr>
              <w:t>Subtopic(s)</w:t>
            </w:r>
          </w:p>
        </w:tc>
        <w:tc>
          <w:tcPr>
            <w:tcW w:w="1842" w:type="dxa"/>
          </w:tcPr>
          <w:p w:rsidR="008607FF" w:rsidRPr="00EB215B" w:rsidRDefault="008607FF" w:rsidP="00EB215B">
            <w:pPr>
              <w:rPr>
                <w:b w:val="0"/>
                <w:sz w:val="20"/>
                <w:szCs w:val="20"/>
              </w:rPr>
            </w:pPr>
            <w:r w:rsidRPr="00EB215B">
              <w:rPr>
                <w:sz w:val="20"/>
                <w:szCs w:val="20"/>
              </w:rPr>
              <w:t>PD results excluded</w:t>
            </w:r>
          </w:p>
        </w:tc>
      </w:tr>
      <w:tr w:rsidR="008607FF" w:rsidRPr="00EB215B" w:rsidTr="008607FF">
        <w:tc>
          <w:tcPr>
            <w:tcW w:w="1242" w:type="dxa"/>
          </w:tcPr>
          <w:p w:rsidR="008607FF" w:rsidRPr="00EB215B" w:rsidRDefault="008607FF" w:rsidP="00EB215B">
            <w:pPr>
              <w:ind w:left="0"/>
              <w:rPr>
                <w:sz w:val="20"/>
                <w:szCs w:val="20"/>
              </w:rPr>
            </w:pPr>
            <w:r w:rsidRPr="00EB215B">
              <w:rPr>
                <w:sz w:val="20"/>
                <w:szCs w:val="20"/>
              </w:rPr>
              <w:t>N01306</w:t>
            </w:r>
          </w:p>
        </w:tc>
        <w:tc>
          <w:tcPr>
            <w:tcW w:w="5529" w:type="dxa"/>
          </w:tcPr>
          <w:p w:rsidR="008607FF" w:rsidRPr="00EB215B" w:rsidRDefault="008607FF" w:rsidP="00EB215B">
            <w:pPr>
              <w:rPr>
                <w:sz w:val="20"/>
                <w:szCs w:val="20"/>
              </w:rPr>
            </w:pPr>
            <w:r w:rsidRPr="00EB215B">
              <w:rPr>
                <w:sz w:val="20"/>
                <w:szCs w:val="20"/>
              </w:rPr>
              <w:t>Conversion to monotherapy</w:t>
            </w:r>
          </w:p>
        </w:tc>
        <w:tc>
          <w:tcPr>
            <w:tcW w:w="1842" w:type="dxa"/>
          </w:tcPr>
          <w:p w:rsidR="008607FF" w:rsidRPr="00EB215B" w:rsidRDefault="008607FF" w:rsidP="00EB215B">
            <w:pPr>
              <w:rPr>
                <w:sz w:val="20"/>
                <w:szCs w:val="20"/>
              </w:rPr>
            </w:pPr>
            <w:r w:rsidRPr="00EB215B">
              <w:rPr>
                <w:sz w:val="20"/>
                <w:szCs w:val="20"/>
              </w:rPr>
              <w:t>Seizure efficacy</w:t>
            </w:r>
          </w:p>
        </w:tc>
      </w:tr>
      <w:tr w:rsidR="008607FF" w:rsidRPr="00EB215B" w:rsidTr="008607FF">
        <w:tc>
          <w:tcPr>
            <w:tcW w:w="1242" w:type="dxa"/>
          </w:tcPr>
          <w:p w:rsidR="008607FF" w:rsidRPr="00EB215B" w:rsidRDefault="008607FF" w:rsidP="00EB215B">
            <w:pPr>
              <w:ind w:left="0"/>
              <w:rPr>
                <w:sz w:val="20"/>
                <w:szCs w:val="20"/>
              </w:rPr>
            </w:pPr>
            <w:r w:rsidRPr="00EB215B">
              <w:rPr>
                <w:sz w:val="20"/>
                <w:szCs w:val="20"/>
              </w:rPr>
              <w:t>N01394</w:t>
            </w:r>
          </w:p>
        </w:tc>
        <w:tc>
          <w:tcPr>
            <w:tcW w:w="5529" w:type="dxa"/>
          </w:tcPr>
          <w:p w:rsidR="008607FF" w:rsidRPr="00EB215B" w:rsidRDefault="008607FF" w:rsidP="00EB215B">
            <w:pPr>
              <w:rPr>
                <w:sz w:val="20"/>
                <w:szCs w:val="20"/>
              </w:rPr>
            </w:pPr>
            <w:r w:rsidRPr="00EB215B">
              <w:rPr>
                <w:sz w:val="20"/>
                <w:szCs w:val="20"/>
              </w:rPr>
              <w:t>NCES</w:t>
            </w:r>
          </w:p>
        </w:tc>
        <w:tc>
          <w:tcPr>
            <w:tcW w:w="1842" w:type="dxa"/>
          </w:tcPr>
          <w:p w:rsidR="008607FF" w:rsidRPr="00EB215B" w:rsidRDefault="008607FF" w:rsidP="00EB215B">
            <w:pPr>
              <w:rPr>
                <w:sz w:val="20"/>
                <w:szCs w:val="20"/>
              </w:rPr>
            </w:pPr>
            <w:r w:rsidRPr="00EB215B">
              <w:rPr>
                <w:sz w:val="20"/>
                <w:szCs w:val="20"/>
              </w:rPr>
              <w:t>Seizure efficacy</w:t>
            </w:r>
          </w:p>
        </w:tc>
      </w:tr>
      <w:tr w:rsidR="008607FF" w:rsidRPr="00EB215B" w:rsidTr="008607FF">
        <w:tc>
          <w:tcPr>
            <w:tcW w:w="1242" w:type="dxa"/>
          </w:tcPr>
          <w:p w:rsidR="008607FF" w:rsidRPr="00EB215B" w:rsidRDefault="008607FF" w:rsidP="00EB215B">
            <w:pPr>
              <w:ind w:left="0"/>
              <w:rPr>
                <w:sz w:val="20"/>
                <w:szCs w:val="20"/>
              </w:rPr>
            </w:pPr>
            <w:r w:rsidRPr="00EB215B">
              <w:rPr>
                <w:sz w:val="20"/>
                <w:szCs w:val="20"/>
              </w:rPr>
              <w:t>N01276</w:t>
            </w:r>
          </w:p>
        </w:tc>
        <w:tc>
          <w:tcPr>
            <w:tcW w:w="5529" w:type="dxa"/>
          </w:tcPr>
          <w:p w:rsidR="008607FF" w:rsidRPr="00EB215B" w:rsidRDefault="008607FF" w:rsidP="00EB215B">
            <w:pPr>
              <w:rPr>
                <w:sz w:val="20"/>
                <w:szCs w:val="20"/>
              </w:rPr>
            </w:pPr>
            <w:r w:rsidRPr="00EB215B">
              <w:rPr>
                <w:sz w:val="20"/>
                <w:szCs w:val="20"/>
              </w:rPr>
              <w:t>Conversion to monotherapy</w:t>
            </w:r>
          </w:p>
        </w:tc>
        <w:tc>
          <w:tcPr>
            <w:tcW w:w="1842" w:type="dxa"/>
          </w:tcPr>
          <w:p w:rsidR="008607FF" w:rsidRPr="00EB215B" w:rsidRDefault="008607FF" w:rsidP="00EB215B">
            <w:pPr>
              <w:rPr>
                <w:sz w:val="20"/>
                <w:szCs w:val="20"/>
              </w:rPr>
            </w:pPr>
            <w:r w:rsidRPr="00EB215B">
              <w:rPr>
                <w:sz w:val="20"/>
                <w:szCs w:val="20"/>
              </w:rPr>
              <w:t>Seizure efficacy</w:t>
            </w:r>
          </w:p>
        </w:tc>
      </w:tr>
      <w:tr w:rsidR="008607FF" w:rsidRPr="00EB215B" w:rsidTr="008607FF">
        <w:tc>
          <w:tcPr>
            <w:tcW w:w="1242" w:type="dxa"/>
          </w:tcPr>
          <w:p w:rsidR="008607FF" w:rsidRPr="00EB215B" w:rsidRDefault="008607FF" w:rsidP="00EB215B">
            <w:pPr>
              <w:ind w:left="0"/>
              <w:rPr>
                <w:sz w:val="20"/>
                <w:szCs w:val="20"/>
              </w:rPr>
            </w:pPr>
            <w:r w:rsidRPr="00EB215B">
              <w:rPr>
                <w:sz w:val="20"/>
                <w:szCs w:val="20"/>
              </w:rPr>
              <w:t>N01266</w:t>
            </w:r>
          </w:p>
        </w:tc>
        <w:tc>
          <w:tcPr>
            <w:tcW w:w="5529" w:type="dxa"/>
          </w:tcPr>
          <w:p w:rsidR="008607FF" w:rsidRPr="00EB215B" w:rsidRDefault="008607FF" w:rsidP="00EB215B">
            <w:pPr>
              <w:rPr>
                <w:sz w:val="20"/>
                <w:szCs w:val="20"/>
              </w:rPr>
            </w:pPr>
            <w:r w:rsidRPr="00EB215B">
              <w:rPr>
                <w:sz w:val="20"/>
                <w:szCs w:val="20"/>
              </w:rPr>
              <w:t>Long term safety and tolerability study in paediatric population</w:t>
            </w:r>
          </w:p>
        </w:tc>
        <w:tc>
          <w:tcPr>
            <w:tcW w:w="1842" w:type="dxa"/>
          </w:tcPr>
          <w:p w:rsidR="008607FF" w:rsidRPr="00EB215B" w:rsidRDefault="008607FF" w:rsidP="00EB215B">
            <w:pPr>
              <w:rPr>
                <w:sz w:val="20"/>
                <w:szCs w:val="20"/>
              </w:rPr>
            </w:pPr>
            <w:r w:rsidRPr="00EB215B">
              <w:rPr>
                <w:sz w:val="20"/>
                <w:szCs w:val="20"/>
              </w:rPr>
              <w:t>Safety data</w:t>
            </w:r>
          </w:p>
        </w:tc>
      </w:tr>
      <w:tr w:rsidR="008607FF" w:rsidRPr="00EB215B" w:rsidTr="008607FF">
        <w:tc>
          <w:tcPr>
            <w:tcW w:w="1242" w:type="dxa"/>
          </w:tcPr>
          <w:p w:rsidR="008607FF" w:rsidRPr="00EB215B" w:rsidRDefault="008607FF" w:rsidP="00EB215B">
            <w:pPr>
              <w:ind w:left="0"/>
              <w:rPr>
                <w:sz w:val="20"/>
                <w:szCs w:val="20"/>
              </w:rPr>
            </w:pPr>
            <w:r w:rsidRPr="00EB215B">
              <w:rPr>
                <w:sz w:val="20"/>
                <w:szCs w:val="20"/>
              </w:rPr>
              <w:t>N01315</w:t>
            </w:r>
          </w:p>
        </w:tc>
        <w:tc>
          <w:tcPr>
            <w:tcW w:w="5529" w:type="dxa"/>
          </w:tcPr>
          <w:p w:rsidR="008607FF" w:rsidRPr="00EB215B" w:rsidRDefault="008607FF" w:rsidP="00EB215B">
            <w:pPr>
              <w:rPr>
                <w:sz w:val="20"/>
                <w:szCs w:val="20"/>
              </w:rPr>
            </w:pPr>
            <w:r w:rsidRPr="00EB215B">
              <w:rPr>
                <w:sz w:val="20"/>
                <w:szCs w:val="20"/>
              </w:rPr>
              <w:t>LTFU study for safety, PK and efficacy</w:t>
            </w:r>
          </w:p>
        </w:tc>
        <w:tc>
          <w:tcPr>
            <w:tcW w:w="1842" w:type="dxa"/>
          </w:tcPr>
          <w:p w:rsidR="008607FF" w:rsidRPr="00EB215B" w:rsidRDefault="008607FF" w:rsidP="00EB215B">
            <w:pPr>
              <w:rPr>
                <w:sz w:val="20"/>
                <w:szCs w:val="20"/>
              </w:rPr>
            </w:pPr>
            <w:r w:rsidRPr="00EB215B">
              <w:rPr>
                <w:sz w:val="20"/>
                <w:szCs w:val="20"/>
              </w:rPr>
              <w:t>Seizure efficacy</w:t>
            </w:r>
          </w:p>
        </w:tc>
      </w:tr>
      <w:tr w:rsidR="008607FF" w:rsidRPr="00EB215B" w:rsidTr="008607FF">
        <w:tc>
          <w:tcPr>
            <w:tcW w:w="1242" w:type="dxa"/>
          </w:tcPr>
          <w:p w:rsidR="008607FF" w:rsidRPr="00EB215B" w:rsidRDefault="008607FF" w:rsidP="00EB215B">
            <w:pPr>
              <w:ind w:left="0"/>
              <w:rPr>
                <w:sz w:val="20"/>
                <w:szCs w:val="20"/>
              </w:rPr>
            </w:pPr>
            <w:r w:rsidRPr="00EB215B">
              <w:rPr>
                <w:sz w:val="20"/>
                <w:szCs w:val="20"/>
              </w:rPr>
              <w:t>N01372</w:t>
            </w:r>
          </w:p>
        </w:tc>
        <w:tc>
          <w:tcPr>
            <w:tcW w:w="5529" w:type="dxa"/>
          </w:tcPr>
          <w:p w:rsidR="008607FF" w:rsidRPr="00EB215B" w:rsidRDefault="008607FF" w:rsidP="00EB215B">
            <w:pPr>
              <w:rPr>
                <w:sz w:val="20"/>
                <w:szCs w:val="20"/>
              </w:rPr>
            </w:pPr>
            <w:r w:rsidRPr="00EB215B">
              <w:rPr>
                <w:sz w:val="20"/>
                <w:szCs w:val="20"/>
              </w:rPr>
              <w:t>LTFU for safety and efficacy</w:t>
            </w:r>
          </w:p>
        </w:tc>
        <w:tc>
          <w:tcPr>
            <w:tcW w:w="1842" w:type="dxa"/>
          </w:tcPr>
          <w:p w:rsidR="008607FF" w:rsidRPr="00EB215B" w:rsidRDefault="008607FF" w:rsidP="00EB215B">
            <w:pPr>
              <w:rPr>
                <w:sz w:val="20"/>
                <w:szCs w:val="20"/>
              </w:rPr>
            </w:pPr>
            <w:r w:rsidRPr="00EB215B">
              <w:rPr>
                <w:sz w:val="20"/>
                <w:szCs w:val="20"/>
              </w:rPr>
              <w:t>Seizure efficacy</w:t>
            </w:r>
          </w:p>
        </w:tc>
      </w:tr>
      <w:tr w:rsidR="008607FF" w:rsidRPr="00EB215B" w:rsidTr="008607FF">
        <w:tc>
          <w:tcPr>
            <w:tcW w:w="1242" w:type="dxa"/>
          </w:tcPr>
          <w:p w:rsidR="008607FF" w:rsidRPr="00EB215B" w:rsidRDefault="008607FF" w:rsidP="00EB215B">
            <w:pPr>
              <w:ind w:left="0"/>
              <w:rPr>
                <w:sz w:val="20"/>
                <w:szCs w:val="20"/>
              </w:rPr>
            </w:pPr>
            <w:r w:rsidRPr="00EB215B">
              <w:rPr>
                <w:sz w:val="20"/>
                <w:szCs w:val="20"/>
              </w:rPr>
              <w:t>N01395</w:t>
            </w:r>
          </w:p>
        </w:tc>
        <w:tc>
          <w:tcPr>
            <w:tcW w:w="5529" w:type="dxa"/>
          </w:tcPr>
          <w:p w:rsidR="008607FF" w:rsidRPr="00EB215B" w:rsidRDefault="008607FF" w:rsidP="00EB215B">
            <w:pPr>
              <w:rPr>
                <w:sz w:val="20"/>
                <w:szCs w:val="20"/>
              </w:rPr>
            </w:pPr>
            <w:r w:rsidRPr="00EB215B">
              <w:rPr>
                <w:sz w:val="20"/>
                <w:szCs w:val="20"/>
              </w:rPr>
              <w:t xml:space="preserve">Open-label study switching from </w:t>
            </w:r>
            <w:proofErr w:type="spellStart"/>
            <w:r w:rsidRPr="00EB215B">
              <w:rPr>
                <w:sz w:val="20"/>
                <w:szCs w:val="20"/>
              </w:rPr>
              <w:t>levetiracetam</w:t>
            </w:r>
            <w:proofErr w:type="spellEnd"/>
            <w:r w:rsidRPr="00EB215B">
              <w:rPr>
                <w:sz w:val="20"/>
                <w:szCs w:val="20"/>
              </w:rPr>
              <w:t xml:space="preserve"> to BRV </w:t>
            </w:r>
          </w:p>
        </w:tc>
        <w:tc>
          <w:tcPr>
            <w:tcW w:w="1842" w:type="dxa"/>
          </w:tcPr>
          <w:p w:rsidR="008607FF" w:rsidRPr="00EB215B" w:rsidRDefault="008607FF" w:rsidP="00EB215B">
            <w:pPr>
              <w:rPr>
                <w:sz w:val="20"/>
                <w:szCs w:val="20"/>
              </w:rPr>
            </w:pPr>
            <w:r w:rsidRPr="00EB215B">
              <w:rPr>
                <w:sz w:val="20"/>
                <w:szCs w:val="20"/>
              </w:rPr>
              <w:t>Tolerability</w:t>
            </w:r>
          </w:p>
        </w:tc>
      </w:tr>
    </w:tbl>
    <w:p w:rsidR="00605AD4" w:rsidRDefault="00605AD4" w:rsidP="00605AD4">
      <w:pPr>
        <w:pStyle w:val="Heading4"/>
      </w:pPr>
      <w:r>
        <w:t>Evaluator’s conclusions on pharmacodynamics</w:t>
      </w:r>
    </w:p>
    <w:p w:rsidR="00376D5E" w:rsidRDefault="008607FF" w:rsidP="008607FF">
      <w:r w:rsidRPr="008607FF">
        <w:t>The pooled data is useful in supporting efficacy of BRV as adjunctive therapy in POS and supported by 3 long</w:t>
      </w:r>
      <w:r w:rsidR="000D0582">
        <w:t xml:space="preserve"> </w:t>
      </w:r>
      <w:r w:rsidRPr="008607FF">
        <w:t>term efficacy and safety studies and dose</w:t>
      </w:r>
      <w:r w:rsidR="000D0582">
        <w:t xml:space="preserve"> </w:t>
      </w:r>
      <w:r w:rsidRPr="008607FF">
        <w:t>responsive analysis</w:t>
      </w:r>
      <w:r w:rsidR="00376D5E">
        <w:t>.</w:t>
      </w:r>
    </w:p>
    <w:p w:rsidR="00376D5E" w:rsidRDefault="008607FF" w:rsidP="008607FF">
      <w:r w:rsidRPr="008607FF">
        <w:t>However, in the evaluator’s opinion, the data to support a dose</w:t>
      </w:r>
      <w:r w:rsidR="000D0582">
        <w:t xml:space="preserve"> </w:t>
      </w:r>
      <w:r w:rsidRPr="008607FF">
        <w:t xml:space="preserve">responsive </w:t>
      </w:r>
      <w:proofErr w:type="spellStart"/>
      <w:r w:rsidRPr="008607FF">
        <w:t>pharmacodynamic</w:t>
      </w:r>
      <w:proofErr w:type="spellEnd"/>
      <w:r w:rsidRPr="008607FF">
        <w:t xml:space="preserve"> effect is poor</w:t>
      </w:r>
      <w:r w:rsidR="00376D5E">
        <w:t>.</w:t>
      </w:r>
    </w:p>
    <w:p w:rsidR="008E7846" w:rsidRDefault="00605AD4" w:rsidP="00605AD4">
      <w:pPr>
        <w:pStyle w:val="Heading3"/>
      </w:pPr>
      <w:bookmarkStart w:id="143" w:name="_Toc479595230"/>
      <w:r>
        <w:t>Dosage selection for the pivotal studies</w:t>
      </w:r>
      <w:bookmarkEnd w:id="143"/>
    </w:p>
    <w:p w:rsidR="008607FF" w:rsidRPr="008607FF" w:rsidRDefault="008607FF" w:rsidP="008607FF">
      <w:r w:rsidRPr="008607FF">
        <w:t>A significant weakness of the BRV development programme is identifie</w:t>
      </w:r>
      <w:r w:rsidR="00A65A5F">
        <w:t xml:space="preserve">d in the choice of dose in dose </w:t>
      </w:r>
      <w:r w:rsidRPr="008607FF">
        <w:t xml:space="preserve">ranging </w:t>
      </w:r>
      <w:r w:rsidR="00AA503F">
        <w:t>studies. UCB performed 2 Phase II</w:t>
      </w:r>
      <w:r w:rsidRPr="008607FF">
        <w:t>, dose</w:t>
      </w:r>
      <w:r w:rsidR="006F5C51">
        <w:t xml:space="preserve"> </w:t>
      </w:r>
      <w:r w:rsidRPr="008607FF">
        <w:t>ranging studies: N01114 investigated the higher end of the proposed dose range (BRV 50</w:t>
      </w:r>
      <w:r w:rsidR="006F5C51">
        <w:t xml:space="preserve"> </w:t>
      </w:r>
      <w:r w:rsidRPr="008607FF">
        <w:t>mg/day [N</w:t>
      </w:r>
      <w:r w:rsidR="006F5C51">
        <w:t xml:space="preserve"> </w:t>
      </w:r>
      <w:r w:rsidRPr="008607FF">
        <w:t>=</w:t>
      </w:r>
      <w:r w:rsidR="006F5C51">
        <w:t xml:space="preserve"> </w:t>
      </w:r>
      <w:r w:rsidRPr="008607FF">
        <w:t>53] and 150</w:t>
      </w:r>
      <w:r w:rsidR="000D0582">
        <w:t xml:space="preserve"> </w:t>
      </w:r>
      <w:r w:rsidRPr="008607FF">
        <w:t>mg/day [N</w:t>
      </w:r>
      <w:r w:rsidR="006F5C51">
        <w:t xml:space="preserve"> </w:t>
      </w:r>
      <w:r w:rsidRPr="008607FF">
        <w:t>=</w:t>
      </w:r>
      <w:r w:rsidR="006F5C51">
        <w:t xml:space="preserve"> </w:t>
      </w:r>
      <w:r w:rsidRPr="008607FF">
        <w:t>52]) versus PBO [N</w:t>
      </w:r>
      <w:r w:rsidR="006F5C51">
        <w:t xml:space="preserve"> </w:t>
      </w:r>
      <w:r w:rsidRPr="008607FF">
        <w:t>=</w:t>
      </w:r>
      <w:r w:rsidR="006F5C51">
        <w:t xml:space="preserve"> </w:t>
      </w:r>
      <w:r w:rsidRPr="008607FF">
        <w:t>52]), while N01193 investigated the lower end of the dose range (BRV 5</w:t>
      </w:r>
      <w:r w:rsidR="000D0582">
        <w:t xml:space="preserve"> </w:t>
      </w:r>
      <w:r w:rsidRPr="008607FF">
        <w:t>mg/day [N</w:t>
      </w:r>
      <w:r w:rsidR="006F5C51">
        <w:t xml:space="preserve"> </w:t>
      </w:r>
      <w:r w:rsidRPr="008607FF">
        <w:t>=</w:t>
      </w:r>
      <w:r w:rsidR="006F5C51">
        <w:t xml:space="preserve"> </w:t>
      </w:r>
      <w:r w:rsidRPr="008607FF">
        <w:t>50], 20</w:t>
      </w:r>
      <w:r w:rsidR="000D0582">
        <w:t xml:space="preserve"> </w:t>
      </w:r>
      <w:r w:rsidRPr="008607FF">
        <w:t>mg/day [N</w:t>
      </w:r>
      <w:r w:rsidR="006F5C51">
        <w:t xml:space="preserve"> </w:t>
      </w:r>
      <w:r w:rsidRPr="008607FF">
        <w:t>=</w:t>
      </w:r>
      <w:r w:rsidR="006F5C51">
        <w:t xml:space="preserve"> </w:t>
      </w:r>
      <w:r w:rsidRPr="008607FF">
        <w:t>52], and 50</w:t>
      </w:r>
      <w:r w:rsidR="000D0582">
        <w:t xml:space="preserve"> mg/day [N</w:t>
      </w:r>
      <w:r w:rsidR="006F5C51">
        <w:t xml:space="preserve"> </w:t>
      </w:r>
      <w:r w:rsidR="000D0582">
        <w:t>=</w:t>
      </w:r>
      <w:r w:rsidR="006F5C51">
        <w:t xml:space="preserve"> </w:t>
      </w:r>
      <w:r w:rsidR="000D0582">
        <w:t>52] versus</w:t>
      </w:r>
      <w:r w:rsidRPr="008607FF">
        <w:t xml:space="preserve"> PBO [N=54]). The initial selection of doses was reportedly based on the pharmacologically active dose range predicted from animal models of epilepsy, on toxicological findings, and on the results of a PD study exploring the EEG response to BRV in subjects with photosensitive epilepsy. The maximum dose in N01114 was fixed at BRV 150</w:t>
      </w:r>
      <w:r w:rsidR="003A28BE">
        <w:t xml:space="preserve"> </w:t>
      </w:r>
      <w:r w:rsidRPr="008607FF">
        <w:t>mg/day due to toxicological findings at that time. Doses of BRV 50</w:t>
      </w:r>
      <w:r w:rsidR="003A28BE">
        <w:t xml:space="preserve"> </w:t>
      </w:r>
      <w:r w:rsidRPr="008607FF">
        <w:t>mg/day were investigated in both dose ranging studies to bridge them. The lowest dose of BRV 5</w:t>
      </w:r>
      <w:r w:rsidR="003A28BE">
        <w:t xml:space="preserve"> </w:t>
      </w:r>
      <w:r w:rsidRPr="008607FF">
        <w:t xml:space="preserve">mg/day was chosen as it was expected to help determine a minimally effective or </w:t>
      </w:r>
      <w:proofErr w:type="spellStart"/>
      <w:r w:rsidRPr="008607FF">
        <w:t>non</w:t>
      </w:r>
      <w:r w:rsidR="00A65A5F">
        <w:t xml:space="preserve"> </w:t>
      </w:r>
      <w:r w:rsidRPr="008607FF">
        <w:t>effective</w:t>
      </w:r>
      <w:proofErr w:type="spellEnd"/>
      <w:r w:rsidRPr="008607FF">
        <w:t xml:space="preserve"> dose.</w:t>
      </w:r>
    </w:p>
    <w:p w:rsidR="008607FF" w:rsidRPr="008607FF" w:rsidRDefault="008607FF" w:rsidP="008607FF">
      <w:r w:rsidRPr="008607FF">
        <w:t>In N01114, the estimated percent re</w:t>
      </w:r>
      <w:r w:rsidR="003A28BE">
        <w:t xml:space="preserve">duction over PBO in the partial </w:t>
      </w:r>
      <w:r w:rsidRPr="008607FF">
        <w:t>onset seizure frequency per week over the Maintenance Period was 14.7% in the BRV 50</w:t>
      </w:r>
      <w:r w:rsidR="003A28BE">
        <w:t xml:space="preserve"> </w:t>
      </w:r>
      <w:r w:rsidRPr="008607FF">
        <w:t>mg/day group and 13.6% in the BRV 150</w:t>
      </w:r>
      <w:r w:rsidR="003A28BE">
        <w:t xml:space="preserve"> </w:t>
      </w:r>
      <w:r w:rsidRPr="008607FF">
        <w:t xml:space="preserve">mg/day group. Those reductions over PBO were not statistically significant. The model estimated that the odds of being a 50% responder were 2.16 times as high in the BRV 50mg/day group as compared to the odds for being a </w:t>
      </w:r>
      <w:r w:rsidRPr="008607FF">
        <w:lastRenderedPageBreak/>
        <w:t>responder in the PBO group. This result was not statistically significant (p</w:t>
      </w:r>
      <w:r w:rsidR="003A28BE">
        <w:t xml:space="preserve"> </w:t>
      </w:r>
      <w:r w:rsidRPr="008607FF">
        <w:t>=</w:t>
      </w:r>
      <w:r w:rsidR="003A28BE">
        <w:t xml:space="preserve"> </w:t>
      </w:r>
      <w:r w:rsidRPr="008607FF">
        <w:t>0.077). However, over the entire Treatment Period the odds ratio was 2.69 (p</w:t>
      </w:r>
      <w:r w:rsidR="003A28BE">
        <w:t xml:space="preserve"> </w:t>
      </w:r>
      <w:r w:rsidRPr="008607FF">
        <w:t>=</w:t>
      </w:r>
      <w:r w:rsidR="003A28BE">
        <w:t xml:space="preserve"> </w:t>
      </w:r>
      <w:r w:rsidRPr="008607FF">
        <w:t>0.038). The results for the BRV 150mg/day group were in favour of BRV but were not statistically significant.</w:t>
      </w:r>
    </w:p>
    <w:p w:rsidR="008607FF" w:rsidRPr="008607FF" w:rsidRDefault="008607FF" w:rsidP="008607FF">
      <w:r w:rsidRPr="008607FF">
        <w:t>For N01193, the estimated percent reductions over PBO in the partial</w:t>
      </w:r>
      <w:r w:rsidR="00A65A5F">
        <w:t xml:space="preserve"> </w:t>
      </w:r>
      <w:r w:rsidRPr="008607FF">
        <w:t>onset seizure frequency per week over the Treatment Period were 9.8%, 14.9% and 22.1% in the BRV 5mg/day, BRV 20mg/day and BRV 50mg/day groups, respectively, suggestive of a dose response. The reduction over PBO for BRV 50mg/day was statistically significant at the 5% level (p=0.004), while for</w:t>
      </w:r>
    </w:p>
    <w:p w:rsidR="008607FF" w:rsidRPr="008607FF" w:rsidRDefault="008607FF" w:rsidP="008607FF">
      <w:r w:rsidRPr="008607FF">
        <w:t>BRV 20mg/day the reduction approached statistical significance (p</w:t>
      </w:r>
      <w:r w:rsidR="00A65A5F">
        <w:t xml:space="preserve"> </w:t>
      </w:r>
      <w:r w:rsidRPr="008607FF">
        <w:t>=</w:t>
      </w:r>
      <w:r w:rsidR="00A65A5F">
        <w:t xml:space="preserve"> </w:t>
      </w:r>
      <w:r w:rsidRPr="008607FF">
        <w:t>0.062). The hypothesis of no BRV effect was tested and rejected for each dose of BRV at the 5% significance level (meaning that there were statistically significant differences between each dose of BRV and PBO in term of responder rate). The model estimated that the odds of being a 50% responder in the BRV 5</w:t>
      </w:r>
      <w:r w:rsidR="00A65A5F">
        <w:t xml:space="preserve"> </w:t>
      </w:r>
      <w:r w:rsidRPr="008607FF">
        <w:t>mg/day, 20</w:t>
      </w:r>
      <w:r w:rsidR="00A65A5F">
        <w:t xml:space="preserve"> </w:t>
      </w:r>
      <w:r w:rsidRPr="008607FF">
        <w:t>mg/day and 50</w:t>
      </w:r>
      <w:r w:rsidR="00A65A5F">
        <w:t xml:space="preserve"> </w:t>
      </w:r>
      <w:r w:rsidRPr="008607FF">
        <w:t>mg/day groups were 2.66, 4.27, and 7.21 times those in the PBO group, respectively.</w:t>
      </w:r>
    </w:p>
    <w:p w:rsidR="008607FF" w:rsidRPr="008607FF" w:rsidRDefault="008607FF" w:rsidP="008607FF">
      <w:r w:rsidRPr="008607FF">
        <w:t xml:space="preserve">The doses used to evaluate the efficacy of BRV in the Phase </w:t>
      </w:r>
      <w:r w:rsidR="00AA503F">
        <w:t>III</w:t>
      </w:r>
      <w:r w:rsidRPr="008607FF">
        <w:t xml:space="preserve"> pivotal efficacy studies w</w:t>
      </w:r>
      <w:r w:rsidR="00AA503F">
        <w:t xml:space="preserve">ere derived from the Phase II </w:t>
      </w:r>
      <w:r w:rsidRPr="008607FF">
        <w:t>studies N01</w:t>
      </w:r>
      <w:r w:rsidR="00AA503F">
        <w:t xml:space="preserve">114 and N01193. In the 2 Phase II </w:t>
      </w:r>
      <w:r w:rsidRPr="008607FF">
        <w:t xml:space="preserve">studies as well as in 2 of the </w:t>
      </w:r>
      <w:r w:rsidR="00BE1DF3">
        <w:t>Phase III</w:t>
      </w:r>
      <w:r w:rsidR="002504B4">
        <w:t xml:space="preserve"> studies (N01252 and N01253), </w:t>
      </w:r>
      <w:r w:rsidRPr="008607FF">
        <w:t>approximately 20% of subjects were using concomitant LEV.</w:t>
      </w:r>
    </w:p>
    <w:p w:rsidR="008607FF" w:rsidRPr="008607FF" w:rsidRDefault="00AA503F" w:rsidP="008607FF">
      <w:r>
        <w:t>On the basis of the Phase II</w:t>
      </w:r>
      <w:r w:rsidR="008607FF" w:rsidRPr="008607FF">
        <w:t xml:space="preserve"> study results, the </w:t>
      </w:r>
      <w:r w:rsidR="00BE1DF3">
        <w:t>Phase III</w:t>
      </w:r>
      <w:r w:rsidR="008607FF" w:rsidRPr="008607FF">
        <w:t xml:space="preserve"> BRV POS program was initiated presuming 50</w:t>
      </w:r>
      <w:r w:rsidR="002504B4">
        <w:t xml:space="preserve"> </w:t>
      </w:r>
      <w:r w:rsidR="008607FF" w:rsidRPr="008607FF">
        <w:t>mg/day as the optimal dose. Subjects in N01252 were randomi</w:t>
      </w:r>
      <w:r w:rsidR="002504B4">
        <w:t>s</w:t>
      </w:r>
      <w:r w:rsidR="008607FF" w:rsidRPr="008607FF">
        <w:t>ed to receive BRV 20</w:t>
      </w:r>
      <w:r w:rsidR="002504B4">
        <w:t xml:space="preserve"> </w:t>
      </w:r>
      <w:r w:rsidR="008607FF" w:rsidRPr="008607FF">
        <w:t>mg/day, 50</w:t>
      </w:r>
      <w:r w:rsidR="002504B4">
        <w:t xml:space="preserve"> </w:t>
      </w:r>
      <w:r w:rsidR="008607FF" w:rsidRPr="008607FF">
        <w:t>mg/day, or 100</w:t>
      </w:r>
      <w:r w:rsidR="002504B4">
        <w:t xml:space="preserve"> </w:t>
      </w:r>
      <w:r w:rsidR="008607FF" w:rsidRPr="008607FF">
        <w:t>mg/day or matching PBO without up-titration. Subjects in N01253 were randomized to receive BRV 5</w:t>
      </w:r>
      <w:r w:rsidR="002504B4">
        <w:t xml:space="preserve"> </w:t>
      </w:r>
      <w:r w:rsidR="008607FF" w:rsidRPr="008607FF">
        <w:t>mg/day, 20</w:t>
      </w:r>
      <w:r w:rsidR="002504B4">
        <w:t xml:space="preserve"> </w:t>
      </w:r>
      <w:r w:rsidR="008607FF" w:rsidRPr="008607FF">
        <w:t>mg/day, or 50</w:t>
      </w:r>
      <w:r w:rsidR="002504B4">
        <w:t xml:space="preserve"> </w:t>
      </w:r>
      <w:r w:rsidR="008607FF" w:rsidRPr="008607FF">
        <w:t>mg/day or PBO without up-titration. Following the completion of N01252 and N01253, a meta-analys</w:t>
      </w:r>
      <w:r>
        <w:t>is across the fixed</w:t>
      </w:r>
      <w:r w:rsidR="002504B4">
        <w:t xml:space="preserve"> </w:t>
      </w:r>
      <w:r>
        <w:t>dose Phase II/III</w:t>
      </w:r>
      <w:r w:rsidR="008607FF" w:rsidRPr="008607FF">
        <w:t xml:space="preserve"> studies was performed to confirm BRV’s treatment effect and to examine possible variables contributing to the effect sizes. Based on the meta-analysis results, UCB reportedly concluded that the use of concomitant LEV may have influenced the overall therapeutic response in these studies. Despite the presence of subjects receiving LEV at study entry, the results for the 100</w:t>
      </w:r>
      <w:r w:rsidR="002504B4">
        <w:t xml:space="preserve"> </w:t>
      </w:r>
      <w:r w:rsidR="008607FF" w:rsidRPr="008607FF">
        <w:t>mg/day dose in N01252 were nominally statistically significant. As such, it was decided that BRV 100</w:t>
      </w:r>
      <w:r w:rsidR="002504B4">
        <w:t xml:space="preserve"> </w:t>
      </w:r>
      <w:r w:rsidR="008607FF" w:rsidRPr="008607FF">
        <w:t>mg/day would be tested in a third efficacy study, N01358, in order to confirm the treatment effect previously demonstrated in N01252. Following consultation with regulatory authorities, BRV 200</w:t>
      </w:r>
      <w:r w:rsidR="002504B4">
        <w:t xml:space="preserve"> </w:t>
      </w:r>
      <w:r w:rsidR="008607FF" w:rsidRPr="008607FF">
        <w:t xml:space="preserve">mg/day was added to obtain data on the upper end of the dose response curve. In the </w:t>
      </w:r>
      <w:r w:rsidR="00BE1DF3">
        <w:t>Phase III</w:t>
      </w:r>
      <w:r w:rsidR="008607FF" w:rsidRPr="008607FF">
        <w:t>, flexible</w:t>
      </w:r>
      <w:r w:rsidR="002504B4">
        <w:t xml:space="preserve"> </w:t>
      </w:r>
      <w:r w:rsidR="008607FF" w:rsidRPr="008607FF">
        <w:t>dose, supporting study, N01254, subjects started treatment at a dose of BRV 20</w:t>
      </w:r>
      <w:r w:rsidR="002504B4">
        <w:t xml:space="preserve"> </w:t>
      </w:r>
      <w:r w:rsidR="008607FF" w:rsidRPr="008607FF">
        <w:t>mg/day and were up-titrated at the Investigator’s discretion to either BRV 50</w:t>
      </w:r>
      <w:r w:rsidR="002504B4">
        <w:t xml:space="preserve"> </w:t>
      </w:r>
      <w:r w:rsidR="008607FF" w:rsidRPr="008607FF">
        <w:t>mg/day, BRV 100</w:t>
      </w:r>
      <w:r w:rsidR="002504B4">
        <w:t xml:space="preserve"> </w:t>
      </w:r>
      <w:r w:rsidR="008607FF" w:rsidRPr="008607FF">
        <w:t>mg/day, or BRV 150</w:t>
      </w:r>
      <w:r w:rsidR="002504B4">
        <w:t xml:space="preserve"> </w:t>
      </w:r>
      <w:r w:rsidR="008607FF" w:rsidRPr="008607FF">
        <w:t>mg/day in a stepwise manner. The ongoing LTFU studies allow individuali</w:t>
      </w:r>
      <w:r w:rsidR="00E94F7C">
        <w:t>s</w:t>
      </w:r>
      <w:r w:rsidR="008607FF" w:rsidRPr="008607FF">
        <w:t>ed dosing of up to BRV 200</w:t>
      </w:r>
      <w:r w:rsidR="002504B4">
        <w:t xml:space="preserve"> </w:t>
      </w:r>
      <w:r w:rsidR="008607FF" w:rsidRPr="008607FF">
        <w:t>mg/day (administered twice daily). Initially, N01125 and N01199 started with a maximum dose of BRV 150</w:t>
      </w:r>
      <w:r w:rsidR="002504B4">
        <w:t xml:space="preserve"> </w:t>
      </w:r>
      <w:r w:rsidR="008607FF" w:rsidRPr="008607FF">
        <w:t>mg/day; however, when the maximum dose was increased to BRV 200</w:t>
      </w:r>
      <w:r w:rsidR="002504B4">
        <w:t xml:space="preserve"> </w:t>
      </w:r>
      <w:r w:rsidR="008607FF" w:rsidRPr="008607FF">
        <w:t>mg/day in N01358, the protocols for the LTFU studies were amended to allow for a maximum dose of BRV 200</w:t>
      </w:r>
      <w:r w:rsidR="002504B4">
        <w:t xml:space="preserve"> </w:t>
      </w:r>
      <w:r w:rsidR="008607FF" w:rsidRPr="008607FF">
        <w:t>mg/day.</w:t>
      </w:r>
    </w:p>
    <w:p w:rsidR="00376D5E" w:rsidRDefault="008607FF" w:rsidP="008607FF">
      <w:r w:rsidRPr="008607FF">
        <w:t>Multiple dosing regimens of 400</w:t>
      </w:r>
      <w:r w:rsidR="002504B4">
        <w:t xml:space="preserve"> </w:t>
      </w:r>
      <w:r w:rsidRPr="008607FF">
        <w:t>mg per day were administered one study of healthy volu</w:t>
      </w:r>
      <w:r w:rsidR="002504B4">
        <w:t xml:space="preserve">nteers (N01067) and a study of post </w:t>
      </w:r>
      <w:r w:rsidRPr="008607FF">
        <w:t>herpetic neuralgia</w:t>
      </w:r>
      <w:r w:rsidR="00376D5E">
        <w:t>.</w:t>
      </w:r>
    </w:p>
    <w:p w:rsidR="00376D5E" w:rsidRDefault="008607FF" w:rsidP="008607FF">
      <w:r w:rsidRPr="008607FF">
        <w:t>It is likely that in the dose</w:t>
      </w:r>
      <w:r w:rsidR="002504B4">
        <w:t xml:space="preserve"> </w:t>
      </w:r>
      <w:r w:rsidRPr="008607FF">
        <w:t>ranging studies, the minimum effective dose has been established (50</w:t>
      </w:r>
      <w:r w:rsidR="002504B4">
        <w:t xml:space="preserve"> </w:t>
      </w:r>
      <w:r w:rsidRPr="008607FF">
        <w:t>mg per day) but the maximum effective dose and maximum tolerated dose is less well established on the basis of the above</w:t>
      </w:r>
      <w:r w:rsidR="00376D5E">
        <w:t>.</w:t>
      </w:r>
    </w:p>
    <w:p w:rsidR="008E7846" w:rsidRPr="00254787" w:rsidRDefault="008E7846" w:rsidP="008E7846">
      <w:pPr>
        <w:pStyle w:val="Heading3"/>
      </w:pPr>
      <w:bookmarkStart w:id="144" w:name="_Toc163441372"/>
      <w:bookmarkStart w:id="145" w:name="_Toc196046485"/>
      <w:bookmarkStart w:id="146" w:name="_Toc247691521"/>
      <w:bookmarkStart w:id="147" w:name="_Toc314842504"/>
      <w:bookmarkStart w:id="148" w:name="_Toc479595231"/>
      <w:r w:rsidRPr="00254787">
        <w:lastRenderedPageBreak/>
        <w:t>Efficacy</w:t>
      </w:r>
      <w:bookmarkEnd w:id="144"/>
      <w:bookmarkEnd w:id="145"/>
      <w:bookmarkEnd w:id="146"/>
      <w:bookmarkEnd w:id="147"/>
      <w:bookmarkEnd w:id="148"/>
    </w:p>
    <w:p w:rsidR="00605AD4" w:rsidRDefault="00605AD4" w:rsidP="00605AD4">
      <w:pPr>
        <w:pStyle w:val="Heading4"/>
      </w:pPr>
      <w:bookmarkStart w:id="149" w:name="_Toc184439992"/>
      <w:bookmarkStart w:id="150" w:name="_Toc184440279"/>
      <w:bookmarkStart w:id="151" w:name="_Toc184444657"/>
      <w:bookmarkStart w:id="152" w:name="_Toc196046487"/>
      <w:r>
        <w:t>Studies providing efficacy data</w:t>
      </w:r>
    </w:p>
    <w:p w:rsidR="00EB1F89" w:rsidRDefault="008607FF" w:rsidP="00EB1F89">
      <w:pPr>
        <w:pStyle w:val="Heading5"/>
      </w:pPr>
      <w:r>
        <w:t>Pivotal efficacy studies</w:t>
      </w:r>
    </w:p>
    <w:p w:rsidR="00232A97" w:rsidRDefault="008607FF" w:rsidP="00EB1F89">
      <w:pPr>
        <w:pStyle w:val="ListBullet"/>
      </w:pPr>
      <w:r w:rsidRPr="008607FF">
        <w:t>Study N01252</w:t>
      </w:r>
      <w:r>
        <w:t>:</w:t>
      </w:r>
      <w:r w:rsidRPr="008607FF">
        <w:t xml:space="preserve"> </w:t>
      </w:r>
      <w:r>
        <w:t>This study was conducted between Sept 2007 and 2009 in 71 centres in Europe and India.</w:t>
      </w:r>
      <w:r w:rsidRPr="007824C4">
        <w:t xml:space="preserve"> </w:t>
      </w:r>
      <w:r>
        <w:t>This was a 24</w:t>
      </w:r>
      <w:r w:rsidR="00C03D78">
        <w:t xml:space="preserve"> </w:t>
      </w:r>
      <w:r>
        <w:t xml:space="preserve">week, </w:t>
      </w:r>
      <w:r w:rsidR="00BE1DF3">
        <w:t>Phase III</w:t>
      </w:r>
      <w:r>
        <w:t>, therapeutic confirma</w:t>
      </w:r>
      <w:r w:rsidR="00C03D78">
        <w:t xml:space="preserve">tory, double </w:t>
      </w:r>
      <w:r>
        <w:t>blind, parallel</w:t>
      </w:r>
      <w:r w:rsidR="00C03D78">
        <w:t xml:space="preserve"> </w:t>
      </w:r>
      <w:r>
        <w:t>group, PBO</w:t>
      </w:r>
      <w:r w:rsidR="00C03D78">
        <w:t xml:space="preserve"> </w:t>
      </w:r>
      <w:r>
        <w:t>controlled, randomi</w:t>
      </w:r>
      <w:r w:rsidR="00C03D78">
        <w:t>s</w:t>
      </w:r>
      <w:r>
        <w:t>ed</w:t>
      </w:r>
      <w:r w:rsidR="00C03D78">
        <w:t xml:space="preserve"> study conducted in 399 randomis</w:t>
      </w:r>
      <w:r>
        <w:t>ed subjects to determine efficacy and safety of BRV in subjects (≥16 to 70 years old) with POS.</w:t>
      </w:r>
    </w:p>
    <w:p w:rsidR="00EB1F89" w:rsidRDefault="00EB1F89" w:rsidP="00EB1F89">
      <w:pPr>
        <w:pStyle w:val="ListBullet"/>
      </w:pPr>
      <w:r w:rsidRPr="00EB1F89">
        <w:t>Study N01253</w:t>
      </w:r>
      <w:r>
        <w:t xml:space="preserve">: </w:t>
      </w:r>
      <w:r w:rsidRPr="00EB1F89">
        <w:t>This study was conducted between Sept 2007 and 2009 in 71 centres in North America, South Ameri</w:t>
      </w:r>
      <w:r w:rsidR="00C03D78">
        <w:t xml:space="preserve">ca and Australia. This was a 24 </w:t>
      </w:r>
      <w:r w:rsidRPr="00EB1F89">
        <w:t xml:space="preserve">week, </w:t>
      </w:r>
      <w:r w:rsidR="00BE1DF3">
        <w:t>Phase III</w:t>
      </w:r>
      <w:r w:rsidRPr="00EB1F89">
        <w:t>, therapeutic confirmatory, double</w:t>
      </w:r>
      <w:r w:rsidR="00C03D78">
        <w:t xml:space="preserve"> </w:t>
      </w:r>
      <w:r w:rsidRPr="00EB1F89">
        <w:t>blind, parallel</w:t>
      </w:r>
      <w:r w:rsidR="00C03D78">
        <w:t xml:space="preserve"> </w:t>
      </w:r>
      <w:r w:rsidRPr="00EB1F89">
        <w:t>group, PBO</w:t>
      </w:r>
      <w:r w:rsidR="00C03D78">
        <w:t xml:space="preserve"> </w:t>
      </w:r>
      <w:r w:rsidRPr="00EB1F89">
        <w:t>controlled, randomi</w:t>
      </w:r>
      <w:r w:rsidR="00C03D78">
        <w:t>s</w:t>
      </w:r>
      <w:r w:rsidRPr="00EB1F89">
        <w:t>ed study conducted in 399 randomi</w:t>
      </w:r>
      <w:r w:rsidR="00C03D78">
        <w:t>s</w:t>
      </w:r>
      <w:r w:rsidRPr="00EB1F89">
        <w:t>ed subjects to determine efficacy and safety of BRV in subjects (≥16 to 70 years old) with POS.</w:t>
      </w:r>
    </w:p>
    <w:p w:rsidR="00EB1F89" w:rsidRDefault="00EB1F89" w:rsidP="00EB1F89">
      <w:pPr>
        <w:pStyle w:val="ListBullet"/>
      </w:pPr>
      <w:r w:rsidRPr="00EB1F89">
        <w:t>Study N01358</w:t>
      </w:r>
      <w:r>
        <w:t>: This was a randomised, double</w:t>
      </w:r>
      <w:r w:rsidR="00F16A8D">
        <w:t xml:space="preserve"> </w:t>
      </w:r>
      <w:r>
        <w:t>blind, placebo</w:t>
      </w:r>
      <w:r w:rsidR="00F16A8D">
        <w:t xml:space="preserve"> </w:t>
      </w:r>
      <w:r>
        <w:t>controlled, parallel group conducted between Dec 2010 and 2014 in 208 sites in 27 countries to assess the Efficacy and Safety of Brivaracetam as add on therapy in Subjects (≥16 to 80 Years Old) with Partial-onset Seizures.</w:t>
      </w:r>
    </w:p>
    <w:p w:rsidR="00EB1F89" w:rsidRDefault="00EB1F89" w:rsidP="00EB1F89">
      <w:pPr>
        <w:pStyle w:val="Heading5"/>
        <w:rPr>
          <w:rFonts w:ascii="Calibri" w:hAnsi="Calibri" w:cs="Calibri"/>
          <w:color w:val="FF0000"/>
          <w:szCs w:val="22"/>
        </w:rPr>
      </w:pPr>
      <w:bookmarkStart w:id="153" w:name="_Ref271037188"/>
      <w:bookmarkStart w:id="154" w:name="_Ref271037210"/>
      <w:bookmarkStart w:id="155" w:name="_Toc272414655"/>
      <w:bookmarkStart w:id="156" w:name="_Toc434440190"/>
      <w:bookmarkStart w:id="157" w:name="_Toc434443810"/>
      <w:r>
        <w:t>Other efficacy studies</w:t>
      </w:r>
      <w:bookmarkEnd w:id="153"/>
      <w:bookmarkEnd w:id="154"/>
      <w:bookmarkEnd w:id="155"/>
      <w:bookmarkEnd w:id="156"/>
      <w:bookmarkEnd w:id="157"/>
    </w:p>
    <w:p w:rsidR="00EB1F89" w:rsidRPr="00EB1F89" w:rsidRDefault="00EB1F89" w:rsidP="00EB1F89">
      <w:pPr>
        <w:pStyle w:val="ListBullet"/>
      </w:pPr>
      <w:bookmarkStart w:id="158" w:name="_Toc434440191"/>
      <w:bookmarkStart w:id="159" w:name="_Toc434443811"/>
      <w:r w:rsidRPr="00EB1F89">
        <w:t>Study N0114 and N01193</w:t>
      </w:r>
      <w:bookmarkEnd w:id="158"/>
      <w:bookmarkEnd w:id="159"/>
      <w:r w:rsidR="00AA503F">
        <w:t>: In the Phase II</w:t>
      </w:r>
      <w:r w:rsidRPr="00EB1F89">
        <w:t xml:space="preserve"> studies, subjects were male or female, age 16 to 65 years, and were not adequately controlled while treated with 1 or 2 concomitant AEDs. In both studies, subjects had to have at least 4 POS whether or not secondarily generali</w:t>
      </w:r>
      <w:r w:rsidR="0060456B">
        <w:t>s</w:t>
      </w:r>
      <w:r w:rsidRPr="00EB1F89">
        <w:t>ed during the 4</w:t>
      </w:r>
      <w:r w:rsidR="0060456B">
        <w:t xml:space="preserve"> </w:t>
      </w:r>
      <w:r w:rsidRPr="00EB1F89">
        <w:t>week Baseline Period and at least 2 POS whether or not secondarily generali</w:t>
      </w:r>
      <w:r w:rsidR="0060456B">
        <w:t>s</w:t>
      </w:r>
      <w:r w:rsidRPr="00EB1F89">
        <w:t xml:space="preserve">ed per month during </w:t>
      </w:r>
      <w:r>
        <w:t>the 3 months preceding Visit 1.</w:t>
      </w:r>
    </w:p>
    <w:p w:rsidR="008E7846" w:rsidRDefault="00605AD4" w:rsidP="00605AD4">
      <w:pPr>
        <w:pStyle w:val="Heading4"/>
      </w:pPr>
      <w:r>
        <w:t>Evaluator’s conclusions on efficacy</w:t>
      </w:r>
    </w:p>
    <w:p w:rsidR="00376D5E" w:rsidRDefault="008607FF" w:rsidP="008607FF">
      <w:r>
        <w:t>The pivotal add-on studies should have a randomised, double</w:t>
      </w:r>
      <w:r w:rsidR="00A6009E">
        <w:t xml:space="preserve"> </w:t>
      </w:r>
      <w:r>
        <w:t>blind, placebo</w:t>
      </w:r>
      <w:r w:rsidR="00A6009E">
        <w:t xml:space="preserve"> </w:t>
      </w:r>
      <w:r>
        <w:t>controlled parallel group study design</w:t>
      </w:r>
      <w:r w:rsidR="00376D5E">
        <w:t>.</w:t>
      </w:r>
    </w:p>
    <w:p w:rsidR="00376D5E" w:rsidRDefault="008607FF" w:rsidP="008607FF">
      <w:r>
        <w:t xml:space="preserve">Efficacy endpoints compared to placebo were based on the changes in seizure frequency between the treatment maintenance </w:t>
      </w:r>
      <w:r w:rsidR="007E2FD3">
        <w:t xml:space="preserve">phase and the baseline period. </w:t>
      </w:r>
      <w:r>
        <w:t>Efficacy was evaluated primarily for all focal onset seizures</w:t>
      </w:r>
      <w:r w:rsidR="00376D5E">
        <w:t>.</w:t>
      </w:r>
    </w:p>
    <w:p w:rsidR="008607FF" w:rsidRDefault="008607FF" w:rsidP="008607FF">
      <w:pPr>
        <w:pStyle w:val="Heading5"/>
      </w:pPr>
      <w:r>
        <w:t>Baseline period</w:t>
      </w:r>
    </w:p>
    <w:p w:rsidR="00376D5E" w:rsidRDefault="008607FF" w:rsidP="008607FF">
      <w:r>
        <w:t>Baseline seizure frequency was sufficiently high and of sufficient to detect decreases as well as increases in seizure frequency in the treatment phase</w:t>
      </w:r>
      <w:r w:rsidR="00376D5E">
        <w:t>.</w:t>
      </w:r>
    </w:p>
    <w:p w:rsidR="008607FF" w:rsidRDefault="008607FF" w:rsidP="008607FF">
      <w:r>
        <w:t>The earlier pivotal studies were complicated by too many dose arms. Sufficient i</w:t>
      </w:r>
      <w:r w:rsidR="00660202">
        <w:t>nformation is contained within P</w:t>
      </w:r>
      <w:r>
        <w:t xml:space="preserve">hase II and pivotal studies in order to establish the lower end of the clinically effective dose range as well but not, in the evaluator’s opinion, the optimal effective dose. It is contended that this data will </w:t>
      </w:r>
      <w:r w:rsidR="00F84637">
        <w:t>be supplemented by LTFU studies,</w:t>
      </w:r>
      <w:r>
        <w:t xml:space="preserve"> although this method is potentially problematic.</w:t>
      </w:r>
    </w:p>
    <w:p w:rsidR="008607FF" w:rsidRDefault="008607FF" w:rsidP="008607FF">
      <w:r>
        <w:t>In the add-on setting determination of plasma concentrations seemed to have some bearing on pharmacodynamic effect but inspection of the dose-response graphs would suggest that this effect is fairly weak. Moreover, differences in study design appear insufficient to explain variability in efficacy variables seen across the studies.</w:t>
      </w:r>
    </w:p>
    <w:p w:rsidR="00376D5E" w:rsidRDefault="008607FF" w:rsidP="008607FF">
      <w:r>
        <w:t>Adequate data is submitted with regards to special populations although numbers of elderly with sufficient level of exposure are small</w:t>
      </w:r>
      <w:r w:rsidR="00376D5E">
        <w:t>.</w:t>
      </w:r>
    </w:p>
    <w:p w:rsidR="008E7846" w:rsidRPr="002E238E" w:rsidRDefault="008E7846" w:rsidP="008E7846">
      <w:pPr>
        <w:pStyle w:val="Heading3"/>
      </w:pPr>
      <w:bookmarkStart w:id="160" w:name="_Toc163441378"/>
      <w:bookmarkStart w:id="161" w:name="_Toc196046495"/>
      <w:bookmarkStart w:id="162" w:name="_Toc247691522"/>
      <w:bookmarkStart w:id="163" w:name="_Toc314842505"/>
      <w:bookmarkStart w:id="164" w:name="_Toc479595232"/>
      <w:bookmarkEnd w:id="149"/>
      <w:bookmarkEnd w:id="150"/>
      <w:bookmarkEnd w:id="151"/>
      <w:bookmarkEnd w:id="152"/>
      <w:r w:rsidRPr="002E238E">
        <w:lastRenderedPageBreak/>
        <w:t>Safety</w:t>
      </w:r>
      <w:bookmarkEnd w:id="160"/>
      <w:bookmarkEnd w:id="161"/>
      <w:bookmarkEnd w:id="162"/>
      <w:bookmarkEnd w:id="163"/>
      <w:bookmarkEnd w:id="164"/>
    </w:p>
    <w:p w:rsidR="00605AD4" w:rsidRDefault="00605AD4" w:rsidP="00605AD4">
      <w:pPr>
        <w:pStyle w:val="Heading4"/>
      </w:pPr>
      <w:bookmarkStart w:id="165" w:name="_Toc247691524"/>
      <w:bookmarkStart w:id="166" w:name="_Toc314842508"/>
      <w:bookmarkStart w:id="167" w:name="_Toc196046504"/>
      <w:bookmarkStart w:id="168" w:name="_Toc163441390"/>
      <w:r w:rsidRPr="00605AD4">
        <w:t>Studies providing safety data</w:t>
      </w:r>
    </w:p>
    <w:p w:rsidR="00586BF2" w:rsidRPr="00586BF2" w:rsidRDefault="00586BF2" w:rsidP="00586BF2">
      <w:bookmarkStart w:id="169" w:name="_Ref268776745"/>
      <w:r w:rsidRPr="00586BF2">
        <w:t>The following studies provided evaluable safety data:</w:t>
      </w:r>
    </w:p>
    <w:p w:rsidR="00586BF2" w:rsidRPr="00027276" w:rsidRDefault="00586BF2" w:rsidP="00586BF2">
      <w:pPr>
        <w:pStyle w:val="Heading5"/>
      </w:pPr>
      <w:r w:rsidRPr="00027276">
        <w:t>Pivotal efficacy studies</w:t>
      </w:r>
      <w:bookmarkEnd w:id="169"/>
    </w:p>
    <w:p w:rsidR="00586BF2" w:rsidRPr="00586BF2" w:rsidRDefault="00586BF2" w:rsidP="00586BF2">
      <w:r w:rsidRPr="00586BF2">
        <w:t xml:space="preserve">In the 3 pivotal </w:t>
      </w:r>
      <w:r w:rsidR="00BE1DF3">
        <w:t>Phase III</w:t>
      </w:r>
      <w:r w:rsidRPr="00586BF2">
        <w:t xml:space="preserve"> studies in adults with POS, TEAEs were defined as AEs that had onset on or after the date of first dose of study drug. In all studies, AEs were collected as spontaneous reports or observed by the Investigator at each visit. In studies that used subject diaries as source data, the Investigator reviewed them for AEs. A general prompt was given at each stu</w:t>
      </w:r>
      <w:r w:rsidR="00452E1D">
        <w:t>dy visit to detect AEs, for example: “D</w:t>
      </w:r>
      <w:r w:rsidRPr="00586BF2">
        <w:t>id you notice anything unusual about your health since your last visit?”</w:t>
      </w:r>
    </w:p>
    <w:p w:rsidR="00586BF2" w:rsidRPr="00586BF2" w:rsidRDefault="00586BF2" w:rsidP="00586BF2">
      <w:r w:rsidRPr="00586BF2">
        <w:t>For the purposes of the ISS integrated analyses, all AEs for clinical studies included in the ISS study pools were reco</w:t>
      </w:r>
      <w:r w:rsidR="00706571">
        <w:t>r</w:t>
      </w:r>
      <w:r w:rsidRPr="00586BF2">
        <w:t xml:space="preserve">ded in </w:t>
      </w:r>
      <w:proofErr w:type="spellStart"/>
      <w:r w:rsidRPr="00586BF2">
        <w:t>MedDRA</w:t>
      </w:r>
      <w:proofErr w:type="spellEnd"/>
      <w:r w:rsidRPr="00586BF2">
        <w:t xml:space="preserve"> Version 15.0.</w:t>
      </w:r>
    </w:p>
    <w:p w:rsidR="00586BF2" w:rsidRPr="00586BF2" w:rsidRDefault="00586BF2" w:rsidP="00586BF2">
      <w:r w:rsidRPr="00586BF2">
        <w:t>In Feb</w:t>
      </w:r>
      <w:r w:rsidR="00B503F1">
        <w:t>ruary</w:t>
      </w:r>
      <w:r w:rsidRPr="00586BF2">
        <w:t xml:space="preserve"> 2011, the FDA notified UCB </w:t>
      </w:r>
      <w:r w:rsidR="003138E4">
        <w:t>of their policy, based on published guidelines</w:t>
      </w:r>
      <w:r w:rsidR="003138E4">
        <w:rPr>
          <w:rStyle w:val="FootnoteReference"/>
        </w:rPr>
        <w:footnoteReference w:id="19"/>
      </w:r>
      <w:r w:rsidR="003138E4">
        <w:t xml:space="preserve"> </w:t>
      </w:r>
      <w:r w:rsidRPr="00586BF2">
        <w:t>that an assessment of suicidal ideation and suicidal behaviour based on the Columbia-Suicide Severity Rating Scale</w:t>
      </w:r>
      <w:r w:rsidR="003C7CA1">
        <w:t xml:space="preserve"> </w:t>
      </w:r>
      <w:r w:rsidRPr="00586BF2">
        <w:t>(C-SSRS) was to be added to all new and ongoing BRV studies. The C-SSRS was added to the studies ongoing at the time (N01258, N01358, N01125, N01199, N01315, N01379, N01263 and N01266) and then prospectively included in subsequent studies (N01394, N01395 and N01372). The C-SSRS was not required in the 2 clinical pharmacology studies conducted after Feb 2011 (EP0007 and EP0041) because those studies were single</w:t>
      </w:r>
      <w:r w:rsidR="00836AC8">
        <w:t xml:space="preserve"> </w:t>
      </w:r>
      <w:r w:rsidRPr="00586BF2">
        <w:t>dose studies in healthy subjects.</w:t>
      </w:r>
    </w:p>
    <w:p w:rsidR="00586BF2" w:rsidRDefault="00586BF2" w:rsidP="00586BF2">
      <w:proofErr w:type="gramStart"/>
      <w:r w:rsidRPr="00586BF2">
        <w:t>Laboratory assessments that were conduc</w:t>
      </w:r>
      <w:r w:rsidR="00AA503F">
        <w:t>ted across most of the Phase II/III</w:t>
      </w:r>
      <w:r w:rsidRPr="00586BF2">
        <w:t xml:space="preserve"> studies and were analysed for each visit.</w:t>
      </w:r>
      <w:proofErr w:type="gramEnd"/>
      <w:r w:rsidRPr="00586BF2">
        <w:t xml:space="preserve"> ECG collection was incorporated into the pivotal </w:t>
      </w:r>
      <w:r w:rsidR="00BE1DF3">
        <w:t>S</w:t>
      </w:r>
      <w:r w:rsidRPr="00586BF2">
        <w:t>tudies N01252 and N01253.</w:t>
      </w:r>
    </w:p>
    <w:p w:rsidR="00586BF2" w:rsidRPr="00840122" w:rsidRDefault="00586BF2" w:rsidP="00586BF2">
      <w:pPr>
        <w:pStyle w:val="Heading5"/>
      </w:pPr>
      <w:r w:rsidRPr="00027276">
        <w:t xml:space="preserve">Pivotal studies that assessed </w:t>
      </w:r>
      <w:r>
        <w:t>safety as a primary outcome</w:t>
      </w:r>
    </w:p>
    <w:p w:rsidR="00586BF2" w:rsidRPr="00586BF2" w:rsidRDefault="00586BF2" w:rsidP="00586BF2">
      <w:r w:rsidRPr="00586BF2">
        <w:t>All pivotal studies assessed safety but not as a primary outcome.</w:t>
      </w:r>
    </w:p>
    <w:p w:rsidR="00586BF2" w:rsidRDefault="00586BF2" w:rsidP="00586BF2">
      <w:pPr>
        <w:pStyle w:val="Heading5"/>
      </w:pPr>
      <w:r>
        <w:t xml:space="preserve">Dose-response and </w:t>
      </w:r>
      <w:r w:rsidR="00EB215B">
        <w:t>non-pivotal</w:t>
      </w:r>
      <w:r>
        <w:t xml:space="preserve"> efficacy studies</w:t>
      </w:r>
    </w:p>
    <w:p w:rsidR="00586BF2" w:rsidRDefault="00586BF2" w:rsidP="00586BF2">
      <w:r>
        <w:t xml:space="preserve">The dose-response and </w:t>
      </w:r>
      <w:r w:rsidR="00EB215B">
        <w:t>non-pivotal</w:t>
      </w:r>
      <w:r>
        <w:t xml:space="preserve"> efficacy studies provided safety data, as follows:</w:t>
      </w:r>
    </w:p>
    <w:p w:rsidR="00586BF2" w:rsidRPr="00586BF2" w:rsidRDefault="00586BF2" w:rsidP="00586BF2">
      <w:pPr>
        <w:pStyle w:val="ListBullet"/>
      </w:pPr>
      <w:r w:rsidRPr="00586BF2">
        <w:t xml:space="preserve">Study EP0007: Single rising dose response: </w:t>
      </w:r>
      <w:r w:rsidR="003C7CA1">
        <w:t>AEs</w:t>
      </w:r>
      <w:r w:rsidRPr="00586BF2">
        <w:t>, physica</w:t>
      </w:r>
      <w:r w:rsidR="003C7CA1">
        <w:t xml:space="preserve">l examinations, vital signs, 12 </w:t>
      </w:r>
      <w:r w:rsidRPr="00586BF2">
        <w:t xml:space="preserve">lead ECGs, </w:t>
      </w:r>
      <w:proofErr w:type="spellStart"/>
      <w:r w:rsidRPr="00586BF2">
        <w:t>Holter</w:t>
      </w:r>
      <w:proofErr w:type="spellEnd"/>
      <w:r w:rsidRPr="00586BF2">
        <w:t xml:space="preserve"> da</w:t>
      </w:r>
      <w:r w:rsidR="00041051">
        <w:t>ta, and laboratory test results</w:t>
      </w:r>
    </w:p>
    <w:p w:rsidR="00586BF2" w:rsidRPr="00586BF2" w:rsidRDefault="00586BF2" w:rsidP="00586BF2">
      <w:pPr>
        <w:pStyle w:val="ListBullet"/>
      </w:pPr>
      <w:r w:rsidRPr="00586BF2">
        <w:t>Study N01256b provided data on dose</w:t>
      </w:r>
      <w:r w:rsidR="003C7CA1">
        <w:t xml:space="preserve"> </w:t>
      </w:r>
      <w:r w:rsidRPr="00586BF2">
        <w:t>response to</w:t>
      </w:r>
      <w:r w:rsidR="003C7CA1">
        <w:t xml:space="preserve"> rising single dose for AEs</w:t>
      </w:r>
      <w:r w:rsidRPr="00586BF2">
        <w:t xml:space="preserve">, physical examinations, vital signs, 12-lead </w:t>
      </w:r>
      <w:r w:rsidR="00391A5B">
        <w:t>ECGs</w:t>
      </w:r>
      <w:r w:rsidRPr="00586BF2">
        <w:t xml:space="preserve">, </w:t>
      </w:r>
      <w:proofErr w:type="spellStart"/>
      <w:r w:rsidRPr="00586BF2">
        <w:t>Holter</w:t>
      </w:r>
      <w:proofErr w:type="spellEnd"/>
      <w:r w:rsidRPr="00586BF2">
        <w:t xml:space="preserve"> da</w:t>
      </w:r>
      <w:r w:rsidR="00041051">
        <w:t>ta, and laboratory test results</w:t>
      </w:r>
    </w:p>
    <w:p w:rsidR="00376D5E" w:rsidRDefault="00586BF2" w:rsidP="00586BF2">
      <w:pPr>
        <w:pStyle w:val="ListBullet"/>
      </w:pPr>
      <w:r w:rsidRPr="00586BF2">
        <w:t xml:space="preserve">Study N01066: Single rising dose response assessing </w:t>
      </w:r>
      <w:r w:rsidR="003E7329">
        <w:t>p</w:t>
      </w:r>
      <w:r w:rsidRPr="00586BF2">
        <w:t>harmacodynamics parameters for a sedative effect, decreased attention, alertness and motor control</w:t>
      </w:r>
    </w:p>
    <w:p w:rsidR="00586BF2" w:rsidRPr="00586BF2" w:rsidRDefault="00586BF2" w:rsidP="00586BF2">
      <w:pPr>
        <w:pStyle w:val="ListBullet"/>
      </w:pPr>
      <w:r w:rsidRPr="00586BF2">
        <w:t xml:space="preserve">Study N01067: Multiple </w:t>
      </w:r>
      <w:r w:rsidR="0085751F">
        <w:t>rising dose response assessing p</w:t>
      </w:r>
      <w:r w:rsidRPr="00586BF2">
        <w:t xml:space="preserve">harmacodynamic parameters: ARCI-49, Bond and </w:t>
      </w:r>
      <w:proofErr w:type="spellStart"/>
      <w:r w:rsidRPr="00586BF2">
        <w:t>Lader’s</w:t>
      </w:r>
      <w:proofErr w:type="spellEnd"/>
      <w:r w:rsidRPr="00586BF2">
        <w:t xml:space="preserve"> visual analogue scale (VAS) and neurological assessments (Ataxia rating scale, consciousness, c</w:t>
      </w:r>
      <w:r w:rsidR="00041051">
        <w:t>ranial nerves and motor system)</w:t>
      </w:r>
    </w:p>
    <w:p w:rsidR="00586BF2" w:rsidRPr="00586BF2" w:rsidRDefault="00586BF2" w:rsidP="00586BF2">
      <w:pPr>
        <w:pStyle w:val="ListBullet"/>
      </w:pPr>
      <w:r w:rsidRPr="00586BF2">
        <w:t xml:space="preserve">Study N01209b: multiple dose response assessment of safety: </w:t>
      </w:r>
      <w:r w:rsidR="00391A5B">
        <w:t>AEs</w:t>
      </w:r>
      <w:r w:rsidRPr="00586BF2">
        <w:t xml:space="preserve">, clinical laboratory (haematology, blood chemistry, and urinalysis), vital signs (blood pressure and heart rate in supine and standing positions), standard 12-lead </w:t>
      </w:r>
      <w:r w:rsidR="00391A5B">
        <w:t>ECG</w:t>
      </w:r>
      <w:r w:rsidR="000D71F7">
        <w:t>s</w:t>
      </w:r>
      <w:r w:rsidRPr="00586BF2">
        <w:t>, and physical examination</w:t>
      </w:r>
    </w:p>
    <w:p w:rsidR="00586BF2" w:rsidRPr="00586BF2" w:rsidRDefault="00586BF2" w:rsidP="00586BF2">
      <w:pPr>
        <w:pStyle w:val="ListBullet"/>
      </w:pPr>
      <w:r w:rsidRPr="00586BF2">
        <w:t xml:space="preserve">Study N01133: multiple increasing doses to assess safety with carbamazepine in epileptics </w:t>
      </w:r>
      <w:r w:rsidR="00041051">
        <w:t>s</w:t>
      </w:r>
      <w:r w:rsidRPr="00586BF2">
        <w:t xml:space="preserve">afety: </w:t>
      </w:r>
      <w:r w:rsidR="00BE1601">
        <w:t>v</w:t>
      </w:r>
      <w:r w:rsidRPr="00586BF2">
        <w:t xml:space="preserve">ital signs (systolic and diastolic blood pressure, heart rate and </w:t>
      </w:r>
      <w:r w:rsidRPr="00586BF2">
        <w:lastRenderedPageBreak/>
        <w:t>routine ECG), clinical laboratory evaluations (blood chemistry, haematology and urinalysis), physical and neurological examinations, seizu</w:t>
      </w:r>
      <w:r w:rsidR="00041051">
        <w:t>re recording and adverse events</w:t>
      </w:r>
    </w:p>
    <w:p w:rsidR="00586BF2" w:rsidRPr="00586BF2" w:rsidRDefault="00586BF2" w:rsidP="00586BF2">
      <w:pPr>
        <w:pStyle w:val="ListBullet"/>
      </w:pPr>
      <w:r w:rsidRPr="00586BF2">
        <w:t xml:space="preserve">Study N01135: multiple increasing doses to assess safety with carbamazepine and valproate in epileptics </w:t>
      </w:r>
      <w:r w:rsidR="00BE1601">
        <w:t>s</w:t>
      </w:r>
      <w:r w:rsidRPr="00586BF2">
        <w:t xml:space="preserve">afety: </w:t>
      </w:r>
      <w:r w:rsidR="00BE1601">
        <w:t>v</w:t>
      </w:r>
      <w:r w:rsidRPr="00586BF2">
        <w:t>ital signs (systolic and diastolic blood pressure, heart rate and routine ECG), clinical laboratory evaluations (blood chemistry, haematology and urinalysis), physical and neurological examinations, seizu</w:t>
      </w:r>
      <w:r w:rsidR="00041051">
        <w:t>re recording and adverse events</w:t>
      </w:r>
    </w:p>
    <w:p w:rsidR="00586BF2" w:rsidRPr="00586BF2" w:rsidRDefault="00586BF2" w:rsidP="00586BF2">
      <w:pPr>
        <w:pStyle w:val="ListBullet"/>
      </w:pPr>
      <w:r w:rsidRPr="00586BF2">
        <w:t>Study N01172: multiple increasing doses BRV to assess safety with phenytoin Safety: Vital signs (systolic and diastolic blood pressure, heart rate and routine ECG), clinical laboratory evaluations (blood chemistry, haematology and urinalysis), physical and neurological examinations, seizu</w:t>
      </w:r>
      <w:r w:rsidR="00041051">
        <w:t>re recording and AEs</w:t>
      </w:r>
    </w:p>
    <w:p w:rsidR="00586BF2" w:rsidRPr="00586BF2" w:rsidRDefault="00586BF2" w:rsidP="00586BF2">
      <w:pPr>
        <w:pStyle w:val="ListBullet"/>
      </w:pPr>
      <w:r w:rsidRPr="00586BF2">
        <w:t>Study N01261: multiple increasing doses BRV to assess safety with midazolam Safety: Vital signs (systolic and diastolic blood pressure, heart rate and routine ECG), clinical laboratory evaluations (blood chemistry, haematology and urinalysis), physical and neurological examinations, seizu</w:t>
      </w:r>
      <w:r w:rsidR="00041051">
        <w:t>re recording and AEs</w:t>
      </w:r>
    </w:p>
    <w:p w:rsidR="00586BF2" w:rsidRDefault="00586BF2" w:rsidP="00586BF2">
      <w:pPr>
        <w:pStyle w:val="Heading5"/>
      </w:pPr>
      <w:r>
        <w:t>Other studies evaluable for safety only</w:t>
      </w:r>
    </w:p>
    <w:p w:rsidR="00586BF2" w:rsidRPr="00586BF2" w:rsidRDefault="00586BF2" w:rsidP="00586BF2">
      <w:r w:rsidRPr="00586BF2">
        <w:t xml:space="preserve">AEs, vital signs, haematology, clinical chemistry and ECGs were recorded in the clinical pharmacology studies. Most of these studies enrolled participants who were not in the target population and who received BRV for periods of a week or less. The notable exception was Study N01129 N01162 </w:t>
      </w:r>
      <w:r w:rsidR="00706571">
        <w:t>which included</w:t>
      </w:r>
      <w:r w:rsidRPr="00586BF2">
        <w:t xml:space="preserve"> secondary efficacy studies in patients with </w:t>
      </w:r>
      <w:proofErr w:type="spellStart"/>
      <w:r w:rsidRPr="00586BF2">
        <w:t>postherpetic</w:t>
      </w:r>
      <w:proofErr w:type="spellEnd"/>
      <w:r w:rsidRPr="00586BF2">
        <w:t xml:space="preserve"> neuralgia and essential tremor.</w:t>
      </w:r>
    </w:p>
    <w:p w:rsidR="00605AD4" w:rsidRDefault="00605AD4" w:rsidP="00605AD4">
      <w:pPr>
        <w:pStyle w:val="Heading4"/>
      </w:pPr>
      <w:r w:rsidRPr="00605AD4">
        <w:t>Patient exposure</w:t>
      </w:r>
    </w:p>
    <w:p w:rsidR="004F2D9B" w:rsidRPr="004F2D9B" w:rsidRDefault="004F2D9B" w:rsidP="004F2D9B">
      <w:r w:rsidRPr="004F2D9B">
        <w:t>In the BRV clinical development program, 3425 subjects &gt;15 years of age received BRV oral tablet or capsule, 177 IV solution and 49 received oral solution.</w:t>
      </w:r>
    </w:p>
    <w:p w:rsidR="004F2D9B" w:rsidRDefault="004F2D9B" w:rsidP="004F2D9B">
      <w:pPr>
        <w:pStyle w:val="TableTitle"/>
      </w:pPr>
      <w:r>
        <w:lastRenderedPageBreak/>
        <w:t>Table 2</w:t>
      </w:r>
      <w:r w:rsidR="00246C40">
        <w:t>2</w:t>
      </w:r>
      <w:r>
        <w:t xml:space="preserve">: </w:t>
      </w:r>
      <w:r w:rsidRPr="004F2D9B">
        <w:t>Number of subjects exposed to BRV in the development program</w:t>
      </w:r>
      <w:r>
        <w:t>.</w:t>
      </w:r>
    </w:p>
    <w:p w:rsidR="004F2D9B" w:rsidRDefault="004F2D9B" w:rsidP="004F2D9B">
      <w:pPr>
        <w:autoSpaceDE w:val="0"/>
        <w:autoSpaceDN w:val="0"/>
        <w:adjustRightInd w:val="0"/>
      </w:pPr>
      <w:r>
        <w:rPr>
          <w:noProof/>
          <w:lang w:eastAsia="en-AU"/>
        </w:rPr>
        <w:drawing>
          <wp:inline distT="0" distB="0" distL="0" distR="0" wp14:anchorId="6E4F1A58" wp14:editId="6BB287A5">
            <wp:extent cx="4577610" cy="4820183"/>
            <wp:effectExtent l="0" t="0" r="0" b="0"/>
            <wp:docPr id="10" name="Picture 10" descr="Table 22: Number of subjects exposed to BRV in the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8846" cy="4821485"/>
                    </a:xfrm>
                    <a:prstGeom prst="rect">
                      <a:avLst/>
                    </a:prstGeom>
                  </pic:spPr>
                </pic:pic>
              </a:graphicData>
            </a:graphic>
          </wp:inline>
        </w:drawing>
      </w:r>
    </w:p>
    <w:p w:rsidR="004F2D9B" w:rsidRDefault="004F2D9B" w:rsidP="004F2D9B">
      <w:pPr>
        <w:pStyle w:val="TableTitle"/>
      </w:pPr>
      <w:bookmarkStart w:id="170" w:name="_Toc434443736"/>
      <w:proofErr w:type="gramStart"/>
      <w:r>
        <w:lastRenderedPageBreak/>
        <w:t>Table 2</w:t>
      </w:r>
      <w:r w:rsidR="00EE7484">
        <w:t>3</w:t>
      </w:r>
      <w:r>
        <w:t xml:space="preserve">: </w:t>
      </w:r>
      <w:r w:rsidR="00E540B7" w:rsidRPr="004F2D9B">
        <w:t>Overall durations of exposure of BRV</w:t>
      </w:r>
      <w:r>
        <w:t>.</w:t>
      </w:r>
      <w:proofErr w:type="gramEnd"/>
    </w:p>
    <w:p w:rsidR="00E540B7" w:rsidRDefault="00E540B7" w:rsidP="00EB215B">
      <w:r>
        <w:rPr>
          <w:noProof/>
          <w:lang w:eastAsia="en-AU"/>
        </w:rPr>
        <w:drawing>
          <wp:inline distT="0" distB="0" distL="0" distR="0" wp14:anchorId="02236938" wp14:editId="2388375A">
            <wp:extent cx="4431755" cy="3590384"/>
            <wp:effectExtent l="0" t="0" r="6985" b="0"/>
            <wp:docPr id="11" name="Picture 11" descr="Table 23: Overall durations of exposure of B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33726" cy="3591981"/>
                    </a:xfrm>
                    <a:prstGeom prst="rect">
                      <a:avLst/>
                    </a:prstGeom>
                  </pic:spPr>
                </pic:pic>
              </a:graphicData>
            </a:graphic>
          </wp:inline>
        </w:drawing>
      </w:r>
    </w:p>
    <w:bookmarkEnd w:id="170"/>
    <w:p w:rsidR="004F2D9B" w:rsidRDefault="00E540B7" w:rsidP="004F2D9B">
      <w:pPr>
        <w:autoSpaceDE w:val="0"/>
        <w:autoSpaceDN w:val="0"/>
        <w:adjustRightInd w:val="0"/>
      </w:pPr>
      <w:r>
        <w:rPr>
          <w:noProof/>
          <w:lang w:eastAsia="en-AU"/>
        </w:rPr>
        <w:drawing>
          <wp:inline distT="0" distB="0" distL="0" distR="0" wp14:anchorId="18632872" wp14:editId="2F135217">
            <wp:extent cx="4510293" cy="857245"/>
            <wp:effectExtent l="0" t="0" r="5080" b="635"/>
            <wp:docPr id="12" name="Picture 12" descr="Table 23: Overall durations of exposure of B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09230" cy="857043"/>
                    </a:xfrm>
                    <a:prstGeom prst="rect">
                      <a:avLst/>
                    </a:prstGeom>
                  </pic:spPr>
                </pic:pic>
              </a:graphicData>
            </a:graphic>
          </wp:inline>
        </w:drawing>
      </w:r>
    </w:p>
    <w:p w:rsidR="00E540B7" w:rsidRDefault="00E540B7" w:rsidP="00E540B7">
      <w:pPr>
        <w:pStyle w:val="TableTitle"/>
      </w:pPr>
      <w:bookmarkStart w:id="171" w:name="_Toc434443737"/>
      <w:proofErr w:type="gramStart"/>
      <w:r>
        <w:t>Table 2</w:t>
      </w:r>
      <w:r w:rsidR="00EE7484">
        <w:t>4</w:t>
      </w:r>
      <w:r>
        <w:t xml:space="preserve">: </w:t>
      </w:r>
      <w:r w:rsidRPr="004F2D9B">
        <w:t>Overall expose to BRV by maximum daily dose</w:t>
      </w:r>
      <w:r>
        <w:t>.</w:t>
      </w:r>
      <w:proofErr w:type="gramEnd"/>
    </w:p>
    <w:bookmarkEnd w:id="171"/>
    <w:p w:rsidR="004F2D9B" w:rsidRDefault="00E540B7" w:rsidP="004F2D9B">
      <w:pPr>
        <w:autoSpaceDE w:val="0"/>
        <w:autoSpaceDN w:val="0"/>
        <w:adjustRightInd w:val="0"/>
      </w:pPr>
      <w:r>
        <w:rPr>
          <w:noProof/>
          <w:lang w:eastAsia="en-AU"/>
        </w:rPr>
        <w:drawing>
          <wp:inline distT="0" distB="0" distL="0" distR="0" wp14:anchorId="13410A6F" wp14:editId="413A0224">
            <wp:extent cx="5400040" cy="3323102"/>
            <wp:effectExtent l="0" t="0" r="0" b="0"/>
            <wp:docPr id="13" name="Picture 13" descr="Table 24: Overall expose to BRV by maximum dail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323102"/>
                    </a:xfrm>
                    <a:prstGeom prst="rect">
                      <a:avLst/>
                    </a:prstGeom>
                  </pic:spPr>
                </pic:pic>
              </a:graphicData>
            </a:graphic>
          </wp:inline>
        </w:drawing>
      </w:r>
    </w:p>
    <w:p w:rsidR="00605AD4" w:rsidRDefault="00605AD4" w:rsidP="00605AD4">
      <w:pPr>
        <w:pStyle w:val="Heading4"/>
      </w:pPr>
      <w:r w:rsidRPr="00605AD4">
        <w:lastRenderedPageBreak/>
        <w:t>Safety issues with the potential for major regulatory impact</w:t>
      </w:r>
    </w:p>
    <w:p w:rsidR="00E540B7" w:rsidRPr="000C26B6" w:rsidRDefault="00E540B7" w:rsidP="00E540B7">
      <w:pPr>
        <w:pStyle w:val="Heading5"/>
        <w:rPr>
          <w:color w:val="FF0000"/>
        </w:rPr>
      </w:pPr>
      <w:bookmarkStart w:id="172" w:name="_Toc272414681"/>
      <w:bookmarkStart w:id="173" w:name="_Toc434440215"/>
      <w:bookmarkStart w:id="174" w:name="_Toc434443835"/>
      <w:r w:rsidRPr="00EE30DC">
        <w:t>Liver toxicity</w:t>
      </w:r>
      <w:bookmarkEnd w:id="172"/>
      <w:bookmarkEnd w:id="173"/>
      <w:bookmarkEnd w:id="174"/>
    </w:p>
    <w:p w:rsidR="00E540B7" w:rsidRPr="00E540B7" w:rsidRDefault="00E540B7" w:rsidP="00E540B7">
      <w:r w:rsidRPr="00E540B7">
        <w:t>None identified.</w:t>
      </w:r>
    </w:p>
    <w:p w:rsidR="00E540B7" w:rsidRPr="00EE30DC" w:rsidRDefault="00E540B7" w:rsidP="00E540B7">
      <w:pPr>
        <w:pStyle w:val="Heading5"/>
      </w:pPr>
      <w:bookmarkStart w:id="175" w:name="_Toc272414682"/>
      <w:bookmarkStart w:id="176" w:name="_Toc434440216"/>
      <w:bookmarkStart w:id="177" w:name="_Toc434443836"/>
      <w:r w:rsidRPr="00EE30DC">
        <w:t>Haematological toxicity</w:t>
      </w:r>
      <w:bookmarkEnd w:id="175"/>
      <w:bookmarkEnd w:id="176"/>
      <w:bookmarkEnd w:id="177"/>
    </w:p>
    <w:p w:rsidR="00E77D45" w:rsidRDefault="00E77D45" w:rsidP="00E77D45">
      <w:r w:rsidRPr="00E540B7">
        <w:t>None identified.</w:t>
      </w:r>
    </w:p>
    <w:p w:rsidR="007F0C35" w:rsidRPr="00E540B7" w:rsidRDefault="007F0C35" w:rsidP="007F0C35">
      <w:pPr>
        <w:pStyle w:val="Heading5"/>
      </w:pPr>
      <w:r>
        <w:t>Abuse potential</w:t>
      </w:r>
    </w:p>
    <w:p w:rsidR="007F0C35" w:rsidRDefault="007F0C35" w:rsidP="00E77D45">
      <w:r w:rsidRPr="007F0C35">
        <w:t>There were no reports of abuse, misuse, dependence or withdrawal with BRV. Across all study pools, dizziness, somnolence, fatigue, and asthenia were the most common CNS events of interest. The incidence of euphoric mood and feeling drunk was low in patient p</w:t>
      </w:r>
      <w:r w:rsidR="00AA503F">
        <w:t>opulations but higher in Phase I</w:t>
      </w:r>
      <w:r w:rsidRPr="007F0C35">
        <w:t xml:space="preserve"> populations.</w:t>
      </w:r>
    </w:p>
    <w:p w:rsidR="007F0C35" w:rsidRDefault="007F0C35" w:rsidP="007F0C35">
      <w:pPr>
        <w:pStyle w:val="Heading5"/>
      </w:pPr>
      <w:r>
        <w:t>Falls</w:t>
      </w:r>
    </w:p>
    <w:p w:rsidR="007F0C35" w:rsidRDefault="007F0C35" w:rsidP="007F0C35">
      <w:r w:rsidRPr="007F0C35">
        <w:t>10 subjects in the PBO group and 133 in the BRV group reported at least 1 TEAE of fall.</w:t>
      </w:r>
    </w:p>
    <w:p w:rsidR="007F0C35" w:rsidRDefault="007F0C35" w:rsidP="00C514CC">
      <w:pPr>
        <w:pStyle w:val="TableTitle"/>
      </w:pPr>
      <w:r>
        <w:t>Table 2</w:t>
      </w:r>
      <w:r w:rsidR="00E60BBF">
        <w:t>5</w:t>
      </w:r>
      <w:r>
        <w:t xml:space="preserve">: </w:t>
      </w:r>
      <w:r w:rsidR="002B1A60">
        <w:t>Falls.</w:t>
      </w:r>
    </w:p>
    <w:p w:rsidR="007F0C35" w:rsidRPr="007F0C35" w:rsidRDefault="007F0C35" w:rsidP="007F0C35">
      <w:r>
        <w:rPr>
          <w:noProof/>
          <w:lang w:eastAsia="en-AU"/>
        </w:rPr>
        <w:drawing>
          <wp:inline distT="0" distB="0" distL="0" distR="0" wp14:anchorId="6970F34C" wp14:editId="2D328ABE">
            <wp:extent cx="4436998" cy="1217330"/>
            <wp:effectExtent l="0" t="0" r="1905" b="1905"/>
            <wp:docPr id="19" name="Picture 19" descr="Table 25: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38667" cy="1217788"/>
                    </a:xfrm>
                    <a:prstGeom prst="rect">
                      <a:avLst/>
                    </a:prstGeom>
                  </pic:spPr>
                </pic:pic>
              </a:graphicData>
            </a:graphic>
          </wp:inline>
        </w:drawing>
      </w:r>
    </w:p>
    <w:p w:rsidR="00E540B7" w:rsidRDefault="00E540B7" w:rsidP="007F0C35">
      <w:pPr>
        <w:pStyle w:val="Heading5"/>
        <w:rPr>
          <w:rFonts w:ascii="Calibri" w:hAnsi="Calibri" w:cs="Calibri"/>
          <w:color w:val="FF0000"/>
          <w:szCs w:val="22"/>
        </w:rPr>
      </w:pPr>
      <w:bookmarkStart w:id="178" w:name="_Toc272414684"/>
      <w:bookmarkStart w:id="179" w:name="_Toc434440218"/>
      <w:bookmarkStart w:id="180" w:name="_Toc434443838"/>
      <w:r w:rsidRPr="00EE30DC">
        <w:t>Cardiovascular safety</w:t>
      </w:r>
      <w:bookmarkEnd w:id="178"/>
      <w:bookmarkEnd w:id="179"/>
      <w:bookmarkEnd w:id="180"/>
    </w:p>
    <w:p w:rsidR="00E540B7" w:rsidRDefault="000A7E50" w:rsidP="00E540B7">
      <w:r>
        <w:t>None identified.</w:t>
      </w:r>
    </w:p>
    <w:p w:rsidR="00E540B7" w:rsidRPr="00E04F3D" w:rsidRDefault="00E540B7" w:rsidP="007F0C35">
      <w:pPr>
        <w:pStyle w:val="Heading5"/>
      </w:pPr>
      <w:bookmarkStart w:id="181" w:name="_Toc241374323"/>
      <w:bookmarkStart w:id="182" w:name="_Toc272414685"/>
      <w:bookmarkStart w:id="183" w:name="_Toc434440219"/>
      <w:bookmarkStart w:id="184" w:name="_Toc434443839"/>
      <w:r w:rsidRPr="00E04F3D">
        <w:t>Unwanted immunological events</w:t>
      </w:r>
      <w:bookmarkEnd w:id="181"/>
      <w:bookmarkEnd w:id="182"/>
      <w:bookmarkEnd w:id="183"/>
      <w:bookmarkEnd w:id="184"/>
    </w:p>
    <w:p w:rsidR="00E540B7" w:rsidRDefault="00E540B7" w:rsidP="00E540B7">
      <w:pPr>
        <w:autoSpaceDE w:val="0"/>
        <w:autoSpaceDN w:val="0"/>
        <w:adjustRightInd w:val="0"/>
      </w:pPr>
      <w:r>
        <w:t>None identified</w:t>
      </w:r>
      <w:r w:rsidR="000A7E50">
        <w:t>.</w:t>
      </w:r>
    </w:p>
    <w:p w:rsidR="00605AD4" w:rsidRDefault="00605AD4" w:rsidP="00605AD4">
      <w:pPr>
        <w:pStyle w:val="Heading4"/>
      </w:pPr>
      <w:r w:rsidRPr="00605AD4">
        <w:t>Post</w:t>
      </w:r>
      <w:r w:rsidR="00E63418">
        <w:t xml:space="preserve"> </w:t>
      </w:r>
      <w:r w:rsidRPr="00605AD4">
        <w:t>marketing data</w:t>
      </w:r>
    </w:p>
    <w:p w:rsidR="00232A97" w:rsidRPr="00232A97" w:rsidRDefault="000A7E50" w:rsidP="00232A97">
      <w:r>
        <w:t>Not applicable.</w:t>
      </w:r>
    </w:p>
    <w:p w:rsidR="00605AD4" w:rsidRPr="00605AD4" w:rsidRDefault="00605AD4" w:rsidP="00605AD4">
      <w:pPr>
        <w:pStyle w:val="Heading4"/>
      </w:pPr>
      <w:r w:rsidRPr="00605AD4">
        <w:t>Evaluator’s conclusions on safety</w:t>
      </w:r>
    </w:p>
    <w:p w:rsidR="007408B9" w:rsidRPr="007408B9" w:rsidRDefault="007408B9" w:rsidP="007408B9">
      <w:r w:rsidRPr="007408B9">
        <w:t>The</w:t>
      </w:r>
      <w:r w:rsidR="004B5F2E">
        <w:t xml:space="preserve"> risks that were common in the h</w:t>
      </w:r>
      <w:r w:rsidRPr="007408B9">
        <w:t>ealthy subjects (dizziness, somnolence, headache, and fatigue) were also common in the epilepsy subjects.</w:t>
      </w:r>
    </w:p>
    <w:p w:rsidR="00376D5E" w:rsidRDefault="007408B9" w:rsidP="007408B9">
      <w:r w:rsidRPr="007408B9">
        <w:t xml:space="preserve">In the </w:t>
      </w:r>
      <w:r w:rsidR="004B5F2E">
        <w:t>e</w:t>
      </w:r>
      <w:r w:rsidRPr="007408B9">
        <w:t xml:space="preserve">pilepsy Phase III </w:t>
      </w:r>
      <w:r w:rsidR="00B5612A">
        <w:t>double blind p</w:t>
      </w:r>
      <w:r w:rsidR="004B5F2E">
        <w:t xml:space="preserve">ool, </w:t>
      </w:r>
      <w:r w:rsidRPr="007408B9">
        <w:t>very common AEs (fatigue, irritability, somnolence and dizziness) were more common with brivaracetam than placebo (the exception was headache which appeared reduced)</w:t>
      </w:r>
      <w:r w:rsidR="00376D5E">
        <w:t>.</w:t>
      </w:r>
    </w:p>
    <w:p w:rsidR="007408B9" w:rsidRPr="007408B9" w:rsidRDefault="007408B9" w:rsidP="007408B9">
      <w:r w:rsidRPr="007408B9">
        <w:t xml:space="preserve">In relation to the </w:t>
      </w:r>
      <w:r w:rsidR="00F67FC5">
        <w:t>e</w:t>
      </w:r>
      <w:r w:rsidRPr="007408B9">
        <w:t>lderly (&gt; 65)</w:t>
      </w:r>
      <w:r w:rsidR="00F67FC5">
        <w:t>,</w:t>
      </w:r>
      <w:r w:rsidRPr="007408B9">
        <w:t xml:space="preserve"> there were only 44 subjects in the </w:t>
      </w:r>
      <w:r w:rsidR="00901CB2">
        <w:t>e</w:t>
      </w:r>
      <w:r w:rsidRPr="007408B9">
        <w:t xml:space="preserve">pilepsy </w:t>
      </w:r>
      <w:r w:rsidR="00901CB2">
        <w:t>a</w:t>
      </w:r>
      <w:r w:rsidRPr="007408B9">
        <w:t xml:space="preserve">ll </w:t>
      </w:r>
      <w:r w:rsidR="00901CB2">
        <w:t>treated p</w:t>
      </w:r>
      <w:r w:rsidRPr="007408B9">
        <w:t xml:space="preserve">ool and only fewer in the </w:t>
      </w:r>
      <w:r w:rsidR="00A807BD">
        <w:t>e</w:t>
      </w:r>
      <w:r w:rsidRPr="007408B9">
        <w:t xml:space="preserve">pilepsy Phase III </w:t>
      </w:r>
      <w:r w:rsidR="00A807BD">
        <w:t>double blind p</w:t>
      </w:r>
      <w:r w:rsidR="00901CB2">
        <w:t xml:space="preserve">ool. </w:t>
      </w:r>
      <w:r w:rsidRPr="007408B9">
        <w:t>However, no increase in toxicity was reported in elderly subjects.</w:t>
      </w:r>
    </w:p>
    <w:p w:rsidR="007408B9" w:rsidRPr="007408B9" w:rsidRDefault="007408B9" w:rsidP="007408B9">
      <w:r w:rsidRPr="007408B9">
        <w:t>On the data provided</w:t>
      </w:r>
      <w:r w:rsidR="00901CB2">
        <w:t>,</w:t>
      </w:r>
      <w:r w:rsidRPr="007408B9">
        <w:t xml:space="preserve"> there appeared to be reduced prevalence of the more common AEs in &lt;17 year group compared with adults.</w:t>
      </w:r>
    </w:p>
    <w:p w:rsidR="007408B9" w:rsidRPr="007408B9" w:rsidRDefault="007408B9" w:rsidP="007408B9">
      <w:r w:rsidRPr="007408B9">
        <w:t>No major safety issues are identified.</w:t>
      </w:r>
    </w:p>
    <w:p w:rsidR="00605AD4" w:rsidRPr="00605AD4" w:rsidRDefault="00605AD4" w:rsidP="00605AD4">
      <w:pPr>
        <w:pStyle w:val="Heading3"/>
        <w:rPr>
          <w:rFonts w:eastAsia="Cambria"/>
        </w:rPr>
      </w:pPr>
      <w:bookmarkStart w:id="185" w:name="_Toc479595233"/>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85"/>
    </w:p>
    <w:p w:rsidR="00605AD4" w:rsidRDefault="00605AD4" w:rsidP="00605AD4">
      <w:pPr>
        <w:pStyle w:val="Heading4"/>
      </w:pPr>
      <w:r w:rsidRPr="00605AD4">
        <w:t>First round assessment of benefits</w:t>
      </w:r>
    </w:p>
    <w:p w:rsidR="007408B9" w:rsidRPr="007408B9" w:rsidRDefault="007408B9" w:rsidP="007408B9">
      <w:r w:rsidRPr="007408B9">
        <w:t>The benefits of brivaracetam in the proposed usage are:</w:t>
      </w:r>
    </w:p>
    <w:p w:rsidR="007408B9" w:rsidRPr="007408B9" w:rsidRDefault="007408B9" w:rsidP="007408B9">
      <w:pPr>
        <w:pStyle w:val="ListBullet"/>
      </w:pPr>
      <w:r w:rsidRPr="007408B9">
        <w:t>An anticonvulsant that has similarities with only one other anticonvulsant currently available (</w:t>
      </w:r>
      <w:proofErr w:type="spellStart"/>
      <w:r w:rsidRPr="007408B9">
        <w:t>levetiracetam</w:t>
      </w:r>
      <w:proofErr w:type="spellEnd"/>
      <w:r w:rsidRPr="007408B9">
        <w:t>) with some preclinical evidence to support superiority</w:t>
      </w:r>
      <w:r w:rsidR="00CD0AD1">
        <w:t>.</w:t>
      </w:r>
    </w:p>
    <w:p w:rsidR="00376D5E" w:rsidRDefault="007408B9" w:rsidP="007408B9">
      <w:pPr>
        <w:pStyle w:val="ListBullet"/>
      </w:pPr>
      <w:r w:rsidRPr="007408B9">
        <w:t>Based on the most optimistic data from the 200</w:t>
      </w:r>
      <w:r w:rsidR="00CD0AD1">
        <w:t xml:space="preserve"> </w:t>
      </w:r>
      <w:r w:rsidRPr="007408B9">
        <w:t xml:space="preserve">mg/day BRV study group from N01358, NNT </w:t>
      </w:r>
      <w:proofErr w:type="gramStart"/>
      <w:r w:rsidRPr="007408B9">
        <w:t>is</w:t>
      </w:r>
      <w:proofErr w:type="gramEnd"/>
      <w:r w:rsidRPr="007408B9">
        <w:t xml:space="preserve"> 6.2 per additional responder compared to placebo</w:t>
      </w:r>
      <w:r w:rsidR="00376D5E">
        <w:t>.</w:t>
      </w:r>
    </w:p>
    <w:p w:rsidR="007408B9" w:rsidRPr="007408B9" w:rsidRDefault="007408B9" w:rsidP="007408B9">
      <w:pPr>
        <w:pStyle w:val="ListBullet"/>
      </w:pPr>
      <w:r w:rsidRPr="007408B9">
        <w:t>The mean Percent Change from Baseline in Seizure Frequency per 28 Days and the Responder Rate seemed to improve in those continuing on the drug.</w:t>
      </w:r>
    </w:p>
    <w:p w:rsidR="007408B9" w:rsidRPr="007408B9" w:rsidRDefault="007408B9" w:rsidP="007408B9">
      <w:pPr>
        <w:pStyle w:val="ListBullet"/>
      </w:pPr>
      <w:r w:rsidRPr="007408B9">
        <w:t>There are relatively few discontinuations in the long term (14.1%)</w:t>
      </w:r>
      <w:r w:rsidR="00CD0AD1">
        <w:t>.</w:t>
      </w:r>
    </w:p>
    <w:p w:rsidR="00605AD4" w:rsidRDefault="00605AD4" w:rsidP="00605AD4">
      <w:pPr>
        <w:pStyle w:val="Heading4"/>
      </w:pPr>
      <w:r w:rsidRPr="00605AD4">
        <w:t>First round assessment of risks</w:t>
      </w:r>
    </w:p>
    <w:p w:rsidR="007408B9" w:rsidRPr="007408B9" w:rsidRDefault="007408B9" w:rsidP="007408B9">
      <w:r w:rsidRPr="007408B9">
        <w:t>The risks of brivaracetam in the proposed usage are:</w:t>
      </w:r>
    </w:p>
    <w:p w:rsidR="007408B9" w:rsidRPr="007408B9" w:rsidRDefault="007408B9" w:rsidP="007408B9">
      <w:pPr>
        <w:pStyle w:val="ListBullet"/>
      </w:pPr>
      <w:r w:rsidRPr="007408B9">
        <w:t>Safety data are thoroughly established and safety profile seems favourable in the population examined so far.</w:t>
      </w:r>
    </w:p>
    <w:p w:rsidR="007408B9" w:rsidRPr="007408B9" w:rsidRDefault="007408B9" w:rsidP="007408B9">
      <w:pPr>
        <w:pStyle w:val="ListBullet"/>
      </w:pPr>
      <w:r w:rsidRPr="007408B9">
        <w:t>In the add-on setting determination of plasma concentrations seemed to have some bearing on pharmacodynamic effect but inspection of the dose-response graphs would suggest that this effect is fairly weak and variable. Moreover, differences in study design appear insufficient to explain variability in efficacy variables seen across the studies.</w:t>
      </w:r>
    </w:p>
    <w:p w:rsidR="00376D5E" w:rsidRDefault="007408B9" w:rsidP="007408B9">
      <w:pPr>
        <w:pStyle w:val="ListBullet"/>
      </w:pPr>
      <w:r w:rsidRPr="007408B9">
        <w:t>Adequate data is submitted with regards to special populations although numbers of elderly with sufficient level of exposure are small</w:t>
      </w:r>
      <w:r w:rsidR="00376D5E">
        <w:t>.</w:t>
      </w:r>
    </w:p>
    <w:p w:rsidR="007408B9" w:rsidRPr="007408B9" w:rsidRDefault="007408B9" w:rsidP="007408B9">
      <w:pPr>
        <w:pStyle w:val="ListBullet"/>
      </w:pPr>
      <w:r w:rsidRPr="007408B9">
        <w:t>The earlier pivotal studies were complicated by too many dose arms. Sufficient informati</w:t>
      </w:r>
      <w:r w:rsidR="00CD0AD1">
        <w:t>on is contained within P</w:t>
      </w:r>
      <w:r w:rsidRPr="007408B9">
        <w:t>hase II and pivotal studies in order to establish the lower end of the clinically effective dose range but not, in the evaluator’s opinion, the optimal effective dose. It is contended that this data will be supplemented by LTFU studies – although this method is potentially problematic. Only one pivotal study supports the use of a 200</w:t>
      </w:r>
      <w:r w:rsidR="0039213A">
        <w:t xml:space="preserve"> </w:t>
      </w:r>
      <w:r w:rsidRPr="007408B9">
        <w:t>mg/day dose and in this study 200</w:t>
      </w:r>
      <w:r w:rsidR="0039213A">
        <w:t xml:space="preserve"> </w:t>
      </w:r>
      <w:r w:rsidRPr="007408B9">
        <w:t>mg was found only marginally (numerically) superior to the 100</w:t>
      </w:r>
      <w:r w:rsidR="0039213A">
        <w:t xml:space="preserve"> </w:t>
      </w:r>
      <w:r w:rsidRPr="007408B9">
        <w:t>mg comparator in that study (N01358).</w:t>
      </w:r>
    </w:p>
    <w:p w:rsidR="00605AD4" w:rsidRPr="00605AD4" w:rsidRDefault="00605AD4" w:rsidP="00605AD4">
      <w:pPr>
        <w:pStyle w:val="Heading4"/>
      </w:pPr>
      <w:r w:rsidRPr="00605AD4">
        <w:t>First round assessment of benefit-risk balance</w:t>
      </w:r>
    </w:p>
    <w:p w:rsidR="00376D5E" w:rsidRDefault="007408B9" w:rsidP="007408B9">
      <w:r>
        <w:t>The benefit-risk balance of brivaracetam given the proposed usage is favourable. This is determined on the basis that the risk profile is favourable and the efficacy data generally shows efficacy over placebo in the dosage range proposed</w:t>
      </w:r>
      <w:r w:rsidR="00376D5E">
        <w:t>.</w:t>
      </w:r>
    </w:p>
    <w:p w:rsidR="00605AD4" w:rsidRPr="00605AD4" w:rsidRDefault="00605AD4" w:rsidP="00605AD4">
      <w:pPr>
        <w:pStyle w:val="Heading3"/>
        <w:rPr>
          <w:rFonts w:eastAsia="Cambria"/>
        </w:rPr>
      </w:pPr>
      <w:bookmarkStart w:id="186" w:name="_Toc479595234"/>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86"/>
    </w:p>
    <w:p w:rsidR="00376D5E" w:rsidRDefault="007408B9" w:rsidP="007408B9">
      <w:r>
        <w:t>Despite the evaluator’s concerns about the relatively weaker dataset supporting the 200 mg/day dose, the recommendation is for approval of the submission as it stands</w:t>
      </w:r>
      <w:r w:rsidR="00376D5E">
        <w:t>.</w:t>
      </w:r>
    </w:p>
    <w:p w:rsidR="00605AD4" w:rsidRPr="00605AD4" w:rsidRDefault="00605AD4" w:rsidP="00605AD4">
      <w:pPr>
        <w:pStyle w:val="Heading3"/>
        <w:rPr>
          <w:rFonts w:eastAsia="Cambria"/>
        </w:rPr>
      </w:pPr>
      <w:bookmarkStart w:id="187" w:name="_Toc479595235"/>
      <w:r w:rsidRPr="00605AD4">
        <w:rPr>
          <w:rFonts w:eastAsia="Cambria"/>
        </w:rPr>
        <w:t xml:space="preserve">Clinical </w:t>
      </w:r>
      <w:r w:rsidR="00E63418">
        <w:rPr>
          <w:rFonts w:eastAsia="Cambria"/>
        </w:rPr>
        <w:t>q</w:t>
      </w:r>
      <w:r w:rsidRPr="00605AD4">
        <w:rPr>
          <w:rFonts w:eastAsia="Cambria"/>
        </w:rPr>
        <w:t>uestions</w:t>
      </w:r>
      <w:bookmarkEnd w:id="187"/>
    </w:p>
    <w:p w:rsidR="007408B9" w:rsidRDefault="007408B9" w:rsidP="007408B9">
      <w:r w:rsidRPr="007408B9">
        <w:t>Clarification is sought by the evaluator about the pooled results presented in the table below</w:t>
      </w:r>
      <w:r>
        <w:t xml:space="preserve"> </w:t>
      </w:r>
      <w:r w:rsidRPr="007408B9">
        <w:t>where a percentage reduction over placebo appears different in the BRV groups than that reported in the core text of N01252.</w:t>
      </w:r>
    </w:p>
    <w:p w:rsidR="0039213A" w:rsidRDefault="0039213A" w:rsidP="0039213A">
      <w:pPr>
        <w:pStyle w:val="TableTitle"/>
      </w:pPr>
      <w:r>
        <w:lastRenderedPageBreak/>
        <w:t xml:space="preserve">Table 26: </w:t>
      </w:r>
      <w:r w:rsidR="003459ED">
        <w:t xml:space="preserve">US primary endpoint: percent reduction over PBO for 28-day adjusted POS frequency in N01252, </w:t>
      </w:r>
      <w:r w:rsidR="004002D0">
        <w:t>N01253, N01358, and Pool E1</w:t>
      </w:r>
      <w:r>
        <w:t>.</w:t>
      </w:r>
    </w:p>
    <w:p w:rsidR="00CF09CE" w:rsidRDefault="00CF09CE" w:rsidP="00EB215B">
      <w:r>
        <w:rPr>
          <w:noProof/>
          <w:lang w:eastAsia="en-AU"/>
        </w:rPr>
        <w:drawing>
          <wp:inline distT="0" distB="0" distL="0" distR="0" wp14:anchorId="473D9580" wp14:editId="209D2AC2">
            <wp:extent cx="4234312" cy="3921262"/>
            <wp:effectExtent l="0" t="0" r="0" b="3175"/>
            <wp:docPr id="20" name="Picture 20" descr="Table 26: US primary endpoint: percent reduction over PBO for 28-day adjusted POS frequency in N01252, N01253, N01358, and Pool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36396" cy="3923192"/>
                    </a:xfrm>
                    <a:prstGeom prst="rect">
                      <a:avLst/>
                    </a:prstGeom>
                  </pic:spPr>
                </pic:pic>
              </a:graphicData>
            </a:graphic>
          </wp:inline>
        </w:drawing>
      </w:r>
    </w:p>
    <w:p w:rsidR="007408B9" w:rsidRDefault="00CF09CE" w:rsidP="007408B9">
      <w:r>
        <w:rPr>
          <w:noProof/>
          <w:lang w:eastAsia="en-AU"/>
        </w:rPr>
        <w:drawing>
          <wp:inline distT="0" distB="0" distL="0" distR="0" wp14:anchorId="5376FAE1" wp14:editId="16836095">
            <wp:extent cx="4162484" cy="1431521"/>
            <wp:effectExtent l="0" t="0" r="0" b="0"/>
            <wp:docPr id="21" name="Picture 21" descr="Table 26: US primary endpoint: percent reduction over PBO for 28-day adjusted POS frequency in N01252, N01253, N01358, and Pool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63109" cy="1431736"/>
                    </a:xfrm>
                    <a:prstGeom prst="rect">
                      <a:avLst/>
                    </a:prstGeom>
                  </pic:spPr>
                </pic:pic>
              </a:graphicData>
            </a:graphic>
          </wp:inline>
        </w:drawing>
      </w:r>
    </w:p>
    <w:p w:rsidR="007408B9" w:rsidRPr="007C507F" w:rsidRDefault="007408B9" w:rsidP="007C1A36">
      <w:pPr>
        <w:pStyle w:val="Heading4"/>
      </w:pPr>
      <w:bookmarkStart w:id="188" w:name="_Toc272414703"/>
      <w:bookmarkStart w:id="189" w:name="_Toc434440237"/>
      <w:bookmarkStart w:id="190" w:name="_Toc434443856"/>
      <w:r w:rsidRPr="00D414FA">
        <w:t>Pharmacodynamics</w:t>
      </w:r>
      <w:bookmarkEnd w:id="188"/>
      <w:bookmarkEnd w:id="189"/>
      <w:bookmarkEnd w:id="190"/>
    </w:p>
    <w:p w:rsidR="007408B9" w:rsidRDefault="007408B9" w:rsidP="007408B9">
      <w:r>
        <w:t>None</w:t>
      </w:r>
    </w:p>
    <w:p w:rsidR="007408B9" w:rsidRPr="00461D27" w:rsidRDefault="007408B9" w:rsidP="007C1A36">
      <w:pPr>
        <w:pStyle w:val="Heading4"/>
      </w:pPr>
      <w:bookmarkStart w:id="191" w:name="_Toc272414704"/>
      <w:bookmarkStart w:id="192" w:name="_Toc434440238"/>
      <w:bookmarkStart w:id="193" w:name="_Toc434443857"/>
      <w:r w:rsidRPr="00D414FA">
        <w:t>Efficacy</w:t>
      </w:r>
      <w:bookmarkEnd w:id="191"/>
      <w:bookmarkEnd w:id="192"/>
      <w:bookmarkEnd w:id="193"/>
    </w:p>
    <w:p w:rsidR="00376D5E" w:rsidRDefault="007408B9" w:rsidP="007408B9">
      <w:r>
        <w:t>Pooled Safety analyses were done including bot</w:t>
      </w:r>
      <w:r w:rsidR="00E52391">
        <w:t xml:space="preserve">h pivotal (S1) and pivotal and </w:t>
      </w:r>
      <w:r w:rsidR="00B520F8">
        <w:t>P</w:t>
      </w:r>
      <w:r>
        <w:t>hase II studies (S3) but not pooled efficacy analyses</w:t>
      </w:r>
      <w:r w:rsidR="00376D5E">
        <w:t>.</w:t>
      </w:r>
    </w:p>
    <w:p w:rsidR="007408B9" w:rsidRDefault="007408B9" w:rsidP="007C1A36">
      <w:pPr>
        <w:pStyle w:val="Heading4"/>
      </w:pPr>
      <w:r>
        <w:t>Other</w:t>
      </w:r>
    </w:p>
    <w:p w:rsidR="007408B9" w:rsidRDefault="007408B9" w:rsidP="007408B9">
      <w:r>
        <w:t>Why are so many tablet strengths being made available? Might this not increase medication errors?</w:t>
      </w:r>
    </w:p>
    <w:p w:rsidR="00605AD4" w:rsidRPr="00605AD4" w:rsidRDefault="00605AD4" w:rsidP="00605AD4">
      <w:pPr>
        <w:pStyle w:val="Heading3"/>
        <w:rPr>
          <w:rFonts w:eastAsia="Cambria"/>
        </w:rPr>
      </w:pPr>
      <w:bookmarkStart w:id="194" w:name="_Toc479595236"/>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94"/>
    </w:p>
    <w:p w:rsidR="00CF09CE" w:rsidRPr="00605AD4" w:rsidRDefault="00CF09CE" w:rsidP="00CF09CE">
      <w:r>
        <w:t>Details of sponsor’s responses to clinical questions and evaluator’s subsequent comments are contained in Attachment 2.</w:t>
      </w:r>
    </w:p>
    <w:p w:rsidR="00605AD4" w:rsidRPr="00605AD4" w:rsidRDefault="00605AD4" w:rsidP="00546154">
      <w:pPr>
        <w:pStyle w:val="Heading3"/>
        <w:rPr>
          <w:rFonts w:eastAsia="Cambria"/>
        </w:rPr>
      </w:pPr>
      <w:bookmarkStart w:id="195" w:name="_Toc479595237"/>
      <w:r w:rsidRPr="00605AD4">
        <w:rPr>
          <w:rFonts w:eastAsia="Cambria"/>
        </w:rPr>
        <w:lastRenderedPageBreak/>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95"/>
    </w:p>
    <w:p w:rsidR="005A1626" w:rsidRPr="009E5085" w:rsidRDefault="005A1626" w:rsidP="005A1626">
      <w:pPr>
        <w:pStyle w:val="Heading4"/>
      </w:pPr>
      <w:bookmarkStart w:id="196" w:name="_Toc272414709"/>
      <w:bookmarkStart w:id="197" w:name="_Toc290846349"/>
      <w:bookmarkStart w:id="198" w:name="_Toc442359398"/>
      <w:r w:rsidRPr="009E5085">
        <w:t>Second round assessment of benefits</w:t>
      </w:r>
      <w:bookmarkEnd w:id="196"/>
      <w:bookmarkEnd w:id="197"/>
      <w:bookmarkEnd w:id="198"/>
    </w:p>
    <w:p w:rsidR="005A1626" w:rsidRPr="00D86178" w:rsidRDefault="005A1626" w:rsidP="005A1626">
      <w:bookmarkStart w:id="199" w:name="_Toc272414710"/>
      <w:bookmarkStart w:id="200" w:name="_Toc290846350"/>
      <w:r w:rsidRPr="005A1626">
        <w:t xml:space="preserve">After consideration of the responses to clinical questions, the benefits of brivaracetam in the proposed usage are unchanged from those identified in </w:t>
      </w:r>
      <w:r>
        <w:t>the first round</w:t>
      </w:r>
      <w:r w:rsidRPr="005A1626">
        <w:t>.</w:t>
      </w:r>
    </w:p>
    <w:p w:rsidR="005A1626" w:rsidRDefault="005A1626" w:rsidP="005A1626">
      <w:pPr>
        <w:pStyle w:val="Heading4"/>
      </w:pPr>
      <w:bookmarkStart w:id="201" w:name="_Toc442359399"/>
      <w:r w:rsidRPr="009E5085">
        <w:t>Second round assessment of risks</w:t>
      </w:r>
      <w:bookmarkEnd w:id="199"/>
      <w:bookmarkEnd w:id="200"/>
      <w:bookmarkEnd w:id="201"/>
    </w:p>
    <w:p w:rsidR="00BB51B0" w:rsidRPr="00C4721D" w:rsidRDefault="00BB51B0" w:rsidP="005A1626">
      <w:r w:rsidRPr="00BB51B0">
        <w:t xml:space="preserve">After consideration of the responses to clinical questions, the benefits of BRV in the proposed usage are unchanged from those identified </w:t>
      </w:r>
      <w:r w:rsidRPr="005A1626">
        <w:t xml:space="preserve">in </w:t>
      </w:r>
      <w:r>
        <w:t>the first round</w:t>
      </w:r>
      <w:r w:rsidRPr="00BB51B0">
        <w:t>.</w:t>
      </w:r>
    </w:p>
    <w:p w:rsidR="005A1626" w:rsidRPr="009E5085" w:rsidRDefault="005A1626" w:rsidP="005A1626">
      <w:pPr>
        <w:pStyle w:val="Heading4"/>
      </w:pPr>
      <w:bookmarkStart w:id="202" w:name="_Toc272414711"/>
      <w:bookmarkStart w:id="203" w:name="_Toc290846351"/>
      <w:bookmarkStart w:id="204" w:name="_Toc442359400"/>
      <w:r w:rsidRPr="009E5085">
        <w:t>Second round assessment of benefit-risk balance</w:t>
      </w:r>
      <w:bookmarkEnd w:id="202"/>
      <w:bookmarkEnd w:id="203"/>
      <w:bookmarkEnd w:id="204"/>
    </w:p>
    <w:p w:rsidR="00EA05CE" w:rsidRPr="00C4721D" w:rsidRDefault="00EA05CE" w:rsidP="005A1626">
      <w:r w:rsidRPr="00EA05CE">
        <w:t xml:space="preserve">The benefit-risk balance </w:t>
      </w:r>
      <w:r w:rsidR="006809B7">
        <w:t>of BRV given the proposed usage</w:t>
      </w:r>
      <w:r w:rsidRPr="00EA05CE">
        <w:t xml:space="preserve"> is favourable. The reviewer accepts the antiepileptic action of BRV and the favourable side-effect profile.</w:t>
      </w:r>
    </w:p>
    <w:p w:rsidR="005A1626" w:rsidRDefault="005A1626" w:rsidP="005A1626">
      <w:pPr>
        <w:pStyle w:val="Heading3"/>
      </w:pPr>
      <w:bookmarkStart w:id="205" w:name="_Toc460583202"/>
      <w:bookmarkStart w:id="206" w:name="_Toc479595238"/>
      <w:r>
        <w:t>Second round recommendation regarding authorisation</w:t>
      </w:r>
      <w:bookmarkEnd w:id="205"/>
      <w:bookmarkEnd w:id="206"/>
    </w:p>
    <w:p w:rsidR="00EA05CE" w:rsidRDefault="00EA05CE" w:rsidP="005A1626">
      <w:r w:rsidRPr="00EA05CE">
        <w:t>The reviewer accepts the submission as it stands.</w:t>
      </w:r>
    </w:p>
    <w:p w:rsidR="008E7846" w:rsidRPr="00E41208" w:rsidRDefault="008E7846" w:rsidP="00546154">
      <w:pPr>
        <w:pStyle w:val="Heading2"/>
      </w:pPr>
      <w:bookmarkStart w:id="207" w:name="_Toc479595239"/>
      <w:r w:rsidRPr="00E41208">
        <w:t xml:space="preserve">V. Pharmacovigilance </w:t>
      </w:r>
      <w:r>
        <w:t>f</w:t>
      </w:r>
      <w:r w:rsidRPr="00E41208">
        <w:t>indings</w:t>
      </w:r>
      <w:bookmarkEnd w:id="165"/>
      <w:bookmarkEnd w:id="166"/>
      <w:bookmarkEnd w:id="207"/>
    </w:p>
    <w:p w:rsidR="008E7846" w:rsidRDefault="00386150" w:rsidP="008E7846">
      <w:pPr>
        <w:pStyle w:val="Heading3"/>
        <w:rPr>
          <w:lang w:eastAsia="en-AU"/>
        </w:rPr>
      </w:pPr>
      <w:bookmarkStart w:id="208" w:name="_Toc247691526"/>
      <w:bookmarkStart w:id="209" w:name="_Toc314842509"/>
      <w:bookmarkStart w:id="210" w:name="_Toc479595240"/>
      <w:r>
        <w:rPr>
          <w:lang w:eastAsia="en-AU"/>
        </w:rPr>
        <w:t>Risk m</w:t>
      </w:r>
      <w:r w:rsidR="008E7846">
        <w:rPr>
          <w:lang w:eastAsia="en-AU"/>
        </w:rPr>
        <w:t xml:space="preserve">anagement </w:t>
      </w:r>
      <w:r>
        <w:rPr>
          <w:lang w:eastAsia="en-AU"/>
        </w:rPr>
        <w:t>p</w:t>
      </w:r>
      <w:r w:rsidR="008E7846">
        <w:rPr>
          <w:lang w:eastAsia="en-AU"/>
        </w:rPr>
        <w:t>lan</w:t>
      </w:r>
      <w:bookmarkEnd w:id="208"/>
      <w:bookmarkEnd w:id="209"/>
      <w:bookmarkEnd w:id="210"/>
    </w:p>
    <w:p w:rsidR="008E7846" w:rsidRDefault="008E7846" w:rsidP="008E7846">
      <w:pPr>
        <w:rPr>
          <w:lang w:eastAsia="en-AU"/>
        </w:rPr>
      </w:pPr>
      <w:r>
        <w:rPr>
          <w:lang w:eastAsia="en-AU"/>
        </w:rPr>
        <w:t>The sponsor submitted a</w:t>
      </w:r>
      <w:r w:rsidR="00475B6F">
        <w:rPr>
          <w:lang w:eastAsia="en-AU"/>
        </w:rPr>
        <w:t>n</w:t>
      </w:r>
      <w:r>
        <w:rPr>
          <w:lang w:eastAsia="en-AU"/>
        </w:rPr>
        <w:t xml:space="preserve"> </w:t>
      </w:r>
      <w:r w:rsidR="00FC7CF2" w:rsidRPr="00FC7CF2">
        <w:rPr>
          <w:lang w:eastAsia="en-AU"/>
        </w:rPr>
        <w:t xml:space="preserve">EU-RMP Version 6 (dated 11 January 2016, </w:t>
      </w:r>
      <w:r w:rsidR="00CC69C3" w:rsidRPr="007D14A1">
        <w:t>d</w:t>
      </w:r>
      <w:r w:rsidR="00CC69C3">
        <w:t>ata lock point [</w:t>
      </w:r>
      <w:r w:rsidR="00FC7CF2" w:rsidRPr="00FC7CF2">
        <w:rPr>
          <w:lang w:eastAsia="en-AU"/>
        </w:rPr>
        <w:t>DLP</w:t>
      </w:r>
      <w:r w:rsidR="00CC69C3">
        <w:rPr>
          <w:lang w:eastAsia="en-AU"/>
        </w:rPr>
        <w:t>]</w:t>
      </w:r>
      <w:r w:rsidR="00FC7CF2" w:rsidRPr="00FC7CF2">
        <w:rPr>
          <w:lang w:eastAsia="en-AU"/>
        </w:rPr>
        <w:t xml:space="preserve"> 17 January 2014), with Australian Specific Annex </w:t>
      </w:r>
      <w:r w:rsidR="00AC1494">
        <w:rPr>
          <w:lang w:eastAsia="en-AU"/>
        </w:rPr>
        <w:t xml:space="preserve">(ASA) </w:t>
      </w:r>
      <w:r w:rsidR="00FC7CF2" w:rsidRPr="00FC7CF2">
        <w:rPr>
          <w:lang w:eastAsia="en-AU"/>
        </w:rPr>
        <w:t>Version 1.0</w:t>
      </w:r>
      <w:r w:rsidR="00FC7CF2">
        <w:rPr>
          <w:lang w:eastAsia="en-AU"/>
        </w:rPr>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9F03F7">
        <w:rPr>
          <w:lang w:eastAsia="en-AU"/>
        </w:rPr>
        <w:t>27</w:t>
      </w:r>
      <w:r>
        <w:rPr>
          <w:lang w:eastAsia="en-AU"/>
        </w:rPr>
        <w:t>.</w:t>
      </w:r>
    </w:p>
    <w:p w:rsidR="00232A97" w:rsidRDefault="00475B6F" w:rsidP="00232A97">
      <w:pPr>
        <w:pStyle w:val="TableTitle"/>
      </w:pPr>
      <w:proofErr w:type="gramStart"/>
      <w:r>
        <w:t>Table 27</w:t>
      </w:r>
      <w:r w:rsidR="00232A97">
        <w:t>:</w:t>
      </w:r>
      <w:r w:rsidR="00232A97" w:rsidRPr="004C5C28">
        <w:t xml:space="preserve"> </w:t>
      </w:r>
      <w:r w:rsidR="00232A97">
        <w:t>Ongoing safety concerns.</w:t>
      </w:r>
      <w:proofErr w:type="gramEnd"/>
    </w:p>
    <w:tbl>
      <w:tblPr>
        <w:tblStyle w:val="TableTGAblue"/>
        <w:tblW w:w="0" w:type="auto"/>
        <w:tblLook w:val="04A0" w:firstRow="1" w:lastRow="0" w:firstColumn="1" w:lastColumn="0" w:noHBand="0" w:noVBand="1"/>
      </w:tblPr>
      <w:tblGrid>
        <w:gridCol w:w="2802"/>
        <w:gridCol w:w="5918"/>
      </w:tblGrid>
      <w:tr w:rsidR="005D310D" w:rsidRPr="00EB215B" w:rsidTr="00EB215B">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5D310D" w:rsidRPr="00EB215B" w:rsidRDefault="005D310D" w:rsidP="00EB215B">
            <w:pPr>
              <w:rPr>
                <w:b w:val="0"/>
                <w:sz w:val="20"/>
                <w:szCs w:val="20"/>
              </w:rPr>
            </w:pPr>
            <w:r w:rsidRPr="00EB215B">
              <w:rPr>
                <w:sz w:val="20"/>
                <w:szCs w:val="20"/>
              </w:rPr>
              <w:t>Ongoing Safety Concerns</w:t>
            </w:r>
          </w:p>
        </w:tc>
      </w:tr>
      <w:tr w:rsidR="005D310D" w:rsidRPr="00EB215B" w:rsidTr="00EB215B">
        <w:tc>
          <w:tcPr>
            <w:tcW w:w="2802" w:type="dxa"/>
          </w:tcPr>
          <w:p w:rsidR="005D310D" w:rsidRPr="00EB215B" w:rsidRDefault="005D310D" w:rsidP="00EB215B">
            <w:pPr>
              <w:rPr>
                <w:sz w:val="20"/>
                <w:szCs w:val="20"/>
              </w:rPr>
            </w:pPr>
            <w:r w:rsidRPr="00EB215B">
              <w:rPr>
                <w:sz w:val="20"/>
                <w:szCs w:val="20"/>
              </w:rPr>
              <w:t>Important identified risks</w:t>
            </w:r>
          </w:p>
        </w:tc>
        <w:tc>
          <w:tcPr>
            <w:tcW w:w="5918" w:type="dxa"/>
          </w:tcPr>
          <w:p w:rsidR="005D310D" w:rsidRPr="00EB215B" w:rsidRDefault="005D310D" w:rsidP="00EB215B">
            <w:pPr>
              <w:rPr>
                <w:sz w:val="20"/>
                <w:szCs w:val="20"/>
              </w:rPr>
            </w:pPr>
            <w:r w:rsidRPr="00EB215B">
              <w:rPr>
                <w:sz w:val="20"/>
                <w:szCs w:val="20"/>
              </w:rPr>
              <w:t>Suicidality (class label for anticonvulsant products)</w:t>
            </w:r>
          </w:p>
        </w:tc>
      </w:tr>
      <w:tr w:rsidR="005D310D" w:rsidRPr="00EB215B" w:rsidTr="00EB215B">
        <w:tc>
          <w:tcPr>
            <w:tcW w:w="2802" w:type="dxa"/>
            <w:vMerge w:val="restart"/>
          </w:tcPr>
          <w:p w:rsidR="005D310D" w:rsidRPr="00EB215B" w:rsidRDefault="005D310D" w:rsidP="00EB215B">
            <w:pPr>
              <w:rPr>
                <w:sz w:val="20"/>
                <w:szCs w:val="20"/>
              </w:rPr>
            </w:pPr>
            <w:r w:rsidRPr="00EB215B">
              <w:rPr>
                <w:sz w:val="20"/>
                <w:szCs w:val="20"/>
              </w:rPr>
              <w:t>Important potential risks</w:t>
            </w:r>
          </w:p>
        </w:tc>
        <w:tc>
          <w:tcPr>
            <w:tcW w:w="5918" w:type="dxa"/>
          </w:tcPr>
          <w:p w:rsidR="005D310D" w:rsidRPr="00EB215B" w:rsidRDefault="005D310D" w:rsidP="00EB215B">
            <w:pPr>
              <w:rPr>
                <w:sz w:val="20"/>
                <w:szCs w:val="20"/>
              </w:rPr>
            </w:pPr>
            <w:r w:rsidRPr="00EB215B">
              <w:rPr>
                <w:sz w:val="20"/>
                <w:szCs w:val="20"/>
              </w:rPr>
              <w:t xml:space="preserve">Neutropenia </w:t>
            </w:r>
          </w:p>
        </w:tc>
      </w:tr>
      <w:tr w:rsidR="005D310D" w:rsidRPr="00EB215B" w:rsidTr="00EB215B">
        <w:tc>
          <w:tcPr>
            <w:tcW w:w="2802" w:type="dxa"/>
            <w:vMerge/>
          </w:tcPr>
          <w:p w:rsidR="005D310D" w:rsidRPr="00EB215B" w:rsidRDefault="005D310D" w:rsidP="00EB215B">
            <w:pPr>
              <w:rPr>
                <w:sz w:val="20"/>
                <w:szCs w:val="20"/>
              </w:rPr>
            </w:pPr>
          </w:p>
        </w:tc>
        <w:tc>
          <w:tcPr>
            <w:tcW w:w="5918" w:type="dxa"/>
          </w:tcPr>
          <w:p w:rsidR="005D310D" w:rsidRPr="00EB215B" w:rsidRDefault="005D310D" w:rsidP="00EB215B">
            <w:pPr>
              <w:rPr>
                <w:sz w:val="20"/>
                <w:szCs w:val="20"/>
              </w:rPr>
            </w:pPr>
            <w:r w:rsidRPr="00EB215B">
              <w:rPr>
                <w:sz w:val="20"/>
                <w:szCs w:val="20"/>
              </w:rPr>
              <w:t>Worsening of seizures (as an anticonvulsant product)</w:t>
            </w:r>
          </w:p>
        </w:tc>
      </w:tr>
      <w:tr w:rsidR="005D310D" w:rsidRPr="00EB215B" w:rsidTr="00EB215B">
        <w:tc>
          <w:tcPr>
            <w:tcW w:w="2802" w:type="dxa"/>
            <w:vMerge/>
          </w:tcPr>
          <w:p w:rsidR="005D310D" w:rsidRPr="00EB215B" w:rsidRDefault="005D310D" w:rsidP="00EB215B">
            <w:pPr>
              <w:rPr>
                <w:sz w:val="20"/>
                <w:szCs w:val="20"/>
              </w:rPr>
            </w:pPr>
          </w:p>
        </w:tc>
        <w:tc>
          <w:tcPr>
            <w:tcW w:w="5918" w:type="dxa"/>
          </w:tcPr>
          <w:p w:rsidR="005D310D" w:rsidRPr="00EB215B" w:rsidRDefault="005D310D" w:rsidP="00EB215B">
            <w:pPr>
              <w:rPr>
                <w:sz w:val="20"/>
                <w:szCs w:val="20"/>
              </w:rPr>
            </w:pPr>
            <w:r w:rsidRPr="00EB215B">
              <w:rPr>
                <w:sz w:val="20"/>
                <w:szCs w:val="20"/>
              </w:rPr>
              <w:t>Abuse potential (as a CNS-active product)</w:t>
            </w:r>
          </w:p>
        </w:tc>
      </w:tr>
      <w:tr w:rsidR="005D310D" w:rsidRPr="00EB215B" w:rsidTr="00EB215B">
        <w:tc>
          <w:tcPr>
            <w:tcW w:w="2802" w:type="dxa"/>
            <w:vMerge w:val="restart"/>
          </w:tcPr>
          <w:p w:rsidR="005D310D" w:rsidRPr="00EB215B" w:rsidRDefault="005D310D" w:rsidP="00EB215B">
            <w:pPr>
              <w:rPr>
                <w:sz w:val="20"/>
                <w:szCs w:val="20"/>
              </w:rPr>
            </w:pPr>
            <w:r w:rsidRPr="00EB215B">
              <w:rPr>
                <w:sz w:val="20"/>
                <w:szCs w:val="20"/>
              </w:rPr>
              <w:t>Missing information</w:t>
            </w:r>
          </w:p>
        </w:tc>
        <w:tc>
          <w:tcPr>
            <w:tcW w:w="5918" w:type="dxa"/>
          </w:tcPr>
          <w:p w:rsidR="005D310D" w:rsidRPr="00EB215B" w:rsidRDefault="005D310D" w:rsidP="00EB215B">
            <w:pPr>
              <w:rPr>
                <w:sz w:val="20"/>
                <w:szCs w:val="20"/>
              </w:rPr>
            </w:pPr>
            <w:r w:rsidRPr="00EB215B">
              <w:rPr>
                <w:sz w:val="20"/>
                <w:szCs w:val="20"/>
              </w:rPr>
              <w:t>Data during pregnancy and lactation</w:t>
            </w:r>
          </w:p>
        </w:tc>
      </w:tr>
      <w:tr w:rsidR="005D310D" w:rsidRPr="00EB215B" w:rsidTr="00EB215B">
        <w:tc>
          <w:tcPr>
            <w:tcW w:w="2802" w:type="dxa"/>
            <w:vMerge/>
          </w:tcPr>
          <w:p w:rsidR="005D310D" w:rsidRPr="00EB215B" w:rsidRDefault="005D310D" w:rsidP="00EB215B">
            <w:pPr>
              <w:rPr>
                <w:sz w:val="20"/>
                <w:szCs w:val="20"/>
              </w:rPr>
            </w:pPr>
          </w:p>
        </w:tc>
        <w:tc>
          <w:tcPr>
            <w:tcW w:w="5918" w:type="dxa"/>
          </w:tcPr>
          <w:p w:rsidR="005D310D" w:rsidRPr="00EB215B" w:rsidRDefault="005D310D" w:rsidP="00EB215B">
            <w:pPr>
              <w:rPr>
                <w:sz w:val="20"/>
                <w:szCs w:val="20"/>
              </w:rPr>
            </w:pPr>
            <w:r w:rsidRPr="00EB215B">
              <w:rPr>
                <w:sz w:val="20"/>
                <w:szCs w:val="20"/>
              </w:rPr>
              <w:t>Data in paediatrics (i.e. preterm neonates to children aged 16 years) including data on neurodevelopment</w:t>
            </w:r>
          </w:p>
        </w:tc>
      </w:tr>
      <w:tr w:rsidR="005D310D" w:rsidRPr="00EB215B" w:rsidTr="00EB215B">
        <w:tc>
          <w:tcPr>
            <w:tcW w:w="2802" w:type="dxa"/>
            <w:vMerge/>
          </w:tcPr>
          <w:p w:rsidR="005D310D" w:rsidRPr="00EB215B" w:rsidRDefault="005D310D" w:rsidP="00EB215B">
            <w:pPr>
              <w:rPr>
                <w:sz w:val="20"/>
                <w:szCs w:val="20"/>
              </w:rPr>
            </w:pPr>
          </w:p>
        </w:tc>
        <w:tc>
          <w:tcPr>
            <w:tcW w:w="5918" w:type="dxa"/>
          </w:tcPr>
          <w:p w:rsidR="005D310D" w:rsidRPr="00EB215B" w:rsidRDefault="005D310D" w:rsidP="00EB215B">
            <w:pPr>
              <w:rPr>
                <w:sz w:val="20"/>
                <w:szCs w:val="20"/>
              </w:rPr>
            </w:pPr>
            <w:r w:rsidRPr="00EB215B">
              <w:rPr>
                <w:sz w:val="20"/>
                <w:szCs w:val="20"/>
              </w:rPr>
              <w:t>Data in patients with pre-existing hepatic impairment</w:t>
            </w:r>
          </w:p>
        </w:tc>
      </w:tr>
      <w:tr w:rsidR="005D310D" w:rsidRPr="00EB215B" w:rsidTr="00EB215B">
        <w:tc>
          <w:tcPr>
            <w:tcW w:w="2802" w:type="dxa"/>
            <w:vMerge/>
          </w:tcPr>
          <w:p w:rsidR="005D310D" w:rsidRPr="00EB215B" w:rsidRDefault="005D310D" w:rsidP="00EB215B">
            <w:pPr>
              <w:rPr>
                <w:sz w:val="20"/>
                <w:szCs w:val="20"/>
              </w:rPr>
            </w:pPr>
          </w:p>
        </w:tc>
        <w:tc>
          <w:tcPr>
            <w:tcW w:w="5918" w:type="dxa"/>
          </w:tcPr>
          <w:p w:rsidR="005D310D" w:rsidRPr="00EB215B" w:rsidRDefault="005D310D" w:rsidP="00EB215B">
            <w:pPr>
              <w:rPr>
                <w:sz w:val="20"/>
                <w:szCs w:val="20"/>
              </w:rPr>
            </w:pPr>
            <w:r w:rsidRPr="00EB215B">
              <w:rPr>
                <w:sz w:val="20"/>
                <w:szCs w:val="20"/>
              </w:rPr>
              <w:t>Data in patients with pre-existing end-stage renal impairment requiring dialysis</w:t>
            </w:r>
          </w:p>
        </w:tc>
      </w:tr>
    </w:tbl>
    <w:p w:rsidR="005D310D" w:rsidRPr="00642391" w:rsidRDefault="005D310D" w:rsidP="008900AD">
      <w:pPr>
        <w:pStyle w:val="Heading5"/>
      </w:pPr>
      <w:r w:rsidRPr="00642391">
        <w:lastRenderedPageBreak/>
        <w:t xml:space="preserve">RMP </w:t>
      </w:r>
      <w:r w:rsidR="008900AD">
        <w:t>reviewer comment</w:t>
      </w:r>
    </w:p>
    <w:p w:rsidR="005D310D" w:rsidRPr="008900AD" w:rsidRDefault="005D310D" w:rsidP="008900AD">
      <w:r w:rsidRPr="008900AD">
        <w:t>Notwithstandi</w:t>
      </w:r>
      <w:r w:rsidR="002D02E0">
        <w:t>ng to the evaluation of the non</w:t>
      </w:r>
      <w:r w:rsidRPr="008900AD">
        <w:t>clinical and clinical aspects of the S</w:t>
      </w:r>
      <w:r w:rsidR="002D02E0">
        <w:t>afety Specification (SS)</w:t>
      </w:r>
      <w:r w:rsidRPr="008900AD">
        <w:t>, the summary of safety concerns is considered acceptable in the context of this application.</w:t>
      </w:r>
    </w:p>
    <w:p w:rsidR="005D310D" w:rsidRPr="008900AD" w:rsidRDefault="005D310D" w:rsidP="008900AD">
      <w:r w:rsidRPr="008900AD">
        <w:t>It is noted that the PI for injectable B</w:t>
      </w:r>
      <w:r w:rsidR="002D02E0">
        <w:t>riviact</w:t>
      </w:r>
      <w:r w:rsidRPr="008900AD">
        <w:t xml:space="preserve"> advises of </w:t>
      </w:r>
      <w:r w:rsidR="00AC1494">
        <w:t>AEs</w:t>
      </w:r>
      <w:r w:rsidRPr="008900AD">
        <w:t xml:space="preserve"> associated with intravenous administration: </w:t>
      </w:r>
      <w:r w:rsidR="00AC1494">
        <w:t>IV</w:t>
      </w:r>
      <w:r w:rsidRPr="008900AD">
        <w:t xml:space="preserve"> administration was associated with infusion site pain in 2.8% of the</w:t>
      </w:r>
      <w:r w:rsidR="00AC1494">
        <w:t xml:space="preserve"> </w:t>
      </w:r>
      <w:r w:rsidRPr="008900AD">
        <w:t xml:space="preserve">patients. The sponsor should provide details, if any, of other reports of adverse events specifically associated with injection of </w:t>
      </w:r>
      <w:r w:rsidR="00AC1494" w:rsidRPr="008900AD">
        <w:t>B</w:t>
      </w:r>
      <w:r w:rsidR="00AC1494">
        <w:t>riviact</w:t>
      </w:r>
      <w:r w:rsidRPr="008900AD">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F6337F" w:rsidRPr="00DA7279" w:rsidRDefault="00F6337F" w:rsidP="00F6337F">
      <w:pPr>
        <w:pStyle w:val="Heading5"/>
      </w:pPr>
      <w:bookmarkStart w:id="211" w:name="_Toc430006450"/>
      <w:r w:rsidRPr="0024081B">
        <w:t>Proposed</w:t>
      </w:r>
      <w:r w:rsidRPr="00DA7279">
        <w:t xml:space="preserve"> pharmacovigilance activities</w:t>
      </w:r>
      <w:bookmarkEnd w:id="211"/>
    </w:p>
    <w:p w:rsidR="00F6337F" w:rsidRPr="001C4E32" w:rsidRDefault="00F6337F" w:rsidP="001C4E32">
      <w:r w:rsidRPr="001C4E32">
        <w:t xml:space="preserve">In the EU-RMP, the sponsor proposes routine and additional pharmacovigilance for the identified/potential risks and missing information presented in </w:t>
      </w:r>
      <w:r w:rsidR="00AC1494">
        <w:t>the Summary of Safety Concerns</w:t>
      </w:r>
      <w:r w:rsidRPr="001C4E32">
        <w:t>.</w:t>
      </w:r>
    </w:p>
    <w:p w:rsidR="00F6337F" w:rsidRPr="001C4E32" w:rsidRDefault="00F6337F" w:rsidP="001C4E32">
      <w:pPr>
        <w:pStyle w:val="TableTitle"/>
      </w:pPr>
      <w:r w:rsidRPr="001C4E32">
        <w:t xml:space="preserve">Table 28: </w:t>
      </w:r>
      <w:r w:rsidR="009A7969">
        <w:t>Proposed pharmacovigilance activities.</w:t>
      </w:r>
    </w:p>
    <w:tbl>
      <w:tblPr>
        <w:tblStyle w:val="TableTGAblue"/>
        <w:tblW w:w="0" w:type="auto"/>
        <w:tblLook w:val="04A0" w:firstRow="1" w:lastRow="0" w:firstColumn="1" w:lastColumn="0" w:noHBand="0" w:noVBand="1"/>
      </w:tblPr>
      <w:tblGrid>
        <w:gridCol w:w="3791"/>
        <w:gridCol w:w="4929"/>
      </w:tblGrid>
      <w:tr w:rsidR="00F6337F" w:rsidRPr="00EB215B" w:rsidTr="009A7969">
        <w:trPr>
          <w:cnfStyle w:val="100000000000" w:firstRow="1" w:lastRow="0" w:firstColumn="0" w:lastColumn="0" w:oddVBand="0" w:evenVBand="0" w:oddHBand="0" w:evenHBand="0" w:firstRowFirstColumn="0" w:firstRowLastColumn="0" w:lastRowFirstColumn="0" w:lastRowLastColumn="0"/>
        </w:trPr>
        <w:tc>
          <w:tcPr>
            <w:tcW w:w="4077" w:type="dxa"/>
          </w:tcPr>
          <w:p w:rsidR="00F6337F" w:rsidRPr="00EB215B" w:rsidRDefault="00F6337F" w:rsidP="00EB215B">
            <w:pPr>
              <w:rPr>
                <w:b w:val="0"/>
                <w:sz w:val="20"/>
                <w:szCs w:val="20"/>
              </w:rPr>
            </w:pPr>
            <w:r w:rsidRPr="00EB215B">
              <w:rPr>
                <w:sz w:val="20"/>
                <w:szCs w:val="20"/>
              </w:rPr>
              <w:t>Safety concern</w:t>
            </w:r>
          </w:p>
        </w:tc>
        <w:tc>
          <w:tcPr>
            <w:tcW w:w="5387" w:type="dxa"/>
          </w:tcPr>
          <w:p w:rsidR="00F6337F" w:rsidRPr="00EB215B" w:rsidRDefault="00F6337F" w:rsidP="00EB215B">
            <w:pPr>
              <w:rPr>
                <w:b w:val="0"/>
                <w:sz w:val="20"/>
                <w:szCs w:val="20"/>
              </w:rPr>
            </w:pPr>
            <w:r w:rsidRPr="00EB215B">
              <w:rPr>
                <w:sz w:val="20"/>
                <w:szCs w:val="20"/>
              </w:rPr>
              <w:t>Planned action(s)</w:t>
            </w:r>
          </w:p>
        </w:tc>
      </w:tr>
      <w:tr w:rsidR="00F6337F" w:rsidRPr="00EB215B" w:rsidTr="009A7969">
        <w:tc>
          <w:tcPr>
            <w:tcW w:w="4077" w:type="dxa"/>
          </w:tcPr>
          <w:p w:rsidR="00F6337F" w:rsidRPr="00EB215B" w:rsidRDefault="00F6337F" w:rsidP="00EB215B">
            <w:pPr>
              <w:rPr>
                <w:i/>
                <w:sz w:val="20"/>
                <w:szCs w:val="20"/>
              </w:rPr>
            </w:pPr>
            <w:r w:rsidRPr="00EB215B">
              <w:rPr>
                <w:i/>
                <w:sz w:val="20"/>
                <w:szCs w:val="20"/>
              </w:rPr>
              <w:t>Important identified risks</w:t>
            </w:r>
          </w:p>
        </w:tc>
        <w:tc>
          <w:tcPr>
            <w:tcW w:w="5387" w:type="dxa"/>
          </w:tcPr>
          <w:p w:rsidR="00F6337F" w:rsidRPr="00EB215B" w:rsidRDefault="00F6337F" w:rsidP="00EB215B">
            <w:pPr>
              <w:rPr>
                <w:sz w:val="20"/>
                <w:szCs w:val="20"/>
              </w:rPr>
            </w:pPr>
          </w:p>
        </w:tc>
      </w:tr>
      <w:tr w:rsidR="00F6337F" w:rsidRPr="00EB215B" w:rsidTr="009A7969">
        <w:tc>
          <w:tcPr>
            <w:tcW w:w="4077" w:type="dxa"/>
          </w:tcPr>
          <w:p w:rsidR="00F6337F" w:rsidRPr="00EB215B" w:rsidRDefault="00F6337F" w:rsidP="00EB215B">
            <w:pPr>
              <w:rPr>
                <w:sz w:val="20"/>
                <w:szCs w:val="20"/>
              </w:rPr>
            </w:pPr>
            <w:r w:rsidRPr="00EB215B">
              <w:rPr>
                <w:sz w:val="20"/>
                <w:szCs w:val="20"/>
              </w:rPr>
              <w:t>Suicidality (class label for anticonvulsant products)</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Routine pharmacovigilance, with targeted follow-up using suicidality questionnaire</w:t>
            </w:r>
          </w:p>
        </w:tc>
      </w:tr>
      <w:tr w:rsidR="00F6337F" w:rsidRPr="00EB215B" w:rsidTr="009A7969">
        <w:tc>
          <w:tcPr>
            <w:tcW w:w="4077" w:type="dxa"/>
          </w:tcPr>
          <w:p w:rsidR="00F6337F" w:rsidRPr="00EB215B" w:rsidRDefault="00F6337F" w:rsidP="00EB215B">
            <w:pPr>
              <w:rPr>
                <w:i/>
                <w:sz w:val="20"/>
                <w:szCs w:val="20"/>
              </w:rPr>
            </w:pPr>
            <w:r w:rsidRPr="00EB215B">
              <w:rPr>
                <w:i/>
                <w:sz w:val="20"/>
                <w:szCs w:val="20"/>
              </w:rPr>
              <w:t>Important potential risks</w:t>
            </w:r>
          </w:p>
        </w:tc>
        <w:tc>
          <w:tcPr>
            <w:tcW w:w="5387" w:type="dxa"/>
          </w:tcPr>
          <w:p w:rsidR="00F6337F" w:rsidRPr="00EB215B" w:rsidRDefault="00F6337F" w:rsidP="00EB215B">
            <w:pPr>
              <w:rPr>
                <w:sz w:val="20"/>
                <w:szCs w:val="20"/>
              </w:rPr>
            </w:pPr>
          </w:p>
        </w:tc>
      </w:tr>
      <w:tr w:rsidR="00F6337F" w:rsidRPr="00EB215B" w:rsidTr="009A7969">
        <w:tc>
          <w:tcPr>
            <w:tcW w:w="4077" w:type="dxa"/>
          </w:tcPr>
          <w:p w:rsidR="00F6337F" w:rsidRPr="00EB215B" w:rsidRDefault="00F6337F" w:rsidP="00EB215B">
            <w:pPr>
              <w:rPr>
                <w:sz w:val="20"/>
                <w:szCs w:val="20"/>
              </w:rPr>
            </w:pPr>
            <w:r w:rsidRPr="00EB215B">
              <w:rPr>
                <w:sz w:val="20"/>
                <w:szCs w:val="20"/>
              </w:rPr>
              <w:t>Neutropenia</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 xml:space="preserve">Routine pharmacovigilance, with targeted follow-up using severe blood </w:t>
            </w:r>
            <w:proofErr w:type="spellStart"/>
            <w:r w:rsidRPr="00EB215B">
              <w:rPr>
                <w:sz w:val="20"/>
                <w:szCs w:val="20"/>
              </w:rPr>
              <w:t>dyscrasias</w:t>
            </w:r>
            <w:proofErr w:type="spellEnd"/>
            <w:r w:rsidRPr="00EB215B">
              <w:rPr>
                <w:sz w:val="20"/>
                <w:szCs w:val="20"/>
              </w:rPr>
              <w:t xml:space="preserve"> questionnaire</w:t>
            </w:r>
          </w:p>
        </w:tc>
      </w:tr>
      <w:tr w:rsidR="00F6337F" w:rsidRPr="00EB215B" w:rsidTr="009A7969">
        <w:tc>
          <w:tcPr>
            <w:tcW w:w="4077" w:type="dxa"/>
          </w:tcPr>
          <w:p w:rsidR="00F6337F" w:rsidRPr="00EB215B" w:rsidRDefault="00F6337F" w:rsidP="00EB215B">
            <w:pPr>
              <w:rPr>
                <w:sz w:val="20"/>
                <w:szCs w:val="20"/>
              </w:rPr>
            </w:pPr>
            <w:r w:rsidRPr="00EB215B">
              <w:rPr>
                <w:sz w:val="20"/>
                <w:szCs w:val="20"/>
              </w:rPr>
              <w:t>Worsening of seizures (as an anticonvulsant product)</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Routine pharmacovigilance, with targeted follow-up using drug-induced seizure aggravation questionnaire</w:t>
            </w:r>
          </w:p>
        </w:tc>
      </w:tr>
      <w:tr w:rsidR="00F6337F" w:rsidRPr="00EB215B" w:rsidTr="009A7969">
        <w:tc>
          <w:tcPr>
            <w:tcW w:w="4077" w:type="dxa"/>
          </w:tcPr>
          <w:p w:rsidR="00F6337F" w:rsidRPr="00EB215B" w:rsidRDefault="00F6337F" w:rsidP="00EB215B">
            <w:pPr>
              <w:rPr>
                <w:sz w:val="20"/>
                <w:szCs w:val="20"/>
              </w:rPr>
            </w:pPr>
            <w:r w:rsidRPr="00EB215B">
              <w:rPr>
                <w:sz w:val="20"/>
                <w:szCs w:val="20"/>
              </w:rPr>
              <w:t>Abuse potential (as a CNS-active product)</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Routine pharmacovigilance, with targeted follow-up using drug dependence, abuse, and diversion questionnaire</w:t>
            </w:r>
          </w:p>
        </w:tc>
      </w:tr>
      <w:tr w:rsidR="00F6337F" w:rsidRPr="00EB215B" w:rsidTr="009A7969">
        <w:tc>
          <w:tcPr>
            <w:tcW w:w="4077" w:type="dxa"/>
          </w:tcPr>
          <w:p w:rsidR="00F6337F" w:rsidRPr="00EB215B" w:rsidRDefault="00F6337F" w:rsidP="00EB215B">
            <w:pPr>
              <w:rPr>
                <w:i/>
                <w:sz w:val="20"/>
                <w:szCs w:val="20"/>
              </w:rPr>
            </w:pPr>
            <w:r w:rsidRPr="00EB215B">
              <w:rPr>
                <w:i/>
                <w:sz w:val="20"/>
                <w:szCs w:val="20"/>
              </w:rPr>
              <w:t>Missing information</w:t>
            </w:r>
          </w:p>
        </w:tc>
        <w:tc>
          <w:tcPr>
            <w:tcW w:w="5387" w:type="dxa"/>
          </w:tcPr>
          <w:p w:rsidR="00F6337F" w:rsidRPr="00EB215B" w:rsidRDefault="00F6337F" w:rsidP="00EB215B">
            <w:pPr>
              <w:rPr>
                <w:sz w:val="20"/>
                <w:szCs w:val="20"/>
              </w:rPr>
            </w:pPr>
          </w:p>
        </w:tc>
      </w:tr>
      <w:tr w:rsidR="00F6337F" w:rsidRPr="00EB215B" w:rsidTr="009A7969">
        <w:tc>
          <w:tcPr>
            <w:tcW w:w="4077" w:type="dxa"/>
          </w:tcPr>
          <w:p w:rsidR="00F6337F" w:rsidRPr="00EB215B" w:rsidRDefault="00F6337F" w:rsidP="00EB215B">
            <w:pPr>
              <w:rPr>
                <w:sz w:val="20"/>
                <w:szCs w:val="20"/>
              </w:rPr>
            </w:pPr>
            <w:r w:rsidRPr="00EB215B">
              <w:rPr>
                <w:sz w:val="20"/>
                <w:szCs w:val="20"/>
              </w:rPr>
              <w:t>Data during pregnancy and lactation</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Routine pharmacovigilance, with targeted follow-up using pregnancy questionnaire</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Participation in and sponsorship of EURAP and North American AED Pregnancy Registry – protocols for EURAP and the AED Registry include ‘possible’ activities to follow-up the children</w:t>
            </w:r>
          </w:p>
        </w:tc>
      </w:tr>
      <w:tr w:rsidR="00F6337F" w:rsidRPr="00EB215B" w:rsidTr="009A7969">
        <w:tc>
          <w:tcPr>
            <w:tcW w:w="4077" w:type="dxa"/>
          </w:tcPr>
          <w:p w:rsidR="00F6337F" w:rsidRPr="00EB215B" w:rsidRDefault="00F6337F" w:rsidP="00EB215B">
            <w:pPr>
              <w:rPr>
                <w:sz w:val="20"/>
                <w:szCs w:val="20"/>
              </w:rPr>
            </w:pPr>
            <w:r w:rsidRPr="00EB215B">
              <w:rPr>
                <w:sz w:val="20"/>
                <w:szCs w:val="20"/>
              </w:rPr>
              <w:t>Data in paediatrics (i.e. preterm neonates to children aged 16 years) including data on neurodevelopment</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Routine pharmacovigilance</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Head circumference measurements in all paediatric studies as per protocol and as agreed in the approved Paediatric Investigation Plan (PIP)</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 xml:space="preserve">Neurodevelopmental maturation assessment using validated scales including Achenbach CBCL, </w:t>
            </w:r>
            <w:r w:rsidRPr="00EB215B">
              <w:rPr>
                <w:sz w:val="20"/>
                <w:szCs w:val="20"/>
              </w:rPr>
              <w:lastRenderedPageBreak/>
              <w:t>BSID-II or BSID-III, BRIEF-P/BRIEF</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Clinical study N01266 (estimated 2019 completion)</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Clinical study N01268 (estimated 2021 completion)</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Clinical study N01269 (estimated Q4 2015 for final report)</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Clinical study N01349 (estimated 2018 completion)</w:t>
            </w:r>
          </w:p>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Clinical study EP0065 (estimated 2020 completion)</w:t>
            </w:r>
          </w:p>
        </w:tc>
      </w:tr>
      <w:tr w:rsidR="00F6337F" w:rsidRPr="00EB215B" w:rsidTr="009A7969">
        <w:tc>
          <w:tcPr>
            <w:tcW w:w="4077" w:type="dxa"/>
          </w:tcPr>
          <w:p w:rsidR="00F6337F" w:rsidRPr="00EB215B" w:rsidRDefault="00F6337F" w:rsidP="00EB215B">
            <w:pPr>
              <w:rPr>
                <w:sz w:val="20"/>
                <w:szCs w:val="20"/>
              </w:rPr>
            </w:pPr>
            <w:r w:rsidRPr="00EB215B">
              <w:rPr>
                <w:sz w:val="20"/>
                <w:szCs w:val="20"/>
              </w:rPr>
              <w:lastRenderedPageBreak/>
              <w:t>Data in patients with pre-existing hepatic impairment</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Routine pharmacovigilance, with targeted follow-up using drug-induced liver injury questionnaire</w:t>
            </w:r>
          </w:p>
        </w:tc>
      </w:tr>
      <w:tr w:rsidR="00F6337F" w:rsidRPr="00EB215B" w:rsidTr="009A7969">
        <w:tc>
          <w:tcPr>
            <w:tcW w:w="4077" w:type="dxa"/>
          </w:tcPr>
          <w:p w:rsidR="00F6337F" w:rsidRPr="00EB215B" w:rsidRDefault="00F6337F" w:rsidP="00EB215B">
            <w:pPr>
              <w:rPr>
                <w:sz w:val="20"/>
                <w:szCs w:val="20"/>
              </w:rPr>
            </w:pPr>
            <w:r w:rsidRPr="00EB215B">
              <w:rPr>
                <w:sz w:val="20"/>
                <w:szCs w:val="20"/>
              </w:rPr>
              <w:t>Data in patients with pre-existing end-stage renal impairment requiring dialysis</w:t>
            </w:r>
          </w:p>
        </w:tc>
        <w:tc>
          <w:tcPr>
            <w:tcW w:w="5387" w:type="dxa"/>
          </w:tcPr>
          <w:p w:rsidR="00F6337F" w:rsidRPr="00EB215B" w:rsidRDefault="00F6337F" w:rsidP="00EB215B">
            <w:pPr>
              <w:rPr>
                <w:sz w:val="20"/>
                <w:szCs w:val="20"/>
              </w:rPr>
            </w:pPr>
            <w:r w:rsidRPr="00EB215B">
              <w:rPr>
                <w:sz w:val="20"/>
                <w:szCs w:val="20"/>
              </w:rPr>
              <w:t>-</w:t>
            </w:r>
            <w:r w:rsidR="001C4E32" w:rsidRPr="00EB215B">
              <w:rPr>
                <w:sz w:val="20"/>
                <w:szCs w:val="20"/>
              </w:rPr>
              <w:t xml:space="preserve"> </w:t>
            </w:r>
            <w:r w:rsidRPr="00EB215B">
              <w:rPr>
                <w:sz w:val="20"/>
                <w:szCs w:val="20"/>
              </w:rPr>
              <w:t>Routine pharmacovigilance</w:t>
            </w:r>
          </w:p>
        </w:tc>
      </w:tr>
    </w:tbl>
    <w:p w:rsidR="00F6337F" w:rsidRPr="00511344" w:rsidRDefault="00F6337F" w:rsidP="00F6337F">
      <w:pPr>
        <w:pStyle w:val="Heading5"/>
      </w:pPr>
      <w:bookmarkStart w:id="212" w:name="_Toc430006451"/>
      <w:r w:rsidRPr="00DE1A63">
        <w:t>RMP</w:t>
      </w:r>
      <w:r w:rsidRPr="00511344">
        <w:t xml:space="preserve"> reviewer’s comments</w:t>
      </w:r>
      <w:bookmarkEnd w:id="212"/>
    </w:p>
    <w:p w:rsidR="00F6337F" w:rsidRPr="00F6337F" w:rsidRDefault="00F6337F" w:rsidP="00F6337F">
      <w:r w:rsidRPr="00F6337F">
        <w:t>There is no definite objection to the pharmacovigilance plan proposed by the sponsor in the context of this application. However, the sponsor should provide comment on implications for the Australian population of the planned and ongoing pha</w:t>
      </w:r>
      <w:r w:rsidR="00AC1494">
        <w:t xml:space="preserve">rmacovigilance activities (for example, </w:t>
      </w:r>
      <w:r w:rsidRPr="00F6337F">
        <w:t>are Australian patients included). An AS</w:t>
      </w:r>
      <w:r w:rsidR="00AC1494">
        <w:t>A should therefore be provided</w:t>
      </w:r>
      <w:r w:rsidRPr="00F6337F">
        <w:t>.</w:t>
      </w:r>
    </w:p>
    <w:p w:rsidR="00F6337F" w:rsidRPr="00F6337F" w:rsidRDefault="00F6337F" w:rsidP="00F6337F">
      <w:r w:rsidRPr="00F6337F">
        <w:t xml:space="preserve">The sponsor has provided examples of targeted adverse event follow-up questionnaires for the safety concerns of suicidality, severe blood </w:t>
      </w:r>
      <w:proofErr w:type="spellStart"/>
      <w:r w:rsidRPr="00F6337F">
        <w:t>dyscrasias</w:t>
      </w:r>
      <w:proofErr w:type="spellEnd"/>
      <w:r w:rsidRPr="00F6337F">
        <w:t>, drug</w:t>
      </w:r>
      <w:r w:rsidR="00995E2A">
        <w:t xml:space="preserve"> </w:t>
      </w:r>
      <w:r w:rsidRPr="00F6337F">
        <w:t xml:space="preserve">induced liver injury, </w:t>
      </w:r>
      <w:proofErr w:type="gramStart"/>
      <w:r w:rsidRPr="00F6337F">
        <w:t>drug</w:t>
      </w:r>
      <w:proofErr w:type="gramEnd"/>
      <w:r w:rsidR="00995E2A">
        <w:t xml:space="preserve"> </w:t>
      </w:r>
      <w:r w:rsidRPr="00F6337F">
        <w:t>induced seizure aggravation, drug dependence/abuse/and diversion, and pregnancy. Upon review, these questionnaires appear appropriate for this pharmacovigilance activity.</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22E26" w:rsidRPr="00511344" w:rsidRDefault="00622E26" w:rsidP="00622E26">
      <w:pPr>
        <w:pStyle w:val="Heading5"/>
      </w:pPr>
      <w:bookmarkStart w:id="213" w:name="_Toc430006453"/>
      <w:r w:rsidRPr="00281BC4">
        <w:t>Sponsor’s</w:t>
      </w:r>
      <w:r w:rsidRPr="00511344">
        <w:t xml:space="preserve"> conclusion in regard to the need for risk minimisation activities</w:t>
      </w:r>
      <w:bookmarkEnd w:id="213"/>
    </w:p>
    <w:p w:rsidR="00622E26" w:rsidRPr="00622E26" w:rsidRDefault="00622E26" w:rsidP="00622E26">
      <w:r w:rsidRPr="00622E26">
        <w:t>The sponsor proposes routine ris</w:t>
      </w:r>
      <w:r w:rsidR="00995E2A">
        <w:t xml:space="preserve">k minimisation activities (that is, </w:t>
      </w:r>
      <w:r w:rsidRPr="00622E26">
        <w:t>PI labelling) for all identified/potential safety concerns and missing information.  No additional risk minimisation activities are proposed.</w:t>
      </w:r>
    </w:p>
    <w:p w:rsidR="00622E26" w:rsidRPr="00622E26" w:rsidRDefault="00622E26" w:rsidP="00622E26">
      <w:r w:rsidRPr="00622E26">
        <w:t>The proposed risk minimisation activi</w:t>
      </w:r>
      <w:r>
        <w:t>ties are discussed further below</w:t>
      </w:r>
      <w:r w:rsidRPr="00622E26">
        <w:t>.</w:t>
      </w:r>
    </w:p>
    <w:p w:rsidR="00622E26" w:rsidRPr="00BE6D6A" w:rsidRDefault="00622E26" w:rsidP="00622E26">
      <w:pPr>
        <w:pStyle w:val="Heading5"/>
      </w:pPr>
      <w:r w:rsidRPr="00BE6D6A">
        <w:t>RMP</w:t>
      </w:r>
      <w:r>
        <w:t xml:space="preserve"> reviewer comment</w:t>
      </w:r>
    </w:p>
    <w:p w:rsidR="00622E26" w:rsidRPr="00622E26" w:rsidRDefault="00622E26" w:rsidP="00622E26">
      <w:r w:rsidRPr="00622E26">
        <w:t>The sponsor’s conclusions with regards to proposed risk minimisation activities are considered acceptable in the context of this submission.</w:t>
      </w:r>
    </w:p>
    <w:p w:rsidR="00376D5E" w:rsidRDefault="006F25B8" w:rsidP="006F25B8">
      <w:pPr>
        <w:pStyle w:val="Heading4"/>
        <w:rPr>
          <w:lang w:eastAsia="en-AU"/>
        </w:rPr>
      </w:pPr>
      <w:bookmarkStart w:id="214" w:name="_Toc247691527"/>
      <w:r w:rsidRPr="006F25B8">
        <w:rPr>
          <w:lang w:eastAsia="en-AU"/>
        </w:rPr>
        <w:t>Reconciliation of issues outlined in the RMP report</w:t>
      </w:r>
    </w:p>
    <w:p w:rsidR="00F1158B" w:rsidRDefault="00F1158B" w:rsidP="00622E26">
      <w:r w:rsidRPr="00622E26">
        <w:t>The following section summarises the first round evaluation of the RMP, the sponsor’s responses to issues raised by the TGA RMP reviewer, and the RMP reviewer’s evaluation of the sponsor’s responses.</w:t>
      </w:r>
    </w:p>
    <w:p w:rsidR="00C46618" w:rsidRPr="00C46618" w:rsidRDefault="00C46618" w:rsidP="00C46618">
      <w:r w:rsidRPr="00C46618">
        <w:lastRenderedPageBreak/>
        <w:t>It is considered that the sponsor’s response to the TGA S</w:t>
      </w:r>
      <w:r>
        <w:t xml:space="preserve">ection </w:t>
      </w:r>
      <w:r w:rsidRPr="00C46618">
        <w:t>31 Request has adequately addressed the majority of issues identified in the RMP evaluation report. However, there remain some outstanding issues that must be addressed prior to registration.</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91651E" w:rsidP="00A61AD1">
      <w:r w:rsidRPr="0091651E">
        <w:t xml:space="preserve">Safety considerations may be raised by the nonclinical and clinical evaluators through the consolidated </w:t>
      </w:r>
      <w:r w:rsidR="00280B34">
        <w:t>S</w:t>
      </w:r>
      <w:r w:rsidRPr="0091651E">
        <w:t xml:space="preserve">ection 31 request and/or the </w:t>
      </w:r>
      <w:r w:rsidR="00CE2FEE">
        <w:t>n</w:t>
      </w:r>
      <w:r w:rsidRPr="0091651E">
        <w:t xml:space="preserve">onclinical and </w:t>
      </w:r>
      <w:r w:rsidR="00CE2FEE">
        <w:t>c</w:t>
      </w:r>
      <w:r w:rsidRPr="0091651E">
        <w:t xml:space="preserve">linical </w:t>
      </w:r>
      <w:r w:rsidR="00CE2FEE">
        <w:t>e</w:t>
      </w:r>
      <w:r w:rsidRPr="0091651E">
        <w:t xml:space="preserve">valuation </w:t>
      </w:r>
      <w:r w:rsidR="00CE2FEE">
        <w:t>r</w:t>
      </w:r>
      <w:r w:rsidR="00280B34">
        <w:t xml:space="preserve">eports, </w:t>
      </w:r>
      <w:r w:rsidRPr="0091651E">
        <w:t xml:space="preserve">respectively. It is important to ensure that the information provided in response to these includes consideration of the relevance for the </w:t>
      </w:r>
      <w:r w:rsidR="00BD5845">
        <w:t>RMP</w:t>
      </w:r>
      <w:r w:rsidRPr="0091651E">
        <w:t>,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91651E" w:rsidP="00A61AD1">
      <w:r w:rsidRPr="0091651E">
        <w:t>UCB acknowledges the request above and will take into consideration the impact on the RMP for any safety considerations raised.</w:t>
      </w:r>
    </w:p>
    <w:p w:rsidR="00A61AD1" w:rsidRDefault="00A61AD1" w:rsidP="00A61AD1">
      <w:pPr>
        <w:pStyle w:val="Heading5"/>
      </w:pPr>
      <w:r>
        <w:t>Evaluator’s comment</w:t>
      </w:r>
    </w:p>
    <w:p w:rsidR="00A61AD1" w:rsidRDefault="00132F19" w:rsidP="00A61AD1">
      <w:pPr>
        <w:rPr>
          <w:lang w:eastAsia="en-AU"/>
        </w:rPr>
      </w:pPr>
      <w:r w:rsidRPr="00132F19">
        <w:rPr>
          <w:lang w:eastAsia="en-AU"/>
        </w:rPr>
        <w:t xml:space="preserve">The sponsor’s response is </w:t>
      </w:r>
      <w:r w:rsidR="00995E2A">
        <w:rPr>
          <w:lang w:eastAsia="en-AU"/>
        </w:rPr>
        <w:t>noted. Issues raised in the n</w:t>
      </w:r>
      <w:r w:rsidRPr="00132F19">
        <w:rPr>
          <w:lang w:eastAsia="en-AU"/>
        </w:rPr>
        <w:t xml:space="preserve">onclinical </w:t>
      </w:r>
      <w:r w:rsidR="00995E2A">
        <w:rPr>
          <w:lang w:eastAsia="en-AU"/>
        </w:rPr>
        <w:t>e</w:t>
      </w:r>
      <w:r w:rsidRPr="00132F19">
        <w:rPr>
          <w:lang w:eastAsia="en-AU"/>
        </w:rPr>
        <w:t xml:space="preserve">valuation </w:t>
      </w:r>
      <w:r w:rsidR="00995E2A">
        <w:rPr>
          <w:lang w:eastAsia="en-AU"/>
        </w:rPr>
        <w:t>r</w:t>
      </w:r>
      <w:r w:rsidRPr="00132F19">
        <w:rPr>
          <w:lang w:eastAsia="en-AU"/>
        </w:rPr>
        <w:t>eport have not been address</w:t>
      </w:r>
      <w:r w:rsidR="008149B4">
        <w:rPr>
          <w:lang w:eastAsia="en-AU"/>
        </w:rPr>
        <w:t xml:space="preserve">ed by the </w:t>
      </w:r>
      <w:r w:rsidR="001E6170">
        <w:rPr>
          <w:lang w:eastAsia="en-AU"/>
        </w:rPr>
        <w:t>s</w:t>
      </w:r>
      <w:r w:rsidR="008149B4">
        <w:rPr>
          <w:lang w:eastAsia="en-AU"/>
        </w:rPr>
        <w:t>ponsor (see below</w:t>
      </w:r>
      <w:r w:rsidRPr="00132F19">
        <w:rPr>
          <w:lang w:eastAsia="en-AU"/>
        </w:rPr>
        <w:t>).</w:t>
      </w:r>
    </w:p>
    <w:p w:rsidR="00560A6C" w:rsidRDefault="00560A6C" w:rsidP="00560A6C">
      <w:pPr>
        <w:pStyle w:val="Heading5"/>
      </w:pPr>
      <w:r w:rsidRPr="00A24C10">
        <w:t xml:space="preserve">Recommendation </w:t>
      </w:r>
      <w:r>
        <w:t xml:space="preserve">#2 </w:t>
      </w:r>
      <w:r w:rsidRPr="00A24C10">
        <w:t>in RMP evaluation report</w:t>
      </w:r>
    </w:p>
    <w:p w:rsidR="00560A6C" w:rsidRPr="000B2059" w:rsidRDefault="001E6170" w:rsidP="00560A6C">
      <w:r w:rsidRPr="001E6170">
        <w:t xml:space="preserve">It is noted that the PI for injectable </w:t>
      </w:r>
      <w:r w:rsidR="00BE228A">
        <w:t>Briviact</w:t>
      </w:r>
      <w:r w:rsidRPr="001E6170">
        <w:t xml:space="preserve"> advises of the following </w:t>
      </w:r>
      <w:r w:rsidR="00DD3D1C">
        <w:t>AEs</w:t>
      </w:r>
      <w:r w:rsidRPr="001E6170">
        <w:t xml:space="preserve"> associated with </w:t>
      </w:r>
      <w:r w:rsidR="00EB0B8E">
        <w:t xml:space="preserve">IV </w:t>
      </w:r>
      <w:r w:rsidRPr="001E6170">
        <w:t xml:space="preserve">administration: </w:t>
      </w:r>
      <w:r w:rsidR="00782936">
        <w:t xml:space="preserve">IV </w:t>
      </w:r>
      <w:r w:rsidRPr="001E6170">
        <w:t xml:space="preserve">administration was associated with infusion site pain in 2.8% of the patients. The sponsor should provide details, if any, of other reports of </w:t>
      </w:r>
      <w:r w:rsidR="00782936">
        <w:t>AEs</w:t>
      </w:r>
      <w:r w:rsidRPr="001E6170">
        <w:t xml:space="preserve"> specifically associated with injection of </w:t>
      </w:r>
      <w:r w:rsidR="00782936">
        <w:t>Briviact</w:t>
      </w:r>
      <w:r w:rsidRPr="001E6170">
        <w:t>.</w:t>
      </w:r>
    </w:p>
    <w:p w:rsidR="00560A6C" w:rsidRDefault="00560A6C" w:rsidP="00560A6C">
      <w:pPr>
        <w:pStyle w:val="Heading5"/>
      </w:pPr>
      <w:r>
        <w:t>Sponsor response</w:t>
      </w:r>
    </w:p>
    <w:p w:rsidR="008756CE" w:rsidRDefault="008756CE" w:rsidP="00560A6C">
      <w:r w:rsidRPr="008756CE">
        <w:t xml:space="preserve">The sponsor has provided a detailed breakdown of the adverse events reported in the clinical trials – see the </w:t>
      </w:r>
      <w:r w:rsidR="00EB0B8E">
        <w:t>S</w:t>
      </w:r>
      <w:r w:rsidRPr="008756CE">
        <w:t xml:space="preserve">ection 31 response for this information. The </w:t>
      </w:r>
      <w:r w:rsidR="00EB0B8E">
        <w:t>S</w:t>
      </w:r>
      <w:r w:rsidRPr="008756CE">
        <w:t>ection 31 response concluded:</w:t>
      </w:r>
    </w:p>
    <w:p w:rsidR="00560A6C" w:rsidRPr="008756CE" w:rsidRDefault="008756CE" w:rsidP="008756CE">
      <w:pPr>
        <w:ind w:left="720"/>
        <w:rPr>
          <w:i/>
        </w:rPr>
      </w:pPr>
      <w:r w:rsidRPr="008756CE">
        <w:rPr>
          <w:i/>
        </w:rPr>
        <w:t xml:space="preserve">The </w:t>
      </w:r>
      <w:proofErr w:type="gramStart"/>
      <w:r w:rsidRPr="008756CE">
        <w:rPr>
          <w:i/>
        </w:rPr>
        <w:t>iv</w:t>
      </w:r>
      <w:proofErr w:type="gramEnd"/>
      <w:r w:rsidRPr="008756CE">
        <w:rPr>
          <w:i/>
        </w:rPr>
        <w:t xml:space="preserve"> formulation has been evaluated in the bioequivalence studies N01256 and EP0007 and safety and tolerability were also assessed in N01258, which included patients with partial-onset seizures. The studies demonstrated that the adverse event profile on treatment initiation support the safety and tolerability of the intravenous administration of BRV. As the </w:t>
      </w:r>
      <w:proofErr w:type="gramStart"/>
      <w:r w:rsidRPr="008756CE">
        <w:rPr>
          <w:i/>
        </w:rPr>
        <w:t>iv</w:t>
      </w:r>
      <w:proofErr w:type="gramEnd"/>
      <w:r w:rsidRPr="008756CE">
        <w:rPr>
          <w:i/>
        </w:rPr>
        <w:t xml:space="preserve"> formulation is proposed for short term use when the oral route is not feasible, both methods of iv administration would take place in a healthcare setting, providing additional risk mitigation.</w:t>
      </w:r>
    </w:p>
    <w:p w:rsidR="00560A6C" w:rsidRDefault="00560A6C" w:rsidP="00560A6C">
      <w:pPr>
        <w:pStyle w:val="Heading5"/>
      </w:pPr>
      <w:r>
        <w:t>Evaluator’s comment</w:t>
      </w:r>
    </w:p>
    <w:p w:rsidR="00560A6C" w:rsidRDefault="00FA7AB1" w:rsidP="00560A6C">
      <w:pPr>
        <w:rPr>
          <w:lang w:eastAsia="en-AU"/>
        </w:rPr>
      </w:pPr>
      <w:r w:rsidRPr="00FA7AB1">
        <w:rPr>
          <w:lang w:eastAsia="en-AU"/>
        </w:rPr>
        <w:t>The sponsor’s response is noted and is acceptable from a RMP perspective.</w:t>
      </w:r>
    </w:p>
    <w:p w:rsidR="00560A6C" w:rsidRDefault="00560A6C" w:rsidP="00560A6C">
      <w:pPr>
        <w:pStyle w:val="Heading5"/>
      </w:pPr>
      <w:r w:rsidRPr="00A24C10">
        <w:t xml:space="preserve">Recommendation </w:t>
      </w:r>
      <w:r>
        <w:t xml:space="preserve">#3 </w:t>
      </w:r>
      <w:r w:rsidRPr="00A24C10">
        <w:t>in RMP evaluation report</w:t>
      </w:r>
    </w:p>
    <w:p w:rsidR="006F2AD2" w:rsidRPr="006F2AD2" w:rsidRDefault="006F2AD2" w:rsidP="006F2AD2">
      <w:r w:rsidRPr="006F2AD2">
        <w:t>An ASA should be provided for the following reasons:</w:t>
      </w:r>
    </w:p>
    <w:p w:rsidR="006F2AD2" w:rsidRPr="006F2AD2" w:rsidRDefault="006F2AD2" w:rsidP="006F2AD2">
      <w:pPr>
        <w:pStyle w:val="ListBullet"/>
      </w:pPr>
      <w:r w:rsidRPr="006F2AD2">
        <w:t>The sponsor should provide comment on implications for the Australian population of the planned and ongoing pha</w:t>
      </w:r>
      <w:r w:rsidR="00DD3D1C">
        <w:t xml:space="preserve">rmacovigilance activities (for example, </w:t>
      </w:r>
      <w:r w:rsidRPr="006F2AD2">
        <w:t>are Australian patients included).</w:t>
      </w:r>
    </w:p>
    <w:p w:rsidR="00560A6C" w:rsidRPr="006F2AD2" w:rsidRDefault="006F2AD2" w:rsidP="00DD3D1C">
      <w:pPr>
        <w:pStyle w:val="ListBullet"/>
      </w:pPr>
      <w:r w:rsidRPr="006F2AD2">
        <w:t xml:space="preserve">Upon review of the risk minimisation materials, including the provided </w:t>
      </w:r>
      <w:r w:rsidR="00DD3D1C" w:rsidRPr="00DD3D1C">
        <w:t>Summary of Product Characteristics</w:t>
      </w:r>
      <w:r w:rsidR="00DD3D1C">
        <w:t xml:space="preserve"> (SmPC)</w:t>
      </w:r>
      <w:r w:rsidRPr="006F2AD2">
        <w:t xml:space="preserve"> and the proposed PI, there are some differences in the advice provided. For example, the SmPC includes additional advice for neutropenia and for the safety profile in open</w:t>
      </w:r>
      <w:r w:rsidR="008A5938">
        <w:t xml:space="preserve"> </w:t>
      </w:r>
      <w:r w:rsidRPr="006F2AD2">
        <w:t xml:space="preserve">label extension studies (under ‘Undesirable Effects’) that is not in the PI. In this regard, an ASA should be provided for the sake of consistency and adherence to the TGA guidance. The sponsor should provide an ASA </w:t>
      </w:r>
      <w:r w:rsidRPr="006F2AD2">
        <w:lastRenderedPageBreak/>
        <w:t>comparing the risk minimisation advice between the jurisdictions, to include justification for any differences and relevance for the Australian population.</w:t>
      </w:r>
    </w:p>
    <w:p w:rsidR="00560A6C" w:rsidRDefault="00560A6C" w:rsidP="00560A6C">
      <w:pPr>
        <w:pStyle w:val="Heading5"/>
      </w:pPr>
      <w:r>
        <w:t>Sponsor response</w:t>
      </w:r>
    </w:p>
    <w:p w:rsidR="00560A6C" w:rsidRPr="00502033" w:rsidRDefault="00502033" w:rsidP="00502033">
      <w:r w:rsidRPr="00502033">
        <w:t xml:space="preserve">UCB agrees to submit an ASA to the RMP. As agreed with </w:t>
      </w:r>
      <w:r w:rsidR="00476758">
        <w:t>TGA</w:t>
      </w:r>
      <w:r w:rsidR="00391F5A">
        <w:t xml:space="preserve"> on 21</w:t>
      </w:r>
      <w:r w:rsidRPr="00502033">
        <w:t xml:space="preserve"> January, the ASA will be provided no later than </w:t>
      </w:r>
      <w:r w:rsidR="00284B72">
        <w:t xml:space="preserve">31 </w:t>
      </w:r>
      <w:r w:rsidRPr="00502033">
        <w:t>March 2016.</w:t>
      </w:r>
    </w:p>
    <w:p w:rsidR="00560A6C" w:rsidRDefault="00560A6C" w:rsidP="00560A6C">
      <w:pPr>
        <w:pStyle w:val="Heading5"/>
      </w:pPr>
      <w:r>
        <w:t>Evaluator’s comment</w:t>
      </w:r>
    </w:p>
    <w:p w:rsidR="00560A6C" w:rsidRDefault="0038560E" w:rsidP="00560A6C">
      <w:pPr>
        <w:rPr>
          <w:lang w:eastAsia="en-AU"/>
        </w:rPr>
      </w:pPr>
      <w:r w:rsidRPr="0038560E">
        <w:rPr>
          <w:lang w:eastAsia="en-AU"/>
        </w:rPr>
        <w:t>The sponsor has provided an ASA in the March submission (Version 1.0). It is advised that the ASA requires minor revision to include the date of finalisation.</w:t>
      </w:r>
    </w:p>
    <w:p w:rsidR="00560A6C" w:rsidRDefault="00560A6C" w:rsidP="00560A6C">
      <w:pPr>
        <w:pStyle w:val="Heading5"/>
      </w:pPr>
      <w:r w:rsidRPr="00A24C10">
        <w:t xml:space="preserve">Recommendation </w:t>
      </w:r>
      <w:r>
        <w:t xml:space="preserve">#4 </w:t>
      </w:r>
      <w:r w:rsidRPr="00A24C10">
        <w:t>in RMP evaluation report</w:t>
      </w:r>
    </w:p>
    <w:p w:rsidR="00560A6C" w:rsidRPr="000B2059" w:rsidRDefault="008A5938" w:rsidP="00560A6C">
      <w:r>
        <w:t>The SmPC</w:t>
      </w:r>
      <w:r w:rsidR="00864E0C" w:rsidRPr="00864E0C">
        <w:t xml:space="preserve"> contain</w:t>
      </w:r>
      <w:r>
        <w:t>s</w:t>
      </w:r>
      <w:r w:rsidR="00864E0C" w:rsidRPr="00864E0C">
        <w:t xml:space="preserve"> warnings relating to the ingredients lactose, sodium, fructose, and methyl </w:t>
      </w:r>
      <w:proofErr w:type="spellStart"/>
      <w:r w:rsidR="00864E0C" w:rsidRPr="00864E0C">
        <w:t>parahydroxybenzoate</w:t>
      </w:r>
      <w:proofErr w:type="spellEnd"/>
      <w:r w:rsidR="009A2073">
        <w:t xml:space="preserve"> across the </w:t>
      </w:r>
      <w:proofErr w:type="spellStart"/>
      <w:r w:rsidR="009A2073">
        <w:t>Briviact</w:t>
      </w:r>
      <w:proofErr w:type="spellEnd"/>
      <w:r w:rsidR="00864E0C" w:rsidRPr="00864E0C">
        <w:t xml:space="preserve"> formulations. These warnings are not included in the PI. The Delegate may wish to consider their inclusion to mitigate risks associated with intolerance, hypersensitivity, or, in the case of sodium, controlled intake.</w:t>
      </w:r>
    </w:p>
    <w:p w:rsidR="00560A6C" w:rsidRDefault="00560A6C" w:rsidP="00560A6C">
      <w:pPr>
        <w:pStyle w:val="Heading5"/>
      </w:pPr>
      <w:r>
        <w:t>Sponsor response</w:t>
      </w:r>
    </w:p>
    <w:p w:rsidR="00560A6C" w:rsidRPr="002C242A" w:rsidRDefault="00864E0C" w:rsidP="00560A6C">
      <w:r w:rsidRPr="00864E0C">
        <w:t>UCB acknowledges this comment and will wait on further feedback and direction from the Delegate in relation to this matter.</w:t>
      </w:r>
    </w:p>
    <w:p w:rsidR="00560A6C" w:rsidRDefault="00560A6C" w:rsidP="00560A6C">
      <w:pPr>
        <w:pStyle w:val="Heading5"/>
      </w:pPr>
      <w:r>
        <w:t>Evaluator’s comment</w:t>
      </w:r>
    </w:p>
    <w:p w:rsidR="00560A6C" w:rsidRDefault="00864E0C" w:rsidP="00560A6C">
      <w:pPr>
        <w:rPr>
          <w:lang w:eastAsia="en-AU"/>
        </w:rPr>
      </w:pPr>
      <w:r w:rsidRPr="00864E0C">
        <w:rPr>
          <w:lang w:eastAsia="en-AU"/>
        </w:rPr>
        <w:t>The sponsor’s response is noted. This issue remains for final determination by the Delegate.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Pr="00107999" w:rsidRDefault="00085175" w:rsidP="00085175">
      <w:pPr>
        <w:pStyle w:val="Heading5"/>
      </w:pPr>
      <w:r w:rsidRPr="00107999">
        <w:t>Outstanding issues</w:t>
      </w:r>
    </w:p>
    <w:p w:rsidR="00376D5E" w:rsidRDefault="00085175" w:rsidP="00085175">
      <w:pPr>
        <w:pStyle w:val="Heading6"/>
      </w:pPr>
      <w:r w:rsidRPr="009F15FD">
        <w:t>Issues in relation to the RMP</w:t>
      </w:r>
    </w:p>
    <w:p w:rsidR="00C46618" w:rsidRPr="00C46618" w:rsidRDefault="00C46618" w:rsidP="00C46618">
      <w:r w:rsidRPr="00C46618">
        <w:t xml:space="preserve">The following outstanding issues should be addressed by the </w:t>
      </w:r>
      <w:r>
        <w:t>s</w:t>
      </w:r>
      <w:r w:rsidRPr="00C46618">
        <w:t>ponsor:</w:t>
      </w:r>
    </w:p>
    <w:p w:rsidR="00C46618" w:rsidRPr="00C46618" w:rsidRDefault="00C46618" w:rsidP="00C46618">
      <w:pPr>
        <w:pStyle w:val="ListBullet"/>
      </w:pPr>
      <w:r w:rsidRPr="00C46618">
        <w:t>ASA (Version 1.0) must be updated to include a date of finalisation/authorisation for document control purposes.</w:t>
      </w:r>
    </w:p>
    <w:p w:rsidR="00C46618" w:rsidRPr="00C46618" w:rsidRDefault="00C46618" w:rsidP="00C46618">
      <w:pPr>
        <w:pStyle w:val="ListBullet"/>
      </w:pPr>
      <w:r w:rsidRPr="00C46618">
        <w:t>“Data in paediat</w:t>
      </w:r>
      <w:r w:rsidR="00122A33">
        <w:t>rics (that is</w:t>
      </w:r>
      <w:r w:rsidRPr="00C46618">
        <w:t>, preterm neonates to children aged 16 years) including data on neurodevelopment” should be reinstated as Missing Information, and the associated additional pharmacovigilance activities be retained in the EU-RMP.</w:t>
      </w:r>
    </w:p>
    <w:p w:rsidR="00C46618" w:rsidRPr="00C46618" w:rsidRDefault="006F5F05" w:rsidP="00C46618">
      <w:pPr>
        <w:pStyle w:val="ListBullet"/>
      </w:pPr>
      <w:r>
        <w:t>The issues raised by the n</w:t>
      </w:r>
      <w:r w:rsidR="00C46618" w:rsidRPr="00C46618">
        <w:t xml:space="preserve">onclinical </w:t>
      </w:r>
      <w:r>
        <w:t>e</w:t>
      </w:r>
      <w:r w:rsidR="00C46618" w:rsidRPr="00C46618">
        <w:t>valuator concerning the monkey studies not providing adequate exposure to the human metabolite should be addressed in Part II Module SII of the EU-RMP.</w:t>
      </w:r>
    </w:p>
    <w:p w:rsidR="00C46618" w:rsidRPr="00C46618" w:rsidRDefault="00C46618" w:rsidP="00C46618">
      <w:pPr>
        <w:pStyle w:val="Heading6"/>
      </w:pPr>
      <w:r w:rsidRPr="00C46618">
        <w:t>Advice from the Advisory Committee on the Safety of Medicines (ACSOM)</w:t>
      </w:r>
    </w:p>
    <w:p w:rsidR="00C46618" w:rsidRPr="00C46618" w:rsidRDefault="00C46618" w:rsidP="00C46618">
      <w:r w:rsidRPr="00C46618">
        <w:t>ACSOM advice was not sought for this submission.</w:t>
      </w:r>
    </w:p>
    <w:p w:rsidR="00085175" w:rsidRPr="00E24D4B" w:rsidRDefault="00085175" w:rsidP="00085175">
      <w:pPr>
        <w:pStyle w:val="Heading5"/>
      </w:pPr>
      <w:r w:rsidRPr="00E24D4B">
        <w:t>Comments on the safety specification of the RMP</w:t>
      </w:r>
    </w:p>
    <w:p w:rsidR="00376D5E" w:rsidRDefault="00085175" w:rsidP="00085175">
      <w:pPr>
        <w:pStyle w:val="Heading6"/>
      </w:pPr>
      <w:r w:rsidRPr="00E24D4B">
        <w:t xml:space="preserve">Clinical </w:t>
      </w:r>
      <w:r>
        <w:t>e</w:t>
      </w:r>
      <w:r w:rsidRPr="00E24D4B">
        <w:t xml:space="preserve">valuation </w:t>
      </w:r>
      <w:r>
        <w:t>r</w:t>
      </w:r>
      <w:r w:rsidRPr="00E24D4B">
        <w:t>eport</w:t>
      </w:r>
    </w:p>
    <w:p w:rsidR="00203AAE" w:rsidRPr="00C46618" w:rsidRDefault="00203AAE" w:rsidP="00C46618">
      <w:r w:rsidRPr="00C46618">
        <w:t xml:space="preserve">Both the Round 1 and Round 2 reports concluded that “The Safety Specification in the draft </w:t>
      </w:r>
      <w:r w:rsidR="006F5F05">
        <w:t>RMP</w:t>
      </w:r>
      <w:r w:rsidRPr="00C46618">
        <w:t xml:space="preserve"> is satisfactory”</w:t>
      </w:r>
    </w:p>
    <w:p w:rsidR="00376D5E" w:rsidRDefault="00085175" w:rsidP="00085175">
      <w:pPr>
        <w:pStyle w:val="Heading6"/>
      </w:pPr>
      <w:r>
        <w:t>Nonc</w:t>
      </w:r>
      <w:r w:rsidRPr="004A71C1">
        <w:t xml:space="preserve">linical </w:t>
      </w:r>
      <w:r>
        <w:t>e</w:t>
      </w:r>
      <w:r w:rsidRPr="004A71C1">
        <w:t xml:space="preserve">valuation </w:t>
      </w:r>
      <w:r>
        <w:t>r</w:t>
      </w:r>
      <w:r w:rsidRPr="004A71C1">
        <w:t>eport</w:t>
      </w:r>
    </w:p>
    <w:p w:rsidR="00BD555C" w:rsidRPr="00BD555C" w:rsidRDefault="00BD555C" w:rsidP="00BD555C">
      <w:r w:rsidRPr="00BD555C">
        <w:t xml:space="preserve">The </w:t>
      </w:r>
      <w:r w:rsidR="00203AAE">
        <w:t>n</w:t>
      </w:r>
      <w:r w:rsidRPr="00BD555C">
        <w:t xml:space="preserve">onclinical </w:t>
      </w:r>
      <w:r w:rsidR="00203AAE">
        <w:t>e</w:t>
      </w:r>
      <w:r w:rsidRPr="00BD555C">
        <w:t>valuator recommended that:</w:t>
      </w:r>
    </w:p>
    <w:p w:rsidR="00BD555C" w:rsidRPr="00203AAE" w:rsidRDefault="00BD555C" w:rsidP="00203AAE">
      <w:pPr>
        <w:ind w:left="720"/>
        <w:rPr>
          <w:i/>
        </w:rPr>
      </w:pPr>
      <w:r w:rsidRPr="00203AAE">
        <w:rPr>
          <w:i/>
        </w:rPr>
        <w:t xml:space="preserve">In general, the results and conclusions drawn from the nonclinical program for brivaracetam detailed in the sponsor’s draft </w:t>
      </w:r>
      <w:r w:rsidR="00792676">
        <w:rPr>
          <w:i/>
        </w:rPr>
        <w:t>RMP</w:t>
      </w:r>
      <w:r w:rsidRPr="00203AAE">
        <w:rPr>
          <w:i/>
        </w:rPr>
        <w:t xml:space="preserve"> are in general concordance with those of the </w:t>
      </w:r>
      <w:r w:rsidR="00792676">
        <w:rPr>
          <w:i/>
        </w:rPr>
        <w:t>n</w:t>
      </w:r>
      <w:r w:rsidRPr="00203AAE">
        <w:rPr>
          <w:i/>
        </w:rPr>
        <w:t xml:space="preserve">onclinical </w:t>
      </w:r>
      <w:r w:rsidR="00792676">
        <w:rPr>
          <w:i/>
        </w:rPr>
        <w:t>e</w:t>
      </w:r>
      <w:r w:rsidRPr="00203AAE">
        <w:rPr>
          <w:i/>
        </w:rPr>
        <w:t>valuator except for the following points:</w:t>
      </w:r>
    </w:p>
    <w:p w:rsidR="00376D5E" w:rsidRDefault="00BD555C" w:rsidP="00203AAE">
      <w:pPr>
        <w:pStyle w:val="ListBullet3"/>
        <w:rPr>
          <w:i/>
        </w:rPr>
      </w:pPr>
      <w:r w:rsidRPr="00203AAE">
        <w:rPr>
          <w:i/>
        </w:rPr>
        <w:lastRenderedPageBreak/>
        <w:t xml:space="preserve">References to results in the </w:t>
      </w:r>
      <w:proofErr w:type="spellStart"/>
      <w:r w:rsidRPr="00203AAE">
        <w:rPr>
          <w:i/>
        </w:rPr>
        <w:t>cynomolgus</w:t>
      </w:r>
      <w:proofErr w:type="spellEnd"/>
      <w:r w:rsidRPr="00203AAE">
        <w:rPr>
          <w:i/>
        </w:rPr>
        <w:t xml:space="preserve"> monkey studies should be amended to indicate that due to pharmacokinetic differences in this species, safety assessment of the major human metabolites was not achieved</w:t>
      </w:r>
      <w:r w:rsidR="00376D5E">
        <w:rPr>
          <w:i/>
        </w:rPr>
        <w:t>.</w:t>
      </w:r>
    </w:p>
    <w:p w:rsidR="00BD555C" w:rsidRPr="00203AAE" w:rsidRDefault="00BD555C" w:rsidP="00203AAE">
      <w:pPr>
        <w:pStyle w:val="ListBullet3"/>
        <w:rPr>
          <w:i/>
        </w:rPr>
      </w:pPr>
      <w:r w:rsidRPr="00203AAE">
        <w:rPr>
          <w:i/>
        </w:rPr>
        <w:t>The potential human implications for the finding of non-reversible effects on auditory startle responses in rats exposed to brivaracetam during PND</w:t>
      </w:r>
      <w:r w:rsidR="00764434">
        <w:rPr>
          <w:i/>
        </w:rPr>
        <w:t xml:space="preserve"> </w:t>
      </w:r>
      <w:r w:rsidRPr="00203AAE">
        <w:rPr>
          <w:i/>
        </w:rPr>
        <w:t>4-70 have not been taken into account. The rat auditory startle response is an example of a sensorimotor startle response and i</w:t>
      </w:r>
      <w:r w:rsidR="005A4212">
        <w:rPr>
          <w:i/>
        </w:rPr>
        <w:t xml:space="preserve">s a measure of auditory sensory </w:t>
      </w:r>
      <w:r w:rsidRPr="00203AAE">
        <w:rPr>
          <w:i/>
        </w:rPr>
        <w:t>motor processing. Humans are known to have</w:t>
      </w:r>
      <w:r w:rsidR="005A4212">
        <w:rPr>
          <w:i/>
        </w:rPr>
        <w:t xml:space="preserve"> similar startle reflexes (for example, </w:t>
      </w:r>
      <w:r w:rsidRPr="00203AAE">
        <w:rPr>
          <w:i/>
        </w:rPr>
        <w:t>the Start React effect) and similar pathways of sensory-motor processing.</w:t>
      </w:r>
      <w:r w:rsidRPr="00203AAE">
        <w:rPr>
          <w:rStyle w:val="FootnoteReference"/>
          <w:i/>
        </w:rPr>
        <w:footnoteReference w:id="20"/>
      </w:r>
      <w:r w:rsidR="005A4212">
        <w:rPr>
          <w:i/>
        </w:rPr>
        <w:t xml:space="preserve"> Sensory </w:t>
      </w:r>
      <w:r w:rsidRPr="00203AAE">
        <w:rPr>
          <w:i/>
        </w:rPr>
        <w:t xml:space="preserve">motor processing, particularly auditory sensorimotor processing should be evaluated in children who have been exposed to brivaracetam and this should be included as part of the neurodevelopmental monitoring as suggested in the RMP. Given that in rats milk levels of brivaracetam essentially reflect maternal plasma levels, </w:t>
      </w:r>
      <w:proofErr w:type="spellStart"/>
      <w:r w:rsidRPr="00203AAE">
        <w:rPr>
          <w:i/>
        </w:rPr>
        <w:t>transmammary</w:t>
      </w:r>
      <w:proofErr w:type="spellEnd"/>
      <w:r w:rsidRPr="00203AAE">
        <w:rPr>
          <w:i/>
        </w:rPr>
        <w:t xml:space="preserve"> exposure of nursing infants of mothers being treated with brivaracetam should be suspe</w:t>
      </w:r>
      <w:r w:rsidR="00203AAE" w:rsidRPr="00203AAE">
        <w:rPr>
          <w:i/>
        </w:rPr>
        <w:t>cted.</w:t>
      </w:r>
    </w:p>
    <w:p w:rsidR="00BD555C" w:rsidRPr="00BD555C" w:rsidRDefault="00203AAE" w:rsidP="00203AAE">
      <w:pPr>
        <w:pStyle w:val="Heading5"/>
      </w:pPr>
      <w:r>
        <w:t>RMP evaluator’s comments</w:t>
      </w:r>
    </w:p>
    <w:p w:rsidR="00376D5E" w:rsidRDefault="00BD555C" w:rsidP="00BD555C">
      <w:r w:rsidRPr="00BD555C">
        <w:t xml:space="preserve">The </w:t>
      </w:r>
      <w:r w:rsidR="00764434">
        <w:t>s</w:t>
      </w:r>
      <w:r w:rsidRPr="00BD555C">
        <w:t>ponsor is recommended to update the EU-RMP to clarify that the monkey studies were not sufficient to assess the safety profile of major human metabolites</w:t>
      </w:r>
      <w:r w:rsidR="00376D5E">
        <w:t>.</w:t>
      </w:r>
    </w:p>
    <w:p w:rsidR="00BD555C" w:rsidRPr="00BD555C" w:rsidRDefault="00BD555C" w:rsidP="00BD555C">
      <w:r w:rsidRPr="00BD555C">
        <w:t>Concerns regarding neurodevelopmental effects were addressed in version 1.0 of the EU</w:t>
      </w:r>
      <w:r w:rsidRPr="00BD555C">
        <w:noBreakHyphen/>
        <w:t>RMP, but this was re</w:t>
      </w:r>
      <w:r w:rsidR="001F1E7B">
        <w:t>moved from version 6</w:t>
      </w:r>
      <w:r w:rsidRPr="00BD555C">
        <w:t>. It is recommended that the effects of brivaracetam on neurodevelopment be retained as missing information in the updated EU</w:t>
      </w:r>
      <w:r w:rsidRPr="00BD555C">
        <w:noBreakHyphen/>
        <w:t>RMP unless adequately justified by new clinical data. Consideration of sensory</w:t>
      </w:r>
      <w:r w:rsidR="00D0139A">
        <w:t xml:space="preserve"> </w:t>
      </w:r>
      <w:r w:rsidRPr="00BD555C">
        <w:t>motor processing should also be included in the pharmacovigilance activities. The concern regarding exposure to breastfed infants is addressed as missing information in the RMP. However the consequence of exposure through the milk should also be considered as missing information for potential effects on neurodevelopment.</w:t>
      </w:r>
    </w:p>
    <w:p w:rsidR="00085175" w:rsidRPr="00E24D4B" w:rsidRDefault="00085175" w:rsidP="00085175">
      <w:pPr>
        <w:pStyle w:val="Heading5"/>
      </w:pPr>
      <w:r w:rsidRPr="008B1938">
        <w:t xml:space="preserve">Key changes to the updated </w:t>
      </w:r>
      <w:r>
        <w:t>RMP</w:t>
      </w:r>
    </w:p>
    <w:p w:rsidR="00F20498" w:rsidRPr="00A215C9" w:rsidRDefault="00F20498" w:rsidP="00A215C9">
      <w:r w:rsidRPr="00A215C9">
        <w:t xml:space="preserve">EU-RMP Version 1.0 (dated 5 November 2014, DLP 17 January 2014; no </w:t>
      </w:r>
      <w:r w:rsidR="00D0139A">
        <w:t xml:space="preserve">ASA </w:t>
      </w:r>
      <w:r w:rsidRPr="00A215C9">
        <w:t>provided)</w:t>
      </w:r>
      <w:r w:rsidR="009012F8">
        <w:t xml:space="preserve"> </w:t>
      </w:r>
      <w:r w:rsidRPr="00A215C9">
        <w:t>has been superseded by:</w:t>
      </w:r>
    </w:p>
    <w:p w:rsidR="00F20498" w:rsidRPr="00A215C9" w:rsidRDefault="00F20498" w:rsidP="00A215C9">
      <w:pPr>
        <w:ind w:left="720"/>
        <w:rPr>
          <w:i/>
        </w:rPr>
      </w:pPr>
      <w:r w:rsidRPr="00A215C9">
        <w:rPr>
          <w:i/>
        </w:rPr>
        <w:t>EU-RMP Version 6.0 (dated 11 January 2016, DLP 17 January 2014) and Australian Specific Annex Version 1.0 (no finalisation date provided on the ASA)</w:t>
      </w:r>
    </w:p>
    <w:p w:rsidR="00F20498" w:rsidRPr="00A215C9" w:rsidRDefault="00F20498" w:rsidP="00A215C9">
      <w:r w:rsidRPr="00A215C9">
        <w:t xml:space="preserve">Key changes from the version evaluated </w:t>
      </w:r>
      <w:r w:rsidR="00A215C9" w:rsidRPr="00A215C9">
        <w:t>at Round 1 are summarised below.</w:t>
      </w:r>
    </w:p>
    <w:p w:rsidR="009012F8" w:rsidRPr="001C4E32" w:rsidRDefault="009012F8" w:rsidP="009012F8">
      <w:pPr>
        <w:pStyle w:val="TableTitle"/>
      </w:pPr>
      <w:proofErr w:type="gramStart"/>
      <w:r>
        <w:t>Table 29</w:t>
      </w:r>
      <w:r w:rsidRPr="001C4E32">
        <w:t xml:space="preserve">: </w:t>
      </w:r>
      <w:r w:rsidR="00FB2FBC" w:rsidRPr="00FB2FBC">
        <w:t>Summary of key updates between EU-RMP Version 1.0 and EU-RMP Version 6.0</w:t>
      </w:r>
      <w:r>
        <w:t>.</w:t>
      </w:r>
      <w:proofErr w:type="gramEnd"/>
    </w:p>
    <w:tbl>
      <w:tblPr>
        <w:tblStyle w:val="TableTGAblue"/>
        <w:tblW w:w="0" w:type="auto"/>
        <w:tblLook w:val="04A0" w:firstRow="1" w:lastRow="0" w:firstColumn="1" w:lastColumn="0" w:noHBand="0" w:noVBand="1"/>
      </w:tblPr>
      <w:tblGrid>
        <w:gridCol w:w="2179"/>
        <w:gridCol w:w="6541"/>
      </w:tblGrid>
      <w:tr w:rsidR="00F20498" w:rsidRPr="00EB215B" w:rsidTr="009012F8">
        <w:trPr>
          <w:cnfStyle w:val="100000000000" w:firstRow="1" w:lastRow="0" w:firstColumn="0" w:lastColumn="0" w:oddVBand="0" w:evenVBand="0" w:oddHBand="0" w:evenHBand="0" w:firstRowFirstColumn="0" w:firstRowLastColumn="0" w:lastRowFirstColumn="0" w:lastRowLastColumn="0"/>
          <w:trHeight w:val="274"/>
        </w:trPr>
        <w:tc>
          <w:tcPr>
            <w:tcW w:w="8720" w:type="dxa"/>
            <w:gridSpan w:val="2"/>
          </w:tcPr>
          <w:p w:rsidR="00F20498" w:rsidRPr="00EB215B" w:rsidRDefault="00F20498" w:rsidP="00EB215B">
            <w:pPr>
              <w:rPr>
                <w:sz w:val="20"/>
                <w:szCs w:val="20"/>
              </w:rPr>
            </w:pPr>
            <w:r w:rsidRPr="00EB215B">
              <w:rPr>
                <w:sz w:val="20"/>
                <w:szCs w:val="20"/>
              </w:rPr>
              <w:t>Summary of  key updates between EU-RMP Version 1.0 and EU-RMP Version 6.0</w:t>
            </w:r>
          </w:p>
          <w:p w:rsidR="00F20498" w:rsidRPr="00EB215B" w:rsidRDefault="00F20498" w:rsidP="00EB215B">
            <w:pPr>
              <w:rPr>
                <w:sz w:val="20"/>
                <w:szCs w:val="20"/>
              </w:rPr>
            </w:pPr>
          </w:p>
        </w:tc>
      </w:tr>
      <w:tr w:rsidR="00F20498" w:rsidRPr="00EB215B" w:rsidTr="009012F8">
        <w:trPr>
          <w:trHeight w:val="270"/>
        </w:trPr>
        <w:tc>
          <w:tcPr>
            <w:tcW w:w="2150" w:type="dxa"/>
            <w:hideMark/>
          </w:tcPr>
          <w:p w:rsidR="00F20498" w:rsidRPr="00EB215B" w:rsidRDefault="00F20498" w:rsidP="00EB215B">
            <w:pPr>
              <w:rPr>
                <w:sz w:val="20"/>
                <w:szCs w:val="20"/>
              </w:rPr>
            </w:pPr>
            <w:r w:rsidRPr="00EB215B">
              <w:rPr>
                <w:sz w:val="20"/>
                <w:szCs w:val="20"/>
              </w:rPr>
              <w:t>Safety specification</w:t>
            </w:r>
          </w:p>
        </w:tc>
        <w:tc>
          <w:tcPr>
            <w:tcW w:w="6570" w:type="dxa"/>
          </w:tcPr>
          <w:p w:rsidR="00F20498" w:rsidRPr="00EB215B" w:rsidRDefault="00F20498" w:rsidP="00EB215B">
            <w:pPr>
              <w:rPr>
                <w:sz w:val="20"/>
                <w:szCs w:val="20"/>
              </w:rPr>
            </w:pPr>
            <w:r w:rsidRPr="00EB215B">
              <w:rPr>
                <w:sz w:val="20"/>
                <w:szCs w:val="20"/>
              </w:rPr>
              <w:t>‘Aggression’ has been added as an Important Identified Risk</w:t>
            </w:r>
          </w:p>
          <w:p w:rsidR="00F20498" w:rsidRPr="00EB215B" w:rsidRDefault="00F20498" w:rsidP="00EB215B">
            <w:pPr>
              <w:rPr>
                <w:sz w:val="20"/>
                <w:szCs w:val="20"/>
              </w:rPr>
            </w:pPr>
            <w:r w:rsidRPr="00EB215B">
              <w:rPr>
                <w:sz w:val="20"/>
                <w:szCs w:val="20"/>
              </w:rPr>
              <w:t>‘Off-label use for unapproved epilepsy indications (including preterm neonates to children aged &lt;16 years)’ has been added as an Important Potential Risk</w:t>
            </w:r>
          </w:p>
          <w:p w:rsidR="00F20498" w:rsidRPr="00EB215B" w:rsidRDefault="00F20498" w:rsidP="00EB215B">
            <w:pPr>
              <w:rPr>
                <w:sz w:val="20"/>
                <w:szCs w:val="20"/>
              </w:rPr>
            </w:pPr>
            <w:r w:rsidRPr="00EB215B">
              <w:rPr>
                <w:sz w:val="20"/>
                <w:szCs w:val="20"/>
              </w:rPr>
              <w:t>‘Data in paediatrics (</w:t>
            </w:r>
            <w:proofErr w:type="spellStart"/>
            <w:r w:rsidRPr="00EB215B">
              <w:rPr>
                <w:sz w:val="20"/>
                <w:szCs w:val="20"/>
              </w:rPr>
              <w:t>ie</w:t>
            </w:r>
            <w:proofErr w:type="spellEnd"/>
            <w:r w:rsidRPr="00EB215B">
              <w:rPr>
                <w:sz w:val="20"/>
                <w:szCs w:val="20"/>
              </w:rPr>
              <w:t>, preterm neonates to children aged 16 years) including data on neurodevelopment’ has been removed as Missing Information</w:t>
            </w:r>
          </w:p>
          <w:p w:rsidR="00F20498" w:rsidRPr="00EB215B" w:rsidRDefault="00F20498" w:rsidP="00EB215B">
            <w:pPr>
              <w:rPr>
                <w:sz w:val="20"/>
                <w:szCs w:val="20"/>
              </w:rPr>
            </w:pPr>
            <w:r w:rsidRPr="00EB215B">
              <w:rPr>
                <w:sz w:val="20"/>
                <w:szCs w:val="20"/>
              </w:rPr>
              <w:lastRenderedPageBreak/>
              <w:t>‘Data in elderly’ has been added as Missing Information</w:t>
            </w:r>
          </w:p>
          <w:p w:rsidR="00F20498" w:rsidRPr="00EB215B" w:rsidRDefault="00F20498" w:rsidP="00EB215B">
            <w:pPr>
              <w:rPr>
                <w:sz w:val="20"/>
                <w:szCs w:val="20"/>
              </w:rPr>
            </w:pPr>
            <w:r w:rsidRPr="00EB215B">
              <w:rPr>
                <w:sz w:val="20"/>
                <w:szCs w:val="20"/>
              </w:rPr>
              <w:t>‘Clinical outcomes after an overdose’ has been added as Missing Information</w:t>
            </w:r>
          </w:p>
          <w:p w:rsidR="00F20498" w:rsidRPr="00EB215B" w:rsidRDefault="00F20498" w:rsidP="00EB215B">
            <w:pPr>
              <w:rPr>
                <w:sz w:val="20"/>
                <w:szCs w:val="20"/>
              </w:rPr>
            </w:pPr>
            <w:r w:rsidRPr="00EB215B">
              <w:rPr>
                <w:sz w:val="20"/>
                <w:szCs w:val="20"/>
              </w:rPr>
              <w:t>‘Long-term safety’ has been added as Missing Information</w:t>
            </w:r>
          </w:p>
        </w:tc>
      </w:tr>
      <w:tr w:rsidR="00F20498" w:rsidRPr="00EB215B" w:rsidTr="009012F8">
        <w:trPr>
          <w:trHeight w:val="524"/>
        </w:trPr>
        <w:tc>
          <w:tcPr>
            <w:tcW w:w="2150" w:type="dxa"/>
            <w:hideMark/>
          </w:tcPr>
          <w:p w:rsidR="00F20498" w:rsidRPr="00EB215B" w:rsidRDefault="00F20498" w:rsidP="00EB215B">
            <w:pPr>
              <w:rPr>
                <w:sz w:val="20"/>
                <w:szCs w:val="20"/>
              </w:rPr>
            </w:pPr>
            <w:r w:rsidRPr="00EB215B">
              <w:rPr>
                <w:sz w:val="20"/>
                <w:szCs w:val="20"/>
              </w:rPr>
              <w:lastRenderedPageBreak/>
              <w:t>Pharmacovigilance activities</w:t>
            </w:r>
          </w:p>
        </w:tc>
        <w:tc>
          <w:tcPr>
            <w:tcW w:w="6570" w:type="dxa"/>
          </w:tcPr>
          <w:p w:rsidR="00F20498" w:rsidRPr="00EB215B" w:rsidRDefault="00F20498" w:rsidP="00EB215B">
            <w:pPr>
              <w:rPr>
                <w:sz w:val="20"/>
                <w:szCs w:val="20"/>
              </w:rPr>
            </w:pPr>
            <w:r w:rsidRPr="00EB215B">
              <w:rPr>
                <w:sz w:val="20"/>
                <w:szCs w:val="20"/>
              </w:rPr>
              <w:t>Routine pharmacovigilance has been proposed for the new identified risk of ‘Aggression’</w:t>
            </w:r>
          </w:p>
          <w:p w:rsidR="00F20498" w:rsidRPr="00EB215B" w:rsidRDefault="00F20498" w:rsidP="00EB215B">
            <w:pPr>
              <w:rPr>
                <w:sz w:val="20"/>
                <w:szCs w:val="20"/>
              </w:rPr>
            </w:pPr>
            <w:r w:rsidRPr="00EB215B">
              <w:rPr>
                <w:sz w:val="20"/>
                <w:szCs w:val="20"/>
              </w:rPr>
              <w:t>Routine pharmacovigilance has been proposed for the risk of ‘Off-label use for unapproved epilepsy indications (including preterm neonates to children aged &lt;16 years)’</w:t>
            </w:r>
          </w:p>
          <w:p w:rsidR="00F20498" w:rsidRPr="00EB215B" w:rsidRDefault="00F20498" w:rsidP="00EB215B">
            <w:pPr>
              <w:rPr>
                <w:sz w:val="20"/>
                <w:szCs w:val="20"/>
              </w:rPr>
            </w:pPr>
            <w:r w:rsidRPr="00EB215B">
              <w:rPr>
                <w:sz w:val="20"/>
                <w:szCs w:val="20"/>
              </w:rPr>
              <w:t>Routine pharmacovigilance has been proposed for the new Missing Information ‘Data in elderly’, ‘Clinical outcomes after an overdose’ and ‘Long-term safety’.</w:t>
            </w:r>
          </w:p>
          <w:p w:rsidR="00F20498" w:rsidRPr="00EB215B" w:rsidRDefault="00F20498" w:rsidP="00EB215B">
            <w:pPr>
              <w:rPr>
                <w:sz w:val="20"/>
                <w:szCs w:val="20"/>
              </w:rPr>
            </w:pPr>
            <w:r w:rsidRPr="00EB215B">
              <w:rPr>
                <w:sz w:val="20"/>
                <w:szCs w:val="20"/>
              </w:rPr>
              <w:t xml:space="preserve">Additional pharmacovigilance activities to address missing information in paediatrics (including neurodevelopment) have been removed (these measures included head circumference measurements, neurodevelopmental assessment and 5 clinical trials). </w:t>
            </w:r>
          </w:p>
        </w:tc>
      </w:tr>
      <w:tr w:rsidR="00F20498" w:rsidRPr="00EB215B" w:rsidTr="009012F8">
        <w:trPr>
          <w:trHeight w:val="524"/>
        </w:trPr>
        <w:tc>
          <w:tcPr>
            <w:tcW w:w="2150" w:type="dxa"/>
          </w:tcPr>
          <w:p w:rsidR="00F20498" w:rsidRPr="00EB215B" w:rsidRDefault="00F20498" w:rsidP="00EB215B">
            <w:pPr>
              <w:rPr>
                <w:sz w:val="20"/>
                <w:szCs w:val="20"/>
              </w:rPr>
            </w:pPr>
            <w:r w:rsidRPr="00EB215B">
              <w:rPr>
                <w:sz w:val="20"/>
                <w:szCs w:val="20"/>
              </w:rPr>
              <w:t>Risk minimisation activities</w:t>
            </w:r>
          </w:p>
        </w:tc>
        <w:tc>
          <w:tcPr>
            <w:tcW w:w="6570" w:type="dxa"/>
          </w:tcPr>
          <w:p w:rsidR="00F20498" w:rsidRPr="00EB215B" w:rsidRDefault="00F20498" w:rsidP="00EB215B">
            <w:pPr>
              <w:rPr>
                <w:sz w:val="20"/>
                <w:szCs w:val="20"/>
              </w:rPr>
            </w:pPr>
            <w:r w:rsidRPr="00EB215B">
              <w:rPr>
                <w:sz w:val="20"/>
                <w:szCs w:val="20"/>
              </w:rPr>
              <w:t>Routine risk minimisation has been proposed for the new identified risk of ‘Aggression.’</w:t>
            </w:r>
          </w:p>
          <w:p w:rsidR="00F20498" w:rsidRPr="00EB215B" w:rsidRDefault="00F20498" w:rsidP="00EB215B">
            <w:pPr>
              <w:rPr>
                <w:sz w:val="20"/>
                <w:szCs w:val="20"/>
              </w:rPr>
            </w:pPr>
            <w:r w:rsidRPr="00EB215B">
              <w:rPr>
                <w:sz w:val="20"/>
                <w:szCs w:val="20"/>
              </w:rPr>
              <w:t>Routine risk minimisation has been proposed for the risk of ‘Off-label use for unapproved epilepsy indications (including preterm neonates to children aged &lt;16 years)’</w:t>
            </w:r>
          </w:p>
          <w:p w:rsidR="00F20498" w:rsidRPr="00EB215B" w:rsidRDefault="00F20498" w:rsidP="00EB215B">
            <w:pPr>
              <w:rPr>
                <w:sz w:val="20"/>
                <w:szCs w:val="20"/>
              </w:rPr>
            </w:pPr>
            <w:r w:rsidRPr="00EB215B">
              <w:rPr>
                <w:sz w:val="20"/>
                <w:szCs w:val="20"/>
              </w:rPr>
              <w:t>Routine risk minimisation has been proposed for the new Missing Information ‘Data in elderly’, ‘Clinical outcomes after an overdose’ and ‘Long-term safety’.</w:t>
            </w:r>
          </w:p>
        </w:tc>
      </w:tr>
      <w:tr w:rsidR="00F20498" w:rsidRPr="00EB215B" w:rsidTr="009012F8">
        <w:trPr>
          <w:trHeight w:val="524"/>
        </w:trPr>
        <w:tc>
          <w:tcPr>
            <w:tcW w:w="2150" w:type="dxa"/>
          </w:tcPr>
          <w:p w:rsidR="00F20498" w:rsidRPr="00EB215B" w:rsidRDefault="00F20498" w:rsidP="00EB215B">
            <w:pPr>
              <w:rPr>
                <w:sz w:val="20"/>
                <w:szCs w:val="20"/>
              </w:rPr>
            </w:pPr>
            <w:r w:rsidRPr="00EB215B">
              <w:rPr>
                <w:sz w:val="20"/>
                <w:szCs w:val="20"/>
              </w:rPr>
              <w:t>ASA</w:t>
            </w:r>
          </w:p>
        </w:tc>
        <w:tc>
          <w:tcPr>
            <w:tcW w:w="6570" w:type="dxa"/>
          </w:tcPr>
          <w:p w:rsidR="00F20498" w:rsidRPr="00EB215B" w:rsidRDefault="00F20498" w:rsidP="00EB215B">
            <w:pPr>
              <w:rPr>
                <w:sz w:val="20"/>
                <w:szCs w:val="20"/>
              </w:rPr>
            </w:pPr>
            <w:r w:rsidRPr="00EB215B">
              <w:rPr>
                <w:sz w:val="20"/>
                <w:szCs w:val="20"/>
              </w:rPr>
              <w:t>This is the first version of the ASA (ASA Version 1.0; no finalisation date provided on the document)</w:t>
            </w:r>
          </w:p>
        </w:tc>
      </w:tr>
    </w:tbl>
    <w:p w:rsidR="00085175" w:rsidRPr="00734B4D" w:rsidRDefault="00085175" w:rsidP="00085175">
      <w:pPr>
        <w:pStyle w:val="Heading6"/>
      </w:pPr>
      <w:r w:rsidRPr="00734B4D">
        <w:t>RMP evaluator comment</w:t>
      </w:r>
    </w:p>
    <w:p w:rsidR="00376D5E" w:rsidRDefault="00E60E03" w:rsidP="007A6F73">
      <w:r w:rsidRPr="007A6F73">
        <w:t>The rem</w:t>
      </w:r>
      <w:r w:rsidR="009F4F44">
        <w:t>oval of “Data in paediatrics (that is</w:t>
      </w:r>
      <w:r w:rsidRPr="007A6F73">
        <w:t xml:space="preserve">, preterm neonates to children aged 16 years) including data on neurodevelopment” as Missing Information, and the associated additional pharmacovigilance activities, is </w:t>
      </w:r>
      <w:r w:rsidRPr="00070931">
        <w:rPr>
          <w:i/>
        </w:rPr>
        <w:t xml:space="preserve">not </w:t>
      </w:r>
      <w:r w:rsidRPr="007A6F73">
        <w:t xml:space="preserve">supported by the RMP evaluator. No justification was provided for their removal. Unless new clinical data is available to support this removal and cessation of activities it should be reinstated in the summary of safety concerns and pharmacovigilance activities. This would also address concerns of the </w:t>
      </w:r>
      <w:r w:rsidR="00D0139A">
        <w:t>n</w:t>
      </w:r>
      <w:r w:rsidRPr="007A6F73">
        <w:t xml:space="preserve">onclinical </w:t>
      </w:r>
      <w:r w:rsidR="00D0139A">
        <w:t>e</w:t>
      </w:r>
      <w:r w:rsidRPr="007A6F73">
        <w:t xml:space="preserve">valuator regarding neurodevelopmental effects, </w:t>
      </w:r>
      <w:r w:rsidR="007A6F73">
        <w:t>which are detailed</w:t>
      </w:r>
      <w:r w:rsidR="00376D5E">
        <w:t>.</w:t>
      </w:r>
    </w:p>
    <w:p w:rsidR="00E60E03" w:rsidRPr="007A6F73" w:rsidRDefault="00E60E03" w:rsidP="007A6F73">
      <w:r w:rsidRPr="007A6F73">
        <w:t>Statements from the PI document which are reported in the ASA should be updated to ensure the wording is consistent with the final PI.</w:t>
      </w:r>
    </w:p>
    <w:p w:rsidR="00E60E03" w:rsidRPr="007A6F73" w:rsidRDefault="00E60E03" w:rsidP="007A6F73">
      <w:r w:rsidRPr="007A6F73">
        <w:t>The evaluator has no objection to the other changes above, and recommends to the Delegate that the updated EU-RMP version be implemented (see below). However, it is noted that the submitted ASA Version 1.0 requires a date of authorisation/finalisation in the document.</w:t>
      </w:r>
    </w:p>
    <w:p w:rsidR="00376D5E" w:rsidRDefault="00085175" w:rsidP="00085175">
      <w:pPr>
        <w:pStyle w:val="Heading5"/>
      </w:pPr>
      <w:r w:rsidRPr="0065641D">
        <w:lastRenderedPageBreak/>
        <w:t>Suggested wording for conditions of registration</w:t>
      </w:r>
    </w:p>
    <w:p w:rsidR="00085175" w:rsidRPr="0065641D" w:rsidRDefault="00085175" w:rsidP="00085175">
      <w:pPr>
        <w:pStyle w:val="Heading6"/>
      </w:pPr>
      <w:r w:rsidRPr="0065641D">
        <w:t>RMP</w:t>
      </w:r>
    </w:p>
    <w:p w:rsidR="00EE08B7" w:rsidRDefault="00EE08B7" w:rsidP="00085175">
      <w:r w:rsidRPr="00EE08B7">
        <w:t>Any changes to which the sponsor agreed become part of the risk management system, whether they are included in the currently available version of the RMP document, or not included, inadvertently or other</w:t>
      </w:r>
      <w:r>
        <w:t>wise.</w:t>
      </w:r>
    </w:p>
    <w:p w:rsidR="00EE08B7" w:rsidRDefault="00EE08B7" w:rsidP="00085175">
      <w:r>
        <w:t>The suggested wording is:</w:t>
      </w:r>
    </w:p>
    <w:p w:rsidR="00085175" w:rsidRPr="00EE08B7" w:rsidRDefault="00EE08B7" w:rsidP="00EE08B7">
      <w:pPr>
        <w:ind w:left="720"/>
        <w:rPr>
          <w:i/>
        </w:rPr>
      </w:pPr>
      <w:r w:rsidRPr="00EE08B7">
        <w:rPr>
          <w:i/>
        </w:rPr>
        <w:t>The European Risk Management Plan (Version 6, 11 January 2016, DLP 17 January 2014), with Australian Specific Annex (version 1.0, date to be provided), to be revised to the satisfaction of the TGA, must be implemented (see outstanding issues above).</w:t>
      </w:r>
    </w:p>
    <w:p w:rsidR="008E7846" w:rsidRPr="00792A32" w:rsidRDefault="008E7846" w:rsidP="008E7846">
      <w:pPr>
        <w:pStyle w:val="Heading2"/>
      </w:pPr>
      <w:bookmarkStart w:id="215" w:name="_Toc314842510"/>
      <w:bookmarkStart w:id="216" w:name="_Toc47959524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67"/>
      <w:bookmarkEnd w:id="214"/>
      <w:bookmarkEnd w:id="215"/>
      <w:bookmarkEnd w:id="216"/>
    </w:p>
    <w:p w:rsidR="008E7846" w:rsidRDefault="008E7846" w:rsidP="008E7846">
      <w:bookmarkStart w:id="217"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AA0ED0" w:rsidP="008E7846">
      <w:pPr>
        <w:pStyle w:val="Heading3"/>
      </w:pPr>
      <w:bookmarkStart w:id="218" w:name="_Toc247691531"/>
      <w:bookmarkStart w:id="219" w:name="_Toc314842515"/>
      <w:bookmarkStart w:id="220" w:name="_Toc196046505"/>
      <w:bookmarkStart w:id="221" w:name="_Toc196046949"/>
      <w:bookmarkStart w:id="222" w:name="_Toc479595242"/>
      <w:bookmarkEnd w:id="217"/>
      <w:r>
        <w:t>Risk-benefit a</w:t>
      </w:r>
      <w:r w:rsidR="008E7846">
        <w:t>nalysis</w:t>
      </w:r>
      <w:bookmarkEnd w:id="218"/>
      <w:bookmarkEnd w:id="219"/>
      <w:bookmarkEnd w:id="222"/>
    </w:p>
    <w:p w:rsidR="00376D5E" w:rsidRDefault="00D23139" w:rsidP="00D23139">
      <w:pPr>
        <w:pStyle w:val="Heading4"/>
      </w:pPr>
      <w:r w:rsidRPr="00D23139">
        <w:t>Delegate’s considerations</w:t>
      </w:r>
    </w:p>
    <w:p w:rsidR="0001521E" w:rsidRDefault="0001521E" w:rsidP="0001521E">
      <w:r>
        <w:t>The clinical</w:t>
      </w:r>
      <w:r w:rsidRPr="003852DA">
        <w:t xml:space="preserve"> evaluator raised no objection to the regist</w:t>
      </w:r>
      <w:r>
        <w:t>ration of brivaracetam (Briviact</w:t>
      </w:r>
      <w:r w:rsidRPr="003852DA">
        <w:t xml:space="preserve">) film coated tablets, oral solution and solution for injection. There are some </w:t>
      </w:r>
      <w:r>
        <w:t>nonclinical</w:t>
      </w:r>
      <w:r w:rsidRPr="003852DA">
        <w:t xml:space="preserve"> PI issues requiring</w:t>
      </w:r>
      <w:r>
        <w:t xml:space="preserve"> modifications</w:t>
      </w:r>
      <w:r w:rsidR="008C5A28">
        <w:t>,</w:t>
      </w:r>
      <w:r>
        <w:t xml:space="preserve"> while c</w:t>
      </w:r>
      <w:r w:rsidRPr="003852DA">
        <w:t xml:space="preserve">hemistry evaluators require resolution of quality and carton issues </w:t>
      </w:r>
      <w:r w:rsidR="00A814C5">
        <w:t xml:space="preserve">before supporting registration. </w:t>
      </w:r>
      <w:r w:rsidRPr="003852DA">
        <w:t>In line with the pharmacodynamic data, it is:</w:t>
      </w:r>
    </w:p>
    <w:p w:rsidR="0001521E" w:rsidRDefault="0001521E" w:rsidP="0001521E">
      <w:pPr>
        <w:pStyle w:val="ListBullet"/>
      </w:pPr>
      <w:r w:rsidRPr="002515E6">
        <w:t>Desirable to clearly state that brivaracetam dose be initiated at 50</w:t>
      </w:r>
      <w:r w:rsidR="00F05038">
        <w:t xml:space="preserve"> </w:t>
      </w:r>
      <w:r w:rsidRPr="002515E6">
        <w:t>mg per day, increasing at 50</w:t>
      </w:r>
      <w:r>
        <w:t xml:space="preserve"> </w:t>
      </w:r>
      <w:r w:rsidRPr="002515E6">
        <w:t>mg per day, say every 2 to 4 weeks, until either the effective dose or maximum permitted dose of 200</w:t>
      </w:r>
      <w:r>
        <w:t xml:space="preserve"> </w:t>
      </w:r>
      <w:r w:rsidRPr="002515E6">
        <w:t>mg per day is attained. The statement in the d</w:t>
      </w:r>
      <w:r w:rsidR="00F05038">
        <w:t xml:space="preserve">raft </w:t>
      </w:r>
      <w:r w:rsidRPr="002515E6">
        <w:t>PI under Dosage and Administration “Initial dose titration to an effective dose is not required for tolerability” should be deleted.</w:t>
      </w:r>
    </w:p>
    <w:p w:rsidR="0001521E" w:rsidRDefault="0001521E" w:rsidP="0001521E">
      <w:pPr>
        <w:pStyle w:val="ListBullet"/>
      </w:pPr>
      <w:r w:rsidRPr="002515E6">
        <w:t>Valuable to mention that there is decreased absorption rate, as shown by lower Cmax and longer Tmax when brivaracetam is taken with food, especially when fatty. Preference will therefore be to take brivaracetam on empty stomach.</w:t>
      </w:r>
    </w:p>
    <w:p w:rsidR="0001521E" w:rsidRDefault="0001521E" w:rsidP="0001521E">
      <w:pPr>
        <w:pStyle w:val="ListBullet"/>
      </w:pPr>
      <w:r w:rsidRPr="002515E6">
        <w:t>Unsafe to claim that “no dose adjustment is needed in patients with impaired renal function” in the d</w:t>
      </w:r>
      <w:r>
        <w:t xml:space="preserve">raft </w:t>
      </w:r>
      <w:r w:rsidRPr="002515E6">
        <w:t>PI when Study N01109 revealed that renal dysfunction did decrease the renal clearance of the drug (-63%). It is more appropriate to state that “dose adjustment may be necessary in rena</w:t>
      </w:r>
      <w:r w:rsidR="006809B7">
        <w:t>l dysfunction” even considering</w:t>
      </w:r>
      <w:r w:rsidRPr="002515E6">
        <w:t xml:space="preserve"> that less than 10% of the drug is excreted as unchanged in urine.</w:t>
      </w:r>
    </w:p>
    <w:p w:rsidR="0001521E" w:rsidRDefault="0001521E" w:rsidP="0001521E">
      <w:pPr>
        <w:pStyle w:val="ListBullet"/>
      </w:pPr>
      <w:r w:rsidRPr="002515E6">
        <w:t xml:space="preserve">Not evidence based to state that “no dose adjustment required” when one AED is affecting the plasma concentration of another. For instance, carbamazepine is stated as decreasing brivaracetam concentration by 26% while the latter is increasing the former’s plasma concentration. The decision on whether or not to make dose adjustment should be determined clinically, based on efficacy/adverse effects </w:t>
      </w:r>
      <w:proofErr w:type="spellStart"/>
      <w:r w:rsidRPr="002515E6">
        <w:t>sequela</w:t>
      </w:r>
      <w:proofErr w:type="spellEnd"/>
      <w:r w:rsidRPr="002515E6">
        <w:t xml:space="preserve"> of making dose adjustment relative to one AED or another.</w:t>
      </w:r>
    </w:p>
    <w:p w:rsidR="0001521E" w:rsidRDefault="0001521E" w:rsidP="0001521E">
      <w:r w:rsidRPr="002515E6">
        <w:t>Like the other AEDs, suicidal ideation/attempt or completed suicide is a rare but major safety concern and it has been captured in the d</w:t>
      </w:r>
      <w:r>
        <w:t xml:space="preserve">raft </w:t>
      </w:r>
      <w:r w:rsidRPr="002515E6">
        <w:t>PI under “Precautions”. Nonetheless, the benefit-risk balance is rated as favourab</w:t>
      </w:r>
      <w:r>
        <w:t>le for the proposed indication.</w:t>
      </w:r>
    </w:p>
    <w:p w:rsidR="0001521E" w:rsidRDefault="0001521E" w:rsidP="0001521E">
      <w:r w:rsidRPr="002515E6">
        <w:t>The d</w:t>
      </w:r>
      <w:r>
        <w:t xml:space="preserve">raft </w:t>
      </w:r>
      <w:r w:rsidRPr="002515E6">
        <w:t xml:space="preserve">PI requires modifications especially as revised in the </w:t>
      </w:r>
      <w:r>
        <w:t>nonclinical evaluation</w:t>
      </w:r>
      <w:r w:rsidRPr="002515E6">
        <w:t>.</w:t>
      </w:r>
    </w:p>
    <w:p w:rsidR="00DF397A" w:rsidRDefault="00DF397A" w:rsidP="00DF397A">
      <w:pPr>
        <w:pStyle w:val="Heading4"/>
      </w:pPr>
      <w:r>
        <w:lastRenderedPageBreak/>
        <w:t>Summary of issues</w:t>
      </w:r>
    </w:p>
    <w:p w:rsidR="00DF397A" w:rsidRPr="00DF397A" w:rsidRDefault="00DF397A" w:rsidP="00DF397A">
      <w:pPr>
        <w:pStyle w:val="ListBullet"/>
      </w:pPr>
      <w:r w:rsidRPr="00DF397A">
        <w:t>Requirement for dose titration so as to minimise adverse</w:t>
      </w:r>
      <w:r>
        <w:t xml:space="preserve"> </w:t>
      </w:r>
      <w:r w:rsidRPr="00DF397A">
        <w:t>effects</w:t>
      </w:r>
    </w:p>
    <w:p w:rsidR="00DF397A" w:rsidRDefault="00DF397A" w:rsidP="00DF397A">
      <w:pPr>
        <w:pStyle w:val="ListBullet"/>
      </w:pPr>
      <w:r w:rsidRPr="00DF397A">
        <w:t>Timing of Brivaracetam administration in relation to food</w:t>
      </w:r>
    </w:p>
    <w:p w:rsidR="00DF397A" w:rsidRPr="00DF397A" w:rsidRDefault="00DF397A" w:rsidP="00DF397A">
      <w:pPr>
        <w:pStyle w:val="ListBullet"/>
      </w:pPr>
      <w:r w:rsidRPr="00DF397A">
        <w:t>Requirement for Brivar</w:t>
      </w:r>
      <w:r>
        <w:t xml:space="preserve">acetam dose reduction in kidney </w:t>
      </w:r>
      <w:r w:rsidRPr="00DF397A">
        <w:t>disease</w:t>
      </w:r>
    </w:p>
    <w:p w:rsidR="00D23139" w:rsidRDefault="00D23139" w:rsidP="00D23139">
      <w:pPr>
        <w:pStyle w:val="Heading4"/>
      </w:pPr>
      <w:r w:rsidRPr="00D23139">
        <w:t>Proposed action</w:t>
      </w:r>
    </w:p>
    <w:p w:rsidR="007846FD" w:rsidRPr="00232A97" w:rsidRDefault="002515E6" w:rsidP="00232A97">
      <w:r>
        <w:t>T</w:t>
      </w:r>
      <w:r w:rsidR="007846FD">
        <w:t>he Delegate</w:t>
      </w:r>
      <w:r w:rsidR="007846FD" w:rsidRPr="007846FD">
        <w:t xml:space="preserve"> favour</w:t>
      </w:r>
      <w:r w:rsidR="007846FD">
        <w:t>s</w:t>
      </w:r>
      <w:r>
        <w:t xml:space="preserve">, </w:t>
      </w:r>
      <w:r w:rsidR="007846FD" w:rsidRPr="007846FD">
        <w:t>at this stage, the approval of the application subject to resolving issues, which may arise from the ACPM deliberations and finalisation of matters pertaining to the d</w:t>
      </w:r>
      <w:r w:rsidR="004C740F">
        <w:t xml:space="preserve">raft PI, nonclinical and clinical evaluations, </w:t>
      </w:r>
      <w:r w:rsidR="007846FD" w:rsidRPr="007846FD">
        <w:t>and</w:t>
      </w:r>
      <w:r>
        <w:t xml:space="preserve"> RMP to the satisfaction of </w:t>
      </w:r>
      <w:r w:rsidR="007846FD" w:rsidRPr="007846FD">
        <w:t>TGA</w:t>
      </w:r>
      <w:r>
        <w:t>.</w:t>
      </w:r>
    </w:p>
    <w:p w:rsidR="00D23139" w:rsidRDefault="00D23139" w:rsidP="00D23139">
      <w:pPr>
        <w:pStyle w:val="Heading4"/>
      </w:pPr>
      <w:r w:rsidRPr="00D23139">
        <w:t>Request for ACPM advice</w:t>
      </w:r>
    </w:p>
    <w:p w:rsidR="007846FD" w:rsidRDefault="007846FD" w:rsidP="007846FD">
      <w:pPr>
        <w:pStyle w:val="ListBullet"/>
      </w:pPr>
      <w:r w:rsidRPr="007846FD">
        <w:t>Acceptability</w:t>
      </w:r>
      <w:r>
        <w:t xml:space="preserve"> of the proposed indication.</w:t>
      </w:r>
    </w:p>
    <w:p w:rsidR="007846FD" w:rsidRDefault="007846FD" w:rsidP="007846FD">
      <w:pPr>
        <w:pStyle w:val="ListBullet"/>
      </w:pPr>
      <w:r>
        <w:t>A</w:t>
      </w:r>
      <w:r w:rsidRPr="007846FD">
        <w:t xml:space="preserve">cceptability of the </w:t>
      </w:r>
      <w:r w:rsidR="00C20425">
        <w:t>D</w:t>
      </w:r>
      <w:r w:rsidRPr="007846FD">
        <w:t>elegate’s suggested modifications to the statements on dosage with regard to dose titratio</w:t>
      </w:r>
      <w:r>
        <w:t>n, food and renal impairment.</w:t>
      </w:r>
    </w:p>
    <w:p w:rsidR="00232A97" w:rsidRDefault="007846FD" w:rsidP="007846FD">
      <w:pPr>
        <w:pStyle w:val="ListBullet"/>
      </w:pPr>
      <w:r w:rsidRPr="007846FD">
        <w:t>Advice on any other issues relevant to a decision on whether or not to approve this application.</w:t>
      </w:r>
    </w:p>
    <w:p w:rsidR="00376D5E" w:rsidRDefault="00232A97" w:rsidP="00D23139">
      <w:pPr>
        <w:pStyle w:val="Heading4"/>
      </w:pPr>
      <w:r>
        <w:t>Response from s</w:t>
      </w:r>
      <w:r w:rsidR="00D23139" w:rsidRPr="00D23139">
        <w:t>ponsor</w:t>
      </w:r>
    </w:p>
    <w:p w:rsidR="00770EA0" w:rsidRPr="00770EA0" w:rsidRDefault="00770EA0" w:rsidP="00770EA0">
      <w:pPr>
        <w:pStyle w:val="Heading5"/>
      </w:pPr>
      <w:r w:rsidRPr="00770EA0">
        <w:t>Proposed actions for the sponsor</w:t>
      </w:r>
    </w:p>
    <w:p w:rsidR="007F3B7F" w:rsidRPr="007F3B7F" w:rsidRDefault="007F3B7F" w:rsidP="007F3B7F">
      <w:pPr>
        <w:pStyle w:val="ListBullet"/>
        <w:rPr>
          <w:i/>
        </w:rPr>
      </w:pPr>
      <w:r w:rsidRPr="007F3B7F">
        <w:rPr>
          <w:i/>
        </w:rPr>
        <w:t>It is desirable to clearly state that brivaracetam dose be initiated at 50</w:t>
      </w:r>
      <w:r w:rsidR="006E08A2">
        <w:rPr>
          <w:i/>
        </w:rPr>
        <w:t xml:space="preserve"> </w:t>
      </w:r>
      <w:r w:rsidRPr="007F3B7F">
        <w:rPr>
          <w:i/>
        </w:rPr>
        <w:t>mg per day, increasing at 50</w:t>
      </w:r>
      <w:r w:rsidR="006E08A2">
        <w:rPr>
          <w:i/>
        </w:rPr>
        <w:t xml:space="preserve"> </w:t>
      </w:r>
      <w:r w:rsidRPr="007F3B7F">
        <w:rPr>
          <w:i/>
        </w:rPr>
        <w:t>mg per day, say every 2 to 4 weeks, until either the effective dose or maximum permitted dose of 200</w:t>
      </w:r>
      <w:r w:rsidR="006E08A2">
        <w:rPr>
          <w:i/>
        </w:rPr>
        <w:t xml:space="preserve"> </w:t>
      </w:r>
      <w:r w:rsidRPr="007F3B7F">
        <w:rPr>
          <w:i/>
        </w:rPr>
        <w:t xml:space="preserve">mg per day is attained. The statement in the </w:t>
      </w:r>
      <w:proofErr w:type="spellStart"/>
      <w:r w:rsidRPr="007F3B7F">
        <w:rPr>
          <w:i/>
        </w:rPr>
        <w:t>dPI</w:t>
      </w:r>
      <w:proofErr w:type="spellEnd"/>
      <w:r w:rsidRPr="007F3B7F">
        <w:rPr>
          <w:i/>
        </w:rPr>
        <w:t xml:space="preserve"> under Dosage and Administration “Initial dose titration to an effective dose is not required for tolerability” should be deleted.</w:t>
      </w:r>
    </w:p>
    <w:p w:rsidR="007F3B7F" w:rsidRDefault="007F3B7F" w:rsidP="00770EA0">
      <w:pPr>
        <w:pStyle w:val="Heading6"/>
      </w:pPr>
      <w:r w:rsidRPr="007F3B7F">
        <w:t>Response</w:t>
      </w:r>
    </w:p>
    <w:p w:rsidR="007F3B7F" w:rsidRDefault="007F3B7F" w:rsidP="00232A97">
      <w:r w:rsidRPr="007F3B7F">
        <w:t xml:space="preserve">The </w:t>
      </w:r>
      <w:r w:rsidR="000D51AA">
        <w:t xml:space="preserve">sponsor </w:t>
      </w:r>
      <w:r w:rsidRPr="007F3B7F">
        <w:t>acknowledges that the proposed brivaracetam (BRV) treatment recommendation is different from the usual treatment paradigm in epilepsy and provides herein the rationale supporting the recommendation to start BRV treatment at the optimal dose without an up</w:t>
      </w:r>
      <w:r w:rsidR="000E66A2">
        <w:t>-</w:t>
      </w:r>
      <w:r w:rsidRPr="007F3B7F">
        <w:t>titration. Based on the efficacy data and the very good tolerability profile of BRV across the 50 to 200</w:t>
      </w:r>
      <w:r w:rsidR="000E66A2">
        <w:t xml:space="preserve"> </w:t>
      </w:r>
      <w:r w:rsidRPr="007F3B7F">
        <w:t>mg/day dose range, UCB considers that a starting dose of BRV 100</w:t>
      </w:r>
      <w:r w:rsidR="000E66A2">
        <w:t xml:space="preserve"> </w:t>
      </w:r>
      <w:r w:rsidRPr="007F3B7F">
        <w:t>mg/day without up</w:t>
      </w:r>
      <w:r w:rsidR="000E66A2">
        <w:t>-</w:t>
      </w:r>
      <w:r w:rsidRPr="007F3B7F">
        <w:t>titration will be beneficial for the patients by providing them an efficacious and safe dose from the first day of treatment with reduced inter</w:t>
      </w:r>
      <w:r w:rsidR="000E66A2">
        <w:t xml:space="preserve"> </w:t>
      </w:r>
      <w:r w:rsidRPr="007F3B7F">
        <w:t xml:space="preserve">individual variability in the response. UCB received a similar question from the EMA and the full response has been provided for reference. The response, which was accepted by the </w:t>
      </w:r>
      <w:proofErr w:type="gramStart"/>
      <w:r w:rsidRPr="007F3B7F">
        <w:t>EMA</w:t>
      </w:r>
      <w:proofErr w:type="gramEnd"/>
      <w:r w:rsidRPr="007F3B7F">
        <w:t xml:space="preserve"> was based on the following princ</w:t>
      </w:r>
      <w:r>
        <w:t>iples:</w:t>
      </w:r>
    </w:p>
    <w:p w:rsidR="007F3B7F" w:rsidRDefault="007F3B7F" w:rsidP="00DF1284">
      <w:pPr>
        <w:pStyle w:val="ListBullet2"/>
      </w:pPr>
      <w:r w:rsidRPr="007F3B7F">
        <w:t>Up-titration is not required because tolerability is high and equally favo</w:t>
      </w:r>
      <w:r w:rsidR="008A666B">
        <w:t>u</w:t>
      </w:r>
      <w:r w:rsidRPr="007F3B7F">
        <w:t>rable at BRV 100 mg/day and 50</w:t>
      </w:r>
      <w:r w:rsidR="008A666B">
        <w:t xml:space="preserve"> </w:t>
      </w:r>
      <w:r w:rsidR="00BF277E">
        <w:t>mg/day;</w:t>
      </w:r>
    </w:p>
    <w:p w:rsidR="007F3B7F" w:rsidRDefault="009353F5" w:rsidP="00DF1284">
      <w:pPr>
        <w:pStyle w:val="ListBullet2"/>
      </w:pPr>
      <w:r>
        <w:t>TE</w:t>
      </w:r>
      <w:r w:rsidR="003E355B">
        <w:t>AEs</w:t>
      </w:r>
      <w:r w:rsidR="007F3B7F" w:rsidRPr="007F3B7F">
        <w:t xml:space="preserve"> in the first 7 days are minor and not different from later or delayed </w:t>
      </w:r>
      <w:r w:rsidR="003E355B">
        <w:t>AEs</w:t>
      </w:r>
      <w:r w:rsidR="00BF277E">
        <w:t>;</w:t>
      </w:r>
    </w:p>
    <w:p w:rsidR="007F3B7F" w:rsidRDefault="007F3B7F" w:rsidP="00DF1284">
      <w:pPr>
        <w:pStyle w:val="ListBullet2"/>
      </w:pPr>
      <w:r w:rsidRPr="007F3B7F">
        <w:t>Optimal efficacy is demonstrated at BRV 100</w:t>
      </w:r>
      <w:r w:rsidR="00BF277E">
        <w:t xml:space="preserve"> </w:t>
      </w:r>
      <w:r w:rsidRPr="007F3B7F">
        <w:t xml:space="preserve">mg/day, ensuring the highest probability of </w:t>
      </w:r>
      <w:r w:rsidR="00BF277E">
        <w:t>a clinically relevant response;</w:t>
      </w:r>
    </w:p>
    <w:p w:rsidR="007F3B7F" w:rsidRDefault="007F3B7F" w:rsidP="00DF1284">
      <w:pPr>
        <w:pStyle w:val="ListBullet2"/>
      </w:pPr>
      <w:r w:rsidRPr="007F3B7F">
        <w:t>A survey of patients with epilepsy and physicians found that among the items that they were asked to respond to, physicians and patients agree on reduction of seizures as most important while reducing the titration period was the one of the highest ranking element that patients and</w:t>
      </w:r>
      <w:r w:rsidR="00A65B42">
        <w:t xml:space="preserve"> physicians disagreed on (51% versus</w:t>
      </w:r>
      <w:r w:rsidRPr="007F3B7F">
        <w:t xml:space="preserve"> 10%), suggesting that the burden of titration on patients</w:t>
      </w:r>
      <w:r w:rsidR="00E57BAD">
        <w:t xml:space="preserve"> is under-appreciated by </w:t>
      </w:r>
      <w:r w:rsidR="00E57BAD">
        <w:lastRenderedPageBreak/>
        <w:t>health</w:t>
      </w:r>
      <w:r w:rsidRPr="007F3B7F">
        <w:t>care professionals. Patients consider a reduction of the titration period to be a much more important factor in treatment decision</w:t>
      </w:r>
      <w:r w:rsidR="009651F2">
        <w:t xml:space="preserve"> </w:t>
      </w:r>
      <w:r w:rsidRPr="007F3B7F">
        <w:t>making than did physicians. Therefore</w:t>
      </w:r>
      <w:r w:rsidR="009651F2">
        <w:t>,</w:t>
      </w:r>
      <w:r w:rsidRPr="007F3B7F">
        <w:t xml:space="preserve"> the wording presented in the Australian </w:t>
      </w:r>
      <w:r w:rsidR="00E57BAD">
        <w:t>PI</w:t>
      </w:r>
      <w:r w:rsidRPr="007F3B7F">
        <w:t xml:space="preserve"> in Section DOSAGE AND ADMINISTRATION accurately reflects the pro</w:t>
      </w:r>
      <w:r>
        <w:t>posed posology recommendation:</w:t>
      </w:r>
    </w:p>
    <w:p w:rsidR="007F3B7F" w:rsidRPr="007F3B7F" w:rsidRDefault="007F3B7F" w:rsidP="00DF1284">
      <w:pPr>
        <w:ind w:left="1440"/>
        <w:rPr>
          <w:i/>
        </w:rPr>
      </w:pPr>
      <w:r w:rsidRPr="007F3B7F">
        <w:rPr>
          <w:i/>
        </w:rPr>
        <w:t>BRIVIACT at doses between 50 and 200 mg/day has been shown to be effective as adjunctive therapy in the treatment of partial onset seizures. Initial dose titration to an effective dose is not required for tolerability. The daily dose is administered in two equally divided doses, once in the morning and once in the evening. The recommended starting dose is 100 mg/day. Based on individual patient response, the dose may be adjusted between 50 mg/day and 200 mg/day.</w:t>
      </w:r>
    </w:p>
    <w:p w:rsidR="00DF1284" w:rsidRPr="00DF1284" w:rsidRDefault="00DF1284" w:rsidP="00DF1284">
      <w:pPr>
        <w:pStyle w:val="ListBullet"/>
        <w:rPr>
          <w:i/>
        </w:rPr>
      </w:pPr>
      <w:r w:rsidRPr="00DF1284">
        <w:rPr>
          <w:i/>
        </w:rPr>
        <w:t>It is valuable to mention that there is decreased absorption rate, as shown by lower Cmax and longer Tmax when brivaracetam is taken with food, especially when fatty. Preference will therefore be to take brivaracetam on empty stomach.</w:t>
      </w:r>
    </w:p>
    <w:p w:rsidR="00DF1284" w:rsidRDefault="00DF1284" w:rsidP="00770EA0">
      <w:pPr>
        <w:pStyle w:val="Heading6"/>
      </w:pPr>
      <w:r>
        <w:t>Response</w:t>
      </w:r>
    </w:p>
    <w:p w:rsidR="00DF1284" w:rsidRDefault="00DF1284" w:rsidP="00232A97">
      <w:r w:rsidRPr="00DF1284">
        <w:t>Food effect: The concentration-effect relationship is not driven by Cmax but by the average drug concentration or AUC (</w:t>
      </w:r>
      <w:proofErr w:type="spellStart"/>
      <w:r w:rsidRPr="00DF1284">
        <w:t>C</w:t>
      </w:r>
      <w:r w:rsidRPr="009651F2">
        <w:rPr>
          <w:vertAlign w:val="subscript"/>
        </w:rPr>
        <w:t>av</w:t>
      </w:r>
      <w:proofErr w:type="gramStart"/>
      <w:r w:rsidRPr="009651F2">
        <w:rPr>
          <w:vertAlign w:val="subscript"/>
        </w:rPr>
        <w:t>,ss</w:t>
      </w:r>
      <w:proofErr w:type="spellEnd"/>
      <w:proofErr w:type="gramEnd"/>
      <w:r w:rsidR="009651F2">
        <w:rPr>
          <w:vertAlign w:val="subscript"/>
        </w:rPr>
        <w:t xml:space="preserve"> </w:t>
      </w:r>
      <w:r w:rsidR="009651F2">
        <w:t xml:space="preserve">= </w:t>
      </w:r>
      <w:proofErr w:type="spellStart"/>
      <w:r w:rsidR="009651F2">
        <w:t>AUC</w:t>
      </w:r>
      <w:r w:rsidR="009651F2" w:rsidRPr="009651F2">
        <w:rPr>
          <w:vertAlign w:val="subscript"/>
        </w:rPr>
        <w:t>tau</w:t>
      </w:r>
      <w:proofErr w:type="spellEnd"/>
      <w:r w:rsidR="009651F2" w:rsidRPr="009651F2">
        <w:rPr>
          <w:vertAlign w:val="subscript"/>
        </w:rPr>
        <w:t>/12</w:t>
      </w:r>
      <w:r w:rsidR="009651F2">
        <w:t>).</w:t>
      </w:r>
    </w:p>
    <w:p w:rsidR="00DF1284" w:rsidRDefault="00DF1284" w:rsidP="00232A97">
      <w:r w:rsidRPr="00DF1284">
        <w:t>There is limited value in stating that the absorption rate is decreased in presence of a high fat meal but there is clear value in stating that the AUC of brivaracetam is unchanged compared to fasted condition</w:t>
      </w:r>
      <w:r w:rsidR="009651F2">
        <w:t xml:space="preserve">s. Therefore the average steady </w:t>
      </w:r>
      <w:r w:rsidRPr="00DF1284">
        <w:t>state plasma concentration does not change and the efficacy is not affected by intake with food. Brivaracetam can be</w:t>
      </w:r>
      <w:r>
        <w:t xml:space="preserve"> taken without or with food.</w:t>
      </w:r>
    </w:p>
    <w:p w:rsidR="007F3B7F" w:rsidRPr="00DF1284" w:rsidRDefault="00DF1284" w:rsidP="00DF1284">
      <w:pPr>
        <w:pStyle w:val="ListBullet"/>
        <w:rPr>
          <w:i/>
        </w:rPr>
      </w:pPr>
      <w:r w:rsidRPr="00DF1284">
        <w:rPr>
          <w:i/>
        </w:rPr>
        <w:t xml:space="preserve">It is unsafe to claim that “no dose adjustment is needed in patients with impaired renal function” in the </w:t>
      </w:r>
      <w:proofErr w:type="spellStart"/>
      <w:r w:rsidRPr="00DF1284">
        <w:rPr>
          <w:i/>
        </w:rPr>
        <w:t>dPI</w:t>
      </w:r>
      <w:proofErr w:type="spellEnd"/>
      <w:r w:rsidRPr="00DF1284">
        <w:rPr>
          <w:i/>
        </w:rPr>
        <w:t xml:space="preserve"> when Study N01109 revealed that renal dysfunction did decrease the renal clearance of the drug (-63%). It is more appropriate to state that “dose adjustment may be necessary in rena</w:t>
      </w:r>
      <w:r w:rsidR="006809B7">
        <w:rPr>
          <w:i/>
        </w:rPr>
        <w:t xml:space="preserve">l dysfunction” even considering </w:t>
      </w:r>
      <w:r w:rsidRPr="00DF1284">
        <w:rPr>
          <w:i/>
        </w:rPr>
        <w:t>that less than 10% of the drug is excreted as unchanged in urine.</w:t>
      </w:r>
    </w:p>
    <w:p w:rsidR="00DF1284" w:rsidRDefault="00DF1284" w:rsidP="00770EA0">
      <w:pPr>
        <w:pStyle w:val="Heading6"/>
      </w:pPr>
      <w:r>
        <w:t>Response</w:t>
      </w:r>
    </w:p>
    <w:p w:rsidR="00DF1284" w:rsidRDefault="00DF1284" w:rsidP="00232A97">
      <w:r>
        <w:t>The sponsor</w:t>
      </w:r>
      <w:r w:rsidRPr="00DF1284">
        <w:t xml:space="preserve"> acknowledges that the renal clearance of BRV is decreased by -63% in subjects with (very) severe renal impairment, </w:t>
      </w:r>
      <w:r w:rsidR="0093165E">
        <w:t xml:space="preserve">but this finding is totally non </w:t>
      </w:r>
      <w:r w:rsidRPr="00DF1284">
        <w:t>relevant because renal clearance amounts to a mere 4%</w:t>
      </w:r>
      <w:r w:rsidR="0093165E">
        <w:t xml:space="preserve"> of total plasma clearance (</w:t>
      </w:r>
      <w:proofErr w:type="spellStart"/>
      <w:r w:rsidR="0093165E">
        <w:t xml:space="preserve">non </w:t>
      </w:r>
      <w:r w:rsidRPr="00DF1284">
        <w:t>renal</w:t>
      </w:r>
      <w:proofErr w:type="spellEnd"/>
      <w:r w:rsidR="0093165E">
        <w:t xml:space="preserve"> </w:t>
      </w:r>
      <w:r w:rsidRPr="00DF1284">
        <w:t>+</w:t>
      </w:r>
      <w:r w:rsidR="0093165E">
        <w:t xml:space="preserve"> </w:t>
      </w:r>
      <w:r w:rsidRPr="00DF1284">
        <w:t>renal). The plasma clearance decreases in these patients by only -18% compared to matched controls, and such a small change does not require any dose adjustment. The Applicant maintains that no dose adjustment is r</w:t>
      </w:r>
      <w:r>
        <w:t>equired in renal impairment.</w:t>
      </w:r>
    </w:p>
    <w:p w:rsidR="00DF1284" w:rsidRPr="00DF1284" w:rsidRDefault="00DF1284" w:rsidP="00DF1284">
      <w:pPr>
        <w:pStyle w:val="ListBullet"/>
        <w:rPr>
          <w:i/>
        </w:rPr>
      </w:pPr>
      <w:r w:rsidRPr="00DF1284">
        <w:rPr>
          <w:i/>
        </w:rPr>
        <w:t xml:space="preserve">It is not evidence based to state that “no dose adjustment required” when one AED is affecting the plasma concentration of another. For instance, carbamazepine is stated as decreasing brivaracetam concentration by 26% while the latter is increasing the former’s plasma concentration. The decision on whether or not to make dose adjustment should be determined clinically, based on efficacy/adverse effects </w:t>
      </w:r>
      <w:proofErr w:type="spellStart"/>
      <w:r w:rsidRPr="00DF1284">
        <w:rPr>
          <w:i/>
        </w:rPr>
        <w:t>sequela</w:t>
      </w:r>
      <w:proofErr w:type="spellEnd"/>
      <w:r w:rsidRPr="00DF1284">
        <w:rPr>
          <w:i/>
        </w:rPr>
        <w:t xml:space="preserve"> of making dose adjustment relative to one AED or another.</w:t>
      </w:r>
    </w:p>
    <w:p w:rsidR="00DF1284" w:rsidRDefault="00DF1284" w:rsidP="00770EA0">
      <w:pPr>
        <w:pStyle w:val="Heading6"/>
      </w:pPr>
      <w:r>
        <w:t>Response</w:t>
      </w:r>
    </w:p>
    <w:p w:rsidR="00DF1284" w:rsidRDefault="00DF1284" w:rsidP="00232A97">
      <w:r w:rsidRPr="00DF1284">
        <w:t xml:space="preserve">The </w:t>
      </w:r>
      <w:r w:rsidR="008E37DB">
        <w:t>sponsor</w:t>
      </w:r>
      <w:r w:rsidRPr="00DF1284">
        <w:t xml:space="preserve"> believes the statement “while the latter [read: brivaracetam] is increasing the former’s [read: carbamazepine] plasma concentration” is not factually correct. Brivaracetam does not increase carbamazepine at all (see report CL0178), but increases a metabolite of carbamazepine, CBZ-epoxide. The increase in the metabolite CBZ-epoxide is essentially constrained below the upper limit of the reference range. No dose adjustment is warranted when brivaracetam and carbamazepine are co-administered.</w:t>
      </w:r>
    </w:p>
    <w:p w:rsidR="00770EA0" w:rsidRDefault="00770EA0" w:rsidP="00232A97">
      <w:r w:rsidRPr="00770EA0">
        <w:lastRenderedPageBreak/>
        <w:t>Phenobarbital decreased the concentration of brivaracetam by 19% (report CL0028). Brivaracetam did not modify the concentration of phenobarbital in adult patients with epilepsy (report CL0178). Phenytoin decreased the concentration of brivaracetam by 21% (report CL0028). Brivaracetam increased the concentration of phenytoin by up to 20% at the supra-therapeutic dose of 400</w:t>
      </w:r>
      <w:r w:rsidR="001A6B44">
        <w:t xml:space="preserve"> </w:t>
      </w:r>
      <w:r w:rsidRPr="00770EA0">
        <w:t>mg/day (report N01172), the effect was around 10% and inconsistently dose</w:t>
      </w:r>
      <w:r w:rsidR="001A6B44">
        <w:t xml:space="preserve"> </w:t>
      </w:r>
      <w:r w:rsidRPr="00770EA0">
        <w:t>related at brivaracetam doses of ≤200</w:t>
      </w:r>
      <w:r w:rsidR="001A6B44">
        <w:t xml:space="preserve"> </w:t>
      </w:r>
      <w:r w:rsidRPr="00770EA0">
        <w:t>mg/day (report CL0178).</w:t>
      </w:r>
    </w:p>
    <w:p w:rsidR="00770EA0" w:rsidRDefault="00770EA0" w:rsidP="00770EA0">
      <w:pPr>
        <w:pStyle w:val="Heading5"/>
      </w:pPr>
      <w:r>
        <w:t>Other delegate’s comments</w:t>
      </w:r>
    </w:p>
    <w:p w:rsidR="00770EA0" w:rsidRDefault="00770EA0" w:rsidP="00232A97">
      <w:proofErr w:type="gramStart"/>
      <w:r w:rsidRPr="00770EA0">
        <w:t>Based on the evidence arising from the submitted data eva</w:t>
      </w:r>
      <w:r w:rsidR="001A6B44">
        <w:t>luation, the Delegate</w:t>
      </w:r>
      <w:r w:rsidRPr="00770EA0">
        <w:t xml:space="preserve"> favour</w:t>
      </w:r>
      <w:r w:rsidR="001A6B44">
        <w:t>s,</w:t>
      </w:r>
      <w:r w:rsidRPr="00770EA0">
        <w:t xml:space="preserve"> at this stage, </w:t>
      </w:r>
      <w:r w:rsidR="00A64554">
        <w:t>to approve the</w:t>
      </w:r>
      <w:r w:rsidR="000B7E33">
        <w:t xml:space="preserve"> application.</w:t>
      </w:r>
      <w:proofErr w:type="gramEnd"/>
      <w:r w:rsidR="000B7E33">
        <w:t xml:space="preserve"> This is </w:t>
      </w:r>
      <w:r w:rsidRPr="00770EA0">
        <w:t>subject to resolving issues, which may arise from the ACPM deliberations and finalisation of matters pertaining to the d</w:t>
      </w:r>
      <w:r w:rsidR="001A6B44">
        <w:t>raft PI</w:t>
      </w:r>
      <w:r w:rsidR="004D59F8">
        <w:t xml:space="preserve">, quality and nonclinical evaluations, </w:t>
      </w:r>
      <w:r w:rsidRPr="00770EA0">
        <w:t>and RMP</w:t>
      </w:r>
      <w:r w:rsidR="00A64554">
        <w:t>,</w:t>
      </w:r>
      <w:r w:rsidRPr="00770EA0">
        <w:t xml:space="preserve"> to the sa</w:t>
      </w:r>
      <w:r w:rsidR="001A6B44">
        <w:t xml:space="preserve">tisfaction of </w:t>
      </w:r>
      <w:r>
        <w:t>TGA.</w:t>
      </w:r>
    </w:p>
    <w:p w:rsidR="00770EA0" w:rsidRDefault="00770EA0" w:rsidP="00770EA0">
      <w:pPr>
        <w:pStyle w:val="Heading6"/>
      </w:pPr>
      <w:r>
        <w:t>Response</w:t>
      </w:r>
    </w:p>
    <w:p w:rsidR="00770EA0" w:rsidRDefault="00770EA0" w:rsidP="00232A97">
      <w:r w:rsidRPr="00770EA0">
        <w:t>In relation to the outstanding issues pertaining d</w:t>
      </w:r>
      <w:r w:rsidR="004D59F8">
        <w:t xml:space="preserve">raft </w:t>
      </w:r>
      <w:r w:rsidRPr="00770EA0">
        <w:t xml:space="preserve">PI, </w:t>
      </w:r>
      <w:r w:rsidR="004D59F8">
        <w:t>quality and nonclinical evaluations</w:t>
      </w:r>
      <w:r w:rsidR="004D59F8" w:rsidRPr="00770EA0">
        <w:t xml:space="preserve"> </w:t>
      </w:r>
      <w:r w:rsidRPr="00770EA0">
        <w:t>and RMP, please find below our comments with refere</w:t>
      </w:r>
      <w:r>
        <w:t>nce to the page numbers listed.</w:t>
      </w:r>
    </w:p>
    <w:p w:rsidR="00770EA0" w:rsidRDefault="00770EA0" w:rsidP="00972ED5">
      <w:pPr>
        <w:pStyle w:val="Heading6"/>
      </w:pPr>
      <w:r>
        <w:t>Biopharmaceutics &amp; Microbiology</w:t>
      </w:r>
    </w:p>
    <w:p w:rsidR="00770EA0" w:rsidRPr="00972ED5" w:rsidRDefault="00770EA0" w:rsidP="00232A97">
      <w:pPr>
        <w:rPr>
          <w:i/>
        </w:rPr>
      </w:pPr>
      <w:r w:rsidRPr="00972ED5">
        <w:rPr>
          <w:i/>
        </w:rPr>
        <w:t>(Page 3) A shelf li</w:t>
      </w:r>
      <w:r w:rsidR="000B7E33">
        <w:rPr>
          <w:i/>
        </w:rPr>
        <w:t>fe of 36 months stored below 25</w:t>
      </w:r>
      <w:r w:rsidRPr="00972ED5">
        <w:rPr>
          <w:i/>
        </w:rPr>
        <w:t>C or of 24 months stored bel</w:t>
      </w:r>
      <w:r w:rsidR="000B7E33">
        <w:rPr>
          <w:i/>
        </w:rPr>
        <w:t>ow 30</w:t>
      </w:r>
      <w:r w:rsidRPr="00972ED5">
        <w:rPr>
          <w:i/>
        </w:rPr>
        <w:t>C can also be allocated to the unopened oral solution proposed for Australia and stored the amber Type III bottles with child resistant closures at this time. Alternatively, a shelf li</w:t>
      </w:r>
      <w:r w:rsidR="000B7E33">
        <w:rPr>
          <w:i/>
        </w:rPr>
        <w:t>fe of 36 months stored below 30</w:t>
      </w:r>
      <w:r w:rsidRPr="00972ED5">
        <w:rPr>
          <w:i/>
        </w:rPr>
        <w:t>C can be allocated provided the matters identified in this report relating to its quality control and stability are satisfactorily resolved.</w:t>
      </w:r>
    </w:p>
    <w:p w:rsidR="00770EA0" w:rsidRDefault="00770EA0" w:rsidP="00972ED5">
      <w:pPr>
        <w:pStyle w:val="Heading6"/>
      </w:pPr>
      <w:r>
        <w:t>Response</w:t>
      </w:r>
    </w:p>
    <w:p w:rsidR="00972ED5" w:rsidRDefault="00770EA0" w:rsidP="00232A97">
      <w:r w:rsidRPr="00770EA0">
        <w:t xml:space="preserve">The </w:t>
      </w:r>
      <w:r>
        <w:t>sponsor</w:t>
      </w:r>
      <w:r w:rsidRPr="00770EA0">
        <w:t xml:space="preserve"> agrees to further reduce the release limit</w:t>
      </w:r>
      <w:r w:rsidR="000B7E33">
        <w:t xml:space="preserve"> for the </w:t>
      </w:r>
      <w:proofErr w:type="spellStart"/>
      <w:r w:rsidR="000B7E33">
        <w:t>degradants</w:t>
      </w:r>
      <w:proofErr w:type="spellEnd"/>
      <w:r w:rsidR="000B7E33">
        <w:t xml:space="preserve"> </w:t>
      </w:r>
      <w:proofErr w:type="spellStart"/>
      <w:r w:rsidR="000B7E33">
        <w:t>ucb</w:t>
      </w:r>
      <w:proofErr w:type="spellEnd"/>
      <w:r w:rsidR="000B7E33">
        <w:t xml:space="preserve"> 42144/</w:t>
      </w:r>
      <w:proofErr w:type="spellStart"/>
      <w:r w:rsidRPr="00770EA0">
        <w:t>ucb</w:t>
      </w:r>
      <w:proofErr w:type="spellEnd"/>
      <w:r w:rsidRPr="00770EA0">
        <w:t xml:space="preserve"> 42145 to ≤ 0.60%, and for total degradation products to ≤ 1.1% to justify a shelf life of 36 months for the oral so</w:t>
      </w:r>
      <w:r w:rsidR="000B7E33">
        <w:t>lution, when stored below 30C.</w:t>
      </w:r>
    </w:p>
    <w:p w:rsidR="00972ED5" w:rsidRPr="00972ED5" w:rsidRDefault="00770EA0" w:rsidP="00232A97">
      <w:pPr>
        <w:rPr>
          <w:i/>
        </w:rPr>
      </w:pPr>
      <w:r w:rsidRPr="00972ED5">
        <w:rPr>
          <w:i/>
        </w:rPr>
        <w:t>(Page 4) Approval cannot be recommended from a Quality or Module 1 perspective until the issues identified in this report have</w:t>
      </w:r>
      <w:r w:rsidR="00972ED5" w:rsidRPr="00972ED5">
        <w:rPr>
          <w:i/>
        </w:rPr>
        <w:t xml:space="preserve"> been satisfactorily addressed.</w:t>
      </w:r>
    </w:p>
    <w:p w:rsidR="00972ED5" w:rsidRDefault="00972ED5" w:rsidP="00972ED5">
      <w:pPr>
        <w:pStyle w:val="Heading6"/>
      </w:pPr>
      <w:r>
        <w:t>Response</w:t>
      </w:r>
    </w:p>
    <w:p w:rsidR="00972ED5" w:rsidRDefault="00770EA0" w:rsidP="00232A97">
      <w:r w:rsidRPr="00770EA0">
        <w:t xml:space="preserve">The </w:t>
      </w:r>
      <w:r w:rsidR="000B7E33">
        <w:t>sponsor</w:t>
      </w:r>
      <w:r w:rsidRPr="00770EA0">
        <w:t xml:space="preserve"> has addressed all outstanding Quality and Module 1 issues and the updated documents pertaining to the issues have been provided as part of this response. Further details on the specific responses and documents provided are listed</w:t>
      </w:r>
      <w:r w:rsidR="00972ED5">
        <w:t>.</w:t>
      </w:r>
    </w:p>
    <w:p w:rsidR="00770EA0" w:rsidRDefault="00770EA0" w:rsidP="00173A15">
      <w:pPr>
        <w:pStyle w:val="Heading6"/>
      </w:pPr>
      <w:r w:rsidRPr="00770EA0">
        <w:t>Toxicology</w:t>
      </w:r>
    </w:p>
    <w:p w:rsidR="00173A15" w:rsidRPr="00173A15" w:rsidRDefault="00173A15" w:rsidP="00232A97">
      <w:pPr>
        <w:rPr>
          <w:i/>
        </w:rPr>
      </w:pPr>
      <w:r w:rsidRPr="00173A15">
        <w:rPr>
          <w:i/>
        </w:rPr>
        <w:t xml:space="preserve">(Page 4, 32, 33, 41) References to results in the </w:t>
      </w:r>
      <w:proofErr w:type="spellStart"/>
      <w:r w:rsidR="00657614">
        <w:rPr>
          <w:i/>
        </w:rPr>
        <w:t>cynomolgus</w:t>
      </w:r>
      <w:proofErr w:type="spellEnd"/>
      <w:r w:rsidR="00657614">
        <w:rPr>
          <w:i/>
        </w:rPr>
        <w:t xml:space="preserve"> monkey studies (for example, </w:t>
      </w:r>
      <w:r w:rsidRPr="00173A15">
        <w:rPr>
          <w:i/>
        </w:rPr>
        <w:t xml:space="preserve">Module II </w:t>
      </w:r>
      <w:proofErr w:type="spellStart"/>
      <w:r w:rsidRPr="00173A15">
        <w:rPr>
          <w:i/>
        </w:rPr>
        <w:t>pps</w:t>
      </w:r>
      <w:proofErr w:type="spellEnd"/>
      <w:r w:rsidRPr="00173A15">
        <w:rPr>
          <w:i/>
        </w:rPr>
        <w:t xml:space="preserve"> 4, 5, 6, 12, 25 &amp; 38) should be re-worded to highlight the limitations of this species as a nonclinical model</w:t>
      </w:r>
    </w:p>
    <w:p w:rsidR="00173A15" w:rsidRDefault="00173A15" w:rsidP="00173A15">
      <w:pPr>
        <w:pStyle w:val="Heading6"/>
      </w:pPr>
      <w:r>
        <w:t>Response</w:t>
      </w:r>
    </w:p>
    <w:p w:rsidR="00173A15" w:rsidRDefault="00173A15" w:rsidP="00232A97">
      <w:r w:rsidRPr="00173A15">
        <w:t>This issue has been clarified (this conclusion was in fact an error in the interpretation o</w:t>
      </w:r>
      <w:r w:rsidR="00657614">
        <w:t>f the data) in the revised nonc</w:t>
      </w:r>
      <w:r w:rsidRPr="00173A15">
        <w:t>linical evaluation report and as such, this recommendation is no l</w:t>
      </w:r>
      <w:r w:rsidR="00657614">
        <w:t>onger relevant. The revised non</w:t>
      </w:r>
      <w:r w:rsidRPr="00173A15">
        <w:t xml:space="preserve">clinical evaluation report has been provided for reference, in which UCB have also provided comment on additional errors identified. (Page 4) As levels of brivaracetam in rat milk essentially reflect maternal plasma levels, </w:t>
      </w:r>
      <w:proofErr w:type="spellStart"/>
      <w:r w:rsidRPr="00173A15">
        <w:t>transmammary</w:t>
      </w:r>
      <w:proofErr w:type="spellEnd"/>
      <w:r w:rsidRPr="00173A15">
        <w:t xml:space="preserve"> exposure of nursing infants should be suspected. Sensory-motor processing (particularly auditory sensorimotor) should be evaluated in children who have had significant brivaracetam exposures, and included as part of the neurodevelopmental monitoring as suggested in th</w:t>
      </w:r>
      <w:r>
        <w:t>e RMP.</w:t>
      </w:r>
    </w:p>
    <w:p w:rsidR="00173A15" w:rsidRPr="00D000C7" w:rsidRDefault="00173A15" w:rsidP="00232A97">
      <w:pPr>
        <w:rPr>
          <w:i/>
        </w:rPr>
      </w:pPr>
      <w:r w:rsidRPr="00D000C7">
        <w:rPr>
          <w:i/>
        </w:rPr>
        <w:t>Response</w:t>
      </w:r>
    </w:p>
    <w:p w:rsidR="001F57AD" w:rsidRDefault="00D000C7" w:rsidP="00232A97">
      <w:r w:rsidRPr="00D000C7">
        <w:lastRenderedPageBreak/>
        <w:t xml:space="preserve">The </w:t>
      </w:r>
      <w:r>
        <w:t>sponsor</w:t>
      </w:r>
      <w:r w:rsidRPr="00D000C7">
        <w:t xml:space="preserve"> acknowledges the greater auditory startle response on PND</w:t>
      </w:r>
      <w:r w:rsidR="003327E1">
        <w:t xml:space="preserve"> </w:t>
      </w:r>
      <w:r w:rsidRPr="00D000C7">
        <w:t xml:space="preserve">78 at the high dose of brivaracetam in juvenile rats. This effect was not accompanied by effect on habituation, </w:t>
      </w:r>
      <w:proofErr w:type="gramStart"/>
      <w:r w:rsidRPr="00D000C7">
        <w:t>nor</w:t>
      </w:r>
      <w:proofErr w:type="gramEnd"/>
      <w:r w:rsidRPr="00D000C7">
        <w:t xml:space="preserve"> any other effects on sensory and motor functions or learning and memory assessment at any dosage level that could indicate a neurobehavioral deficit. As agreed in the approved Paediatric Investigation Plan, head circumference is measured in all BRV p</w:t>
      </w:r>
      <w:r w:rsidR="003327E1">
        <w:t>a</w:t>
      </w:r>
      <w:r w:rsidRPr="00D000C7">
        <w:t>ediatric studies, per protocol, and neurodevelopmental maturation is assessed by the investigator using physical examination and neurodevelopmental validated scales (including the Achenbach Child Behavio</w:t>
      </w:r>
      <w:r w:rsidR="00DF5364">
        <w:t>u</w:t>
      </w:r>
      <w:r w:rsidRPr="00D000C7">
        <w:t>r Checklist [CBCL], the Bayley Scales of Infant Development [BSID-II or BSID-III] and the Behavio</w:t>
      </w:r>
      <w:r w:rsidR="00DF5364">
        <w:t>u</w:t>
      </w:r>
      <w:r w:rsidRPr="00D000C7">
        <w:t>r Rating Inventory of Executive Function [BRIEF-P/BRIEF] scales). These scales were chosen to allow a sensitive analysis of infant/child development but minimi</w:t>
      </w:r>
      <w:r w:rsidR="00DF5364">
        <w:t>s</w:t>
      </w:r>
      <w:r w:rsidRPr="00D000C7">
        <w:t>ing burden to children and caregivers. The BSID scales assess 5 main domains of development: cognition, language (receptive and expressive), socio-emotional behavio</w:t>
      </w:r>
      <w:r w:rsidR="00DF5364">
        <w:t>u</w:t>
      </w:r>
      <w:r w:rsidRPr="00D000C7">
        <w:t>r and final</w:t>
      </w:r>
      <w:r w:rsidR="001F57AD">
        <w:t>ly motor and adaptive behavio</w:t>
      </w:r>
      <w:r w:rsidR="00DF5364">
        <w:t>u</w:t>
      </w:r>
      <w:r w:rsidR="001F57AD">
        <w:t>r.</w:t>
      </w:r>
    </w:p>
    <w:p w:rsidR="001F57AD" w:rsidRDefault="00D000C7" w:rsidP="00232A97">
      <w:r w:rsidRPr="00D000C7">
        <w:t xml:space="preserve">In regards to the concern related to review of breastfed babies, 'Data during pregnancy and lactation' is included in 'Missing Information', so any adverse events reported for breastfed babies will be identified during routine signal detection processes. It should be noted that in the pre- postnatal development </w:t>
      </w:r>
      <w:r w:rsidR="00DF5364">
        <w:t>S</w:t>
      </w:r>
      <w:r w:rsidRPr="00D000C7">
        <w:t>tudy NCD1330, there were no adverse sensory and neurobehavioral effects in F1 pups, including in the ac</w:t>
      </w:r>
      <w:r w:rsidR="001F57AD">
        <w:t>oustic startle response test.</w:t>
      </w:r>
    </w:p>
    <w:p w:rsidR="001F57AD" w:rsidRPr="001F57AD" w:rsidRDefault="00D000C7" w:rsidP="00232A97">
      <w:pPr>
        <w:rPr>
          <w:i/>
        </w:rPr>
      </w:pPr>
      <w:r w:rsidRPr="001F57AD">
        <w:rPr>
          <w:i/>
        </w:rPr>
        <w:t>(Page 4) The draft PI document should be ame</w:t>
      </w:r>
      <w:r w:rsidR="001F57AD" w:rsidRPr="001F57AD">
        <w:rPr>
          <w:i/>
        </w:rPr>
        <w:t>nded as directed on pages 41–44</w:t>
      </w:r>
    </w:p>
    <w:p w:rsidR="001F57AD" w:rsidRDefault="00D000C7" w:rsidP="001F57AD">
      <w:pPr>
        <w:pStyle w:val="Heading6"/>
      </w:pPr>
      <w:r w:rsidRPr="00D000C7">
        <w:t>Response</w:t>
      </w:r>
    </w:p>
    <w:p w:rsidR="00173A15" w:rsidRDefault="00D000C7" w:rsidP="00232A97">
      <w:r w:rsidRPr="00D000C7">
        <w:t xml:space="preserve">The </w:t>
      </w:r>
      <w:r w:rsidR="001F57AD">
        <w:t>sponsor</w:t>
      </w:r>
      <w:r w:rsidRPr="00D000C7">
        <w:t xml:space="preserve"> has incorporated the above amendments into the PIs supplied with the pre-ACPM response, with the exception of: (Page 40) </w:t>
      </w:r>
      <w:proofErr w:type="gramStart"/>
      <w:r w:rsidRPr="00D000C7">
        <w:t>Similar</w:t>
      </w:r>
      <w:proofErr w:type="gramEnd"/>
      <w:r w:rsidRPr="00D000C7">
        <w:t xml:space="preserve"> exposure to brivarace</w:t>
      </w:r>
      <w:r w:rsidR="00E044EC">
        <w:t>tam was achieved in adult and versus</w:t>
      </w:r>
      <w:r w:rsidRPr="00D000C7">
        <w:t xml:space="preserve"> juvenile animals at the NOAEL, except at </w:t>
      </w:r>
      <w:r w:rsidR="005A05DF">
        <w:t>PND</w:t>
      </w:r>
      <w:r w:rsidRPr="00D000C7">
        <w:t xml:space="preserve"> 4 </w:t>
      </w:r>
      <w:r w:rsidRPr="008041D2">
        <w:rPr>
          <w:i/>
        </w:rPr>
        <w:t>in rats</w:t>
      </w:r>
      <w:r w:rsidRPr="00D000C7">
        <w:t xml:space="preserve"> where higher exposure was achieved in juveniles animals compared to adults.”</w:t>
      </w:r>
    </w:p>
    <w:p w:rsidR="008041D2" w:rsidRDefault="009B26F8" w:rsidP="00232A97">
      <w:r>
        <w:t>The non</w:t>
      </w:r>
      <w:r w:rsidR="008041D2" w:rsidRPr="008041D2">
        <w:t>clinical evaluator proposed to include the qualifier “in rats’ to this sentence under the Precautions section of the PI, however in dogs, the exposure was also higher at PND</w:t>
      </w:r>
      <w:r w:rsidR="007A02FC">
        <w:t xml:space="preserve"> </w:t>
      </w:r>
      <w:r w:rsidR="008041D2" w:rsidRPr="008041D2">
        <w:t>4 (2-3x) vs PND</w:t>
      </w:r>
      <w:r w:rsidR="007A02FC">
        <w:t xml:space="preserve"> </w:t>
      </w:r>
      <w:r w:rsidR="008041D2" w:rsidRPr="008041D2">
        <w:t xml:space="preserve">31 or 276. As such, the </w:t>
      </w:r>
      <w:r w:rsidR="00574133">
        <w:t xml:space="preserve">sponsor </w:t>
      </w:r>
      <w:r w:rsidR="008041D2" w:rsidRPr="008041D2">
        <w:t xml:space="preserve">proposes to not implement 'in rats' into the paragraph. This feedback has also been provided in the review of fact and error of the </w:t>
      </w:r>
      <w:r w:rsidR="00574133">
        <w:t>no</w:t>
      </w:r>
      <w:r w:rsidR="007A02FC">
        <w:t>n</w:t>
      </w:r>
      <w:r w:rsidR="008041D2">
        <w:t>clinical evaluation report.</w:t>
      </w:r>
    </w:p>
    <w:p w:rsidR="008041D2" w:rsidRDefault="008041D2" w:rsidP="008041D2">
      <w:pPr>
        <w:pStyle w:val="Heading6"/>
      </w:pPr>
      <w:r>
        <w:t>RMP</w:t>
      </w:r>
    </w:p>
    <w:p w:rsidR="008041D2" w:rsidRPr="008041D2" w:rsidRDefault="008041D2" w:rsidP="00232A97">
      <w:pPr>
        <w:rPr>
          <w:i/>
        </w:rPr>
      </w:pPr>
      <w:r w:rsidRPr="008041D2">
        <w:rPr>
          <w:i/>
        </w:rPr>
        <w:t>(Page 32) 1.1 ASA (Version 1.0) must be updated to include a date of finalisation/authorisation for document control purposes.</w:t>
      </w:r>
    </w:p>
    <w:p w:rsidR="008041D2" w:rsidRDefault="008041D2" w:rsidP="008041D2">
      <w:pPr>
        <w:pStyle w:val="Heading6"/>
      </w:pPr>
      <w:r>
        <w:t>Response</w:t>
      </w:r>
    </w:p>
    <w:p w:rsidR="008041D2" w:rsidRDefault="008041D2" w:rsidP="00232A97">
      <w:r w:rsidRPr="008041D2">
        <w:t>An updated ASA with a date of authorisation has been pro</w:t>
      </w:r>
      <w:r>
        <w:t>vided as part of this response.</w:t>
      </w:r>
    </w:p>
    <w:p w:rsidR="008041D2" w:rsidRPr="008041D2" w:rsidRDefault="008041D2" w:rsidP="00232A97">
      <w:pPr>
        <w:rPr>
          <w:i/>
        </w:rPr>
      </w:pPr>
      <w:r w:rsidRPr="008041D2">
        <w:rPr>
          <w:i/>
        </w:rPr>
        <w:t>(Page 4, 32) 1.2 “Data in paediatrics (i.e. preterm neonates to children aged 16 years) including data on neurodevelopment” should be reinstated as Missing Information, and the associated additional pharmacovigilance activities be retained in the EU-RMP.</w:t>
      </w:r>
    </w:p>
    <w:p w:rsidR="008041D2" w:rsidRPr="008041D2" w:rsidRDefault="008041D2" w:rsidP="00232A97">
      <w:pPr>
        <w:rPr>
          <w:i/>
        </w:rPr>
      </w:pPr>
      <w:r w:rsidRPr="008041D2">
        <w:rPr>
          <w:i/>
        </w:rPr>
        <w:t>Response</w:t>
      </w:r>
    </w:p>
    <w:p w:rsidR="008041D2" w:rsidRDefault="008041D2" w:rsidP="00232A97">
      <w:r w:rsidRPr="008041D2">
        <w:t>Upon request of the EMA during the Submission process of BRV, the Important Potential Risk of “off-label use for unapproved indication” was added to the EU-RMP.</w:t>
      </w:r>
    </w:p>
    <w:p w:rsidR="008041D2" w:rsidRDefault="008041D2" w:rsidP="00232A97">
      <w:r w:rsidRPr="008041D2">
        <w:t>Data in paediatrics is included in this risk as it is considered that off-label use of BRV is likely in this population. The PRAC Rapporteur therefore requested removal of “Data in paediatrics” from Missing Information and also reminded UCB that the paediatric studies listed in the original EU-RMP and the information regarding neurodevelopmental monitoring are already part of the agreed Paediatric Investigation Plan and are therefore not required in the EU-RMP. Data from paediatric studies is included in routi</w:t>
      </w:r>
      <w:r>
        <w:t>ne signal detection activities.</w:t>
      </w:r>
    </w:p>
    <w:p w:rsidR="008041D2" w:rsidRDefault="008041D2" w:rsidP="00232A97">
      <w:r w:rsidRPr="008041D2">
        <w:lastRenderedPageBreak/>
        <w:t>In summary, the removal of “Data in paediatrics” from the EU-RMP has not changed the ongoing monitoring of the paediatric population, including breastfed babies. Any signals arising from routine pharmacovigilance in children of any age and resulting actions will be notified to Autho</w:t>
      </w:r>
      <w:r>
        <w:t>rities and discussed in PBRERs.</w:t>
      </w:r>
    </w:p>
    <w:p w:rsidR="008041D2" w:rsidRDefault="008041D2" w:rsidP="008041D2">
      <w:pPr>
        <w:pStyle w:val="Heading5"/>
      </w:pPr>
      <w:r w:rsidRPr="008041D2">
        <w:t>Additional items identified</w:t>
      </w:r>
    </w:p>
    <w:p w:rsidR="008041D2" w:rsidRPr="008041D2" w:rsidRDefault="008041D2" w:rsidP="00232A97">
      <w:pPr>
        <w:rPr>
          <w:i/>
        </w:rPr>
      </w:pPr>
      <w:r w:rsidRPr="008041D2">
        <w:rPr>
          <w:i/>
        </w:rPr>
        <w:t>(Page 11) Brivaracetam may have an additional inhibitory activity on voltage-gated sodium channels (VGSC). Brivaracetam dose dependently inhibits voltage-dependent sodium currents</w:t>
      </w:r>
    </w:p>
    <w:p w:rsidR="008041D2" w:rsidRDefault="008041D2" w:rsidP="008041D2">
      <w:pPr>
        <w:pStyle w:val="Heading6"/>
      </w:pPr>
      <w:r>
        <w:t>Response</w:t>
      </w:r>
    </w:p>
    <w:p w:rsidR="008041D2" w:rsidRDefault="008041D2" w:rsidP="00232A97">
      <w:r w:rsidRPr="008041D2">
        <w:t>This</w:t>
      </w:r>
      <w:r w:rsidR="009B26F8">
        <w:t xml:space="preserve"> is not correct. Please see non</w:t>
      </w:r>
      <w:r w:rsidRPr="008041D2">
        <w:t>clinical evaluation report pag</w:t>
      </w:r>
      <w:r w:rsidR="00B726C2">
        <w:t>e 13:</w:t>
      </w:r>
      <w:r>
        <w:t xml:space="preserve"> Effects on ion channels.</w:t>
      </w:r>
    </w:p>
    <w:p w:rsidR="008041D2" w:rsidRPr="008041D2" w:rsidRDefault="008041D2" w:rsidP="00232A97">
      <w:pPr>
        <w:rPr>
          <w:i/>
        </w:rPr>
      </w:pPr>
      <w:r w:rsidRPr="008041D2">
        <w:rPr>
          <w:i/>
        </w:rPr>
        <w:t>(Page 12) 3r</w:t>
      </w:r>
      <w:r>
        <w:rPr>
          <w:i/>
        </w:rPr>
        <w:t>d bullet on ethanol interaction</w:t>
      </w:r>
    </w:p>
    <w:p w:rsidR="008041D2" w:rsidRDefault="008041D2" w:rsidP="00232A97">
      <w:r>
        <w:t>Response</w:t>
      </w:r>
    </w:p>
    <w:p w:rsidR="008041D2" w:rsidRDefault="008041D2" w:rsidP="00232A97">
      <w:r w:rsidRPr="008041D2">
        <w:t xml:space="preserve">The </w:t>
      </w:r>
      <w:r w:rsidR="00B726C2">
        <w:t xml:space="preserve">sponsor </w:t>
      </w:r>
      <w:r w:rsidRPr="008041D2">
        <w:t>considers the statements (1) the pharmacodynamic effects were supra-additive and (2) possible ‘synergistic effects’ exist on sedation and cognitive func</w:t>
      </w:r>
      <w:r>
        <w:t>tion are not factually correct.</w:t>
      </w:r>
    </w:p>
    <w:p w:rsidR="008041D2" w:rsidRDefault="008041D2" w:rsidP="00232A97">
      <w:r w:rsidRPr="008041D2">
        <w:t xml:space="preserve">As demonstrated in study report EP0041, only adaptive tracking performance was possibly slightly supra-additive based on a post hoc exploratory statistical analysis. All other psychometric tests including sedation and cognition did </w:t>
      </w:r>
      <w:r w:rsidR="00E90B01">
        <w:t>not deviate from additivity (for example</w:t>
      </w:r>
      <w:r w:rsidRPr="008041D2">
        <w:t>, sedation score of the BRV + ethanol combination is identical to the sum of sedation scores fo</w:t>
      </w:r>
      <w:r>
        <w:t>r BRV alone and ethanol alone).</w:t>
      </w:r>
    </w:p>
    <w:p w:rsidR="008041D2" w:rsidRDefault="008041D2" w:rsidP="00232A97">
      <w:r w:rsidRPr="008041D2">
        <w:t>The qualifiers supra-additive and synergistic should be removed.</w:t>
      </w:r>
    </w:p>
    <w:p w:rsidR="008041D2" w:rsidRPr="008041D2" w:rsidRDefault="008041D2" w:rsidP="00232A97">
      <w:pPr>
        <w:rPr>
          <w:i/>
        </w:rPr>
      </w:pPr>
      <w:r w:rsidRPr="008041D2">
        <w:rPr>
          <w:i/>
        </w:rPr>
        <w:t>(Page 36) bullet 1, 50</w:t>
      </w:r>
      <w:r w:rsidR="00E4721B">
        <w:rPr>
          <w:i/>
        </w:rPr>
        <w:t xml:space="preserve"> </w:t>
      </w:r>
      <w:r w:rsidRPr="008041D2">
        <w:rPr>
          <w:i/>
        </w:rPr>
        <w:t>mg starting dose “in line with the pharmacodynamic data”</w:t>
      </w:r>
    </w:p>
    <w:p w:rsidR="008041D2" w:rsidRDefault="008041D2" w:rsidP="008041D2">
      <w:pPr>
        <w:pStyle w:val="Heading6"/>
      </w:pPr>
      <w:r>
        <w:t>Response</w:t>
      </w:r>
    </w:p>
    <w:p w:rsidR="008041D2" w:rsidRPr="00232A97" w:rsidRDefault="008041D2" w:rsidP="00232A97">
      <w:r w:rsidRPr="008041D2">
        <w:t xml:space="preserve">The </w:t>
      </w:r>
      <w:r>
        <w:t>sponsor</w:t>
      </w:r>
      <w:r w:rsidRPr="008041D2">
        <w:t xml:space="preserve"> does not agree with the statement that the 50</w:t>
      </w:r>
      <w:r w:rsidR="00644C08">
        <w:t xml:space="preserve"> </w:t>
      </w:r>
      <w:r w:rsidRPr="008041D2">
        <w:t>mg starting dose is “in line with the pharmacodynamic data”. As shown in PK/PD modelling report CL0027, the pharmacodynamic concentration-effect curve for decrease in seizure frequency from baseline reveals a relationship that reaches a plateau around 100 to 200</w:t>
      </w:r>
      <w:r w:rsidR="00E4721B">
        <w:t xml:space="preserve"> </w:t>
      </w:r>
      <w:r w:rsidRPr="008041D2">
        <w:t>mg/day, while 50</w:t>
      </w:r>
      <w:r w:rsidR="00E4721B">
        <w:t xml:space="preserve"> </w:t>
      </w:r>
      <w:r w:rsidRPr="008041D2">
        <w:t>mg/day is near the middle of the ascending part of the curve, close to the EC50 value. In general, drugs are dosed near the plateau of effect (where changes in exposure do not result in changes in pharmacodynamic effect) rather than in the steep ascending part of the concentration effect curve.</w:t>
      </w:r>
    </w:p>
    <w:p w:rsidR="008E7846" w:rsidRDefault="008E7846" w:rsidP="008E7846">
      <w:pPr>
        <w:pStyle w:val="Heading4"/>
      </w:pPr>
      <w:r>
        <w:t xml:space="preserve">Advisory Committee </w:t>
      </w:r>
      <w:r w:rsidR="00E63418">
        <w:t>c</w:t>
      </w:r>
      <w:r>
        <w:t>onsiderations</w:t>
      </w:r>
    </w:p>
    <w:p w:rsidR="00376D5E" w:rsidRDefault="009A199C" w:rsidP="009A199C">
      <w:pPr>
        <w:rPr>
          <w:rFonts w:cs="Calibri"/>
          <w:b/>
          <w:color w:val="000000" w:themeColor="text1"/>
        </w:rPr>
      </w:pPr>
      <w:r w:rsidRPr="00FE4ACE">
        <w:rPr>
          <w:rFonts w:cs="Calibri"/>
        </w:rPr>
        <w:t>The</w:t>
      </w:r>
      <w:r w:rsidR="00E4721B">
        <w:rPr>
          <w:bCs/>
        </w:rPr>
        <w:t xml:space="preserve"> ACPM</w:t>
      </w:r>
      <w:r w:rsidRPr="00D23139">
        <w:rPr>
          <w:bCs/>
        </w:rPr>
        <w:t xml:space="preserve">, </w:t>
      </w:r>
      <w:r w:rsidRPr="00FE4ACE">
        <w:rPr>
          <w:rFonts w:cs="Calibri"/>
        </w:rPr>
        <w:t xml:space="preserve">taking into account the submitted evidence of efficacy, safety and quality, agreed with the </w:t>
      </w:r>
      <w:r w:rsidR="00112C1A">
        <w:rPr>
          <w:rFonts w:cs="Calibri"/>
        </w:rPr>
        <w:t>D</w:t>
      </w:r>
      <w:r w:rsidRPr="00FE4ACE">
        <w:rPr>
          <w:rFonts w:cs="Calibri"/>
        </w:rPr>
        <w:t xml:space="preserve">elegate and considered </w:t>
      </w:r>
      <w:r w:rsidRPr="00FE4ACE">
        <w:rPr>
          <w:bCs/>
          <w:noProof/>
        </w:rPr>
        <w:t>B</w:t>
      </w:r>
      <w:r w:rsidR="00E4721B">
        <w:rPr>
          <w:bCs/>
          <w:noProof/>
        </w:rPr>
        <w:t xml:space="preserve">riviact </w:t>
      </w:r>
      <w:r w:rsidRPr="00FE4ACE">
        <w:rPr>
          <w:bCs/>
          <w:noProof/>
        </w:rPr>
        <w:t xml:space="preserve">film coated tablets </w:t>
      </w:r>
      <w:r>
        <w:rPr>
          <w:bCs/>
          <w:noProof/>
        </w:rPr>
        <w:t>10 mg, 25 mg, 50 </w:t>
      </w:r>
      <w:r w:rsidRPr="00FE4ACE">
        <w:rPr>
          <w:bCs/>
          <w:noProof/>
        </w:rPr>
        <w:t>mg, 75 mg, 100 mg; oral solution 10 mg/mL and solution for injection</w:t>
      </w:r>
      <w:r w:rsidRPr="00FE4ACE">
        <w:rPr>
          <w:bCs/>
        </w:rPr>
        <w:t xml:space="preserve"> </w:t>
      </w:r>
      <w:r w:rsidRPr="00FE4ACE">
        <w:rPr>
          <w:bCs/>
          <w:noProof/>
        </w:rPr>
        <w:t>50 mg/5</w:t>
      </w:r>
      <w:r>
        <w:rPr>
          <w:bCs/>
          <w:noProof/>
        </w:rPr>
        <w:t xml:space="preserve"> </w:t>
      </w:r>
      <w:r w:rsidRPr="00FE4ACE">
        <w:rPr>
          <w:bCs/>
          <w:noProof/>
        </w:rPr>
        <w:t>mL</w:t>
      </w:r>
      <w:r w:rsidRPr="00FE4ACE">
        <w:rPr>
          <w:bCs/>
        </w:rPr>
        <w:t xml:space="preserve"> containing b</w:t>
      </w:r>
      <w:r w:rsidRPr="00FE4ACE">
        <w:rPr>
          <w:bCs/>
          <w:noProof/>
        </w:rPr>
        <w:t>rivaracetam</w:t>
      </w:r>
      <w:r w:rsidRPr="00FE4ACE">
        <w:rPr>
          <w:b/>
          <w:bCs/>
        </w:rPr>
        <w:t xml:space="preserve"> </w:t>
      </w:r>
      <w:r w:rsidRPr="00FE4ACE">
        <w:rPr>
          <w:rFonts w:cs="Calibri"/>
        </w:rPr>
        <w:t>to h</w:t>
      </w:r>
      <w:r w:rsidR="00E4721B">
        <w:rPr>
          <w:rFonts w:cs="Calibri"/>
        </w:rPr>
        <w:t>ave an overall positive benefit-</w:t>
      </w:r>
      <w:r w:rsidRPr="00FE4ACE">
        <w:rPr>
          <w:rFonts w:cs="Calibri"/>
        </w:rPr>
        <w:t xml:space="preserve">risk profile for the </w:t>
      </w:r>
      <w:r>
        <w:rPr>
          <w:rFonts w:cs="Calibri"/>
        </w:rPr>
        <w:t xml:space="preserve">proposed </w:t>
      </w:r>
      <w:r w:rsidRPr="00FE4ACE">
        <w:rPr>
          <w:rFonts w:cs="Calibri"/>
        </w:rPr>
        <w:t>indication</w:t>
      </w:r>
      <w:r w:rsidRPr="002848CC">
        <w:rPr>
          <w:rFonts w:cs="Calibri"/>
          <w:b/>
          <w:color w:val="000000" w:themeColor="text1"/>
        </w:rPr>
        <w:t>;</w:t>
      </w:r>
    </w:p>
    <w:p w:rsidR="009A199C" w:rsidRPr="001E0668" w:rsidRDefault="00E4721B" w:rsidP="001E0668">
      <w:pPr>
        <w:ind w:left="720"/>
        <w:rPr>
          <w:i/>
        </w:rPr>
      </w:pPr>
      <w:proofErr w:type="spellStart"/>
      <w:r>
        <w:rPr>
          <w:i/>
        </w:rPr>
        <w:t>Briviact</w:t>
      </w:r>
      <w:proofErr w:type="spellEnd"/>
      <w:r w:rsidR="009A199C" w:rsidRPr="001E0668">
        <w:rPr>
          <w:i/>
        </w:rPr>
        <w:t xml:space="preserve"> tablets, oral solution and solution for injection are indicated as add-on therapy in the treatment of partial-onset seizures with or without secondary generalisation in patients from 16 years of age with epilepsy.</w:t>
      </w:r>
    </w:p>
    <w:p w:rsidR="009A199C" w:rsidRPr="002848CC" w:rsidRDefault="001E0668" w:rsidP="009A199C">
      <w:pPr>
        <w:spacing w:after="0"/>
        <w:rPr>
          <w:bCs/>
          <w:iCs/>
        </w:rPr>
      </w:pPr>
      <w:r>
        <w:rPr>
          <w:bCs/>
          <w:iCs/>
        </w:rPr>
        <w:t xml:space="preserve">In making this recommendation, </w:t>
      </w:r>
      <w:r w:rsidR="00E4721B">
        <w:rPr>
          <w:bCs/>
          <w:iCs/>
        </w:rPr>
        <w:t>the ACPM:</w:t>
      </w:r>
    </w:p>
    <w:p w:rsidR="009A199C" w:rsidRPr="00CF7A30" w:rsidRDefault="009A199C" w:rsidP="00112C1A">
      <w:pPr>
        <w:pStyle w:val="ListBullet"/>
      </w:pPr>
      <w:proofErr w:type="gramStart"/>
      <w:r>
        <w:t>advised</w:t>
      </w:r>
      <w:proofErr w:type="gramEnd"/>
      <w:r w:rsidRPr="002848CC">
        <w:t xml:space="preserve"> </w:t>
      </w:r>
      <w:r>
        <w:t>that brivaracetam demonstrated reasonable efficacy for the proposed indication with no major safety issues identified.</w:t>
      </w:r>
    </w:p>
    <w:p w:rsidR="009A199C" w:rsidRPr="00CF7A30" w:rsidRDefault="009A199C" w:rsidP="00112C1A">
      <w:pPr>
        <w:pStyle w:val="Heading5"/>
        <w:rPr>
          <w:iCs/>
        </w:rPr>
      </w:pPr>
      <w:r w:rsidRPr="00CF7A30">
        <w:lastRenderedPageBreak/>
        <w:t>Proposed conditions of registration</w:t>
      </w:r>
    </w:p>
    <w:p w:rsidR="00376D5E" w:rsidRDefault="009A199C" w:rsidP="00112C1A">
      <w:r w:rsidRPr="00112C1A">
        <w:t xml:space="preserve">The ACPM agreed with the </w:t>
      </w:r>
      <w:r w:rsidR="00112C1A">
        <w:t>D</w:t>
      </w:r>
      <w:r w:rsidRPr="00112C1A">
        <w:t>elegate on the proposed conditions of registration</w:t>
      </w:r>
      <w:r w:rsidR="00376D5E">
        <w:t>.</w:t>
      </w:r>
    </w:p>
    <w:p w:rsidR="009A199C" w:rsidRPr="00D724FC" w:rsidRDefault="009A199C" w:rsidP="00EA234F">
      <w:pPr>
        <w:pStyle w:val="Heading5"/>
        <w:rPr>
          <w:u w:val="single"/>
        </w:rPr>
      </w:pPr>
      <w:r w:rsidRPr="00D724FC">
        <w:t>Proposed Product Information (PI)/Consumer Medicine Information (CMI) amendments</w:t>
      </w:r>
    </w:p>
    <w:p w:rsidR="00376D5E" w:rsidRDefault="009A199C" w:rsidP="00EA234F">
      <w:r w:rsidRPr="00EA234F">
        <w:t>The ACPM agreed with the delegate to the pro</w:t>
      </w:r>
      <w:r w:rsidR="00EA234F">
        <w:t xml:space="preserve">posed amendments to the PI </w:t>
      </w:r>
      <w:r w:rsidRPr="00EA234F">
        <w:t>and CMI and specifically advised on the inclusion of the following:</w:t>
      </w:r>
    </w:p>
    <w:p w:rsidR="009A199C" w:rsidRPr="00EE4C4F" w:rsidRDefault="009A199C" w:rsidP="00CE4CAC">
      <w:pPr>
        <w:pStyle w:val="ListBullet"/>
      </w:pPr>
      <w:r w:rsidRPr="00EE4C4F">
        <w:t xml:space="preserve">A statement in the </w:t>
      </w:r>
      <w:r w:rsidRPr="00EE4C4F">
        <w:rPr>
          <w:i/>
        </w:rPr>
        <w:t>Dosage and Administration</w:t>
      </w:r>
      <w:r w:rsidRPr="00EE4C4F">
        <w:t xml:space="preserve"> section regarding up-titrating brivaracetam to the minimal effective dose (see specific advice below).</w:t>
      </w:r>
    </w:p>
    <w:p w:rsidR="009A199C" w:rsidRPr="00EE4C4F" w:rsidRDefault="009A199C" w:rsidP="00CE4CAC">
      <w:pPr>
        <w:pStyle w:val="ListBullet"/>
      </w:pPr>
      <w:r w:rsidRPr="00EE4C4F">
        <w:t>A statement in the</w:t>
      </w:r>
      <w:r w:rsidR="009722E2">
        <w:rPr>
          <w:i/>
        </w:rPr>
        <w:t xml:space="preserve"> Precautions/</w:t>
      </w:r>
      <w:r w:rsidRPr="00EE4C4F">
        <w:rPr>
          <w:i/>
        </w:rPr>
        <w:t>Contraindications</w:t>
      </w:r>
      <w:r w:rsidRPr="00EE4C4F">
        <w:t xml:space="preserve"> section of the PI recommending caution/dose reduction in patients with </w:t>
      </w:r>
      <w:r>
        <w:t xml:space="preserve">renal and hepatic dysfunction </w:t>
      </w:r>
      <w:r>
        <w:rPr>
          <w:iCs/>
          <w:noProof/>
        </w:rPr>
        <w:t>as well as</w:t>
      </w:r>
      <w:r w:rsidRPr="00824C19">
        <w:rPr>
          <w:iCs/>
          <w:noProof/>
        </w:rPr>
        <w:t xml:space="preserve"> s</w:t>
      </w:r>
      <w:r>
        <w:rPr>
          <w:iCs/>
          <w:noProof/>
        </w:rPr>
        <w:t>pecific mention about an increase</w:t>
      </w:r>
      <w:r w:rsidRPr="00824C19">
        <w:rPr>
          <w:iCs/>
          <w:noProof/>
        </w:rPr>
        <w:t xml:space="preserve"> in inactive metabolites </w:t>
      </w:r>
      <w:r>
        <w:rPr>
          <w:iCs/>
          <w:noProof/>
        </w:rPr>
        <w:t>with renal impairment</w:t>
      </w:r>
      <w:r w:rsidRPr="00EE4C4F">
        <w:t>.</w:t>
      </w:r>
    </w:p>
    <w:p w:rsidR="009A199C" w:rsidRPr="00EE4C4F" w:rsidRDefault="009A199C" w:rsidP="00CE4CAC">
      <w:pPr>
        <w:pStyle w:val="ListBullet"/>
      </w:pPr>
      <w:r w:rsidRPr="00EE4C4F">
        <w:t xml:space="preserve">Specific mention of the relationship between brivaracetam and carbamazepine, as evidence exists that concurrent administration lowers brivaracetam plasma concentrations whilst raising effective carbamazepine concentrations. The </w:t>
      </w:r>
      <w:r>
        <w:t xml:space="preserve">ACPM was of the view </w:t>
      </w:r>
      <w:r w:rsidR="009722E2">
        <w:t xml:space="preserve">however that dose </w:t>
      </w:r>
      <w:r w:rsidRPr="00EE4C4F">
        <w:t>adjustment</w:t>
      </w:r>
      <w:r>
        <w:t xml:space="preserve"> should be a clinical decision</w:t>
      </w:r>
      <w:r w:rsidRPr="00EE4C4F">
        <w:t xml:space="preserve">, based on efficacy and adverse effects </w:t>
      </w:r>
      <w:proofErr w:type="spellStart"/>
      <w:r w:rsidRPr="00EE4C4F">
        <w:t>sequela</w:t>
      </w:r>
      <w:proofErr w:type="spellEnd"/>
      <w:r w:rsidRPr="00EE4C4F">
        <w:t>.</w:t>
      </w:r>
    </w:p>
    <w:p w:rsidR="009A199C" w:rsidRPr="00D724FC" w:rsidRDefault="00CE4CAC" w:rsidP="00CE4CAC">
      <w:pPr>
        <w:pStyle w:val="Heading5"/>
        <w:rPr>
          <w:szCs w:val="22"/>
          <w:highlight w:val="yellow"/>
        </w:rPr>
      </w:pPr>
      <w:r>
        <w:t xml:space="preserve">Specific </w:t>
      </w:r>
      <w:r w:rsidR="00F324BA">
        <w:t>a</w:t>
      </w:r>
      <w:r w:rsidR="009A199C" w:rsidRPr="00D724FC">
        <w:t>dvice</w:t>
      </w:r>
    </w:p>
    <w:p w:rsidR="009A199C" w:rsidRPr="00F324BA" w:rsidRDefault="009A199C" w:rsidP="00F324BA">
      <w:pPr>
        <w:rPr>
          <w:highlight w:val="yellow"/>
        </w:rPr>
      </w:pPr>
      <w:r w:rsidRPr="00F324BA">
        <w:t xml:space="preserve">The ACPM advised the following in response to the </w:t>
      </w:r>
      <w:r w:rsidR="009722E2">
        <w:t>D</w:t>
      </w:r>
      <w:r w:rsidRPr="00F324BA">
        <w:t>elegate’s specific questions on this submission:</w:t>
      </w:r>
    </w:p>
    <w:p w:rsidR="009A199C" w:rsidRPr="00F324BA" w:rsidRDefault="009A199C" w:rsidP="00F324BA">
      <w:pPr>
        <w:pStyle w:val="ListBullet"/>
        <w:rPr>
          <w:i/>
          <w:noProof/>
        </w:rPr>
      </w:pPr>
      <w:r w:rsidRPr="00F324BA">
        <w:rPr>
          <w:i/>
          <w:noProof/>
        </w:rPr>
        <w:t>Acceptability of the proposed indication.</w:t>
      </w:r>
    </w:p>
    <w:p w:rsidR="009A199C" w:rsidRPr="00654840" w:rsidRDefault="009A199C" w:rsidP="009A199C">
      <w:pPr>
        <w:rPr>
          <w:bCs/>
          <w:iCs/>
          <w:noProof/>
        </w:rPr>
      </w:pPr>
      <w:r>
        <w:rPr>
          <w:bCs/>
          <w:iCs/>
          <w:noProof/>
        </w:rPr>
        <w:t>The ACPM</w:t>
      </w:r>
      <w:r w:rsidR="00433C93">
        <w:rPr>
          <w:bCs/>
          <w:iCs/>
          <w:noProof/>
        </w:rPr>
        <w:t xml:space="preserve"> </w:t>
      </w:r>
      <w:r>
        <w:rPr>
          <w:bCs/>
          <w:iCs/>
          <w:noProof/>
        </w:rPr>
        <w:t>advised that overall briveracetam was approvable with no major issues for the proposed indication.</w:t>
      </w:r>
    </w:p>
    <w:p w:rsidR="009A199C" w:rsidRPr="00F324BA" w:rsidRDefault="009A199C" w:rsidP="00F324BA">
      <w:pPr>
        <w:pStyle w:val="ListBullet"/>
        <w:rPr>
          <w:i/>
          <w:noProof/>
        </w:rPr>
      </w:pPr>
      <w:r w:rsidRPr="00F324BA">
        <w:rPr>
          <w:i/>
          <w:noProof/>
        </w:rPr>
        <w:t>Acceptability of the Delegate’s suggested modifications to the statements on dosage with regard to dose titration, food and renal impairment.</w:t>
      </w:r>
    </w:p>
    <w:p w:rsidR="009A199C" w:rsidRPr="0087522C" w:rsidRDefault="009A199C" w:rsidP="009A199C">
      <w:pPr>
        <w:rPr>
          <w:bCs/>
          <w:iCs/>
          <w:noProof/>
        </w:rPr>
      </w:pPr>
      <w:r w:rsidRPr="0087522C">
        <w:rPr>
          <w:bCs/>
          <w:iCs/>
          <w:noProof/>
        </w:rPr>
        <w:t>The ACPM</w:t>
      </w:r>
      <w:r>
        <w:rPr>
          <w:bCs/>
          <w:iCs/>
          <w:noProof/>
        </w:rPr>
        <w:t xml:space="preserve"> noted that up-</w:t>
      </w:r>
      <w:r w:rsidRPr="0087522C">
        <w:rPr>
          <w:bCs/>
          <w:iCs/>
          <w:noProof/>
        </w:rPr>
        <w:t xml:space="preserve">titration was not part of the clinical trial protocol and </w:t>
      </w:r>
      <w:r>
        <w:rPr>
          <w:bCs/>
          <w:iCs/>
          <w:noProof/>
        </w:rPr>
        <w:t xml:space="preserve">the </w:t>
      </w:r>
      <w:r w:rsidRPr="0087522C">
        <w:rPr>
          <w:bCs/>
          <w:iCs/>
          <w:noProof/>
        </w:rPr>
        <w:t>lack of up-titration did not seem to be associated with undue adverse events. However</w:t>
      </w:r>
      <w:r>
        <w:rPr>
          <w:bCs/>
          <w:iCs/>
          <w:noProof/>
        </w:rPr>
        <w:t>,</w:t>
      </w:r>
      <w:r w:rsidRPr="0087522C">
        <w:rPr>
          <w:bCs/>
          <w:iCs/>
          <w:noProof/>
        </w:rPr>
        <w:t xml:space="preserve"> good prescribing practice for many if not most medications requires up-titration to the best tolerated effective dose. The ACPM noted that generally, </w:t>
      </w:r>
      <w:r w:rsidR="00433C93">
        <w:rPr>
          <w:bCs/>
          <w:iCs/>
          <w:noProof/>
        </w:rPr>
        <w:t>AEDs</w:t>
      </w:r>
      <w:r w:rsidRPr="0087522C">
        <w:rPr>
          <w:bCs/>
          <w:iCs/>
          <w:noProof/>
        </w:rPr>
        <w:t xml:space="preserve"> follow a titration protocol and with this prec</w:t>
      </w:r>
      <w:r>
        <w:rPr>
          <w:bCs/>
          <w:iCs/>
          <w:noProof/>
        </w:rPr>
        <w:t>e</w:t>
      </w:r>
      <w:r w:rsidRPr="0087522C">
        <w:rPr>
          <w:bCs/>
          <w:iCs/>
          <w:noProof/>
        </w:rPr>
        <w:t>dent in mind</w:t>
      </w:r>
      <w:r w:rsidR="00E60BBF">
        <w:rPr>
          <w:bCs/>
          <w:iCs/>
          <w:noProof/>
        </w:rPr>
        <w:t>,</w:t>
      </w:r>
      <w:r w:rsidRPr="0087522C">
        <w:rPr>
          <w:bCs/>
          <w:iCs/>
          <w:noProof/>
        </w:rPr>
        <w:t xml:space="preserve"> </w:t>
      </w:r>
      <w:r>
        <w:rPr>
          <w:bCs/>
          <w:iCs/>
          <w:noProof/>
        </w:rPr>
        <w:t>the ACPM</w:t>
      </w:r>
      <w:r w:rsidRPr="0087522C">
        <w:rPr>
          <w:bCs/>
          <w:iCs/>
          <w:noProof/>
        </w:rPr>
        <w:t xml:space="preserve"> agreed with the titration schedule of:</w:t>
      </w:r>
    </w:p>
    <w:p w:rsidR="009A199C" w:rsidRPr="00F324BA" w:rsidRDefault="00E60BBF" w:rsidP="00F324BA">
      <w:pPr>
        <w:ind w:left="720"/>
        <w:rPr>
          <w:i/>
        </w:rPr>
      </w:pPr>
      <w:r>
        <w:rPr>
          <w:i/>
        </w:rPr>
        <w:t>B</w:t>
      </w:r>
      <w:r w:rsidR="009A199C" w:rsidRPr="00F324BA">
        <w:rPr>
          <w:i/>
        </w:rPr>
        <w:t>rivaracetam dose be initiated at 50</w:t>
      </w:r>
      <w:r w:rsidR="00433C93">
        <w:rPr>
          <w:i/>
        </w:rPr>
        <w:t xml:space="preserve"> </w:t>
      </w:r>
      <w:r w:rsidR="009A199C" w:rsidRPr="00F324BA">
        <w:rPr>
          <w:i/>
        </w:rPr>
        <w:t>mg per day, increasing at 50</w:t>
      </w:r>
      <w:r w:rsidR="00433C93">
        <w:rPr>
          <w:i/>
        </w:rPr>
        <w:t xml:space="preserve"> </w:t>
      </w:r>
      <w:r w:rsidR="009A199C" w:rsidRPr="00F324BA">
        <w:rPr>
          <w:i/>
        </w:rPr>
        <w:t>mg per day, every 2 weeks, until either the effective dose or maximum permitted dose of 200</w:t>
      </w:r>
      <w:r w:rsidR="00433C93">
        <w:rPr>
          <w:i/>
        </w:rPr>
        <w:t xml:space="preserve"> </w:t>
      </w:r>
      <w:r w:rsidR="009A199C" w:rsidRPr="00F324BA">
        <w:rPr>
          <w:i/>
        </w:rPr>
        <w:t>mg per day is attained</w:t>
      </w:r>
    </w:p>
    <w:p w:rsidR="009A199C" w:rsidRPr="0087522C" w:rsidRDefault="009A199C" w:rsidP="009A199C">
      <w:pPr>
        <w:rPr>
          <w:bCs/>
          <w:iCs/>
          <w:noProof/>
        </w:rPr>
      </w:pPr>
      <w:r w:rsidRPr="0087522C">
        <w:rPr>
          <w:bCs/>
          <w:iCs/>
          <w:noProof/>
        </w:rPr>
        <w:t xml:space="preserve">The ACPM </w:t>
      </w:r>
      <w:r>
        <w:rPr>
          <w:bCs/>
          <w:iCs/>
          <w:noProof/>
        </w:rPr>
        <w:t>not</w:t>
      </w:r>
      <w:r w:rsidRPr="0087522C">
        <w:rPr>
          <w:bCs/>
          <w:iCs/>
          <w:noProof/>
        </w:rPr>
        <w:t xml:space="preserve">ed </w:t>
      </w:r>
      <w:r>
        <w:rPr>
          <w:bCs/>
          <w:iCs/>
          <w:noProof/>
        </w:rPr>
        <w:t xml:space="preserve">that </w:t>
      </w:r>
      <w:r w:rsidRPr="0087522C">
        <w:rPr>
          <w:bCs/>
          <w:iCs/>
          <w:noProof/>
        </w:rPr>
        <w:t xml:space="preserve">evidence suggested that brivaracetam </w:t>
      </w:r>
      <w:r>
        <w:rPr>
          <w:bCs/>
          <w:iCs/>
          <w:noProof/>
        </w:rPr>
        <w:t>did</w:t>
      </w:r>
      <w:r w:rsidRPr="0087522C">
        <w:rPr>
          <w:bCs/>
          <w:iCs/>
          <w:noProof/>
        </w:rPr>
        <w:t xml:space="preserve"> not need to be taken with </w:t>
      </w:r>
      <w:r>
        <w:rPr>
          <w:bCs/>
          <w:iCs/>
          <w:noProof/>
        </w:rPr>
        <w:t xml:space="preserve">specific directions in </w:t>
      </w:r>
      <w:r w:rsidRPr="0087522C">
        <w:rPr>
          <w:bCs/>
          <w:iCs/>
          <w:noProof/>
        </w:rPr>
        <w:t>regard to food. The ACPM noted that although a high fat meal slowed absor</w:t>
      </w:r>
      <w:r>
        <w:rPr>
          <w:bCs/>
          <w:iCs/>
          <w:noProof/>
        </w:rPr>
        <w:t>p</w:t>
      </w:r>
      <w:r w:rsidRPr="0087522C">
        <w:rPr>
          <w:bCs/>
          <w:iCs/>
          <w:noProof/>
        </w:rPr>
        <w:t>tion increasing the T</w:t>
      </w:r>
      <w:r w:rsidRPr="0087522C">
        <w:rPr>
          <w:bCs/>
          <w:iCs/>
          <w:noProof/>
          <w:vertAlign w:val="subscript"/>
        </w:rPr>
        <w:t xml:space="preserve">max </w:t>
      </w:r>
      <w:r w:rsidRPr="0087522C">
        <w:rPr>
          <w:bCs/>
          <w:iCs/>
          <w:noProof/>
        </w:rPr>
        <w:t>from ≤ 1 h to &lt;3 h and reduced the C</w:t>
      </w:r>
      <w:r w:rsidRPr="0087522C">
        <w:rPr>
          <w:bCs/>
          <w:iCs/>
          <w:noProof/>
          <w:vertAlign w:val="subscript"/>
        </w:rPr>
        <w:t xml:space="preserve">max </w:t>
      </w:r>
      <w:r w:rsidRPr="0087522C">
        <w:rPr>
          <w:bCs/>
          <w:iCs/>
          <w:noProof/>
        </w:rPr>
        <w:t xml:space="preserve">by 37% (based on 50 mg tablet, food effect study (Study </w:t>
      </w:r>
      <w:r w:rsidRPr="005C553F">
        <w:t>N01287</w:t>
      </w:r>
      <w:r>
        <w:t>))</w:t>
      </w:r>
      <w:r w:rsidR="0013577B">
        <w:t>,</w:t>
      </w:r>
      <w:r w:rsidRPr="0087522C">
        <w:rPr>
          <w:bCs/>
          <w:iCs/>
          <w:noProof/>
        </w:rPr>
        <w:t xml:space="preserve"> the oral bioavailability (F</w:t>
      </w:r>
      <w:r w:rsidRPr="0087522C">
        <w:rPr>
          <w:bCs/>
          <w:iCs/>
          <w:noProof/>
          <w:vertAlign w:val="subscript"/>
        </w:rPr>
        <w:t>oral</w:t>
      </w:r>
      <w:r w:rsidRPr="0087522C">
        <w:rPr>
          <w:bCs/>
          <w:iCs/>
          <w:noProof/>
        </w:rPr>
        <w:t xml:space="preserve">) was </w:t>
      </w:r>
      <w:r w:rsidR="00433C93">
        <w:rPr>
          <w:rFonts w:ascii="Cambria Math" w:hAnsi="Cambria Math" w:cs="Cambria Math"/>
          <w:bCs/>
          <w:iCs/>
          <w:noProof/>
        </w:rPr>
        <w:t>approximately</w:t>
      </w:r>
      <w:r w:rsidRPr="0087522C">
        <w:rPr>
          <w:bCs/>
          <w:iCs/>
          <w:noProof/>
        </w:rPr>
        <w:t> 100% and the AUC was unchanged. Given twice daily dosing and the desirability for stable plasma concentrations with AEDs, specific food effect advice seems unneccessary.</w:t>
      </w:r>
    </w:p>
    <w:p w:rsidR="00376D5E" w:rsidRDefault="009A199C" w:rsidP="009A199C">
      <w:pPr>
        <w:rPr>
          <w:bCs/>
          <w:iCs/>
          <w:noProof/>
        </w:rPr>
      </w:pPr>
      <w:r w:rsidRPr="00824C19">
        <w:rPr>
          <w:bCs/>
          <w:iCs/>
          <w:noProof/>
        </w:rPr>
        <w:t xml:space="preserve">Regarding renal impairment the committee noted that less than 10% of brivarecetam is normally excreted unchanged and increased exposure (AUC) to brivarecetam (active compound) was minor compared with the rise in inactive metabolites. </w:t>
      </w:r>
      <w:r>
        <w:rPr>
          <w:bCs/>
          <w:iCs/>
          <w:noProof/>
        </w:rPr>
        <w:t xml:space="preserve">However, the ACPM advised that a statement advising </w:t>
      </w:r>
      <w:r w:rsidRPr="00EE4C4F">
        <w:rPr>
          <w:bCs/>
        </w:rPr>
        <w:t xml:space="preserve">caution/dose reduction in patients with </w:t>
      </w:r>
      <w:r>
        <w:rPr>
          <w:bCs/>
        </w:rPr>
        <w:t xml:space="preserve">renal </w:t>
      </w:r>
      <w:r w:rsidRPr="00EE4C4F">
        <w:rPr>
          <w:bCs/>
        </w:rPr>
        <w:t>dysfunction</w:t>
      </w:r>
      <w:r>
        <w:rPr>
          <w:bCs/>
        </w:rPr>
        <w:t xml:space="preserve"> and hepatic dysfunction </w:t>
      </w:r>
      <w:r w:rsidRPr="00824C19">
        <w:rPr>
          <w:bCs/>
          <w:iCs/>
          <w:noProof/>
        </w:rPr>
        <w:t>may be worthwhile</w:t>
      </w:r>
      <w:r>
        <w:rPr>
          <w:bCs/>
        </w:rPr>
        <w:t xml:space="preserve"> </w:t>
      </w:r>
      <w:r>
        <w:rPr>
          <w:bCs/>
          <w:iCs/>
          <w:noProof/>
        </w:rPr>
        <w:t>as well as</w:t>
      </w:r>
      <w:r w:rsidRPr="00824C19">
        <w:rPr>
          <w:bCs/>
          <w:iCs/>
          <w:noProof/>
        </w:rPr>
        <w:t xml:space="preserve"> s</w:t>
      </w:r>
      <w:r>
        <w:rPr>
          <w:bCs/>
          <w:iCs/>
          <w:noProof/>
        </w:rPr>
        <w:t>pecific mention about an increase</w:t>
      </w:r>
      <w:r w:rsidRPr="00824C19">
        <w:rPr>
          <w:bCs/>
          <w:iCs/>
          <w:noProof/>
        </w:rPr>
        <w:t xml:space="preserve"> in inactive metabolites </w:t>
      </w:r>
      <w:r>
        <w:rPr>
          <w:bCs/>
          <w:iCs/>
          <w:noProof/>
        </w:rPr>
        <w:t>with renal impairment</w:t>
      </w:r>
      <w:r w:rsidR="00376D5E">
        <w:rPr>
          <w:bCs/>
          <w:iCs/>
          <w:noProof/>
        </w:rPr>
        <w:t>.</w:t>
      </w:r>
    </w:p>
    <w:p w:rsidR="009A199C" w:rsidRPr="00824C19" w:rsidRDefault="009A199C" w:rsidP="009A199C">
      <w:pPr>
        <w:rPr>
          <w:bCs/>
          <w:iCs/>
          <w:noProof/>
        </w:rPr>
      </w:pPr>
      <w:r w:rsidRPr="00824C19">
        <w:rPr>
          <w:bCs/>
          <w:iCs/>
          <w:noProof/>
        </w:rPr>
        <w:lastRenderedPageBreak/>
        <w:t>The ACPM advised that that PI should include reference to the interaction with carbamazepine and would suggest adding wording: “dose adjustments may be required</w:t>
      </w:r>
      <w:r>
        <w:rPr>
          <w:bCs/>
          <w:iCs/>
          <w:noProof/>
        </w:rPr>
        <w:t xml:space="preserve"> a</w:t>
      </w:r>
      <w:r w:rsidRPr="00183D1C">
        <w:rPr>
          <w:bCs/>
          <w:iCs/>
          <w:noProof/>
        </w:rPr>
        <w:t>nd monitoring of serum carbamazepine levels may be misleading</w:t>
      </w:r>
      <w:r w:rsidRPr="00824C19">
        <w:rPr>
          <w:bCs/>
          <w:iCs/>
          <w:noProof/>
        </w:rPr>
        <w:t>.”</w:t>
      </w:r>
    </w:p>
    <w:p w:rsidR="009A199C" w:rsidRPr="000D76E5" w:rsidRDefault="009A199C" w:rsidP="000D76E5">
      <w:pPr>
        <w:pStyle w:val="ListBullet"/>
      </w:pPr>
      <w:r w:rsidRPr="000D76E5">
        <w:t>Advice on any other issues relevant to a decision on whether or not to approve this application.</w:t>
      </w:r>
    </w:p>
    <w:p w:rsidR="00376D5E" w:rsidRDefault="009A199C" w:rsidP="000D76E5">
      <w:r w:rsidRPr="000D76E5">
        <w:t>There were no other issues</w:t>
      </w:r>
      <w:r w:rsidR="00376D5E">
        <w:t>.</w:t>
      </w:r>
    </w:p>
    <w:p w:rsidR="00376D5E" w:rsidRDefault="009A199C" w:rsidP="000D76E5">
      <w:r w:rsidRPr="000D76E5">
        <w:t>The ACPM advised that implementation by the sponsor of the recommendations outlined above to the satisfaction of the TGA, in addition to the evidence of efficacy and safety provided would support the safe and effective use of these products</w:t>
      </w:r>
      <w:r w:rsidR="00376D5E">
        <w:t>.</w:t>
      </w:r>
    </w:p>
    <w:p w:rsidR="008E7846" w:rsidRPr="002E238E" w:rsidRDefault="008E7846" w:rsidP="008E7846">
      <w:pPr>
        <w:pStyle w:val="Heading3"/>
      </w:pPr>
      <w:bookmarkStart w:id="223" w:name="_Toc247691532"/>
      <w:bookmarkStart w:id="224" w:name="_Toc314842516"/>
      <w:bookmarkStart w:id="225" w:name="_Toc479595243"/>
      <w:bookmarkEnd w:id="168"/>
      <w:bookmarkEnd w:id="220"/>
      <w:bookmarkEnd w:id="221"/>
      <w:r>
        <w:t>Outcome</w:t>
      </w:r>
      <w:bookmarkEnd w:id="223"/>
      <w:bookmarkEnd w:id="224"/>
      <w:bookmarkEnd w:id="225"/>
    </w:p>
    <w:p w:rsidR="00D23139" w:rsidRDefault="00D23139" w:rsidP="00D23139">
      <w:bookmarkStart w:id="226" w:name="_Toc247691533"/>
      <w:bookmarkStart w:id="227" w:name="_Toc314842517"/>
      <w:r w:rsidRPr="00D23139">
        <w:t>Based on a review of quality, safety and efficacy, T</w:t>
      </w:r>
      <w:r w:rsidR="000C6794">
        <w:t>GA approved the registration of:</w:t>
      </w:r>
    </w:p>
    <w:p w:rsidR="000C6794" w:rsidRDefault="00607784" w:rsidP="007D14A1">
      <w:pPr>
        <w:pStyle w:val="ListBullet3"/>
      </w:pPr>
      <w:r w:rsidRPr="00607784">
        <w:t xml:space="preserve">Briviact (brivaracetam) </w:t>
      </w:r>
      <w:r w:rsidR="000C6794" w:rsidRPr="00AD6339">
        <w:t>100</w:t>
      </w:r>
      <w:r w:rsidR="000C6794">
        <w:t xml:space="preserve"> </w:t>
      </w:r>
      <w:r w:rsidR="000C6794" w:rsidRPr="00AD6339">
        <w:t>mg film-coated tablets blister pack</w:t>
      </w:r>
    </w:p>
    <w:p w:rsidR="000C6794" w:rsidRDefault="00607784" w:rsidP="007D14A1">
      <w:pPr>
        <w:pStyle w:val="ListBullet3"/>
      </w:pPr>
      <w:r w:rsidRPr="00607784">
        <w:t xml:space="preserve">Briviact (brivaracetam) </w:t>
      </w:r>
      <w:r w:rsidR="000C6794" w:rsidRPr="009A1829">
        <w:t>10</w:t>
      </w:r>
      <w:r w:rsidR="000C6794">
        <w:t xml:space="preserve"> </w:t>
      </w:r>
      <w:r w:rsidR="000C6794" w:rsidRPr="009A1829">
        <w:t>mg/mL oral solution bottle</w:t>
      </w:r>
    </w:p>
    <w:p w:rsidR="000C6794" w:rsidRDefault="00607784" w:rsidP="007D14A1">
      <w:pPr>
        <w:pStyle w:val="ListBullet3"/>
      </w:pPr>
      <w:r w:rsidRPr="00607784">
        <w:t xml:space="preserve">Briviact (brivaracetam) </w:t>
      </w:r>
      <w:r w:rsidR="000C6794" w:rsidRPr="00A54394">
        <w:t>10</w:t>
      </w:r>
      <w:r w:rsidR="000C6794">
        <w:t xml:space="preserve"> </w:t>
      </w:r>
      <w:r w:rsidR="000C6794" w:rsidRPr="00A54394">
        <w:t>mg film-coated tablets blister pack</w:t>
      </w:r>
    </w:p>
    <w:p w:rsidR="000C6794" w:rsidRDefault="00607784" w:rsidP="007D14A1">
      <w:pPr>
        <w:pStyle w:val="ListBullet3"/>
      </w:pPr>
      <w:r w:rsidRPr="00607784">
        <w:t>Briviact (brivaracetam)</w:t>
      </w:r>
      <w:r w:rsidR="006E2740">
        <w:t xml:space="preserve"> </w:t>
      </w:r>
      <w:r w:rsidR="000C6794" w:rsidRPr="00CD2A62">
        <w:t>50</w:t>
      </w:r>
      <w:r w:rsidR="000C6794">
        <w:t xml:space="preserve"> </w:t>
      </w:r>
      <w:r w:rsidR="000C6794" w:rsidRPr="00CD2A62">
        <w:t>mg/5mL injection vial</w:t>
      </w:r>
    </w:p>
    <w:p w:rsidR="000C6794" w:rsidRDefault="00607784" w:rsidP="007D14A1">
      <w:pPr>
        <w:pStyle w:val="ListBullet3"/>
      </w:pPr>
      <w:r w:rsidRPr="00607784">
        <w:t>Briviact (brivaracetam)</w:t>
      </w:r>
      <w:r w:rsidR="006E2740">
        <w:t xml:space="preserve"> </w:t>
      </w:r>
      <w:r w:rsidR="000C6794" w:rsidRPr="00E95C5F">
        <w:t>25</w:t>
      </w:r>
      <w:r w:rsidR="000C6794">
        <w:t xml:space="preserve"> </w:t>
      </w:r>
      <w:r w:rsidR="000C6794" w:rsidRPr="00E95C5F">
        <w:t>mg film-coated tablets blister pack</w:t>
      </w:r>
    </w:p>
    <w:p w:rsidR="000C6794" w:rsidRDefault="00607784" w:rsidP="007D14A1">
      <w:pPr>
        <w:pStyle w:val="ListBullet3"/>
      </w:pPr>
      <w:r w:rsidRPr="00607784">
        <w:t>Briviact (brivaracetam)</w:t>
      </w:r>
      <w:r w:rsidR="006E2740">
        <w:t xml:space="preserve"> </w:t>
      </w:r>
      <w:r w:rsidR="000C6794" w:rsidRPr="006E00C4">
        <w:t>50</w:t>
      </w:r>
      <w:r w:rsidR="000C6794">
        <w:t xml:space="preserve"> </w:t>
      </w:r>
      <w:r w:rsidR="000C6794" w:rsidRPr="006E00C4">
        <w:t>mg film-coated tablets blister pack</w:t>
      </w:r>
    </w:p>
    <w:p w:rsidR="000C6794" w:rsidRDefault="00607784" w:rsidP="007D14A1">
      <w:pPr>
        <w:pStyle w:val="ListBullet3"/>
      </w:pPr>
      <w:r w:rsidRPr="00607784">
        <w:t xml:space="preserve">Briviact (brivaracetam) </w:t>
      </w:r>
      <w:r w:rsidR="000C6794" w:rsidRPr="00CB4062">
        <w:t>75</w:t>
      </w:r>
      <w:r w:rsidR="000C6794">
        <w:t xml:space="preserve"> </w:t>
      </w:r>
      <w:r w:rsidR="000C6794" w:rsidRPr="00CB4062">
        <w:t>mg film-coated tablets blister pack</w:t>
      </w:r>
    </w:p>
    <w:p w:rsidR="000C6794" w:rsidRDefault="00607784" w:rsidP="000C6794">
      <w:proofErr w:type="gramStart"/>
      <w:r>
        <w:t>for</w:t>
      </w:r>
      <w:proofErr w:type="gramEnd"/>
      <w:r>
        <w:t xml:space="preserve"> the following indication:</w:t>
      </w:r>
    </w:p>
    <w:p w:rsidR="00607784" w:rsidRPr="007D14A1" w:rsidRDefault="007D14A1" w:rsidP="007D14A1">
      <w:pPr>
        <w:ind w:left="720"/>
        <w:rPr>
          <w:i/>
        </w:rPr>
      </w:pPr>
      <w:r w:rsidRPr="007D14A1">
        <w:rPr>
          <w:i/>
        </w:rPr>
        <w:t>Briviact tablets and oral solution and Briviact solution for injection are indicated as add-on therapy in the treatment of partial-onset seizures with or without secondary generalisation in patients from 16 years of age with epilepsy.</w:t>
      </w:r>
    </w:p>
    <w:p w:rsidR="00D23139" w:rsidRPr="00D23139" w:rsidRDefault="00D23139" w:rsidP="00D23139">
      <w:pPr>
        <w:pStyle w:val="Heading4"/>
      </w:pPr>
      <w:r w:rsidRPr="00D23139">
        <w:t>Specific conditions of registration applying to these goods</w:t>
      </w:r>
    </w:p>
    <w:p w:rsidR="00D23139" w:rsidRPr="00D23139" w:rsidRDefault="007D14A1" w:rsidP="007D14A1">
      <w:pPr>
        <w:pStyle w:val="ListBullet"/>
      </w:pPr>
      <w:r w:rsidRPr="007D14A1">
        <w:t xml:space="preserve">The </w:t>
      </w:r>
      <w:r w:rsidR="0032366B" w:rsidRPr="00607784">
        <w:t xml:space="preserve">Briviact (brivaracetam) </w:t>
      </w:r>
      <w:r w:rsidR="0032366B">
        <w:t xml:space="preserve">RMP </w:t>
      </w:r>
      <w:r>
        <w:t>(version 6, dated 11 J</w:t>
      </w:r>
      <w:r w:rsidRPr="007D14A1">
        <w:t xml:space="preserve">anuary 2016, </w:t>
      </w:r>
      <w:r w:rsidR="000908C2">
        <w:t xml:space="preserve">DLP </w:t>
      </w:r>
      <w:r w:rsidR="00134739">
        <w:t>17 J</w:t>
      </w:r>
      <w:r w:rsidRPr="007D14A1">
        <w:t xml:space="preserve">anuary 2014) with </w:t>
      </w:r>
      <w:r w:rsidR="00877257">
        <w:t>ASA</w:t>
      </w:r>
      <w:r w:rsidRPr="007D14A1">
        <w:t xml:space="preserve"> (version 2, dated 11 May</w:t>
      </w:r>
      <w:r w:rsidR="00877257">
        <w:t xml:space="preserve"> 2016), included with </w:t>
      </w:r>
      <w:r w:rsidR="00217BC7">
        <w:t xml:space="preserve">the </w:t>
      </w:r>
      <w:r w:rsidR="00877257">
        <w:t>submission</w:t>
      </w:r>
      <w:r w:rsidRPr="007D14A1">
        <w:t>, and any subsequent revisions and fut</w:t>
      </w:r>
      <w:r w:rsidR="00217BC7">
        <w:t xml:space="preserve">ure updates, as agreed with </w:t>
      </w:r>
      <w:r w:rsidRPr="007D14A1">
        <w:t>TGA will be implemented in Australia.</w:t>
      </w:r>
    </w:p>
    <w:p w:rsidR="008E7846" w:rsidRDefault="00A80B5B" w:rsidP="00D23139">
      <w:pPr>
        <w:pStyle w:val="Heading2"/>
      </w:pPr>
      <w:bookmarkStart w:id="228" w:name="_Toc479595244"/>
      <w:proofErr w:type="gramStart"/>
      <w:r>
        <w:t>Attachment 1.</w:t>
      </w:r>
      <w:proofErr w:type="gramEnd"/>
      <w:r>
        <w:t xml:space="preserve"> </w:t>
      </w:r>
      <w:r w:rsidR="008E7846">
        <w:t xml:space="preserve">Product </w:t>
      </w:r>
      <w:r w:rsidR="00AA0ED0">
        <w:t>I</w:t>
      </w:r>
      <w:r w:rsidR="008E7846">
        <w:t>nformation</w:t>
      </w:r>
      <w:bookmarkEnd w:id="226"/>
      <w:bookmarkEnd w:id="227"/>
      <w:bookmarkEnd w:id="228"/>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BD2585">
        <w:t>Briviact</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36"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229" w:name="_Toc479595245"/>
      <w:proofErr w:type="gramStart"/>
      <w:r>
        <w:rPr>
          <w:lang w:eastAsia="en-AU"/>
        </w:rPr>
        <w:t>Attachment 2.</w:t>
      </w:r>
      <w:proofErr w:type="gramEnd"/>
      <w:r w:rsidR="00A80B5B">
        <w:rPr>
          <w:lang w:eastAsia="en-AU"/>
        </w:rPr>
        <w:t xml:space="preserve"> </w:t>
      </w:r>
      <w:r>
        <w:rPr>
          <w:lang w:eastAsia="en-AU"/>
        </w:rPr>
        <w:t>Extract from the Clinical Evaluation Report</w:t>
      </w:r>
      <w:bookmarkEnd w:id="229"/>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1" w:history="1">
              <w:r w:rsidRPr="004C239D">
                <w:rPr>
                  <w:rStyle w:val="Hyperlink"/>
                </w:rPr>
                <w:t>info@tga.gov.au</w:t>
              </w:r>
            </w:hyperlink>
            <w:r w:rsidRPr="00487162">
              <w:t xml:space="preserve">  Phone: 1800 020 653  Fax: 02 6232 8605</w:t>
            </w:r>
          </w:p>
          <w:p w:rsidR="001C32CD" w:rsidRPr="004C239D" w:rsidRDefault="00CC1120"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5B" w:rsidRDefault="00EB215B" w:rsidP="00C40A36">
      <w:pPr>
        <w:spacing w:after="0"/>
      </w:pPr>
      <w:r>
        <w:separator/>
      </w:r>
    </w:p>
  </w:endnote>
  <w:endnote w:type="continuationSeparator" w:id="0">
    <w:p w:rsidR="00EB215B" w:rsidRDefault="00EB215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0" w:usb1="08070000" w:usb2="00000010" w:usb3="00000000" w:csb0="0002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B215B" w:rsidRPr="00487162" w:rsidTr="00DB750B">
      <w:trPr>
        <w:trHeight w:val="269"/>
      </w:trPr>
      <w:tc>
        <w:tcPr>
          <w:tcW w:w="7371" w:type="dxa"/>
          <w:tcMar>
            <w:top w:w="142" w:type="dxa"/>
            <w:bottom w:w="0" w:type="dxa"/>
          </w:tcMar>
        </w:tcPr>
        <w:p w:rsidR="00EB215B" w:rsidRPr="00487162" w:rsidRDefault="00EB215B" w:rsidP="00122467">
          <w:pPr>
            <w:pStyle w:val="Footer"/>
          </w:pPr>
          <w:r w:rsidRPr="00487162">
            <w:t>AusPA</w:t>
          </w:r>
          <w:r>
            <w:t xml:space="preserve">R Briviact </w:t>
          </w:r>
          <w:r w:rsidRPr="002672EC">
            <w:t>UCB Australia Pty Ltd</w:t>
          </w:r>
          <w:r>
            <w:t xml:space="preserve"> </w:t>
          </w:r>
          <w:r w:rsidRPr="002672EC">
            <w:t>PM-2015-01568-1-1</w:t>
          </w:r>
          <w:r>
            <w:br/>
            <w:t>Final 7 March 2017</w:t>
          </w:r>
        </w:p>
      </w:tc>
      <w:tc>
        <w:tcPr>
          <w:tcW w:w="1490" w:type="dxa"/>
          <w:tcMar>
            <w:top w:w="142" w:type="dxa"/>
            <w:bottom w:w="0" w:type="dxa"/>
          </w:tcMar>
        </w:tcPr>
        <w:p w:rsidR="00EB215B" w:rsidRPr="00487162" w:rsidRDefault="00EB215B" w:rsidP="00DB750B">
          <w:pPr>
            <w:pStyle w:val="Footer"/>
            <w:jc w:val="right"/>
          </w:pPr>
          <w:r w:rsidRPr="00487162">
            <w:t xml:space="preserve">Page </w:t>
          </w:r>
          <w:r>
            <w:fldChar w:fldCharType="begin"/>
          </w:r>
          <w:r>
            <w:instrText xml:space="preserve"> PAGE  \* Arabic </w:instrText>
          </w:r>
          <w:r>
            <w:fldChar w:fldCharType="separate"/>
          </w:r>
          <w:r w:rsidR="001F5199">
            <w:rPr>
              <w:noProof/>
            </w:rPr>
            <w:t>3</w:t>
          </w:r>
          <w:r>
            <w:fldChar w:fldCharType="end"/>
          </w:r>
          <w:r w:rsidRPr="00487162">
            <w:t xml:space="preserve"> of </w:t>
          </w:r>
          <w:fldSimple w:instr=" NUMPAGES  \* Arabic ">
            <w:r w:rsidR="001F5199">
              <w:rPr>
                <w:noProof/>
              </w:rPr>
              <w:t>93</w:t>
            </w:r>
          </w:fldSimple>
        </w:p>
      </w:tc>
    </w:tr>
  </w:tbl>
  <w:p w:rsidR="00EB215B" w:rsidRDefault="00EB215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B215B" w:rsidRPr="00487162" w:rsidTr="00E45619">
      <w:trPr>
        <w:trHeight w:val="269"/>
      </w:trPr>
      <w:tc>
        <w:tcPr>
          <w:tcW w:w="4519" w:type="dxa"/>
          <w:tcBorders>
            <w:top w:val="single" w:sz="4" w:space="0" w:color="auto"/>
          </w:tcBorders>
          <w:tcMar>
            <w:top w:w="142" w:type="dxa"/>
            <w:bottom w:w="0" w:type="dxa"/>
          </w:tcMar>
        </w:tcPr>
        <w:p w:rsidR="00EB215B" w:rsidRPr="00487162" w:rsidRDefault="00EB215B" w:rsidP="00FE1DEE">
          <w:pPr>
            <w:pStyle w:val="Footer"/>
          </w:pPr>
          <w:r w:rsidRPr="00487162">
            <w:t>Document title, Part #, Section # - Section title</w:t>
          </w:r>
        </w:p>
        <w:p w:rsidR="00EB215B" w:rsidRPr="00487162" w:rsidRDefault="00EB215B" w:rsidP="00FE1DEE">
          <w:pPr>
            <w:pStyle w:val="Footer"/>
          </w:pPr>
          <w:r w:rsidRPr="00487162">
            <w:t>V1.0 October 2010</w:t>
          </w:r>
        </w:p>
      </w:tc>
      <w:tc>
        <w:tcPr>
          <w:tcW w:w="4342" w:type="dxa"/>
          <w:tcBorders>
            <w:top w:val="single" w:sz="4" w:space="0" w:color="auto"/>
          </w:tcBorders>
          <w:tcMar>
            <w:top w:w="142" w:type="dxa"/>
            <w:bottom w:w="0" w:type="dxa"/>
          </w:tcMar>
        </w:tcPr>
        <w:p w:rsidR="00EB215B" w:rsidRPr="00487162" w:rsidRDefault="00EB215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EB215B" w:rsidRDefault="00EB21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Pr="001C32CD" w:rsidRDefault="00EB215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B215B" w:rsidTr="0010601F">
      <w:trPr>
        <w:trHeight w:val="108"/>
      </w:trPr>
      <w:tc>
        <w:tcPr>
          <w:tcW w:w="8875" w:type="dxa"/>
          <w:gridSpan w:val="2"/>
          <w:tcBorders>
            <w:bottom w:val="single" w:sz="4" w:space="0" w:color="auto"/>
          </w:tcBorders>
          <w:tcMar>
            <w:right w:w="284" w:type="dxa"/>
          </w:tcMar>
        </w:tcPr>
        <w:p w:rsidR="00EB215B" w:rsidRDefault="00EB215B" w:rsidP="006E08B3">
          <w:pPr>
            <w:pStyle w:val="Heading3"/>
          </w:pPr>
          <w:r>
            <w:t>Copyright</w:t>
          </w:r>
        </w:p>
        <w:p w:rsidR="00EB215B" w:rsidRDefault="00EB215B" w:rsidP="006E08B3">
          <w:r>
            <w:rPr>
              <w:rFonts w:cs="Arial"/>
            </w:rPr>
            <w:t>©</w:t>
          </w:r>
          <w:r>
            <w:t xml:space="preserve"> Commonwealth of Australia [add year]</w:t>
          </w:r>
        </w:p>
        <w:p w:rsidR="00EB215B" w:rsidRDefault="00EB215B" w:rsidP="006E08B3"/>
        <w:p w:rsidR="00EB215B" w:rsidRDefault="00EB215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B215B" w:rsidRDefault="00EB215B" w:rsidP="006E08B3"/>
        <w:p w:rsidR="00EB215B" w:rsidRDefault="00EB215B" w:rsidP="006E08B3">
          <w:pPr>
            <w:pStyle w:val="Heading3"/>
          </w:pPr>
          <w:r>
            <w:t>Confidentiality</w:t>
          </w:r>
        </w:p>
        <w:p w:rsidR="00EB215B" w:rsidRDefault="00EB215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B215B" w:rsidRDefault="00EB215B" w:rsidP="006E08B3"/>
        <w:p w:rsidR="00EB215B" w:rsidRDefault="00EB215B" w:rsidP="006E08B3">
          <w:r>
            <w:t>For submission made by individuals, all personal details, other than your name, will be removed from your submission before it is published on the TGA’s Internet site.</w:t>
          </w:r>
        </w:p>
        <w:p w:rsidR="00EB215B" w:rsidRDefault="00EB215B" w:rsidP="006E08B3"/>
        <w:p w:rsidR="00EB215B" w:rsidRDefault="00EB215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B215B" w:rsidTr="0010601F">
      <w:trPr>
        <w:trHeight w:val="417"/>
      </w:trPr>
      <w:tc>
        <w:tcPr>
          <w:tcW w:w="4519" w:type="dxa"/>
          <w:tcBorders>
            <w:top w:val="single" w:sz="4" w:space="0" w:color="auto"/>
          </w:tcBorders>
          <w:tcMar>
            <w:top w:w="142" w:type="dxa"/>
            <w:bottom w:w="0" w:type="dxa"/>
          </w:tcMar>
        </w:tcPr>
        <w:p w:rsidR="00EB215B" w:rsidRDefault="00EB215B" w:rsidP="006E08B3">
          <w:r>
            <w:t>Document title, Part #, Section # - Section title</w:t>
          </w:r>
        </w:p>
        <w:p w:rsidR="00EB215B" w:rsidRDefault="00EB215B" w:rsidP="006E08B3">
          <w:r>
            <w:t>V1.0 October 2010</w:t>
          </w:r>
        </w:p>
      </w:tc>
      <w:tc>
        <w:tcPr>
          <w:tcW w:w="4356" w:type="dxa"/>
          <w:tcBorders>
            <w:top w:val="single" w:sz="4" w:space="0" w:color="auto"/>
          </w:tcBorders>
          <w:tcMar>
            <w:top w:w="142" w:type="dxa"/>
            <w:bottom w:w="0" w:type="dxa"/>
          </w:tcMar>
        </w:tcPr>
        <w:p w:rsidR="00EB215B" w:rsidRDefault="00EB215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EB215B" w:rsidRDefault="00EB21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5B" w:rsidRDefault="00EB215B" w:rsidP="00C40A36">
      <w:pPr>
        <w:spacing w:after="0"/>
      </w:pPr>
      <w:r>
        <w:separator/>
      </w:r>
    </w:p>
  </w:footnote>
  <w:footnote w:type="continuationSeparator" w:id="0">
    <w:p w:rsidR="00EB215B" w:rsidRDefault="00EB215B" w:rsidP="00C40A36">
      <w:pPr>
        <w:spacing w:after="0"/>
      </w:pPr>
      <w:r>
        <w:continuationSeparator/>
      </w:r>
    </w:p>
  </w:footnote>
  <w:footnote w:id="1">
    <w:p w:rsidR="00EB215B" w:rsidRPr="00270FE8" w:rsidRDefault="00EB215B">
      <w:pPr>
        <w:pStyle w:val="FootnoteText"/>
        <w:rPr>
          <w:lang w:val="en-US"/>
        </w:rPr>
      </w:pPr>
      <w:r>
        <w:rPr>
          <w:rStyle w:val="FootnoteReference"/>
        </w:rPr>
        <w:footnoteRef/>
      </w:r>
      <w:r>
        <w:t xml:space="preserve"> European Medicines Agency, “</w:t>
      </w:r>
      <w:r w:rsidRPr="004540DA">
        <w:t>Note for Guidance Specifications: Test Procedures and Acceptance Criteria for New Drug Substances and New Drug Products: Chemical Substances</w:t>
      </w:r>
      <w:r>
        <w:t xml:space="preserve"> (</w:t>
      </w:r>
      <w:r w:rsidRPr="004540DA">
        <w:t>CPMP/ICH/367/96</w:t>
      </w:r>
      <w:r>
        <w:t>)</w:t>
      </w:r>
      <w:r w:rsidRPr="004540DA">
        <w:t>”</w:t>
      </w:r>
      <w:r>
        <w:t xml:space="preserve">, </w:t>
      </w:r>
      <w:r w:rsidRPr="00461EA8">
        <w:t>May 2000</w:t>
      </w:r>
      <w:r>
        <w:t>.</w:t>
      </w:r>
    </w:p>
  </w:footnote>
  <w:footnote w:id="2">
    <w:p w:rsidR="00EB215B" w:rsidRPr="00585F22" w:rsidRDefault="00EB215B">
      <w:pPr>
        <w:pStyle w:val="FootnoteText"/>
        <w:rPr>
          <w:lang w:val="en-US"/>
        </w:rPr>
      </w:pPr>
      <w:r>
        <w:rPr>
          <w:rStyle w:val="FootnoteReference"/>
        </w:rPr>
        <w:footnoteRef/>
      </w:r>
      <w:r>
        <w:t xml:space="preserve"> </w:t>
      </w:r>
      <w:r w:rsidRPr="00585F22">
        <w:t>Generally using experimental designs biased towards demonstrating efficacy</w:t>
      </w:r>
      <w:r>
        <w:t>.</w:t>
      </w:r>
    </w:p>
  </w:footnote>
  <w:footnote w:id="3">
    <w:p w:rsidR="00EB215B" w:rsidRPr="006331B1" w:rsidRDefault="00EB215B">
      <w:pPr>
        <w:pStyle w:val="FootnoteText"/>
        <w:rPr>
          <w:lang w:val="en-US"/>
        </w:rPr>
      </w:pPr>
      <w:r>
        <w:rPr>
          <w:rStyle w:val="FootnoteReference"/>
        </w:rPr>
        <w:footnoteRef/>
      </w:r>
      <w:r>
        <w:t xml:space="preserve"> </w:t>
      </w:r>
      <w:proofErr w:type="spellStart"/>
      <w:proofErr w:type="gramStart"/>
      <w:r w:rsidRPr="006331B1">
        <w:t>Rafal</w:t>
      </w:r>
      <w:proofErr w:type="spellEnd"/>
      <w:r w:rsidRPr="006331B1">
        <w:t xml:space="preserve"> M. Kaminski, Michel Gillard, and Henrik </w:t>
      </w:r>
      <w:proofErr w:type="spellStart"/>
      <w:r w:rsidRPr="006331B1">
        <w:t>Klitgaard</w:t>
      </w:r>
      <w:proofErr w:type="spellEnd"/>
      <w:r w:rsidRPr="006331B1">
        <w:t xml:space="preserve"> (2012) Targeting SV2A for Discovery of Antiepileptic Drugs.</w:t>
      </w:r>
      <w:proofErr w:type="gramEnd"/>
      <w:r w:rsidRPr="006331B1">
        <w:t xml:space="preserve"> In: Jasper's Basic Mechanisms of the Epilepsies [Internet]. </w:t>
      </w:r>
      <w:proofErr w:type="gramStart"/>
      <w:r w:rsidRPr="006331B1">
        <w:t>4th edition</w:t>
      </w:r>
      <w:r>
        <w:t>.</w:t>
      </w:r>
      <w:proofErr w:type="gramEnd"/>
    </w:p>
  </w:footnote>
  <w:footnote w:id="4">
    <w:p w:rsidR="00EB215B" w:rsidRPr="00A456AB" w:rsidRDefault="00EB215B">
      <w:pPr>
        <w:pStyle w:val="FootnoteText"/>
        <w:rPr>
          <w:lang w:val="en-US"/>
        </w:rPr>
      </w:pPr>
      <w:r>
        <w:rPr>
          <w:rStyle w:val="FootnoteReference"/>
        </w:rPr>
        <w:footnoteRef/>
      </w:r>
      <w:r>
        <w:t xml:space="preserve"> </w:t>
      </w:r>
      <w:proofErr w:type="spellStart"/>
      <w:proofErr w:type="gramStart"/>
      <w:r w:rsidRPr="00A456AB">
        <w:t>Rafal</w:t>
      </w:r>
      <w:proofErr w:type="spellEnd"/>
      <w:r w:rsidRPr="00A456AB">
        <w:t xml:space="preserve"> M. Kaminski, Michel Gillard, and Henrik </w:t>
      </w:r>
      <w:proofErr w:type="spellStart"/>
      <w:r w:rsidRPr="00A456AB">
        <w:t>Klitgaard</w:t>
      </w:r>
      <w:proofErr w:type="spellEnd"/>
      <w:r w:rsidRPr="00A456AB">
        <w:t xml:space="preserve"> (2012) Targeting SV2A for Discovery of Antiepileptic Drugs.</w:t>
      </w:r>
      <w:proofErr w:type="gramEnd"/>
      <w:r w:rsidRPr="00A456AB">
        <w:t xml:space="preserve"> In: Jasper's Basic Mechanisms of the Epilepsies [Internet]. </w:t>
      </w:r>
      <w:proofErr w:type="gramStart"/>
      <w:r w:rsidRPr="00A456AB">
        <w:t>4th edition</w:t>
      </w:r>
      <w:r>
        <w:t>.</w:t>
      </w:r>
      <w:proofErr w:type="gramEnd"/>
    </w:p>
  </w:footnote>
  <w:footnote w:id="5">
    <w:p w:rsidR="00EB215B" w:rsidRPr="00AC5243" w:rsidRDefault="00EB215B">
      <w:pPr>
        <w:pStyle w:val="FootnoteText"/>
        <w:rPr>
          <w:lang w:val="en-US"/>
        </w:rPr>
      </w:pPr>
      <w:r>
        <w:rPr>
          <w:rStyle w:val="FootnoteReference"/>
        </w:rPr>
        <w:footnoteRef/>
      </w:r>
      <w:r>
        <w:t xml:space="preserve"> </w:t>
      </w:r>
      <w:proofErr w:type="spellStart"/>
      <w:r w:rsidRPr="00AC5243">
        <w:t>Kaempf</w:t>
      </w:r>
      <w:proofErr w:type="spellEnd"/>
      <w:r w:rsidRPr="00AC5243">
        <w:t xml:space="preserve"> N, </w:t>
      </w:r>
      <w:r>
        <w:t>et al</w:t>
      </w:r>
      <w:r w:rsidRPr="00AC5243">
        <w:t xml:space="preserve">. Overlapping functions of </w:t>
      </w:r>
      <w:proofErr w:type="spellStart"/>
      <w:r w:rsidRPr="00AC5243">
        <w:t>stonin</w:t>
      </w:r>
      <w:proofErr w:type="spellEnd"/>
      <w:r w:rsidRPr="00AC5243">
        <w:t xml:space="preserve"> 2 and SV2 in sorting of the calcium sensor </w:t>
      </w:r>
      <w:proofErr w:type="spellStart"/>
      <w:r w:rsidRPr="00AC5243">
        <w:t>synaptotagmin</w:t>
      </w:r>
      <w:proofErr w:type="spellEnd"/>
      <w:r w:rsidRPr="00AC5243">
        <w:t xml:space="preserve"> 1 t</w:t>
      </w:r>
      <w:r>
        <w:t xml:space="preserve">o synaptic vesicles. </w:t>
      </w:r>
      <w:proofErr w:type="gramStart"/>
      <w:r w:rsidRPr="0046074E">
        <w:rPr>
          <w:i/>
        </w:rPr>
        <w:t xml:space="preserve">PNAS </w:t>
      </w:r>
      <w:r>
        <w:t>112</w:t>
      </w:r>
      <w:r w:rsidRPr="00AC5243">
        <w:t>:</w:t>
      </w:r>
      <w:r>
        <w:t xml:space="preserve"> </w:t>
      </w:r>
      <w:r w:rsidRPr="00AC5243">
        <w:t>7297-302</w:t>
      </w:r>
      <w:r>
        <w:t xml:space="preserve"> (2015).</w:t>
      </w:r>
      <w:proofErr w:type="gramEnd"/>
    </w:p>
  </w:footnote>
  <w:footnote w:id="6">
    <w:p w:rsidR="00EB215B" w:rsidRPr="00890115" w:rsidRDefault="00EB215B">
      <w:pPr>
        <w:pStyle w:val="FootnoteText"/>
        <w:rPr>
          <w:lang w:val="en-US"/>
        </w:rPr>
      </w:pPr>
      <w:r>
        <w:rPr>
          <w:rStyle w:val="FootnoteReference"/>
        </w:rPr>
        <w:footnoteRef/>
      </w:r>
      <w:r>
        <w:t xml:space="preserve"> </w:t>
      </w:r>
      <w:r w:rsidRPr="00890115">
        <w:t>Nicolas J-M, et al. N-</w:t>
      </w:r>
      <w:proofErr w:type="spellStart"/>
      <w:r w:rsidRPr="00890115">
        <w:t>Alkylprotoporphyrin</w:t>
      </w:r>
      <w:proofErr w:type="spellEnd"/>
      <w:r w:rsidRPr="00890115">
        <w:t xml:space="preserve"> formation and hepatic porphyria in dogs after administration of a new antiepileptic drug candidate: mechanism and species specif</w:t>
      </w:r>
      <w:r>
        <w:t xml:space="preserve">icity. </w:t>
      </w:r>
      <w:proofErr w:type="spellStart"/>
      <w:r w:rsidRPr="00FF6EF9">
        <w:rPr>
          <w:i/>
        </w:rPr>
        <w:t>Toxicol</w:t>
      </w:r>
      <w:proofErr w:type="spellEnd"/>
      <w:r w:rsidRPr="00FF6EF9">
        <w:rPr>
          <w:i/>
        </w:rPr>
        <w:t xml:space="preserve"> Sci.</w:t>
      </w:r>
      <w:r>
        <w:t xml:space="preserve"> 141: 353-</w:t>
      </w:r>
      <w:r w:rsidRPr="00890115">
        <w:t>364</w:t>
      </w:r>
      <w:r>
        <w:t xml:space="preserve"> (2014).</w:t>
      </w:r>
    </w:p>
  </w:footnote>
  <w:footnote w:id="7">
    <w:p w:rsidR="00EB215B" w:rsidRPr="00081579" w:rsidRDefault="00EB215B">
      <w:pPr>
        <w:pStyle w:val="FootnoteText"/>
        <w:rPr>
          <w:lang w:val="en-US"/>
        </w:rPr>
      </w:pPr>
      <w:r>
        <w:rPr>
          <w:rStyle w:val="FootnoteReference"/>
        </w:rPr>
        <w:footnoteRef/>
      </w:r>
      <w:r>
        <w:t xml:space="preserve"> </w:t>
      </w:r>
      <w:r w:rsidRPr="00081579">
        <w:t xml:space="preserve">Olson MJ, </w:t>
      </w:r>
      <w:r>
        <w:t>et al</w:t>
      </w:r>
      <w:r w:rsidRPr="00081579">
        <w:t xml:space="preserve">. A comparison of male rat and human urinary proteins: implications for human resistance to hyaline droplet nephropathy. </w:t>
      </w:r>
      <w:proofErr w:type="spellStart"/>
      <w:r w:rsidRPr="0032345E">
        <w:rPr>
          <w:i/>
        </w:rPr>
        <w:t>Toxicol</w:t>
      </w:r>
      <w:proofErr w:type="spellEnd"/>
      <w:r w:rsidRPr="0032345E">
        <w:rPr>
          <w:i/>
        </w:rPr>
        <w:t xml:space="preserve"> </w:t>
      </w:r>
      <w:proofErr w:type="spellStart"/>
      <w:r w:rsidRPr="0032345E">
        <w:rPr>
          <w:i/>
        </w:rPr>
        <w:t>Appl</w:t>
      </w:r>
      <w:proofErr w:type="spellEnd"/>
      <w:r w:rsidRPr="0032345E">
        <w:rPr>
          <w:i/>
        </w:rPr>
        <w:t xml:space="preserve"> </w:t>
      </w:r>
      <w:proofErr w:type="spellStart"/>
      <w:r w:rsidRPr="0032345E">
        <w:rPr>
          <w:i/>
        </w:rPr>
        <w:t>Pharmacol</w:t>
      </w:r>
      <w:proofErr w:type="spellEnd"/>
      <w:r w:rsidRPr="0032345E">
        <w:rPr>
          <w:i/>
        </w:rPr>
        <w:t>.</w:t>
      </w:r>
      <w:r>
        <w:t xml:space="preserve"> </w:t>
      </w:r>
      <w:proofErr w:type="gramStart"/>
      <w:r>
        <w:t>102: 524-36 (1990).</w:t>
      </w:r>
      <w:proofErr w:type="gramEnd"/>
    </w:p>
  </w:footnote>
  <w:footnote w:id="8">
    <w:p w:rsidR="00EB215B" w:rsidRPr="00033777" w:rsidRDefault="00EB215B">
      <w:pPr>
        <w:pStyle w:val="FootnoteText"/>
        <w:rPr>
          <w:lang w:val="en-US"/>
        </w:rPr>
      </w:pPr>
      <w:r>
        <w:rPr>
          <w:rStyle w:val="FootnoteReference"/>
        </w:rPr>
        <w:footnoteRef/>
      </w:r>
      <w:r>
        <w:t xml:space="preserve"> </w:t>
      </w:r>
      <w:r w:rsidRPr="00604075">
        <w:t>International Conference on Harmonisation of Technical Requirements for Registration of Pharmaceuticals for Human Use (ICH)</w:t>
      </w:r>
      <w:r>
        <w:t>, “</w:t>
      </w:r>
      <w:r w:rsidRPr="003D3A43">
        <w:t xml:space="preserve">ICH </w:t>
      </w:r>
      <w:r>
        <w:t>Harmonised Tripartite Guideline: Guidance on Genotoxicity Testing and Data Interpretation for Pharmaceuticals Intended for Human Use (</w:t>
      </w:r>
      <w:proofErr w:type="gramStart"/>
      <w:r>
        <w:t>S2[</w:t>
      </w:r>
      <w:proofErr w:type="gramEnd"/>
      <w:r w:rsidRPr="00C96B2A">
        <w:t>R1</w:t>
      </w:r>
      <w:r>
        <w:t>]</w:t>
      </w:r>
      <w:r w:rsidRPr="00C96B2A">
        <w:t>)</w:t>
      </w:r>
      <w:r>
        <w:t>”, 9 November 2011.</w:t>
      </w:r>
    </w:p>
  </w:footnote>
  <w:footnote w:id="9">
    <w:p w:rsidR="00EB215B" w:rsidRPr="00FD25AF" w:rsidRDefault="00EB215B">
      <w:pPr>
        <w:pStyle w:val="FootnoteText"/>
        <w:rPr>
          <w:lang w:val="en-US"/>
        </w:rPr>
      </w:pPr>
      <w:r>
        <w:rPr>
          <w:rStyle w:val="FootnoteReference"/>
        </w:rPr>
        <w:footnoteRef/>
      </w:r>
      <w:r>
        <w:t xml:space="preserve"> </w:t>
      </w:r>
      <w:r w:rsidRPr="00604075">
        <w:t>International Conference on Harmonisation of Technical Requirements for Registration of Pharmaceuticals for Human Use (ICH)</w:t>
      </w:r>
      <w:r>
        <w:t>, “</w:t>
      </w:r>
      <w:r w:rsidRPr="003D3A43">
        <w:t xml:space="preserve">ICH </w:t>
      </w:r>
      <w:r>
        <w:t>Harmonised Tripartite Guideline: Detection of Toxicity to Reproduction for Medicinal Products &amp; Toxicity to Male Fertility (</w:t>
      </w:r>
      <w:proofErr w:type="gramStart"/>
      <w:r>
        <w:t>S5[</w:t>
      </w:r>
      <w:proofErr w:type="gramEnd"/>
      <w:r>
        <w:t>R2]</w:t>
      </w:r>
      <w:r w:rsidRPr="00C96B2A">
        <w:t>)</w:t>
      </w:r>
      <w:r>
        <w:t>”, 9 November 2011.</w:t>
      </w:r>
    </w:p>
  </w:footnote>
  <w:footnote w:id="10">
    <w:p w:rsidR="00EB215B" w:rsidRPr="00BF11C3" w:rsidRDefault="00EB215B">
      <w:pPr>
        <w:pStyle w:val="FootnoteText"/>
        <w:rPr>
          <w:lang w:val="en-US"/>
        </w:rPr>
      </w:pPr>
      <w:r>
        <w:rPr>
          <w:rStyle w:val="FootnoteReference"/>
        </w:rPr>
        <w:footnoteRef/>
      </w:r>
      <w:r>
        <w:t xml:space="preserve"> Pregnancy Category B3: “</w:t>
      </w:r>
      <w:r w:rsidRPr="0055281A">
        <w:t xml:space="preserve">Drugs which have been taken by only a limited number of pregnant women and women of childbearing age, without an increase in the frequency of malformation or other direct or indirect harmful effects on the human </w:t>
      </w:r>
      <w:proofErr w:type="spellStart"/>
      <w:r w:rsidRPr="0055281A">
        <w:t>fetus</w:t>
      </w:r>
      <w:proofErr w:type="spellEnd"/>
      <w:r w:rsidRPr="0055281A">
        <w:t xml:space="preserve"> having been observed. Studies in animals have shown evidence of an increased occurrence of </w:t>
      </w:r>
      <w:proofErr w:type="spellStart"/>
      <w:r w:rsidRPr="0055281A">
        <w:t>fetal</w:t>
      </w:r>
      <w:proofErr w:type="spellEnd"/>
      <w:r w:rsidRPr="0055281A">
        <w:t xml:space="preserve"> damage, the significance of which is considered uncertain in humans.</w:t>
      </w:r>
      <w:r>
        <w:t>”</w:t>
      </w:r>
    </w:p>
  </w:footnote>
  <w:footnote w:id="11">
    <w:p w:rsidR="00EB215B" w:rsidRPr="00256428" w:rsidRDefault="00EB215B">
      <w:pPr>
        <w:pStyle w:val="FootnoteText"/>
        <w:rPr>
          <w:lang w:val="en-US"/>
        </w:rPr>
      </w:pPr>
      <w:r>
        <w:rPr>
          <w:rStyle w:val="FootnoteReference"/>
        </w:rPr>
        <w:footnoteRef/>
      </w:r>
      <w:r>
        <w:t xml:space="preserve"> </w:t>
      </w:r>
      <w:proofErr w:type="spellStart"/>
      <w:r w:rsidRPr="00A752DA">
        <w:t>Kenda</w:t>
      </w:r>
      <w:proofErr w:type="spellEnd"/>
      <w:r w:rsidRPr="00A752DA">
        <w:t xml:space="preserve"> BM, et al. Discovery of 4-substituted </w:t>
      </w:r>
      <w:proofErr w:type="spellStart"/>
      <w:r w:rsidRPr="00A752DA">
        <w:t>pyrrolidone</w:t>
      </w:r>
      <w:proofErr w:type="spellEnd"/>
      <w:r w:rsidRPr="00A752DA">
        <w:t xml:space="preserve"> </w:t>
      </w:r>
      <w:proofErr w:type="spellStart"/>
      <w:r w:rsidRPr="00A752DA">
        <w:t>butanamides</w:t>
      </w:r>
      <w:proofErr w:type="spellEnd"/>
      <w:r w:rsidRPr="00A752DA">
        <w:t xml:space="preserve"> as new agents with significant antiepileptic activity. </w:t>
      </w:r>
      <w:r w:rsidRPr="00795055">
        <w:rPr>
          <w:i/>
        </w:rPr>
        <w:t xml:space="preserve">Journal of Medicinal Chemistry </w:t>
      </w:r>
      <w:r>
        <w:t xml:space="preserve">47: 530-549 (2000); </w:t>
      </w:r>
      <w:r w:rsidRPr="00795055">
        <w:t>Lynch BA, et al. The synaptic vesicle protein SV2A is the binding site for the antie</w:t>
      </w:r>
      <w:r>
        <w:t xml:space="preserve">pileptic drug </w:t>
      </w:r>
      <w:proofErr w:type="spellStart"/>
      <w:r>
        <w:t>levetiracetam</w:t>
      </w:r>
      <w:proofErr w:type="spellEnd"/>
      <w:r>
        <w:t xml:space="preserve">. </w:t>
      </w:r>
      <w:r w:rsidRPr="0067348D">
        <w:rPr>
          <w:i/>
        </w:rPr>
        <w:t xml:space="preserve">PNAS </w:t>
      </w:r>
      <w:r>
        <w:t>101: 9861-9866 (2004).</w:t>
      </w:r>
    </w:p>
  </w:footnote>
  <w:footnote w:id="12">
    <w:p w:rsidR="00EB215B" w:rsidRPr="00256428" w:rsidRDefault="00EB215B">
      <w:pPr>
        <w:pStyle w:val="FootnoteText"/>
        <w:rPr>
          <w:lang w:val="en-US"/>
        </w:rPr>
      </w:pPr>
      <w:r>
        <w:rPr>
          <w:rStyle w:val="FootnoteReference"/>
        </w:rPr>
        <w:footnoteRef/>
      </w:r>
      <w:r>
        <w:t xml:space="preserve"> </w:t>
      </w:r>
      <w:proofErr w:type="spellStart"/>
      <w:r w:rsidRPr="0067348D">
        <w:t>Pisani</w:t>
      </w:r>
      <w:proofErr w:type="spellEnd"/>
      <w:r w:rsidRPr="0067348D">
        <w:t xml:space="preserve"> A, et al. Intracellular calcium increase in </w:t>
      </w:r>
      <w:proofErr w:type="spellStart"/>
      <w:r w:rsidRPr="0067348D">
        <w:t>epileptiform</w:t>
      </w:r>
      <w:proofErr w:type="spellEnd"/>
      <w:r w:rsidRPr="0067348D">
        <w:t xml:space="preserve"> activity: modulation by </w:t>
      </w:r>
      <w:proofErr w:type="spellStart"/>
      <w:r w:rsidRPr="0067348D">
        <w:t>levetiracetam</w:t>
      </w:r>
      <w:proofErr w:type="spellEnd"/>
      <w:r w:rsidRPr="0067348D">
        <w:t xml:space="preserve"> and lamotri</w:t>
      </w:r>
      <w:r>
        <w:t xml:space="preserve">gine. </w:t>
      </w:r>
      <w:proofErr w:type="spellStart"/>
      <w:r w:rsidRPr="00AB1224">
        <w:rPr>
          <w:i/>
        </w:rPr>
        <w:t>Epilepsia</w:t>
      </w:r>
      <w:proofErr w:type="spellEnd"/>
      <w:r>
        <w:t xml:space="preserve"> 45: 719-728 (2004).</w:t>
      </w:r>
    </w:p>
  </w:footnote>
  <w:footnote w:id="13">
    <w:p w:rsidR="00EB215B" w:rsidRPr="00256428" w:rsidRDefault="00EB215B">
      <w:pPr>
        <w:pStyle w:val="FootnoteText"/>
        <w:rPr>
          <w:lang w:val="en-US"/>
        </w:rPr>
      </w:pPr>
      <w:r>
        <w:rPr>
          <w:rStyle w:val="FootnoteReference"/>
        </w:rPr>
        <w:footnoteRef/>
      </w:r>
      <w:r>
        <w:t xml:space="preserve"> </w:t>
      </w:r>
      <w:r w:rsidRPr="00AB1224">
        <w:t xml:space="preserve">Gillard M, </w:t>
      </w:r>
      <w:r>
        <w:t>et al</w:t>
      </w:r>
      <w:r w:rsidRPr="00AB1224">
        <w:t>. Binding characteristics of brivaracetam, a selective, high affinity SV2A ligand in rat, mouse and human brain: relationship to anti-</w:t>
      </w:r>
      <w:proofErr w:type="spellStart"/>
      <w:r w:rsidRPr="00AB1224">
        <w:t>convulsant</w:t>
      </w:r>
      <w:proofErr w:type="spellEnd"/>
      <w:r w:rsidRPr="00AB1224">
        <w:t xml:space="preserve"> properties. </w:t>
      </w:r>
      <w:r w:rsidRPr="003E480F">
        <w:rPr>
          <w:i/>
        </w:rPr>
        <w:t>European Journal of Pharmacology</w:t>
      </w:r>
      <w:r>
        <w:t xml:space="preserve"> 664: 36-44 (2011).</w:t>
      </w:r>
    </w:p>
  </w:footnote>
  <w:footnote w:id="14">
    <w:p w:rsidR="00EB215B" w:rsidRPr="00256428" w:rsidRDefault="00EB215B">
      <w:pPr>
        <w:pStyle w:val="FootnoteText"/>
        <w:rPr>
          <w:lang w:val="en-US"/>
        </w:rPr>
      </w:pPr>
      <w:r>
        <w:rPr>
          <w:rStyle w:val="FootnoteReference"/>
        </w:rPr>
        <w:footnoteRef/>
      </w:r>
      <w:r>
        <w:t xml:space="preserve"> </w:t>
      </w:r>
      <w:proofErr w:type="spellStart"/>
      <w:r w:rsidRPr="003E480F">
        <w:t>Matagne</w:t>
      </w:r>
      <w:proofErr w:type="spellEnd"/>
      <w:r w:rsidRPr="003E480F">
        <w:t xml:space="preserve"> A, </w:t>
      </w:r>
      <w:r>
        <w:t>et al</w:t>
      </w:r>
      <w:r w:rsidRPr="003E480F">
        <w:t xml:space="preserve">. Anti-convulsive and anti-epileptic properties of </w:t>
      </w:r>
      <w:proofErr w:type="spellStart"/>
      <w:r w:rsidRPr="003E480F">
        <w:t>brivaracetam</w:t>
      </w:r>
      <w:proofErr w:type="spellEnd"/>
      <w:r w:rsidRPr="003E480F">
        <w:t xml:space="preserve"> (</w:t>
      </w:r>
      <w:proofErr w:type="spellStart"/>
      <w:r w:rsidRPr="003E480F">
        <w:t>ucb</w:t>
      </w:r>
      <w:proofErr w:type="spellEnd"/>
      <w:r w:rsidRPr="003E480F">
        <w:t xml:space="preserve"> 34714), a high-affinity ligand for the synaptic </w:t>
      </w:r>
      <w:r>
        <w:t xml:space="preserve">vesicle protein, SV2A. </w:t>
      </w:r>
      <w:r w:rsidRPr="00A344A0">
        <w:rPr>
          <w:i/>
        </w:rPr>
        <w:t>British Journal of Pharmacology</w:t>
      </w:r>
      <w:r>
        <w:t xml:space="preserve"> 154: 1662-1671 (2008).</w:t>
      </w:r>
    </w:p>
  </w:footnote>
  <w:footnote w:id="15">
    <w:p w:rsidR="00EB215B" w:rsidRPr="00256428" w:rsidRDefault="00EB215B">
      <w:pPr>
        <w:pStyle w:val="FootnoteText"/>
        <w:rPr>
          <w:lang w:val="en-US"/>
        </w:rPr>
      </w:pPr>
      <w:r>
        <w:rPr>
          <w:rStyle w:val="FootnoteReference"/>
        </w:rPr>
        <w:footnoteRef/>
      </w:r>
      <w:r>
        <w:t xml:space="preserve"> </w:t>
      </w:r>
      <w:proofErr w:type="spellStart"/>
      <w:r w:rsidRPr="00A344A0">
        <w:t>Klitgaard</w:t>
      </w:r>
      <w:proofErr w:type="spellEnd"/>
      <w:r w:rsidRPr="00A344A0">
        <w:t xml:space="preserve"> H, </w:t>
      </w:r>
      <w:r>
        <w:t>et al</w:t>
      </w:r>
      <w:r w:rsidRPr="00A344A0">
        <w:t xml:space="preserve">. Evidence for a unique profile of </w:t>
      </w:r>
      <w:proofErr w:type="spellStart"/>
      <w:r w:rsidRPr="00A344A0">
        <w:t>levetiracetam</w:t>
      </w:r>
      <w:proofErr w:type="spellEnd"/>
      <w:r w:rsidRPr="00A344A0">
        <w:t xml:space="preserve"> in rodent models of seizures and</w:t>
      </w:r>
      <w:r>
        <w:t xml:space="preserve"> epilepsy. </w:t>
      </w:r>
      <w:r w:rsidRPr="00614E87">
        <w:rPr>
          <w:i/>
        </w:rPr>
        <w:t>European Journal of Pharmacology</w:t>
      </w:r>
      <w:r>
        <w:t xml:space="preserve"> 353: 191-206 (1998).</w:t>
      </w:r>
    </w:p>
  </w:footnote>
  <w:footnote w:id="16">
    <w:p w:rsidR="00EB215B" w:rsidRPr="00256428" w:rsidRDefault="00EB215B">
      <w:pPr>
        <w:pStyle w:val="FootnoteText"/>
        <w:rPr>
          <w:lang w:val="en-US"/>
        </w:rPr>
      </w:pPr>
      <w:r>
        <w:rPr>
          <w:rStyle w:val="FootnoteReference"/>
        </w:rPr>
        <w:footnoteRef/>
      </w:r>
      <w:r>
        <w:t xml:space="preserve"> </w:t>
      </w:r>
      <w:r w:rsidRPr="00614E87">
        <w:t xml:space="preserve">Zona C, </w:t>
      </w:r>
      <w:r>
        <w:t>et al</w:t>
      </w:r>
      <w:r w:rsidRPr="00614E87">
        <w:t xml:space="preserve">. </w:t>
      </w:r>
      <w:proofErr w:type="spellStart"/>
      <w:r w:rsidRPr="00614E87">
        <w:t>Brivaracetam</w:t>
      </w:r>
      <w:proofErr w:type="spellEnd"/>
      <w:r w:rsidRPr="00614E87">
        <w:t xml:space="preserve"> (</w:t>
      </w:r>
      <w:proofErr w:type="spellStart"/>
      <w:r w:rsidRPr="00614E87">
        <w:t>ucb</w:t>
      </w:r>
      <w:proofErr w:type="spellEnd"/>
      <w:r w:rsidRPr="00614E87">
        <w:t xml:space="preserve"> 34714) inhibits </w:t>
      </w:r>
      <w:proofErr w:type="gramStart"/>
      <w:r w:rsidRPr="00614E87">
        <w:t>Na(</w:t>
      </w:r>
      <w:proofErr w:type="gramEnd"/>
      <w:r w:rsidRPr="00614E87">
        <w:t xml:space="preserve">+) current in rat cortical neurons in culture. </w:t>
      </w:r>
      <w:r w:rsidRPr="00862E68">
        <w:rPr>
          <w:i/>
        </w:rPr>
        <w:t xml:space="preserve">Epilepsy Research </w:t>
      </w:r>
      <w:r>
        <w:t>88: 46-54 (2010).</w:t>
      </w:r>
    </w:p>
  </w:footnote>
  <w:footnote w:id="17">
    <w:p w:rsidR="00EB215B" w:rsidRPr="00256428" w:rsidRDefault="00EB215B">
      <w:pPr>
        <w:pStyle w:val="FootnoteText"/>
        <w:rPr>
          <w:lang w:val="en-US"/>
        </w:rPr>
      </w:pPr>
      <w:r>
        <w:rPr>
          <w:rStyle w:val="FootnoteReference"/>
        </w:rPr>
        <w:footnoteRef/>
      </w:r>
      <w:r>
        <w:t xml:space="preserve"> </w:t>
      </w:r>
      <w:proofErr w:type="spellStart"/>
      <w:r w:rsidRPr="003E480F">
        <w:t>Matagne</w:t>
      </w:r>
      <w:proofErr w:type="spellEnd"/>
      <w:r w:rsidRPr="003E480F">
        <w:t xml:space="preserve"> A, </w:t>
      </w:r>
      <w:r>
        <w:t>et al</w:t>
      </w:r>
      <w:r w:rsidRPr="003E480F">
        <w:t xml:space="preserve">. Anti-convulsive and anti-epileptic properties of </w:t>
      </w:r>
      <w:proofErr w:type="spellStart"/>
      <w:r w:rsidRPr="003E480F">
        <w:t>brivaracetam</w:t>
      </w:r>
      <w:proofErr w:type="spellEnd"/>
      <w:r w:rsidRPr="003E480F">
        <w:t xml:space="preserve"> (</w:t>
      </w:r>
      <w:proofErr w:type="spellStart"/>
      <w:r w:rsidRPr="003E480F">
        <w:t>ucb</w:t>
      </w:r>
      <w:proofErr w:type="spellEnd"/>
      <w:r w:rsidRPr="003E480F">
        <w:t xml:space="preserve"> 34714), a high-affinity ligand for the synaptic </w:t>
      </w:r>
      <w:r>
        <w:t xml:space="preserve">vesicle protein, SV2A. </w:t>
      </w:r>
      <w:r w:rsidRPr="00A344A0">
        <w:rPr>
          <w:i/>
        </w:rPr>
        <w:t>British Journal of Pharmacology</w:t>
      </w:r>
      <w:r>
        <w:t xml:space="preserve"> 154: 1662-1671 (2008).</w:t>
      </w:r>
    </w:p>
  </w:footnote>
  <w:footnote w:id="18">
    <w:p w:rsidR="00EB215B" w:rsidRPr="00AC16DC" w:rsidRDefault="00EB215B">
      <w:pPr>
        <w:pStyle w:val="FootnoteText"/>
        <w:rPr>
          <w:lang w:val="en-US"/>
        </w:rPr>
      </w:pPr>
      <w:r>
        <w:rPr>
          <w:rStyle w:val="FootnoteReference"/>
        </w:rPr>
        <w:footnoteRef/>
      </w:r>
      <w:r>
        <w:t xml:space="preserve"> </w:t>
      </w:r>
      <w:proofErr w:type="gramStart"/>
      <w:r>
        <w:t>European Medicines Agency, “</w:t>
      </w:r>
      <w:r w:rsidRPr="00B034ED">
        <w:t>Guideline on clinical investigation of medicinal products in the treatment of epileptic disorders</w:t>
      </w:r>
      <w:r>
        <w:t xml:space="preserve"> (</w:t>
      </w:r>
      <w:r w:rsidRPr="002957CE">
        <w:t>CHMP/EWP/566/98 Rev.2/</w:t>
      </w:r>
      <w:proofErr w:type="spellStart"/>
      <w:r w:rsidRPr="002957CE">
        <w:t>Corr</w:t>
      </w:r>
      <w:proofErr w:type="spellEnd"/>
      <w:r>
        <w:t xml:space="preserve">)”, </w:t>
      </w:r>
      <w:r w:rsidRPr="002957CE">
        <w:t>22 July 2010</w:t>
      </w:r>
      <w:r>
        <w:t>.</w:t>
      </w:r>
      <w:proofErr w:type="gramEnd"/>
    </w:p>
  </w:footnote>
  <w:footnote w:id="19">
    <w:p w:rsidR="00EB215B" w:rsidRPr="003138E4" w:rsidRDefault="00EB215B">
      <w:pPr>
        <w:pStyle w:val="FootnoteText"/>
        <w:rPr>
          <w:lang w:val="en-US"/>
        </w:rPr>
      </w:pPr>
      <w:r>
        <w:rPr>
          <w:rStyle w:val="FootnoteReference"/>
        </w:rPr>
        <w:footnoteRef/>
      </w:r>
      <w:r>
        <w:t xml:space="preserve"> </w:t>
      </w:r>
      <w:r>
        <w:rPr>
          <w:lang w:val="en-US"/>
        </w:rPr>
        <w:t>US Food and Drug Administration, “</w:t>
      </w:r>
      <w:r w:rsidRPr="00933B4C">
        <w:rPr>
          <w:lang w:val="en-US"/>
        </w:rPr>
        <w:t>Guidance for Industry Suicidal Ideation and Behavior: Prospective Assessment of Occurrence in Clinical Trials</w:t>
      </w:r>
      <w:r>
        <w:rPr>
          <w:lang w:val="en-US"/>
        </w:rPr>
        <w:t>”, August 2012.</w:t>
      </w:r>
    </w:p>
  </w:footnote>
  <w:footnote w:id="20">
    <w:p w:rsidR="00EB215B" w:rsidRPr="00BD555C" w:rsidRDefault="00EB215B">
      <w:pPr>
        <w:pStyle w:val="FootnoteText"/>
        <w:rPr>
          <w:lang w:val="en-US"/>
        </w:rPr>
      </w:pPr>
      <w:r>
        <w:rPr>
          <w:rStyle w:val="FootnoteReference"/>
        </w:rPr>
        <w:footnoteRef/>
      </w:r>
      <w:r>
        <w:t xml:space="preserve"> </w:t>
      </w:r>
      <w:proofErr w:type="spellStart"/>
      <w:r>
        <w:t>Marinovic</w:t>
      </w:r>
      <w:proofErr w:type="spellEnd"/>
      <w:r>
        <w:t xml:space="preserve"> W, </w:t>
      </w:r>
      <w:proofErr w:type="spellStart"/>
      <w:r>
        <w:t>Tresilian</w:t>
      </w:r>
      <w:proofErr w:type="spellEnd"/>
      <w:r>
        <w:t xml:space="preserve"> JR. </w:t>
      </w:r>
      <w:r w:rsidRPr="00BD555C">
        <w:t>Triggering prepared actions by sudden sounds: reassessing the evidence for a single mechanism.</w:t>
      </w:r>
      <w:r w:rsidRPr="00FC6D70">
        <w:t xml:space="preserve"> </w:t>
      </w:r>
      <w:proofErr w:type="spellStart"/>
      <w:proofErr w:type="gramStart"/>
      <w:r w:rsidRPr="00203AAE">
        <w:rPr>
          <w:i/>
        </w:rPr>
        <w:t>Acta</w:t>
      </w:r>
      <w:proofErr w:type="spellEnd"/>
      <w:r w:rsidRPr="00203AAE">
        <w:rPr>
          <w:i/>
        </w:rPr>
        <w:t xml:space="preserve"> </w:t>
      </w:r>
      <w:proofErr w:type="spellStart"/>
      <w:r w:rsidRPr="00203AAE">
        <w:rPr>
          <w:i/>
        </w:rPr>
        <w:t>Physiol</w:t>
      </w:r>
      <w:proofErr w:type="spellEnd"/>
      <w:r w:rsidRPr="00203AAE">
        <w:rPr>
          <w:i/>
        </w:rPr>
        <w:t xml:space="preserve"> (</w:t>
      </w:r>
      <w:proofErr w:type="spellStart"/>
      <w:r w:rsidRPr="00203AAE">
        <w:rPr>
          <w:i/>
        </w:rPr>
        <w:t>Oxf</w:t>
      </w:r>
      <w:proofErr w:type="spellEnd"/>
      <w:r w:rsidRPr="00203AAE">
        <w:rPr>
          <w:i/>
        </w:rPr>
        <w:t>).</w:t>
      </w:r>
      <w:proofErr w:type="gramEnd"/>
      <w:r w:rsidRPr="00203AAE">
        <w:rPr>
          <w:i/>
        </w:rPr>
        <w:t xml:space="preserve"> </w:t>
      </w:r>
      <w:r>
        <w:t>217: 13-32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pPr>
      <w:rPr>
        <w:noProof/>
        <w:lang w:eastAsia="en-AU"/>
      </w:rPr>
    </w:pPr>
    <w:r w:rsidRPr="00347824">
      <w:rPr>
        <w:noProof/>
        <w:lang w:eastAsia="en-AU"/>
      </w:rPr>
      <w:drawing>
        <wp:anchor distT="0" distB="0" distL="114300" distR="114300" simplePos="0" relativeHeight="251659264" behindDoc="1" locked="0" layoutInCell="1" allowOverlap="1" wp14:anchorId="471D628A" wp14:editId="4D5A29EA">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B215B" w:rsidRDefault="00EB215B" w:rsidP="00593AD1">
    <w:pPr>
      <w:pStyle w:val="HeaderNoLine"/>
    </w:pPr>
    <w:r>
      <w:rPr>
        <w:noProof/>
        <w:lang w:eastAsia="en-AU"/>
      </w:rPr>
      <w:drawing>
        <wp:inline distT="0" distB="0" distL="0" distR="0" wp14:anchorId="1706D16C" wp14:editId="7B9CE6C9">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5B" w:rsidRDefault="00EB215B" w:rsidP="006E08B3">
    <w:r>
      <w:t>Therapeutic Goods Administration</w:t>
    </w:r>
  </w:p>
  <w:p w:rsidR="00EB215B" w:rsidRDefault="00EB215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8.75pt;height:8.75pt" o:bullet="t">
        <v:imagedata r:id="rId1" o:title="BD14830_"/>
      </v:shape>
    </w:pict>
  </w:numPicBullet>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C81427"/>
    <w:multiLevelType w:val="hybridMultilevel"/>
    <w:tmpl w:val="87AE7D16"/>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0AD12825"/>
    <w:multiLevelType w:val="hybridMultilevel"/>
    <w:tmpl w:val="8A3EE64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83018D0"/>
    <w:multiLevelType w:val="multilevel"/>
    <w:tmpl w:val="32229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1904745E"/>
    <w:multiLevelType w:val="hybridMultilevel"/>
    <w:tmpl w:val="447A6826"/>
    <w:lvl w:ilvl="0" w:tplc="9FF612C2">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101849"/>
    <w:multiLevelType w:val="hybridMultilevel"/>
    <w:tmpl w:val="A1FA7CF2"/>
    <w:lvl w:ilvl="0" w:tplc="9E22224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07D705F"/>
    <w:multiLevelType w:val="hybridMultilevel"/>
    <w:tmpl w:val="B7A26D42"/>
    <w:lvl w:ilvl="0" w:tplc="0C09000F">
      <w:start w:val="1"/>
      <w:numFmt w:val="decimal"/>
      <w:lvlText w:val="%1."/>
      <w:lvlJc w:val="left"/>
      <w:pPr>
        <w:ind w:left="750" w:hanging="360"/>
      </w:pPr>
    </w:lvl>
    <w:lvl w:ilvl="1" w:tplc="0C090001">
      <w:start w:val="1"/>
      <w:numFmt w:val="bullet"/>
      <w:lvlText w:val=""/>
      <w:lvlJc w:val="left"/>
      <w:pPr>
        <w:ind w:left="1470" w:hanging="360"/>
      </w:pPr>
      <w:rPr>
        <w:rFonts w:ascii="Symbol" w:hAnsi="Symbol" w:hint="default"/>
      </w:r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4">
    <w:nsid w:val="37EB619B"/>
    <w:multiLevelType w:val="hybridMultilevel"/>
    <w:tmpl w:val="5F967C26"/>
    <w:lvl w:ilvl="0" w:tplc="C6CE7EE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2821C6"/>
    <w:multiLevelType w:val="hybridMultilevel"/>
    <w:tmpl w:val="D0E6803A"/>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16">
    <w:nsid w:val="47472434"/>
    <w:multiLevelType w:val="hybridMultilevel"/>
    <w:tmpl w:val="E6FAC3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89B15D7"/>
    <w:multiLevelType w:val="hybridMultilevel"/>
    <w:tmpl w:val="960CE5F4"/>
    <w:lvl w:ilvl="0" w:tplc="C930B5C8">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6B5FC4"/>
    <w:multiLevelType w:val="hybridMultilevel"/>
    <w:tmpl w:val="57DAD040"/>
    <w:lvl w:ilvl="0" w:tplc="C6CE7EE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43B6F1B"/>
    <w:multiLevelType w:val="hybridMultilevel"/>
    <w:tmpl w:val="9F424B2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0"/>
  </w:num>
  <w:num w:numId="28">
    <w:abstractNumId w:val="14"/>
  </w:num>
  <w:num w:numId="29">
    <w:abstractNumId w:val="17"/>
  </w:num>
  <w:num w:numId="30">
    <w:abstractNumId w:val="9"/>
  </w:num>
  <w:num w:numId="31">
    <w:abstractNumId w:val="5"/>
  </w:num>
  <w:num w:numId="32">
    <w:abstractNumId w:val="12"/>
  </w:num>
  <w:num w:numId="33">
    <w:abstractNumId w:val="4"/>
  </w:num>
  <w:num w:numId="34">
    <w:abstractNumId w:val="16"/>
  </w:num>
  <w:num w:numId="35">
    <w:abstractNumId w:val="13"/>
  </w:num>
  <w:num w:numId="36">
    <w:abstractNumId w:val="10"/>
  </w:num>
  <w:num w:numId="37">
    <w:abstractNumId w:val="18"/>
  </w:num>
  <w:num w:numId="38">
    <w:abstractNumId w:val="15"/>
  </w:num>
  <w:num w:numId="39">
    <w:abstractNumId w:val="8"/>
  </w:num>
  <w:num w:numId="40">
    <w:abstractNumId w:val="21"/>
  </w:num>
  <w:num w:numId="41">
    <w:abstractNumId w:val="19"/>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5B1F"/>
    <w:rsid w:val="00006B22"/>
    <w:rsid w:val="00010C55"/>
    <w:rsid w:val="0001276A"/>
    <w:rsid w:val="0001350D"/>
    <w:rsid w:val="0001521E"/>
    <w:rsid w:val="00020FE3"/>
    <w:rsid w:val="00021DAF"/>
    <w:rsid w:val="000246AE"/>
    <w:rsid w:val="00024A4B"/>
    <w:rsid w:val="00025C67"/>
    <w:rsid w:val="0002785D"/>
    <w:rsid w:val="00033777"/>
    <w:rsid w:val="00035A14"/>
    <w:rsid w:val="00041051"/>
    <w:rsid w:val="00044772"/>
    <w:rsid w:val="00050251"/>
    <w:rsid w:val="000522AB"/>
    <w:rsid w:val="00054B1C"/>
    <w:rsid w:val="0005559E"/>
    <w:rsid w:val="000604D6"/>
    <w:rsid w:val="00064165"/>
    <w:rsid w:val="00065F37"/>
    <w:rsid w:val="00070931"/>
    <w:rsid w:val="00071CDD"/>
    <w:rsid w:val="000734D8"/>
    <w:rsid w:val="00077775"/>
    <w:rsid w:val="00081579"/>
    <w:rsid w:val="00085175"/>
    <w:rsid w:val="00090471"/>
    <w:rsid w:val="000908C2"/>
    <w:rsid w:val="00092E65"/>
    <w:rsid w:val="00092EA7"/>
    <w:rsid w:val="000937BB"/>
    <w:rsid w:val="00096AA7"/>
    <w:rsid w:val="000A2EB8"/>
    <w:rsid w:val="000A3AED"/>
    <w:rsid w:val="000A7E50"/>
    <w:rsid w:val="000B3532"/>
    <w:rsid w:val="000B3A75"/>
    <w:rsid w:val="000B442F"/>
    <w:rsid w:val="000B7E33"/>
    <w:rsid w:val="000C00C2"/>
    <w:rsid w:val="000C1B2C"/>
    <w:rsid w:val="000C2D0F"/>
    <w:rsid w:val="000C6794"/>
    <w:rsid w:val="000C690F"/>
    <w:rsid w:val="000D016A"/>
    <w:rsid w:val="000D0582"/>
    <w:rsid w:val="000D0B29"/>
    <w:rsid w:val="000D0D51"/>
    <w:rsid w:val="000D1295"/>
    <w:rsid w:val="000D2F9E"/>
    <w:rsid w:val="000D391B"/>
    <w:rsid w:val="000D3D6D"/>
    <w:rsid w:val="000D45BE"/>
    <w:rsid w:val="000D4FC7"/>
    <w:rsid w:val="000D51AA"/>
    <w:rsid w:val="000D648F"/>
    <w:rsid w:val="000D71F7"/>
    <w:rsid w:val="000D76E5"/>
    <w:rsid w:val="000E6196"/>
    <w:rsid w:val="000E66A2"/>
    <w:rsid w:val="000F2949"/>
    <w:rsid w:val="000F3955"/>
    <w:rsid w:val="000F4869"/>
    <w:rsid w:val="000F5B42"/>
    <w:rsid w:val="000F6069"/>
    <w:rsid w:val="000F6E6F"/>
    <w:rsid w:val="0010357E"/>
    <w:rsid w:val="0010601F"/>
    <w:rsid w:val="0010788A"/>
    <w:rsid w:val="00107A31"/>
    <w:rsid w:val="00110EA5"/>
    <w:rsid w:val="00112C1A"/>
    <w:rsid w:val="00112F56"/>
    <w:rsid w:val="00113F2E"/>
    <w:rsid w:val="00122467"/>
    <w:rsid w:val="00122A33"/>
    <w:rsid w:val="00123D54"/>
    <w:rsid w:val="00125318"/>
    <w:rsid w:val="001265B3"/>
    <w:rsid w:val="00126D1E"/>
    <w:rsid w:val="00127E64"/>
    <w:rsid w:val="001305A2"/>
    <w:rsid w:val="00132F19"/>
    <w:rsid w:val="00133238"/>
    <w:rsid w:val="00133A1B"/>
    <w:rsid w:val="00134739"/>
    <w:rsid w:val="0013577B"/>
    <w:rsid w:val="0014197B"/>
    <w:rsid w:val="001447CD"/>
    <w:rsid w:val="001516B1"/>
    <w:rsid w:val="00154EBB"/>
    <w:rsid w:val="00156316"/>
    <w:rsid w:val="00161181"/>
    <w:rsid w:val="00162D14"/>
    <w:rsid w:val="00165389"/>
    <w:rsid w:val="00170064"/>
    <w:rsid w:val="00173A15"/>
    <w:rsid w:val="001759E3"/>
    <w:rsid w:val="00176774"/>
    <w:rsid w:val="0017693F"/>
    <w:rsid w:val="001806C5"/>
    <w:rsid w:val="0018110E"/>
    <w:rsid w:val="00181684"/>
    <w:rsid w:val="001843C6"/>
    <w:rsid w:val="001850E0"/>
    <w:rsid w:val="00186C40"/>
    <w:rsid w:val="00191607"/>
    <w:rsid w:val="001A2158"/>
    <w:rsid w:val="001A2F77"/>
    <w:rsid w:val="001A525F"/>
    <w:rsid w:val="001A5D64"/>
    <w:rsid w:val="001A6B44"/>
    <w:rsid w:val="001B09F9"/>
    <w:rsid w:val="001B5C90"/>
    <w:rsid w:val="001B6448"/>
    <w:rsid w:val="001C32CD"/>
    <w:rsid w:val="001C436A"/>
    <w:rsid w:val="001C4E32"/>
    <w:rsid w:val="001D0449"/>
    <w:rsid w:val="001D2984"/>
    <w:rsid w:val="001D42E2"/>
    <w:rsid w:val="001D5F7B"/>
    <w:rsid w:val="001E0668"/>
    <w:rsid w:val="001E07CF"/>
    <w:rsid w:val="001E4175"/>
    <w:rsid w:val="001E59F1"/>
    <w:rsid w:val="001E6170"/>
    <w:rsid w:val="001E7FA1"/>
    <w:rsid w:val="001F1E7B"/>
    <w:rsid w:val="001F2CEE"/>
    <w:rsid w:val="001F49EB"/>
    <w:rsid w:val="001F4FA8"/>
    <w:rsid w:val="001F5199"/>
    <w:rsid w:val="001F57AD"/>
    <w:rsid w:val="001F6CBA"/>
    <w:rsid w:val="00201D4E"/>
    <w:rsid w:val="00203AAE"/>
    <w:rsid w:val="002076C9"/>
    <w:rsid w:val="0021109D"/>
    <w:rsid w:val="00217BC7"/>
    <w:rsid w:val="00220B8A"/>
    <w:rsid w:val="002257F3"/>
    <w:rsid w:val="00231BE4"/>
    <w:rsid w:val="00232A97"/>
    <w:rsid w:val="00233456"/>
    <w:rsid w:val="002339A5"/>
    <w:rsid w:val="00246C40"/>
    <w:rsid w:val="002504B4"/>
    <w:rsid w:val="002515E6"/>
    <w:rsid w:val="00256428"/>
    <w:rsid w:val="00257848"/>
    <w:rsid w:val="002634A7"/>
    <w:rsid w:val="0026692B"/>
    <w:rsid w:val="002672EC"/>
    <w:rsid w:val="0027084A"/>
    <w:rsid w:val="00270FE8"/>
    <w:rsid w:val="00272646"/>
    <w:rsid w:val="00275A23"/>
    <w:rsid w:val="002760B0"/>
    <w:rsid w:val="00277B99"/>
    <w:rsid w:val="00280B34"/>
    <w:rsid w:val="00280FCE"/>
    <w:rsid w:val="00284B72"/>
    <w:rsid w:val="00286434"/>
    <w:rsid w:val="00286C59"/>
    <w:rsid w:val="00291957"/>
    <w:rsid w:val="002942D1"/>
    <w:rsid w:val="0029501A"/>
    <w:rsid w:val="002957CE"/>
    <w:rsid w:val="002A0DEA"/>
    <w:rsid w:val="002A16A6"/>
    <w:rsid w:val="002A2ED9"/>
    <w:rsid w:val="002A36F6"/>
    <w:rsid w:val="002A3721"/>
    <w:rsid w:val="002A64BE"/>
    <w:rsid w:val="002B1638"/>
    <w:rsid w:val="002B1A60"/>
    <w:rsid w:val="002B271D"/>
    <w:rsid w:val="002B3624"/>
    <w:rsid w:val="002C378C"/>
    <w:rsid w:val="002C7575"/>
    <w:rsid w:val="002D02E0"/>
    <w:rsid w:val="002D0952"/>
    <w:rsid w:val="002E352D"/>
    <w:rsid w:val="002E40B3"/>
    <w:rsid w:val="002E4C9A"/>
    <w:rsid w:val="002F1164"/>
    <w:rsid w:val="002F11F8"/>
    <w:rsid w:val="002F3BCE"/>
    <w:rsid w:val="002F3F56"/>
    <w:rsid w:val="002F411F"/>
    <w:rsid w:val="002F44B5"/>
    <w:rsid w:val="00301F96"/>
    <w:rsid w:val="00311AC0"/>
    <w:rsid w:val="003138E4"/>
    <w:rsid w:val="00314642"/>
    <w:rsid w:val="0032048C"/>
    <w:rsid w:val="0032345E"/>
    <w:rsid w:val="0032366B"/>
    <w:rsid w:val="0032583B"/>
    <w:rsid w:val="00327883"/>
    <w:rsid w:val="00327DAE"/>
    <w:rsid w:val="003327E1"/>
    <w:rsid w:val="00335504"/>
    <w:rsid w:val="00340C18"/>
    <w:rsid w:val="003410CB"/>
    <w:rsid w:val="00341231"/>
    <w:rsid w:val="003442FD"/>
    <w:rsid w:val="003444C9"/>
    <w:rsid w:val="003459ED"/>
    <w:rsid w:val="003461CB"/>
    <w:rsid w:val="00347824"/>
    <w:rsid w:val="00350567"/>
    <w:rsid w:val="003516DE"/>
    <w:rsid w:val="003521E8"/>
    <w:rsid w:val="00355079"/>
    <w:rsid w:val="00370CE3"/>
    <w:rsid w:val="003728F3"/>
    <w:rsid w:val="003732BD"/>
    <w:rsid w:val="0037496E"/>
    <w:rsid w:val="00376D5E"/>
    <w:rsid w:val="00383221"/>
    <w:rsid w:val="003843B3"/>
    <w:rsid w:val="003852DA"/>
    <w:rsid w:val="0038560E"/>
    <w:rsid w:val="00386150"/>
    <w:rsid w:val="003874CE"/>
    <w:rsid w:val="00390900"/>
    <w:rsid w:val="00391A5B"/>
    <w:rsid w:val="00391F5A"/>
    <w:rsid w:val="0039213A"/>
    <w:rsid w:val="003979F7"/>
    <w:rsid w:val="003A131E"/>
    <w:rsid w:val="003A28BE"/>
    <w:rsid w:val="003A6723"/>
    <w:rsid w:val="003A7F6C"/>
    <w:rsid w:val="003B4D60"/>
    <w:rsid w:val="003B7E39"/>
    <w:rsid w:val="003C0532"/>
    <w:rsid w:val="003C58DC"/>
    <w:rsid w:val="003C7CA1"/>
    <w:rsid w:val="003D1E62"/>
    <w:rsid w:val="003D3A43"/>
    <w:rsid w:val="003D7248"/>
    <w:rsid w:val="003E0B99"/>
    <w:rsid w:val="003E0D42"/>
    <w:rsid w:val="003E2486"/>
    <w:rsid w:val="003E3208"/>
    <w:rsid w:val="003E34C6"/>
    <w:rsid w:val="003E355B"/>
    <w:rsid w:val="003E445B"/>
    <w:rsid w:val="003E480F"/>
    <w:rsid w:val="003E7329"/>
    <w:rsid w:val="003F0B04"/>
    <w:rsid w:val="004002D0"/>
    <w:rsid w:val="0040134E"/>
    <w:rsid w:val="00401BEF"/>
    <w:rsid w:val="0040413A"/>
    <w:rsid w:val="00415AB5"/>
    <w:rsid w:val="00431034"/>
    <w:rsid w:val="00432E01"/>
    <w:rsid w:val="0043301D"/>
    <w:rsid w:val="004334C7"/>
    <w:rsid w:val="00433C93"/>
    <w:rsid w:val="00440A2D"/>
    <w:rsid w:val="00441C3F"/>
    <w:rsid w:val="0044383D"/>
    <w:rsid w:val="004464C9"/>
    <w:rsid w:val="004510A9"/>
    <w:rsid w:val="00451F98"/>
    <w:rsid w:val="00452E1D"/>
    <w:rsid w:val="004540DA"/>
    <w:rsid w:val="004564A7"/>
    <w:rsid w:val="0046000B"/>
    <w:rsid w:val="0046074E"/>
    <w:rsid w:val="004608B2"/>
    <w:rsid w:val="004617BF"/>
    <w:rsid w:val="00461EA8"/>
    <w:rsid w:val="00463658"/>
    <w:rsid w:val="004637A0"/>
    <w:rsid w:val="00463C49"/>
    <w:rsid w:val="004647ED"/>
    <w:rsid w:val="00470FFA"/>
    <w:rsid w:val="00471201"/>
    <w:rsid w:val="004722CC"/>
    <w:rsid w:val="00475B6F"/>
    <w:rsid w:val="00476758"/>
    <w:rsid w:val="00486445"/>
    <w:rsid w:val="00492462"/>
    <w:rsid w:val="00492AF8"/>
    <w:rsid w:val="004936E4"/>
    <w:rsid w:val="00493DFC"/>
    <w:rsid w:val="00494138"/>
    <w:rsid w:val="00494BC3"/>
    <w:rsid w:val="00494E60"/>
    <w:rsid w:val="00497487"/>
    <w:rsid w:val="00497953"/>
    <w:rsid w:val="004A1C7D"/>
    <w:rsid w:val="004A6189"/>
    <w:rsid w:val="004A7390"/>
    <w:rsid w:val="004B2D36"/>
    <w:rsid w:val="004B5F2E"/>
    <w:rsid w:val="004B7B76"/>
    <w:rsid w:val="004C0031"/>
    <w:rsid w:val="004C239D"/>
    <w:rsid w:val="004C2DCA"/>
    <w:rsid w:val="004C4C4D"/>
    <w:rsid w:val="004C61D2"/>
    <w:rsid w:val="004C740F"/>
    <w:rsid w:val="004D250D"/>
    <w:rsid w:val="004D2F99"/>
    <w:rsid w:val="004D59F8"/>
    <w:rsid w:val="004D6651"/>
    <w:rsid w:val="004F0C4A"/>
    <w:rsid w:val="004F0F38"/>
    <w:rsid w:val="004F2D9B"/>
    <w:rsid w:val="004F47D6"/>
    <w:rsid w:val="0050144E"/>
    <w:rsid w:val="00501921"/>
    <w:rsid w:val="00502033"/>
    <w:rsid w:val="00515477"/>
    <w:rsid w:val="0052174C"/>
    <w:rsid w:val="00530354"/>
    <w:rsid w:val="0053625B"/>
    <w:rsid w:val="00540645"/>
    <w:rsid w:val="00540B27"/>
    <w:rsid w:val="005434C6"/>
    <w:rsid w:val="00543B39"/>
    <w:rsid w:val="00546154"/>
    <w:rsid w:val="00550096"/>
    <w:rsid w:val="0055281A"/>
    <w:rsid w:val="00553FFA"/>
    <w:rsid w:val="00555072"/>
    <w:rsid w:val="00555280"/>
    <w:rsid w:val="00557331"/>
    <w:rsid w:val="00557FF9"/>
    <w:rsid w:val="00560A6C"/>
    <w:rsid w:val="00562327"/>
    <w:rsid w:val="00564BD9"/>
    <w:rsid w:val="00565486"/>
    <w:rsid w:val="005660D9"/>
    <w:rsid w:val="005711D5"/>
    <w:rsid w:val="00574133"/>
    <w:rsid w:val="00574E48"/>
    <w:rsid w:val="00575DD3"/>
    <w:rsid w:val="00576378"/>
    <w:rsid w:val="00577130"/>
    <w:rsid w:val="00577945"/>
    <w:rsid w:val="00577E38"/>
    <w:rsid w:val="00585322"/>
    <w:rsid w:val="005857C6"/>
    <w:rsid w:val="00585F22"/>
    <w:rsid w:val="00586BF2"/>
    <w:rsid w:val="00592F6E"/>
    <w:rsid w:val="00593AD1"/>
    <w:rsid w:val="00595388"/>
    <w:rsid w:val="00595C1E"/>
    <w:rsid w:val="00595F18"/>
    <w:rsid w:val="005A05DF"/>
    <w:rsid w:val="005A14FC"/>
    <w:rsid w:val="005A1626"/>
    <w:rsid w:val="005A3916"/>
    <w:rsid w:val="005A3AC1"/>
    <w:rsid w:val="005A4212"/>
    <w:rsid w:val="005A5E2F"/>
    <w:rsid w:val="005A68B6"/>
    <w:rsid w:val="005A6C65"/>
    <w:rsid w:val="005C1D94"/>
    <w:rsid w:val="005C52B0"/>
    <w:rsid w:val="005C5570"/>
    <w:rsid w:val="005C7754"/>
    <w:rsid w:val="005C79A4"/>
    <w:rsid w:val="005D310D"/>
    <w:rsid w:val="005D387A"/>
    <w:rsid w:val="005D5442"/>
    <w:rsid w:val="005E10D2"/>
    <w:rsid w:val="005E5160"/>
    <w:rsid w:val="00603F32"/>
    <w:rsid w:val="00604075"/>
    <w:rsid w:val="0060456B"/>
    <w:rsid w:val="00605AD4"/>
    <w:rsid w:val="00607784"/>
    <w:rsid w:val="00610DE2"/>
    <w:rsid w:val="00614E87"/>
    <w:rsid w:val="00616F22"/>
    <w:rsid w:val="00622E26"/>
    <w:rsid w:val="00625A6E"/>
    <w:rsid w:val="00627D2A"/>
    <w:rsid w:val="00632398"/>
    <w:rsid w:val="006331B1"/>
    <w:rsid w:val="00635B3F"/>
    <w:rsid w:val="00640FC3"/>
    <w:rsid w:val="00642020"/>
    <w:rsid w:val="00644C08"/>
    <w:rsid w:val="0065337B"/>
    <w:rsid w:val="0065419D"/>
    <w:rsid w:val="00657614"/>
    <w:rsid w:val="00660202"/>
    <w:rsid w:val="006604D8"/>
    <w:rsid w:val="00661C97"/>
    <w:rsid w:val="0066334D"/>
    <w:rsid w:val="00664A5B"/>
    <w:rsid w:val="0066735C"/>
    <w:rsid w:val="00670907"/>
    <w:rsid w:val="0067348D"/>
    <w:rsid w:val="006763D2"/>
    <w:rsid w:val="006809B7"/>
    <w:rsid w:val="00680C08"/>
    <w:rsid w:val="00682E41"/>
    <w:rsid w:val="00683CB0"/>
    <w:rsid w:val="006916A0"/>
    <w:rsid w:val="006931B1"/>
    <w:rsid w:val="006A15C0"/>
    <w:rsid w:val="006A2DC8"/>
    <w:rsid w:val="006B4F1A"/>
    <w:rsid w:val="006B5434"/>
    <w:rsid w:val="006C06B4"/>
    <w:rsid w:val="006C3E2A"/>
    <w:rsid w:val="006C47E5"/>
    <w:rsid w:val="006C642F"/>
    <w:rsid w:val="006D03E5"/>
    <w:rsid w:val="006D4DD8"/>
    <w:rsid w:val="006D5D3E"/>
    <w:rsid w:val="006E00C4"/>
    <w:rsid w:val="006E08A2"/>
    <w:rsid w:val="006E08B3"/>
    <w:rsid w:val="006E2740"/>
    <w:rsid w:val="006F17AC"/>
    <w:rsid w:val="006F25B8"/>
    <w:rsid w:val="006F2AD2"/>
    <w:rsid w:val="006F572E"/>
    <w:rsid w:val="006F5C51"/>
    <w:rsid w:val="006F5F05"/>
    <w:rsid w:val="0070133A"/>
    <w:rsid w:val="007046D6"/>
    <w:rsid w:val="00705DB0"/>
    <w:rsid w:val="00706571"/>
    <w:rsid w:val="00720AB6"/>
    <w:rsid w:val="00722B57"/>
    <w:rsid w:val="00730B7C"/>
    <w:rsid w:val="00730F8A"/>
    <w:rsid w:val="00735A8C"/>
    <w:rsid w:val="00737E48"/>
    <w:rsid w:val="007408B9"/>
    <w:rsid w:val="0074253D"/>
    <w:rsid w:val="0074429B"/>
    <w:rsid w:val="00747A7A"/>
    <w:rsid w:val="00747AD0"/>
    <w:rsid w:val="0075512B"/>
    <w:rsid w:val="007615BC"/>
    <w:rsid w:val="00762F05"/>
    <w:rsid w:val="007633E6"/>
    <w:rsid w:val="00764434"/>
    <w:rsid w:val="007652FF"/>
    <w:rsid w:val="00766BE9"/>
    <w:rsid w:val="00770CAC"/>
    <w:rsid w:val="00770EA0"/>
    <w:rsid w:val="00770EF1"/>
    <w:rsid w:val="00773EF7"/>
    <w:rsid w:val="00774E1D"/>
    <w:rsid w:val="0077532B"/>
    <w:rsid w:val="007765D8"/>
    <w:rsid w:val="0077675A"/>
    <w:rsid w:val="00776BD8"/>
    <w:rsid w:val="007770BC"/>
    <w:rsid w:val="00780355"/>
    <w:rsid w:val="007811D8"/>
    <w:rsid w:val="007819FD"/>
    <w:rsid w:val="007822C7"/>
    <w:rsid w:val="00782936"/>
    <w:rsid w:val="007829FA"/>
    <w:rsid w:val="00784239"/>
    <w:rsid w:val="007846FD"/>
    <w:rsid w:val="00785717"/>
    <w:rsid w:val="00785721"/>
    <w:rsid w:val="00792676"/>
    <w:rsid w:val="00793A59"/>
    <w:rsid w:val="00795055"/>
    <w:rsid w:val="007956CA"/>
    <w:rsid w:val="007A02FC"/>
    <w:rsid w:val="007A3B0A"/>
    <w:rsid w:val="007A6F73"/>
    <w:rsid w:val="007B6132"/>
    <w:rsid w:val="007B6E9F"/>
    <w:rsid w:val="007C1216"/>
    <w:rsid w:val="007C1A36"/>
    <w:rsid w:val="007C1AF7"/>
    <w:rsid w:val="007C6B9B"/>
    <w:rsid w:val="007D14A1"/>
    <w:rsid w:val="007D1910"/>
    <w:rsid w:val="007D2A24"/>
    <w:rsid w:val="007E2FD3"/>
    <w:rsid w:val="007E670D"/>
    <w:rsid w:val="007F0C35"/>
    <w:rsid w:val="007F3B7F"/>
    <w:rsid w:val="00802B65"/>
    <w:rsid w:val="008041D2"/>
    <w:rsid w:val="00805D27"/>
    <w:rsid w:val="00805F2B"/>
    <w:rsid w:val="00806DCB"/>
    <w:rsid w:val="008149B4"/>
    <w:rsid w:val="008165E9"/>
    <w:rsid w:val="00821776"/>
    <w:rsid w:val="0083073C"/>
    <w:rsid w:val="008321F5"/>
    <w:rsid w:val="00832369"/>
    <w:rsid w:val="00834660"/>
    <w:rsid w:val="00836AC8"/>
    <w:rsid w:val="00836BC2"/>
    <w:rsid w:val="0084305A"/>
    <w:rsid w:val="0085156D"/>
    <w:rsid w:val="0085641B"/>
    <w:rsid w:val="008567CA"/>
    <w:rsid w:val="00857136"/>
    <w:rsid w:val="0085751F"/>
    <w:rsid w:val="008607FF"/>
    <w:rsid w:val="00860E7E"/>
    <w:rsid w:val="00862E68"/>
    <w:rsid w:val="00864E0C"/>
    <w:rsid w:val="0086669F"/>
    <w:rsid w:val="00873F48"/>
    <w:rsid w:val="008756CE"/>
    <w:rsid w:val="00876C76"/>
    <w:rsid w:val="00877257"/>
    <w:rsid w:val="00885B11"/>
    <w:rsid w:val="00885E74"/>
    <w:rsid w:val="00886085"/>
    <w:rsid w:val="008863F4"/>
    <w:rsid w:val="00886D15"/>
    <w:rsid w:val="00887DD8"/>
    <w:rsid w:val="008900AD"/>
    <w:rsid w:val="00890115"/>
    <w:rsid w:val="00891BA9"/>
    <w:rsid w:val="00896018"/>
    <w:rsid w:val="008960DD"/>
    <w:rsid w:val="0089635C"/>
    <w:rsid w:val="008A2B9D"/>
    <w:rsid w:val="008A3D9F"/>
    <w:rsid w:val="008A5938"/>
    <w:rsid w:val="008A5E0B"/>
    <w:rsid w:val="008A666B"/>
    <w:rsid w:val="008A6D59"/>
    <w:rsid w:val="008B4B03"/>
    <w:rsid w:val="008B596F"/>
    <w:rsid w:val="008C0E91"/>
    <w:rsid w:val="008C159F"/>
    <w:rsid w:val="008C1623"/>
    <w:rsid w:val="008C1850"/>
    <w:rsid w:val="008C51A9"/>
    <w:rsid w:val="008C5A28"/>
    <w:rsid w:val="008C63F8"/>
    <w:rsid w:val="008C7300"/>
    <w:rsid w:val="008C7CB5"/>
    <w:rsid w:val="008E29D5"/>
    <w:rsid w:val="008E37DB"/>
    <w:rsid w:val="008E4C6E"/>
    <w:rsid w:val="008E7846"/>
    <w:rsid w:val="008F02E5"/>
    <w:rsid w:val="008F07E0"/>
    <w:rsid w:val="008F1CCC"/>
    <w:rsid w:val="008F1F69"/>
    <w:rsid w:val="008F1FC1"/>
    <w:rsid w:val="008F2967"/>
    <w:rsid w:val="008F54B2"/>
    <w:rsid w:val="008F5DC8"/>
    <w:rsid w:val="008F6943"/>
    <w:rsid w:val="008F7210"/>
    <w:rsid w:val="009012F8"/>
    <w:rsid w:val="00901CB2"/>
    <w:rsid w:val="00902A21"/>
    <w:rsid w:val="00907EC8"/>
    <w:rsid w:val="00911B0D"/>
    <w:rsid w:val="00913ACA"/>
    <w:rsid w:val="0091651E"/>
    <w:rsid w:val="00916A2D"/>
    <w:rsid w:val="00920330"/>
    <w:rsid w:val="009219D7"/>
    <w:rsid w:val="00921A81"/>
    <w:rsid w:val="00922D53"/>
    <w:rsid w:val="00923B70"/>
    <w:rsid w:val="00924482"/>
    <w:rsid w:val="00930237"/>
    <w:rsid w:val="0093165E"/>
    <w:rsid w:val="00933B4C"/>
    <w:rsid w:val="009353F5"/>
    <w:rsid w:val="00937C17"/>
    <w:rsid w:val="00940A89"/>
    <w:rsid w:val="0094641F"/>
    <w:rsid w:val="00946EA5"/>
    <w:rsid w:val="00952451"/>
    <w:rsid w:val="00957252"/>
    <w:rsid w:val="009575DB"/>
    <w:rsid w:val="00963C08"/>
    <w:rsid w:val="009651F2"/>
    <w:rsid w:val="00965FE7"/>
    <w:rsid w:val="009722E2"/>
    <w:rsid w:val="00972ED5"/>
    <w:rsid w:val="009752A5"/>
    <w:rsid w:val="00983F96"/>
    <w:rsid w:val="0098585A"/>
    <w:rsid w:val="009865AD"/>
    <w:rsid w:val="00995E2A"/>
    <w:rsid w:val="009963FD"/>
    <w:rsid w:val="009A1829"/>
    <w:rsid w:val="009A199C"/>
    <w:rsid w:val="009A2073"/>
    <w:rsid w:val="009A3E55"/>
    <w:rsid w:val="009A4CED"/>
    <w:rsid w:val="009A690D"/>
    <w:rsid w:val="009A7969"/>
    <w:rsid w:val="009B1D12"/>
    <w:rsid w:val="009B26F8"/>
    <w:rsid w:val="009B416B"/>
    <w:rsid w:val="009C2C78"/>
    <w:rsid w:val="009C4BD5"/>
    <w:rsid w:val="009D5A42"/>
    <w:rsid w:val="009D7B77"/>
    <w:rsid w:val="009E0BB0"/>
    <w:rsid w:val="009E3FBB"/>
    <w:rsid w:val="009F03F7"/>
    <w:rsid w:val="009F38B1"/>
    <w:rsid w:val="009F4F44"/>
    <w:rsid w:val="009F7353"/>
    <w:rsid w:val="009F75FA"/>
    <w:rsid w:val="00A04F85"/>
    <w:rsid w:val="00A05FA4"/>
    <w:rsid w:val="00A10297"/>
    <w:rsid w:val="00A102E4"/>
    <w:rsid w:val="00A11968"/>
    <w:rsid w:val="00A12C42"/>
    <w:rsid w:val="00A14DF7"/>
    <w:rsid w:val="00A16E07"/>
    <w:rsid w:val="00A215C9"/>
    <w:rsid w:val="00A21B8A"/>
    <w:rsid w:val="00A238C2"/>
    <w:rsid w:val="00A3246D"/>
    <w:rsid w:val="00A344A0"/>
    <w:rsid w:val="00A34BE3"/>
    <w:rsid w:val="00A36FA7"/>
    <w:rsid w:val="00A44DDB"/>
    <w:rsid w:val="00A456AB"/>
    <w:rsid w:val="00A475B7"/>
    <w:rsid w:val="00A47AF7"/>
    <w:rsid w:val="00A47C3E"/>
    <w:rsid w:val="00A50226"/>
    <w:rsid w:val="00A539FA"/>
    <w:rsid w:val="00A54394"/>
    <w:rsid w:val="00A6009E"/>
    <w:rsid w:val="00A60BAD"/>
    <w:rsid w:val="00A61AD1"/>
    <w:rsid w:val="00A64554"/>
    <w:rsid w:val="00A65A5F"/>
    <w:rsid w:val="00A65B42"/>
    <w:rsid w:val="00A752DA"/>
    <w:rsid w:val="00A807BD"/>
    <w:rsid w:val="00A80B5B"/>
    <w:rsid w:val="00A814C5"/>
    <w:rsid w:val="00A8421B"/>
    <w:rsid w:val="00A84E36"/>
    <w:rsid w:val="00A9466D"/>
    <w:rsid w:val="00A951E8"/>
    <w:rsid w:val="00A964D1"/>
    <w:rsid w:val="00AA0ED0"/>
    <w:rsid w:val="00AA503F"/>
    <w:rsid w:val="00AB1224"/>
    <w:rsid w:val="00AB37D7"/>
    <w:rsid w:val="00AC1494"/>
    <w:rsid w:val="00AC16DC"/>
    <w:rsid w:val="00AC2B40"/>
    <w:rsid w:val="00AC2BB2"/>
    <w:rsid w:val="00AC2C3C"/>
    <w:rsid w:val="00AC512D"/>
    <w:rsid w:val="00AC5243"/>
    <w:rsid w:val="00AD0083"/>
    <w:rsid w:val="00AD27DF"/>
    <w:rsid w:val="00AD3935"/>
    <w:rsid w:val="00AD6339"/>
    <w:rsid w:val="00AD77B2"/>
    <w:rsid w:val="00AE31F7"/>
    <w:rsid w:val="00AE65EB"/>
    <w:rsid w:val="00AE67A7"/>
    <w:rsid w:val="00AF1D94"/>
    <w:rsid w:val="00AF60C5"/>
    <w:rsid w:val="00AF752D"/>
    <w:rsid w:val="00B009C6"/>
    <w:rsid w:val="00B01548"/>
    <w:rsid w:val="00B034ED"/>
    <w:rsid w:val="00B05CD1"/>
    <w:rsid w:val="00B0606E"/>
    <w:rsid w:val="00B11747"/>
    <w:rsid w:val="00B117A1"/>
    <w:rsid w:val="00B13EBD"/>
    <w:rsid w:val="00B17E22"/>
    <w:rsid w:val="00B21D29"/>
    <w:rsid w:val="00B25034"/>
    <w:rsid w:val="00B25D9D"/>
    <w:rsid w:val="00B2613B"/>
    <w:rsid w:val="00B33588"/>
    <w:rsid w:val="00B33863"/>
    <w:rsid w:val="00B34684"/>
    <w:rsid w:val="00B3544A"/>
    <w:rsid w:val="00B37D17"/>
    <w:rsid w:val="00B40603"/>
    <w:rsid w:val="00B4175E"/>
    <w:rsid w:val="00B452CE"/>
    <w:rsid w:val="00B46C44"/>
    <w:rsid w:val="00B503F1"/>
    <w:rsid w:val="00B51D08"/>
    <w:rsid w:val="00B520F8"/>
    <w:rsid w:val="00B54C25"/>
    <w:rsid w:val="00B5612A"/>
    <w:rsid w:val="00B61770"/>
    <w:rsid w:val="00B726C2"/>
    <w:rsid w:val="00B76B91"/>
    <w:rsid w:val="00B77EB1"/>
    <w:rsid w:val="00B811C6"/>
    <w:rsid w:val="00B82EEB"/>
    <w:rsid w:val="00B855B0"/>
    <w:rsid w:val="00B900DC"/>
    <w:rsid w:val="00B91DB5"/>
    <w:rsid w:val="00B92CB2"/>
    <w:rsid w:val="00B92E08"/>
    <w:rsid w:val="00BA35EC"/>
    <w:rsid w:val="00BA59DD"/>
    <w:rsid w:val="00BB51B0"/>
    <w:rsid w:val="00BB6600"/>
    <w:rsid w:val="00BC5672"/>
    <w:rsid w:val="00BC622A"/>
    <w:rsid w:val="00BD0824"/>
    <w:rsid w:val="00BD151F"/>
    <w:rsid w:val="00BD2585"/>
    <w:rsid w:val="00BD555C"/>
    <w:rsid w:val="00BD5845"/>
    <w:rsid w:val="00BD7018"/>
    <w:rsid w:val="00BE0A78"/>
    <w:rsid w:val="00BE1601"/>
    <w:rsid w:val="00BE1DF3"/>
    <w:rsid w:val="00BE228A"/>
    <w:rsid w:val="00BE36AC"/>
    <w:rsid w:val="00BE79F0"/>
    <w:rsid w:val="00BF046D"/>
    <w:rsid w:val="00BF1190"/>
    <w:rsid w:val="00BF11C3"/>
    <w:rsid w:val="00BF277E"/>
    <w:rsid w:val="00BF5D04"/>
    <w:rsid w:val="00C009AA"/>
    <w:rsid w:val="00C03D78"/>
    <w:rsid w:val="00C105C6"/>
    <w:rsid w:val="00C108E1"/>
    <w:rsid w:val="00C1164D"/>
    <w:rsid w:val="00C15B46"/>
    <w:rsid w:val="00C16861"/>
    <w:rsid w:val="00C203DB"/>
    <w:rsid w:val="00C20425"/>
    <w:rsid w:val="00C22491"/>
    <w:rsid w:val="00C27BF6"/>
    <w:rsid w:val="00C31041"/>
    <w:rsid w:val="00C33FD5"/>
    <w:rsid w:val="00C34460"/>
    <w:rsid w:val="00C346AB"/>
    <w:rsid w:val="00C362D3"/>
    <w:rsid w:val="00C36A24"/>
    <w:rsid w:val="00C404A6"/>
    <w:rsid w:val="00C40A36"/>
    <w:rsid w:val="00C4438C"/>
    <w:rsid w:val="00C44419"/>
    <w:rsid w:val="00C45E7B"/>
    <w:rsid w:val="00C46618"/>
    <w:rsid w:val="00C471B1"/>
    <w:rsid w:val="00C514CC"/>
    <w:rsid w:val="00C51D38"/>
    <w:rsid w:val="00C6316B"/>
    <w:rsid w:val="00C634A9"/>
    <w:rsid w:val="00C64586"/>
    <w:rsid w:val="00C65168"/>
    <w:rsid w:val="00C70D53"/>
    <w:rsid w:val="00C71F1F"/>
    <w:rsid w:val="00C73D0B"/>
    <w:rsid w:val="00C772FF"/>
    <w:rsid w:val="00C80137"/>
    <w:rsid w:val="00C801AF"/>
    <w:rsid w:val="00C80256"/>
    <w:rsid w:val="00C8190F"/>
    <w:rsid w:val="00C8506F"/>
    <w:rsid w:val="00C8790B"/>
    <w:rsid w:val="00C87935"/>
    <w:rsid w:val="00C90E08"/>
    <w:rsid w:val="00C9475A"/>
    <w:rsid w:val="00C94CD4"/>
    <w:rsid w:val="00C951AE"/>
    <w:rsid w:val="00C96B2A"/>
    <w:rsid w:val="00C9747E"/>
    <w:rsid w:val="00CA20D5"/>
    <w:rsid w:val="00CB4062"/>
    <w:rsid w:val="00CB6BC0"/>
    <w:rsid w:val="00CC05E4"/>
    <w:rsid w:val="00CC1120"/>
    <w:rsid w:val="00CC1B7C"/>
    <w:rsid w:val="00CC35C2"/>
    <w:rsid w:val="00CC5EA0"/>
    <w:rsid w:val="00CC66CA"/>
    <w:rsid w:val="00CC69C3"/>
    <w:rsid w:val="00CC727F"/>
    <w:rsid w:val="00CD0AD1"/>
    <w:rsid w:val="00CD2A62"/>
    <w:rsid w:val="00CD2CD4"/>
    <w:rsid w:val="00CD6540"/>
    <w:rsid w:val="00CE2FEE"/>
    <w:rsid w:val="00CE4CAC"/>
    <w:rsid w:val="00CE7107"/>
    <w:rsid w:val="00CE754D"/>
    <w:rsid w:val="00CE7C86"/>
    <w:rsid w:val="00CF09CE"/>
    <w:rsid w:val="00CF0DA4"/>
    <w:rsid w:val="00CF15C3"/>
    <w:rsid w:val="00CF2081"/>
    <w:rsid w:val="00CF2B6F"/>
    <w:rsid w:val="00CF2F3E"/>
    <w:rsid w:val="00CF58B6"/>
    <w:rsid w:val="00CF5B96"/>
    <w:rsid w:val="00D000C7"/>
    <w:rsid w:val="00D0062D"/>
    <w:rsid w:val="00D0139A"/>
    <w:rsid w:val="00D017ED"/>
    <w:rsid w:val="00D040D3"/>
    <w:rsid w:val="00D04C65"/>
    <w:rsid w:val="00D135B2"/>
    <w:rsid w:val="00D201D2"/>
    <w:rsid w:val="00D224FE"/>
    <w:rsid w:val="00D22619"/>
    <w:rsid w:val="00D23139"/>
    <w:rsid w:val="00D416F7"/>
    <w:rsid w:val="00D425BB"/>
    <w:rsid w:val="00D54BCC"/>
    <w:rsid w:val="00D60DFA"/>
    <w:rsid w:val="00D6161C"/>
    <w:rsid w:val="00D6493E"/>
    <w:rsid w:val="00D64B34"/>
    <w:rsid w:val="00D67206"/>
    <w:rsid w:val="00D70A86"/>
    <w:rsid w:val="00D7195D"/>
    <w:rsid w:val="00D7301E"/>
    <w:rsid w:val="00D807EC"/>
    <w:rsid w:val="00D81A54"/>
    <w:rsid w:val="00D83751"/>
    <w:rsid w:val="00D83AE1"/>
    <w:rsid w:val="00D855D4"/>
    <w:rsid w:val="00D8650C"/>
    <w:rsid w:val="00D86B20"/>
    <w:rsid w:val="00D902C9"/>
    <w:rsid w:val="00D90F36"/>
    <w:rsid w:val="00D93466"/>
    <w:rsid w:val="00DA1124"/>
    <w:rsid w:val="00DB075D"/>
    <w:rsid w:val="00DB3413"/>
    <w:rsid w:val="00DB3563"/>
    <w:rsid w:val="00DB6124"/>
    <w:rsid w:val="00DB750B"/>
    <w:rsid w:val="00DB75B7"/>
    <w:rsid w:val="00DC6E02"/>
    <w:rsid w:val="00DD2241"/>
    <w:rsid w:val="00DD28CD"/>
    <w:rsid w:val="00DD3D1C"/>
    <w:rsid w:val="00DE02AE"/>
    <w:rsid w:val="00DF1284"/>
    <w:rsid w:val="00DF1D7F"/>
    <w:rsid w:val="00DF397A"/>
    <w:rsid w:val="00DF4BE4"/>
    <w:rsid w:val="00DF5364"/>
    <w:rsid w:val="00DF7733"/>
    <w:rsid w:val="00DF7AD1"/>
    <w:rsid w:val="00E02FB4"/>
    <w:rsid w:val="00E044EC"/>
    <w:rsid w:val="00E0678D"/>
    <w:rsid w:val="00E0691C"/>
    <w:rsid w:val="00E13FC7"/>
    <w:rsid w:val="00E17DCD"/>
    <w:rsid w:val="00E17E24"/>
    <w:rsid w:val="00E20571"/>
    <w:rsid w:val="00E235F7"/>
    <w:rsid w:val="00E23659"/>
    <w:rsid w:val="00E239D4"/>
    <w:rsid w:val="00E2519D"/>
    <w:rsid w:val="00E26130"/>
    <w:rsid w:val="00E26872"/>
    <w:rsid w:val="00E35B41"/>
    <w:rsid w:val="00E40B22"/>
    <w:rsid w:val="00E41377"/>
    <w:rsid w:val="00E425EA"/>
    <w:rsid w:val="00E43E00"/>
    <w:rsid w:val="00E44ED1"/>
    <w:rsid w:val="00E45619"/>
    <w:rsid w:val="00E4588F"/>
    <w:rsid w:val="00E46DA3"/>
    <w:rsid w:val="00E4721B"/>
    <w:rsid w:val="00E5191D"/>
    <w:rsid w:val="00E51BB1"/>
    <w:rsid w:val="00E52391"/>
    <w:rsid w:val="00E540B7"/>
    <w:rsid w:val="00E57BAD"/>
    <w:rsid w:val="00E60BBF"/>
    <w:rsid w:val="00E60E03"/>
    <w:rsid w:val="00E624A5"/>
    <w:rsid w:val="00E629E0"/>
    <w:rsid w:val="00E63418"/>
    <w:rsid w:val="00E64537"/>
    <w:rsid w:val="00E64BA4"/>
    <w:rsid w:val="00E663BD"/>
    <w:rsid w:val="00E7344E"/>
    <w:rsid w:val="00E77D45"/>
    <w:rsid w:val="00E82665"/>
    <w:rsid w:val="00E84141"/>
    <w:rsid w:val="00E86532"/>
    <w:rsid w:val="00E90B01"/>
    <w:rsid w:val="00E92CED"/>
    <w:rsid w:val="00E94631"/>
    <w:rsid w:val="00E94F7C"/>
    <w:rsid w:val="00E95C5F"/>
    <w:rsid w:val="00E965A6"/>
    <w:rsid w:val="00EA05CE"/>
    <w:rsid w:val="00EA234F"/>
    <w:rsid w:val="00EA2D98"/>
    <w:rsid w:val="00EA4906"/>
    <w:rsid w:val="00EA741E"/>
    <w:rsid w:val="00EB0798"/>
    <w:rsid w:val="00EB0B8E"/>
    <w:rsid w:val="00EB1081"/>
    <w:rsid w:val="00EB1F89"/>
    <w:rsid w:val="00EB215B"/>
    <w:rsid w:val="00EB40AD"/>
    <w:rsid w:val="00EB44FD"/>
    <w:rsid w:val="00EB586E"/>
    <w:rsid w:val="00EB5F4F"/>
    <w:rsid w:val="00EB5FC8"/>
    <w:rsid w:val="00EB7AEF"/>
    <w:rsid w:val="00EC463D"/>
    <w:rsid w:val="00EC4C82"/>
    <w:rsid w:val="00EC7A85"/>
    <w:rsid w:val="00ED235E"/>
    <w:rsid w:val="00ED2922"/>
    <w:rsid w:val="00ED2F30"/>
    <w:rsid w:val="00ED3CAD"/>
    <w:rsid w:val="00ED5A41"/>
    <w:rsid w:val="00EE08B7"/>
    <w:rsid w:val="00EE1DE8"/>
    <w:rsid w:val="00EE27C2"/>
    <w:rsid w:val="00EE618A"/>
    <w:rsid w:val="00EE7484"/>
    <w:rsid w:val="00EF12C4"/>
    <w:rsid w:val="00EF4BAD"/>
    <w:rsid w:val="00F01DDD"/>
    <w:rsid w:val="00F033EC"/>
    <w:rsid w:val="00F03681"/>
    <w:rsid w:val="00F04F68"/>
    <w:rsid w:val="00F05038"/>
    <w:rsid w:val="00F1158B"/>
    <w:rsid w:val="00F12553"/>
    <w:rsid w:val="00F12670"/>
    <w:rsid w:val="00F141EB"/>
    <w:rsid w:val="00F14B27"/>
    <w:rsid w:val="00F16A8D"/>
    <w:rsid w:val="00F20498"/>
    <w:rsid w:val="00F3148D"/>
    <w:rsid w:val="00F324BA"/>
    <w:rsid w:val="00F325C5"/>
    <w:rsid w:val="00F32FE0"/>
    <w:rsid w:val="00F35298"/>
    <w:rsid w:val="00F45446"/>
    <w:rsid w:val="00F47333"/>
    <w:rsid w:val="00F477D8"/>
    <w:rsid w:val="00F47E37"/>
    <w:rsid w:val="00F52402"/>
    <w:rsid w:val="00F53C07"/>
    <w:rsid w:val="00F54B65"/>
    <w:rsid w:val="00F5790D"/>
    <w:rsid w:val="00F6337F"/>
    <w:rsid w:val="00F640B6"/>
    <w:rsid w:val="00F6671F"/>
    <w:rsid w:val="00F66DF2"/>
    <w:rsid w:val="00F67FC5"/>
    <w:rsid w:val="00F70EA2"/>
    <w:rsid w:val="00F741BC"/>
    <w:rsid w:val="00F75990"/>
    <w:rsid w:val="00F80B4F"/>
    <w:rsid w:val="00F80E40"/>
    <w:rsid w:val="00F84637"/>
    <w:rsid w:val="00F84693"/>
    <w:rsid w:val="00F848D9"/>
    <w:rsid w:val="00F86829"/>
    <w:rsid w:val="00F93A84"/>
    <w:rsid w:val="00FA1392"/>
    <w:rsid w:val="00FA5B82"/>
    <w:rsid w:val="00FA639E"/>
    <w:rsid w:val="00FA63BB"/>
    <w:rsid w:val="00FA7AB1"/>
    <w:rsid w:val="00FB2FBC"/>
    <w:rsid w:val="00FB3713"/>
    <w:rsid w:val="00FB48B3"/>
    <w:rsid w:val="00FC1FCA"/>
    <w:rsid w:val="00FC25E4"/>
    <w:rsid w:val="00FC4EF7"/>
    <w:rsid w:val="00FC6D70"/>
    <w:rsid w:val="00FC6DB5"/>
    <w:rsid w:val="00FC7CF2"/>
    <w:rsid w:val="00FD0824"/>
    <w:rsid w:val="00FD119B"/>
    <w:rsid w:val="00FD1EDC"/>
    <w:rsid w:val="00FD25AF"/>
    <w:rsid w:val="00FD3A07"/>
    <w:rsid w:val="00FE1DEE"/>
    <w:rsid w:val="00FF0871"/>
    <w:rsid w:val="00FF2126"/>
    <w:rsid w:val="00FF3719"/>
    <w:rsid w:val="00FF5755"/>
    <w:rsid w:val="00FF69BE"/>
    <w:rsid w:val="00FF6EF9"/>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86BF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6D5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F6671F"/>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paragraph" w:customStyle="1" w:styleId="Bulletpoint">
    <w:name w:val="Bullet point"/>
    <w:basedOn w:val="Normal"/>
    <w:rsid w:val="00730B7C"/>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494138"/>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94138"/>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585F22"/>
    <w:pPr>
      <w:keepNext/>
      <w:spacing w:after="110"/>
      <w:outlineLvl w:val="2"/>
    </w:pPr>
    <w:rPr>
      <w:b/>
      <w:i/>
    </w:rPr>
  </w:style>
  <w:style w:type="character" w:customStyle="1" w:styleId="Title1">
    <w:name w:val="Title1"/>
    <w:basedOn w:val="DefaultParagraphFont"/>
    <w:rsid w:val="00585F22"/>
  </w:style>
  <w:style w:type="paragraph" w:customStyle="1" w:styleId="WhiteSpace">
    <w:name w:val="White Space"/>
    <w:basedOn w:val="Standard"/>
    <w:next w:val="Standard"/>
    <w:link w:val="WhiteSpaceChar"/>
    <w:rsid w:val="00F477D8"/>
    <w:pPr>
      <w:spacing w:after="0"/>
    </w:pPr>
    <w:rPr>
      <w:sz w:val="16"/>
      <w:szCs w:val="16"/>
    </w:rPr>
  </w:style>
  <w:style w:type="character" w:customStyle="1" w:styleId="WhiteSpaceChar">
    <w:name w:val="White Space Char"/>
    <w:basedOn w:val="DefaultParagraphFont"/>
    <w:link w:val="WhiteSpace"/>
    <w:rsid w:val="00F477D8"/>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8863F4"/>
    <w:rPr>
      <w:rFonts w:ascii="Cambria" w:eastAsia="Cambria" w:hAnsi="Cambria" w:cs="Times New Roman"/>
      <w:b/>
      <w:snapToGrid/>
      <w:kern w:val="16"/>
      <w:szCs w:val="24"/>
    </w:rPr>
  </w:style>
  <w:style w:type="paragraph" w:customStyle="1" w:styleId="TableCaption">
    <w:name w:val="Table Caption"/>
    <w:basedOn w:val="Standard"/>
    <w:next w:val="Standard"/>
    <w:link w:val="TableCaptionChar"/>
    <w:rsid w:val="008863F4"/>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8863F4"/>
    <w:rPr>
      <w:rFonts w:ascii="Cambria" w:eastAsia="Cambria" w:hAnsi="Cambria" w:cs="Times New Roman"/>
      <w:sz w:val="19"/>
    </w:rPr>
  </w:style>
  <w:style w:type="character" w:customStyle="1" w:styleId="TableCaptionChar">
    <w:name w:val="Table Caption Char"/>
    <w:basedOn w:val="TabletextChar"/>
    <w:link w:val="TableCaption"/>
    <w:rsid w:val="008863F4"/>
    <w:rPr>
      <w:rFonts w:ascii="Cambria" w:eastAsia="Cambria" w:hAnsi="Cambria" w:cs="Times New Roman"/>
      <w:sz w:val="19"/>
    </w:rPr>
  </w:style>
  <w:style w:type="paragraph" w:customStyle="1" w:styleId="TableHeader">
    <w:name w:val="Table Header"/>
    <w:basedOn w:val="Normal"/>
    <w:rsid w:val="008863F4"/>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32345E"/>
    <w:pPr>
      <w:spacing w:before="0" w:after="0" w:line="200" w:lineRule="exact"/>
      <w:jc w:val="center"/>
    </w:pPr>
    <w:rPr>
      <w:rFonts w:eastAsia="Times New Roman"/>
      <w:snapToGrid w:val="0"/>
      <w:kern w:val="16"/>
      <w:sz w:val="18"/>
      <w:szCs w:val="19"/>
    </w:rPr>
  </w:style>
  <w:style w:type="paragraph" w:customStyle="1" w:styleId="Bullet1">
    <w:name w:val="Bullet 1"/>
    <w:basedOn w:val="Normal"/>
    <w:rsid w:val="00575DD3"/>
    <w:pPr>
      <w:numPr>
        <w:numId w:val="32"/>
      </w:numPr>
      <w:spacing w:after="0" w:line="240" w:lineRule="auto"/>
    </w:pPr>
    <w:rPr>
      <w:rFonts w:eastAsia="Times New Roman"/>
      <w:kern w:val="24"/>
      <w:szCs w:val="24"/>
      <w:lang w:eastAsia="en-AU"/>
    </w:rPr>
  </w:style>
  <w:style w:type="paragraph" w:customStyle="1" w:styleId="Bullet2">
    <w:name w:val="Bullet 2"/>
    <w:basedOn w:val="Bullet1"/>
    <w:rsid w:val="00575DD3"/>
    <w:pPr>
      <w:numPr>
        <w:numId w:val="33"/>
      </w:numPr>
    </w:pPr>
  </w:style>
  <w:style w:type="character" w:customStyle="1" w:styleId="Heading8Char">
    <w:name w:val="Heading 8 Char"/>
    <w:basedOn w:val="DefaultParagraphFont"/>
    <w:link w:val="Heading8"/>
    <w:uiPriority w:val="9"/>
    <w:semiHidden/>
    <w:rsid w:val="00586BF2"/>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1C4E32"/>
    <w:pPr>
      <w:ind w:left="720"/>
      <w:contextualSpacing/>
    </w:pPr>
  </w:style>
  <w:style w:type="table" w:customStyle="1" w:styleId="TableTGAblue1">
    <w:name w:val="Table TGA blue1"/>
    <w:basedOn w:val="TableNormal"/>
    <w:uiPriority w:val="99"/>
    <w:qFormat/>
    <w:rsid w:val="00F2049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st1">
    <w:name w:val="st1"/>
    <w:basedOn w:val="DefaultParagraphFont"/>
    <w:rsid w:val="00C466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86BF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6D5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F6671F"/>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paragraph" w:customStyle="1" w:styleId="Bulletpoint">
    <w:name w:val="Bullet point"/>
    <w:basedOn w:val="Normal"/>
    <w:rsid w:val="00730B7C"/>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494138"/>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94138"/>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585F22"/>
    <w:pPr>
      <w:keepNext/>
      <w:spacing w:after="110"/>
      <w:outlineLvl w:val="2"/>
    </w:pPr>
    <w:rPr>
      <w:b/>
      <w:i/>
    </w:rPr>
  </w:style>
  <w:style w:type="character" w:customStyle="1" w:styleId="Title1">
    <w:name w:val="Title1"/>
    <w:basedOn w:val="DefaultParagraphFont"/>
    <w:rsid w:val="00585F22"/>
  </w:style>
  <w:style w:type="paragraph" w:customStyle="1" w:styleId="WhiteSpace">
    <w:name w:val="White Space"/>
    <w:basedOn w:val="Standard"/>
    <w:next w:val="Standard"/>
    <w:link w:val="WhiteSpaceChar"/>
    <w:rsid w:val="00F477D8"/>
    <w:pPr>
      <w:spacing w:after="0"/>
    </w:pPr>
    <w:rPr>
      <w:sz w:val="16"/>
      <w:szCs w:val="16"/>
    </w:rPr>
  </w:style>
  <w:style w:type="character" w:customStyle="1" w:styleId="WhiteSpaceChar">
    <w:name w:val="White Space Char"/>
    <w:basedOn w:val="DefaultParagraphFont"/>
    <w:link w:val="WhiteSpace"/>
    <w:rsid w:val="00F477D8"/>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8863F4"/>
    <w:rPr>
      <w:rFonts w:ascii="Cambria" w:eastAsia="Cambria" w:hAnsi="Cambria" w:cs="Times New Roman"/>
      <w:b/>
      <w:snapToGrid/>
      <w:kern w:val="16"/>
      <w:szCs w:val="24"/>
    </w:rPr>
  </w:style>
  <w:style w:type="paragraph" w:customStyle="1" w:styleId="TableCaption">
    <w:name w:val="Table Caption"/>
    <w:basedOn w:val="Standard"/>
    <w:next w:val="Standard"/>
    <w:link w:val="TableCaptionChar"/>
    <w:rsid w:val="008863F4"/>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8863F4"/>
    <w:rPr>
      <w:rFonts w:ascii="Cambria" w:eastAsia="Cambria" w:hAnsi="Cambria" w:cs="Times New Roman"/>
      <w:sz w:val="19"/>
    </w:rPr>
  </w:style>
  <w:style w:type="character" w:customStyle="1" w:styleId="TableCaptionChar">
    <w:name w:val="Table Caption Char"/>
    <w:basedOn w:val="TabletextChar"/>
    <w:link w:val="TableCaption"/>
    <w:rsid w:val="008863F4"/>
    <w:rPr>
      <w:rFonts w:ascii="Cambria" w:eastAsia="Cambria" w:hAnsi="Cambria" w:cs="Times New Roman"/>
      <w:sz w:val="19"/>
    </w:rPr>
  </w:style>
  <w:style w:type="paragraph" w:customStyle="1" w:styleId="TableHeader">
    <w:name w:val="Table Header"/>
    <w:basedOn w:val="Normal"/>
    <w:rsid w:val="008863F4"/>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32345E"/>
    <w:pPr>
      <w:spacing w:before="0" w:after="0" w:line="200" w:lineRule="exact"/>
      <w:jc w:val="center"/>
    </w:pPr>
    <w:rPr>
      <w:rFonts w:eastAsia="Times New Roman"/>
      <w:snapToGrid w:val="0"/>
      <w:kern w:val="16"/>
      <w:sz w:val="18"/>
      <w:szCs w:val="19"/>
    </w:rPr>
  </w:style>
  <w:style w:type="paragraph" w:customStyle="1" w:styleId="Bullet1">
    <w:name w:val="Bullet 1"/>
    <w:basedOn w:val="Normal"/>
    <w:rsid w:val="00575DD3"/>
    <w:pPr>
      <w:numPr>
        <w:numId w:val="32"/>
      </w:numPr>
      <w:spacing w:after="0" w:line="240" w:lineRule="auto"/>
    </w:pPr>
    <w:rPr>
      <w:rFonts w:eastAsia="Times New Roman"/>
      <w:kern w:val="24"/>
      <w:szCs w:val="24"/>
      <w:lang w:eastAsia="en-AU"/>
    </w:rPr>
  </w:style>
  <w:style w:type="paragraph" w:customStyle="1" w:styleId="Bullet2">
    <w:name w:val="Bullet 2"/>
    <w:basedOn w:val="Bullet1"/>
    <w:rsid w:val="00575DD3"/>
    <w:pPr>
      <w:numPr>
        <w:numId w:val="33"/>
      </w:numPr>
    </w:pPr>
  </w:style>
  <w:style w:type="character" w:customStyle="1" w:styleId="Heading8Char">
    <w:name w:val="Heading 8 Char"/>
    <w:basedOn w:val="DefaultParagraphFont"/>
    <w:link w:val="Heading8"/>
    <w:uiPriority w:val="9"/>
    <w:semiHidden/>
    <w:rsid w:val="00586BF2"/>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1C4E32"/>
    <w:pPr>
      <w:ind w:left="720"/>
      <w:contextualSpacing/>
    </w:pPr>
  </w:style>
  <w:style w:type="table" w:customStyle="1" w:styleId="TableTGAblue1">
    <w:name w:val="Table TGA blue1"/>
    <w:basedOn w:val="TableNormal"/>
    <w:uiPriority w:val="99"/>
    <w:qFormat/>
    <w:rsid w:val="00F2049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st1">
    <w:name w:val="st1"/>
    <w:basedOn w:val="DefaultParagraphFont"/>
    <w:rsid w:val="00C46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tga.gov.au/product-information-pi" TargetMode="External"/><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1627B-6C03-4C66-8AB9-537907F2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126</TotalTime>
  <Pages>93</Pages>
  <Words>31224</Words>
  <Characters>177046</Characters>
  <Application>Microsoft Office Word</Application>
  <DocSecurity>0</DocSecurity>
  <Lines>5711</Lines>
  <Paragraphs>3653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204617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dc:title>
  <dc:subject>prescription medicine regulation</dc:subject>
  <dc:creator>Papathanasiou, Peter</dc:creator>
  <cp:keywords>auspar, prescription, medicine, assessment, regulation, australia</cp:keywords>
  <cp:lastModifiedBy>LACK, Janet</cp:lastModifiedBy>
  <cp:revision>3</cp:revision>
  <cp:lastPrinted>2015-09-22T23:39:00Z</cp:lastPrinted>
  <dcterms:created xsi:type="dcterms:W3CDTF">2017-04-10T00:13:00Z</dcterms:created>
  <dcterms:modified xsi:type="dcterms:W3CDTF">2017-04-10T03:45:00Z</dcterms:modified>
  <cp:category>external publication</cp:category>
</cp:coreProperties>
</file>