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B46F6B" w:rsidP="00C802D1">
            <w:pPr>
              <w:rPr>
                <w:rFonts w:ascii="Arial" w:hAnsi="Arial" w:cs="Arial"/>
                <w:b/>
                <w:color w:val="002C47"/>
                <w:sz w:val="36"/>
                <w:szCs w:val="36"/>
              </w:rPr>
            </w:pPr>
            <w:r>
              <w:rPr>
                <w:rFonts w:ascii="Arial" w:hAnsi="Arial" w:cs="Arial"/>
                <w:b/>
                <w:color w:val="002C47"/>
                <w:sz w:val="36"/>
                <w:szCs w:val="36"/>
              </w:rPr>
              <w:t>January</w:t>
            </w:r>
            <w:r w:rsidR="008E7846">
              <w:rPr>
                <w:rFonts w:ascii="Arial" w:hAnsi="Arial" w:cs="Arial"/>
                <w:b/>
                <w:color w:val="002C47"/>
                <w:sz w:val="36"/>
                <w:szCs w:val="36"/>
              </w:rPr>
              <w:t xml:space="preserve"> </w:t>
            </w:r>
            <w:r>
              <w:rPr>
                <w:rFonts w:ascii="Arial" w:hAnsi="Arial" w:cs="Arial"/>
                <w:b/>
                <w:color w:val="002C47"/>
                <w:sz w:val="36"/>
                <w:szCs w:val="36"/>
              </w:rPr>
              <w:t>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Australian Pu</w:t>
            </w:r>
            <w:r w:rsidR="00C802D1">
              <w:rPr>
                <w:color w:val="FFFFFF" w:themeColor="background1"/>
              </w:rPr>
              <w:t xml:space="preserve">blic Assessment Report for brimonidine </w:t>
            </w:r>
            <w:r w:rsidR="000B080A">
              <w:rPr>
                <w:color w:val="FFFFFF" w:themeColor="background1"/>
              </w:rPr>
              <w:t xml:space="preserve">(as </w:t>
            </w:r>
            <w:r w:rsidR="00C802D1">
              <w:rPr>
                <w:color w:val="FFFFFF" w:themeColor="background1"/>
              </w:rPr>
              <w:t>tartrate</w:t>
            </w:r>
            <w:r w:rsidR="000B080A">
              <w:rPr>
                <w:color w:val="FFFFFF" w:themeColor="background1"/>
              </w:rPr>
              <w:t>)</w:t>
            </w:r>
          </w:p>
        </w:tc>
      </w:tr>
      <w:tr w:rsidR="0032583B" w:rsidRPr="00B64760" w:rsidTr="0032583B">
        <w:tc>
          <w:tcPr>
            <w:tcW w:w="9079" w:type="dxa"/>
          </w:tcPr>
          <w:p w:rsidR="0032583B" w:rsidRPr="008E7846" w:rsidRDefault="0032583B" w:rsidP="00C802D1">
            <w:pPr>
              <w:pStyle w:val="Subtitle"/>
              <w:rPr>
                <w:color w:val="FFFFFF" w:themeColor="background1"/>
              </w:rPr>
            </w:pPr>
            <w:r w:rsidRPr="008E7846">
              <w:rPr>
                <w:color w:val="FFFFFF" w:themeColor="background1"/>
              </w:rPr>
              <w:t xml:space="preserve">Proprietary Product Name: </w:t>
            </w:r>
            <w:bookmarkStart w:id="0" w:name="_GoBack"/>
            <w:proofErr w:type="spellStart"/>
            <w:r w:rsidR="00C802D1">
              <w:rPr>
                <w:color w:val="FFFFFF" w:themeColor="background1"/>
              </w:rPr>
              <w:t>Mirvaso</w:t>
            </w:r>
            <w:bookmarkEnd w:id="0"/>
            <w:proofErr w:type="spellEnd"/>
          </w:p>
        </w:tc>
      </w:tr>
      <w:tr w:rsidR="0032583B" w:rsidRPr="00B64760" w:rsidTr="0032583B">
        <w:trPr>
          <w:trHeight w:val="486"/>
        </w:trPr>
        <w:tc>
          <w:tcPr>
            <w:tcW w:w="9079" w:type="dxa"/>
          </w:tcPr>
          <w:p w:rsidR="0032583B" w:rsidRPr="008E7846" w:rsidRDefault="0032583B" w:rsidP="00C802D1">
            <w:pPr>
              <w:pStyle w:val="Subtitle"/>
              <w:rPr>
                <w:color w:val="FFFFFF" w:themeColor="background1"/>
              </w:rPr>
            </w:pPr>
            <w:r w:rsidRPr="008E7846">
              <w:rPr>
                <w:color w:val="FFFFFF" w:themeColor="background1"/>
              </w:rPr>
              <w:t xml:space="preserve">Sponsor: </w:t>
            </w:r>
            <w:proofErr w:type="spellStart"/>
            <w:r w:rsidR="00C802D1">
              <w:rPr>
                <w:color w:val="FFFFFF" w:themeColor="background1"/>
              </w:rPr>
              <w:t>Galderma</w:t>
            </w:r>
            <w:proofErr w:type="spellEnd"/>
            <w:r w:rsidR="00C802D1">
              <w:rPr>
                <w:color w:val="FFFFFF" w:themeColor="background1"/>
              </w:rPr>
              <w:t xml:space="preserv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C7A85" w:rsidRPr="003A5406">
          <w:rPr>
            <w:rStyle w:val="Hyperlink"/>
          </w:rPr>
          <w:t>http://www.tga.gov.au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8E7846">
      <w:pPr>
        <w:pStyle w:val="ListBullet"/>
        <w:numPr>
          <w:ilvl w:val="0"/>
          <w:numId w:val="3"/>
        </w:numPr>
        <w:ind w:left="357" w:hanging="357"/>
      </w:pPr>
      <w:r>
        <w:t>An Australian Public Assessment Record (AusPAR) provides information about the evaluation of a prescription medicine and the considerations that led the TGA to approve or not approve a pr</w:t>
      </w:r>
      <w:r w:rsidR="005E6202">
        <w:t>escription medicine submission.</w:t>
      </w:r>
    </w:p>
    <w:p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rsidR="008E7846" w:rsidRDefault="008E7846" w:rsidP="008E7846">
      <w:pPr>
        <w:pStyle w:val="ListBullet"/>
        <w:numPr>
          <w:ilvl w:val="0"/>
          <w:numId w:val="3"/>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AA4341">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9A6879"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13157295" w:history="1">
            <w:r w:rsidR="009A6879" w:rsidRPr="002E41C7">
              <w:rPr>
                <w:rStyle w:val="Hyperlink"/>
                <w:noProof/>
              </w:rPr>
              <w:t>List of the most common abbreviations used in this AusPAR</w:t>
            </w:r>
            <w:r w:rsidR="009A6879">
              <w:rPr>
                <w:noProof/>
                <w:webHidden/>
              </w:rPr>
              <w:tab/>
            </w:r>
            <w:r w:rsidR="009A6879">
              <w:rPr>
                <w:noProof/>
                <w:webHidden/>
              </w:rPr>
              <w:fldChar w:fldCharType="begin"/>
            </w:r>
            <w:r w:rsidR="009A6879">
              <w:rPr>
                <w:noProof/>
                <w:webHidden/>
              </w:rPr>
              <w:instrText xml:space="preserve"> PAGEREF _Toc413157295 \h </w:instrText>
            </w:r>
            <w:r w:rsidR="009A6879">
              <w:rPr>
                <w:noProof/>
                <w:webHidden/>
              </w:rPr>
            </w:r>
            <w:r w:rsidR="009A6879">
              <w:rPr>
                <w:noProof/>
                <w:webHidden/>
              </w:rPr>
              <w:fldChar w:fldCharType="separate"/>
            </w:r>
            <w:r w:rsidR="009A6879">
              <w:rPr>
                <w:noProof/>
                <w:webHidden/>
              </w:rPr>
              <w:t>5</w:t>
            </w:r>
            <w:r w:rsidR="009A6879">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296" w:history="1">
            <w:r w:rsidRPr="002E41C7">
              <w:rPr>
                <w:rStyle w:val="Hyperlink"/>
                <w:noProof/>
              </w:rPr>
              <w:t>I. Introduction to product submission</w:t>
            </w:r>
            <w:r>
              <w:rPr>
                <w:noProof/>
                <w:webHidden/>
              </w:rPr>
              <w:tab/>
            </w:r>
            <w:r>
              <w:rPr>
                <w:noProof/>
                <w:webHidden/>
              </w:rPr>
              <w:fldChar w:fldCharType="begin"/>
            </w:r>
            <w:r>
              <w:rPr>
                <w:noProof/>
                <w:webHidden/>
              </w:rPr>
              <w:instrText xml:space="preserve"> PAGEREF _Toc413157296 \h </w:instrText>
            </w:r>
            <w:r>
              <w:rPr>
                <w:noProof/>
                <w:webHidden/>
              </w:rPr>
            </w:r>
            <w:r>
              <w:rPr>
                <w:noProof/>
                <w:webHidden/>
              </w:rPr>
              <w:fldChar w:fldCharType="separate"/>
            </w:r>
            <w:r>
              <w:rPr>
                <w:noProof/>
                <w:webHidden/>
              </w:rPr>
              <w:t>8</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297" w:history="1">
            <w:r w:rsidRPr="002E41C7">
              <w:rPr>
                <w:rStyle w:val="Hyperlink"/>
                <w:noProof/>
                <w:lang w:eastAsia="en-AU"/>
              </w:rPr>
              <w:t>Submission details</w:t>
            </w:r>
            <w:r>
              <w:rPr>
                <w:noProof/>
                <w:webHidden/>
              </w:rPr>
              <w:tab/>
            </w:r>
            <w:r>
              <w:rPr>
                <w:noProof/>
                <w:webHidden/>
              </w:rPr>
              <w:fldChar w:fldCharType="begin"/>
            </w:r>
            <w:r>
              <w:rPr>
                <w:noProof/>
                <w:webHidden/>
              </w:rPr>
              <w:instrText xml:space="preserve"> PAGEREF _Toc413157297 \h </w:instrText>
            </w:r>
            <w:r>
              <w:rPr>
                <w:noProof/>
                <w:webHidden/>
              </w:rPr>
            </w:r>
            <w:r>
              <w:rPr>
                <w:noProof/>
                <w:webHidden/>
              </w:rPr>
              <w:fldChar w:fldCharType="separate"/>
            </w:r>
            <w:r>
              <w:rPr>
                <w:noProof/>
                <w:webHidden/>
              </w:rPr>
              <w:t>8</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298" w:history="1">
            <w:r w:rsidRPr="002E41C7">
              <w:rPr>
                <w:rStyle w:val="Hyperlink"/>
                <w:noProof/>
              </w:rPr>
              <w:t>Product background</w:t>
            </w:r>
            <w:r>
              <w:rPr>
                <w:noProof/>
                <w:webHidden/>
              </w:rPr>
              <w:tab/>
            </w:r>
            <w:r>
              <w:rPr>
                <w:noProof/>
                <w:webHidden/>
              </w:rPr>
              <w:fldChar w:fldCharType="begin"/>
            </w:r>
            <w:r>
              <w:rPr>
                <w:noProof/>
                <w:webHidden/>
              </w:rPr>
              <w:instrText xml:space="preserve"> PAGEREF _Toc413157298 \h </w:instrText>
            </w:r>
            <w:r>
              <w:rPr>
                <w:noProof/>
                <w:webHidden/>
              </w:rPr>
            </w:r>
            <w:r>
              <w:rPr>
                <w:noProof/>
                <w:webHidden/>
              </w:rPr>
              <w:fldChar w:fldCharType="separate"/>
            </w:r>
            <w:r>
              <w:rPr>
                <w:noProof/>
                <w:webHidden/>
              </w:rPr>
              <w:t>8</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299" w:history="1">
            <w:r w:rsidRPr="002E41C7">
              <w:rPr>
                <w:rStyle w:val="Hyperlink"/>
                <w:noProof/>
              </w:rPr>
              <w:t>Regulatory status</w:t>
            </w:r>
            <w:r>
              <w:rPr>
                <w:noProof/>
                <w:webHidden/>
              </w:rPr>
              <w:tab/>
            </w:r>
            <w:r>
              <w:rPr>
                <w:noProof/>
                <w:webHidden/>
              </w:rPr>
              <w:fldChar w:fldCharType="begin"/>
            </w:r>
            <w:r>
              <w:rPr>
                <w:noProof/>
                <w:webHidden/>
              </w:rPr>
              <w:instrText xml:space="preserve"> PAGEREF _Toc413157299 \h </w:instrText>
            </w:r>
            <w:r>
              <w:rPr>
                <w:noProof/>
                <w:webHidden/>
              </w:rPr>
            </w:r>
            <w:r>
              <w:rPr>
                <w:noProof/>
                <w:webHidden/>
              </w:rPr>
              <w:fldChar w:fldCharType="separate"/>
            </w:r>
            <w:r>
              <w:rPr>
                <w:noProof/>
                <w:webHidden/>
              </w:rPr>
              <w:t>9</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0" w:history="1">
            <w:r w:rsidRPr="002E41C7">
              <w:rPr>
                <w:rStyle w:val="Hyperlink"/>
                <w:noProof/>
              </w:rPr>
              <w:t>Product Information</w:t>
            </w:r>
            <w:r>
              <w:rPr>
                <w:noProof/>
                <w:webHidden/>
              </w:rPr>
              <w:tab/>
            </w:r>
            <w:r>
              <w:rPr>
                <w:noProof/>
                <w:webHidden/>
              </w:rPr>
              <w:fldChar w:fldCharType="begin"/>
            </w:r>
            <w:r>
              <w:rPr>
                <w:noProof/>
                <w:webHidden/>
              </w:rPr>
              <w:instrText xml:space="preserve"> PAGEREF _Toc413157300 \h </w:instrText>
            </w:r>
            <w:r>
              <w:rPr>
                <w:noProof/>
                <w:webHidden/>
              </w:rPr>
            </w:r>
            <w:r>
              <w:rPr>
                <w:noProof/>
                <w:webHidden/>
              </w:rPr>
              <w:fldChar w:fldCharType="separate"/>
            </w:r>
            <w:r>
              <w:rPr>
                <w:noProof/>
                <w:webHidden/>
              </w:rPr>
              <w:t>9</w:t>
            </w:r>
            <w:r>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301" w:history="1">
            <w:r w:rsidRPr="002E41C7">
              <w:rPr>
                <w:rStyle w:val="Hyperlink"/>
                <w:noProof/>
              </w:rPr>
              <w:t>II. Quality findings</w:t>
            </w:r>
            <w:r>
              <w:rPr>
                <w:noProof/>
                <w:webHidden/>
              </w:rPr>
              <w:tab/>
            </w:r>
            <w:r>
              <w:rPr>
                <w:noProof/>
                <w:webHidden/>
              </w:rPr>
              <w:fldChar w:fldCharType="begin"/>
            </w:r>
            <w:r>
              <w:rPr>
                <w:noProof/>
                <w:webHidden/>
              </w:rPr>
              <w:instrText xml:space="preserve"> PAGEREF _Toc413157301 \h </w:instrText>
            </w:r>
            <w:r>
              <w:rPr>
                <w:noProof/>
                <w:webHidden/>
              </w:rPr>
            </w:r>
            <w:r>
              <w:rPr>
                <w:noProof/>
                <w:webHidden/>
              </w:rPr>
              <w:fldChar w:fldCharType="separate"/>
            </w:r>
            <w:r>
              <w:rPr>
                <w:noProof/>
                <w:webHidden/>
              </w:rPr>
              <w:t>9</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2" w:history="1">
            <w:r w:rsidRPr="002E41C7">
              <w:rPr>
                <w:rStyle w:val="Hyperlink"/>
                <w:noProof/>
              </w:rPr>
              <w:t>Introduction</w:t>
            </w:r>
            <w:r>
              <w:rPr>
                <w:noProof/>
                <w:webHidden/>
              </w:rPr>
              <w:tab/>
            </w:r>
            <w:r>
              <w:rPr>
                <w:noProof/>
                <w:webHidden/>
              </w:rPr>
              <w:fldChar w:fldCharType="begin"/>
            </w:r>
            <w:r>
              <w:rPr>
                <w:noProof/>
                <w:webHidden/>
              </w:rPr>
              <w:instrText xml:space="preserve"> PAGEREF _Toc413157302 \h </w:instrText>
            </w:r>
            <w:r>
              <w:rPr>
                <w:noProof/>
                <w:webHidden/>
              </w:rPr>
            </w:r>
            <w:r>
              <w:rPr>
                <w:noProof/>
                <w:webHidden/>
              </w:rPr>
              <w:fldChar w:fldCharType="separate"/>
            </w:r>
            <w:r>
              <w:rPr>
                <w:noProof/>
                <w:webHidden/>
              </w:rPr>
              <w:t>9</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3" w:history="1">
            <w:r w:rsidRPr="002E41C7">
              <w:rPr>
                <w:rStyle w:val="Hyperlink"/>
                <w:noProof/>
              </w:rPr>
              <w:t>Drug substance (active ingredient)</w:t>
            </w:r>
            <w:r>
              <w:rPr>
                <w:noProof/>
                <w:webHidden/>
              </w:rPr>
              <w:tab/>
            </w:r>
            <w:r>
              <w:rPr>
                <w:noProof/>
                <w:webHidden/>
              </w:rPr>
              <w:fldChar w:fldCharType="begin"/>
            </w:r>
            <w:r>
              <w:rPr>
                <w:noProof/>
                <w:webHidden/>
              </w:rPr>
              <w:instrText xml:space="preserve"> PAGEREF _Toc413157303 \h </w:instrText>
            </w:r>
            <w:r>
              <w:rPr>
                <w:noProof/>
                <w:webHidden/>
              </w:rPr>
            </w:r>
            <w:r>
              <w:rPr>
                <w:noProof/>
                <w:webHidden/>
              </w:rPr>
              <w:fldChar w:fldCharType="separate"/>
            </w:r>
            <w:r>
              <w:rPr>
                <w:noProof/>
                <w:webHidden/>
              </w:rPr>
              <w:t>10</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4" w:history="1">
            <w:r w:rsidRPr="002E41C7">
              <w:rPr>
                <w:rStyle w:val="Hyperlink"/>
                <w:noProof/>
              </w:rPr>
              <w:t>Drug product</w:t>
            </w:r>
            <w:r>
              <w:rPr>
                <w:noProof/>
                <w:webHidden/>
              </w:rPr>
              <w:tab/>
            </w:r>
            <w:r>
              <w:rPr>
                <w:noProof/>
                <w:webHidden/>
              </w:rPr>
              <w:fldChar w:fldCharType="begin"/>
            </w:r>
            <w:r>
              <w:rPr>
                <w:noProof/>
                <w:webHidden/>
              </w:rPr>
              <w:instrText xml:space="preserve"> PAGEREF _Toc413157304 \h </w:instrText>
            </w:r>
            <w:r>
              <w:rPr>
                <w:noProof/>
                <w:webHidden/>
              </w:rPr>
            </w:r>
            <w:r>
              <w:rPr>
                <w:noProof/>
                <w:webHidden/>
              </w:rPr>
              <w:fldChar w:fldCharType="separate"/>
            </w:r>
            <w:r>
              <w:rPr>
                <w:noProof/>
                <w:webHidden/>
              </w:rPr>
              <w:t>10</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5" w:history="1">
            <w:r w:rsidRPr="002E41C7">
              <w:rPr>
                <w:rStyle w:val="Hyperlink"/>
                <w:noProof/>
              </w:rPr>
              <w:t>Biopharmaceutics</w:t>
            </w:r>
            <w:r>
              <w:rPr>
                <w:noProof/>
                <w:webHidden/>
              </w:rPr>
              <w:tab/>
            </w:r>
            <w:r>
              <w:rPr>
                <w:noProof/>
                <w:webHidden/>
              </w:rPr>
              <w:fldChar w:fldCharType="begin"/>
            </w:r>
            <w:r>
              <w:rPr>
                <w:noProof/>
                <w:webHidden/>
              </w:rPr>
              <w:instrText xml:space="preserve"> PAGEREF _Toc413157305 \h </w:instrText>
            </w:r>
            <w:r>
              <w:rPr>
                <w:noProof/>
                <w:webHidden/>
              </w:rPr>
            </w:r>
            <w:r>
              <w:rPr>
                <w:noProof/>
                <w:webHidden/>
              </w:rPr>
              <w:fldChar w:fldCharType="separate"/>
            </w:r>
            <w:r>
              <w:rPr>
                <w:noProof/>
                <w:webHidden/>
              </w:rPr>
              <w:t>10</w:t>
            </w:r>
            <w:r>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306" w:history="1">
            <w:r w:rsidRPr="002E41C7">
              <w:rPr>
                <w:rStyle w:val="Hyperlink"/>
                <w:noProof/>
              </w:rPr>
              <w:t>III. Nonclinical findings</w:t>
            </w:r>
            <w:r>
              <w:rPr>
                <w:noProof/>
                <w:webHidden/>
              </w:rPr>
              <w:tab/>
            </w:r>
            <w:r>
              <w:rPr>
                <w:noProof/>
                <w:webHidden/>
              </w:rPr>
              <w:fldChar w:fldCharType="begin"/>
            </w:r>
            <w:r>
              <w:rPr>
                <w:noProof/>
                <w:webHidden/>
              </w:rPr>
              <w:instrText xml:space="preserve"> PAGEREF _Toc413157306 \h </w:instrText>
            </w:r>
            <w:r>
              <w:rPr>
                <w:noProof/>
                <w:webHidden/>
              </w:rPr>
            </w:r>
            <w:r>
              <w:rPr>
                <w:noProof/>
                <w:webHidden/>
              </w:rPr>
              <w:fldChar w:fldCharType="separate"/>
            </w:r>
            <w:r>
              <w:rPr>
                <w:noProof/>
                <w:webHidden/>
              </w:rPr>
              <w:t>11</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7" w:history="1">
            <w:r w:rsidRPr="002E41C7">
              <w:rPr>
                <w:rStyle w:val="Hyperlink"/>
                <w:noProof/>
              </w:rPr>
              <w:t>Pharmacology</w:t>
            </w:r>
            <w:r>
              <w:rPr>
                <w:noProof/>
                <w:webHidden/>
              </w:rPr>
              <w:tab/>
            </w:r>
            <w:r>
              <w:rPr>
                <w:noProof/>
                <w:webHidden/>
              </w:rPr>
              <w:fldChar w:fldCharType="begin"/>
            </w:r>
            <w:r>
              <w:rPr>
                <w:noProof/>
                <w:webHidden/>
              </w:rPr>
              <w:instrText xml:space="preserve"> PAGEREF _Toc413157307 \h </w:instrText>
            </w:r>
            <w:r>
              <w:rPr>
                <w:noProof/>
                <w:webHidden/>
              </w:rPr>
            </w:r>
            <w:r>
              <w:rPr>
                <w:noProof/>
                <w:webHidden/>
              </w:rPr>
              <w:fldChar w:fldCharType="separate"/>
            </w:r>
            <w:r>
              <w:rPr>
                <w:noProof/>
                <w:webHidden/>
              </w:rPr>
              <w:t>11</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8" w:history="1">
            <w:r w:rsidRPr="002E41C7">
              <w:rPr>
                <w:rStyle w:val="Hyperlink"/>
                <w:noProof/>
              </w:rPr>
              <w:t>Pharmacokinetics</w:t>
            </w:r>
            <w:r>
              <w:rPr>
                <w:noProof/>
                <w:webHidden/>
              </w:rPr>
              <w:tab/>
            </w:r>
            <w:r>
              <w:rPr>
                <w:noProof/>
                <w:webHidden/>
              </w:rPr>
              <w:fldChar w:fldCharType="begin"/>
            </w:r>
            <w:r>
              <w:rPr>
                <w:noProof/>
                <w:webHidden/>
              </w:rPr>
              <w:instrText xml:space="preserve"> PAGEREF _Toc413157308 \h </w:instrText>
            </w:r>
            <w:r>
              <w:rPr>
                <w:noProof/>
                <w:webHidden/>
              </w:rPr>
            </w:r>
            <w:r>
              <w:rPr>
                <w:noProof/>
                <w:webHidden/>
              </w:rPr>
              <w:fldChar w:fldCharType="separate"/>
            </w:r>
            <w:r>
              <w:rPr>
                <w:noProof/>
                <w:webHidden/>
              </w:rPr>
              <w:t>12</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09" w:history="1">
            <w:r w:rsidRPr="002E41C7">
              <w:rPr>
                <w:rStyle w:val="Hyperlink"/>
                <w:noProof/>
              </w:rPr>
              <w:t>Toxicology</w:t>
            </w:r>
            <w:r>
              <w:rPr>
                <w:noProof/>
                <w:webHidden/>
              </w:rPr>
              <w:tab/>
            </w:r>
            <w:r>
              <w:rPr>
                <w:noProof/>
                <w:webHidden/>
              </w:rPr>
              <w:fldChar w:fldCharType="begin"/>
            </w:r>
            <w:r>
              <w:rPr>
                <w:noProof/>
                <w:webHidden/>
              </w:rPr>
              <w:instrText xml:space="preserve"> PAGEREF _Toc413157309 \h </w:instrText>
            </w:r>
            <w:r>
              <w:rPr>
                <w:noProof/>
                <w:webHidden/>
              </w:rPr>
            </w:r>
            <w:r>
              <w:rPr>
                <w:noProof/>
                <w:webHidden/>
              </w:rPr>
              <w:fldChar w:fldCharType="separate"/>
            </w:r>
            <w:r>
              <w:rPr>
                <w:noProof/>
                <w:webHidden/>
              </w:rPr>
              <w:t>12</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0" w:history="1">
            <w:r w:rsidRPr="002E41C7">
              <w:rPr>
                <w:rStyle w:val="Hyperlink"/>
                <w:noProof/>
              </w:rPr>
              <w:t>Nonclinical summary</w:t>
            </w:r>
            <w:r>
              <w:rPr>
                <w:noProof/>
                <w:webHidden/>
              </w:rPr>
              <w:tab/>
            </w:r>
            <w:r>
              <w:rPr>
                <w:noProof/>
                <w:webHidden/>
              </w:rPr>
              <w:fldChar w:fldCharType="begin"/>
            </w:r>
            <w:r>
              <w:rPr>
                <w:noProof/>
                <w:webHidden/>
              </w:rPr>
              <w:instrText xml:space="preserve"> PAGEREF _Toc413157310 \h </w:instrText>
            </w:r>
            <w:r>
              <w:rPr>
                <w:noProof/>
                <w:webHidden/>
              </w:rPr>
            </w:r>
            <w:r>
              <w:rPr>
                <w:noProof/>
                <w:webHidden/>
              </w:rPr>
              <w:fldChar w:fldCharType="separate"/>
            </w:r>
            <w:r>
              <w:rPr>
                <w:noProof/>
                <w:webHidden/>
              </w:rPr>
              <w:t>17</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1" w:history="1">
            <w:r w:rsidRPr="002E41C7">
              <w:rPr>
                <w:rStyle w:val="Hyperlink"/>
                <w:noProof/>
              </w:rPr>
              <w:t>Conclusions and recommendation</w:t>
            </w:r>
            <w:r>
              <w:rPr>
                <w:noProof/>
                <w:webHidden/>
              </w:rPr>
              <w:tab/>
            </w:r>
            <w:r>
              <w:rPr>
                <w:noProof/>
                <w:webHidden/>
              </w:rPr>
              <w:fldChar w:fldCharType="begin"/>
            </w:r>
            <w:r>
              <w:rPr>
                <w:noProof/>
                <w:webHidden/>
              </w:rPr>
              <w:instrText xml:space="preserve"> PAGEREF _Toc413157311 \h </w:instrText>
            </w:r>
            <w:r>
              <w:rPr>
                <w:noProof/>
                <w:webHidden/>
              </w:rPr>
            </w:r>
            <w:r>
              <w:rPr>
                <w:noProof/>
                <w:webHidden/>
              </w:rPr>
              <w:fldChar w:fldCharType="separate"/>
            </w:r>
            <w:r>
              <w:rPr>
                <w:noProof/>
                <w:webHidden/>
              </w:rPr>
              <w:t>17</w:t>
            </w:r>
            <w:r>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312" w:history="1">
            <w:r w:rsidRPr="002E41C7">
              <w:rPr>
                <w:rStyle w:val="Hyperlink"/>
                <w:noProof/>
              </w:rPr>
              <w:t>IV. Clinical findings</w:t>
            </w:r>
            <w:r>
              <w:rPr>
                <w:noProof/>
                <w:webHidden/>
              </w:rPr>
              <w:tab/>
            </w:r>
            <w:r>
              <w:rPr>
                <w:noProof/>
                <w:webHidden/>
              </w:rPr>
              <w:fldChar w:fldCharType="begin"/>
            </w:r>
            <w:r>
              <w:rPr>
                <w:noProof/>
                <w:webHidden/>
              </w:rPr>
              <w:instrText xml:space="preserve"> PAGEREF _Toc413157312 \h </w:instrText>
            </w:r>
            <w:r>
              <w:rPr>
                <w:noProof/>
                <w:webHidden/>
              </w:rPr>
            </w:r>
            <w:r>
              <w:rPr>
                <w:noProof/>
                <w:webHidden/>
              </w:rPr>
              <w:fldChar w:fldCharType="separate"/>
            </w:r>
            <w:r>
              <w:rPr>
                <w:noProof/>
                <w:webHidden/>
              </w:rPr>
              <w:t>18</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3" w:history="1">
            <w:r w:rsidRPr="002E41C7">
              <w:rPr>
                <w:rStyle w:val="Hyperlink"/>
                <w:noProof/>
              </w:rPr>
              <w:t>Introduction</w:t>
            </w:r>
            <w:r>
              <w:rPr>
                <w:noProof/>
                <w:webHidden/>
              </w:rPr>
              <w:tab/>
            </w:r>
            <w:r>
              <w:rPr>
                <w:noProof/>
                <w:webHidden/>
              </w:rPr>
              <w:fldChar w:fldCharType="begin"/>
            </w:r>
            <w:r>
              <w:rPr>
                <w:noProof/>
                <w:webHidden/>
              </w:rPr>
              <w:instrText xml:space="preserve"> PAGEREF _Toc413157313 \h </w:instrText>
            </w:r>
            <w:r>
              <w:rPr>
                <w:noProof/>
                <w:webHidden/>
              </w:rPr>
            </w:r>
            <w:r>
              <w:rPr>
                <w:noProof/>
                <w:webHidden/>
              </w:rPr>
              <w:fldChar w:fldCharType="separate"/>
            </w:r>
            <w:r>
              <w:rPr>
                <w:noProof/>
                <w:webHidden/>
              </w:rPr>
              <w:t>18</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4" w:history="1">
            <w:r w:rsidRPr="002E41C7">
              <w:rPr>
                <w:rStyle w:val="Hyperlink"/>
                <w:noProof/>
              </w:rPr>
              <w:t>Pharmacokinetics</w:t>
            </w:r>
            <w:r>
              <w:rPr>
                <w:noProof/>
                <w:webHidden/>
              </w:rPr>
              <w:tab/>
            </w:r>
            <w:r>
              <w:rPr>
                <w:noProof/>
                <w:webHidden/>
              </w:rPr>
              <w:fldChar w:fldCharType="begin"/>
            </w:r>
            <w:r>
              <w:rPr>
                <w:noProof/>
                <w:webHidden/>
              </w:rPr>
              <w:instrText xml:space="preserve"> PAGEREF _Toc413157314 \h </w:instrText>
            </w:r>
            <w:r>
              <w:rPr>
                <w:noProof/>
                <w:webHidden/>
              </w:rPr>
            </w:r>
            <w:r>
              <w:rPr>
                <w:noProof/>
                <w:webHidden/>
              </w:rPr>
              <w:fldChar w:fldCharType="separate"/>
            </w:r>
            <w:r>
              <w:rPr>
                <w:noProof/>
                <w:webHidden/>
              </w:rPr>
              <w:t>20</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5" w:history="1">
            <w:r w:rsidRPr="002E41C7">
              <w:rPr>
                <w:rStyle w:val="Hyperlink"/>
                <w:noProof/>
              </w:rPr>
              <w:t>Pharmacodynamics</w:t>
            </w:r>
            <w:r>
              <w:rPr>
                <w:noProof/>
                <w:webHidden/>
              </w:rPr>
              <w:tab/>
            </w:r>
            <w:r>
              <w:rPr>
                <w:noProof/>
                <w:webHidden/>
              </w:rPr>
              <w:fldChar w:fldCharType="begin"/>
            </w:r>
            <w:r>
              <w:rPr>
                <w:noProof/>
                <w:webHidden/>
              </w:rPr>
              <w:instrText xml:space="preserve"> PAGEREF _Toc413157315 \h </w:instrText>
            </w:r>
            <w:r>
              <w:rPr>
                <w:noProof/>
                <w:webHidden/>
              </w:rPr>
            </w:r>
            <w:r>
              <w:rPr>
                <w:noProof/>
                <w:webHidden/>
              </w:rPr>
              <w:fldChar w:fldCharType="separate"/>
            </w:r>
            <w:r>
              <w:rPr>
                <w:noProof/>
                <w:webHidden/>
              </w:rPr>
              <w:t>22</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6" w:history="1">
            <w:r w:rsidRPr="002E41C7">
              <w:rPr>
                <w:rStyle w:val="Hyperlink"/>
                <w:noProof/>
              </w:rPr>
              <w:t>Dosage selection for the pivotal studies</w:t>
            </w:r>
            <w:r>
              <w:rPr>
                <w:noProof/>
                <w:webHidden/>
              </w:rPr>
              <w:tab/>
            </w:r>
            <w:r>
              <w:rPr>
                <w:noProof/>
                <w:webHidden/>
              </w:rPr>
              <w:fldChar w:fldCharType="begin"/>
            </w:r>
            <w:r>
              <w:rPr>
                <w:noProof/>
                <w:webHidden/>
              </w:rPr>
              <w:instrText xml:space="preserve"> PAGEREF _Toc413157316 \h </w:instrText>
            </w:r>
            <w:r>
              <w:rPr>
                <w:noProof/>
                <w:webHidden/>
              </w:rPr>
            </w:r>
            <w:r>
              <w:rPr>
                <w:noProof/>
                <w:webHidden/>
              </w:rPr>
              <w:fldChar w:fldCharType="separate"/>
            </w:r>
            <w:r>
              <w:rPr>
                <w:noProof/>
                <w:webHidden/>
              </w:rPr>
              <w:t>24</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7" w:history="1">
            <w:r w:rsidRPr="002E41C7">
              <w:rPr>
                <w:rStyle w:val="Hyperlink"/>
                <w:noProof/>
              </w:rPr>
              <w:t>Efficacy</w:t>
            </w:r>
            <w:r>
              <w:rPr>
                <w:noProof/>
                <w:webHidden/>
              </w:rPr>
              <w:tab/>
            </w:r>
            <w:r>
              <w:rPr>
                <w:noProof/>
                <w:webHidden/>
              </w:rPr>
              <w:fldChar w:fldCharType="begin"/>
            </w:r>
            <w:r>
              <w:rPr>
                <w:noProof/>
                <w:webHidden/>
              </w:rPr>
              <w:instrText xml:space="preserve"> PAGEREF _Toc413157317 \h </w:instrText>
            </w:r>
            <w:r>
              <w:rPr>
                <w:noProof/>
                <w:webHidden/>
              </w:rPr>
            </w:r>
            <w:r>
              <w:rPr>
                <w:noProof/>
                <w:webHidden/>
              </w:rPr>
              <w:fldChar w:fldCharType="separate"/>
            </w:r>
            <w:r>
              <w:rPr>
                <w:noProof/>
                <w:webHidden/>
              </w:rPr>
              <w:t>26</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8" w:history="1">
            <w:r w:rsidRPr="002E41C7">
              <w:rPr>
                <w:rStyle w:val="Hyperlink"/>
                <w:noProof/>
              </w:rPr>
              <w:t>Safety</w:t>
            </w:r>
            <w:r>
              <w:rPr>
                <w:noProof/>
                <w:webHidden/>
              </w:rPr>
              <w:tab/>
            </w:r>
            <w:r>
              <w:rPr>
                <w:noProof/>
                <w:webHidden/>
              </w:rPr>
              <w:fldChar w:fldCharType="begin"/>
            </w:r>
            <w:r>
              <w:rPr>
                <w:noProof/>
                <w:webHidden/>
              </w:rPr>
              <w:instrText xml:space="preserve"> PAGEREF _Toc413157318 \h </w:instrText>
            </w:r>
            <w:r>
              <w:rPr>
                <w:noProof/>
                <w:webHidden/>
              </w:rPr>
            </w:r>
            <w:r>
              <w:rPr>
                <w:noProof/>
                <w:webHidden/>
              </w:rPr>
              <w:fldChar w:fldCharType="separate"/>
            </w:r>
            <w:r>
              <w:rPr>
                <w:noProof/>
                <w:webHidden/>
              </w:rPr>
              <w:t>29</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19" w:history="1">
            <w:r w:rsidRPr="002E41C7">
              <w:rPr>
                <w:rStyle w:val="Hyperlink"/>
                <w:noProof/>
              </w:rPr>
              <w:t>First round benefit-risk assessment</w:t>
            </w:r>
            <w:r>
              <w:rPr>
                <w:noProof/>
                <w:webHidden/>
              </w:rPr>
              <w:tab/>
            </w:r>
            <w:r>
              <w:rPr>
                <w:noProof/>
                <w:webHidden/>
              </w:rPr>
              <w:fldChar w:fldCharType="begin"/>
            </w:r>
            <w:r>
              <w:rPr>
                <w:noProof/>
                <w:webHidden/>
              </w:rPr>
              <w:instrText xml:space="preserve"> PAGEREF _Toc413157319 \h </w:instrText>
            </w:r>
            <w:r>
              <w:rPr>
                <w:noProof/>
                <w:webHidden/>
              </w:rPr>
            </w:r>
            <w:r>
              <w:rPr>
                <w:noProof/>
                <w:webHidden/>
              </w:rPr>
              <w:fldChar w:fldCharType="separate"/>
            </w:r>
            <w:r>
              <w:rPr>
                <w:noProof/>
                <w:webHidden/>
              </w:rPr>
              <w:t>33</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0" w:history="1">
            <w:r w:rsidRPr="002E41C7">
              <w:rPr>
                <w:rStyle w:val="Hyperlink"/>
                <w:noProof/>
              </w:rPr>
              <w:t>First round recommendation regarding authorisation</w:t>
            </w:r>
            <w:r>
              <w:rPr>
                <w:noProof/>
                <w:webHidden/>
              </w:rPr>
              <w:tab/>
            </w:r>
            <w:r>
              <w:rPr>
                <w:noProof/>
                <w:webHidden/>
              </w:rPr>
              <w:fldChar w:fldCharType="begin"/>
            </w:r>
            <w:r>
              <w:rPr>
                <w:noProof/>
                <w:webHidden/>
              </w:rPr>
              <w:instrText xml:space="preserve"> PAGEREF _Toc413157320 \h </w:instrText>
            </w:r>
            <w:r>
              <w:rPr>
                <w:noProof/>
                <w:webHidden/>
              </w:rPr>
            </w:r>
            <w:r>
              <w:rPr>
                <w:noProof/>
                <w:webHidden/>
              </w:rPr>
              <w:fldChar w:fldCharType="separate"/>
            </w:r>
            <w:r>
              <w:rPr>
                <w:noProof/>
                <w:webHidden/>
              </w:rPr>
              <w:t>36</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1" w:history="1">
            <w:r w:rsidRPr="002E41C7">
              <w:rPr>
                <w:rStyle w:val="Hyperlink"/>
                <w:noProof/>
              </w:rPr>
              <w:t>Clinical questions</w:t>
            </w:r>
            <w:r>
              <w:rPr>
                <w:noProof/>
                <w:webHidden/>
              </w:rPr>
              <w:tab/>
            </w:r>
            <w:r>
              <w:rPr>
                <w:noProof/>
                <w:webHidden/>
              </w:rPr>
              <w:fldChar w:fldCharType="begin"/>
            </w:r>
            <w:r>
              <w:rPr>
                <w:noProof/>
                <w:webHidden/>
              </w:rPr>
              <w:instrText xml:space="preserve"> PAGEREF _Toc413157321 \h </w:instrText>
            </w:r>
            <w:r>
              <w:rPr>
                <w:noProof/>
                <w:webHidden/>
              </w:rPr>
            </w:r>
            <w:r>
              <w:rPr>
                <w:noProof/>
                <w:webHidden/>
              </w:rPr>
              <w:fldChar w:fldCharType="separate"/>
            </w:r>
            <w:r>
              <w:rPr>
                <w:noProof/>
                <w:webHidden/>
              </w:rPr>
              <w:t>37</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2" w:history="1">
            <w:r w:rsidRPr="002E41C7">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_Toc413157322 \h </w:instrText>
            </w:r>
            <w:r>
              <w:rPr>
                <w:noProof/>
                <w:webHidden/>
              </w:rPr>
            </w:r>
            <w:r>
              <w:rPr>
                <w:noProof/>
                <w:webHidden/>
              </w:rPr>
              <w:fldChar w:fldCharType="separate"/>
            </w:r>
            <w:r>
              <w:rPr>
                <w:noProof/>
                <w:webHidden/>
              </w:rPr>
              <w:t>37</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3" w:history="1">
            <w:r w:rsidRPr="002E41C7">
              <w:rPr>
                <w:rStyle w:val="Hyperlink"/>
                <w:noProof/>
              </w:rPr>
              <w:t>Second round benefit-risk assessment</w:t>
            </w:r>
            <w:r>
              <w:rPr>
                <w:noProof/>
                <w:webHidden/>
              </w:rPr>
              <w:tab/>
            </w:r>
            <w:r>
              <w:rPr>
                <w:noProof/>
                <w:webHidden/>
              </w:rPr>
              <w:fldChar w:fldCharType="begin"/>
            </w:r>
            <w:r>
              <w:rPr>
                <w:noProof/>
                <w:webHidden/>
              </w:rPr>
              <w:instrText xml:space="preserve"> PAGEREF _Toc413157323 \h </w:instrText>
            </w:r>
            <w:r>
              <w:rPr>
                <w:noProof/>
                <w:webHidden/>
              </w:rPr>
            </w:r>
            <w:r>
              <w:rPr>
                <w:noProof/>
                <w:webHidden/>
              </w:rPr>
              <w:fldChar w:fldCharType="separate"/>
            </w:r>
            <w:r>
              <w:rPr>
                <w:noProof/>
                <w:webHidden/>
              </w:rPr>
              <w:t>37</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4" w:history="1">
            <w:r w:rsidRPr="002E41C7">
              <w:rPr>
                <w:rStyle w:val="Hyperlink"/>
                <w:noProof/>
              </w:rPr>
              <w:t>Second round recommendation regarding authorisation</w:t>
            </w:r>
            <w:r>
              <w:rPr>
                <w:noProof/>
                <w:webHidden/>
              </w:rPr>
              <w:tab/>
            </w:r>
            <w:r>
              <w:rPr>
                <w:noProof/>
                <w:webHidden/>
              </w:rPr>
              <w:fldChar w:fldCharType="begin"/>
            </w:r>
            <w:r>
              <w:rPr>
                <w:noProof/>
                <w:webHidden/>
              </w:rPr>
              <w:instrText xml:space="preserve"> PAGEREF _Toc413157324 \h </w:instrText>
            </w:r>
            <w:r>
              <w:rPr>
                <w:noProof/>
                <w:webHidden/>
              </w:rPr>
            </w:r>
            <w:r>
              <w:rPr>
                <w:noProof/>
                <w:webHidden/>
              </w:rPr>
              <w:fldChar w:fldCharType="separate"/>
            </w:r>
            <w:r>
              <w:rPr>
                <w:noProof/>
                <w:webHidden/>
              </w:rPr>
              <w:t>38</w:t>
            </w:r>
            <w:r>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325" w:history="1">
            <w:r w:rsidRPr="002E41C7">
              <w:rPr>
                <w:rStyle w:val="Hyperlink"/>
                <w:noProof/>
              </w:rPr>
              <w:t>V. Pharmacovigilance findings</w:t>
            </w:r>
            <w:r>
              <w:rPr>
                <w:noProof/>
                <w:webHidden/>
              </w:rPr>
              <w:tab/>
            </w:r>
            <w:r>
              <w:rPr>
                <w:noProof/>
                <w:webHidden/>
              </w:rPr>
              <w:fldChar w:fldCharType="begin"/>
            </w:r>
            <w:r>
              <w:rPr>
                <w:noProof/>
                <w:webHidden/>
              </w:rPr>
              <w:instrText xml:space="preserve"> PAGEREF _Toc413157325 \h </w:instrText>
            </w:r>
            <w:r>
              <w:rPr>
                <w:noProof/>
                <w:webHidden/>
              </w:rPr>
            </w:r>
            <w:r>
              <w:rPr>
                <w:noProof/>
                <w:webHidden/>
              </w:rPr>
              <w:fldChar w:fldCharType="separate"/>
            </w:r>
            <w:r>
              <w:rPr>
                <w:noProof/>
                <w:webHidden/>
              </w:rPr>
              <w:t>38</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6" w:history="1">
            <w:r w:rsidRPr="002E41C7">
              <w:rPr>
                <w:rStyle w:val="Hyperlink"/>
                <w:noProof/>
                <w:lang w:eastAsia="en-AU"/>
              </w:rPr>
              <w:t>Risk management plan</w:t>
            </w:r>
            <w:r>
              <w:rPr>
                <w:noProof/>
                <w:webHidden/>
              </w:rPr>
              <w:tab/>
            </w:r>
            <w:r>
              <w:rPr>
                <w:noProof/>
                <w:webHidden/>
              </w:rPr>
              <w:fldChar w:fldCharType="begin"/>
            </w:r>
            <w:r>
              <w:rPr>
                <w:noProof/>
                <w:webHidden/>
              </w:rPr>
              <w:instrText xml:space="preserve"> PAGEREF _Toc413157326 \h </w:instrText>
            </w:r>
            <w:r>
              <w:rPr>
                <w:noProof/>
                <w:webHidden/>
              </w:rPr>
            </w:r>
            <w:r>
              <w:rPr>
                <w:noProof/>
                <w:webHidden/>
              </w:rPr>
              <w:fldChar w:fldCharType="separate"/>
            </w:r>
            <w:r>
              <w:rPr>
                <w:noProof/>
                <w:webHidden/>
              </w:rPr>
              <w:t>38</w:t>
            </w:r>
            <w:r>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327" w:history="1">
            <w:r w:rsidRPr="002E41C7">
              <w:rPr>
                <w:rStyle w:val="Hyperlink"/>
                <w:noProof/>
              </w:rPr>
              <w:t>VI. Overall conclusion and risk/benefit assessment</w:t>
            </w:r>
            <w:r>
              <w:rPr>
                <w:noProof/>
                <w:webHidden/>
              </w:rPr>
              <w:tab/>
            </w:r>
            <w:r>
              <w:rPr>
                <w:noProof/>
                <w:webHidden/>
              </w:rPr>
              <w:fldChar w:fldCharType="begin"/>
            </w:r>
            <w:r>
              <w:rPr>
                <w:noProof/>
                <w:webHidden/>
              </w:rPr>
              <w:instrText xml:space="preserve"> PAGEREF _Toc413157327 \h </w:instrText>
            </w:r>
            <w:r>
              <w:rPr>
                <w:noProof/>
                <w:webHidden/>
              </w:rPr>
            </w:r>
            <w:r>
              <w:rPr>
                <w:noProof/>
                <w:webHidden/>
              </w:rPr>
              <w:fldChar w:fldCharType="separate"/>
            </w:r>
            <w:r>
              <w:rPr>
                <w:noProof/>
                <w:webHidden/>
              </w:rPr>
              <w:t>42</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8" w:history="1">
            <w:r w:rsidRPr="002E41C7">
              <w:rPr>
                <w:rStyle w:val="Hyperlink"/>
                <w:noProof/>
              </w:rPr>
              <w:t>Quality</w:t>
            </w:r>
            <w:r>
              <w:rPr>
                <w:noProof/>
                <w:webHidden/>
              </w:rPr>
              <w:tab/>
            </w:r>
            <w:r>
              <w:rPr>
                <w:noProof/>
                <w:webHidden/>
              </w:rPr>
              <w:fldChar w:fldCharType="begin"/>
            </w:r>
            <w:r>
              <w:rPr>
                <w:noProof/>
                <w:webHidden/>
              </w:rPr>
              <w:instrText xml:space="preserve"> PAGEREF _Toc413157328 \h </w:instrText>
            </w:r>
            <w:r>
              <w:rPr>
                <w:noProof/>
                <w:webHidden/>
              </w:rPr>
            </w:r>
            <w:r>
              <w:rPr>
                <w:noProof/>
                <w:webHidden/>
              </w:rPr>
              <w:fldChar w:fldCharType="separate"/>
            </w:r>
            <w:r>
              <w:rPr>
                <w:noProof/>
                <w:webHidden/>
              </w:rPr>
              <w:t>42</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29" w:history="1">
            <w:r w:rsidRPr="002E41C7">
              <w:rPr>
                <w:rStyle w:val="Hyperlink"/>
                <w:noProof/>
              </w:rPr>
              <w:t>Nonclinical</w:t>
            </w:r>
            <w:r>
              <w:rPr>
                <w:noProof/>
                <w:webHidden/>
              </w:rPr>
              <w:tab/>
            </w:r>
            <w:r>
              <w:rPr>
                <w:noProof/>
                <w:webHidden/>
              </w:rPr>
              <w:fldChar w:fldCharType="begin"/>
            </w:r>
            <w:r>
              <w:rPr>
                <w:noProof/>
                <w:webHidden/>
              </w:rPr>
              <w:instrText xml:space="preserve"> PAGEREF _Toc413157329 \h </w:instrText>
            </w:r>
            <w:r>
              <w:rPr>
                <w:noProof/>
                <w:webHidden/>
              </w:rPr>
            </w:r>
            <w:r>
              <w:rPr>
                <w:noProof/>
                <w:webHidden/>
              </w:rPr>
              <w:fldChar w:fldCharType="separate"/>
            </w:r>
            <w:r>
              <w:rPr>
                <w:noProof/>
                <w:webHidden/>
              </w:rPr>
              <w:t>43</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30" w:history="1">
            <w:r w:rsidRPr="002E41C7">
              <w:rPr>
                <w:rStyle w:val="Hyperlink"/>
                <w:noProof/>
              </w:rPr>
              <w:t>Clinical</w:t>
            </w:r>
            <w:r>
              <w:rPr>
                <w:noProof/>
                <w:webHidden/>
              </w:rPr>
              <w:tab/>
            </w:r>
            <w:r>
              <w:rPr>
                <w:noProof/>
                <w:webHidden/>
              </w:rPr>
              <w:fldChar w:fldCharType="begin"/>
            </w:r>
            <w:r>
              <w:rPr>
                <w:noProof/>
                <w:webHidden/>
              </w:rPr>
              <w:instrText xml:space="preserve"> PAGEREF _Toc413157330 \h </w:instrText>
            </w:r>
            <w:r>
              <w:rPr>
                <w:noProof/>
                <w:webHidden/>
              </w:rPr>
            </w:r>
            <w:r>
              <w:rPr>
                <w:noProof/>
                <w:webHidden/>
              </w:rPr>
              <w:fldChar w:fldCharType="separate"/>
            </w:r>
            <w:r>
              <w:rPr>
                <w:noProof/>
                <w:webHidden/>
              </w:rPr>
              <w:t>43</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31" w:history="1">
            <w:r w:rsidRPr="002E41C7">
              <w:rPr>
                <w:rStyle w:val="Hyperlink"/>
                <w:noProof/>
                <w:lang w:eastAsia="en-AU"/>
              </w:rPr>
              <w:t>Risk management plan</w:t>
            </w:r>
            <w:r>
              <w:rPr>
                <w:noProof/>
                <w:webHidden/>
              </w:rPr>
              <w:tab/>
            </w:r>
            <w:r>
              <w:rPr>
                <w:noProof/>
                <w:webHidden/>
              </w:rPr>
              <w:fldChar w:fldCharType="begin"/>
            </w:r>
            <w:r>
              <w:rPr>
                <w:noProof/>
                <w:webHidden/>
              </w:rPr>
              <w:instrText xml:space="preserve"> PAGEREF _Toc413157331 \h </w:instrText>
            </w:r>
            <w:r>
              <w:rPr>
                <w:noProof/>
                <w:webHidden/>
              </w:rPr>
            </w:r>
            <w:r>
              <w:rPr>
                <w:noProof/>
                <w:webHidden/>
              </w:rPr>
              <w:fldChar w:fldCharType="separate"/>
            </w:r>
            <w:r>
              <w:rPr>
                <w:noProof/>
                <w:webHidden/>
              </w:rPr>
              <w:t>49</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32" w:history="1">
            <w:r w:rsidRPr="002E41C7">
              <w:rPr>
                <w:rStyle w:val="Hyperlink"/>
                <w:noProof/>
              </w:rPr>
              <w:t>Risk-benefit analysis</w:t>
            </w:r>
            <w:r>
              <w:rPr>
                <w:noProof/>
                <w:webHidden/>
              </w:rPr>
              <w:tab/>
            </w:r>
            <w:r>
              <w:rPr>
                <w:noProof/>
                <w:webHidden/>
              </w:rPr>
              <w:fldChar w:fldCharType="begin"/>
            </w:r>
            <w:r>
              <w:rPr>
                <w:noProof/>
                <w:webHidden/>
              </w:rPr>
              <w:instrText xml:space="preserve"> PAGEREF _Toc413157332 \h </w:instrText>
            </w:r>
            <w:r>
              <w:rPr>
                <w:noProof/>
                <w:webHidden/>
              </w:rPr>
            </w:r>
            <w:r>
              <w:rPr>
                <w:noProof/>
                <w:webHidden/>
              </w:rPr>
              <w:fldChar w:fldCharType="separate"/>
            </w:r>
            <w:r>
              <w:rPr>
                <w:noProof/>
                <w:webHidden/>
              </w:rPr>
              <w:t>49</w:t>
            </w:r>
            <w:r>
              <w:rPr>
                <w:noProof/>
                <w:webHidden/>
              </w:rPr>
              <w:fldChar w:fldCharType="end"/>
            </w:r>
          </w:hyperlink>
        </w:p>
        <w:p w:rsidR="009A6879" w:rsidRDefault="009A6879">
          <w:pPr>
            <w:pStyle w:val="TOC3"/>
            <w:rPr>
              <w:rFonts w:asciiTheme="minorHAnsi" w:eastAsiaTheme="minorEastAsia" w:hAnsiTheme="minorHAnsi" w:cstheme="minorBidi"/>
              <w:noProof/>
              <w:lang w:eastAsia="en-AU"/>
            </w:rPr>
          </w:pPr>
          <w:hyperlink w:anchor="_Toc413157333" w:history="1">
            <w:r w:rsidRPr="002E41C7">
              <w:rPr>
                <w:rStyle w:val="Hyperlink"/>
                <w:noProof/>
              </w:rPr>
              <w:t>Outcome</w:t>
            </w:r>
            <w:r>
              <w:rPr>
                <w:noProof/>
                <w:webHidden/>
              </w:rPr>
              <w:tab/>
            </w:r>
            <w:r>
              <w:rPr>
                <w:noProof/>
                <w:webHidden/>
              </w:rPr>
              <w:fldChar w:fldCharType="begin"/>
            </w:r>
            <w:r>
              <w:rPr>
                <w:noProof/>
                <w:webHidden/>
              </w:rPr>
              <w:instrText xml:space="preserve"> PAGEREF _Toc413157333 \h </w:instrText>
            </w:r>
            <w:r>
              <w:rPr>
                <w:noProof/>
                <w:webHidden/>
              </w:rPr>
            </w:r>
            <w:r>
              <w:rPr>
                <w:noProof/>
                <w:webHidden/>
              </w:rPr>
              <w:fldChar w:fldCharType="separate"/>
            </w:r>
            <w:r>
              <w:rPr>
                <w:noProof/>
                <w:webHidden/>
              </w:rPr>
              <w:t>54</w:t>
            </w:r>
            <w:r>
              <w:rPr>
                <w:noProof/>
                <w:webHidden/>
              </w:rPr>
              <w:fldChar w:fldCharType="end"/>
            </w:r>
          </w:hyperlink>
        </w:p>
        <w:p w:rsidR="009A6879" w:rsidRDefault="009A6879">
          <w:pPr>
            <w:pStyle w:val="TOC2"/>
            <w:tabs>
              <w:tab w:val="left" w:pos="2448"/>
            </w:tabs>
            <w:rPr>
              <w:rFonts w:asciiTheme="minorHAnsi" w:eastAsiaTheme="minorEastAsia" w:hAnsiTheme="minorHAnsi" w:cstheme="minorBidi"/>
              <w:b w:val="0"/>
              <w:noProof/>
              <w:sz w:val="22"/>
              <w:lang w:eastAsia="en-AU"/>
            </w:rPr>
          </w:pPr>
          <w:hyperlink w:anchor="_Toc413157334" w:history="1">
            <w:r w:rsidRPr="002E41C7">
              <w:rPr>
                <w:rStyle w:val="Hyperlink"/>
                <w:noProof/>
              </w:rPr>
              <w:t>Attachment 1.</w:t>
            </w:r>
            <w:r>
              <w:rPr>
                <w:rFonts w:asciiTheme="minorHAnsi" w:eastAsiaTheme="minorEastAsia" w:hAnsiTheme="minorHAnsi" w:cstheme="minorBidi"/>
                <w:b w:val="0"/>
                <w:noProof/>
                <w:sz w:val="22"/>
                <w:lang w:eastAsia="en-AU"/>
              </w:rPr>
              <w:tab/>
            </w:r>
            <w:r w:rsidRPr="002E41C7">
              <w:rPr>
                <w:rStyle w:val="Hyperlink"/>
                <w:noProof/>
              </w:rPr>
              <w:t>Product Information</w:t>
            </w:r>
            <w:r>
              <w:rPr>
                <w:noProof/>
                <w:webHidden/>
              </w:rPr>
              <w:tab/>
            </w:r>
            <w:r>
              <w:rPr>
                <w:noProof/>
                <w:webHidden/>
              </w:rPr>
              <w:fldChar w:fldCharType="begin"/>
            </w:r>
            <w:r>
              <w:rPr>
                <w:noProof/>
                <w:webHidden/>
              </w:rPr>
              <w:instrText xml:space="preserve"> PAGEREF _Toc413157334 \h </w:instrText>
            </w:r>
            <w:r>
              <w:rPr>
                <w:noProof/>
                <w:webHidden/>
              </w:rPr>
            </w:r>
            <w:r>
              <w:rPr>
                <w:noProof/>
                <w:webHidden/>
              </w:rPr>
              <w:fldChar w:fldCharType="separate"/>
            </w:r>
            <w:r>
              <w:rPr>
                <w:noProof/>
                <w:webHidden/>
              </w:rPr>
              <w:t>55</w:t>
            </w:r>
            <w:r>
              <w:rPr>
                <w:noProof/>
                <w:webHidden/>
              </w:rPr>
              <w:fldChar w:fldCharType="end"/>
            </w:r>
          </w:hyperlink>
        </w:p>
        <w:p w:rsidR="009A6879" w:rsidRDefault="009A6879">
          <w:pPr>
            <w:pStyle w:val="TOC2"/>
            <w:rPr>
              <w:rFonts w:asciiTheme="minorHAnsi" w:eastAsiaTheme="minorEastAsia" w:hAnsiTheme="minorHAnsi" w:cstheme="minorBidi"/>
              <w:b w:val="0"/>
              <w:noProof/>
              <w:sz w:val="22"/>
              <w:lang w:eastAsia="en-AU"/>
            </w:rPr>
          </w:pPr>
          <w:hyperlink w:anchor="_Toc413157335" w:history="1">
            <w:r w:rsidRPr="002E41C7">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_Toc413157335 \h </w:instrText>
            </w:r>
            <w:r>
              <w:rPr>
                <w:noProof/>
                <w:webHidden/>
              </w:rPr>
            </w:r>
            <w:r>
              <w:rPr>
                <w:noProof/>
                <w:webHidden/>
              </w:rPr>
              <w:fldChar w:fldCharType="separate"/>
            </w:r>
            <w:r>
              <w:rPr>
                <w:noProof/>
                <w:webHidden/>
              </w:rPr>
              <w:t>55</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Pr="00FD119B" w:rsidRDefault="00FD119B" w:rsidP="00AA11BF">
      <w:pPr>
        <w:pStyle w:val="Heading2"/>
      </w:pPr>
      <w:bookmarkStart w:id="4" w:name="_Toc351716269"/>
      <w:bookmarkStart w:id="5" w:name="_Toc351718881"/>
      <w:bookmarkStart w:id="6" w:name="_Toc355338616"/>
      <w:bookmarkStart w:id="7" w:name="_Toc356306144"/>
      <w:bookmarkStart w:id="8" w:name="_Toc413157295"/>
      <w:r w:rsidRPr="00FD119B">
        <w:lastRenderedPageBreak/>
        <w:t xml:space="preserve">List of the most </w:t>
      </w:r>
      <w:r w:rsidRPr="00AA11BF">
        <w:t>common</w:t>
      </w:r>
      <w:r w:rsidRPr="00FD119B">
        <w:t xml:space="preserve"> abbreviations</w:t>
      </w:r>
      <w:bookmarkEnd w:id="4"/>
      <w:bookmarkEnd w:id="5"/>
      <w:bookmarkEnd w:id="6"/>
      <w:bookmarkEnd w:id="7"/>
      <w:r w:rsidRPr="00FD119B">
        <w:t xml:space="preserve"> used in this </w:t>
      </w:r>
      <w:r w:rsidRPr="004F0C4A">
        <w:t>AusPAR</w:t>
      </w:r>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8755B7" w:rsidRPr="00F3104F" w:rsidTr="008755B7">
        <w:tc>
          <w:tcPr>
            <w:tcW w:w="1809" w:type="dxa"/>
          </w:tcPr>
          <w:p w:rsidR="008755B7" w:rsidRPr="00F3104F" w:rsidRDefault="008755B7" w:rsidP="007058B7">
            <w:pPr>
              <w:rPr>
                <w:szCs w:val="22"/>
              </w:rPr>
            </w:pPr>
            <w:r w:rsidRPr="00F3104F">
              <w:rPr>
                <w:szCs w:val="22"/>
              </w:rPr>
              <w:t>AE</w:t>
            </w:r>
          </w:p>
        </w:tc>
        <w:tc>
          <w:tcPr>
            <w:tcW w:w="6911" w:type="dxa"/>
          </w:tcPr>
          <w:p w:rsidR="008755B7" w:rsidRPr="00F3104F" w:rsidRDefault="00F6381A" w:rsidP="00D713FD">
            <w:pPr>
              <w:rPr>
                <w:szCs w:val="22"/>
              </w:rPr>
            </w:pPr>
            <w:r w:rsidRPr="00F3104F">
              <w:rPr>
                <w:szCs w:val="22"/>
              </w:rPr>
              <w:t>adverse event</w:t>
            </w:r>
          </w:p>
        </w:tc>
      </w:tr>
      <w:tr w:rsidR="00663348" w:rsidRPr="00F3104F" w:rsidTr="008755B7">
        <w:tc>
          <w:tcPr>
            <w:tcW w:w="1809" w:type="dxa"/>
          </w:tcPr>
          <w:p w:rsidR="00663348" w:rsidRPr="00F3104F" w:rsidRDefault="00663348" w:rsidP="007058B7">
            <w:r>
              <w:t>ASA</w:t>
            </w:r>
          </w:p>
        </w:tc>
        <w:tc>
          <w:tcPr>
            <w:tcW w:w="6911" w:type="dxa"/>
          </w:tcPr>
          <w:p w:rsidR="00663348" w:rsidRPr="00F3104F" w:rsidRDefault="00663348" w:rsidP="00D713FD">
            <w:r>
              <w:t>Australian specific annex (to the RMP)</w:t>
            </w:r>
          </w:p>
        </w:tc>
      </w:tr>
      <w:tr w:rsidR="008755B7" w:rsidRPr="00F3104F" w:rsidTr="008755B7">
        <w:tc>
          <w:tcPr>
            <w:tcW w:w="1809" w:type="dxa"/>
          </w:tcPr>
          <w:p w:rsidR="008755B7" w:rsidRPr="00F3104F" w:rsidRDefault="008755B7" w:rsidP="007058B7">
            <w:pPr>
              <w:rPr>
                <w:szCs w:val="22"/>
              </w:rPr>
            </w:pPr>
            <w:r w:rsidRPr="00F3104F">
              <w:rPr>
                <w:szCs w:val="22"/>
              </w:rPr>
              <w:t>AUC</w:t>
            </w:r>
          </w:p>
        </w:tc>
        <w:tc>
          <w:tcPr>
            <w:tcW w:w="6911" w:type="dxa"/>
          </w:tcPr>
          <w:p w:rsidR="008755B7" w:rsidRPr="00F3104F" w:rsidRDefault="00F6381A" w:rsidP="00D713FD">
            <w:pPr>
              <w:rPr>
                <w:szCs w:val="22"/>
              </w:rPr>
            </w:pPr>
            <w:r w:rsidRPr="00F3104F">
              <w:rPr>
                <w:szCs w:val="22"/>
              </w:rPr>
              <w:t xml:space="preserve">area under the </w:t>
            </w:r>
            <w:r>
              <w:rPr>
                <w:szCs w:val="22"/>
              </w:rPr>
              <w:t xml:space="preserve">concentration time </w:t>
            </w:r>
            <w:r w:rsidRPr="00F3104F">
              <w:rPr>
                <w:szCs w:val="22"/>
              </w:rPr>
              <w:t>curve</w:t>
            </w:r>
          </w:p>
        </w:tc>
      </w:tr>
      <w:tr w:rsidR="00AC335C" w:rsidRPr="00F3104F" w:rsidTr="008755B7">
        <w:tc>
          <w:tcPr>
            <w:tcW w:w="1809" w:type="dxa"/>
          </w:tcPr>
          <w:p w:rsidR="00AC335C" w:rsidRPr="00F3104F" w:rsidRDefault="00AC335C" w:rsidP="007058B7">
            <w:r>
              <w:t>BA</w:t>
            </w:r>
          </w:p>
        </w:tc>
        <w:tc>
          <w:tcPr>
            <w:tcW w:w="6911" w:type="dxa"/>
          </w:tcPr>
          <w:p w:rsidR="00AC335C" w:rsidRPr="00F3104F" w:rsidRDefault="00CD641E" w:rsidP="00D713FD">
            <w:r w:rsidRPr="00CD641E">
              <w:t>bioavailability</w:t>
            </w:r>
          </w:p>
        </w:tc>
      </w:tr>
      <w:tr w:rsidR="008755B7" w:rsidRPr="00F3104F" w:rsidTr="008755B7">
        <w:tc>
          <w:tcPr>
            <w:tcW w:w="1809" w:type="dxa"/>
          </w:tcPr>
          <w:p w:rsidR="008755B7" w:rsidRPr="00F3104F" w:rsidRDefault="00AA4341" w:rsidP="007058B7">
            <w:pPr>
              <w:rPr>
                <w:szCs w:val="22"/>
              </w:rPr>
            </w:pPr>
            <w:proofErr w:type="spellStart"/>
            <w:r>
              <w:rPr>
                <w:szCs w:val="22"/>
              </w:rPr>
              <w:t>b.i.d</w:t>
            </w:r>
            <w:proofErr w:type="spellEnd"/>
            <w:r>
              <w:rPr>
                <w:szCs w:val="22"/>
              </w:rPr>
              <w:t>.</w:t>
            </w:r>
          </w:p>
        </w:tc>
        <w:tc>
          <w:tcPr>
            <w:tcW w:w="6911" w:type="dxa"/>
          </w:tcPr>
          <w:p w:rsidR="008755B7" w:rsidRPr="00F3104F" w:rsidRDefault="00F6381A" w:rsidP="00D713FD">
            <w:pPr>
              <w:rPr>
                <w:szCs w:val="22"/>
              </w:rPr>
            </w:pPr>
            <w:r w:rsidRPr="00F3104F">
              <w:rPr>
                <w:szCs w:val="22"/>
              </w:rPr>
              <w:t>twice daily</w:t>
            </w:r>
          </w:p>
        </w:tc>
      </w:tr>
      <w:tr w:rsidR="007F7532" w:rsidRPr="00F3104F" w:rsidTr="008755B7">
        <w:tc>
          <w:tcPr>
            <w:tcW w:w="1809" w:type="dxa"/>
          </w:tcPr>
          <w:p w:rsidR="007F7532" w:rsidRPr="00F3104F" w:rsidRDefault="007F7532" w:rsidP="007058B7">
            <w:r>
              <w:t>BP</w:t>
            </w:r>
          </w:p>
        </w:tc>
        <w:tc>
          <w:tcPr>
            <w:tcW w:w="6911" w:type="dxa"/>
          </w:tcPr>
          <w:p w:rsidR="007F7532" w:rsidRPr="00F3104F" w:rsidRDefault="007F7532" w:rsidP="00D713FD">
            <w:r>
              <w:t xml:space="preserve">British </w:t>
            </w:r>
            <w:r w:rsidR="00525DBA">
              <w:t>Pharmacopeia</w:t>
            </w:r>
          </w:p>
        </w:tc>
      </w:tr>
      <w:tr w:rsidR="000D5BB9" w:rsidRPr="00F3104F" w:rsidTr="008755B7">
        <w:tc>
          <w:tcPr>
            <w:tcW w:w="1809" w:type="dxa"/>
          </w:tcPr>
          <w:p w:rsidR="000D5BB9" w:rsidRDefault="000D5BB9" w:rsidP="007058B7">
            <w:r>
              <w:t>BSA</w:t>
            </w:r>
          </w:p>
        </w:tc>
        <w:tc>
          <w:tcPr>
            <w:tcW w:w="6911" w:type="dxa"/>
          </w:tcPr>
          <w:p w:rsidR="000D5BB9" w:rsidRDefault="000D5BB9" w:rsidP="00D713FD">
            <w:r w:rsidRPr="000D5BB9">
              <w:t>b</w:t>
            </w:r>
            <w:r>
              <w:t>ody surface area</w:t>
            </w:r>
          </w:p>
        </w:tc>
      </w:tr>
      <w:tr w:rsidR="008755B7" w:rsidRPr="00F3104F" w:rsidTr="008755B7">
        <w:tc>
          <w:tcPr>
            <w:tcW w:w="1809" w:type="dxa"/>
          </w:tcPr>
          <w:p w:rsidR="008755B7" w:rsidRPr="00F3104F" w:rsidRDefault="008755B7" w:rsidP="007058B7">
            <w:pPr>
              <w:rPr>
                <w:szCs w:val="22"/>
              </w:rPr>
            </w:pPr>
            <w:r w:rsidRPr="00F3104F">
              <w:rPr>
                <w:szCs w:val="22"/>
              </w:rPr>
              <w:t>CEA</w:t>
            </w:r>
          </w:p>
        </w:tc>
        <w:tc>
          <w:tcPr>
            <w:tcW w:w="6911" w:type="dxa"/>
          </w:tcPr>
          <w:p w:rsidR="008755B7" w:rsidRPr="00F3104F" w:rsidRDefault="00F6381A" w:rsidP="00D713FD">
            <w:pPr>
              <w:rPr>
                <w:szCs w:val="22"/>
              </w:rPr>
            </w:pPr>
            <w:r w:rsidRPr="00F3104F">
              <w:rPr>
                <w:szCs w:val="22"/>
              </w:rPr>
              <w:t>clinician erythema assessment</w:t>
            </w:r>
          </w:p>
        </w:tc>
      </w:tr>
      <w:tr w:rsidR="00A91D0E" w:rsidRPr="00F3104F" w:rsidTr="008755B7">
        <w:tc>
          <w:tcPr>
            <w:tcW w:w="1809" w:type="dxa"/>
          </w:tcPr>
          <w:p w:rsidR="00A91D0E" w:rsidRPr="00F3104F" w:rsidRDefault="00A91D0E" w:rsidP="007058B7">
            <w:r>
              <w:t>CER</w:t>
            </w:r>
          </w:p>
        </w:tc>
        <w:tc>
          <w:tcPr>
            <w:tcW w:w="6911" w:type="dxa"/>
          </w:tcPr>
          <w:p w:rsidR="00A91D0E" w:rsidRPr="00F3104F" w:rsidRDefault="00A91D0E" w:rsidP="00D713FD">
            <w:r>
              <w:t>clinical evaluation report</w:t>
            </w:r>
          </w:p>
        </w:tc>
      </w:tr>
      <w:tr w:rsidR="008755B7" w:rsidRPr="00F3104F" w:rsidTr="008755B7">
        <w:tc>
          <w:tcPr>
            <w:tcW w:w="1809" w:type="dxa"/>
          </w:tcPr>
          <w:p w:rsidR="008755B7" w:rsidRPr="005C6003" w:rsidRDefault="008755B7" w:rsidP="007058B7">
            <w:pPr>
              <w:rPr>
                <w:szCs w:val="22"/>
              </w:rPr>
            </w:pPr>
            <w:proofErr w:type="spellStart"/>
            <w:r w:rsidRPr="005C6003">
              <w:rPr>
                <w:szCs w:val="22"/>
              </w:rPr>
              <w:t>Cmax</w:t>
            </w:r>
            <w:proofErr w:type="spellEnd"/>
          </w:p>
        </w:tc>
        <w:tc>
          <w:tcPr>
            <w:tcW w:w="6911" w:type="dxa"/>
          </w:tcPr>
          <w:p w:rsidR="008755B7" w:rsidRPr="00F3104F" w:rsidRDefault="00525DBA" w:rsidP="00D713FD">
            <w:pPr>
              <w:rPr>
                <w:szCs w:val="22"/>
              </w:rPr>
            </w:pPr>
            <w:r>
              <w:rPr>
                <w:szCs w:val="22"/>
              </w:rPr>
              <w:t>maximum</w:t>
            </w:r>
            <w:r w:rsidR="00F6381A" w:rsidRPr="00F3104F">
              <w:rPr>
                <w:szCs w:val="22"/>
              </w:rPr>
              <w:t xml:space="preserve"> serum concentration</w:t>
            </w:r>
          </w:p>
        </w:tc>
      </w:tr>
      <w:tr w:rsidR="00525DBA" w:rsidRPr="00F3104F" w:rsidTr="008755B7">
        <w:tc>
          <w:tcPr>
            <w:tcW w:w="1809" w:type="dxa"/>
          </w:tcPr>
          <w:p w:rsidR="00525DBA" w:rsidRPr="00F3104F" w:rsidRDefault="00525DBA" w:rsidP="007058B7">
            <w:r w:rsidRPr="008740E8">
              <w:t>CNS</w:t>
            </w:r>
          </w:p>
        </w:tc>
        <w:tc>
          <w:tcPr>
            <w:tcW w:w="6911" w:type="dxa"/>
          </w:tcPr>
          <w:p w:rsidR="00525DBA" w:rsidRPr="00F3104F" w:rsidRDefault="00525DBA" w:rsidP="00D713FD">
            <w:r>
              <w:t>central nervous system</w:t>
            </w:r>
          </w:p>
        </w:tc>
      </w:tr>
      <w:tr w:rsidR="00525DBA" w:rsidRPr="00F3104F" w:rsidTr="008755B7">
        <w:tc>
          <w:tcPr>
            <w:tcW w:w="1809" w:type="dxa"/>
          </w:tcPr>
          <w:p w:rsidR="00525DBA" w:rsidRPr="00F3104F" w:rsidRDefault="00525DBA" w:rsidP="007058B7">
            <w:pPr>
              <w:rPr>
                <w:szCs w:val="22"/>
              </w:rPr>
            </w:pPr>
            <w:r w:rsidRPr="00F3104F">
              <w:rPr>
                <w:szCs w:val="22"/>
              </w:rPr>
              <w:t>COL-118</w:t>
            </w:r>
          </w:p>
        </w:tc>
        <w:tc>
          <w:tcPr>
            <w:tcW w:w="6911" w:type="dxa"/>
          </w:tcPr>
          <w:p w:rsidR="00525DBA" w:rsidRPr="00F3104F" w:rsidRDefault="00C25CE8" w:rsidP="00D713FD">
            <w:pPr>
              <w:rPr>
                <w:szCs w:val="22"/>
              </w:rPr>
            </w:pPr>
            <w:r>
              <w:rPr>
                <w:szCs w:val="22"/>
              </w:rPr>
              <w:t>Previous sponsor</w:t>
            </w:r>
            <w:r w:rsidR="00525DBA" w:rsidRPr="00F3104F">
              <w:rPr>
                <w:szCs w:val="22"/>
              </w:rPr>
              <w:t xml:space="preserve"> development code for brimonidine tartrate</w:t>
            </w:r>
          </w:p>
        </w:tc>
      </w:tr>
      <w:tr w:rsidR="00F70BC6" w:rsidRPr="00F3104F" w:rsidTr="008755B7">
        <w:tc>
          <w:tcPr>
            <w:tcW w:w="1809" w:type="dxa"/>
          </w:tcPr>
          <w:p w:rsidR="00F70BC6" w:rsidRPr="00F3104F" w:rsidRDefault="00F70BC6" w:rsidP="007058B7">
            <w:r>
              <w:t>CRC</w:t>
            </w:r>
          </w:p>
        </w:tc>
        <w:tc>
          <w:tcPr>
            <w:tcW w:w="6911" w:type="dxa"/>
          </w:tcPr>
          <w:p w:rsidR="00F70BC6" w:rsidRPr="00F3104F" w:rsidRDefault="00F70BC6" w:rsidP="00D713FD">
            <w:r>
              <w:t>child-resistant cap</w:t>
            </w:r>
          </w:p>
        </w:tc>
      </w:tr>
      <w:tr w:rsidR="00B57024" w:rsidRPr="00F3104F" w:rsidTr="008755B7">
        <w:tc>
          <w:tcPr>
            <w:tcW w:w="1809" w:type="dxa"/>
          </w:tcPr>
          <w:p w:rsidR="00B57024" w:rsidRPr="00F3104F" w:rsidRDefault="00B57024" w:rsidP="007058B7">
            <w:r>
              <w:t>DP</w:t>
            </w:r>
          </w:p>
        </w:tc>
        <w:tc>
          <w:tcPr>
            <w:tcW w:w="6911" w:type="dxa"/>
          </w:tcPr>
          <w:p w:rsidR="00B57024" w:rsidRPr="00F3104F" w:rsidRDefault="00B57024" w:rsidP="00D713FD">
            <w:r>
              <w:t>drug product</w:t>
            </w:r>
          </w:p>
        </w:tc>
      </w:tr>
      <w:tr w:rsidR="00525DBA" w:rsidRPr="00F3104F" w:rsidTr="008755B7">
        <w:tc>
          <w:tcPr>
            <w:tcW w:w="1809" w:type="dxa"/>
          </w:tcPr>
          <w:p w:rsidR="00525DBA" w:rsidRPr="00F3104F" w:rsidRDefault="00525DBA" w:rsidP="007058B7">
            <w:r>
              <w:t>EP</w:t>
            </w:r>
          </w:p>
        </w:tc>
        <w:tc>
          <w:tcPr>
            <w:tcW w:w="6911" w:type="dxa"/>
          </w:tcPr>
          <w:p w:rsidR="00525DBA" w:rsidRPr="00F3104F" w:rsidRDefault="00525DBA" w:rsidP="00D713FD">
            <w:r>
              <w:t>European pharmacopeia</w:t>
            </w:r>
          </w:p>
        </w:tc>
      </w:tr>
      <w:tr w:rsidR="00525DBA" w:rsidRPr="00F3104F" w:rsidTr="008755B7">
        <w:tc>
          <w:tcPr>
            <w:tcW w:w="1809" w:type="dxa"/>
          </w:tcPr>
          <w:p w:rsidR="00525DBA" w:rsidRDefault="00525DBA" w:rsidP="007058B7">
            <w:r w:rsidRPr="00036B9A">
              <w:t>ER</w:t>
            </w:r>
            <w:r w:rsidRPr="00036B9A">
              <w:rPr>
                <w:vertAlign w:val="subscript"/>
              </w:rPr>
              <w:t>AUC</w:t>
            </w:r>
          </w:p>
        </w:tc>
        <w:tc>
          <w:tcPr>
            <w:tcW w:w="6911" w:type="dxa"/>
          </w:tcPr>
          <w:p w:rsidR="00525DBA" w:rsidRDefault="00AA4341" w:rsidP="00D713FD">
            <w:r>
              <w:t>exposure ratio based on AUC</w:t>
            </w:r>
          </w:p>
        </w:tc>
      </w:tr>
      <w:tr w:rsidR="00525DBA" w:rsidRPr="00F3104F" w:rsidTr="008755B7">
        <w:tc>
          <w:tcPr>
            <w:tcW w:w="1809" w:type="dxa"/>
          </w:tcPr>
          <w:p w:rsidR="00525DBA" w:rsidRPr="00036B9A" w:rsidRDefault="00525DBA" w:rsidP="007058B7">
            <w:proofErr w:type="spellStart"/>
            <w:r w:rsidRPr="006307ED">
              <w:t>ER</w:t>
            </w:r>
            <w:r w:rsidRPr="006307ED">
              <w:rPr>
                <w:vertAlign w:val="subscript"/>
              </w:rPr>
              <w:t>local</w:t>
            </w:r>
            <w:proofErr w:type="spellEnd"/>
          </w:p>
        </w:tc>
        <w:tc>
          <w:tcPr>
            <w:tcW w:w="6911" w:type="dxa"/>
          </w:tcPr>
          <w:p w:rsidR="00525DBA" w:rsidRPr="00036B9A" w:rsidRDefault="00525DBA" w:rsidP="00D713FD">
            <w:r w:rsidRPr="009B63B8">
              <w:t>exposure ratio based on local dose of brimonidine</w:t>
            </w:r>
          </w:p>
        </w:tc>
      </w:tr>
      <w:tr w:rsidR="00962B66" w:rsidRPr="00F3104F" w:rsidTr="008755B7">
        <w:tc>
          <w:tcPr>
            <w:tcW w:w="1809" w:type="dxa"/>
          </w:tcPr>
          <w:p w:rsidR="00962B66" w:rsidRPr="006307ED" w:rsidRDefault="00962B66" w:rsidP="007058B7">
            <w:r>
              <w:t>ETR</w:t>
            </w:r>
          </w:p>
        </w:tc>
        <w:tc>
          <w:tcPr>
            <w:tcW w:w="6911" w:type="dxa"/>
          </w:tcPr>
          <w:p w:rsidR="00962B66" w:rsidRPr="009B63B8" w:rsidRDefault="001836B4" w:rsidP="00D713FD">
            <w:proofErr w:type="spellStart"/>
            <w:r w:rsidRPr="001836B4">
              <w:t>erythematotelangiectatic</w:t>
            </w:r>
            <w:proofErr w:type="spellEnd"/>
            <w:r w:rsidRPr="001836B4">
              <w:t xml:space="preserve"> rosacea</w:t>
            </w:r>
          </w:p>
        </w:tc>
      </w:tr>
      <w:tr w:rsidR="00BF676E" w:rsidRPr="00F3104F" w:rsidTr="008755B7">
        <w:tc>
          <w:tcPr>
            <w:tcW w:w="1809" w:type="dxa"/>
          </w:tcPr>
          <w:p w:rsidR="00BF676E" w:rsidRPr="006307ED" w:rsidRDefault="00BF676E" w:rsidP="007058B7">
            <w:r>
              <w:t>EU</w:t>
            </w:r>
          </w:p>
        </w:tc>
        <w:tc>
          <w:tcPr>
            <w:tcW w:w="6911" w:type="dxa"/>
          </w:tcPr>
          <w:p w:rsidR="00BF676E" w:rsidRPr="009B63B8" w:rsidRDefault="00BF676E" w:rsidP="00D713FD">
            <w:r>
              <w:t>European Union</w:t>
            </w:r>
          </w:p>
        </w:tc>
      </w:tr>
      <w:tr w:rsidR="00525DBA" w:rsidRPr="00F3104F" w:rsidTr="008755B7">
        <w:tc>
          <w:tcPr>
            <w:tcW w:w="1809" w:type="dxa"/>
          </w:tcPr>
          <w:p w:rsidR="00525DBA" w:rsidRPr="00F3104F" w:rsidRDefault="00525DBA" w:rsidP="007058B7">
            <w:pPr>
              <w:rPr>
                <w:szCs w:val="22"/>
              </w:rPr>
            </w:pPr>
            <w:r w:rsidRPr="00F3104F">
              <w:rPr>
                <w:szCs w:val="22"/>
              </w:rPr>
              <w:t>FDA</w:t>
            </w:r>
          </w:p>
        </w:tc>
        <w:tc>
          <w:tcPr>
            <w:tcW w:w="6911" w:type="dxa"/>
          </w:tcPr>
          <w:p w:rsidR="00525DBA" w:rsidRPr="00F3104F" w:rsidRDefault="00525DBA" w:rsidP="00D713FD">
            <w:pPr>
              <w:rPr>
                <w:szCs w:val="22"/>
              </w:rPr>
            </w:pPr>
            <w:r w:rsidRPr="00F3104F">
              <w:rPr>
                <w:szCs w:val="22"/>
              </w:rPr>
              <w:t>Food and Drug Administration</w:t>
            </w:r>
          </w:p>
        </w:tc>
      </w:tr>
      <w:tr w:rsidR="00525DBA" w:rsidRPr="00F3104F" w:rsidTr="008755B7">
        <w:tc>
          <w:tcPr>
            <w:tcW w:w="1809" w:type="dxa"/>
          </w:tcPr>
          <w:p w:rsidR="00525DBA" w:rsidRPr="00F3104F" w:rsidRDefault="00525DBA" w:rsidP="007058B7">
            <w:r w:rsidRPr="007058B7">
              <w:rPr>
                <w:color w:val="auto"/>
              </w:rPr>
              <w:t>ICH</w:t>
            </w:r>
          </w:p>
        </w:tc>
        <w:tc>
          <w:tcPr>
            <w:tcW w:w="6911" w:type="dxa"/>
          </w:tcPr>
          <w:p w:rsidR="00525DBA" w:rsidRPr="00F3104F" w:rsidRDefault="00525DBA" w:rsidP="00D713FD">
            <w:r w:rsidRPr="00F6381A">
              <w:t xml:space="preserve">International Conference on Harmonisation </w:t>
            </w:r>
            <w:r w:rsidRPr="00F6381A">
              <w:rPr>
                <w:lang w:val="en"/>
              </w:rPr>
              <w:t>of Technical Requirements for Registration of Pharmaceuticals for Human Use</w:t>
            </w:r>
          </w:p>
        </w:tc>
      </w:tr>
      <w:tr w:rsidR="00525DBA" w:rsidRPr="00F3104F" w:rsidTr="008755B7">
        <w:tc>
          <w:tcPr>
            <w:tcW w:w="1809" w:type="dxa"/>
          </w:tcPr>
          <w:p w:rsidR="00525DBA" w:rsidRPr="007058B7" w:rsidRDefault="00525DBA" w:rsidP="007058B7">
            <w:pPr>
              <w:rPr>
                <w:color w:val="auto"/>
              </w:rPr>
            </w:pPr>
            <w:r w:rsidRPr="007058B7">
              <w:rPr>
                <w:color w:val="auto"/>
              </w:rPr>
              <w:t>IGA</w:t>
            </w:r>
          </w:p>
        </w:tc>
        <w:tc>
          <w:tcPr>
            <w:tcW w:w="6911" w:type="dxa"/>
          </w:tcPr>
          <w:p w:rsidR="00525DBA" w:rsidRPr="00F6381A" w:rsidRDefault="00525DBA" w:rsidP="00D713FD">
            <w:r>
              <w:t>Investigators’ global assessment</w:t>
            </w:r>
          </w:p>
        </w:tc>
      </w:tr>
      <w:tr w:rsidR="00525DBA" w:rsidRPr="00F3104F" w:rsidTr="008755B7">
        <w:tc>
          <w:tcPr>
            <w:tcW w:w="1809" w:type="dxa"/>
          </w:tcPr>
          <w:p w:rsidR="00525DBA" w:rsidRPr="007058B7" w:rsidRDefault="00525DBA" w:rsidP="007058B7">
            <w:pPr>
              <w:rPr>
                <w:color w:val="auto"/>
                <w:szCs w:val="22"/>
              </w:rPr>
            </w:pPr>
            <w:r w:rsidRPr="007058B7">
              <w:rPr>
                <w:color w:val="auto"/>
                <w:szCs w:val="22"/>
              </w:rPr>
              <w:t>IOP</w:t>
            </w:r>
          </w:p>
        </w:tc>
        <w:tc>
          <w:tcPr>
            <w:tcW w:w="6911" w:type="dxa"/>
          </w:tcPr>
          <w:p w:rsidR="00525DBA" w:rsidRPr="00F3104F" w:rsidRDefault="00525DBA" w:rsidP="00D713FD">
            <w:pPr>
              <w:rPr>
                <w:szCs w:val="22"/>
              </w:rPr>
            </w:pPr>
            <w:r w:rsidRPr="00F3104F">
              <w:rPr>
                <w:szCs w:val="22"/>
              </w:rPr>
              <w:t>intraocular pressure</w:t>
            </w:r>
          </w:p>
        </w:tc>
      </w:tr>
      <w:tr w:rsidR="00525DBA" w:rsidRPr="00F3104F" w:rsidTr="008755B7">
        <w:tc>
          <w:tcPr>
            <w:tcW w:w="1809" w:type="dxa"/>
          </w:tcPr>
          <w:p w:rsidR="00525DBA" w:rsidRPr="007058B7" w:rsidRDefault="00525DBA" w:rsidP="007058B7">
            <w:pPr>
              <w:rPr>
                <w:color w:val="auto"/>
                <w:szCs w:val="22"/>
              </w:rPr>
            </w:pPr>
            <w:r w:rsidRPr="007058B7">
              <w:rPr>
                <w:color w:val="auto"/>
                <w:szCs w:val="22"/>
              </w:rPr>
              <w:t>ISS</w:t>
            </w:r>
          </w:p>
        </w:tc>
        <w:tc>
          <w:tcPr>
            <w:tcW w:w="6911" w:type="dxa"/>
          </w:tcPr>
          <w:p w:rsidR="00525DBA" w:rsidRPr="00F3104F" w:rsidRDefault="00525DBA" w:rsidP="00D713FD">
            <w:pPr>
              <w:rPr>
                <w:szCs w:val="22"/>
              </w:rPr>
            </w:pPr>
            <w:r w:rsidRPr="00F3104F">
              <w:rPr>
                <w:szCs w:val="22"/>
              </w:rPr>
              <w:t>integrated summary of safety</w:t>
            </w:r>
          </w:p>
        </w:tc>
      </w:tr>
      <w:tr w:rsidR="00525DBA" w:rsidRPr="00F3104F" w:rsidTr="008755B7">
        <w:tc>
          <w:tcPr>
            <w:tcW w:w="1809" w:type="dxa"/>
          </w:tcPr>
          <w:p w:rsidR="00525DBA" w:rsidRPr="007058B7" w:rsidRDefault="00525DBA" w:rsidP="007058B7">
            <w:pPr>
              <w:rPr>
                <w:color w:val="auto"/>
                <w:szCs w:val="22"/>
              </w:rPr>
            </w:pPr>
            <w:r w:rsidRPr="007058B7">
              <w:rPr>
                <w:color w:val="auto"/>
                <w:szCs w:val="22"/>
              </w:rPr>
              <w:lastRenderedPageBreak/>
              <w:t>ITT</w:t>
            </w:r>
          </w:p>
        </w:tc>
        <w:tc>
          <w:tcPr>
            <w:tcW w:w="6911" w:type="dxa"/>
          </w:tcPr>
          <w:p w:rsidR="00525DBA" w:rsidRPr="00F3104F" w:rsidRDefault="00525DBA" w:rsidP="00D713FD">
            <w:pPr>
              <w:rPr>
                <w:szCs w:val="22"/>
              </w:rPr>
            </w:pPr>
            <w:r w:rsidRPr="00F3104F">
              <w:rPr>
                <w:szCs w:val="22"/>
              </w:rPr>
              <w:t>intent-to-treat</w:t>
            </w:r>
          </w:p>
        </w:tc>
      </w:tr>
      <w:tr w:rsidR="00525DBA" w:rsidRPr="00F3104F" w:rsidTr="008755B7">
        <w:tc>
          <w:tcPr>
            <w:tcW w:w="1809" w:type="dxa"/>
          </w:tcPr>
          <w:p w:rsidR="00525DBA" w:rsidRPr="00F3104F" w:rsidRDefault="00525DBA" w:rsidP="007058B7">
            <w:pPr>
              <w:rPr>
                <w:szCs w:val="22"/>
              </w:rPr>
            </w:pPr>
            <w:r w:rsidRPr="00F3104F">
              <w:rPr>
                <w:szCs w:val="22"/>
              </w:rPr>
              <w:t>LOQ</w:t>
            </w:r>
          </w:p>
        </w:tc>
        <w:tc>
          <w:tcPr>
            <w:tcW w:w="6911" w:type="dxa"/>
          </w:tcPr>
          <w:p w:rsidR="00525DBA" w:rsidRPr="00F3104F" w:rsidRDefault="00525DBA" w:rsidP="00D713FD">
            <w:pPr>
              <w:rPr>
                <w:szCs w:val="22"/>
              </w:rPr>
            </w:pPr>
            <w:r w:rsidRPr="00F3104F">
              <w:rPr>
                <w:szCs w:val="22"/>
              </w:rPr>
              <w:t>limit of quantification</w:t>
            </w:r>
          </w:p>
        </w:tc>
      </w:tr>
      <w:tr w:rsidR="00525DBA" w:rsidRPr="00F3104F" w:rsidTr="008755B7">
        <w:tc>
          <w:tcPr>
            <w:tcW w:w="1809" w:type="dxa"/>
          </w:tcPr>
          <w:p w:rsidR="00525DBA" w:rsidRPr="00F3104F" w:rsidRDefault="00525DBA" w:rsidP="007058B7">
            <w:r>
              <w:t>LTS</w:t>
            </w:r>
          </w:p>
        </w:tc>
        <w:tc>
          <w:tcPr>
            <w:tcW w:w="6911" w:type="dxa"/>
          </w:tcPr>
          <w:p w:rsidR="00525DBA" w:rsidRPr="00F3104F" w:rsidRDefault="00525DBA" w:rsidP="00D713FD">
            <w:r>
              <w:t>long term safety</w:t>
            </w:r>
          </w:p>
        </w:tc>
      </w:tr>
      <w:tr w:rsidR="00525DBA" w:rsidRPr="00F3104F" w:rsidTr="008755B7">
        <w:tc>
          <w:tcPr>
            <w:tcW w:w="1809" w:type="dxa"/>
          </w:tcPr>
          <w:p w:rsidR="00525DBA" w:rsidRPr="00F3104F" w:rsidRDefault="00525DBA" w:rsidP="007058B7">
            <w:r w:rsidRPr="001432D7">
              <w:t>MCII</w:t>
            </w:r>
          </w:p>
        </w:tc>
        <w:tc>
          <w:tcPr>
            <w:tcW w:w="6911" w:type="dxa"/>
          </w:tcPr>
          <w:p w:rsidR="00525DBA" w:rsidRPr="00F3104F" w:rsidRDefault="00525DBA" w:rsidP="00D713FD">
            <w:r w:rsidRPr="001432D7">
              <w:t>mean cumulative irritancy</w:t>
            </w:r>
            <w:r w:rsidR="009A6DFA">
              <w:t xml:space="preserve"> index</w:t>
            </w:r>
          </w:p>
        </w:tc>
      </w:tr>
      <w:tr w:rsidR="00525DBA" w:rsidRPr="00F3104F" w:rsidTr="008755B7">
        <w:tc>
          <w:tcPr>
            <w:tcW w:w="1809" w:type="dxa"/>
          </w:tcPr>
          <w:p w:rsidR="00525DBA" w:rsidRPr="00F3104F" w:rsidRDefault="00525DBA" w:rsidP="007058B7">
            <w:pPr>
              <w:rPr>
                <w:szCs w:val="22"/>
              </w:rPr>
            </w:pPr>
            <w:proofErr w:type="spellStart"/>
            <w:r w:rsidRPr="00F3104F">
              <w:rPr>
                <w:szCs w:val="22"/>
              </w:rPr>
              <w:t>MedDRA</w:t>
            </w:r>
            <w:proofErr w:type="spellEnd"/>
          </w:p>
        </w:tc>
        <w:tc>
          <w:tcPr>
            <w:tcW w:w="6911" w:type="dxa"/>
          </w:tcPr>
          <w:p w:rsidR="00525DBA" w:rsidRPr="00F3104F" w:rsidRDefault="00525DBA" w:rsidP="00D713FD">
            <w:pPr>
              <w:rPr>
                <w:szCs w:val="22"/>
              </w:rPr>
            </w:pPr>
            <w:r w:rsidRPr="00F3104F">
              <w:rPr>
                <w:szCs w:val="22"/>
              </w:rPr>
              <w:t>Medical Dictionary for Regulatory Activities</w:t>
            </w:r>
          </w:p>
        </w:tc>
      </w:tr>
      <w:tr w:rsidR="00B271D4" w:rsidRPr="00F3104F" w:rsidTr="008755B7">
        <w:tc>
          <w:tcPr>
            <w:tcW w:w="1809" w:type="dxa"/>
          </w:tcPr>
          <w:p w:rsidR="00B271D4" w:rsidRPr="00F3104F" w:rsidRDefault="00B271D4" w:rsidP="007058B7">
            <w:r>
              <w:t>NMT</w:t>
            </w:r>
          </w:p>
        </w:tc>
        <w:tc>
          <w:tcPr>
            <w:tcW w:w="6911" w:type="dxa"/>
          </w:tcPr>
          <w:p w:rsidR="00B271D4" w:rsidRPr="00F3104F" w:rsidRDefault="00B271D4" w:rsidP="00D713FD">
            <w:r>
              <w:t>not more than</w:t>
            </w:r>
          </w:p>
        </w:tc>
      </w:tr>
      <w:tr w:rsidR="00525DBA" w:rsidRPr="00F3104F" w:rsidTr="008755B7">
        <w:tc>
          <w:tcPr>
            <w:tcW w:w="1809" w:type="dxa"/>
          </w:tcPr>
          <w:p w:rsidR="00525DBA" w:rsidRPr="00F3104F" w:rsidRDefault="00525DBA" w:rsidP="007058B7">
            <w:r w:rsidRPr="006F1757">
              <w:t>NOEL</w:t>
            </w:r>
          </w:p>
        </w:tc>
        <w:tc>
          <w:tcPr>
            <w:tcW w:w="6911" w:type="dxa"/>
          </w:tcPr>
          <w:p w:rsidR="00525DBA" w:rsidRPr="00F3104F" w:rsidRDefault="00525DBA" w:rsidP="00D713FD">
            <w:r w:rsidRPr="00036B9A">
              <w:t xml:space="preserve">no observable </w:t>
            </w:r>
            <w:r>
              <w:t>effect level</w:t>
            </w:r>
          </w:p>
        </w:tc>
      </w:tr>
      <w:tr w:rsidR="00525DBA" w:rsidRPr="00F3104F" w:rsidTr="008755B7">
        <w:tc>
          <w:tcPr>
            <w:tcW w:w="1809" w:type="dxa"/>
          </w:tcPr>
          <w:p w:rsidR="00525DBA" w:rsidRPr="00F3104F" w:rsidRDefault="00525DBA" w:rsidP="007058B7">
            <w:pPr>
              <w:rPr>
                <w:szCs w:val="22"/>
              </w:rPr>
            </w:pPr>
            <w:r w:rsidRPr="00F3104F">
              <w:rPr>
                <w:szCs w:val="22"/>
              </w:rPr>
              <w:t>OTE</w:t>
            </w:r>
          </w:p>
        </w:tc>
        <w:tc>
          <w:tcPr>
            <w:tcW w:w="6911" w:type="dxa"/>
          </w:tcPr>
          <w:p w:rsidR="00525DBA" w:rsidRPr="00F3104F" w:rsidRDefault="00525DBA" w:rsidP="00D713FD">
            <w:pPr>
              <w:rPr>
                <w:szCs w:val="22"/>
              </w:rPr>
            </w:pPr>
            <w:r w:rsidRPr="00F3104F">
              <w:rPr>
                <w:szCs w:val="22"/>
              </w:rPr>
              <w:t>overall treatment effect</w:t>
            </w:r>
          </w:p>
        </w:tc>
      </w:tr>
      <w:tr w:rsidR="00525DBA" w:rsidRPr="00F3104F" w:rsidTr="008755B7">
        <w:tc>
          <w:tcPr>
            <w:tcW w:w="1809" w:type="dxa"/>
          </w:tcPr>
          <w:p w:rsidR="00525DBA" w:rsidRPr="00F3104F" w:rsidRDefault="00525DBA" w:rsidP="007058B7">
            <w:pPr>
              <w:rPr>
                <w:szCs w:val="22"/>
              </w:rPr>
            </w:pPr>
            <w:r w:rsidRPr="00F3104F">
              <w:rPr>
                <w:szCs w:val="22"/>
              </w:rPr>
              <w:t>PAA</w:t>
            </w:r>
          </w:p>
        </w:tc>
        <w:tc>
          <w:tcPr>
            <w:tcW w:w="6911" w:type="dxa"/>
          </w:tcPr>
          <w:p w:rsidR="00525DBA" w:rsidRPr="00F3104F" w:rsidRDefault="00525DBA" w:rsidP="00D713FD">
            <w:pPr>
              <w:rPr>
                <w:szCs w:val="22"/>
              </w:rPr>
            </w:pPr>
            <w:r w:rsidRPr="00F3104F">
              <w:rPr>
                <w:szCs w:val="22"/>
              </w:rPr>
              <w:t>patient assessment of appearance</w:t>
            </w:r>
          </w:p>
        </w:tc>
      </w:tr>
      <w:tr w:rsidR="00525DBA" w:rsidRPr="00F3104F" w:rsidTr="008755B7">
        <w:tc>
          <w:tcPr>
            <w:tcW w:w="1809" w:type="dxa"/>
          </w:tcPr>
          <w:p w:rsidR="00525DBA" w:rsidRPr="00F3104F" w:rsidRDefault="00525DBA" w:rsidP="007058B7">
            <w:pPr>
              <w:rPr>
                <w:szCs w:val="22"/>
              </w:rPr>
            </w:pPr>
            <w:r w:rsidRPr="00F3104F">
              <w:rPr>
                <w:szCs w:val="22"/>
              </w:rPr>
              <w:t>PAW</w:t>
            </w:r>
          </w:p>
        </w:tc>
        <w:tc>
          <w:tcPr>
            <w:tcW w:w="6911" w:type="dxa"/>
          </w:tcPr>
          <w:p w:rsidR="00525DBA" w:rsidRPr="00F3104F" w:rsidRDefault="00525DBA" w:rsidP="00D713FD">
            <w:pPr>
              <w:rPr>
                <w:szCs w:val="22"/>
              </w:rPr>
            </w:pPr>
            <w:r w:rsidRPr="00F3104F">
              <w:rPr>
                <w:szCs w:val="22"/>
              </w:rPr>
              <w:t>patient assessment of whitening</w:t>
            </w:r>
          </w:p>
        </w:tc>
      </w:tr>
      <w:tr w:rsidR="00525DBA" w:rsidRPr="00F3104F" w:rsidTr="008755B7">
        <w:tc>
          <w:tcPr>
            <w:tcW w:w="1809" w:type="dxa"/>
          </w:tcPr>
          <w:p w:rsidR="00525DBA" w:rsidRPr="00F3104F" w:rsidRDefault="00525DBA" w:rsidP="007058B7">
            <w:pPr>
              <w:rPr>
                <w:szCs w:val="22"/>
              </w:rPr>
            </w:pPr>
            <w:r w:rsidRPr="00F3104F">
              <w:rPr>
                <w:szCs w:val="22"/>
              </w:rPr>
              <w:t>PK</w:t>
            </w:r>
          </w:p>
        </w:tc>
        <w:tc>
          <w:tcPr>
            <w:tcW w:w="6911" w:type="dxa"/>
          </w:tcPr>
          <w:p w:rsidR="00525DBA" w:rsidRPr="00F3104F" w:rsidRDefault="00525DBA" w:rsidP="00D713FD">
            <w:pPr>
              <w:rPr>
                <w:szCs w:val="22"/>
              </w:rPr>
            </w:pPr>
            <w:r w:rsidRPr="00F3104F">
              <w:rPr>
                <w:szCs w:val="22"/>
              </w:rPr>
              <w:t>Pharmacokinetic</w:t>
            </w:r>
            <w:r>
              <w:rPr>
                <w:szCs w:val="22"/>
              </w:rPr>
              <w:t>/s</w:t>
            </w:r>
          </w:p>
        </w:tc>
      </w:tr>
      <w:tr w:rsidR="00525DBA" w:rsidRPr="00F3104F" w:rsidTr="008755B7">
        <w:tc>
          <w:tcPr>
            <w:tcW w:w="1809" w:type="dxa"/>
          </w:tcPr>
          <w:p w:rsidR="00525DBA" w:rsidRPr="00F3104F" w:rsidRDefault="00525DBA" w:rsidP="007058B7">
            <w:r>
              <w:t>PCS</w:t>
            </w:r>
          </w:p>
        </w:tc>
        <w:tc>
          <w:tcPr>
            <w:tcW w:w="6911" w:type="dxa"/>
          </w:tcPr>
          <w:p w:rsidR="00525DBA" w:rsidRPr="00F3104F" w:rsidRDefault="00525DBA" w:rsidP="00D713FD">
            <w:r w:rsidRPr="000D5BB9">
              <w:t xml:space="preserve">Pharmaceutical Chemistry Section </w:t>
            </w:r>
            <w:r>
              <w:t>(of TGA)</w:t>
            </w:r>
          </w:p>
        </w:tc>
      </w:tr>
      <w:tr w:rsidR="00525DBA" w:rsidRPr="00F3104F" w:rsidTr="008755B7">
        <w:tc>
          <w:tcPr>
            <w:tcW w:w="1809" w:type="dxa"/>
          </w:tcPr>
          <w:p w:rsidR="00525DBA" w:rsidRPr="00F3104F" w:rsidRDefault="00525DBA" w:rsidP="007058B7">
            <w:pPr>
              <w:rPr>
                <w:szCs w:val="22"/>
              </w:rPr>
            </w:pPr>
            <w:r w:rsidRPr="00F3104F">
              <w:rPr>
                <w:szCs w:val="22"/>
              </w:rPr>
              <w:t>PSA</w:t>
            </w:r>
          </w:p>
        </w:tc>
        <w:tc>
          <w:tcPr>
            <w:tcW w:w="6911" w:type="dxa"/>
          </w:tcPr>
          <w:p w:rsidR="00525DBA" w:rsidRPr="00F3104F" w:rsidRDefault="00525DBA" w:rsidP="00D713FD">
            <w:pPr>
              <w:rPr>
                <w:szCs w:val="22"/>
              </w:rPr>
            </w:pPr>
            <w:r>
              <w:rPr>
                <w:szCs w:val="22"/>
              </w:rPr>
              <w:t>patient self-</w:t>
            </w:r>
            <w:r w:rsidRPr="00F3104F">
              <w:rPr>
                <w:szCs w:val="22"/>
              </w:rPr>
              <w:t>assessment</w:t>
            </w:r>
          </w:p>
        </w:tc>
      </w:tr>
      <w:tr w:rsidR="00525DBA" w:rsidRPr="00F3104F" w:rsidTr="008755B7">
        <w:tc>
          <w:tcPr>
            <w:tcW w:w="1809" w:type="dxa"/>
          </w:tcPr>
          <w:p w:rsidR="00525DBA" w:rsidRPr="00F3104F" w:rsidRDefault="00525DBA" w:rsidP="007058B7">
            <w:r w:rsidRPr="00D64CFA">
              <w:t>PSUR</w:t>
            </w:r>
          </w:p>
        </w:tc>
        <w:tc>
          <w:tcPr>
            <w:tcW w:w="6911" w:type="dxa"/>
          </w:tcPr>
          <w:p w:rsidR="00525DBA" w:rsidRPr="00F3104F" w:rsidRDefault="00525DBA" w:rsidP="00D713FD">
            <w:r w:rsidRPr="00D64CFA">
              <w:t>periodic safety update reports</w:t>
            </w:r>
          </w:p>
        </w:tc>
      </w:tr>
      <w:tr w:rsidR="00E17938" w:rsidRPr="00F3104F" w:rsidTr="008755B7">
        <w:tc>
          <w:tcPr>
            <w:tcW w:w="1809" w:type="dxa"/>
          </w:tcPr>
          <w:p w:rsidR="00E17938" w:rsidRPr="00D64CFA" w:rsidRDefault="00E17938" w:rsidP="007058B7">
            <w:r>
              <w:t>PT</w:t>
            </w:r>
          </w:p>
        </w:tc>
        <w:tc>
          <w:tcPr>
            <w:tcW w:w="6911" w:type="dxa"/>
          </w:tcPr>
          <w:p w:rsidR="00E17938" w:rsidRPr="00D64CFA" w:rsidRDefault="00E17938" w:rsidP="00D713FD">
            <w:r>
              <w:t>preferred term</w:t>
            </w:r>
          </w:p>
        </w:tc>
      </w:tr>
      <w:tr w:rsidR="00525DBA" w:rsidRPr="00F3104F" w:rsidTr="008755B7">
        <w:tc>
          <w:tcPr>
            <w:tcW w:w="1809" w:type="dxa"/>
          </w:tcPr>
          <w:p w:rsidR="00525DBA" w:rsidRPr="00F3104F" w:rsidRDefault="00AA4341" w:rsidP="007058B7">
            <w:pPr>
              <w:rPr>
                <w:szCs w:val="22"/>
              </w:rPr>
            </w:pPr>
            <w:proofErr w:type="spellStart"/>
            <w:r>
              <w:rPr>
                <w:szCs w:val="22"/>
              </w:rPr>
              <w:t>q.d</w:t>
            </w:r>
            <w:proofErr w:type="spellEnd"/>
            <w:r>
              <w:rPr>
                <w:szCs w:val="22"/>
              </w:rPr>
              <w:t>.</w:t>
            </w:r>
          </w:p>
        </w:tc>
        <w:tc>
          <w:tcPr>
            <w:tcW w:w="6911" w:type="dxa"/>
          </w:tcPr>
          <w:p w:rsidR="00525DBA" w:rsidRPr="00F3104F" w:rsidRDefault="00525DBA" w:rsidP="00D713FD">
            <w:pPr>
              <w:rPr>
                <w:szCs w:val="22"/>
              </w:rPr>
            </w:pPr>
            <w:r w:rsidRPr="00F3104F">
              <w:rPr>
                <w:szCs w:val="22"/>
              </w:rPr>
              <w:t>once daily (</w:t>
            </w:r>
            <w:proofErr w:type="spellStart"/>
            <w:r w:rsidRPr="00F3104F">
              <w:rPr>
                <w:szCs w:val="22"/>
              </w:rPr>
              <w:t>latin</w:t>
            </w:r>
            <w:proofErr w:type="spellEnd"/>
            <w:r w:rsidRPr="00F3104F">
              <w:rPr>
                <w:szCs w:val="22"/>
              </w:rPr>
              <w:t xml:space="preserve">: </w:t>
            </w:r>
            <w:proofErr w:type="spellStart"/>
            <w:r w:rsidRPr="00F3104F">
              <w:rPr>
                <w:szCs w:val="22"/>
              </w:rPr>
              <w:t>quaque</w:t>
            </w:r>
            <w:proofErr w:type="spellEnd"/>
            <w:r w:rsidRPr="00F3104F">
              <w:rPr>
                <w:szCs w:val="22"/>
              </w:rPr>
              <w:t xml:space="preserve"> die)</w:t>
            </w:r>
          </w:p>
        </w:tc>
      </w:tr>
      <w:tr w:rsidR="00525DBA" w:rsidRPr="00F3104F" w:rsidTr="008755B7">
        <w:tc>
          <w:tcPr>
            <w:tcW w:w="1809" w:type="dxa"/>
          </w:tcPr>
          <w:p w:rsidR="00525DBA" w:rsidRPr="00F3104F" w:rsidRDefault="00525DBA" w:rsidP="007058B7">
            <w:pPr>
              <w:rPr>
                <w:szCs w:val="22"/>
              </w:rPr>
            </w:pPr>
            <w:proofErr w:type="spellStart"/>
            <w:r w:rsidRPr="00F3104F">
              <w:rPr>
                <w:szCs w:val="22"/>
              </w:rPr>
              <w:t>QoL</w:t>
            </w:r>
            <w:proofErr w:type="spellEnd"/>
          </w:p>
        </w:tc>
        <w:tc>
          <w:tcPr>
            <w:tcW w:w="6911" w:type="dxa"/>
          </w:tcPr>
          <w:p w:rsidR="00525DBA" w:rsidRPr="00F3104F" w:rsidRDefault="00525DBA" w:rsidP="00D713FD">
            <w:pPr>
              <w:rPr>
                <w:szCs w:val="22"/>
              </w:rPr>
            </w:pPr>
            <w:r w:rsidRPr="00F6381A">
              <w:rPr>
                <w:szCs w:val="22"/>
              </w:rPr>
              <w:t>quality of life</w:t>
            </w:r>
          </w:p>
        </w:tc>
      </w:tr>
      <w:tr w:rsidR="00525DBA" w:rsidRPr="00F3104F" w:rsidTr="008755B7">
        <w:tc>
          <w:tcPr>
            <w:tcW w:w="1809" w:type="dxa"/>
          </w:tcPr>
          <w:p w:rsidR="00525DBA" w:rsidRPr="00F3104F" w:rsidRDefault="00525DBA" w:rsidP="007058B7">
            <w:proofErr w:type="spellStart"/>
            <w:r w:rsidRPr="001432D7">
              <w:t>QTc</w:t>
            </w:r>
            <w:proofErr w:type="spellEnd"/>
          </w:p>
        </w:tc>
        <w:tc>
          <w:tcPr>
            <w:tcW w:w="6911" w:type="dxa"/>
          </w:tcPr>
          <w:p w:rsidR="00525DBA" w:rsidRPr="00304B22" w:rsidRDefault="00304B22" w:rsidP="00D713FD">
            <w:r w:rsidRPr="00304B22">
              <w:t>QT interval corrected for heart rate</w:t>
            </w:r>
          </w:p>
        </w:tc>
      </w:tr>
      <w:tr w:rsidR="00304B22" w:rsidRPr="00F3104F" w:rsidTr="008755B7">
        <w:tc>
          <w:tcPr>
            <w:tcW w:w="1809" w:type="dxa"/>
          </w:tcPr>
          <w:p w:rsidR="00304B22" w:rsidRPr="001432D7" w:rsidRDefault="00304B22" w:rsidP="007058B7">
            <w:proofErr w:type="spellStart"/>
            <w:r w:rsidRPr="00304B22">
              <w:t>QTcB</w:t>
            </w:r>
            <w:proofErr w:type="spellEnd"/>
          </w:p>
        </w:tc>
        <w:tc>
          <w:tcPr>
            <w:tcW w:w="6911" w:type="dxa"/>
          </w:tcPr>
          <w:p w:rsidR="00304B22" w:rsidRPr="00304B22" w:rsidRDefault="00304B22" w:rsidP="00D713FD">
            <w:proofErr w:type="spellStart"/>
            <w:r>
              <w:t>Bazett</w:t>
            </w:r>
            <w:proofErr w:type="spellEnd"/>
            <w:r>
              <w:t>-Corrected QT i</w:t>
            </w:r>
            <w:r w:rsidRPr="00304B22">
              <w:t>nterval</w:t>
            </w:r>
          </w:p>
        </w:tc>
      </w:tr>
      <w:tr w:rsidR="00304B22" w:rsidRPr="00F3104F" w:rsidTr="008755B7">
        <w:tc>
          <w:tcPr>
            <w:tcW w:w="1809" w:type="dxa"/>
          </w:tcPr>
          <w:p w:rsidR="00304B22" w:rsidRPr="00304B22" w:rsidRDefault="00304B22" w:rsidP="007058B7">
            <w:proofErr w:type="spellStart"/>
            <w:r w:rsidRPr="00304B22">
              <w:t>QTcF</w:t>
            </w:r>
            <w:proofErr w:type="spellEnd"/>
          </w:p>
        </w:tc>
        <w:tc>
          <w:tcPr>
            <w:tcW w:w="6911" w:type="dxa"/>
          </w:tcPr>
          <w:p w:rsidR="00304B22" w:rsidRPr="00304B22" w:rsidRDefault="00304B22" w:rsidP="00D713FD">
            <w:proofErr w:type="spellStart"/>
            <w:r>
              <w:t>Fridericia</w:t>
            </w:r>
            <w:proofErr w:type="spellEnd"/>
            <w:r>
              <w:t>-c</w:t>
            </w:r>
            <w:r w:rsidRPr="00304B22">
              <w:t>orrected QT</w:t>
            </w:r>
            <w:r>
              <w:t xml:space="preserve"> i</w:t>
            </w:r>
            <w:r w:rsidRPr="00304B22">
              <w:t>nterval</w:t>
            </w:r>
          </w:p>
        </w:tc>
      </w:tr>
      <w:tr w:rsidR="00304B22" w:rsidRPr="00F3104F" w:rsidTr="008755B7">
        <w:tc>
          <w:tcPr>
            <w:tcW w:w="1809" w:type="dxa"/>
          </w:tcPr>
          <w:p w:rsidR="00304B22" w:rsidRPr="00304B22" w:rsidRDefault="00304B22" w:rsidP="007058B7">
            <w:proofErr w:type="spellStart"/>
            <w:r w:rsidRPr="00304B22">
              <w:t>QTcI</w:t>
            </w:r>
            <w:proofErr w:type="spellEnd"/>
          </w:p>
        </w:tc>
        <w:tc>
          <w:tcPr>
            <w:tcW w:w="6911" w:type="dxa"/>
          </w:tcPr>
          <w:p w:rsidR="00304B22" w:rsidRPr="00304B22" w:rsidRDefault="00304B22" w:rsidP="00D713FD">
            <w:r>
              <w:t>QT interval, individual-based correction f</w:t>
            </w:r>
            <w:r w:rsidRPr="00304B22">
              <w:t>actor</w:t>
            </w:r>
          </w:p>
        </w:tc>
      </w:tr>
      <w:tr w:rsidR="00A91D0E" w:rsidRPr="00F3104F" w:rsidTr="008755B7">
        <w:tc>
          <w:tcPr>
            <w:tcW w:w="1809" w:type="dxa"/>
          </w:tcPr>
          <w:p w:rsidR="00A91D0E" w:rsidRPr="00304B22" w:rsidRDefault="00A91D0E" w:rsidP="007058B7">
            <w:r>
              <w:t>RMP</w:t>
            </w:r>
          </w:p>
        </w:tc>
        <w:tc>
          <w:tcPr>
            <w:tcW w:w="6911" w:type="dxa"/>
          </w:tcPr>
          <w:p w:rsidR="00A91D0E" w:rsidRDefault="00A91D0E" w:rsidP="00D713FD">
            <w:r>
              <w:t>risk management plan</w:t>
            </w:r>
          </w:p>
        </w:tc>
      </w:tr>
      <w:tr w:rsidR="00525DBA" w:rsidRPr="00F3104F" w:rsidTr="008755B7">
        <w:tc>
          <w:tcPr>
            <w:tcW w:w="1809" w:type="dxa"/>
          </w:tcPr>
          <w:p w:rsidR="00525DBA" w:rsidRPr="00F3104F" w:rsidRDefault="00525DBA" w:rsidP="007058B7">
            <w:pPr>
              <w:rPr>
                <w:szCs w:val="22"/>
              </w:rPr>
            </w:pPr>
            <w:r w:rsidRPr="00F3104F">
              <w:rPr>
                <w:szCs w:val="22"/>
              </w:rPr>
              <w:t>SAE</w:t>
            </w:r>
          </w:p>
        </w:tc>
        <w:tc>
          <w:tcPr>
            <w:tcW w:w="6911" w:type="dxa"/>
          </w:tcPr>
          <w:p w:rsidR="00525DBA" w:rsidRPr="00F3104F" w:rsidRDefault="00525DBA" w:rsidP="00D713FD">
            <w:pPr>
              <w:rPr>
                <w:szCs w:val="22"/>
              </w:rPr>
            </w:pPr>
            <w:r w:rsidRPr="00F3104F">
              <w:rPr>
                <w:szCs w:val="22"/>
              </w:rPr>
              <w:t>serious adverse event</w:t>
            </w:r>
          </w:p>
        </w:tc>
      </w:tr>
      <w:tr w:rsidR="00F85E63" w:rsidRPr="00F3104F" w:rsidTr="008755B7">
        <w:tc>
          <w:tcPr>
            <w:tcW w:w="1809" w:type="dxa"/>
          </w:tcPr>
          <w:p w:rsidR="00F85E63" w:rsidRPr="00F3104F" w:rsidRDefault="00F85E63" w:rsidP="007058B7">
            <w:r>
              <w:t>SCS</w:t>
            </w:r>
          </w:p>
        </w:tc>
        <w:tc>
          <w:tcPr>
            <w:tcW w:w="6911" w:type="dxa"/>
          </w:tcPr>
          <w:p w:rsidR="00F85E63" w:rsidRPr="00F3104F" w:rsidRDefault="00F85E63" w:rsidP="00D713FD">
            <w:r>
              <w:t>summary of clinical safety</w:t>
            </w:r>
          </w:p>
        </w:tc>
      </w:tr>
      <w:tr w:rsidR="00525DBA" w:rsidRPr="00F3104F" w:rsidTr="008755B7">
        <w:tc>
          <w:tcPr>
            <w:tcW w:w="1809" w:type="dxa"/>
          </w:tcPr>
          <w:p w:rsidR="00525DBA" w:rsidRPr="00F3104F" w:rsidRDefault="00525DBA" w:rsidP="007058B7">
            <w:pPr>
              <w:rPr>
                <w:szCs w:val="22"/>
              </w:rPr>
            </w:pPr>
            <w:r w:rsidRPr="00F3104F">
              <w:rPr>
                <w:szCs w:val="22"/>
              </w:rPr>
              <w:t>SD</w:t>
            </w:r>
          </w:p>
        </w:tc>
        <w:tc>
          <w:tcPr>
            <w:tcW w:w="6911" w:type="dxa"/>
          </w:tcPr>
          <w:p w:rsidR="00525DBA" w:rsidRPr="00F3104F" w:rsidRDefault="00525DBA" w:rsidP="00D713FD">
            <w:pPr>
              <w:rPr>
                <w:szCs w:val="22"/>
              </w:rPr>
            </w:pPr>
            <w:r w:rsidRPr="00F3104F">
              <w:rPr>
                <w:szCs w:val="22"/>
              </w:rPr>
              <w:t>standard deviation</w:t>
            </w:r>
          </w:p>
        </w:tc>
      </w:tr>
      <w:tr w:rsidR="00E17938" w:rsidRPr="00F3104F" w:rsidTr="008755B7">
        <w:tc>
          <w:tcPr>
            <w:tcW w:w="1809" w:type="dxa"/>
          </w:tcPr>
          <w:p w:rsidR="00E17938" w:rsidRPr="00F3104F" w:rsidRDefault="00E17938" w:rsidP="007058B7">
            <w:r>
              <w:t>SOC</w:t>
            </w:r>
          </w:p>
        </w:tc>
        <w:tc>
          <w:tcPr>
            <w:tcW w:w="6911" w:type="dxa"/>
          </w:tcPr>
          <w:p w:rsidR="00E17938" w:rsidRPr="00F3104F" w:rsidRDefault="00E17938" w:rsidP="00D713FD">
            <w:r>
              <w:t>system organ class</w:t>
            </w:r>
          </w:p>
        </w:tc>
      </w:tr>
      <w:tr w:rsidR="00525DBA" w:rsidRPr="00F3104F" w:rsidTr="008755B7">
        <w:tc>
          <w:tcPr>
            <w:tcW w:w="1809" w:type="dxa"/>
          </w:tcPr>
          <w:p w:rsidR="00525DBA" w:rsidRPr="00F3104F" w:rsidRDefault="00525DBA" w:rsidP="007058B7">
            <w:pPr>
              <w:rPr>
                <w:szCs w:val="22"/>
              </w:rPr>
            </w:pPr>
            <w:r w:rsidRPr="00F3104F">
              <w:rPr>
                <w:szCs w:val="22"/>
              </w:rPr>
              <w:lastRenderedPageBreak/>
              <w:t>TEAE</w:t>
            </w:r>
          </w:p>
        </w:tc>
        <w:tc>
          <w:tcPr>
            <w:tcW w:w="6911" w:type="dxa"/>
          </w:tcPr>
          <w:p w:rsidR="00525DBA" w:rsidRPr="00F3104F" w:rsidRDefault="00525DBA" w:rsidP="00D713FD">
            <w:pPr>
              <w:rPr>
                <w:szCs w:val="22"/>
              </w:rPr>
            </w:pPr>
            <w:r w:rsidRPr="00F3104F">
              <w:rPr>
                <w:szCs w:val="22"/>
              </w:rPr>
              <w:t>treatment-emergent adverse event</w:t>
            </w:r>
          </w:p>
        </w:tc>
      </w:tr>
      <w:tr w:rsidR="00525DBA" w:rsidRPr="00F3104F" w:rsidTr="008755B7">
        <w:tc>
          <w:tcPr>
            <w:tcW w:w="1809" w:type="dxa"/>
          </w:tcPr>
          <w:p w:rsidR="00525DBA" w:rsidRPr="00F3104F" w:rsidRDefault="00525DBA" w:rsidP="007058B7">
            <w:r>
              <w:t>TGA</w:t>
            </w:r>
          </w:p>
        </w:tc>
        <w:tc>
          <w:tcPr>
            <w:tcW w:w="6911" w:type="dxa"/>
          </w:tcPr>
          <w:p w:rsidR="00525DBA" w:rsidRPr="00F3104F" w:rsidRDefault="009F19AD" w:rsidP="00D713FD">
            <w:r>
              <w:t>The</w:t>
            </w:r>
            <w:r w:rsidR="00525DBA">
              <w:t>rapeutic Goods Administration</w:t>
            </w:r>
          </w:p>
        </w:tc>
      </w:tr>
      <w:tr w:rsidR="00525DBA" w:rsidRPr="00F3104F" w:rsidTr="008755B7">
        <w:tc>
          <w:tcPr>
            <w:tcW w:w="1809" w:type="dxa"/>
          </w:tcPr>
          <w:p w:rsidR="00525DBA" w:rsidRPr="00F3104F" w:rsidRDefault="00525DBA" w:rsidP="007058B7">
            <w:pPr>
              <w:rPr>
                <w:szCs w:val="22"/>
              </w:rPr>
            </w:pPr>
            <w:proofErr w:type="spellStart"/>
            <w:r w:rsidRPr="00F3104F">
              <w:rPr>
                <w:szCs w:val="22"/>
              </w:rPr>
              <w:t>T</w:t>
            </w:r>
            <w:r>
              <w:rPr>
                <w:szCs w:val="22"/>
              </w:rPr>
              <w:t>e</w:t>
            </w:r>
            <w:r w:rsidRPr="00F3104F">
              <w:rPr>
                <w:szCs w:val="22"/>
              </w:rPr>
              <w:t>GA</w:t>
            </w:r>
            <w:proofErr w:type="spellEnd"/>
          </w:p>
        </w:tc>
        <w:tc>
          <w:tcPr>
            <w:tcW w:w="6911" w:type="dxa"/>
          </w:tcPr>
          <w:p w:rsidR="00525DBA" w:rsidRPr="00F3104F" w:rsidRDefault="00525DBA" w:rsidP="00D713FD">
            <w:pPr>
              <w:rPr>
                <w:szCs w:val="22"/>
              </w:rPr>
            </w:pPr>
            <w:r w:rsidRPr="00F3104F">
              <w:rPr>
                <w:szCs w:val="22"/>
              </w:rPr>
              <w:t>telangiectasia grading assessment</w:t>
            </w:r>
          </w:p>
        </w:tc>
      </w:tr>
      <w:tr w:rsidR="00525DBA" w:rsidRPr="00F3104F" w:rsidTr="008755B7">
        <w:tc>
          <w:tcPr>
            <w:tcW w:w="1809" w:type="dxa"/>
          </w:tcPr>
          <w:p w:rsidR="00525DBA" w:rsidRDefault="00735A24" w:rsidP="007058B7">
            <w:proofErr w:type="spellStart"/>
            <w:r>
              <w:t>Tmax</w:t>
            </w:r>
            <w:proofErr w:type="spellEnd"/>
          </w:p>
        </w:tc>
        <w:tc>
          <w:tcPr>
            <w:tcW w:w="6911" w:type="dxa"/>
          </w:tcPr>
          <w:p w:rsidR="00525DBA" w:rsidRPr="009F19AD" w:rsidRDefault="009F19AD" w:rsidP="00D713FD">
            <w:r>
              <w:t>time when maximum drug c</w:t>
            </w:r>
            <w:r w:rsidRPr="009F19AD">
              <w:t>oncentration occurs</w:t>
            </w:r>
          </w:p>
        </w:tc>
      </w:tr>
      <w:tr w:rsidR="00525DBA" w:rsidRPr="00F3104F" w:rsidTr="008755B7">
        <w:tc>
          <w:tcPr>
            <w:tcW w:w="1809" w:type="dxa"/>
          </w:tcPr>
          <w:p w:rsidR="00525DBA" w:rsidRDefault="00525DBA" w:rsidP="007058B7">
            <w:r w:rsidRPr="00853674">
              <w:t>TTC</w:t>
            </w:r>
          </w:p>
        </w:tc>
        <w:tc>
          <w:tcPr>
            <w:tcW w:w="6911" w:type="dxa"/>
          </w:tcPr>
          <w:p w:rsidR="00525DBA" w:rsidRDefault="00525DBA" w:rsidP="00D713FD">
            <w:r w:rsidRPr="000D5BB9">
              <w:t>threshold of toxicological concern</w:t>
            </w:r>
          </w:p>
        </w:tc>
      </w:tr>
      <w:tr w:rsidR="00BF676E" w:rsidRPr="00F3104F" w:rsidTr="008755B7">
        <w:tc>
          <w:tcPr>
            <w:tcW w:w="1809" w:type="dxa"/>
          </w:tcPr>
          <w:p w:rsidR="00BF676E" w:rsidRPr="00853674" w:rsidRDefault="00BF676E" w:rsidP="007058B7">
            <w:r>
              <w:t>USA</w:t>
            </w:r>
          </w:p>
        </w:tc>
        <w:tc>
          <w:tcPr>
            <w:tcW w:w="6911" w:type="dxa"/>
          </w:tcPr>
          <w:p w:rsidR="00BF676E" w:rsidRPr="000D5BB9" w:rsidRDefault="00BF676E" w:rsidP="00D713FD">
            <w:r>
              <w:t>United States of America</w:t>
            </w:r>
          </w:p>
        </w:tc>
      </w:tr>
      <w:tr w:rsidR="00525DBA" w:rsidRPr="00F3104F" w:rsidTr="008755B7">
        <w:tc>
          <w:tcPr>
            <w:tcW w:w="1809" w:type="dxa"/>
          </w:tcPr>
          <w:p w:rsidR="00525DBA" w:rsidRPr="00F3104F" w:rsidRDefault="00525DBA" w:rsidP="007058B7">
            <w:r>
              <w:t>UV</w:t>
            </w:r>
          </w:p>
        </w:tc>
        <w:tc>
          <w:tcPr>
            <w:tcW w:w="6911" w:type="dxa"/>
          </w:tcPr>
          <w:p w:rsidR="00525DBA" w:rsidRPr="00F3104F" w:rsidRDefault="00525DBA" w:rsidP="00D713FD">
            <w:r>
              <w:t>ultra violet</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13157296"/>
      <w:r>
        <w:lastRenderedPageBreak/>
        <w:t>I.</w:t>
      </w:r>
      <w:r w:rsidR="008E7846">
        <w:t xml:space="preserve"> Introduction to product submission</w:t>
      </w:r>
      <w:bookmarkEnd w:id="3"/>
      <w:bookmarkEnd w:id="1"/>
      <w:bookmarkEnd w:id="9"/>
    </w:p>
    <w:p w:rsidR="008E7846" w:rsidRDefault="008E7846" w:rsidP="008E7846">
      <w:pPr>
        <w:pStyle w:val="Heading3"/>
        <w:rPr>
          <w:lang w:eastAsia="en-AU"/>
        </w:rPr>
      </w:pPr>
      <w:bookmarkStart w:id="10" w:name="_Toc247691502"/>
      <w:bookmarkStart w:id="11" w:name="_Toc314842483"/>
      <w:bookmarkStart w:id="12" w:name="_Toc413157297"/>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rsidTr="00E00D1E">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035106" w:rsidP="001B5C90">
            <w:r>
              <w:t>New Indication, new dosage form, new formulation, new strength</w:t>
            </w:r>
          </w:p>
        </w:tc>
      </w:tr>
      <w:tr w:rsidR="008E7846" w:rsidRPr="003D1E62" w:rsidTr="00E00D1E">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035106" w:rsidP="001B5C90">
            <w:r>
              <w:t>Approved</w:t>
            </w:r>
          </w:p>
        </w:tc>
      </w:tr>
      <w:tr w:rsidR="008E7846" w:rsidRPr="003D1E62" w:rsidTr="00E00D1E">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967DA5" w:rsidP="001B5C90">
            <w:r>
              <w:t>1 August 2014</w:t>
            </w:r>
          </w:p>
        </w:tc>
      </w:tr>
      <w:tr w:rsidR="008E7846" w:rsidRPr="00487162" w:rsidTr="00E00D1E">
        <w:trPr>
          <w:gridAfter w:val="1"/>
          <w:wAfter w:w="283" w:type="dxa"/>
        </w:trPr>
        <w:tc>
          <w:tcPr>
            <w:tcW w:w="2907" w:type="dxa"/>
          </w:tcPr>
          <w:p w:rsidR="008E7846" w:rsidRPr="00487162" w:rsidRDefault="009A6DFA" w:rsidP="00E45619">
            <w:pPr>
              <w:rPr>
                <w:i/>
              </w:rPr>
            </w:pPr>
            <w:r>
              <w:rPr>
                <w:i/>
              </w:rPr>
              <w:t>Active ingredient</w:t>
            </w:r>
            <w:r w:rsidR="001B5C90">
              <w:rPr>
                <w:i/>
              </w:rPr>
              <w:t>:</w:t>
            </w:r>
          </w:p>
        </w:tc>
        <w:tc>
          <w:tcPr>
            <w:tcW w:w="6307" w:type="dxa"/>
          </w:tcPr>
          <w:p w:rsidR="008E7846" w:rsidRPr="00487162" w:rsidRDefault="008725B9" w:rsidP="00AC12BA">
            <w:r>
              <w:t xml:space="preserve">Brimonidine </w:t>
            </w:r>
            <w:r w:rsidR="00AC12BA">
              <w:t>T</w:t>
            </w:r>
            <w:r>
              <w:t>artrate</w:t>
            </w:r>
          </w:p>
        </w:tc>
      </w:tr>
      <w:tr w:rsidR="008E7846" w:rsidRPr="00487162" w:rsidTr="00E00D1E">
        <w:trPr>
          <w:gridAfter w:val="1"/>
          <w:wAfter w:w="283" w:type="dxa"/>
        </w:trPr>
        <w:tc>
          <w:tcPr>
            <w:tcW w:w="2907" w:type="dxa"/>
          </w:tcPr>
          <w:p w:rsidR="008E7846" w:rsidRPr="00487162" w:rsidRDefault="008E7846" w:rsidP="001B5C90">
            <w:pPr>
              <w:rPr>
                <w:i/>
              </w:rPr>
            </w:pPr>
            <w:r w:rsidRPr="00487162">
              <w:rPr>
                <w:i/>
              </w:rPr>
              <w:t>Product</w:t>
            </w:r>
            <w:r w:rsidR="009A6DFA">
              <w:rPr>
                <w:i/>
              </w:rPr>
              <w:t xml:space="preserve"> name</w:t>
            </w:r>
            <w:r w:rsidR="001B5C90">
              <w:rPr>
                <w:i/>
              </w:rPr>
              <w:t>:</w:t>
            </w:r>
          </w:p>
        </w:tc>
        <w:tc>
          <w:tcPr>
            <w:tcW w:w="6307" w:type="dxa"/>
          </w:tcPr>
          <w:p w:rsidR="008E7846" w:rsidRPr="00487162" w:rsidRDefault="008725B9" w:rsidP="00E45619">
            <w:proofErr w:type="spellStart"/>
            <w:r>
              <w:t>Mirvaso</w:t>
            </w:r>
            <w:proofErr w:type="spellEnd"/>
          </w:p>
        </w:tc>
      </w:tr>
      <w:tr w:rsidR="008E7846" w:rsidRPr="00487162" w:rsidTr="00E00D1E">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875D5F" w:rsidRPr="00487162" w:rsidRDefault="00875D5F" w:rsidP="00E45619">
            <w:proofErr w:type="spellStart"/>
            <w:r>
              <w:t>Galderma</w:t>
            </w:r>
            <w:proofErr w:type="spellEnd"/>
            <w:r>
              <w:t xml:space="preserve"> Australia Pty Ltd</w:t>
            </w:r>
            <w:r w:rsidR="009A6DFA">
              <w:br/>
              <w:t>PO Box 502</w:t>
            </w:r>
            <w:r w:rsidR="009A6DFA">
              <w:br/>
              <w:t>Frenchs Forrest</w:t>
            </w:r>
            <w:r w:rsidR="009A6DFA">
              <w:br/>
            </w:r>
            <w:r>
              <w:t>NSW 2086</w:t>
            </w:r>
          </w:p>
        </w:tc>
      </w:tr>
      <w:tr w:rsidR="008E7846" w:rsidRPr="00487162" w:rsidTr="00E00D1E">
        <w:trPr>
          <w:gridAfter w:val="1"/>
          <w:wAfter w:w="283" w:type="dxa"/>
        </w:trPr>
        <w:tc>
          <w:tcPr>
            <w:tcW w:w="2907" w:type="dxa"/>
          </w:tcPr>
          <w:p w:rsidR="008E7846" w:rsidRPr="00487162" w:rsidRDefault="008725B9" w:rsidP="00E45619">
            <w:pPr>
              <w:rPr>
                <w:i/>
              </w:rPr>
            </w:pPr>
            <w:r>
              <w:rPr>
                <w:i/>
              </w:rPr>
              <w:t>Dose form</w:t>
            </w:r>
            <w:r w:rsidR="001B5C90">
              <w:rPr>
                <w:i/>
              </w:rPr>
              <w:t>:</w:t>
            </w:r>
          </w:p>
        </w:tc>
        <w:tc>
          <w:tcPr>
            <w:tcW w:w="6307" w:type="dxa"/>
          </w:tcPr>
          <w:p w:rsidR="008E7846" w:rsidRPr="00487162" w:rsidRDefault="008725B9" w:rsidP="00E45619">
            <w:r>
              <w:t>Gel</w:t>
            </w:r>
          </w:p>
        </w:tc>
      </w:tr>
      <w:tr w:rsidR="008E7846" w:rsidRPr="00487162" w:rsidTr="00E00D1E">
        <w:trPr>
          <w:gridAfter w:val="1"/>
          <w:wAfter w:w="283" w:type="dxa"/>
        </w:trPr>
        <w:tc>
          <w:tcPr>
            <w:tcW w:w="2907" w:type="dxa"/>
          </w:tcPr>
          <w:p w:rsidR="008E7846" w:rsidRPr="00487162" w:rsidRDefault="008725B9" w:rsidP="00E45619">
            <w:pPr>
              <w:rPr>
                <w:i/>
              </w:rPr>
            </w:pPr>
            <w:r>
              <w:rPr>
                <w:i/>
              </w:rPr>
              <w:t>Strength</w:t>
            </w:r>
            <w:r w:rsidR="008E7846" w:rsidRPr="00487162">
              <w:rPr>
                <w:i/>
              </w:rPr>
              <w:t xml:space="preserve">: </w:t>
            </w:r>
          </w:p>
        </w:tc>
        <w:tc>
          <w:tcPr>
            <w:tcW w:w="6307" w:type="dxa"/>
          </w:tcPr>
          <w:p w:rsidR="008E7846" w:rsidRPr="00487162" w:rsidRDefault="008725B9" w:rsidP="00E45619">
            <w:r>
              <w:t>3.3 mg/g</w:t>
            </w:r>
          </w:p>
        </w:tc>
      </w:tr>
      <w:tr w:rsidR="008E7846" w:rsidRPr="00487162" w:rsidTr="00E00D1E">
        <w:trPr>
          <w:gridAfter w:val="1"/>
          <w:wAfter w:w="283" w:type="dxa"/>
        </w:trPr>
        <w:tc>
          <w:tcPr>
            <w:tcW w:w="2907" w:type="dxa"/>
          </w:tcPr>
          <w:p w:rsidR="008E7846" w:rsidRPr="00487162" w:rsidRDefault="009A6DFA" w:rsidP="00E45619">
            <w:pPr>
              <w:rPr>
                <w:i/>
              </w:rPr>
            </w:pPr>
            <w:r>
              <w:rPr>
                <w:i/>
              </w:rPr>
              <w:t>Container</w:t>
            </w:r>
            <w:r w:rsidR="008E7846" w:rsidRPr="00487162">
              <w:rPr>
                <w:i/>
              </w:rPr>
              <w:t>:</w:t>
            </w:r>
          </w:p>
        </w:tc>
        <w:tc>
          <w:tcPr>
            <w:tcW w:w="6307" w:type="dxa"/>
          </w:tcPr>
          <w:p w:rsidR="008E7846" w:rsidRPr="00487162" w:rsidRDefault="009A6DFA" w:rsidP="00E45619">
            <w:r>
              <w:t>T</w:t>
            </w:r>
            <w:r w:rsidR="008725B9">
              <w:t>ube</w:t>
            </w:r>
          </w:p>
        </w:tc>
      </w:tr>
      <w:tr w:rsidR="008E7846" w:rsidRPr="00487162" w:rsidTr="00E00D1E">
        <w:trPr>
          <w:gridAfter w:val="1"/>
          <w:wAfter w:w="283" w:type="dxa"/>
        </w:trPr>
        <w:tc>
          <w:tcPr>
            <w:tcW w:w="2907" w:type="dxa"/>
          </w:tcPr>
          <w:p w:rsidR="008E7846" w:rsidRPr="00487162" w:rsidRDefault="008E7846" w:rsidP="00E45619">
            <w:pPr>
              <w:rPr>
                <w:i/>
              </w:rPr>
            </w:pPr>
            <w:r w:rsidRPr="00487162">
              <w:rPr>
                <w:i/>
              </w:rPr>
              <w:t>Pac</w:t>
            </w:r>
            <w:r w:rsidR="008725B9">
              <w:rPr>
                <w:i/>
              </w:rPr>
              <w:t>k sizes</w:t>
            </w:r>
            <w:r w:rsidRPr="00487162">
              <w:rPr>
                <w:i/>
              </w:rPr>
              <w:t>:</w:t>
            </w:r>
          </w:p>
        </w:tc>
        <w:tc>
          <w:tcPr>
            <w:tcW w:w="6307" w:type="dxa"/>
          </w:tcPr>
          <w:p w:rsidR="008E7846" w:rsidRPr="00487162" w:rsidRDefault="008725B9" w:rsidP="007279C4">
            <w:r>
              <w:t xml:space="preserve">2g physician’s sample pack, </w:t>
            </w:r>
            <w:r w:rsidR="009A6DFA">
              <w:t xml:space="preserve">10g, </w:t>
            </w:r>
            <w:r>
              <w:t>30g</w:t>
            </w:r>
          </w:p>
        </w:tc>
      </w:tr>
      <w:tr w:rsidR="008E7846" w:rsidRPr="0099186F" w:rsidTr="00E00D1E">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99186F" w:rsidRDefault="00875D5F" w:rsidP="00875D5F">
            <w:pPr>
              <w:rPr>
                <w:rFonts w:eastAsia="MS Mincho"/>
                <w:i/>
                <w:lang w:eastAsia="ja-JP"/>
              </w:rPr>
            </w:pPr>
            <w:r w:rsidRPr="0099186F">
              <w:rPr>
                <w:i/>
              </w:rPr>
              <w:t>For the treatment of facial erythema of rosacea in adult patients</w:t>
            </w:r>
          </w:p>
        </w:tc>
      </w:tr>
      <w:tr w:rsidR="008E7846" w:rsidRPr="00487162" w:rsidTr="00E00D1E">
        <w:trPr>
          <w:gridAfter w:val="1"/>
          <w:wAfter w:w="283" w:type="dxa"/>
        </w:trPr>
        <w:tc>
          <w:tcPr>
            <w:tcW w:w="2907" w:type="dxa"/>
          </w:tcPr>
          <w:p w:rsidR="008E7846" w:rsidRPr="00487162" w:rsidRDefault="009A6DFA" w:rsidP="00E45619">
            <w:pPr>
              <w:rPr>
                <w:i/>
              </w:rPr>
            </w:pPr>
            <w:r>
              <w:rPr>
                <w:i/>
              </w:rPr>
              <w:t>Route</w:t>
            </w:r>
            <w:r w:rsidR="008E7846" w:rsidRPr="00487162">
              <w:rPr>
                <w:i/>
              </w:rPr>
              <w:t xml:space="preserve"> of administration:</w:t>
            </w:r>
          </w:p>
        </w:tc>
        <w:tc>
          <w:tcPr>
            <w:tcW w:w="6307" w:type="dxa"/>
          </w:tcPr>
          <w:p w:rsidR="008E7846" w:rsidRPr="00487162" w:rsidRDefault="008725B9" w:rsidP="00E45619">
            <w:r>
              <w:t>Topical</w:t>
            </w:r>
          </w:p>
        </w:tc>
      </w:tr>
      <w:tr w:rsidR="008E7846" w:rsidRPr="00487162" w:rsidTr="00E00D1E">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782A26" w:rsidP="00E45619">
            <w:r>
              <w:t>Once daily application. Further details regarding dosage are provided in the PI (attachment 1)</w:t>
            </w:r>
          </w:p>
        </w:tc>
      </w:tr>
      <w:tr w:rsidR="008E7846" w:rsidRPr="00487162" w:rsidTr="00E00D1E">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9A6DFA">
              <w:rPr>
                <w:i/>
              </w:rPr>
              <w:t>umber</w:t>
            </w:r>
            <w:r w:rsidR="001B5C90">
              <w:rPr>
                <w:i/>
              </w:rPr>
              <w:t>:</w:t>
            </w:r>
          </w:p>
        </w:tc>
        <w:tc>
          <w:tcPr>
            <w:tcW w:w="6307" w:type="dxa"/>
          </w:tcPr>
          <w:p w:rsidR="008E7846" w:rsidRPr="00487162" w:rsidRDefault="008725B9" w:rsidP="00E45619">
            <w:r w:rsidRPr="008725B9">
              <w:t>212325</w:t>
            </w:r>
          </w:p>
        </w:tc>
      </w:tr>
    </w:tbl>
    <w:p w:rsidR="008E7846" w:rsidRDefault="008E7846" w:rsidP="00AA11BF">
      <w:pPr>
        <w:pStyle w:val="Heading3"/>
      </w:pPr>
      <w:bookmarkStart w:id="13" w:name="_Toc247691503"/>
      <w:bookmarkStart w:id="14" w:name="_Toc314842484"/>
      <w:bookmarkStart w:id="15" w:name="_Toc413157298"/>
      <w:r>
        <w:t xml:space="preserve">Product </w:t>
      </w:r>
      <w:r w:rsidRPr="00AA11BF">
        <w:t>background</w:t>
      </w:r>
      <w:bookmarkEnd w:id="13"/>
      <w:bookmarkEnd w:id="14"/>
      <w:bookmarkEnd w:id="15"/>
    </w:p>
    <w:p w:rsidR="00EA2E25" w:rsidRPr="00EA2E25" w:rsidRDefault="00EA2E25" w:rsidP="007279C4">
      <w:r w:rsidRPr="00EA2E25">
        <w:t xml:space="preserve">Rosacea is one of the most common </w:t>
      </w:r>
      <w:r w:rsidR="009A6DFA">
        <w:t>chronic dermatological diseases.</w:t>
      </w:r>
      <w:r w:rsidRPr="00EA2E25">
        <w:t xml:space="preserve"> </w:t>
      </w:r>
      <w:r w:rsidR="009A6DFA">
        <w:t>It</w:t>
      </w:r>
      <w:r w:rsidRPr="00EA2E25">
        <w:t xml:space="preserve"> </w:t>
      </w:r>
      <w:r w:rsidR="00662926">
        <w:t xml:space="preserve">is classified </w:t>
      </w:r>
      <w:r w:rsidRPr="00EA2E25">
        <w:t xml:space="preserve">into 4 different subtypes: </w:t>
      </w:r>
      <w:proofErr w:type="spellStart"/>
      <w:r w:rsidR="007F3918" w:rsidRPr="007F3918">
        <w:t>erythematotelangiectatic</w:t>
      </w:r>
      <w:proofErr w:type="spellEnd"/>
      <w:r w:rsidR="007F3918" w:rsidRPr="007F3918">
        <w:t xml:space="preserve"> rosacea </w:t>
      </w:r>
      <w:r w:rsidR="007F3918">
        <w:t xml:space="preserve">(ETR) </w:t>
      </w:r>
      <w:r w:rsidRPr="00EA2E25">
        <w:t xml:space="preserve">(subtype 1), </w:t>
      </w:r>
      <w:proofErr w:type="spellStart"/>
      <w:r w:rsidRPr="00EA2E25">
        <w:t>papulopustular</w:t>
      </w:r>
      <w:proofErr w:type="spellEnd"/>
      <w:r w:rsidRPr="00EA2E25">
        <w:t xml:space="preserve"> rosacea (subtype 2), </w:t>
      </w:r>
      <w:proofErr w:type="spellStart"/>
      <w:r w:rsidRPr="00EA2E25">
        <w:t>phymatous</w:t>
      </w:r>
      <w:proofErr w:type="spellEnd"/>
      <w:r w:rsidRPr="00EA2E25">
        <w:t xml:space="preserve"> rosacea (subtype 3), ocular rosacea (subtype 4), and the variant granulomatous rosacea. </w:t>
      </w:r>
      <w:r w:rsidR="00A65CA9">
        <w:t>T</w:t>
      </w:r>
      <w:r w:rsidRPr="00EA2E25">
        <w:t>he most defining characteristic of the disease for both subtypes 1 and 2 is the presence of persistent erythema of the central portion of the face lasting for at least 3 months (Crawford 2004).</w:t>
      </w:r>
    </w:p>
    <w:p w:rsidR="009A6DFA" w:rsidRDefault="00EA2E25" w:rsidP="007279C4">
      <w:r w:rsidRPr="00EA2E25">
        <w:t>The pathophysiology of rosacea is poorly understood and may be multifactorial, involving abnormal vascular reactivity, immune system responses, and follicular microorganisms (Crawford 2004</w:t>
      </w:r>
      <w:r w:rsidR="00735A24">
        <w:rPr>
          <w:rStyle w:val="FootnoteReference"/>
        </w:rPr>
        <w:footnoteReference w:id="1"/>
      </w:r>
      <w:r w:rsidRPr="00EA2E25">
        <w:t xml:space="preserve">, </w:t>
      </w:r>
      <w:proofErr w:type="spellStart"/>
      <w:r w:rsidRPr="00EA2E25">
        <w:t>Nally</w:t>
      </w:r>
      <w:proofErr w:type="spellEnd"/>
      <w:r w:rsidRPr="00EA2E25">
        <w:t xml:space="preserve"> 2006</w:t>
      </w:r>
      <w:r w:rsidR="005D45B4">
        <w:rPr>
          <w:rStyle w:val="FootnoteReference"/>
        </w:rPr>
        <w:footnoteReference w:id="2"/>
      </w:r>
      <w:r w:rsidRPr="00EA2E25">
        <w:t xml:space="preserve">, </w:t>
      </w:r>
      <w:proofErr w:type="spellStart"/>
      <w:r w:rsidRPr="00EA2E25">
        <w:t>Pelle</w:t>
      </w:r>
      <w:proofErr w:type="spellEnd"/>
      <w:r w:rsidRPr="00EA2E25">
        <w:t xml:space="preserve"> 2008</w:t>
      </w:r>
      <w:r w:rsidR="0046222E">
        <w:rPr>
          <w:rStyle w:val="FootnoteReference"/>
        </w:rPr>
        <w:footnoteReference w:id="3"/>
      </w:r>
      <w:r w:rsidRPr="00EA2E25">
        <w:t>, Wolf 2005</w:t>
      </w:r>
      <w:r w:rsidR="0046222E">
        <w:rPr>
          <w:rStyle w:val="FootnoteReference"/>
        </w:rPr>
        <w:footnoteReference w:id="4"/>
      </w:r>
      <w:r w:rsidR="006C2DA2">
        <w:t>).</w:t>
      </w:r>
    </w:p>
    <w:p w:rsidR="00662926" w:rsidRDefault="0062360A" w:rsidP="007279C4">
      <w:r>
        <w:lastRenderedPageBreak/>
        <w:t>The currently available p</w:t>
      </w:r>
      <w:r w:rsidR="00EA2E25" w:rsidRPr="00EA2E25">
        <w:t xml:space="preserve">harmaceutical treatments for rosacea </w:t>
      </w:r>
      <w:r w:rsidR="0046222E">
        <w:t>primarily target</w:t>
      </w:r>
      <w:r w:rsidR="00EA2E25" w:rsidRPr="00EA2E25">
        <w:t xml:space="preserve"> subtype </w:t>
      </w:r>
      <w:r w:rsidR="0046222E">
        <w:t>2</w:t>
      </w:r>
      <w:r w:rsidR="00E95863">
        <w:t xml:space="preserve"> </w:t>
      </w:r>
      <w:r w:rsidR="00EA2E25" w:rsidRPr="00EA2E25">
        <w:t>of the disease, reducing rosacea lesions through anti-inflammatory/</w:t>
      </w:r>
      <w:proofErr w:type="spellStart"/>
      <w:r w:rsidR="00EA2E25" w:rsidRPr="00EA2E25">
        <w:t>antiparasitic</w:t>
      </w:r>
      <w:proofErr w:type="spellEnd"/>
      <w:r w:rsidR="00EA2E25" w:rsidRPr="00EA2E25">
        <w:t xml:space="preserve"> mechanisms. </w:t>
      </w:r>
      <w:r>
        <w:t>T</w:t>
      </w:r>
      <w:r w:rsidR="00662926" w:rsidRPr="00662926">
        <w:t xml:space="preserve">here are </w:t>
      </w:r>
      <w:r>
        <w:t xml:space="preserve">currently </w:t>
      </w:r>
      <w:r w:rsidR="00662926" w:rsidRPr="00662926">
        <w:t>no approved pharmaceutical agents that directly target the persis</w:t>
      </w:r>
      <w:r w:rsidR="00662926">
        <w:t>tent facial erythema of rosacea common to both subtype 1 and 2. T</w:t>
      </w:r>
      <w:r w:rsidR="00EA2E25" w:rsidRPr="00EA2E25">
        <w:t>reatments that stabilize the contractile state of the cutaneous facial blood vessels are expected to have the most beneficial effect</w:t>
      </w:r>
      <w:r w:rsidR="006C2DA2">
        <w:t xml:space="preserve"> in addressing this unmet need.</w:t>
      </w:r>
    </w:p>
    <w:p w:rsidR="00E95863" w:rsidRPr="00EA2E25" w:rsidRDefault="0062434D" w:rsidP="007279C4">
      <w:r>
        <w:t>B</w:t>
      </w:r>
      <w:r w:rsidR="00EA2E25" w:rsidRPr="00EA2E25">
        <w:t xml:space="preserve">rimonidine tartrate is a </w:t>
      </w:r>
      <w:r w:rsidR="00EA2E25" w:rsidRPr="00E35FD1">
        <w:t xml:space="preserve">selective </w:t>
      </w:r>
      <w:r w:rsidR="0046222E" w:rsidRPr="00E35FD1">
        <w:t>α</w:t>
      </w:r>
      <w:r w:rsidR="00EA2E25" w:rsidRPr="00E35FD1">
        <w:rPr>
          <w:vertAlign w:val="subscript"/>
        </w:rPr>
        <w:t>2</w:t>
      </w:r>
      <w:r w:rsidR="00EA2E25" w:rsidRPr="00E35FD1">
        <w:t>-adren</w:t>
      </w:r>
      <w:r w:rsidR="00322C41" w:rsidRPr="00E35FD1">
        <w:t>oceptor</w:t>
      </w:r>
      <w:r w:rsidR="00EA2E25" w:rsidRPr="00E35FD1">
        <w:t xml:space="preserve"> agonist</w:t>
      </w:r>
      <w:r w:rsidR="009B63B8" w:rsidRPr="00E35FD1">
        <w:t xml:space="preserve"> </w:t>
      </w:r>
      <w:r w:rsidR="00EA2E25" w:rsidRPr="00E35FD1">
        <w:t xml:space="preserve">that </w:t>
      </w:r>
      <w:r w:rsidR="00E35FD1">
        <w:t>is 1000 </w:t>
      </w:r>
      <w:r w:rsidR="00EA2E25" w:rsidRPr="007C655E">
        <w:t xml:space="preserve">fold more selective for the </w:t>
      </w:r>
      <w:r w:rsidR="0046222E" w:rsidRPr="007C655E">
        <w:t>α</w:t>
      </w:r>
      <w:r w:rsidR="00322C41" w:rsidRPr="00D47AA3">
        <w:rPr>
          <w:vertAlign w:val="subscript"/>
        </w:rPr>
        <w:t>2</w:t>
      </w:r>
      <w:r w:rsidR="00322C41" w:rsidRPr="007C655E">
        <w:t>-adreno</w:t>
      </w:r>
      <w:r w:rsidR="00EA2E25" w:rsidRPr="007C655E">
        <w:t xml:space="preserve">ceptor than the </w:t>
      </w:r>
      <w:r w:rsidR="0046222E" w:rsidRPr="007C655E">
        <w:t>α</w:t>
      </w:r>
      <w:r w:rsidR="00322C41" w:rsidRPr="009B63B8">
        <w:rPr>
          <w:vertAlign w:val="subscript"/>
        </w:rPr>
        <w:t>1</w:t>
      </w:r>
      <w:r w:rsidR="00322C41" w:rsidRPr="007C655E">
        <w:t>-adreno</w:t>
      </w:r>
      <w:r w:rsidR="00EA2E25" w:rsidRPr="007C655E">
        <w:t xml:space="preserve">ceptor (Burke </w:t>
      </w:r>
      <w:r w:rsidR="00EA2E25" w:rsidRPr="00EA2E25">
        <w:t>1996</w:t>
      </w:r>
      <w:r w:rsidR="0046222E">
        <w:rPr>
          <w:rStyle w:val="FootnoteReference"/>
        </w:rPr>
        <w:footnoteReference w:id="5"/>
      </w:r>
      <w:r w:rsidR="00EA2E25" w:rsidRPr="00EA2E25">
        <w:t xml:space="preserve">). </w:t>
      </w:r>
      <w:r w:rsidR="007C655E" w:rsidRPr="007C655E">
        <w:t>The α</w:t>
      </w:r>
      <w:r w:rsidR="007C655E" w:rsidRPr="007C655E">
        <w:rPr>
          <w:vertAlign w:val="subscript"/>
        </w:rPr>
        <w:t>2</w:t>
      </w:r>
      <w:r w:rsidR="007C655E" w:rsidRPr="007C655E">
        <w:t>-adrenoceptor plays a role in the vasoconstriction of cutaneous arteries (</w:t>
      </w:r>
      <w:proofErr w:type="spellStart"/>
      <w:r w:rsidR="007C655E" w:rsidRPr="007C655E">
        <w:t>Chotani</w:t>
      </w:r>
      <w:proofErr w:type="spellEnd"/>
      <w:r w:rsidR="007C655E" w:rsidRPr="007C655E">
        <w:t>, 2000</w:t>
      </w:r>
      <w:r w:rsidR="007C655E">
        <w:rPr>
          <w:rStyle w:val="FootnoteReference"/>
        </w:rPr>
        <w:footnoteReference w:id="6"/>
      </w:r>
      <w:r w:rsidR="007C655E">
        <w:t>). Brimonidine tartrate, as a</w:t>
      </w:r>
      <w:r w:rsidR="007C655E" w:rsidRPr="007C655E">
        <w:t xml:space="preserve"> </w:t>
      </w:r>
      <w:r w:rsidR="007C655E">
        <w:t>α</w:t>
      </w:r>
      <w:r w:rsidR="007C655E" w:rsidRPr="007C655E">
        <w:rPr>
          <w:vertAlign w:val="subscript"/>
        </w:rPr>
        <w:t>2</w:t>
      </w:r>
      <w:r w:rsidR="007C655E" w:rsidRPr="007C655E">
        <w:t xml:space="preserve">-adrenoceptor agonist applied directly to the face, is anticipated to have a subcutaneous </w:t>
      </w:r>
      <w:proofErr w:type="spellStart"/>
      <w:r w:rsidR="007C655E" w:rsidRPr="007C655E">
        <w:t>vasoconstrictive</w:t>
      </w:r>
      <w:proofErr w:type="spellEnd"/>
      <w:r w:rsidR="007C655E" w:rsidRPr="007C655E">
        <w:t xml:space="preserve"> effect, thereby reducing facial erythema in rosacea patients.</w:t>
      </w:r>
    </w:p>
    <w:p w:rsidR="00033FCC" w:rsidRDefault="00033FCC" w:rsidP="007279C4">
      <w:r w:rsidRPr="00033FCC">
        <w:t xml:space="preserve">Brimonidine tartrate </w:t>
      </w:r>
      <w:r w:rsidR="009A6DFA">
        <w:t>(0.15%) and brimonidine (0.2%) are</w:t>
      </w:r>
      <w:r w:rsidRPr="00033FCC">
        <w:t xml:space="preserve"> currently registered </w:t>
      </w:r>
      <w:r w:rsidR="009A6DFA">
        <w:t xml:space="preserve">in </w:t>
      </w:r>
      <w:r w:rsidRPr="00033FCC">
        <w:t xml:space="preserve">eye drops </w:t>
      </w:r>
      <w:r w:rsidR="009A6DFA">
        <w:t xml:space="preserve">formulations </w:t>
      </w:r>
      <w:r w:rsidR="006C2DA2">
        <w:t>for the treatment of glaucoma.</w:t>
      </w:r>
    </w:p>
    <w:p w:rsidR="00241890" w:rsidRDefault="00241890" w:rsidP="007279C4">
      <w:r w:rsidRPr="00241890">
        <w:t>Currently there are no products registered</w:t>
      </w:r>
      <w:r w:rsidR="009A6DFA">
        <w:t xml:space="preserve"> in Australia for acne rosacea and no gel products containing brimonidine tartrate.</w:t>
      </w:r>
    </w:p>
    <w:p w:rsidR="00BF3EEA" w:rsidRDefault="00EA2E25" w:rsidP="007279C4">
      <w:r w:rsidRPr="00EA2E25">
        <w:t xml:space="preserve">This AusPAR describes the application by </w:t>
      </w:r>
      <w:proofErr w:type="spellStart"/>
      <w:r w:rsidRPr="00EA2E25">
        <w:t>Galderma</w:t>
      </w:r>
      <w:proofErr w:type="spellEnd"/>
      <w:r w:rsidRPr="00EA2E25">
        <w:t xml:space="preserve"> Australia Pty Ltd (the sponsor) to register </w:t>
      </w:r>
      <w:proofErr w:type="spellStart"/>
      <w:r w:rsidRPr="00EA2E25">
        <w:t>Mirvaso</w:t>
      </w:r>
      <w:proofErr w:type="spellEnd"/>
      <w:r w:rsidRPr="00EA2E25">
        <w:t xml:space="preserve"> </w:t>
      </w:r>
      <w:r w:rsidR="009A6DFA">
        <w:t xml:space="preserve">gel containing </w:t>
      </w:r>
      <w:proofErr w:type="spellStart"/>
      <w:r w:rsidR="009A6DFA">
        <w:t>brimonidine</w:t>
      </w:r>
      <w:proofErr w:type="spellEnd"/>
      <w:r w:rsidR="009A6DFA">
        <w:t xml:space="preserve"> (as tartrate)</w:t>
      </w:r>
      <w:r w:rsidRPr="00EA2E25">
        <w:t xml:space="preserve"> 3.3</w:t>
      </w:r>
      <w:r w:rsidR="0046222E">
        <w:t xml:space="preserve"> </w:t>
      </w:r>
      <w:r w:rsidRPr="00EA2E25">
        <w:t>mg/g for the following indication</w:t>
      </w:r>
      <w:r w:rsidR="00BF3EEA">
        <w:t>:</w:t>
      </w:r>
    </w:p>
    <w:p w:rsidR="00EA2E25" w:rsidRPr="00FA1AA0" w:rsidRDefault="00BF3EEA" w:rsidP="00FA1AA0">
      <w:pPr>
        <w:ind w:left="720"/>
        <w:rPr>
          <w:i/>
        </w:rPr>
      </w:pPr>
      <w:proofErr w:type="spellStart"/>
      <w:r w:rsidRPr="00BF3EEA">
        <w:rPr>
          <w:i/>
        </w:rPr>
        <w:t>Mirvaso</w:t>
      </w:r>
      <w:proofErr w:type="spellEnd"/>
      <w:r w:rsidRPr="00BF3EEA">
        <w:rPr>
          <w:i/>
        </w:rPr>
        <w:t xml:space="preserve"> is indicated</w:t>
      </w:r>
      <w:r w:rsidR="00EA2E25" w:rsidRPr="00BF3EEA">
        <w:rPr>
          <w:i/>
        </w:rPr>
        <w:t xml:space="preserve"> for the treatment of facial erythema of rosacea in adult patients.</w:t>
      </w:r>
    </w:p>
    <w:p w:rsidR="008E7846" w:rsidRPr="003F31A2" w:rsidRDefault="00386150" w:rsidP="00AA11BF">
      <w:pPr>
        <w:pStyle w:val="Heading3"/>
      </w:pPr>
      <w:bookmarkStart w:id="16" w:name="_Toc314842485"/>
      <w:bookmarkStart w:id="17" w:name="_Toc247691504"/>
      <w:bookmarkStart w:id="18" w:name="_Toc413157299"/>
      <w:r>
        <w:t>Regulatory s</w:t>
      </w:r>
      <w:r w:rsidR="008E7846">
        <w:t>tatus</w:t>
      </w:r>
      <w:bookmarkEnd w:id="16"/>
      <w:bookmarkEnd w:id="17"/>
      <w:bookmarkEnd w:id="18"/>
    </w:p>
    <w:p w:rsidR="00940A89" w:rsidRPr="00940A89" w:rsidRDefault="00940A89" w:rsidP="007279C4">
      <w:bookmarkStart w:id="19" w:name="_Toc247691505"/>
      <w:bookmarkStart w:id="20" w:name="_Toc314842486"/>
      <w:r w:rsidRPr="00940A89">
        <w:t>The product received initial registration on the Australian Register</w:t>
      </w:r>
      <w:r w:rsidR="008F28CB">
        <w:t xml:space="preserve"> of Therapeutic Goods (ARTG) on 4 August 2014</w:t>
      </w:r>
      <w:r w:rsidR="009A6DFA">
        <w:t>.</w:t>
      </w:r>
    </w:p>
    <w:p w:rsidR="00940A89" w:rsidRDefault="00940A89" w:rsidP="007279C4">
      <w:r w:rsidRPr="00940A89">
        <w:t xml:space="preserve">At the time the TGA considered this application, a similar application had been approved in </w:t>
      </w:r>
      <w:r w:rsidR="009A6DFA">
        <w:t xml:space="preserve">the </w:t>
      </w:r>
      <w:r w:rsidR="008F28CB">
        <w:t>USA</w:t>
      </w:r>
      <w:r w:rsidRPr="00940A89">
        <w:t xml:space="preserve"> </w:t>
      </w:r>
      <w:r w:rsidR="009A6DFA">
        <w:t>(</w:t>
      </w:r>
      <w:r w:rsidR="008F28CB">
        <w:t>23 August 2013</w:t>
      </w:r>
      <w:r w:rsidR="009A6DFA">
        <w:t>)</w:t>
      </w:r>
      <w:r w:rsidR="008F28CB">
        <w:t xml:space="preserve">; </w:t>
      </w:r>
      <w:r w:rsidR="00BF676E">
        <w:t>European Union (</w:t>
      </w:r>
      <w:r w:rsidR="008F28CB">
        <w:t>EU</w:t>
      </w:r>
      <w:r w:rsidR="00BF676E">
        <w:t>)</w:t>
      </w:r>
      <w:r w:rsidR="008F28CB">
        <w:t xml:space="preserve"> </w:t>
      </w:r>
      <w:r w:rsidR="00E80544">
        <w:t>(</w:t>
      </w:r>
      <w:r w:rsidR="008F28CB">
        <w:t>21 February 2014</w:t>
      </w:r>
      <w:r w:rsidR="00E80544">
        <w:t>)</w:t>
      </w:r>
      <w:r w:rsidR="008F28CB">
        <w:t xml:space="preserve">; </w:t>
      </w:r>
      <w:r w:rsidR="00E80544">
        <w:t>Canada</w:t>
      </w:r>
      <w:r w:rsidR="008F28CB">
        <w:t xml:space="preserve"> </w:t>
      </w:r>
      <w:r w:rsidR="00E80544">
        <w:t>(</w:t>
      </w:r>
      <w:r w:rsidR="008F28CB">
        <w:t>26 February 2014</w:t>
      </w:r>
      <w:r w:rsidR="00E80544">
        <w:t>)</w:t>
      </w:r>
      <w:r w:rsidR="008F28CB">
        <w:t xml:space="preserve">; Chile, </w:t>
      </w:r>
      <w:r w:rsidR="00E80544">
        <w:t>(</w:t>
      </w:r>
      <w:r w:rsidR="008F28CB">
        <w:t>9 December 2013</w:t>
      </w:r>
      <w:r w:rsidR="00E80544">
        <w:t xml:space="preserve">) </w:t>
      </w:r>
      <w:r w:rsidR="008F28CB">
        <w:t xml:space="preserve">Mexico </w:t>
      </w:r>
      <w:r w:rsidR="00E80544">
        <w:t>(</w:t>
      </w:r>
      <w:r w:rsidR="008F28CB">
        <w:t>31 January 2014)</w:t>
      </w:r>
      <w:r w:rsidR="006C2DA2">
        <w:t>; and Puerto Rico (15 October 2013)</w:t>
      </w:r>
      <w:r w:rsidR="008F28CB">
        <w:t xml:space="preserve"> and </w:t>
      </w:r>
      <w:r w:rsidRPr="00940A89">
        <w:t>was under co</w:t>
      </w:r>
      <w:r>
        <w:t xml:space="preserve">nsideration in </w:t>
      </w:r>
      <w:r w:rsidR="00E80544">
        <w:t>5 additional countries.</w:t>
      </w:r>
    </w:p>
    <w:p w:rsidR="008E7846" w:rsidRDefault="008E7846" w:rsidP="007279C4">
      <w:pPr>
        <w:pStyle w:val="Heading3"/>
      </w:pPr>
      <w:bookmarkStart w:id="21" w:name="_Toc413157300"/>
      <w:r>
        <w:t>Product Information</w:t>
      </w:r>
      <w:bookmarkEnd w:id="19"/>
      <w:bookmarkEnd w:id="20"/>
      <w:bookmarkEnd w:id="21"/>
    </w:p>
    <w:p w:rsidR="00940A89" w:rsidRDefault="00940A89" w:rsidP="007279C4">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4" w:history="1">
        <w:r w:rsidR="00AA11BF">
          <w:rPr>
            <w:rStyle w:val="Hyperlink"/>
          </w:rPr>
          <w:t>https://www.tga.gov.au/product-information-pi</w:t>
        </w:r>
      </w:hyperlink>
      <w:r w:rsidRPr="00940A89">
        <w:t>&gt;.</w:t>
      </w:r>
    </w:p>
    <w:p w:rsidR="008E7846" w:rsidRPr="003602A9" w:rsidRDefault="008E7846" w:rsidP="007279C4">
      <w:pPr>
        <w:pStyle w:val="Heading2"/>
      </w:pPr>
      <w:bookmarkStart w:id="24" w:name="_Toc413157301"/>
      <w:r>
        <w:t>II. Quality</w:t>
      </w:r>
      <w:bookmarkEnd w:id="2"/>
      <w:r>
        <w:t xml:space="preserve"> findings</w:t>
      </w:r>
      <w:bookmarkEnd w:id="22"/>
      <w:bookmarkEnd w:id="23"/>
      <w:bookmarkEnd w:id="24"/>
    </w:p>
    <w:p w:rsidR="00040C1C" w:rsidRPr="00040C1C" w:rsidRDefault="00940A89" w:rsidP="007279C4">
      <w:pPr>
        <w:pStyle w:val="Heading3"/>
      </w:pPr>
      <w:bookmarkStart w:id="25" w:name="_Toc247691507"/>
      <w:bookmarkStart w:id="26" w:name="_Toc314842488"/>
      <w:bookmarkStart w:id="27" w:name="_Toc413157302"/>
      <w:r w:rsidRPr="00940A89">
        <w:t>Introduction</w:t>
      </w:r>
      <w:bookmarkEnd w:id="27"/>
    </w:p>
    <w:p w:rsidR="00413C78" w:rsidRDefault="00E80544" w:rsidP="007279C4">
      <w:r>
        <w:t xml:space="preserve">The structure of brimonidine tartrate is shown in Figure 1. </w:t>
      </w:r>
      <w:r w:rsidR="00241890" w:rsidRPr="00241890">
        <w:t xml:space="preserve">The </w:t>
      </w:r>
      <w:r>
        <w:t xml:space="preserve">proposed </w:t>
      </w:r>
      <w:r w:rsidR="00241890" w:rsidRPr="00241890">
        <w:t>product is a solution of b</w:t>
      </w:r>
      <w:r w:rsidR="00040C1C">
        <w:t xml:space="preserve">rimonidine tartrate in a water </w:t>
      </w:r>
      <w:r w:rsidR="00241890" w:rsidRPr="00241890">
        <w:t>based gel at a concentration of 5 mg/mL (0.5 %</w:t>
      </w:r>
      <w:r w:rsidR="007F7532">
        <w:t xml:space="preserve"> </w:t>
      </w:r>
      <w:r w:rsidR="00241890" w:rsidRPr="00241890">
        <w:t>w/w). However in line with best practice the product will be labelled in terms of the active brimonidine: 3.3 mg/g (0.33 % w/w)</w:t>
      </w:r>
      <w:r w:rsidR="008A5089">
        <w:t>.</w:t>
      </w:r>
    </w:p>
    <w:p w:rsidR="00413C78" w:rsidRDefault="00413C78" w:rsidP="007279C4">
      <w:pPr>
        <w:pStyle w:val="FigureTitle"/>
      </w:pPr>
      <w:proofErr w:type="gramStart"/>
      <w:r>
        <w:lastRenderedPageBreak/>
        <w:t>Figure 1</w:t>
      </w:r>
      <w:r w:rsidR="00040C1C">
        <w:t>.</w:t>
      </w:r>
      <w:proofErr w:type="gramEnd"/>
      <w:r>
        <w:t xml:space="preserve"> </w:t>
      </w:r>
      <w:proofErr w:type="gramStart"/>
      <w:r w:rsidR="00040C1C">
        <w:t>Chemical structure of b</w:t>
      </w:r>
      <w:r>
        <w:t>rimonidine tartrate</w:t>
      </w:r>
      <w:r w:rsidR="00040C1C">
        <w:t>.</w:t>
      </w:r>
      <w:proofErr w:type="gramEnd"/>
    </w:p>
    <w:p w:rsidR="00241890" w:rsidRDefault="00241890" w:rsidP="007279C4">
      <w:r>
        <w:rPr>
          <w:noProof/>
          <w:lang w:eastAsia="en-AU"/>
        </w:rPr>
        <w:drawing>
          <wp:inline distT="0" distB="0" distL="0" distR="0" wp14:anchorId="71232EA8" wp14:editId="6DC1D54B">
            <wp:extent cx="1390015" cy="1341120"/>
            <wp:effectExtent l="0" t="0" r="635" b="0"/>
            <wp:docPr id="2" name="Picture 2" descr="Figure 1. Chemical structure of Brimonidine tart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90015" cy="1341120"/>
                    </a:xfrm>
                    <a:prstGeom prst="rect">
                      <a:avLst/>
                    </a:prstGeom>
                    <a:noFill/>
                    <a:ln>
                      <a:noFill/>
                    </a:ln>
                  </pic:spPr>
                </pic:pic>
              </a:graphicData>
            </a:graphic>
          </wp:inline>
        </w:drawing>
      </w:r>
    </w:p>
    <w:p w:rsidR="008E7846" w:rsidRDefault="008E7846" w:rsidP="007279C4">
      <w:pPr>
        <w:pStyle w:val="Heading3"/>
      </w:pPr>
      <w:bookmarkStart w:id="28" w:name="_Toc413157303"/>
      <w:r w:rsidRPr="008751DC">
        <w:t xml:space="preserve">Drug </w:t>
      </w:r>
      <w:r>
        <w:t>s</w:t>
      </w:r>
      <w:r w:rsidRPr="008751DC">
        <w:t>ubstance</w:t>
      </w:r>
      <w:r>
        <w:t xml:space="preserve"> (active ingredient)</w:t>
      </w:r>
      <w:bookmarkEnd w:id="25"/>
      <w:bookmarkEnd w:id="26"/>
      <w:bookmarkEnd w:id="28"/>
    </w:p>
    <w:p w:rsidR="008E7846" w:rsidRDefault="00E80544" w:rsidP="007279C4">
      <w:r>
        <w:t>A European P</w:t>
      </w:r>
      <w:r w:rsidR="00413C78" w:rsidRPr="00413C78">
        <w:t>h</w:t>
      </w:r>
      <w:r w:rsidR="00040C1C">
        <w:t>armacopoeia (EP) monograph for b</w:t>
      </w:r>
      <w:r w:rsidR="00413C78" w:rsidRPr="00413C78">
        <w:t>rimonidine</w:t>
      </w:r>
      <w:r w:rsidR="00040C1C">
        <w:t xml:space="preserve"> t</w:t>
      </w:r>
      <w:r w:rsidR="00413C78" w:rsidRPr="00413C78">
        <w:t xml:space="preserve">artrate will come into effect on 1 July 2014 and the material will meet these requirements. There is also an additional test for residual solvents with limits that meet </w:t>
      </w:r>
      <w:r w:rsidR="00862C86" w:rsidRPr="00862C86">
        <w:t xml:space="preserve">International Conference on Harmonisation </w:t>
      </w:r>
      <w:r w:rsidR="00862C86" w:rsidRPr="00862C86">
        <w:rPr>
          <w:lang w:val="en"/>
        </w:rPr>
        <w:t>of Technical Requirements for Registration of Pharmaceuticals for Human Use</w:t>
      </w:r>
      <w:r w:rsidR="00862C86" w:rsidRPr="00862C86">
        <w:t xml:space="preserve"> </w:t>
      </w:r>
      <w:r w:rsidR="00862C86">
        <w:t>(</w:t>
      </w:r>
      <w:r w:rsidR="00413C78" w:rsidRPr="00413C78">
        <w:t>ICH</w:t>
      </w:r>
      <w:r w:rsidR="00862C86">
        <w:t>)</w:t>
      </w:r>
      <w:r w:rsidR="00413C78" w:rsidRPr="00413C78">
        <w:t xml:space="preserve"> requirements.</w:t>
      </w:r>
      <w:r>
        <w:t xml:space="preserve"> </w:t>
      </w:r>
      <w:r w:rsidRPr="00E80544">
        <w:t xml:space="preserve">However lower limits are required for two of the impurities (see </w:t>
      </w:r>
      <w:r w:rsidRPr="00E80544">
        <w:rPr>
          <w:i/>
        </w:rPr>
        <w:t>First round recommendation,</w:t>
      </w:r>
      <w:r w:rsidRPr="00E80544">
        <w:t xml:space="preserve"> below).</w:t>
      </w:r>
    </w:p>
    <w:p w:rsidR="008E7846" w:rsidRDefault="008E7846" w:rsidP="007279C4">
      <w:pPr>
        <w:pStyle w:val="Heading3"/>
      </w:pPr>
      <w:bookmarkStart w:id="29" w:name="_Toc247691508"/>
      <w:bookmarkStart w:id="30" w:name="_Toc314842490"/>
      <w:bookmarkStart w:id="31" w:name="_Toc413157304"/>
      <w:r w:rsidRPr="008751DC">
        <w:t xml:space="preserve">Drug </w:t>
      </w:r>
      <w:r>
        <w:t>p</w:t>
      </w:r>
      <w:r w:rsidRPr="008751DC">
        <w:t>roduct</w:t>
      </w:r>
      <w:bookmarkEnd w:id="29"/>
      <w:bookmarkEnd w:id="30"/>
      <w:bookmarkEnd w:id="31"/>
    </w:p>
    <w:p w:rsidR="00413C78" w:rsidRPr="00413C78" w:rsidRDefault="00413C78" w:rsidP="007279C4">
      <w:r w:rsidRPr="00413C78">
        <w:t xml:space="preserve">The product contains no unusual excipients for this dosage form: water is used as the base, </w:t>
      </w:r>
      <w:r w:rsidR="00F63C09">
        <w:t>a</w:t>
      </w:r>
      <w:r w:rsidR="00E80544">
        <w:t xml:space="preserve">nd the other components </w:t>
      </w:r>
      <w:r w:rsidR="0099186F" w:rsidRPr="0099186F">
        <w:t xml:space="preserve">include a gelling </w:t>
      </w:r>
      <w:r w:rsidRPr="00413C78">
        <w:t>agent; preserva</w:t>
      </w:r>
      <w:r w:rsidR="00E80544">
        <w:t xml:space="preserve">tives; humectants; an </w:t>
      </w:r>
      <w:proofErr w:type="spellStart"/>
      <w:r w:rsidR="00E80544">
        <w:t>opacifier</w:t>
      </w:r>
      <w:proofErr w:type="spellEnd"/>
      <w:r w:rsidR="00E80544">
        <w:t xml:space="preserve">; </w:t>
      </w:r>
      <w:r w:rsidRPr="00413C78">
        <w:t xml:space="preserve">and sodium hydroxide to adjust </w:t>
      </w:r>
      <w:proofErr w:type="spellStart"/>
      <w:r w:rsidRPr="00413C78">
        <w:t>pH.</w:t>
      </w:r>
      <w:proofErr w:type="spellEnd"/>
    </w:p>
    <w:p w:rsidR="00F63C09" w:rsidRDefault="00413C78" w:rsidP="007279C4">
      <w:r w:rsidRPr="00413C78">
        <w:t xml:space="preserve">Manufacture is typical for a topical </w:t>
      </w:r>
      <w:r w:rsidR="00E80544">
        <w:t>formulation</w:t>
      </w:r>
      <w:r w:rsidRPr="00413C78">
        <w:t xml:space="preserve"> and involves the dissolution and suspension of the active and excipients to form a homogeneous gel before filling into tubes. The 10 g and 30 g presen</w:t>
      </w:r>
      <w:r w:rsidR="00040C1C">
        <w:t xml:space="preserve">tations are closed with a child </w:t>
      </w:r>
      <w:r w:rsidRPr="00413C78">
        <w:t xml:space="preserve">resistant </w:t>
      </w:r>
      <w:r w:rsidR="001D5293">
        <w:t>polypropylene</w:t>
      </w:r>
      <w:r w:rsidRPr="00413C78">
        <w:t xml:space="preserve"> closure.</w:t>
      </w:r>
    </w:p>
    <w:p w:rsidR="001D5293" w:rsidRDefault="001D5293" w:rsidP="007279C4">
      <w:r w:rsidRPr="001D5293">
        <w:t xml:space="preserve">There are </w:t>
      </w:r>
      <w:r w:rsidRPr="006744B8">
        <w:t xml:space="preserve">no </w:t>
      </w:r>
      <w:proofErr w:type="spellStart"/>
      <w:r w:rsidRPr="006744B8">
        <w:t>compendial</w:t>
      </w:r>
      <w:proofErr w:type="spellEnd"/>
      <w:r w:rsidRPr="006744B8">
        <w:t xml:space="preserve"> monographs</w:t>
      </w:r>
      <w:r w:rsidRPr="001D5293">
        <w:t xml:space="preserve"> for the product, but the specifications for the product ensure the </w:t>
      </w:r>
      <w:r w:rsidR="007F7532">
        <w:t>British Pharmacopeia (</w:t>
      </w:r>
      <w:r w:rsidRPr="001D5293">
        <w:t>BP</w:t>
      </w:r>
      <w:r w:rsidR="007F7532">
        <w:t>)</w:t>
      </w:r>
      <w:r w:rsidRPr="001D5293">
        <w:t xml:space="preserve">/EP general requirements for gels are met. The expiry limits for the chemistry and physical tests are mostly acceptable and justified, and, where </w:t>
      </w:r>
      <w:r w:rsidR="0099186F" w:rsidRPr="0099186F">
        <w:t xml:space="preserve">required, the </w:t>
      </w:r>
      <w:r w:rsidRPr="001D5293">
        <w:t>release limits are tighter than the expiry limits to allow for change on storage.</w:t>
      </w:r>
      <w:r w:rsidR="00E80544">
        <w:t xml:space="preserve"> </w:t>
      </w:r>
      <w:r w:rsidR="00E80544" w:rsidRPr="00E80544">
        <w:t xml:space="preserve">However, the proposed limits for two of the three specified impurities are unacceptable (see </w:t>
      </w:r>
      <w:r w:rsidR="00E80544" w:rsidRPr="00E80544">
        <w:rPr>
          <w:i/>
        </w:rPr>
        <w:t>First round recommendation</w:t>
      </w:r>
      <w:r w:rsidR="00E80544" w:rsidRPr="00E80544">
        <w:t>, below)</w:t>
      </w:r>
      <w:r w:rsidR="00E80544">
        <w:t>.</w:t>
      </w:r>
    </w:p>
    <w:p w:rsidR="00DE2760" w:rsidRPr="00DE2760" w:rsidRDefault="00DE2760" w:rsidP="007279C4">
      <w:pPr>
        <w:pStyle w:val="Heading3"/>
      </w:pPr>
      <w:bookmarkStart w:id="32" w:name="_Toc314842491"/>
      <w:bookmarkStart w:id="33" w:name="_Toc413157305"/>
      <w:r w:rsidRPr="00DE2760">
        <w:t>Biopharmaceutics</w:t>
      </w:r>
      <w:bookmarkStart w:id="34" w:name="_Toc314842492"/>
      <w:bookmarkEnd w:id="32"/>
      <w:bookmarkEnd w:id="33"/>
    </w:p>
    <w:p w:rsidR="00DE2760" w:rsidRPr="00DE2760" w:rsidRDefault="00DE2760" w:rsidP="007279C4">
      <w:r w:rsidRPr="00DE2760">
        <w:t>This product is for topical use and is intended to act without systemic absorption. As a consequence no bioavailability</w:t>
      </w:r>
      <w:r w:rsidR="00FF3101">
        <w:t xml:space="preserve"> (BA)</w:t>
      </w:r>
      <w:r w:rsidRPr="00DE2760">
        <w:t xml:space="preserve"> data were required to be submitted</w:t>
      </w:r>
      <w:r w:rsidR="00B71130">
        <w:t>.</w:t>
      </w:r>
    </w:p>
    <w:bookmarkEnd w:id="34"/>
    <w:p w:rsidR="00DE2760" w:rsidRPr="00DE2760" w:rsidRDefault="00DE2760" w:rsidP="00AA11BF">
      <w:pPr>
        <w:pStyle w:val="Heading4"/>
      </w:pPr>
      <w:r w:rsidRPr="00AA11BF">
        <w:t>Consideration</w:t>
      </w:r>
      <w:r w:rsidRPr="00DE2760">
        <w:t xml:space="preserve"> by the Pharmaceutical Subcommittee of ACPM (PSC)</w:t>
      </w:r>
    </w:p>
    <w:p w:rsidR="00DE2760" w:rsidRPr="00DE2760" w:rsidRDefault="00DE2760" w:rsidP="007279C4">
      <w:r w:rsidRPr="00DE2760">
        <w:t xml:space="preserve">As there were no issues relating to </w:t>
      </w:r>
      <w:r w:rsidR="00FF3101">
        <w:t>BA</w:t>
      </w:r>
      <w:r w:rsidRPr="00DE2760">
        <w:t>, details of this submission have not been presented to PSC.</w:t>
      </w:r>
    </w:p>
    <w:p w:rsidR="00DE2760" w:rsidRPr="007C655E" w:rsidRDefault="00DE2760" w:rsidP="00AA11BF">
      <w:pPr>
        <w:pStyle w:val="Heading4"/>
      </w:pPr>
      <w:r w:rsidRPr="007C655E">
        <w:t xml:space="preserve">First round </w:t>
      </w:r>
      <w:r w:rsidRPr="00AA11BF">
        <w:t>re</w:t>
      </w:r>
      <w:r w:rsidR="001D5293" w:rsidRPr="00AA11BF">
        <w:t>com</w:t>
      </w:r>
      <w:r w:rsidRPr="00AA11BF">
        <w:t>m</w:t>
      </w:r>
      <w:r w:rsidR="00AA11BF" w:rsidRPr="00AA11BF">
        <w:t>endation</w:t>
      </w:r>
    </w:p>
    <w:p w:rsidR="001D5293" w:rsidRPr="007C655E" w:rsidRDefault="00DE2760" w:rsidP="007279C4">
      <w:r w:rsidRPr="007C655E">
        <w:t xml:space="preserve">Following the </w:t>
      </w:r>
      <w:r w:rsidR="001D5293" w:rsidRPr="007C655E">
        <w:t xml:space="preserve">first round </w:t>
      </w:r>
      <w:r w:rsidRPr="007C655E">
        <w:t>evaluation a</w:t>
      </w:r>
      <w:r w:rsidR="001D5293" w:rsidRPr="007C655E">
        <w:t xml:space="preserve">pproval of the registration of the proposed product </w:t>
      </w:r>
      <w:r w:rsidRPr="007C655E">
        <w:t xml:space="preserve">could not </w:t>
      </w:r>
      <w:r w:rsidR="001D5293" w:rsidRPr="007C655E">
        <w:t>be recommended on quality / safety grounds</w:t>
      </w:r>
      <w:r w:rsidRPr="007C655E">
        <w:t xml:space="preserve"> </w:t>
      </w:r>
      <w:r w:rsidR="007C655E" w:rsidRPr="007C655E">
        <w:t>because</w:t>
      </w:r>
      <w:r w:rsidR="002835ED">
        <w:t>:</w:t>
      </w:r>
    </w:p>
    <w:p w:rsidR="001D5293" w:rsidRPr="007C655E" w:rsidRDefault="001D5293" w:rsidP="00AA11BF">
      <w:pPr>
        <w:pStyle w:val="ListBullet"/>
      </w:pPr>
      <w:r w:rsidRPr="007C655E">
        <w:lastRenderedPageBreak/>
        <w:t xml:space="preserve">The proposed expiry limit </w:t>
      </w:r>
      <w:r w:rsidR="00DE2760" w:rsidRPr="007C655E">
        <w:t xml:space="preserve">for two impurities </w:t>
      </w:r>
      <w:r w:rsidRPr="007C655E">
        <w:t xml:space="preserve">is above the </w:t>
      </w:r>
      <w:r w:rsidR="000D5BB9" w:rsidRPr="000D5BB9">
        <w:t xml:space="preserve">threshold of toxicological concern </w:t>
      </w:r>
      <w:r w:rsidR="000D5BB9">
        <w:t>(</w:t>
      </w:r>
      <w:r w:rsidRPr="007C655E">
        <w:t>TTC</w:t>
      </w:r>
      <w:r w:rsidR="000D5BB9">
        <w:t>)</w:t>
      </w:r>
      <w:r w:rsidR="00B71130">
        <w:rPr>
          <w:rStyle w:val="FootnoteReference"/>
        </w:rPr>
        <w:footnoteReference w:id="7"/>
      </w:r>
      <w:r w:rsidR="0080490A" w:rsidRPr="007C655E">
        <w:t xml:space="preserve"> and </w:t>
      </w:r>
      <w:r w:rsidR="007C655E">
        <w:t xml:space="preserve">the </w:t>
      </w:r>
      <w:r w:rsidR="007C655E" w:rsidRPr="00AA11BF">
        <w:t>Toxicology</w:t>
      </w:r>
      <w:r w:rsidR="007C655E">
        <w:t xml:space="preserve"> s</w:t>
      </w:r>
      <w:r w:rsidRPr="007C655E">
        <w:t xml:space="preserve">ection </w:t>
      </w:r>
      <w:r w:rsidR="00E80544">
        <w:t xml:space="preserve">of TGA </w:t>
      </w:r>
      <w:r w:rsidR="0080490A" w:rsidRPr="007C655E">
        <w:t xml:space="preserve">has </w:t>
      </w:r>
      <w:r w:rsidRPr="007C655E">
        <w:t xml:space="preserve">advised that as these impurities are potentially </w:t>
      </w:r>
      <w:proofErr w:type="spellStart"/>
      <w:r w:rsidRPr="007C655E">
        <w:t>genotoxic</w:t>
      </w:r>
      <w:proofErr w:type="spellEnd"/>
      <w:r w:rsidRPr="007C655E">
        <w:t xml:space="preserve"> and no data were provided to demonstrate they are not </w:t>
      </w:r>
      <w:proofErr w:type="spellStart"/>
      <w:r w:rsidRPr="007C655E">
        <w:t>genotoxic</w:t>
      </w:r>
      <w:proofErr w:type="spellEnd"/>
      <w:r w:rsidRPr="007C655E">
        <w:t>, t</w:t>
      </w:r>
      <w:r w:rsidR="00BA3FF6" w:rsidRPr="007C655E">
        <w:t xml:space="preserve">he </w:t>
      </w:r>
      <w:r w:rsidR="0080490A" w:rsidRPr="007C655E">
        <w:t xml:space="preserve">proposed </w:t>
      </w:r>
      <w:r w:rsidR="00BA3FF6" w:rsidRPr="007C655E">
        <w:t>expiry limit is unacceptable.</w:t>
      </w:r>
    </w:p>
    <w:p w:rsidR="0080490A" w:rsidRPr="007C655E" w:rsidRDefault="0080490A" w:rsidP="007279C4">
      <w:pPr>
        <w:pStyle w:val="ListBullet"/>
      </w:pPr>
      <w:r w:rsidRPr="007C655E">
        <w:t>However, the sensitivity of the test method is insufficient to determine the actual levels of these impurities in the gel and whether the recommended expiry limit is met.</w:t>
      </w:r>
    </w:p>
    <w:p w:rsidR="001D5293" w:rsidRPr="007C655E" w:rsidRDefault="001D5293" w:rsidP="007279C4">
      <w:pPr>
        <w:pStyle w:val="ListBullet"/>
      </w:pPr>
      <w:r w:rsidRPr="007C655E">
        <w:t>As a consequence of this advice the release limit for the</w:t>
      </w:r>
      <w:r w:rsidR="00BA3FF6" w:rsidRPr="007C655E">
        <w:t xml:space="preserve"> two </w:t>
      </w:r>
      <w:r w:rsidRPr="007C655E">
        <w:t>impurities is also unacceptable. Given that the levels increase on storage</w:t>
      </w:r>
      <w:r w:rsidR="0080490A" w:rsidRPr="007C655E">
        <w:t>,</w:t>
      </w:r>
      <w:r w:rsidRPr="007C655E">
        <w:t xml:space="preserve"> the release limit must be </w:t>
      </w:r>
      <w:r w:rsidR="00BA3FF6" w:rsidRPr="007C655E">
        <w:t>lowered.</w:t>
      </w:r>
    </w:p>
    <w:p w:rsidR="001D5293" w:rsidRPr="007C655E" w:rsidRDefault="001D5293" w:rsidP="007279C4">
      <w:pPr>
        <w:pStyle w:val="ListBullet"/>
      </w:pPr>
      <w:r w:rsidRPr="007C655E">
        <w:t xml:space="preserve">Finally, the limits for </w:t>
      </w:r>
      <w:r w:rsidR="00455239" w:rsidRPr="007C655E">
        <w:t>the two impurities</w:t>
      </w:r>
      <w:r w:rsidRPr="007C655E">
        <w:t xml:space="preserve"> in the drug substance specifications must also be </w:t>
      </w:r>
      <w:r w:rsidR="00BA3FF6" w:rsidRPr="007C655E">
        <w:t>lowered.</w:t>
      </w:r>
    </w:p>
    <w:p w:rsidR="00BA3FF6" w:rsidRPr="007C655E" w:rsidRDefault="001D5293" w:rsidP="00AA11BF">
      <w:r w:rsidRPr="007C655E">
        <w:t>If this issue could be resolved approval could be recommended.</w:t>
      </w:r>
    </w:p>
    <w:p w:rsidR="00BA3FF6" w:rsidRPr="007C655E" w:rsidRDefault="0080490A" w:rsidP="00AA11BF">
      <w:pPr>
        <w:pStyle w:val="Heading4"/>
      </w:pPr>
      <w:r w:rsidRPr="007C655E">
        <w:t xml:space="preserve">Second </w:t>
      </w:r>
      <w:r w:rsidRPr="00AA11BF">
        <w:t>round</w:t>
      </w:r>
      <w:r w:rsidRPr="007C655E">
        <w:t xml:space="preserve"> evaluation </w:t>
      </w:r>
      <w:r w:rsidR="00663030" w:rsidRPr="007C655E">
        <w:t>and recommendation</w:t>
      </w:r>
    </w:p>
    <w:p w:rsidR="00B71130" w:rsidRPr="00B71130" w:rsidRDefault="00B71130" w:rsidP="007279C4">
      <w:r w:rsidRPr="00B71130">
        <w:t xml:space="preserve">In response to the first round recommendation, the sponsor proposed to the TGA that in accordance with ICH guideline M7, the initially requested limit for potentially </w:t>
      </w:r>
      <w:proofErr w:type="spellStart"/>
      <w:r w:rsidRPr="00B71130">
        <w:t>genotoxic</w:t>
      </w:r>
      <w:proofErr w:type="spellEnd"/>
      <w:r w:rsidRPr="00B71130">
        <w:t xml:space="preserve"> impurities would pose negligible risk over long term use (&lt; 10 years) and that these limits had been approved in other jurisdictions, that the initially requested limit for potentially </w:t>
      </w:r>
      <w:proofErr w:type="spellStart"/>
      <w:r w:rsidRPr="00B71130">
        <w:t>genotoxic</w:t>
      </w:r>
      <w:proofErr w:type="spellEnd"/>
      <w:r w:rsidRPr="00B71130">
        <w:t xml:space="preserve"> impurities stand for 4 months after which time the sponsor will have developed a test method sensitive enough to determine the levels of these impurities in batches of the product over the life time of the product.</w:t>
      </w:r>
    </w:p>
    <w:p w:rsidR="0080490A" w:rsidRPr="0080490A" w:rsidRDefault="0080490A" w:rsidP="007279C4">
      <w:r w:rsidRPr="0080490A">
        <w:t xml:space="preserve">After this time the sponsor would submit a </w:t>
      </w:r>
      <w:r>
        <w:t>variation a</w:t>
      </w:r>
      <w:r w:rsidRPr="0080490A">
        <w:t>pplication to the TGA to change the test method and to tighten the expiry limit for these impurities</w:t>
      </w:r>
      <w:r w:rsidR="00B71130">
        <w:t>.</w:t>
      </w:r>
    </w:p>
    <w:p w:rsidR="0080490A" w:rsidRPr="0080490A" w:rsidRDefault="0080490A" w:rsidP="00AA11BF">
      <w:r w:rsidRPr="0080490A">
        <w:t xml:space="preserve">The sponsor estimated that following such a path would mean that patients could theoretically be administered product containing </w:t>
      </w:r>
      <w:r w:rsidR="00663030">
        <w:t xml:space="preserve">the initially requested level </w:t>
      </w:r>
      <w:r w:rsidRPr="0080490A">
        <w:t>of each of these impurities for a maximum of 10 months</w:t>
      </w:r>
      <w:r w:rsidR="00C16629">
        <w:t xml:space="preserve"> and that this was substantially below the TTC</w:t>
      </w:r>
      <w:r w:rsidR="00663030">
        <w:t>. T</w:t>
      </w:r>
      <w:r w:rsidR="006307ED">
        <w:t>he advice of the Toxicology s</w:t>
      </w:r>
      <w:r w:rsidRPr="0080490A">
        <w:t xml:space="preserve">ection is that this would be acceptable </w:t>
      </w:r>
      <w:r w:rsidR="00663030">
        <w:t xml:space="preserve">for </w:t>
      </w:r>
      <w:r w:rsidRPr="0080490A">
        <w:t xml:space="preserve">short duration </w:t>
      </w:r>
      <w:r w:rsidR="00663030">
        <w:t xml:space="preserve">use </w:t>
      </w:r>
      <w:r w:rsidR="006307ED">
        <w:t xml:space="preserve">(&lt; </w:t>
      </w:r>
      <w:r w:rsidRPr="0080490A">
        <w:t>3 years).</w:t>
      </w:r>
    </w:p>
    <w:p w:rsidR="0080490A" w:rsidRPr="0080490A" w:rsidRDefault="0080490A" w:rsidP="007279C4">
      <w:r w:rsidRPr="0080490A">
        <w:t xml:space="preserve">Given the toxicological advice, </w:t>
      </w:r>
      <w:r w:rsidR="000D5BB9">
        <w:t xml:space="preserve">the </w:t>
      </w:r>
      <w:r w:rsidR="000D5BB9" w:rsidRPr="0080490A">
        <w:t>P</w:t>
      </w:r>
      <w:r w:rsidR="000D5BB9">
        <w:t>harmaceutical Chemistry Section (PCS)</w:t>
      </w:r>
      <w:r w:rsidRPr="0080490A">
        <w:t xml:space="preserve"> can in principal agree to the proposal, however it would be very preferable that the </w:t>
      </w:r>
      <w:r w:rsidR="00663030">
        <w:t xml:space="preserve">lower </w:t>
      </w:r>
      <w:r w:rsidRPr="0080490A">
        <w:t>expiry limit be adopted now, not in four months.</w:t>
      </w:r>
    </w:p>
    <w:p w:rsidR="0080490A" w:rsidRPr="0080490A" w:rsidRDefault="00E80544" w:rsidP="007279C4">
      <w:r>
        <w:t xml:space="preserve">The </w:t>
      </w:r>
      <w:r w:rsidR="0080490A" w:rsidRPr="0080490A">
        <w:t xml:space="preserve">PCS </w:t>
      </w:r>
      <w:r w:rsidR="00663030">
        <w:t xml:space="preserve">recommends that </w:t>
      </w:r>
      <w:r w:rsidR="0080490A" w:rsidRPr="0080490A">
        <w:t xml:space="preserve">it should be made a condition of registration that the company submit a </w:t>
      </w:r>
      <w:r w:rsidR="00663030">
        <w:t>variation a</w:t>
      </w:r>
      <w:r w:rsidR="0099186F">
        <w:t xml:space="preserve">pplication within 4 </w:t>
      </w:r>
      <w:r w:rsidR="0080490A" w:rsidRPr="0080490A">
        <w:t>months (company estimate) with the improved test method and appropriate release limits for these impurities, and, limits for these impurities in the drug substance specifications.</w:t>
      </w:r>
    </w:p>
    <w:p w:rsidR="004334C7" w:rsidRPr="004334C7" w:rsidRDefault="008E7846" w:rsidP="00AA11BF">
      <w:pPr>
        <w:pStyle w:val="Heading2"/>
      </w:pPr>
      <w:bookmarkStart w:id="35" w:name="_Toc196046439"/>
      <w:bookmarkStart w:id="36" w:name="_Toc247691510"/>
      <w:bookmarkStart w:id="37" w:name="_Toc314842494"/>
      <w:bookmarkStart w:id="38" w:name="_Toc413157306"/>
      <w:r>
        <w:t xml:space="preserve">III. </w:t>
      </w:r>
      <w:r w:rsidRPr="00AA11BF">
        <w:t>Nonclinical</w:t>
      </w:r>
      <w:bookmarkEnd w:id="35"/>
      <w:r>
        <w:t xml:space="preserve"> findings</w:t>
      </w:r>
      <w:bookmarkEnd w:id="36"/>
      <w:bookmarkEnd w:id="37"/>
      <w:bookmarkEnd w:id="38"/>
    </w:p>
    <w:p w:rsidR="008E7846" w:rsidRDefault="008E7846" w:rsidP="00AA11BF">
      <w:pPr>
        <w:pStyle w:val="Heading3"/>
      </w:pPr>
      <w:bookmarkStart w:id="39" w:name="_Toc247691512"/>
      <w:bookmarkStart w:id="40" w:name="_Toc314842496"/>
      <w:bookmarkStart w:id="41" w:name="_Toc413157307"/>
      <w:r w:rsidRPr="00AA11BF">
        <w:t>Pharmacology</w:t>
      </w:r>
      <w:bookmarkEnd w:id="39"/>
      <w:bookmarkEnd w:id="40"/>
      <w:bookmarkEnd w:id="41"/>
    </w:p>
    <w:p w:rsidR="00BE5B6B" w:rsidRPr="00BE5B6B" w:rsidRDefault="00BE5B6B" w:rsidP="00AA11BF">
      <w:pPr>
        <w:pStyle w:val="Heading4"/>
      </w:pPr>
      <w:bookmarkStart w:id="42" w:name="_Toc247691513"/>
      <w:bookmarkStart w:id="43" w:name="_Toc314842497"/>
      <w:r w:rsidRPr="00BE5B6B">
        <w:t xml:space="preserve">Primary </w:t>
      </w:r>
      <w:r w:rsidRPr="00AA11BF">
        <w:t>pharmacology</w:t>
      </w:r>
    </w:p>
    <w:p w:rsidR="00BE5B6B" w:rsidRPr="00BE5B6B" w:rsidRDefault="00BE5B6B" w:rsidP="00AA11BF">
      <w:r w:rsidRPr="00BE5B6B">
        <w:t xml:space="preserve">No animal data were provided to support the proposed indication. There are no widely used animal models for rosacea. A mouse model for rosacea has been used previously </w:t>
      </w:r>
      <w:r w:rsidRPr="00BE5B6B">
        <w:lastRenderedPageBreak/>
        <w:t>(Yamasaki et al., 2007</w:t>
      </w:r>
      <w:r w:rsidR="00704180">
        <w:rPr>
          <w:rStyle w:val="FootnoteReference"/>
        </w:rPr>
        <w:footnoteReference w:id="8"/>
      </w:r>
      <w:r w:rsidRPr="00BE5B6B">
        <w:t>; Zhang et al., 2011</w:t>
      </w:r>
      <w:r w:rsidR="00704180">
        <w:rPr>
          <w:rStyle w:val="FootnoteReference"/>
        </w:rPr>
        <w:footnoteReference w:id="9"/>
      </w:r>
      <w:r w:rsidRPr="00BE5B6B">
        <w:t>), but the validity of this model is unknown. Assessment of the efficacy of brimonidine tartrate gel for the proposed indication needs to rely solely on clinical data.</w:t>
      </w:r>
    </w:p>
    <w:p w:rsidR="008E7846" w:rsidRDefault="008E7846" w:rsidP="00AA11BF">
      <w:pPr>
        <w:pStyle w:val="Heading3"/>
      </w:pPr>
      <w:bookmarkStart w:id="44" w:name="_Toc413157308"/>
      <w:r w:rsidRPr="00AA11BF">
        <w:t>Pharmacokinetics</w:t>
      </w:r>
      <w:bookmarkEnd w:id="42"/>
      <w:bookmarkEnd w:id="43"/>
      <w:bookmarkEnd w:id="44"/>
    </w:p>
    <w:p w:rsidR="00E80544" w:rsidRDefault="00BE5B6B" w:rsidP="007279C4">
      <w:bookmarkStart w:id="45" w:name="_Toc247691514"/>
      <w:bookmarkStart w:id="46" w:name="_Toc314842498"/>
      <w:r w:rsidRPr="00BE5B6B">
        <w:t>The plasma kinetics of brimonidine following dermal administration of brimonidine tartrate gel w</w:t>
      </w:r>
      <w:r w:rsidR="00CC418A">
        <w:t>as</w:t>
      </w:r>
      <w:r w:rsidRPr="00BE5B6B">
        <w:t xml:space="preserve"> assessed in rats, </w:t>
      </w:r>
      <w:proofErr w:type="spellStart"/>
      <w:r w:rsidRPr="00BE5B6B">
        <w:t>minipigs</w:t>
      </w:r>
      <w:proofErr w:type="spellEnd"/>
      <w:r w:rsidRPr="00BE5B6B">
        <w:t xml:space="preserve"> and human subjects. There were no consistent or significant sex differences in systemic exposure in any species. On </w:t>
      </w:r>
      <w:r w:rsidR="00680D92">
        <w:t>D</w:t>
      </w:r>
      <w:r w:rsidRPr="00BE5B6B">
        <w:t>ay 1, brimonidine was detectable in the plasma of most treated animals a</w:t>
      </w:r>
      <w:r>
        <w:t xml:space="preserve">t the first sampling point (0.5 to </w:t>
      </w:r>
      <w:r w:rsidRPr="00BE5B6B">
        <w:t>1 h</w:t>
      </w:r>
      <w:r>
        <w:t>ours</w:t>
      </w:r>
      <w:r w:rsidRPr="00BE5B6B">
        <w:t>)</w:t>
      </w:r>
      <w:r w:rsidR="0099186F" w:rsidRPr="00BE5B6B">
        <w:t>;</w:t>
      </w:r>
      <w:r w:rsidRPr="00BE5B6B">
        <w:t xml:space="preserve"> suggesting brimonidine is readily absorbed from the skin. However, </w:t>
      </w:r>
      <w:r w:rsidR="009F19AD" w:rsidRPr="009F19AD">
        <w:t>time when maximum drug concentration occurs</w:t>
      </w:r>
      <w:r w:rsidR="009F19AD">
        <w:t xml:space="preserve"> (</w:t>
      </w:r>
      <w:proofErr w:type="spellStart"/>
      <w:r w:rsidR="00735A24">
        <w:t>Tmax</w:t>
      </w:r>
      <w:proofErr w:type="spellEnd"/>
      <w:r w:rsidR="009F19AD" w:rsidRPr="009F19AD">
        <w:t>)</w:t>
      </w:r>
      <w:r w:rsidRPr="00BE5B6B">
        <w:t xml:space="preserve"> values were highly </w:t>
      </w:r>
      <w:r>
        <w:t xml:space="preserve">variable in rats (1 to </w:t>
      </w:r>
      <w:r w:rsidRPr="00BE5B6B">
        <w:t>12 h</w:t>
      </w:r>
      <w:r>
        <w:t>ours</w:t>
      </w:r>
      <w:r w:rsidRPr="00BE5B6B">
        <w:t xml:space="preserve">) and systemic exposure was fairly constant in </w:t>
      </w:r>
      <w:proofErr w:type="spellStart"/>
      <w:r w:rsidRPr="00BE5B6B">
        <w:t>minipigs</w:t>
      </w:r>
      <w:proofErr w:type="spellEnd"/>
      <w:r w:rsidRPr="00BE5B6B">
        <w:t xml:space="preserve"> over a 24</w:t>
      </w:r>
      <w:r>
        <w:t xml:space="preserve"> </w:t>
      </w:r>
      <w:r w:rsidRPr="00BE5B6B">
        <w:t>h</w:t>
      </w:r>
      <w:r>
        <w:t>our</w:t>
      </w:r>
      <w:r w:rsidRPr="00BE5B6B">
        <w:t xml:space="preserve"> period, suggesting prolonged absorption. Systemic exposure (plasma </w:t>
      </w:r>
      <w:r w:rsidR="00CC418A" w:rsidRPr="00CC418A">
        <w:t xml:space="preserve">area under the concentration time curve </w:t>
      </w:r>
      <w:r w:rsidR="00CC418A">
        <w:t>(</w:t>
      </w:r>
      <w:r w:rsidRPr="00BE5B6B">
        <w:t>AUC</w:t>
      </w:r>
      <w:r w:rsidR="00CC418A">
        <w:t>)</w:t>
      </w:r>
      <w:r w:rsidRPr="00BE5B6B">
        <w:t xml:space="preserve">) was </w:t>
      </w:r>
      <w:r>
        <w:t xml:space="preserve">generally dose </w:t>
      </w:r>
      <w:r w:rsidRPr="00BE5B6B">
        <w:t>proportional in rats but this should be considered in the context of high inter</w:t>
      </w:r>
      <w:r>
        <w:t xml:space="preserve"> </w:t>
      </w:r>
      <w:r w:rsidR="00AA4341">
        <w:t>individual variability.</w:t>
      </w:r>
    </w:p>
    <w:p w:rsidR="00E80544" w:rsidRDefault="00BE5B6B" w:rsidP="007279C4">
      <w:r w:rsidRPr="00BE5B6B">
        <w:t xml:space="preserve">Rats showed significantly higher systemic exposure following dermal application </w:t>
      </w:r>
      <w:r w:rsidR="00CC418A">
        <w:t>compared to</w:t>
      </w:r>
      <w:r w:rsidRPr="00BE5B6B">
        <w:t xml:space="preserve"> either </w:t>
      </w:r>
      <w:proofErr w:type="spellStart"/>
      <w:r w:rsidRPr="00BE5B6B">
        <w:t>minipigs</w:t>
      </w:r>
      <w:proofErr w:type="spellEnd"/>
      <w:r w:rsidRPr="00BE5B6B">
        <w:t xml:space="preserve"> or humans at equivalent mg/kg doses (</w:t>
      </w:r>
      <w:r>
        <w:t xml:space="preserve">approximately </w:t>
      </w:r>
      <w:r w:rsidR="00CC418A">
        <w:t xml:space="preserve">20 </w:t>
      </w:r>
      <w:r w:rsidRPr="00BE5B6B">
        <w:t xml:space="preserve">times higher than in </w:t>
      </w:r>
      <w:proofErr w:type="spellStart"/>
      <w:r w:rsidRPr="00BE5B6B">
        <w:t>minipigs</w:t>
      </w:r>
      <w:proofErr w:type="spellEnd"/>
      <w:r w:rsidRPr="00BE5B6B">
        <w:t xml:space="preserve"> and approximately 6</w:t>
      </w:r>
      <w:r>
        <w:t xml:space="preserve"> </w:t>
      </w:r>
      <w:r w:rsidRPr="00BE5B6B">
        <w:t xml:space="preserve">times higher than in humans using data for approximately 1 mg/kg doses in animals and the maximum recommended clinical dose in humans). Due to similarities in skin structure and physiology, </w:t>
      </w:r>
      <w:proofErr w:type="spellStart"/>
      <w:r w:rsidRPr="00BE5B6B">
        <w:t>minipigs</w:t>
      </w:r>
      <w:proofErr w:type="spellEnd"/>
      <w:r w:rsidRPr="00BE5B6B">
        <w:t xml:space="preserve"> are considered a more predictive model of dermal absorption than rats (reviewed in Poet et al., 2002</w:t>
      </w:r>
      <w:r w:rsidR="00704180">
        <w:rPr>
          <w:rStyle w:val="FootnoteReference"/>
        </w:rPr>
        <w:footnoteReference w:id="10"/>
      </w:r>
      <w:r w:rsidRPr="00BE5B6B">
        <w:t>; and Bode et al., 2010</w:t>
      </w:r>
      <w:r w:rsidR="00704180">
        <w:rPr>
          <w:rStyle w:val="FootnoteReference"/>
        </w:rPr>
        <w:footnoteReference w:id="11"/>
      </w:r>
      <w:r w:rsidRPr="00BE5B6B">
        <w:t>). In rats, systemic exposures were lower on Day 1 than on subsequent days, but aside from this, there was no evi</w:t>
      </w:r>
      <w:r w:rsidR="00AA4341">
        <w:t>dence of systemic accumulation.</w:t>
      </w:r>
    </w:p>
    <w:p w:rsidR="00BE5B6B" w:rsidRPr="00BE5B6B" w:rsidRDefault="00BE5B6B" w:rsidP="007279C4">
      <w:r w:rsidRPr="00BE5B6B">
        <w:t>Accumulation in the skin was not assessed. No st</w:t>
      </w:r>
      <w:r>
        <w:t xml:space="preserve">udies assessed the effect of co </w:t>
      </w:r>
      <w:r w:rsidRPr="00BE5B6B">
        <w:t>administered dermal products (including cosmetics or sunscreens), or damaged skin, on the systemic absorption of brimonidine.</w:t>
      </w:r>
    </w:p>
    <w:p w:rsidR="00A97AC5" w:rsidRDefault="00BE5B6B" w:rsidP="007279C4">
      <w:r w:rsidRPr="00BE5B6B">
        <w:t xml:space="preserve">Systemic exposure to brimonidine in patients treated with </w:t>
      </w:r>
      <w:proofErr w:type="spellStart"/>
      <w:r w:rsidRPr="00BE5B6B">
        <w:t>Mirvaso</w:t>
      </w:r>
      <w:proofErr w:type="spellEnd"/>
      <w:r w:rsidRPr="00BE5B6B">
        <w:t xml:space="preserve"> gel is comparable to that with use o</w:t>
      </w:r>
      <w:r>
        <w:t xml:space="preserve">f existing brimonidine tartrate </w:t>
      </w:r>
      <w:r w:rsidRPr="00BE5B6B">
        <w:t>conta</w:t>
      </w:r>
      <w:r w:rsidR="00AA4341">
        <w:t>ining eye drop products.</w:t>
      </w:r>
    </w:p>
    <w:p w:rsidR="001B5C90" w:rsidRDefault="008E7846" w:rsidP="007279C4">
      <w:pPr>
        <w:pStyle w:val="Heading3"/>
      </w:pPr>
      <w:bookmarkStart w:id="47" w:name="_Toc413157309"/>
      <w:r>
        <w:t>Toxicology</w:t>
      </w:r>
      <w:bookmarkEnd w:id="45"/>
      <w:bookmarkEnd w:id="46"/>
      <w:bookmarkEnd w:id="47"/>
    </w:p>
    <w:p w:rsidR="00FE6CFE" w:rsidRPr="00FE6CFE" w:rsidRDefault="00FE6CFE" w:rsidP="00AA11BF">
      <w:pPr>
        <w:pStyle w:val="Heading4"/>
      </w:pPr>
      <w:bookmarkStart w:id="48" w:name="_Toc294861728"/>
      <w:r>
        <w:t xml:space="preserve">Repeat </w:t>
      </w:r>
      <w:r w:rsidRPr="00AA11BF">
        <w:t>dose</w:t>
      </w:r>
      <w:r w:rsidRPr="00FE6CFE">
        <w:t xml:space="preserve"> toxicity</w:t>
      </w:r>
      <w:bookmarkEnd w:id="48"/>
    </w:p>
    <w:p w:rsidR="00E16BE5" w:rsidRDefault="00FE6CFE" w:rsidP="007279C4">
      <w:r w:rsidRPr="00FE6CFE">
        <w:t>R</w:t>
      </w:r>
      <w:r>
        <w:t xml:space="preserve">epeat </w:t>
      </w:r>
      <w:r w:rsidRPr="00FE6CFE">
        <w:t xml:space="preserve">dose toxicity studies by the dermal route were conducted in hairless mice (up to 13 weeks), rats (up to 57 weeks) and </w:t>
      </w:r>
      <w:proofErr w:type="spellStart"/>
      <w:r w:rsidRPr="00FE6CFE">
        <w:t>minipigs</w:t>
      </w:r>
      <w:proofErr w:type="spellEnd"/>
      <w:r w:rsidRPr="00FE6CFE">
        <w:t xml:space="preserve"> (up to 39 weeks). The choice of species for the pivotal studies (rats and </w:t>
      </w:r>
      <w:proofErr w:type="spellStart"/>
      <w:r w:rsidRPr="00FE6CFE">
        <w:t>minipigs</w:t>
      </w:r>
      <w:proofErr w:type="spellEnd"/>
      <w:r w:rsidRPr="00FE6CFE">
        <w:t>) is considered appropriate</w:t>
      </w:r>
      <w:r>
        <w:t xml:space="preserve">; </w:t>
      </w:r>
      <w:proofErr w:type="spellStart"/>
      <w:r w:rsidRPr="00FE6CFE">
        <w:t>minipigs</w:t>
      </w:r>
      <w:proofErr w:type="spellEnd"/>
      <w:r w:rsidRPr="00FE6CFE">
        <w:t xml:space="preserve"> are good animal models to assess dermal toxicity. The duration of the pivotal s</w:t>
      </w:r>
      <w:r w:rsidR="00E16BE5">
        <w:t xml:space="preserve">tudies is considered </w:t>
      </w:r>
      <w:r w:rsidR="0099186F" w:rsidRPr="0099186F">
        <w:t xml:space="preserve">acceptable considering </w:t>
      </w:r>
      <w:r w:rsidRPr="00FE6CFE">
        <w:t xml:space="preserve">the possible chronic use of </w:t>
      </w:r>
      <w:proofErr w:type="spellStart"/>
      <w:r w:rsidRPr="00FE6CFE">
        <w:t>Mirvaso</w:t>
      </w:r>
      <w:proofErr w:type="spellEnd"/>
      <w:r>
        <w:t xml:space="preserve">. The 13 </w:t>
      </w:r>
      <w:r w:rsidRPr="00FE6CFE">
        <w:t>week mous</w:t>
      </w:r>
      <w:r>
        <w:t xml:space="preserve">e study was conducted as a dose </w:t>
      </w:r>
      <w:r w:rsidRPr="00FE6CFE">
        <w:t xml:space="preserve">ranging study prior to conducting a </w:t>
      </w:r>
      <w:proofErr w:type="spellStart"/>
      <w:r w:rsidR="0099186F" w:rsidRPr="0099186F">
        <w:t>photocarcinogenicity</w:t>
      </w:r>
      <w:proofErr w:type="spellEnd"/>
      <w:r w:rsidR="0099186F" w:rsidRPr="0099186F">
        <w:t xml:space="preserve"> </w:t>
      </w:r>
      <w:r w:rsidRPr="00FE6CFE">
        <w:t xml:space="preserve">study. As such, examinations were restricted to gross signs of toxicity, while the </w:t>
      </w:r>
      <w:proofErr w:type="spellStart"/>
      <w:r w:rsidRPr="00FE6CFE">
        <w:t>photocarcinogenicity</w:t>
      </w:r>
      <w:proofErr w:type="spellEnd"/>
      <w:r w:rsidRPr="00FE6CFE">
        <w:t xml:space="preserve"> study focussed primarily on dermal tumour formation. Daily dermal</w:t>
      </w:r>
      <w:r w:rsidR="00CC418A">
        <w:t xml:space="preserve"> exposure was for the entire 24 </w:t>
      </w:r>
      <w:r w:rsidRPr="00FE6CFE">
        <w:t>h</w:t>
      </w:r>
      <w:r>
        <w:t>our</w:t>
      </w:r>
      <w:r w:rsidRPr="00FE6CFE">
        <w:t xml:space="preserve"> period in all studies except for the pivotal stu</w:t>
      </w:r>
      <w:r w:rsidR="00E16BE5">
        <w:t xml:space="preserve">dy in </w:t>
      </w:r>
      <w:proofErr w:type="spellStart"/>
      <w:r w:rsidR="0099186F" w:rsidRPr="0099186F">
        <w:t>minipigs</w:t>
      </w:r>
      <w:proofErr w:type="spellEnd"/>
      <w:r w:rsidR="0099186F" w:rsidRPr="0099186F">
        <w:t xml:space="preserve"> where </w:t>
      </w:r>
      <w:r w:rsidRPr="00FE6CFE">
        <w:t xml:space="preserve">the </w:t>
      </w:r>
      <w:r w:rsidR="00CC418A">
        <w:t xml:space="preserve">treated area was washed after 6 </w:t>
      </w:r>
      <w:r w:rsidRPr="00FE6CFE">
        <w:t>h</w:t>
      </w:r>
      <w:r>
        <w:t>ours</w:t>
      </w:r>
      <w:r w:rsidRPr="00FE6CFE">
        <w:t xml:space="preserve"> (except on </w:t>
      </w:r>
      <w:proofErr w:type="spellStart"/>
      <w:r w:rsidRPr="00FE6CFE">
        <w:t>toxicokinetic</w:t>
      </w:r>
      <w:proofErr w:type="spellEnd"/>
      <w:r w:rsidRPr="00FE6CFE">
        <w:t xml:space="preserve"> days). </w:t>
      </w:r>
      <w:r w:rsidRPr="00FE6CFE">
        <w:lastRenderedPageBreak/>
        <w:t>Dosing in the mouse study was once daily</w:t>
      </w:r>
      <w:r w:rsidR="001B68EF">
        <w:t xml:space="preserve"> (</w:t>
      </w:r>
      <w:proofErr w:type="spellStart"/>
      <w:r w:rsidR="001B68EF">
        <w:t>q.d</w:t>
      </w:r>
      <w:proofErr w:type="spellEnd"/>
      <w:r w:rsidR="001B68EF">
        <w:t>.)</w:t>
      </w:r>
      <w:r w:rsidRPr="00FE6CFE">
        <w:t xml:space="preserve"> for 4 or 5 days/week. Both pivotal studies included a water control as w</w:t>
      </w:r>
      <w:r w:rsidR="00E16BE5">
        <w:t>ell as a vehicle control group.</w:t>
      </w:r>
    </w:p>
    <w:p w:rsidR="00E16BE5" w:rsidRDefault="00FE6CFE" w:rsidP="007279C4">
      <w:r w:rsidRPr="00FE6CFE">
        <w:t xml:space="preserve">Two studies compared the dermal toxicity of gel and cream formulations of brimonidine tartrate (in rats and </w:t>
      </w:r>
      <w:proofErr w:type="spellStart"/>
      <w:r w:rsidRPr="00FE6CFE">
        <w:t>minipigs</w:t>
      </w:r>
      <w:proofErr w:type="spellEnd"/>
      <w:r w:rsidRPr="00FE6CFE">
        <w:t>; 13 weeks duration); these studies are only discussed wit</w:t>
      </w:r>
      <w:r w:rsidR="00611213">
        <w:t>h reference to local reactions.</w:t>
      </w:r>
    </w:p>
    <w:p w:rsidR="00FE6CFE" w:rsidRPr="00FE6CFE" w:rsidRDefault="00FE6CFE" w:rsidP="007279C4">
      <w:r w:rsidRPr="00FE6CFE">
        <w:t>The concentration of brimonidine tartrate in the formulations used in the animal studies spanned t</w:t>
      </w:r>
      <w:r w:rsidR="006B3937">
        <w:t xml:space="preserve">hat to be used clinically (0.18 to </w:t>
      </w:r>
      <w:r w:rsidRPr="00FE6CFE">
        <w:t xml:space="preserve">2% </w:t>
      </w:r>
      <w:r>
        <w:t>compared to</w:t>
      </w:r>
      <w:r w:rsidRPr="00FE6CFE">
        <w:t xml:space="preserve"> 0.5% in the clinical formulation) and the dosing area (relative to b</w:t>
      </w:r>
      <w:r w:rsidR="00150D96">
        <w:t>ody surface area (BSA)</w:t>
      </w:r>
      <w:r w:rsidRPr="00FE6CFE">
        <w:t>) was larger than that expect</w:t>
      </w:r>
      <w:r w:rsidR="006B3937">
        <w:t xml:space="preserve">ed clinically (10 to </w:t>
      </w:r>
      <w:r w:rsidRPr="00FE6CFE">
        <w:t xml:space="preserve">20% BSA compared to </w:t>
      </w:r>
      <w:r>
        <w:t xml:space="preserve">approximately </w:t>
      </w:r>
      <w:r w:rsidR="00AA4341">
        <w:t>3% BSA clinically).</w:t>
      </w:r>
    </w:p>
    <w:p w:rsidR="00FE6CFE" w:rsidRPr="00FE6CFE" w:rsidRDefault="00FE6CFE" w:rsidP="00AA11BF">
      <w:pPr>
        <w:pStyle w:val="Heading5"/>
      </w:pPr>
      <w:r w:rsidRPr="00FE6CFE">
        <w:t xml:space="preserve">Relative </w:t>
      </w:r>
      <w:r w:rsidRPr="00AA11BF">
        <w:t>exposure</w:t>
      </w:r>
    </w:p>
    <w:p w:rsidR="00FE6CFE" w:rsidRPr="00FE6CFE" w:rsidRDefault="00FE6CFE" w:rsidP="007279C4">
      <w:r w:rsidRPr="00FE6CFE">
        <w:t>Exposure ratios have been calculated based on animal: human plasma AUC values (for consideration of systemic effects) and animal: human doses per unit treatment area (for consideration of local effects). Relative systemic exposures achieved in rats were very high (</w:t>
      </w:r>
      <w:r w:rsidRPr="00150D96">
        <w:t xml:space="preserve">see </w:t>
      </w:r>
      <w:r w:rsidR="00150D96" w:rsidRPr="00150D96">
        <w:t xml:space="preserve">Table </w:t>
      </w:r>
      <w:r w:rsidRPr="00150D96">
        <w:t xml:space="preserve">1) </w:t>
      </w:r>
      <w:r w:rsidRPr="00FE6CFE">
        <w:t xml:space="preserve">and the maximum tolerated dose was clearly achieved in mice and rats. Systemic exposures in </w:t>
      </w:r>
      <w:proofErr w:type="spellStart"/>
      <w:r w:rsidRPr="00FE6CFE">
        <w:t>minipigs</w:t>
      </w:r>
      <w:proofErr w:type="spellEnd"/>
      <w:r w:rsidRPr="00FE6CFE">
        <w:t xml:space="preserve"> were similar to the clinical AUC. Substantial multiples of the clinical local dose (on a </w:t>
      </w:r>
      <w:r>
        <w:t>µ</w:t>
      </w:r>
      <w:r w:rsidRPr="00FE6CFE">
        <w:t>g/cm</w:t>
      </w:r>
      <w:r w:rsidRPr="00FE6CFE">
        <w:rPr>
          <w:vertAlign w:val="superscript"/>
        </w:rPr>
        <w:t>2</w:t>
      </w:r>
      <w:r w:rsidRPr="00FE6CFE">
        <w:t xml:space="preserve"> basis) were obtained in most studies/species at the highest doses tested, although local doses in </w:t>
      </w:r>
      <w:r>
        <w:t xml:space="preserve">male rats in the pivotal repeat </w:t>
      </w:r>
      <w:r w:rsidRPr="00FE6CFE">
        <w:t>dose toxicity study and the carcinogenicity study were less than or only a modest multiple of the clinical local dose. Overall, the doses/concentrations used in the toxicity studies are considered appropriate.</w:t>
      </w:r>
    </w:p>
    <w:p w:rsidR="00FE6CFE" w:rsidRDefault="00150D96" w:rsidP="00AA11BF">
      <w:pPr>
        <w:pStyle w:val="TableTitle"/>
      </w:pPr>
      <w:proofErr w:type="gramStart"/>
      <w:r w:rsidRPr="00150D96">
        <w:t xml:space="preserve">Table </w:t>
      </w:r>
      <w:r w:rsidR="00FE6CFE" w:rsidRPr="00150D96">
        <w:t xml:space="preserve">1: </w:t>
      </w:r>
      <w:r w:rsidR="00FE6CFE" w:rsidRPr="00AA11BF">
        <w:t>Relative</w:t>
      </w:r>
      <w:r w:rsidR="00FE6CFE" w:rsidRPr="00150D96">
        <w:t xml:space="preserve"> </w:t>
      </w:r>
      <w:r w:rsidR="00FE6CFE">
        <w:t>exposure in repeat dose toxicity and carcinogenicity studies.</w:t>
      </w:r>
      <w:proofErr w:type="gramEnd"/>
    </w:p>
    <w:tbl>
      <w:tblPr>
        <w:tblStyle w:val="TableTGAblue"/>
        <w:tblW w:w="8897" w:type="dxa"/>
        <w:tblLayout w:type="fixed"/>
        <w:tblLook w:val="01E0" w:firstRow="1" w:lastRow="1" w:firstColumn="1" w:lastColumn="1" w:noHBand="0" w:noVBand="0"/>
      </w:tblPr>
      <w:tblGrid>
        <w:gridCol w:w="1101"/>
        <w:gridCol w:w="1701"/>
        <w:gridCol w:w="567"/>
        <w:gridCol w:w="1134"/>
        <w:gridCol w:w="1134"/>
        <w:gridCol w:w="1134"/>
        <w:gridCol w:w="850"/>
        <w:gridCol w:w="1276"/>
      </w:tblGrid>
      <w:tr w:rsidR="00B82335" w:rsidRPr="00000431" w:rsidTr="00325E22">
        <w:trPr>
          <w:cnfStyle w:val="100000000000" w:firstRow="1" w:lastRow="0" w:firstColumn="0" w:lastColumn="0" w:oddVBand="0" w:evenVBand="0" w:oddHBand="0" w:evenHBand="0" w:firstRowFirstColumn="0" w:firstRowLastColumn="0" w:lastRowFirstColumn="0" w:lastRowLastColumn="0"/>
        </w:trPr>
        <w:tc>
          <w:tcPr>
            <w:tcW w:w="1101" w:type="dxa"/>
            <w:vMerge w:val="restart"/>
            <w:tcBorders>
              <w:right w:val="single" w:sz="4" w:space="0" w:color="FFFFFF" w:themeColor="background1"/>
            </w:tcBorders>
            <w:vAlign w:val="center"/>
          </w:tcPr>
          <w:p w:rsidR="00B82335" w:rsidRPr="00AA11BF" w:rsidRDefault="00B82335" w:rsidP="00325E22">
            <w:pPr>
              <w:ind w:left="0" w:right="0"/>
              <w:rPr>
                <w:b w:val="0"/>
              </w:rPr>
            </w:pPr>
            <w:r w:rsidRPr="00AA11BF">
              <w:t>Species</w:t>
            </w:r>
          </w:p>
        </w:tc>
        <w:tc>
          <w:tcPr>
            <w:tcW w:w="1701" w:type="dxa"/>
            <w:vMerge w:val="restart"/>
            <w:tcBorders>
              <w:left w:val="single" w:sz="4" w:space="0" w:color="FFFFFF" w:themeColor="background1"/>
              <w:right w:val="single" w:sz="4" w:space="0" w:color="FFFFFF" w:themeColor="background1"/>
            </w:tcBorders>
            <w:vAlign w:val="center"/>
          </w:tcPr>
          <w:p w:rsidR="00B82335" w:rsidRPr="00AA11BF" w:rsidRDefault="00B82335" w:rsidP="00325E22">
            <w:pPr>
              <w:ind w:left="33" w:right="0"/>
              <w:rPr>
                <w:b w:val="0"/>
              </w:rPr>
            </w:pPr>
            <w:r w:rsidRPr="00AA11BF">
              <w:t>Study &amp;</w:t>
            </w:r>
            <w:r w:rsidR="002E254E" w:rsidRPr="00AA11BF">
              <w:t xml:space="preserve"> </w:t>
            </w:r>
            <w:r w:rsidRPr="00AA11BF">
              <w:t>duration</w:t>
            </w:r>
          </w:p>
        </w:tc>
        <w:tc>
          <w:tcPr>
            <w:tcW w:w="1701" w:type="dxa"/>
            <w:gridSpan w:val="2"/>
            <w:vMerge w:val="restart"/>
            <w:tcBorders>
              <w:left w:val="single" w:sz="4" w:space="0" w:color="FFFFFF" w:themeColor="background1"/>
              <w:right w:val="single" w:sz="4" w:space="0" w:color="FFFFFF" w:themeColor="background1"/>
            </w:tcBorders>
            <w:vAlign w:val="center"/>
          </w:tcPr>
          <w:p w:rsidR="00B82335" w:rsidRPr="00AA11BF" w:rsidRDefault="00B82335" w:rsidP="00325E22">
            <w:pPr>
              <w:ind w:left="33" w:right="0"/>
              <w:rPr>
                <w:b w:val="0"/>
              </w:rPr>
            </w:pPr>
            <w:r w:rsidRPr="00AA11BF">
              <w:t>Dose</w:t>
            </w:r>
            <w:r w:rsidR="002E254E" w:rsidRPr="00AA11BF">
              <w:t xml:space="preserve"> </w:t>
            </w:r>
            <w:r w:rsidRPr="00AA11BF">
              <w:t>mg/kg/day</w:t>
            </w:r>
          </w:p>
        </w:tc>
        <w:tc>
          <w:tcPr>
            <w:tcW w:w="1134" w:type="dxa"/>
            <w:vMerge w:val="restart"/>
            <w:tcBorders>
              <w:left w:val="single" w:sz="4" w:space="0" w:color="FFFFFF" w:themeColor="background1"/>
              <w:right w:val="single" w:sz="4" w:space="0" w:color="FFFFFF" w:themeColor="background1"/>
            </w:tcBorders>
            <w:vAlign w:val="center"/>
          </w:tcPr>
          <w:p w:rsidR="00B82335" w:rsidRPr="00AA11BF" w:rsidRDefault="00B82335" w:rsidP="00325E22">
            <w:pPr>
              <w:ind w:left="0" w:right="0"/>
              <w:rPr>
                <w:b w:val="0"/>
                <w:i/>
                <w:vertAlign w:val="superscript"/>
              </w:rPr>
            </w:pPr>
            <w:r w:rsidRPr="00AA11BF">
              <w:t xml:space="preserve">Local dose </w:t>
            </w:r>
            <w:r w:rsidR="00150D96" w:rsidRPr="00AA11BF">
              <w:t>µ</w:t>
            </w:r>
            <w:r w:rsidRPr="00AA11BF">
              <w:t>g/cm</w:t>
            </w:r>
            <w:r w:rsidRPr="00AA11BF">
              <w:rPr>
                <w:vertAlign w:val="superscript"/>
              </w:rPr>
              <w:t>2b</w:t>
            </w:r>
          </w:p>
        </w:tc>
        <w:tc>
          <w:tcPr>
            <w:tcW w:w="1134" w:type="dxa"/>
            <w:vMerge w:val="restart"/>
            <w:tcBorders>
              <w:left w:val="single" w:sz="4" w:space="0" w:color="FFFFFF" w:themeColor="background1"/>
              <w:right w:val="single" w:sz="4" w:space="0" w:color="FFFFFF" w:themeColor="background1"/>
            </w:tcBorders>
            <w:vAlign w:val="center"/>
          </w:tcPr>
          <w:p w:rsidR="00B82335" w:rsidRPr="00AA11BF" w:rsidRDefault="00B82335" w:rsidP="00325E22">
            <w:pPr>
              <w:ind w:left="0" w:right="0"/>
              <w:rPr>
                <w:b w:val="0"/>
                <w:i/>
                <w:vertAlign w:val="superscript"/>
              </w:rPr>
            </w:pPr>
            <w:r w:rsidRPr="00AA11BF">
              <w:t>AUC</w:t>
            </w:r>
            <w:r w:rsidRPr="00AA11BF">
              <w:rPr>
                <w:vertAlign w:val="subscript"/>
              </w:rPr>
              <w:t>0–24</w:t>
            </w:r>
            <w:r w:rsidRPr="00AA11BF">
              <w:rPr>
                <w:w w:val="50"/>
                <w:vertAlign w:val="subscript"/>
              </w:rPr>
              <w:t> </w:t>
            </w:r>
            <w:r w:rsidRPr="00AA11BF">
              <w:rPr>
                <w:vertAlign w:val="subscript"/>
              </w:rPr>
              <w:t>h</w:t>
            </w:r>
            <w:r w:rsidR="002E254E" w:rsidRPr="00AA11BF">
              <w:t xml:space="preserve"> </w:t>
            </w:r>
            <w:proofErr w:type="spellStart"/>
            <w:r w:rsidRPr="00AA11BF">
              <w:t>ng∙h</w:t>
            </w:r>
            <w:proofErr w:type="spellEnd"/>
            <w:r w:rsidRPr="00AA11BF">
              <w:t>/mL</w:t>
            </w:r>
          </w:p>
        </w:tc>
        <w:tc>
          <w:tcPr>
            <w:tcW w:w="2126" w:type="dxa"/>
            <w:gridSpan w:val="2"/>
            <w:tcBorders>
              <w:left w:val="single" w:sz="4" w:space="0" w:color="FFFFFF" w:themeColor="background1"/>
            </w:tcBorders>
          </w:tcPr>
          <w:p w:rsidR="00B82335" w:rsidRPr="00AA11BF" w:rsidRDefault="00B82335" w:rsidP="00325E22">
            <w:pPr>
              <w:ind w:left="34" w:right="0"/>
              <w:rPr>
                <w:b w:val="0"/>
              </w:rPr>
            </w:pPr>
            <w:r w:rsidRPr="00AA11BF">
              <w:t>Exposure ratio</w:t>
            </w:r>
          </w:p>
        </w:tc>
      </w:tr>
      <w:tr w:rsidR="00BF1A67" w:rsidRPr="00000431" w:rsidTr="00325E22">
        <w:trPr>
          <w:cnfStyle w:val="100000000000" w:firstRow="1" w:lastRow="0" w:firstColumn="0" w:lastColumn="0" w:oddVBand="0" w:evenVBand="0" w:oddHBand="0" w:evenHBand="0" w:firstRowFirstColumn="0" w:firstRowLastColumn="0" w:lastRowFirstColumn="0" w:lastRowLastColumn="0"/>
        </w:trPr>
        <w:tc>
          <w:tcPr>
            <w:tcW w:w="1101" w:type="dxa"/>
            <w:vMerge/>
            <w:tcBorders>
              <w:right w:val="single" w:sz="4" w:space="0" w:color="FFFFFF" w:themeColor="background1"/>
            </w:tcBorders>
          </w:tcPr>
          <w:p w:rsidR="00B82335" w:rsidRPr="00AA11BF" w:rsidRDefault="00B82335" w:rsidP="00325E22">
            <w:pPr>
              <w:ind w:left="0" w:right="0"/>
              <w:rPr>
                <w:b w:val="0"/>
              </w:rPr>
            </w:pPr>
          </w:p>
        </w:tc>
        <w:tc>
          <w:tcPr>
            <w:tcW w:w="1701" w:type="dxa"/>
            <w:vMerge/>
            <w:tcBorders>
              <w:left w:val="single" w:sz="4" w:space="0" w:color="FFFFFF" w:themeColor="background1"/>
              <w:right w:val="single" w:sz="4" w:space="0" w:color="FFFFFF" w:themeColor="background1"/>
            </w:tcBorders>
          </w:tcPr>
          <w:p w:rsidR="00B82335" w:rsidRPr="00AA11BF" w:rsidRDefault="00B82335" w:rsidP="00325E22">
            <w:pPr>
              <w:ind w:left="33" w:right="0"/>
              <w:rPr>
                <w:b w:val="0"/>
              </w:rPr>
            </w:pPr>
          </w:p>
        </w:tc>
        <w:tc>
          <w:tcPr>
            <w:tcW w:w="1701" w:type="dxa"/>
            <w:gridSpan w:val="2"/>
            <w:vMerge/>
            <w:tcBorders>
              <w:left w:val="single" w:sz="4" w:space="0" w:color="FFFFFF" w:themeColor="background1"/>
              <w:right w:val="single" w:sz="4" w:space="0" w:color="FFFFFF" w:themeColor="background1"/>
            </w:tcBorders>
          </w:tcPr>
          <w:p w:rsidR="00B82335" w:rsidRPr="00AA11BF" w:rsidRDefault="00B82335" w:rsidP="00325E22">
            <w:pPr>
              <w:ind w:left="33" w:right="0"/>
              <w:rPr>
                <w:b w:val="0"/>
              </w:rPr>
            </w:pPr>
          </w:p>
        </w:tc>
        <w:tc>
          <w:tcPr>
            <w:tcW w:w="1134" w:type="dxa"/>
            <w:vMerge/>
            <w:tcBorders>
              <w:left w:val="single" w:sz="4" w:space="0" w:color="FFFFFF" w:themeColor="background1"/>
              <w:right w:val="single" w:sz="4" w:space="0" w:color="FFFFFF" w:themeColor="background1"/>
            </w:tcBorders>
          </w:tcPr>
          <w:p w:rsidR="00B82335" w:rsidRPr="00AA11BF" w:rsidRDefault="00B82335" w:rsidP="00325E22">
            <w:pPr>
              <w:ind w:left="0" w:right="0"/>
              <w:rPr>
                <w:b w:val="0"/>
              </w:rPr>
            </w:pPr>
          </w:p>
        </w:tc>
        <w:tc>
          <w:tcPr>
            <w:tcW w:w="1134" w:type="dxa"/>
            <w:vMerge/>
            <w:tcBorders>
              <w:left w:val="single" w:sz="4" w:space="0" w:color="FFFFFF" w:themeColor="background1"/>
              <w:right w:val="single" w:sz="4" w:space="0" w:color="FFFFFF" w:themeColor="background1"/>
            </w:tcBorders>
          </w:tcPr>
          <w:p w:rsidR="00B82335" w:rsidRPr="00AA11BF" w:rsidRDefault="00B82335" w:rsidP="00325E22">
            <w:pPr>
              <w:ind w:left="0" w:right="0"/>
              <w:rPr>
                <w:b w:val="0"/>
              </w:rPr>
            </w:pPr>
          </w:p>
        </w:tc>
        <w:tc>
          <w:tcPr>
            <w:tcW w:w="850" w:type="dxa"/>
            <w:tcBorders>
              <w:left w:val="single" w:sz="4" w:space="0" w:color="FFFFFF" w:themeColor="background1"/>
              <w:right w:val="single" w:sz="4" w:space="0" w:color="FFFFFF" w:themeColor="background1"/>
            </w:tcBorders>
            <w:shd w:val="clear" w:color="auto" w:fill="006DA7" w:themeFill="accent3"/>
          </w:tcPr>
          <w:p w:rsidR="00B82335" w:rsidRPr="00325E22" w:rsidRDefault="00B82335" w:rsidP="00325E22">
            <w:pPr>
              <w:ind w:left="34" w:right="0"/>
            </w:pPr>
            <w:r w:rsidRPr="00325E22">
              <w:t>Local</w:t>
            </w:r>
          </w:p>
        </w:tc>
        <w:tc>
          <w:tcPr>
            <w:tcW w:w="1276" w:type="dxa"/>
            <w:tcBorders>
              <w:left w:val="single" w:sz="4" w:space="0" w:color="FFFFFF" w:themeColor="background1"/>
            </w:tcBorders>
            <w:shd w:val="clear" w:color="auto" w:fill="006DA7" w:themeFill="accent3"/>
          </w:tcPr>
          <w:p w:rsidR="00B82335" w:rsidRPr="00325E22" w:rsidRDefault="00B82335" w:rsidP="00325E22">
            <w:pPr>
              <w:ind w:left="34" w:right="0"/>
            </w:pPr>
            <w:r w:rsidRPr="00325E22">
              <w:t>Systemic</w:t>
            </w:r>
          </w:p>
        </w:tc>
      </w:tr>
      <w:tr w:rsidR="00B82335" w:rsidRPr="00000431" w:rsidTr="00325E22">
        <w:trPr>
          <w:trHeight w:val="227"/>
        </w:trPr>
        <w:tc>
          <w:tcPr>
            <w:tcW w:w="1101" w:type="dxa"/>
            <w:vMerge w:val="restart"/>
            <w:vAlign w:val="center"/>
          </w:tcPr>
          <w:p w:rsidR="00B82335" w:rsidRPr="00000431" w:rsidRDefault="00B82335" w:rsidP="00325E22">
            <w:pPr>
              <w:ind w:left="0" w:right="0"/>
              <w:rPr>
                <w:rFonts w:eastAsia="Times New Roman"/>
                <w:snapToGrid w:val="0"/>
                <w:sz w:val="18"/>
                <w:szCs w:val="19"/>
              </w:rPr>
            </w:pPr>
            <w:r w:rsidRPr="00000431">
              <w:rPr>
                <w:rFonts w:eastAsia="Times New Roman"/>
                <w:snapToGrid w:val="0"/>
                <w:sz w:val="18"/>
                <w:szCs w:val="19"/>
              </w:rPr>
              <w:t>Mouse</w:t>
            </w:r>
            <w:r w:rsidR="00DE57B5" w:rsidRPr="00000431">
              <w:rPr>
                <w:rFonts w:eastAsia="Times New Roman"/>
                <w:snapToGrid w:val="0"/>
                <w:sz w:val="18"/>
                <w:szCs w:val="19"/>
              </w:rPr>
              <w:t xml:space="preserve"> </w:t>
            </w:r>
            <w:r w:rsidRPr="00000431">
              <w:rPr>
                <w:rFonts w:eastAsia="Times New Roman"/>
                <w:snapToGrid w:val="0"/>
                <w:sz w:val="18"/>
                <w:szCs w:val="19"/>
              </w:rPr>
              <w:t>(Crl:SKH1-</w:t>
            </w:r>
            <w:r w:rsidRPr="00000431">
              <w:rPr>
                <w:rFonts w:eastAsia="Times New Roman"/>
                <w:i/>
                <w:iCs/>
                <w:snapToGrid w:val="0"/>
                <w:sz w:val="18"/>
                <w:szCs w:val="19"/>
              </w:rPr>
              <w:t>hr</w:t>
            </w:r>
            <w:r>
              <w:rPr>
                <w:rFonts w:eastAsia="Times New Roman"/>
                <w:snapToGrid w:val="0"/>
                <w:sz w:val="18"/>
                <w:szCs w:val="19"/>
              </w:rPr>
              <w:t>; [hairless])</w:t>
            </w:r>
          </w:p>
        </w:tc>
        <w:tc>
          <w:tcPr>
            <w:tcW w:w="1701" w:type="dxa"/>
            <w:vMerge w:val="restart"/>
            <w:vAlign w:val="center"/>
          </w:tcPr>
          <w:p w:rsidR="00B82335" w:rsidRPr="00BF1A79" w:rsidRDefault="00B82335" w:rsidP="00325E22">
            <w:pPr>
              <w:ind w:left="33" w:right="0"/>
              <w:rPr>
                <w:rFonts w:eastAsia="Times New Roman"/>
                <w:snapToGrid w:val="0"/>
                <w:sz w:val="18"/>
                <w:szCs w:val="18"/>
              </w:rPr>
            </w:pPr>
            <w:r w:rsidRPr="00BF1A79">
              <w:rPr>
                <w:rFonts w:eastAsia="Times New Roman"/>
                <w:bCs/>
                <w:snapToGrid w:val="0"/>
                <w:kern w:val="16"/>
                <w:sz w:val="18"/>
                <w:szCs w:val="18"/>
              </w:rPr>
              <w:t>RDS.03.SRE.12627</w:t>
            </w:r>
            <w:r w:rsidR="00DE57B5" w:rsidRPr="00DA6CC4">
              <w:rPr>
                <w:rFonts w:eastAsia="Times New Roman"/>
                <w:snapToGrid w:val="0"/>
                <w:kern w:val="16"/>
                <w:sz w:val="18"/>
                <w:szCs w:val="18"/>
              </w:rPr>
              <w:t xml:space="preserve"> </w:t>
            </w:r>
            <w:r w:rsidRPr="00DA6CC4">
              <w:rPr>
                <w:rFonts w:eastAsia="Times New Roman"/>
                <w:snapToGrid w:val="0"/>
                <w:kern w:val="16"/>
                <w:sz w:val="18"/>
                <w:szCs w:val="18"/>
              </w:rPr>
              <w:t>[13 weeks]</w:t>
            </w:r>
          </w:p>
        </w:tc>
        <w:tc>
          <w:tcPr>
            <w:tcW w:w="1701" w:type="dxa"/>
            <w:gridSpan w:val="2"/>
            <w:vAlign w:val="center"/>
          </w:tcPr>
          <w:p w:rsidR="00B82335" w:rsidRPr="00000431" w:rsidRDefault="00B82335" w:rsidP="00325E22">
            <w:pPr>
              <w:ind w:left="33" w:right="0"/>
              <w:rPr>
                <w:rFonts w:eastAsia="Times New Roman"/>
                <w:snapToGrid w:val="0"/>
                <w:sz w:val="18"/>
                <w:szCs w:val="19"/>
              </w:rPr>
            </w:pPr>
            <w:r w:rsidRPr="00000431">
              <w:rPr>
                <w:rFonts w:eastAsia="Times New Roman"/>
                <w:snapToGrid w:val="0"/>
                <w:sz w:val="18"/>
                <w:szCs w:val="19"/>
              </w:rPr>
              <w:t>6</w:t>
            </w:r>
          </w:p>
        </w:tc>
        <w:tc>
          <w:tcPr>
            <w:tcW w:w="1134" w:type="dxa"/>
            <w:vAlign w:val="center"/>
          </w:tcPr>
          <w:p w:rsidR="00B82335" w:rsidRPr="00800117" w:rsidRDefault="00B82335" w:rsidP="00325E22">
            <w:pPr>
              <w:ind w:left="0" w:right="0"/>
              <w:rPr>
                <w:rFonts w:eastAsia="Times New Roman"/>
                <w:snapToGrid w:val="0"/>
                <w:kern w:val="16"/>
                <w:sz w:val="18"/>
                <w:szCs w:val="19"/>
              </w:rPr>
            </w:pPr>
            <w:r w:rsidRPr="00800117">
              <w:rPr>
                <w:rFonts w:eastAsia="Times New Roman"/>
                <w:snapToGrid w:val="0"/>
                <w:kern w:val="16"/>
                <w:sz w:val="18"/>
                <w:szCs w:val="19"/>
              </w:rPr>
              <w:t>7.2</w:t>
            </w:r>
          </w:p>
        </w:tc>
        <w:tc>
          <w:tcPr>
            <w:tcW w:w="1134" w:type="dxa"/>
            <w:vAlign w:val="center"/>
          </w:tcPr>
          <w:p w:rsidR="00B82335" w:rsidRPr="00000431" w:rsidRDefault="00B82335" w:rsidP="00325E22">
            <w:pPr>
              <w:ind w:left="0" w:right="0"/>
              <w:rPr>
                <w:rFonts w:eastAsia="Times New Roman"/>
                <w:snapToGrid w:val="0"/>
                <w:sz w:val="18"/>
                <w:szCs w:val="19"/>
              </w:rPr>
            </w:pPr>
            <w:r w:rsidRPr="00000431">
              <w:rPr>
                <w:rFonts w:eastAsia="Times New Roman"/>
                <w:snapToGrid w:val="0"/>
                <w:sz w:val="18"/>
                <w:szCs w:val="19"/>
              </w:rPr>
              <w:t>‒</w:t>
            </w:r>
          </w:p>
        </w:tc>
        <w:tc>
          <w:tcPr>
            <w:tcW w:w="850" w:type="dxa"/>
            <w:vAlign w:val="center"/>
          </w:tcPr>
          <w:p w:rsidR="00B82335" w:rsidRPr="00CF086E" w:rsidRDefault="00B82335" w:rsidP="00325E22">
            <w:pPr>
              <w:ind w:left="34" w:right="0"/>
              <w:rPr>
                <w:rFonts w:eastAsia="Times New Roman"/>
                <w:snapToGrid w:val="0"/>
                <w:sz w:val="18"/>
                <w:szCs w:val="19"/>
              </w:rPr>
            </w:pPr>
            <w:r w:rsidRPr="00CF086E">
              <w:rPr>
                <w:rFonts w:eastAsia="Times New Roman"/>
                <w:snapToGrid w:val="0"/>
                <w:sz w:val="18"/>
                <w:szCs w:val="19"/>
              </w:rPr>
              <w:t>0.72</w:t>
            </w:r>
          </w:p>
        </w:tc>
        <w:tc>
          <w:tcPr>
            <w:tcW w:w="1276" w:type="dxa"/>
            <w:vAlign w:val="center"/>
          </w:tcPr>
          <w:p w:rsidR="00B82335" w:rsidRPr="00000431" w:rsidRDefault="00B82335" w:rsidP="00325E22">
            <w:pPr>
              <w:ind w:left="34" w:right="0"/>
              <w:rPr>
                <w:rFonts w:eastAsia="Times New Roman"/>
                <w:snapToGrid w:val="0"/>
                <w:sz w:val="18"/>
                <w:szCs w:val="19"/>
              </w:rPr>
            </w:pPr>
            <w:r w:rsidRPr="00000431">
              <w:rPr>
                <w:rFonts w:eastAsia="Times New Roman"/>
                <w:snapToGrid w:val="0"/>
                <w:sz w:val="18"/>
                <w:szCs w:val="19"/>
              </w:rPr>
              <w:t>‒</w:t>
            </w:r>
          </w:p>
        </w:tc>
      </w:tr>
      <w:tr w:rsidR="00B82335" w:rsidRPr="00000431" w:rsidTr="00325E22">
        <w:trPr>
          <w:trHeight w:val="227"/>
        </w:trPr>
        <w:tc>
          <w:tcPr>
            <w:tcW w:w="1101" w:type="dxa"/>
            <w:vMerge/>
          </w:tcPr>
          <w:p w:rsidR="00B82335" w:rsidRPr="00000431" w:rsidRDefault="00B82335" w:rsidP="00325E22">
            <w:pPr>
              <w:ind w:left="0" w:right="0"/>
              <w:rPr>
                <w:rFonts w:eastAsia="Times New Roman"/>
                <w:snapToGrid w:val="0"/>
                <w:sz w:val="18"/>
                <w:szCs w:val="19"/>
              </w:rPr>
            </w:pPr>
          </w:p>
        </w:tc>
        <w:tc>
          <w:tcPr>
            <w:tcW w:w="1701" w:type="dxa"/>
            <w:vMerge/>
            <w:vAlign w:val="center"/>
          </w:tcPr>
          <w:p w:rsidR="00B82335" w:rsidRPr="00000431" w:rsidRDefault="00B82335" w:rsidP="00325E22">
            <w:pPr>
              <w:ind w:left="33" w:right="0"/>
              <w:rPr>
                <w:rFonts w:eastAsia="Times New Roman"/>
                <w:snapToGrid w:val="0"/>
                <w:color w:val="4C8E3A"/>
                <w:sz w:val="18"/>
                <w:szCs w:val="19"/>
              </w:rPr>
            </w:pPr>
          </w:p>
        </w:tc>
        <w:tc>
          <w:tcPr>
            <w:tcW w:w="1701" w:type="dxa"/>
            <w:gridSpan w:val="2"/>
            <w:vAlign w:val="center"/>
          </w:tcPr>
          <w:p w:rsidR="00B82335" w:rsidRPr="00000431" w:rsidRDefault="00B82335" w:rsidP="00325E22">
            <w:pPr>
              <w:ind w:left="33" w:right="0"/>
              <w:rPr>
                <w:rFonts w:eastAsia="Times New Roman"/>
                <w:snapToGrid w:val="0"/>
                <w:sz w:val="18"/>
                <w:szCs w:val="19"/>
              </w:rPr>
            </w:pPr>
            <w:r w:rsidRPr="00000431">
              <w:rPr>
                <w:rFonts w:eastAsia="Times New Roman"/>
                <w:snapToGrid w:val="0"/>
                <w:sz w:val="18"/>
                <w:szCs w:val="19"/>
              </w:rPr>
              <w:t>33</w:t>
            </w:r>
          </w:p>
        </w:tc>
        <w:tc>
          <w:tcPr>
            <w:tcW w:w="1134" w:type="dxa"/>
            <w:vAlign w:val="center"/>
          </w:tcPr>
          <w:p w:rsidR="00B82335" w:rsidRPr="00800117" w:rsidRDefault="00B82335" w:rsidP="00325E22">
            <w:pPr>
              <w:ind w:left="0" w:right="0"/>
              <w:rPr>
                <w:rFonts w:eastAsia="Times New Roman"/>
                <w:snapToGrid w:val="0"/>
                <w:kern w:val="16"/>
                <w:sz w:val="18"/>
                <w:szCs w:val="19"/>
              </w:rPr>
            </w:pPr>
            <w:r w:rsidRPr="00800117">
              <w:rPr>
                <w:rFonts w:eastAsia="Times New Roman"/>
                <w:snapToGrid w:val="0"/>
                <w:kern w:val="16"/>
                <w:sz w:val="18"/>
                <w:szCs w:val="19"/>
              </w:rPr>
              <w:t>40</w:t>
            </w:r>
          </w:p>
        </w:tc>
        <w:tc>
          <w:tcPr>
            <w:tcW w:w="1134" w:type="dxa"/>
            <w:vAlign w:val="center"/>
          </w:tcPr>
          <w:p w:rsidR="00B82335" w:rsidRPr="00000431" w:rsidRDefault="00B82335" w:rsidP="00325E22">
            <w:pPr>
              <w:ind w:left="0" w:right="0"/>
              <w:rPr>
                <w:rFonts w:eastAsia="Times New Roman"/>
                <w:snapToGrid w:val="0"/>
                <w:sz w:val="18"/>
                <w:szCs w:val="19"/>
              </w:rPr>
            </w:pPr>
            <w:r w:rsidRPr="00000431">
              <w:rPr>
                <w:rFonts w:eastAsia="Times New Roman"/>
                <w:snapToGrid w:val="0"/>
                <w:sz w:val="18"/>
                <w:szCs w:val="19"/>
              </w:rPr>
              <w:t>‒</w:t>
            </w:r>
          </w:p>
        </w:tc>
        <w:tc>
          <w:tcPr>
            <w:tcW w:w="850" w:type="dxa"/>
            <w:vAlign w:val="center"/>
          </w:tcPr>
          <w:p w:rsidR="00B82335" w:rsidRPr="00CF086E" w:rsidRDefault="00B82335" w:rsidP="00325E22">
            <w:pPr>
              <w:ind w:left="34" w:right="0"/>
              <w:rPr>
                <w:rFonts w:eastAsia="Times New Roman"/>
                <w:snapToGrid w:val="0"/>
                <w:sz w:val="18"/>
                <w:szCs w:val="19"/>
              </w:rPr>
            </w:pPr>
            <w:r w:rsidRPr="00CF086E">
              <w:rPr>
                <w:rFonts w:eastAsia="Times New Roman"/>
                <w:snapToGrid w:val="0"/>
                <w:sz w:val="18"/>
                <w:szCs w:val="19"/>
              </w:rPr>
              <w:t>4</w:t>
            </w:r>
          </w:p>
        </w:tc>
        <w:tc>
          <w:tcPr>
            <w:tcW w:w="1276" w:type="dxa"/>
            <w:vAlign w:val="center"/>
          </w:tcPr>
          <w:p w:rsidR="00B82335" w:rsidRPr="00000431" w:rsidRDefault="00B82335" w:rsidP="00325E22">
            <w:pPr>
              <w:ind w:left="34" w:right="0"/>
              <w:rPr>
                <w:rFonts w:eastAsia="Times New Roman"/>
                <w:snapToGrid w:val="0"/>
                <w:sz w:val="18"/>
                <w:szCs w:val="19"/>
              </w:rPr>
            </w:pPr>
            <w:r w:rsidRPr="00000431">
              <w:rPr>
                <w:rFonts w:eastAsia="Times New Roman"/>
                <w:snapToGrid w:val="0"/>
                <w:sz w:val="18"/>
                <w:szCs w:val="19"/>
              </w:rPr>
              <w:t>‒</w:t>
            </w:r>
          </w:p>
        </w:tc>
      </w:tr>
      <w:tr w:rsidR="00B82335" w:rsidRPr="00000431" w:rsidTr="00325E22">
        <w:trPr>
          <w:trHeight w:val="227"/>
        </w:trPr>
        <w:tc>
          <w:tcPr>
            <w:tcW w:w="1101" w:type="dxa"/>
            <w:vMerge/>
          </w:tcPr>
          <w:p w:rsidR="00B82335" w:rsidRPr="00000431" w:rsidRDefault="00B82335" w:rsidP="00325E22">
            <w:pPr>
              <w:ind w:left="0" w:right="0"/>
              <w:rPr>
                <w:rFonts w:eastAsia="Times New Roman"/>
                <w:snapToGrid w:val="0"/>
                <w:sz w:val="18"/>
                <w:szCs w:val="19"/>
              </w:rPr>
            </w:pPr>
          </w:p>
        </w:tc>
        <w:tc>
          <w:tcPr>
            <w:tcW w:w="1701" w:type="dxa"/>
            <w:vMerge/>
            <w:vAlign w:val="center"/>
          </w:tcPr>
          <w:p w:rsidR="00B82335" w:rsidRPr="00000431" w:rsidRDefault="00B82335" w:rsidP="00325E22">
            <w:pPr>
              <w:ind w:left="33" w:right="0"/>
              <w:rPr>
                <w:rFonts w:eastAsia="Times New Roman"/>
                <w:snapToGrid w:val="0"/>
                <w:color w:val="4C8E3A"/>
                <w:sz w:val="18"/>
                <w:szCs w:val="19"/>
              </w:rPr>
            </w:pPr>
          </w:p>
        </w:tc>
        <w:tc>
          <w:tcPr>
            <w:tcW w:w="1701" w:type="dxa"/>
            <w:gridSpan w:val="2"/>
            <w:vAlign w:val="center"/>
          </w:tcPr>
          <w:p w:rsidR="00B82335" w:rsidRPr="00000431" w:rsidRDefault="00B82335" w:rsidP="00325E22">
            <w:pPr>
              <w:ind w:left="33" w:right="0"/>
              <w:rPr>
                <w:rFonts w:eastAsia="Times New Roman"/>
                <w:snapToGrid w:val="0"/>
                <w:sz w:val="18"/>
                <w:szCs w:val="19"/>
              </w:rPr>
            </w:pPr>
            <w:r w:rsidRPr="00000431">
              <w:rPr>
                <w:rFonts w:eastAsia="Times New Roman"/>
                <w:snapToGrid w:val="0"/>
                <w:sz w:val="18"/>
                <w:szCs w:val="19"/>
              </w:rPr>
              <w:t>66</w:t>
            </w:r>
          </w:p>
        </w:tc>
        <w:tc>
          <w:tcPr>
            <w:tcW w:w="1134" w:type="dxa"/>
            <w:vAlign w:val="center"/>
          </w:tcPr>
          <w:p w:rsidR="00B82335" w:rsidRPr="00800117" w:rsidRDefault="00B82335" w:rsidP="00325E22">
            <w:pPr>
              <w:ind w:left="0" w:right="0"/>
              <w:rPr>
                <w:rFonts w:eastAsia="Times New Roman"/>
                <w:snapToGrid w:val="0"/>
                <w:kern w:val="16"/>
                <w:sz w:val="18"/>
                <w:szCs w:val="19"/>
              </w:rPr>
            </w:pPr>
            <w:r w:rsidRPr="00800117">
              <w:rPr>
                <w:rFonts w:eastAsia="Times New Roman"/>
                <w:snapToGrid w:val="0"/>
                <w:kern w:val="16"/>
                <w:sz w:val="18"/>
                <w:szCs w:val="19"/>
              </w:rPr>
              <w:t>80</w:t>
            </w:r>
          </w:p>
        </w:tc>
        <w:tc>
          <w:tcPr>
            <w:tcW w:w="1134" w:type="dxa"/>
            <w:vAlign w:val="center"/>
          </w:tcPr>
          <w:p w:rsidR="00B82335" w:rsidRPr="00000431" w:rsidRDefault="00B82335" w:rsidP="00325E22">
            <w:pPr>
              <w:ind w:left="0" w:right="0"/>
              <w:rPr>
                <w:rFonts w:eastAsia="Times New Roman"/>
                <w:snapToGrid w:val="0"/>
                <w:sz w:val="18"/>
                <w:szCs w:val="19"/>
              </w:rPr>
            </w:pPr>
            <w:r w:rsidRPr="00000431">
              <w:rPr>
                <w:rFonts w:eastAsia="Times New Roman"/>
                <w:snapToGrid w:val="0"/>
                <w:sz w:val="18"/>
                <w:szCs w:val="19"/>
              </w:rPr>
              <w:t>‒</w:t>
            </w:r>
          </w:p>
        </w:tc>
        <w:tc>
          <w:tcPr>
            <w:tcW w:w="850" w:type="dxa"/>
            <w:vAlign w:val="center"/>
          </w:tcPr>
          <w:p w:rsidR="00B82335" w:rsidRPr="00CF086E" w:rsidRDefault="00B82335" w:rsidP="00325E22">
            <w:pPr>
              <w:ind w:left="34" w:right="0"/>
              <w:rPr>
                <w:rFonts w:eastAsia="Times New Roman"/>
                <w:snapToGrid w:val="0"/>
                <w:sz w:val="18"/>
                <w:szCs w:val="19"/>
              </w:rPr>
            </w:pPr>
            <w:r w:rsidRPr="00CF086E">
              <w:rPr>
                <w:rFonts w:eastAsia="Times New Roman"/>
                <w:snapToGrid w:val="0"/>
                <w:sz w:val="18"/>
                <w:szCs w:val="19"/>
              </w:rPr>
              <w:t>8</w:t>
            </w:r>
          </w:p>
        </w:tc>
        <w:tc>
          <w:tcPr>
            <w:tcW w:w="1276" w:type="dxa"/>
            <w:vAlign w:val="center"/>
          </w:tcPr>
          <w:p w:rsidR="00B82335" w:rsidRPr="00000431" w:rsidRDefault="00B82335" w:rsidP="00325E22">
            <w:pPr>
              <w:ind w:left="34" w:right="0"/>
              <w:rPr>
                <w:rFonts w:eastAsia="Times New Roman"/>
                <w:snapToGrid w:val="0"/>
                <w:sz w:val="18"/>
                <w:szCs w:val="19"/>
              </w:rPr>
            </w:pPr>
            <w:r w:rsidRPr="00000431">
              <w:rPr>
                <w:rFonts w:eastAsia="Times New Roman"/>
                <w:snapToGrid w:val="0"/>
                <w:sz w:val="18"/>
                <w:szCs w:val="19"/>
              </w:rPr>
              <w:t>‒</w:t>
            </w:r>
          </w:p>
        </w:tc>
      </w:tr>
      <w:tr w:rsidR="00B82335" w:rsidRPr="00000431" w:rsidTr="00325E22">
        <w:trPr>
          <w:trHeight w:val="227"/>
        </w:trPr>
        <w:tc>
          <w:tcPr>
            <w:tcW w:w="1101" w:type="dxa"/>
            <w:vMerge/>
          </w:tcPr>
          <w:p w:rsidR="00B82335" w:rsidRPr="00000431" w:rsidRDefault="00B82335" w:rsidP="00325E22">
            <w:pPr>
              <w:ind w:left="0" w:right="0"/>
              <w:rPr>
                <w:rFonts w:eastAsia="Times New Roman"/>
                <w:snapToGrid w:val="0"/>
                <w:sz w:val="18"/>
                <w:szCs w:val="19"/>
              </w:rPr>
            </w:pPr>
          </w:p>
        </w:tc>
        <w:tc>
          <w:tcPr>
            <w:tcW w:w="1701" w:type="dxa"/>
            <w:vMerge/>
            <w:vAlign w:val="center"/>
          </w:tcPr>
          <w:p w:rsidR="00B82335" w:rsidRPr="00000431" w:rsidRDefault="00B82335" w:rsidP="00325E22">
            <w:pPr>
              <w:ind w:left="33" w:right="0"/>
              <w:rPr>
                <w:rFonts w:eastAsia="Times New Roman"/>
                <w:snapToGrid w:val="0"/>
                <w:color w:val="4C8E3A"/>
                <w:sz w:val="18"/>
                <w:szCs w:val="19"/>
              </w:rPr>
            </w:pPr>
          </w:p>
        </w:tc>
        <w:tc>
          <w:tcPr>
            <w:tcW w:w="1701" w:type="dxa"/>
            <w:gridSpan w:val="2"/>
            <w:vAlign w:val="center"/>
          </w:tcPr>
          <w:p w:rsidR="00B82335" w:rsidRPr="00000431" w:rsidRDefault="00B82335" w:rsidP="00325E22">
            <w:pPr>
              <w:ind w:left="33" w:right="0"/>
              <w:rPr>
                <w:rFonts w:eastAsia="Times New Roman"/>
                <w:snapToGrid w:val="0"/>
                <w:sz w:val="18"/>
                <w:szCs w:val="19"/>
              </w:rPr>
            </w:pPr>
            <w:r w:rsidRPr="00000431">
              <w:rPr>
                <w:rFonts w:eastAsia="Times New Roman"/>
                <w:snapToGrid w:val="0"/>
                <w:sz w:val="18"/>
                <w:szCs w:val="19"/>
              </w:rPr>
              <w:t>133</w:t>
            </w:r>
          </w:p>
        </w:tc>
        <w:tc>
          <w:tcPr>
            <w:tcW w:w="1134" w:type="dxa"/>
            <w:vAlign w:val="center"/>
          </w:tcPr>
          <w:p w:rsidR="00B82335" w:rsidRPr="00800117" w:rsidRDefault="00B82335" w:rsidP="00325E22">
            <w:pPr>
              <w:ind w:left="0" w:right="0"/>
              <w:rPr>
                <w:rFonts w:eastAsia="Times New Roman"/>
                <w:snapToGrid w:val="0"/>
                <w:kern w:val="16"/>
                <w:sz w:val="18"/>
                <w:szCs w:val="19"/>
              </w:rPr>
            </w:pPr>
            <w:r w:rsidRPr="00800117">
              <w:rPr>
                <w:rFonts w:eastAsia="Times New Roman"/>
                <w:snapToGrid w:val="0"/>
                <w:kern w:val="16"/>
                <w:sz w:val="18"/>
                <w:szCs w:val="19"/>
              </w:rPr>
              <w:t>160</w:t>
            </w:r>
          </w:p>
        </w:tc>
        <w:tc>
          <w:tcPr>
            <w:tcW w:w="1134" w:type="dxa"/>
            <w:vAlign w:val="center"/>
          </w:tcPr>
          <w:p w:rsidR="00B82335" w:rsidRPr="00000431" w:rsidRDefault="00B82335" w:rsidP="00325E22">
            <w:pPr>
              <w:ind w:left="0" w:right="0"/>
              <w:rPr>
                <w:rFonts w:eastAsia="Times New Roman"/>
                <w:snapToGrid w:val="0"/>
                <w:sz w:val="18"/>
                <w:szCs w:val="19"/>
              </w:rPr>
            </w:pPr>
            <w:r w:rsidRPr="00000431">
              <w:rPr>
                <w:rFonts w:eastAsia="Times New Roman"/>
                <w:snapToGrid w:val="0"/>
                <w:sz w:val="18"/>
                <w:szCs w:val="19"/>
              </w:rPr>
              <w:t>‒</w:t>
            </w:r>
          </w:p>
        </w:tc>
        <w:tc>
          <w:tcPr>
            <w:tcW w:w="850" w:type="dxa"/>
            <w:vAlign w:val="center"/>
          </w:tcPr>
          <w:p w:rsidR="00B82335" w:rsidRPr="00CF086E" w:rsidRDefault="00B82335" w:rsidP="00325E22">
            <w:pPr>
              <w:ind w:left="34" w:right="0"/>
              <w:rPr>
                <w:rFonts w:eastAsia="Times New Roman"/>
                <w:snapToGrid w:val="0"/>
                <w:sz w:val="18"/>
                <w:szCs w:val="19"/>
              </w:rPr>
            </w:pPr>
            <w:r w:rsidRPr="00CF086E">
              <w:rPr>
                <w:rFonts w:eastAsia="Times New Roman"/>
                <w:snapToGrid w:val="0"/>
                <w:sz w:val="18"/>
                <w:szCs w:val="19"/>
              </w:rPr>
              <w:t>16</w:t>
            </w:r>
          </w:p>
        </w:tc>
        <w:tc>
          <w:tcPr>
            <w:tcW w:w="1276" w:type="dxa"/>
            <w:vAlign w:val="center"/>
          </w:tcPr>
          <w:p w:rsidR="00B82335" w:rsidRPr="00000431" w:rsidRDefault="00B82335" w:rsidP="00325E22">
            <w:pPr>
              <w:ind w:left="34" w:right="0"/>
              <w:rPr>
                <w:rFonts w:eastAsia="Times New Roman"/>
                <w:snapToGrid w:val="0"/>
                <w:sz w:val="18"/>
                <w:szCs w:val="19"/>
              </w:rPr>
            </w:pPr>
            <w:r w:rsidRPr="00000431">
              <w:rPr>
                <w:rFonts w:eastAsia="Times New Roman"/>
                <w:snapToGrid w:val="0"/>
                <w:sz w:val="18"/>
                <w:szCs w:val="19"/>
              </w:rPr>
              <w:t>‒</w:t>
            </w:r>
          </w:p>
        </w:tc>
      </w:tr>
      <w:tr w:rsidR="00B82335" w:rsidRPr="00000431" w:rsidTr="00325E22">
        <w:trPr>
          <w:trHeight w:val="227"/>
        </w:trPr>
        <w:tc>
          <w:tcPr>
            <w:tcW w:w="1101" w:type="dxa"/>
            <w:vMerge/>
          </w:tcPr>
          <w:p w:rsidR="00B82335" w:rsidRPr="00000431" w:rsidRDefault="00B82335" w:rsidP="00325E22">
            <w:pPr>
              <w:ind w:left="0" w:right="0"/>
              <w:rPr>
                <w:rFonts w:eastAsia="Times New Roman"/>
                <w:snapToGrid w:val="0"/>
                <w:sz w:val="18"/>
                <w:szCs w:val="19"/>
              </w:rPr>
            </w:pPr>
          </w:p>
        </w:tc>
        <w:tc>
          <w:tcPr>
            <w:tcW w:w="1701" w:type="dxa"/>
            <w:vMerge w:val="restart"/>
            <w:vAlign w:val="center"/>
          </w:tcPr>
          <w:p w:rsidR="00B82335" w:rsidRPr="00BF1A79" w:rsidRDefault="00B82335" w:rsidP="00325E22">
            <w:pPr>
              <w:ind w:left="33" w:right="0"/>
              <w:rPr>
                <w:rFonts w:eastAsia="Times New Roman"/>
                <w:snapToGrid w:val="0"/>
                <w:sz w:val="18"/>
                <w:szCs w:val="18"/>
              </w:rPr>
            </w:pPr>
            <w:r w:rsidRPr="00BF1A79">
              <w:rPr>
                <w:rFonts w:eastAsia="Times New Roman"/>
                <w:bCs/>
                <w:snapToGrid w:val="0"/>
                <w:kern w:val="16"/>
                <w:sz w:val="18"/>
                <w:szCs w:val="18"/>
              </w:rPr>
              <w:t>RDS.03.SRE.12629</w:t>
            </w:r>
            <w:r w:rsidR="00DE57B5" w:rsidRPr="00DA6CC4">
              <w:rPr>
                <w:rFonts w:eastAsia="Times New Roman"/>
                <w:snapToGrid w:val="0"/>
                <w:kern w:val="16"/>
                <w:sz w:val="18"/>
                <w:szCs w:val="18"/>
              </w:rPr>
              <w:t xml:space="preserve"> </w:t>
            </w:r>
            <w:r w:rsidRPr="00DA6CC4">
              <w:rPr>
                <w:rFonts w:eastAsia="Times New Roman"/>
                <w:snapToGrid w:val="0"/>
                <w:kern w:val="16"/>
                <w:sz w:val="18"/>
                <w:szCs w:val="18"/>
              </w:rPr>
              <w:t>[carcinogenicity]</w:t>
            </w:r>
          </w:p>
        </w:tc>
        <w:tc>
          <w:tcPr>
            <w:tcW w:w="1701" w:type="dxa"/>
            <w:gridSpan w:val="2"/>
            <w:vAlign w:val="center"/>
          </w:tcPr>
          <w:p w:rsidR="00B82335" w:rsidRPr="00A25419" w:rsidRDefault="00B82335" w:rsidP="00325E22">
            <w:pPr>
              <w:ind w:left="33" w:right="0"/>
              <w:rPr>
                <w:rFonts w:eastAsia="Times New Roman"/>
                <w:snapToGrid w:val="0"/>
                <w:sz w:val="18"/>
                <w:szCs w:val="18"/>
              </w:rPr>
            </w:pPr>
            <w:r w:rsidRPr="00A25419">
              <w:rPr>
                <w:rFonts w:eastAsia="Times New Roman"/>
                <w:snapToGrid w:val="0"/>
                <w:sz w:val="18"/>
                <w:szCs w:val="18"/>
              </w:rPr>
              <w:t>6</w:t>
            </w:r>
          </w:p>
        </w:tc>
        <w:tc>
          <w:tcPr>
            <w:tcW w:w="1134" w:type="dxa"/>
            <w:vAlign w:val="center"/>
          </w:tcPr>
          <w:p w:rsidR="00B82335" w:rsidRPr="001C5E5F" w:rsidRDefault="00B82335" w:rsidP="00325E22">
            <w:pPr>
              <w:ind w:left="0" w:right="0"/>
              <w:rPr>
                <w:rFonts w:eastAsia="Times New Roman"/>
                <w:snapToGrid w:val="0"/>
                <w:kern w:val="16"/>
                <w:sz w:val="18"/>
                <w:szCs w:val="18"/>
              </w:rPr>
            </w:pPr>
            <w:r w:rsidRPr="001C5E5F">
              <w:rPr>
                <w:rFonts w:eastAsia="Times New Roman"/>
                <w:snapToGrid w:val="0"/>
                <w:kern w:val="16"/>
                <w:sz w:val="18"/>
                <w:szCs w:val="18"/>
              </w:rPr>
              <w:t>7.2</w:t>
            </w:r>
          </w:p>
        </w:tc>
        <w:tc>
          <w:tcPr>
            <w:tcW w:w="1134" w:type="dxa"/>
            <w:vAlign w:val="center"/>
          </w:tcPr>
          <w:p w:rsidR="00B82335" w:rsidRPr="00C25CE8" w:rsidRDefault="00B82335" w:rsidP="00325E22">
            <w:pPr>
              <w:ind w:left="0" w:right="0"/>
              <w:rPr>
                <w:rFonts w:eastAsia="Times New Roman"/>
                <w:snapToGrid w:val="0"/>
                <w:sz w:val="18"/>
                <w:szCs w:val="18"/>
              </w:rPr>
            </w:pPr>
            <w:r w:rsidRPr="00C25CE8">
              <w:rPr>
                <w:rFonts w:eastAsia="Times New Roman"/>
                <w:snapToGrid w:val="0"/>
                <w:sz w:val="18"/>
                <w:szCs w:val="18"/>
              </w:rPr>
              <w:t>‒</w:t>
            </w:r>
          </w:p>
        </w:tc>
        <w:tc>
          <w:tcPr>
            <w:tcW w:w="850" w:type="dxa"/>
            <w:vAlign w:val="center"/>
          </w:tcPr>
          <w:p w:rsidR="00B82335" w:rsidRPr="009B7A5A" w:rsidRDefault="00B82335" w:rsidP="00325E22">
            <w:pPr>
              <w:ind w:left="34" w:right="0"/>
              <w:rPr>
                <w:rFonts w:eastAsia="Times New Roman"/>
                <w:snapToGrid w:val="0"/>
                <w:sz w:val="18"/>
                <w:szCs w:val="18"/>
              </w:rPr>
            </w:pPr>
            <w:r w:rsidRPr="009B7A5A">
              <w:rPr>
                <w:rFonts w:eastAsia="Times New Roman"/>
                <w:snapToGrid w:val="0"/>
                <w:sz w:val="18"/>
                <w:szCs w:val="18"/>
              </w:rPr>
              <w:t>0.72</w:t>
            </w:r>
          </w:p>
        </w:tc>
        <w:tc>
          <w:tcPr>
            <w:tcW w:w="1276" w:type="dxa"/>
            <w:vAlign w:val="center"/>
          </w:tcPr>
          <w:p w:rsidR="00B82335" w:rsidRPr="00DA6CC4" w:rsidRDefault="00B82335" w:rsidP="00325E22">
            <w:pPr>
              <w:ind w:left="34" w:right="0"/>
              <w:rPr>
                <w:rFonts w:eastAsia="Times New Roman"/>
                <w:snapToGrid w:val="0"/>
                <w:sz w:val="18"/>
                <w:szCs w:val="18"/>
              </w:rPr>
            </w:pPr>
            <w:r w:rsidRPr="005A3B19">
              <w:rPr>
                <w:rFonts w:eastAsia="Times New Roman"/>
                <w:snapToGrid w:val="0"/>
                <w:sz w:val="18"/>
                <w:szCs w:val="18"/>
              </w:rPr>
              <w:t>‒</w:t>
            </w:r>
          </w:p>
        </w:tc>
      </w:tr>
      <w:tr w:rsidR="00B82335" w:rsidRPr="00000431" w:rsidTr="00325E22">
        <w:trPr>
          <w:trHeight w:val="227"/>
        </w:trPr>
        <w:tc>
          <w:tcPr>
            <w:tcW w:w="1101" w:type="dxa"/>
            <w:vMerge/>
          </w:tcPr>
          <w:p w:rsidR="00B82335" w:rsidRPr="00000431" w:rsidRDefault="00B82335" w:rsidP="00325E22">
            <w:pPr>
              <w:ind w:left="0" w:right="0"/>
              <w:rPr>
                <w:rFonts w:eastAsia="Times New Roman"/>
                <w:snapToGrid w:val="0"/>
                <w:sz w:val="18"/>
                <w:szCs w:val="19"/>
              </w:rPr>
            </w:pPr>
          </w:p>
        </w:tc>
        <w:tc>
          <w:tcPr>
            <w:tcW w:w="1701" w:type="dxa"/>
            <w:vMerge/>
            <w:vAlign w:val="center"/>
          </w:tcPr>
          <w:p w:rsidR="00B82335" w:rsidRPr="00DA6CC4" w:rsidRDefault="00B82335" w:rsidP="00325E22">
            <w:pPr>
              <w:ind w:left="33" w:right="0"/>
              <w:rPr>
                <w:rFonts w:eastAsia="Times New Roman"/>
                <w:snapToGrid w:val="0"/>
                <w:color w:val="4C8E3A"/>
                <w:sz w:val="18"/>
                <w:szCs w:val="18"/>
              </w:rPr>
            </w:pPr>
          </w:p>
        </w:tc>
        <w:tc>
          <w:tcPr>
            <w:tcW w:w="1701" w:type="dxa"/>
            <w:gridSpan w:val="2"/>
            <w:vAlign w:val="center"/>
          </w:tcPr>
          <w:p w:rsidR="00B82335" w:rsidRPr="00DA6CC4" w:rsidRDefault="00B82335" w:rsidP="00325E22">
            <w:pPr>
              <w:ind w:left="33" w:right="0"/>
              <w:rPr>
                <w:rFonts w:eastAsia="Times New Roman"/>
                <w:snapToGrid w:val="0"/>
                <w:sz w:val="18"/>
                <w:szCs w:val="18"/>
              </w:rPr>
            </w:pPr>
            <w:r w:rsidRPr="00DA6CC4">
              <w:rPr>
                <w:rFonts w:eastAsia="Times New Roman"/>
                <w:snapToGrid w:val="0"/>
                <w:sz w:val="18"/>
                <w:szCs w:val="18"/>
              </w:rPr>
              <w:t>33</w:t>
            </w:r>
          </w:p>
        </w:tc>
        <w:tc>
          <w:tcPr>
            <w:tcW w:w="1134" w:type="dxa"/>
            <w:vAlign w:val="center"/>
          </w:tcPr>
          <w:p w:rsidR="00B82335" w:rsidRPr="00DA6CC4" w:rsidRDefault="00B82335" w:rsidP="00325E22">
            <w:pPr>
              <w:ind w:left="0" w:right="0"/>
              <w:rPr>
                <w:rFonts w:eastAsia="Times New Roman"/>
                <w:snapToGrid w:val="0"/>
                <w:kern w:val="16"/>
                <w:sz w:val="18"/>
                <w:szCs w:val="18"/>
              </w:rPr>
            </w:pPr>
            <w:r w:rsidRPr="00DA6CC4">
              <w:rPr>
                <w:rFonts w:eastAsia="Times New Roman"/>
                <w:snapToGrid w:val="0"/>
                <w:kern w:val="16"/>
                <w:sz w:val="18"/>
                <w:szCs w:val="18"/>
              </w:rPr>
              <w:t>40</w:t>
            </w:r>
          </w:p>
        </w:tc>
        <w:tc>
          <w:tcPr>
            <w:tcW w:w="1134" w:type="dxa"/>
            <w:vAlign w:val="center"/>
          </w:tcPr>
          <w:p w:rsidR="00B82335" w:rsidRPr="00DA6CC4" w:rsidRDefault="00B82335" w:rsidP="00325E22">
            <w:pPr>
              <w:ind w:left="0" w:right="0"/>
              <w:rPr>
                <w:rFonts w:eastAsia="Times New Roman"/>
                <w:snapToGrid w:val="0"/>
                <w:sz w:val="18"/>
                <w:szCs w:val="18"/>
              </w:rPr>
            </w:pPr>
            <w:r w:rsidRPr="00DA6CC4">
              <w:rPr>
                <w:rFonts w:eastAsia="Times New Roman"/>
                <w:snapToGrid w:val="0"/>
                <w:sz w:val="18"/>
                <w:szCs w:val="18"/>
              </w:rPr>
              <w:t>‒</w:t>
            </w:r>
          </w:p>
        </w:tc>
        <w:tc>
          <w:tcPr>
            <w:tcW w:w="850" w:type="dxa"/>
            <w:vAlign w:val="center"/>
          </w:tcPr>
          <w:p w:rsidR="00B82335" w:rsidRPr="00DA6CC4" w:rsidRDefault="00B82335" w:rsidP="00325E22">
            <w:pPr>
              <w:ind w:left="34" w:right="0"/>
              <w:rPr>
                <w:rFonts w:eastAsia="Times New Roman"/>
                <w:snapToGrid w:val="0"/>
                <w:sz w:val="18"/>
                <w:szCs w:val="18"/>
              </w:rPr>
            </w:pPr>
            <w:r w:rsidRPr="00DA6CC4">
              <w:rPr>
                <w:rFonts w:eastAsia="Times New Roman"/>
                <w:snapToGrid w:val="0"/>
                <w:sz w:val="18"/>
                <w:szCs w:val="18"/>
              </w:rPr>
              <w:t>4</w:t>
            </w:r>
          </w:p>
        </w:tc>
        <w:tc>
          <w:tcPr>
            <w:tcW w:w="1276" w:type="dxa"/>
            <w:vAlign w:val="center"/>
          </w:tcPr>
          <w:p w:rsidR="00B82335" w:rsidRPr="00DA6CC4" w:rsidRDefault="00B82335" w:rsidP="00325E22">
            <w:pPr>
              <w:ind w:left="34" w:right="0"/>
              <w:rPr>
                <w:rFonts w:eastAsia="Times New Roman"/>
                <w:snapToGrid w:val="0"/>
                <w:sz w:val="18"/>
                <w:szCs w:val="18"/>
              </w:rPr>
            </w:pPr>
            <w:r w:rsidRPr="00DA6CC4">
              <w:rPr>
                <w:rFonts w:eastAsia="Times New Roman"/>
                <w:snapToGrid w:val="0"/>
                <w:sz w:val="18"/>
                <w:szCs w:val="18"/>
              </w:rPr>
              <w:t>‒</w:t>
            </w:r>
          </w:p>
        </w:tc>
      </w:tr>
      <w:tr w:rsidR="00B82335" w:rsidRPr="00000431" w:rsidTr="00325E22">
        <w:trPr>
          <w:trHeight w:val="227"/>
        </w:trPr>
        <w:tc>
          <w:tcPr>
            <w:tcW w:w="1101" w:type="dxa"/>
            <w:vMerge/>
          </w:tcPr>
          <w:p w:rsidR="00B82335" w:rsidRPr="00000431" w:rsidRDefault="00B82335" w:rsidP="00325E22">
            <w:pPr>
              <w:ind w:left="0" w:right="0"/>
              <w:rPr>
                <w:rFonts w:eastAsia="Times New Roman"/>
                <w:snapToGrid w:val="0"/>
                <w:sz w:val="18"/>
                <w:szCs w:val="19"/>
              </w:rPr>
            </w:pPr>
          </w:p>
        </w:tc>
        <w:tc>
          <w:tcPr>
            <w:tcW w:w="1701" w:type="dxa"/>
            <w:vMerge/>
            <w:vAlign w:val="center"/>
          </w:tcPr>
          <w:p w:rsidR="00B82335" w:rsidRPr="00DA6CC4" w:rsidRDefault="00B82335" w:rsidP="00325E22">
            <w:pPr>
              <w:ind w:left="33" w:right="0"/>
              <w:rPr>
                <w:rFonts w:eastAsia="Times New Roman"/>
                <w:snapToGrid w:val="0"/>
                <w:color w:val="4C8E3A"/>
                <w:sz w:val="18"/>
                <w:szCs w:val="18"/>
              </w:rPr>
            </w:pPr>
          </w:p>
        </w:tc>
        <w:tc>
          <w:tcPr>
            <w:tcW w:w="1701" w:type="dxa"/>
            <w:gridSpan w:val="2"/>
            <w:vAlign w:val="center"/>
          </w:tcPr>
          <w:p w:rsidR="00B82335" w:rsidRPr="00DA6CC4" w:rsidRDefault="00B82335" w:rsidP="00325E22">
            <w:pPr>
              <w:ind w:left="33" w:right="0"/>
              <w:rPr>
                <w:rFonts w:eastAsia="Times New Roman"/>
                <w:snapToGrid w:val="0"/>
                <w:sz w:val="18"/>
                <w:szCs w:val="18"/>
              </w:rPr>
            </w:pPr>
            <w:r w:rsidRPr="00DA6CC4">
              <w:rPr>
                <w:rFonts w:eastAsia="Times New Roman"/>
                <w:snapToGrid w:val="0"/>
                <w:sz w:val="18"/>
                <w:szCs w:val="18"/>
              </w:rPr>
              <w:t>66</w:t>
            </w:r>
          </w:p>
        </w:tc>
        <w:tc>
          <w:tcPr>
            <w:tcW w:w="1134" w:type="dxa"/>
            <w:vAlign w:val="center"/>
          </w:tcPr>
          <w:p w:rsidR="00B82335" w:rsidRPr="00DA6CC4" w:rsidRDefault="00B82335" w:rsidP="00325E22">
            <w:pPr>
              <w:ind w:left="0" w:right="0"/>
              <w:rPr>
                <w:rFonts w:eastAsia="Times New Roman"/>
                <w:snapToGrid w:val="0"/>
                <w:kern w:val="16"/>
                <w:sz w:val="18"/>
                <w:szCs w:val="18"/>
              </w:rPr>
            </w:pPr>
            <w:r w:rsidRPr="00DA6CC4">
              <w:rPr>
                <w:rFonts w:eastAsia="Times New Roman"/>
                <w:snapToGrid w:val="0"/>
                <w:kern w:val="16"/>
                <w:sz w:val="18"/>
                <w:szCs w:val="18"/>
              </w:rPr>
              <w:t>80</w:t>
            </w:r>
          </w:p>
        </w:tc>
        <w:tc>
          <w:tcPr>
            <w:tcW w:w="1134" w:type="dxa"/>
            <w:vAlign w:val="center"/>
          </w:tcPr>
          <w:p w:rsidR="00B82335" w:rsidRPr="00DA6CC4" w:rsidRDefault="00B82335" w:rsidP="00325E22">
            <w:pPr>
              <w:ind w:left="0" w:right="0"/>
              <w:rPr>
                <w:rFonts w:eastAsia="Times New Roman"/>
                <w:snapToGrid w:val="0"/>
                <w:sz w:val="18"/>
                <w:szCs w:val="18"/>
              </w:rPr>
            </w:pPr>
            <w:r w:rsidRPr="00DA6CC4">
              <w:rPr>
                <w:rFonts w:eastAsia="Times New Roman"/>
                <w:snapToGrid w:val="0"/>
                <w:sz w:val="18"/>
                <w:szCs w:val="18"/>
              </w:rPr>
              <w:t>‒</w:t>
            </w:r>
          </w:p>
        </w:tc>
        <w:tc>
          <w:tcPr>
            <w:tcW w:w="850" w:type="dxa"/>
            <w:vAlign w:val="center"/>
          </w:tcPr>
          <w:p w:rsidR="00B82335" w:rsidRPr="00DA6CC4" w:rsidRDefault="00B82335" w:rsidP="00325E22">
            <w:pPr>
              <w:ind w:left="34" w:right="0"/>
              <w:rPr>
                <w:rFonts w:eastAsia="Times New Roman"/>
                <w:snapToGrid w:val="0"/>
                <w:sz w:val="18"/>
                <w:szCs w:val="18"/>
              </w:rPr>
            </w:pPr>
            <w:r w:rsidRPr="00DA6CC4">
              <w:rPr>
                <w:rFonts w:eastAsia="Times New Roman"/>
                <w:snapToGrid w:val="0"/>
                <w:sz w:val="18"/>
                <w:szCs w:val="18"/>
              </w:rPr>
              <w:t>8</w:t>
            </w:r>
          </w:p>
        </w:tc>
        <w:tc>
          <w:tcPr>
            <w:tcW w:w="1276" w:type="dxa"/>
            <w:vAlign w:val="center"/>
          </w:tcPr>
          <w:p w:rsidR="00B82335" w:rsidRPr="00DA6CC4" w:rsidRDefault="00B82335" w:rsidP="00325E22">
            <w:pPr>
              <w:ind w:left="34" w:right="0"/>
              <w:rPr>
                <w:rFonts w:eastAsia="Times New Roman"/>
                <w:snapToGrid w:val="0"/>
                <w:sz w:val="18"/>
                <w:szCs w:val="18"/>
              </w:rPr>
            </w:pPr>
            <w:r w:rsidRPr="00DA6CC4">
              <w:rPr>
                <w:rFonts w:eastAsia="Times New Roman"/>
                <w:snapToGrid w:val="0"/>
                <w:sz w:val="18"/>
                <w:szCs w:val="18"/>
              </w:rPr>
              <w:t>‒</w:t>
            </w:r>
          </w:p>
        </w:tc>
      </w:tr>
      <w:tr w:rsidR="00B82335" w:rsidRPr="00000431" w:rsidTr="00325E22">
        <w:trPr>
          <w:trHeight w:val="227"/>
        </w:trPr>
        <w:tc>
          <w:tcPr>
            <w:tcW w:w="1101" w:type="dxa"/>
            <w:vMerge w:val="restart"/>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Rat</w:t>
            </w:r>
            <w:r w:rsidR="007279C4">
              <w:rPr>
                <w:rFonts w:asciiTheme="minorHAnsi" w:eastAsia="Times New Roman" w:hAnsiTheme="minorHAnsi"/>
                <w:snapToGrid w:val="0"/>
                <w:sz w:val="18"/>
                <w:szCs w:val="19"/>
              </w:rPr>
              <w:t xml:space="preserve"> </w:t>
            </w:r>
            <w:r w:rsidRPr="00DA6CC4">
              <w:rPr>
                <w:rFonts w:asciiTheme="minorHAnsi" w:eastAsia="Times New Roman" w:hAnsiTheme="minorHAnsi"/>
                <w:snapToGrid w:val="0"/>
                <w:sz w:val="18"/>
                <w:szCs w:val="19"/>
              </w:rPr>
              <w:t>(</w:t>
            </w:r>
            <w:proofErr w:type="spellStart"/>
            <w:r w:rsidRPr="00DA6CC4">
              <w:rPr>
                <w:rFonts w:asciiTheme="minorHAnsi" w:eastAsia="Times New Roman" w:hAnsiTheme="minorHAnsi"/>
                <w:snapToGrid w:val="0"/>
                <w:sz w:val="18"/>
                <w:szCs w:val="19"/>
              </w:rPr>
              <w:t>Wistar</w:t>
            </w:r>
            <w:proofErr w:type="spellEnd"/>
            <w:r w:rsidR="00DE57B5" w:rsidRPr="00DA6CC4">
              <w:rPr>
                <w:rFonts w:asciiTheme="minorHAnsi" w:eastAsia="Times New Roman" w:hAnsiTheme="minorHAnsi"/>
                <w:snapToGrid w:val="0"/>
                <w:sz w:val="18"/>
                <w:szCs w:val="19"/>
              </w:rPr>
              <w:t xml:space="preserve"> </w:t>
            </w:r>
            <w:r w:rsidRPr="00DA6CC4">
              <w:rPr>
                <w:rFonts w:asciiTheme="minorHAnsi" w:eastAsia="Times New Roman" w:hAnsiTheme="minorHAnsi"/>
                <w:snapToGrid w:val="0"/>
                <w:sz w:val="18"/>
                <w:szCs w:val="19"/>
              </w:rPr>
              <w:t>Han)</w:t>
            </w:r>
          </w:p>
        </w:tc>
        <w:tc>
          <w:tcPr>
            <w:tcW w:w="1701" w:type="dxa"/>
            <w:vMerge w:val="restart"/>
            <w:vAlign w:val="center"/>
          </w:tcPr>
          <w:p w:rsidR="00B82335" w:rsidRPr="00DA6CC4" w:rsidRDefault="00B82335" w:rsidP="00325E22">
            <w:pPr>
              <w:ind w:left="33" w:right="0"/>
              <w:rPr>
                <w:rFonts w:asciiTheme="minorHAnsi" w:eastAsia="Times New Roman" w:hAnsiTheme="minorHAnsi"/>
                <w:snapToGrid w:val="0"/>
                <w:sz w:val="18"/>
                <w:szCs w:val="18"/>
              </w:rPr>
            </w:pPr>
            <w:r w:rsidRPr="00DA6CC4">
              <w:rPr>
                <w:rFonts w:asciiTheme="minorHAnsi" w:eastAsia="Times New Roman" w:hAnsiTheme="minorHAnsi"/>
                <w:snapToGrid w:val="0"/>
                <w:kern w:val="16"/>
                <w:sz w:val="18"/>
                <w:szCs w:val="18"/>
              </w:rPr>
              <w:t>RDS.03.SRE.12648</w:t>
            </w:r>
            <w:r w:rsidR="00F51FD9" w:rsidRPr="00DA6CC4">
              <w:rPr>
                <w:rFonts w:asciiTheme="minorHAnsi" w:eastAsia="Times New Roman" w:hAnsiTheme="minorHAnsi"/>
                <w:snapToGrid w:val="0"/>
                <w:kern w:val="16"/>
                <w:sz w:val="18"/>
                <w:szCs w:val="18"/>
              </w:rPr>
              <w:t xml:space="preserve"> </w:t>
            </w:r>
            <w:r w:rsidRPr="00DA6CC4">
              <w:rPr>
                <w:rFonts w:asciiTheme="minorHAnsi" w:eastAsia="Times New Roman" w:hAnsiTheme="minorHAnsi"/>
                <w:snapToGrid w:val="0"/>
                <w:kern w:val="16"/>
                <w:sz w:val="18"/>
                <w:szCs w:val="18"/>
              </w:rPr>
              <w:t>[13 weeks]</w:t>
            </w:r>
          </w:p>
        </w:tc>
        <w:tc>
          <w:tcPr>
            <w:tcW w:w="1701" w:type="dxa"/>
            <w:gridSpan w:val="2"/>
            <w:vAlign w:val="center"/>
          </w:tcPr>
          <w:p w:rsidR="00B82335" w:rsidRPr="00DA6CC4" w:rsidRDefault="00B82335"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5.4</w:t>
            </w:r>
          </w:p>
        </w:tc>
        <w:tc>
          <w:tcPr>
            <w:tcW w:w="1134" w:type="dxa"/>
            <w:vAlign w:val="center"/>
          </w:tcPr>
          <w:p w:rsidR="00B82335" w:rsidRPr="00DA6CC4" w:rsidRDefault="00B82335" w:rsidP="00325E22">
            <w:pPr>
              <w:ind w:left="0" w:right="0"/>
              <w:rPr>
                <w:rFonts w:asciiTheme="minorHAnsi" w:hAnsiTheme="minorHAnsi" w:cs="Calibri"/>
                <w:sz w:val="18"/>
                <w:szCs w:val="18"/>
              </w:rPr>
            </w:pPr>
            <w:r w:rsidRPr="00DA6CC4">
              <w:rPr>
                <w:rFonts w:asciiTheme="minorHAnsi" w:hAnsiTheme="minorHAnsi" w:cs="Calibri"/>
                <w:sz w:val="18"/>
                <w:szCs w:val="18"/>
              </w:rPr>
              <w:t>16.2</w:t>
            </w:r>
          </w:p>
        </w:tc>
        <w:tc>
          <w:tcPr>
            <w:tcW w:w="1134" w:type="dxa"/>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353</w:t>
            </w:r>
          </w:p>
        </w:tc>
        <w:tc>
          <w:tcPr>
            <w:tcW w:w="850" w:type="dxa"/>
            <w:vAlign w:val="center"/>
          </w:tcPr>
          <w:p w:rsidR="00B82335" w:rsidRPr="00DA6CC4" w:rsidRDefault="00B82335" w:rsidP="00325E22">
            <w:pPr>
              <w:ind w:left="34" w:right="0"/>
              <w:rPr>
                <w:rFonts w:asciiTheme="minorHAnsi" w:hAnsiTheme="minorHAnsi" w:cs="Calibri"/>
                <w:sz w:val="18"/>
                <w:szCs w:val="18"/>
              </w:rPr>
            </w:pPr>
            <w:r w:rsidRPr="00DA6CC4">
              <w:rPr>
                <w:rFonts w:asciiTheme="minorHAnsi" w:hAnsiTheme="minorHAnsi" w:cs="Calibri"/>
                <w:sz w:val="18"/>
                <w:szCs w:val="18"/>
              </w:rPr>
              <w:t>1.6</w:t>
            </w:r>
          </w:p>
        </w:tc>
        <w:tc>
          <w:tcPr>
            <w:tcW w:w="1276" w:type="dxa"/>
            <w:vAlign w:val="center"/>
          </w:tcPr>
          <w:p w:rsidR="00B82335" w:rsidRPr="00DA6CC4" w:rsidRDefault="00B82335"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847</w:t>
            </w:r>
          </w:p>
        </w:tc>
      </w:tr>
      <w:tr w:rsidR="00B82335" w:rsidRPr="00000431" w:rsidTr="00325E22">
        <w:trPr>
          <w:trHeight w:val="227"/>
        </w:trPr>
        <w:tc>
          <w:tcPr>
            <w:tcW w:w="1101" w:type="dxa"/>
            <w:vMerge/>
          </w:tcPr>
          <w:p w:rsidR="00B82335" w:rsidRPr="00DA6CC4" w:rsidRDefault="00B82335" w:rsidP="00325E22">
            <w:pPr>
              <w:ind w:left="0" w:right="0"/>
              <w:rPr>
                <w:rFonts w:asciiTheme="minorHAnsi" w:eastAsia="Times New Roman" w:hAnsiTheme="minorHAnsi"/>
                <w:snapToGrid w:val="0"/>
                <w:sz w:val="18"/>
                <w:szCs w:val="19"/>
              </w:rPr>
            </w:pPr>
          </w:p>
        </w:tc>
        <w:tc>
          <w:tcPr>
            <w:tcW w:w="1701" w:type="dxa"/>
            <w:vMerge/>
            <w:vAlign w:val="center"/>
          </w:tcPr>
          <w:p w:rsidR="00B82335" w:rsidRPr="00DA6CC4" w:rsidRDefault="00B82335" w:rsidP="00325E22">
            <w:pPr>
              <w:ind w:left="33" w:right="0"/>
              <w:rPr>
                <w:rFonts w:asciiTheme="minorHAnsi" w:eastAsia="Times New Roman" w:hAnsiTheme="minorHAnsi"/>
                <w:snapToGrid w:val="0"/>
                <w:color w:val="4C8E3A"/>
                <w:sz w:val="18"/>
                <w:szCs w:val="19"/>
              </w:rPr>
            </w:pPr>
          </w:p>
        </w:tc>
        <w:tc>
          <w:tcPr>
            <w:tcW w:w="1701" w:type="dxa"/>
            <w:gridSpan w:val="2"/>
            <w:vAlign w:val="center"/>
          </w:tcPr>
          <w:p w:rsidR="00B82335" w:rsidRPr="00DA6CC4" w:rsidRDefault="00B82335"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30</w:t>
            </w:r>
          </w:p>
        </w:tc>
        <w:tc>
          <w:tcPr>
            <w:tcW w:w="1134" w:type="dxa"/>
            <w:vAlign w:val="center"/>
          </w:tcPr>
          <w:p w:rsidR="00B82335" w:rsidRPr="00DA6CC4" w:rsidRDefault="00B82335" w:rsidP="00325E22">
            <w:pPr>
              <w:ind w:left="0" w:right="0"/>
              <w:rPr>
                <w:rFonts w:asciiTheme="minorHAnsi" w:hAnsiTheme="minorHAnsi" w:cs="Calibri"/>
                <w:sz w:val="18"/>
                <w:szCs w:val="18"/>
              </w:rPr>
            </w:pPr>
            <w:r w:rsidRPr="00DA6CC4">
              <w:rPr>
                <w:rFonts w:asciiTheme="minorHAnsi" w:hAnsiTheme="minorHAnsi" w:cs="Calibri"/>
                <w:sz w:val="18"/>
                <w:szCs w:val="18"/>
              </w:rPr>
              <w:t>90</w:t>
            </w:r>
          </w:p>
        </w:tc>
        <w:tc>
          <w:tcPr>
            <w:tcW w:w="1134" w:type="dxa"/>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2455</w:t>
            </w:r>
          </w:p>
        </w:tc>
        <w:tc>
          <w:tcPr>
            <w:tcW w:w="850" w:type="dxa"/>
            <w:vAlign w:val="center"/>
          </w:tcPr>
          <w:p w:rsidR="00B82335" w:rsidRPr="00DA6CC4" w:rsidRDefault="00B82335" w:rsidP="00325E22">
            <w:pPr>
              <w:ind w:left="34" w:right="0"/>
              <w:rPr>
                <w:rFonts w:asciiTheme="minorHAnsi" w:hAnsiTheme="minorHAnsi" w:cs="Calibri"/>
                <w:sz w:val="18"/>
                <w:szCs w:val="18"/>
              </w:rPr>
            </w:pPr>
            <w:r w:rsidRPr="00DA6CC4">
              <w:rPr>
                <w:rFonts w:asciiTheme="minorHAnsi" w:hAnsiTheme="minorHAnsi" w:cs="Calibri"/>
                <w:sz w:val="18"/>
                <w:szCs w:val="18"/>
              </w:rPr>
              <w:t>9</w:t>
            </w:r>
          </w:p>
        </w:tc>
        <w:tc>
          <w:tcPr>
            <w:tcW w:w="1276" w:type="dxa"/>
            <w:vAlign w:val="center"/>
          </w:tcPr>
          <w:p w:rsidR="00B82335" w:rsidRPr="00DA6CC4" w:rsidRDefault="00B82335"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5887</w:t>
            </w:r>
          </w:p>
        </w:tc>
      </w:tr>
      <w:tr w:rsidR="00B82335" w:rsidRPr="00000431" w:rsidTr="00325E22">
        <w:trPr>
          <w:trHeight w:val="227"/>
        </w:trPr>
        <w:tc>
          <w:tcPr>
            <w:tcW w:w="1101" w:type="dxa"/>
            <w:vMerge/>
          </w:tcPr>
          <w:p w:rsidR="00B82335" w:rsidRPr="00DA6CC4" w:rsidRDefault="00B82335" w:rsidP="00325E22">
            <w:pPr>
              <w:ind w:left="0" w:right="0"/>
              <w:rPr>
                <w:rFonts w:asciiTheme="minorHAnsi" w:eastAsia="Times New Roman" w:hAnsiTheme="minorHAnsi"/>
                <w:snapToGrid w:val="0"/>
                <w:sz w:val="18"/>
                <w:szCs w:val="19"/>
              </w:rPr>
            </w:pPr>
          </w:p>
        </w:tc>
        <w:tc>
          <w:tcPr>
            <w:tcW w:w="1701" w:type="dxa"/>
            <w:vMerge/>
            <w:vAlign w:val="center"/>
          </w:tcPr>
          <w:p w:rsidR="00B82335" w:rsidRPr="00DA6CC4" w:rsidRDefault="00B82335" w:rsidP="00325E22">
            <w:pPr>
              <w:ind w:left="33" w:right="0"/>
              <w:rPr>
                <w:rFonts w:asciiTheme="minorHAnsi" w:eastAsia="Times New Roman" w:hAnsiTheme="minorHAnsi"/>
                <w:snapToGrid w:val="0"/>
                <w:color w:val="4C8E3A"/>
                <w:sz w:val="18"/>
                <w:szCs w:val="19"/>
              </w:rPr>
            </w:pPr>
          </w:p>
        </w:tc>
        <w:tc>
          <w:tcPr>
            <w:tcW w:w="1701" w:type="dxa"/>
            <w:gridSpan w:val="2"/>
            <w:vAlign w:val="center"/>
          </w:tcPr>
          <w:p w:rsidR="00B82335" w:rsidRPr="00DA6CC4" w:rsidRDefault="00B82335"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60</w:t>
            </w:r>
          </w:p>
        </w:tc>
        <w:tc>
          <w:tcPr>
            <w:tcW w:w="1134" w:type="dxa"/>
            <w:vAlign w:val="center"/>
          </w:tcPr>
          <w:p w:rsidR="00B82335" w:rsidRPr="00DA6CC4" w:rsidRDefault="00B82335" w:rsidP="00325E22">
            <w:pPr>
              <w:ind w:left="0" w:right="0"/>
              <w:rPr>
                <w:rFonts w:asciiTheme="minorHAnsi" w:hAnsiTheme="minorHAnsi" w:cs="Calibri"/>
                <w:sz w:val="18"/>
                <w:szCs w:val="18"/>
              </w:rPr>
            </w:pPr>
            <w:r w:rsidRPr="00DA6CC4">
              <w:rPr>
                <w:rFonts w:asciiTheme="minorHAnsi" w:hAnsiTheme="minorHAnsi" w:cs="Calibri"/>
                <w:sz w:val="18"/>
                <w:szCs w:val="18"/>
              </w:rPr>
              <w:t>180</w:t>
            </w:r>
          </w:p>
        </w:tc>
        <w:tc>
          <w:tcPr>
            <w:tcW w:w="1134" w:type="dxa"/>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2405</w:t>
            </w:r>
          </w:p>
        </w:tc>
        <w:tc>
          <w:tcPr>
            <w:tcW w:w="850" w:type="dxa"/>
            <w:vAlign w:val="center"/>
          </w:tcPr>
          <w:p w:rsidR="00B82335" w:rsidRPr="00DA6CC4" w:rsidRDefault="00B82335" w:rsidP="00325E22">
            <w:pPr>
              <w:ind w:left="34" w:right="0"/>
              <w:rPr>
                <w:rFonts w:asciiTheme="minorHAnsi" w:hAnsiTheme="minorHAnsi" w:cs="Calibri"/>
                <w:sz w:val="18"/>
                <w:szCs w:val="18"/>
              </w:rPr>
            </w:pPr>
            <w:r w:rsidRPr="00DA6CC4">
              <w:rPr>
                <w:rFonts w:asciiTheme="minorHAnsi" w:hAnsiTheme="minorHAnsi" w:cs="Calibri"/>
                <w:sz w:val="18"/>
                <w:szCs w:val="18"/>
              </w:rPr>
              <w:t>18</w:t>
            </w:r>
          </w:p>
        </w:tc>
        <w:tc>
          <w:tcPr>
            <w:tcW w:w="1276" w:type="dxa"/>
            <w:vAlign w:val="center"/>
          </w:tcPr>
          <w:p w:rsidR="00B82335" w:rsidRPr="00DA6CC4" w:rsidRDefault="00B82335"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5767</w:t>
            </w:r>
          </w:p>
        </w:tc>
      </w:tr>
      <w:tr w:rsidR="00BF1A67" w:rsidRPr="00000431" w:rsidTr="00325E22">
        <w:trPr>
          <w:trHeight w:val="227"/>
        </w:trPr>
        <w:tc>
          <w:tcPr>
            <w:tcW w:w="1101" w:type="dxa"/>
            <w:vMerge/>
          </w:tcPr>
          <w:p w:rsidR="00B82335" w:rsidRPr="00DA6CC4" w:rsidRDefault="00B82335" w:rsidP="00325E22">
            <w:pPr>
              <w:ind w:left="0" w:right="0"/>
              <w:rPr>
                <w:rFonts w:asciiTheme="minorHAnsi" w:eastAsia="Times New Roman" w:hAnsiTheme="minorHAnsi"/>
                <w:snapToGrid w:val="0"/>
                <w:sz w:val="18"/>
                <w:szCs w:val="19"/>
              </w:rPr>
            </w:pPr>
          </w:p>
        </w:tc>
        <w:tc>
          <w:tcPr>
            <w:tcW w:w="1701" w:type="dxa"/>
            <w:vMerge w:val="restart"/>
            <w:vAlign w:val="center"/>
          </w:tcPr>
          <w:p w:rsidR="00B82335" w:rsidRPr="00DA6CC4" w:rsidRDefault="00B82335" w:rsidP="00325E22">
            <w:pPr>
              <w:ind w:left="33" w:right="0"/>
              <w:rPr>
                <w:rFonts w:asciiTheme="minorHAnsi" w:eastAsia="Times New Roman" w:hAnsiTheme="minorHAnsi"/>
                <w:snapToGrid w:val="0"/>
                <w:kern w:val="16"/>
                <w:sz w:val="18"/>
                <w:szCs w:val="19"/>
              </w:rPr>
            </w:pPr>
            <w:r w:rsidRPr="00DA6CC4">
              <w:rPr>
                <w:rFonts w:asciiTheme="minorHAnsi" w:eastAsia="Times New Roman" w:hAnsiTheme="minorHAnsi"/>
                <w:snapToGrid w:val="0"/>
                <w:kern w:val="16"/>
                <w:sz w:val="18"/>
                <w:szCs w:val="19"/>
              </w:rPr>
              <w:t>RDS.03.SRE.12626</w:t>
            </w:r>
            <w:r w:rsidR="00DE57B5" w:rsidRPr="00DA6CC4">
              <w:rPr>
                <w:rFonts w:asciiTheme="minorHAnsi" w:eastAsia="Times New Roman" w:hAnsiTheme="minorHAnsi"/>
                <w:snapToGrid w:val="0"/>
                <w:kern w:val="16"/>
                <w:sz w:val="16"/>
                <w:szCs w:val="16"/>
              </w:rPr>
              <w:t xml:space="preserve"> </w:t>
            </w:r>
            <w:r w:rsidRPr="00DA6CC4">
              <w:rPr>
                <w:rFonts w:asciiTheme="minorHAnsi" w:eastAsia="Times New Roman" w:hAnsiTheme="minorHAnsi"/>
                <w:snapToGrid w:val="0"/>
                <w:kern w:val="16"/>
                <w:sz w:val="18"/>
                <w:szCs w:val="18"/>
              </w:rPr>
              <w:t>[57 weeks]</w:t>
            </w:r>
          </w:p>
        </w:tc>
        <w:tc>
          <w:tcPr>
            <w:tcW w:w="567" w:type="dxa"/>
            <w:vMerge w:val="restart"/>
            <w:vAlign w:val="center"/>
          </w:tcPr>
          <w:p w:rsidR="009B63B8" w:rsidRPr="00DA6CC4" w:rsidRDefault="003E3A3E" w:rsidP="00325E22">
            <w:pPr>
              <w:ind w:left="33" w:right="0"/>
              <w:rPr>
                <w:rFonts w:asciiTheme="minorHAnsi" w:eastAsia="Times New Roman" w:hAnsiTheme="minorHAnsi"/>
                <w:snapToGrid w:val="0"/>
                <w:sz w:val="18"/>
                <w:szCs w:val="19"/>
              </w:rPr>
            </w:pPr>
            <w:r w:rsidRPr="00DA6CC4">
              <w:rPr>
                <w:rFonts w:asciiTheme="minorHAnsi" w:hAnsiTheme="minorHAnsi"/>
                <w:sz w:val="18"/>
                <w:szCs w:val="18"/>
              </w:rPr>
              <w:t>M</w:t>
            </w:r>
            <w:r w:rsidR="00B82335" w:rsidRPr="00DA6CC4">
              <w:rPr>
                <w:rFonts w:asciiTheme="minorHAnsi" w:hAnsiTheme="minorHAnsi"/>
                <w:sz w:val="18"/>
                <w:szCs w:val="18"/>
              </w:rPr>
              <w:t>/</w:t>
            </w:r>
            <w:proofErr w:type="spellStart"/>
            <w:r w:rsidRPr="00DA6CC4">
              <w:rPr>
                <w:rFonts w:asciiTheme="minorHAnsi" w:hAnsiTheme="minorHAnsi"/>
                <w:sz w:val="18"/>
                <w:szCs w:val="18"/>
              </w:rPr>
              <w:t>F</w:t>
            </w:r>
            <w:r w:rsidRPr="00DA6CC4">
              <w:rPr>
                <w:rFonts w:asciiTheme="minorHAnsi" w:hAnsiTheme="minorHAnsi"/>
                <w:sz w:val="18"/>
                <w:szCs w:val="18"/>
                <w:vertAlign w:val="superscript"/>
              </w:rPr>
              <w:t>d</w:t>
            </w:r>
            <w:proofErr w:type="spellEnd"/>
          </w:p>
        </w:tc>
        <w:tc>
          <w:tcPr>
            <w:tcW w:w="1134" w:type="dxa"/>
            <w:vAlign w:val="center"/>
          </w:tcPr>
          <w:p w:rsidR="00B82335" w:rsidRPr="00DA6CC4" w:rsidRDefault="00B82335"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1.08</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5.4</w:t>
            </w:r>
          </w:p>
        </w:tc>
        <w:tc>
          <w:tcPr>
            <w:tcW w:w="1134" w:type="dxa"/>
            <w:vAlign w:val="center"/>
          </w:tcPr>
          <w:p w:rsidR="00B82335" w:rsidRPr="00DA6CC4" w:rsidRDefault="00B82335" w:rsidP="00325E22">
            <w:pPr>
              <w:ind w:left="0" w:right="0"/>
              <w:rPr>
                <w:rFonts w:asciiTheme="minorHAnsi" w:hAnsiTheme="minorHAnsi" w:cs="Calibri"/>
                <w:sz w:val="18"/>
                <w:szCs w:val="18"/>
              </w:rPr>
            </w:pPr>
            <w:r w:rsidRPr="00DA6CC4">
              <w:rPr>
                <w:rFonts w:asciiTheme="minorHAnsi" w:hAnsiTheme="minorHAnsi" w:cs="Calibri"/>
                <w:sz w:val="18"/>
                <w:szCs w:val="18"/>
              </w:rPr>
              <w:t>3.24</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16.2</w:t>
            </w:r>
          </w:p>
        </w:tc>
        <w:tc>
          <w:tcPr>
            <w:tcW w:w="1134" w:type="dxa"/>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42.6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208</w:t>
            </w:r>
          </w:p>
        </w:tc>
        <w:tc>
          <w:tcPr>
            <w:tcW w:w="850" w:type="dxa"/>
            <w:vAlign w:val="center"/>
          </w:tcPr>
          <w:p w:rsidR="00B82335" w:rsidRPr="00DA6CC4" w:rsidRDefault="00B82335" w:rsidP="00325E22">
            <w:pPr>
              <w:ind w:left="34" w:right="0"/>
              <w:rPr>
                <w:rFonts w:asciiTheme="minorHAnsi" w:hAnsiTheme="minorHAnsi" w:cs="Calibri"/>
                <w:sz w:val="18"/>
                <w:szCs w:val="18"/>
              </w:rPr>
            </w:pPr>
            <w:r w:rsidRPr="00DA6CC4">
              <w:rPr>
                <w:rFonts w:asciiTheme="minorHAnsi" w:hAnsiTheme="minorHAnsi" w:cs="Calibri"/>
                <w:sz w:val="18"/>
                <w:szCs w:val="18"/>
              </w:rPr>
              <w:t>0.3</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1.6</w:t>
            </w:r>
          </w:p>
        </w:tc>
        <w:tc>
          <w:tcPr>
            <w:tcW w:w="1276" w:type="dxa"/>
            <w:vAlign w:val="center"/>
          </w:tcPr>
          <w:p w:rsidR="00B82335" w:rsidRPr="00DA6CC4" w:rsidRDefault="00B82335"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102</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499</w:t>
            </w:r>
          </w:p>
        </w:tc>
      </w:tr>
      <w:tr w:rsidR="00BF1A67" w:rsidRPr="00000431" w:rsidTr="00325E22">
        <w:trPr>
          <w:trHeight w:val="227"/>
        </w:trPr>
        <w:tc>
          <w:tcPr>
            <w:tcW w:w="1101" w:type="dxa"/>
            <w:vMerge/>
          </w:tcPr>
          <w:p w:rsidR="00B82335" w:rsidRPr="00DA6CC4" w:rsidRDefault="00B82335" w:rsidP="00325E22">
            <w:pPr>
              <w:ind w:left="0" w:right="0"/>
              <w:rPr>
                <w:rFonts w:asciiTheme="minorHAnsi" w:eastAsia="Times New Roman" w:hAnsiTheme="minorHAnsi"/>
                <w:snapToGrid w:val="0"/>
                <w:sz w:val="18"/>
                <w:szCs w:val="19"/>
              </w:rPr>
            </w:pPr>
          </w:p>
        </w:tc>
        <w:tc>
          <w:tcPr>
            <w:tcW w:w="1701" w:type="dxa"/>
            <w:vMerge/>
            <w:vAlign w:val="center"/>
          </w:tcPr>
          <w:p w:rsidR="00B82335" w:rsidRPr="00DA6CC4" w:rsidRDefault="00B82335" w:rsidP="00325E22">
            <w:pPr>
              <w:ind w:left="33" w:right="0"/>
              <w:rPr>
                <w:rFonts w:asciiTheme="minorHAnsi" w:eastAsia="Times New Roman" w:hAnsiTheme="minorHAnsi"/>
                <w:snapToGrid w:val="0"/>
                <w:color w:val="4C8E3A"/>
                <w:kern w:val="16"/>
                <w:sz w:val="18"/>
                <w:szCs w:val="19"/>
              </w:rPr>
            </w:pPr>
          </w:p>
        </w:tc>
        <w:tc>
          <w:tcPr>
            <w:tcW w:w="567" w:type="dxa"/>
            <w:vMerge/>
            <w:vAlign w:val="center"/>
          </w:tcPr>
          <w:p w:rsidR="00B82335" w:rsidRPr="00DA6CC4" w:rsidRDefault="00B82335" w:rsidP="00325E22">
            <w:pPr>
              <w:ind w:left="33" w:right="0"/>
              <w:rPr>
                <w:rFonts w:asciiTheme="minorHAnsi" w:eastAsia="Times New Roman" w:hAnsiTheme="minorHAnsi"/>
                <w:snapToGrid w:val="0"/>
                <w:sz w:val="18"/>
                <w:szCs w:val="19"/>
              </w:rPr>
            </w:pPr>
          </w:p>
        </w:tc>
        <w:tc>
          <w:tcPr>
            <w:tcW w:w="1134" w:type="dxa"/>
            <w:vAlign w:val="center"/>
          </w:tcPr>
          <w:p w:rsidR="00B82335" w:rsidRPr="00DA6CC4" w:rsidRDefault="00B82335"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30</w:t>
            </w:r>
          </w:p>
        </w:tc>
        <w:tc>
          <w:tcPr>
            <w:tcW w:w="1134" w:type="dxa"/>
            <w:vAlign w:val="center"/>
          </w:tcPr>
          <w:p w:rsidR="00B82335" w:rsidRPr="00DA6CC4" w:rsidRDefault="00B82335" w:rsidP="00325E22">
            <w:pPr>
              <w:ind w:left="0" w:right="0"/>
              <w:rPr>
                <w:rFonts w:asciiTheme="minorHAnsi" w:hAnsiTheme="minorHAnsi" w:cs="Calibri"/>
                <w:sz w:val="18"/>
                <w:szCs w:val="18"/>
              </w:rPr>
            </w:pPr>
            <w:r w:rsidRPr="00DA6CC4">
              <w:rPr>
                <w:rFonts w:asciiTheme="minorHAnsi" w:hAnsiTheme="minorHAnsi" w:cs="Calibri"/>
                <w:sz w:val="18"/>
                <w:szCs w:val="18"/>
              </w:rPr>
              <w:t>18</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90</w:t>
            </w:r>
          </w:p>
        </w:tc>
        <w:tc>
          <w:tcPr>
            <w:tcW w:w="1134" w:type="dxa"/>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145</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964</w:t>
            </w:r>
          </w:p>
        </w:tc>
        <w:tc>
          <w:tcPr>
            <w:tcW w:w="850" w:type="dxa"/>
            <w:vAlign w:val="center"/>
          </w:tcPr>
          <w:p w:rsidR="00B82335" w:rsidRPr="00DA6CC4" w:rsidRDefault="00B82335" w:rsidP="00325E22">
            <w:pPr>
              <w:ind w:left="34" w:right="0"/>
              <w:rPr>
                <w:rFonts w:asciiTheme="minorHAnsi" w:hAnsiTheme="minorHAnsi" w:cs="Calibri"/>
                <w:sz w:val="18"/>
                <w:szCs w:val="18"/>
              </w:rPr>
            </w:pPr>
            <w:r w:rsidRPr="00DA6CC4">
              <w:rPr>
                <w:rFonts w:asciiTheme="minorHAnsi" w:hAnsiTheme="minorHAnsi" w:cs="Calibri"/>
                <w:sz w:val="18"/>
                <w:szCs w:val="18"/>
              </w:rPr>
              <w:t>1.8</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9</w:t>
            </w:r>
          </w:p>
        </w:tc>
        <w:tc>
          <w:tcPr>
            <w:tcW w:w="1276" w:type="dxa"/>
            <w:vAlign w:val="center"/>
          </w:tcPr>
          <w:p w:rsidR="00B82335" w:rsidRPr="00DA6CC4" w:rsidRDefault="00B82335"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348</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2312</w:t>
            </w:r>
          </w:p>
        </w:tc>
      </w:tr>
      <w:tr w:rsidR="00BF1A67" w:rsidRPr="00000431" w:rsidTr="00325E22">
        <w:trPr>
          <w:trHeight w:val="227"/>
        </w:trPr>
        <w:tc>
          <w:tcPr>
            <w:tcW w:w="1101" w:type="dxa"/>
            <w:vMerge/>
          </w:tcPr>
          <w:p w:rsidR="00B82335" w:rsidRPr="00DA6CC4" w:rsidRDefault="00B82335" w:rsidP="00325E22">
            <w:pPr>
              <w:ind w:left="0" w:right="0"/>
              <w:rPr>
                <w:rFonts w:asciiTheme="minorHAnsi" w:eastAsia="Times New Roman" w:hAnsiTheme="minorHAnsi"/>
                <w:snapToGrid w:val="0"/>
                <w:sz w:val="18"/>
                <w:szCs w:val="19"/>
              </w:rPr>
            </w:pPr>
          </w:p>
        </w:tc>
        <w:tc>
          <w:tcPr>
            <w:tcW w:w="1701" w:type="dxa"/>
            <w:vMerge/>
            <w:vAlign w:val="center"/>
          </w:tcPr>
          <w:p w:rsidR="00B82335" w:rsidRPr="00DA6CC4" w:rsidRDefault="00B82335" w:rsidP="00325E22">
            <w:pPr>
              <w:ind w:left="33" w:right="0"/>
              <w:rPr>
                <w:rFonts w:asciiTheme="minorHAnsi" w:eastAsia="Times New Roman" w:hAnsiTheme="minorHAnsi"/>
                <w:snapToGrid w:val="0"/>
                <w:color w:val="4C8E3A"/>
                <w:kern w:val="16"/>
                <w:sz w:val="18"/>
                <w:szCs w:val="19"/>
              </w:rPr>
            </w:pPr>
          </w:p>
        </w:tc>
        <w:tc>
          <w:tcPr>
            <w:tcW w:w="567" w:type="dxa"/>
            <w:vMerge/>
            <w:vAlign w:val="center"/>
          </w:tcPr>
          <w:p w:rsidR="00B82335" w:rsidRPr="00DA6CC4" w:rsidRDefault="00B82335" w:rsidP="00325E22">
            <w:pPr>
              <w:ind w:left="33" w:right="0"/>
              <w:rPr>
                <w:rFonts w:asciiTheme="minorHAnsi" w:eastAsia="Times New Roman" w:hAnsiTheme="minorHAnsi"/>
                <w:snapToGrid w:val="0"/>
                <w:sz w:val="18"/>
                <w:szCs w:val="19"/>
              </w:rPr>
            </w:pPr>
          </w:p>
        </w:tc>
        <w:tc>
          <w:tcPr>
            <w:tcW w:w="1134" w:type="dxa"/>
            <w:vAlign w:val="center"/>
          </w:tcPr>
          <w:p w:rsidR="00B82335" w:rsidRPr="00DA6CC4" w:rsidRDefault="00B82335"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12</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60</w:t>
            </w:r>
          </w:p>
        </w:tc>
        <w:tc>
          <w:tcPr>
            <w:tcW w:w="1134" w:type="dxa"/>
            <w:vAlign w:val="center"/>
          </w:tcPr>
          <w:p w:rsidR="00B82335" w:rsidRPr="00DA6CC4" w:rsidRDefault="00B82335" w:rsidP="00325E22">
            <w:pPr>
              <w:ind w:left="0" w:right="0"/>
              <w:rPr>
                <w:rFonts w:asciiTheme="minorHAnsi" w:hAnsiTheme="minorHAnsi" w:cs="Calibri"/>
                <w:sz w:val="18"/>
                <w:szCs w:val="18"/>
              </w:rPr>
            </w:pPr>
            <w:r w:rsidRPr="00DA6CC4">
              <w:rPr>
                <w:rFonts w:asciiTheme="minorHAnsi" w:hAnsiTheme="minorHAnsi" w:cs="Calibri"/>
                <w:sz w:val="18"/>
                <w:szCs w:val="18"/>
              </w:rPr>
              <w:t>36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180</w:t>
            </w:r>
          </w:p>
        </w:tc>
        <w:tc>
          <w:tcPr>
            <w:tcW w:w="1134" w:type="dxa"/>
            <w:vAlign w:val="center"/>
          </w:tcPr>
          <w:p w:rsidR="00B82335" w:rsidRPr="00DA6CC4" w:rsidRDefault="00B82335"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507</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2440</w:t>
            </w:r>
          </w:p>
        </w:tc>
        <w:tc>
          <w:tcPr>
            <w:tcW w:w="850" w:type="dxa"/>
            <w:vAlign w:val="center"/>
          </w:tcPr>
          <w:p w:rsidR="00B82335" w:rsidRPr="00DA6CC4" w:rsidRDefault="00B82335" w:rsidP="00325E22">
            <w:pPr>
              <w:ind w:left="34" w:right="0"/>
              <w:rPr>
                <w:rFonts w:asciiTheme="minorHAnsi" w:hAnsiTheme="minorHAnsi" w:cs="Calibri"/>
                <w:sz w:val="18"/>
                <w:szCs w:val="18"/>
              </w:rPr>
            </w:pPr>
            <w:r w:rsidRPr="00DA6CC4">
              <w:rPr>
                <w:rFonts w:asciiTheme="minorHAnsi" w:hAnsiTheme="minorHAnsi" w:cs="Calibri"/>
                <w:sz w:val="18"/>
                <w:szCs w:val="18"/>
              </w:rPr>
              <w:t>3.6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18</w:t>
            </w:r>
          </w:p>
        </w:tc>
        <w:tc>
          <w:tcPr>
            <w:tcW w:w="1276" w:type="dxa"/>
            <w:vAlign w:val="center"/>
          </w:tcPr>
          <w:p w:rsidR="00B82335" w:rsidRPr="00DA6CC4" w:rsidRDefault="00B82335"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1216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/5851</w:t>
            </w:r>
          </w:p>
        </w:tc>
      </w:tr>
      <w:tr w:rsidR="00BF1A67" w:rsidRPr="00000431" w:rsidTr="00325E22">
        <w:trPr>
          <w:trHeight w:val="227"/>
        </w:trPr>
        <w:tc>
          <w:tcPr>
            <w:tcW w:w="1101" w:type="dxa"/>
            <w:vMerge/>
          </w:tcPr>
          <w:p w:rsidR="003E3A3E" w:rsidRPr="00DA6CC4" w:rsidRDefault="003E3A3E" w:rsidP="00325E22">
            <w:pPr>
              <w:ind w:left="0" w:right="0"/>
              <w:rPr>
                <w:rFonts w:asciiTheme="minorHAnsi" w:eastAsia="Times New Roman" w:hAnsiTheme="minorHAnsi"/>
                <w:snapToGrid w:val="0"/>
                <w:sz w:val="18"/>
                <w:szCs w:val="19"/>
              </w:rPr>
            </w:pPr>
          </w:p>
        </w:tc>
        <w:tc>
          <w:tcPr>
            <w:tcW w:w="1701" w:type="dxa"/>
            <w:vMerge w:val="restart"/>
            <w:vAlign w:val="center"/>
          </w:tcPr>
          <w:p w:rsidR="003E3A3E" w:rsidRPr="00DA6CC4" w:rsidRDefault="003E3A3E"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kern w:val="16"/>
                <w:sz w:val="18"/>
                <w:szCs w:val="19"/>
              </w:rPr>
              <w:t>RDS.03.SPR.12667</w:t>
            </w:r>
            <w:r w:rsidRPr="00DA6CC4">
              <w:rPr>
                <w:rFonts w:asciiTheme="minorHAnsi" w:eastAsia="Times New Roman" w:hAnsiTheme="minorHAnsi"/>
                <w:snapToGrid w:val="0"/>
                <w:kern w:val="16"/>
                <w:sz w:val="16"/>
                <w:szCs w:val="16"/>
              </w:rPr>
              <w:t xml:space="preserve"> </w:t>
            </w:r>
            <w:r w:rsidRPr="00DA6CC4">
              <w:rPr>
                <w:rFonts w:asciiTheme="minorHAnsi" w:eastAsia="Times New Roman" w:hAnsiTheme="minorHAnsi"/>
                <w:snapToGrid w:val="0"/>
                <w:kern w:val="16"/>
                <w:sz w:val="18"/>
                <w:szCs w:val="18"/>
              </w:rPr>
              <w:t>[carcinogenicity]</w:t>
            </w:r>
          </w:p>
        </w:tc>
        <w:tc>
          <w:tcPr>
            <w:tcW w:w="567" w:type="dxa"/>
            <w:vMerge w:val="restart"/>
            <w:vAlign w:val="center"/>
          </w:tcPr>
          <w:p w:rsidR="003E3A3E" w:rsidRPr="00DA6CC4" w:rsidRDefault="003E3A3E" w:rsidP="00325E22">
            <w:pPr>
              <w:ind w:left="33" w:right="0"/>
              <w:rPr>
                <w:rFonts w:asciiTheme="minorHAnsi" w:eastAsia="Times New Roman" w:hAnsiTheme="minorHAnsi"/>
                <w:snapToGrid w:val="0"/>
                <w:sz w:val="18"/>
                <w:szCs w:val="19"/>
              </w:rPr>
            </w:pPr>
            <w:r w:rsidRPr="00DA6CC4">
              <w:rPr>
                <w:rFonts w:asciiTheme="minorHAnsi" w:hAnsiTheme="minorHAnsi"/>
                <w:sz w:val="18"/>
                <w:szCs w:val="18"/>
              </w:rPr>
              <w:t>M/F</w:t>
            </w:r>
          </w:p>
        </w:tc>
        <w:tc>
          <w:tcPr>
            <w:tcW w:w="1134" w:type="dxa"/>
            <w:vAlign w:val="center"/>
          </w:tcPr>
          <w:p w:rsidR="003E3A3E" w:rsidRPr="00DA6CC4" w:rsidRDefault="003E3A3E"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0.9</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5.4</w:t>
            </w:r>
          </w:p>
        </w:tc>
        <w:tc>
          <w:tcPr>
            <w:tcW w:w="1134" w:type="dxa"/>
            <w:vAlign w:val="center"/>
          </w:tcPr>
          <w:p w:rsidR="003E3A3E" w:rsidRPr="00DA6CC4" w:rsidRDefault="003E3A3E" w:rsidP="00325E22">
            <w:pPr>
              <w:ind w:left="0" w:right="0"/>
              <w:rPr>
                <w:rFonts w:asciiTheme="minorHAnsi" w:hAnsiTheme="minorHAnsi" w:cs="Calibri"/>
                <w:sz w:val="18"/>
                <w:szCs w:val="18"/>
              </w:rPr>
            </w:pPr>
            <w:r w:rsidRPr="00DA6CC4">
              <w:rPr>
                <w:rFonts w:asciiTheme="minorHAnsi" w:hAnsiTheme="minorHAnsi" w:cs="Calibri"/>
                <w:sz w:val="18"/>
                <w:szCs w:val="18"/>
              </w:rPr>
              <w:t>2.7</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1.62</w:t>
            </w:r>
          </w:p>
        </w:tc>
        <w:tc>
          <w:tcPr>
            <w:tcW w:w="1134" w:type="dxa"/>
            <w:vAlign w:val="center"/>
          </w:tcPr>
          <w:p w:rsidR="003E3A3E" w:rsidRPr="00DA6CC4" w:rsidRDefault="003E3A3E"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22.5</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294</w:t>
            </w:r>
          </w:p>
        </w:tc>
        <w:tc>
          <w:tcPr>
            <w:tcW w:w="850" w:type="dxa"/>
            <w:vAlign w:val="center"/>
          </w:tcPr>
          <w:p w:rsidR="003E3A3E" w:rsidRPr="00DA6CC4" w:rsidRDefault="003E3A3E" w:rsidP="00325E22">
            <w:pPr>
              <w:ind w:left="34" w:right="0"/>
              <w:rPr>
                <w:rFonts w:asciiTheme="minorHAnsi" w:hAnsiTheme="minorHAnsi" w:cs="Calibri"/>
                <w:sz w:val="18"/>
                <w:szCs w:val="18"/>
              </w:rPr>
            </w:pPr>
            <w:r w:rsidRPr="00DA6CC4">
              <w:rPr>
                <w:rFonts w:asciiTheme="minorHAnsi" w:hAnsiTheme="minorHAnsi" w:cs="Calibri"/>
                <w:sz w:val="18"/>
                <w:szCs w:val="18"/>
              </w:rPr>
              <w:t>0.3</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1.6</w:t>
            </w:r>
          </w:p>
        </w:tc>
        <w:tc>
          <w:tcPr>
            <w:tcW w:w="1276" w:type="dxa"/>
            <w:vAlign w:val="center"/>
          </w:tcPr>
          <w:p w:rsidR="003E3A3E" w:rsidRPr="00DA6CC4" w:rsidRDefault="003E3A3E"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54</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705</w:t>
            </w:r>
          </w:p>
        </w:tc>
      </w:tr>
      <w:tr w:rsidR="00BF1A67" w:rsidRPr="00000431" w:rsidTr="00325E22">
        <w:trPr>
          <w:trHeight w:val="227"/>
        </w:trPr>
        <w:tc>
          <w:tcPr>
            <w:tcW w:w="1101" w:type="dxa"/>
            <w:vMerge/>
          </w:tcPr>
          <w:p w:rsidR="003E3A3E" w:rsidRPr="00DA6CC4" w:rsidRDefault="003E3A3E" w:rsidP="00325E22">
            <w:pPr>
              <w:ind w:left="0" w:right="0"/>
              <w:rPr>
                <w:rFonts w:asciiTheme="minorHAnsi" w:eastAsia="Times New Roman" w:hAnsiTheme="minorHAnsi"/>
                <w:snapToGrid w:val="0"/>
                <w:sz w:val="18"/>
                <w:szCs w:val="19"/>
              </w:rPr>
            </w:pPr>
          </w:p>
        </w:tc>
        <w:tc>
          <w:tcPr>
            <w:tcW w:w="1701" w:type="dxa"/>
            <w:vMerge/>
            <w:vAlign w:val="center"/>
          </w:tcPr>
          <w:p w:rsidR="003E3A3E" w:rsidRPr="00DA6CC4" w:rsidRDefault="003E3A3E" w:rsidP="00325E22">
            <w:pPr>
              <w:ind w:left="33" w:right="0"/>
              <w:rPr>
                <w:rFonts w:asciiTheme="minorHAnsi" w:eastAsia="Times New Roman" w:hAnsiTheme="minorHAnsi"/>
                <w:snapToGrid w:val="0"/>
                <w:color w:val="4C8E3A"/>
                <w:sz w:val="18"/>
                <w:szCs w:val="19"/>
              </w:rPr>
            </w:pPr>
          </w:p>
        </w:tc>
        <w:tc>
          <w:tcPr>
            <w:tcW w:w="567" w:type="dxa"/>
            <w:vMerge/>
            <w:vAlign w:val="center"/>
          </w:tcPr>
          <w:p w:rsidR="003E3A3E" w:rsidRPr="00DA6CC4" w:rsidRDefault="003E3A3E" w:rsidP="00325E22">
            <w:pPr>
              <w:ind w:left="33" w:right="0"/>
              <w:rPr>
                <w:rFonts w:asciiTheme="minorHAnsi" w:eastAsia="Times New Roman" w:hAnsiTheme="minorHAnsi"/>
                <w:snapToGrid w:val="0"/>
                <w:sz w:val="18"/>
                <w:szCs w:val="19"/>
              </w:rPr>
            </w:pPr>
          </w:p>
        </w:tc>
        <w:tc>
          <w:tcPr>
            <w:tcW w:w="1134" w:type="dxa"/>
            <w:vAlign w:val="center"/>
          </w:tcPr>
          <w:p w:rsidR="003E3A3E" w:rsidRPr="00DA6CC4" w:rsidRDefault="003E3A3E"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1.8</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10.8</w:t>
            </w:r>
          </w:p>
        </w:tc>
        <w:tc>
          <w:tcPr>
            <w:tcW w:w="1134" w:type="dxa"/>
            <w:vAlign w:val="center"/>
          </w:tcPr>
          <w:p w:rsidR="003E3A3E" w:rsidRPr="00DA6CC4" w:rsidRDefault="003E3A3E" w:rsidP="00325E22">
            <w:pPr>
              <w:ind w:left="0" w:right="0"/>
              <w:rPr>
                <w:rFonts w:asciiTheme="minorHAnsi" w:hAnsiTheme="minorHAnsi" w:cs="Calibri"/>
                <w:sz w:val="18"/>
                <w:szCs w:val="18"/>
              </w:rPr>
            </w:pPr>
            <w:r w:rsidRPr="00DA6CC4">
              <w:rPr>
                <w:rFonts w:asciiTheme="minorHAnsi" w:hAnsiTheme="minorHAnsi" w:cs="Calibri"/>
                <w:sz w:val="18"/>
                <w:szCs w:val="18"/>
              </w:rPr>
              <w:t>5.4</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32.4</w:t>
            </w:r>
          </w:p>
        </w:tc>
        <w:tc>
          <w:tcPr>
            <w:tcW w:w="1134" w:type="dxa"/>
            <w:vAlign w:val="center"/>
          </w:tcPr>
          <w:p w:rsidR="003E3A3E" w:rsidRPr="00DA6CC4" w:rsidRDefault="003E3A3E"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74.6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407</w:t>
            </w:r>
          </w:p>
        </w:tc>
        <w:tc>
          <w:tcPr>
            <w:tcW w:w="850" w:type="dxa"/>
            <w:vAlign w:val="center"/>
          </w:tcPr>
          <w:p w:rsidR="003E3A3E" w:rsidRPr="00DA6CC4" w:rsidRDefault="003E3A3E" w:rsidP="00325E22">
            <w:pPr>
              <w:ind w:left="34" w:right="0"/>
              <w:rPr>
                <w:rFonts w:asciiTheme="minorHAnsi" w:hAnsiTheme="minorHAnsi" w:cs="Calibri"/>
                <w:sz w:val="18"/>
                <w:szCs w:val="18"/>
              </w:rPr>
            </w:pPr>
            <w:r w:rsidRPr="00DA6CC4">
              <w:rPr>
                <w:rFonts w:asciiTheme="minorHAnsi" w:hAnsiTheme="minorHAnsi" w:cs="Calibri"/>
                <w:sz w:val="18"/>
                <w:szCs w:val="18"/>
              </w:rPr>
              <w:t>0.5</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3.2</w:t>
            </w:r>
          </w:p>
        </w:tc>
        <w:tc>
          <w:tcPr>
            <w:tcW w:w="1276" w:type="dxa"/>
            <w:vAlign w:val="center"/>
          </w:tcPr>
          <w:p w:rsidR="003E3A3E" w:rsidRPr="00DA6CC4" w:rsidRDefault="003E3A3E"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179</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976</w:t>
            </w:r>
          </w:p>
        </w:tc>
      </w:tr>
      <w:tr w:rsidR="00BF1A67" w:rsidRPr="00000431" w:rsidTr="00325E22">
        <w:trPr>
          <w:trHeight w:val="227"/>
        </w:trPr>
        <w:tc>
          <w:tcPr>
            <w:tcW w:w="1101" w:type="dxa"/>
            <w:vMerge/>
          </w:tcPr>
          <w:p w:rsidR="003E3A3E" w:rsidRPr="00DA6CC4" w:rsidRDefault="003E3A3E" w:rsidP="00325E22">
            <w:pPr>
              <w:ind w:left="0" w:right="0"/>
              <w:rPr>
                <w:rFonts w:asciiTheme="minorHAnsi" w:eastAsia="Times New Roman" w:hAnsiTheme="minorHAnsi"/>
                <w:snapToGrid w:val="0"/>
                <w:sz w:val="18"/>
                <w:szCs w:val="19"/>
              </w:rPr>
            </w:pPr>
          </w:p>
        </w:tc>
        <w:tc>
          <w:tcPr>
            <w:tcW w:w="1701" w:type="dxa"/>
            <w:vMerge/>
            <w:vAlign w:val="center"/>
          </w:tcPr>
          <w:p w:rsidR="003E3A3E" w:rsidRPr="00DA6CC4" w:rsidRDefault="003E3A3E" w:rsidP="00325E22">
            <w:pPr>
              <w:ind w:left="33" w:right="0"/>
              <w:rPr>
                <w:rFonts w:asciiTheme="minorHAnsi" w:eastAsia="Times New Roman" w:hAnsiTheme="minorHAnsi"/>
                <w:snapToGrid w:val="0"/>
                <w:color w:val="4C8E3A"/>
                <w:sz w:val="18"/>
                <w:szCs w:val="19"/>
              </w:rPr>
            </w:pPr>
          </w:p>
        </w:tc>
        <w:tc>
          <w:tcPr>
            <w:tcW w:w="567" w:type="dxa"/>
            <w:vMerge/>
            <w:vAlign w:val="center"/>
          </w:tcPr>
          <w:p w:rsidR="003E3A3E" w:rsidRPr="00DA6CC4" w:rsidRDefault="003E3A3E" w:rsidP="00325E22">
            <w:pPr>
              <w:ind w:left="33" w:right="0"/>
              <w:rPr>
                <w:rFonts w:asciiTheme="minorHAnsi" w:eastAsia="Times New Roman" w:hAnsiTheme="minorHAnsi"/>
                <w:snapToGrid w:val="0"/>
                <w:sz w:val="18"/>
                <w:szCs w:val="19"/>
              </w:rPr>
            </w:pPr>
          </w:p>
        </w:tc>
        <w:tc>
          <w:tcPr>
            <w:tcW w:w="1134" w:type="dxa"/>
            <w:vAlign w:val="center"/>
          </w:tcPr>
          <w:p w:rsidR="003E3A3E" w:rsidRPr="00DA6CC4" w:rsidRDefault="003E3A3E" w:rsidP="00325E22">
            <w:pPr>
              <w:ind w:left="33"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5.4</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21.6</w:t>
            </w:r>
          </w:p>
        </w:tc>
        <w:tc>
          <w:tcPr>
            <w:tcW w:w="1134" w:type="dxa"/>
            <w:vAlign w:val="center"/>
          </w:tcPr>
          <w:p w:rsidR="003E3A3E" w:rsidRPr="00DA6CC4" w:rsidRDefault="003E3A3E" w:rsidP="00325E22">
            <w:pPr>
              <w:ind w:left="0" w:right="0"/>
              <w:rPr>
                <w:rFonts w:asciiTheme="minorHAnsi" w:hAnsiTheme="minorHAnsi" w:cs="Calibri"/>
                <w:sz w:val="18"/>
                <w:szCs w:val="18"/>
              </w:rPr>
            </w:pPr>
            <w:r w:rsidRPr="00DA6CC4">
              <w:rPr>
                <w:rFonts w:asciiTheme="minorHAnsi" w:hAnsiTheme="minorHAnsi" w:cs="Calibri"/>
                <w:sz w:val="18"/>
                <w:szCs w:val="18"/>
              </w:rPr>
              <w:t>16.2</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64.8</w:t>
            </w:r>
          </w:p>
        </w:tc>
        <w:tc>
          <w:tcPr>
            <w:tcW w:w="1134" w:type="dxa"/>
            <w:vAlign w:val="center"/>
          </w:tcPr>
          <w:p w:rsidR="003E3A3E" w:rsidRPr="00DA6CC4" w:rsidRDefault="003E3A3E" w:rsidP="00325E22">
            <w:pPr>
              <w:ind w:left="0"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215</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1070</w:t>
            </w:r>
          </w:p>
        </w:tc>
        <w:tc>
          <w:tcPr>
            <w:tcW w:w="850" w:type="dxa"/>
            <w:vAlign w:val="center"/>
          </w:tcPr>
          <w:p w:rsidR="003E3A3E" w:rsidRPr="00DA6CC4" w:rsidRDefault="003E3A3E" w:rsidP="00325E22">
            <w:pPr>
              <w:ind w:left="34" w:right="0"/>
              <w:rPr>
                <w:rFonts w:asciiTheme="minorHAnsi" w:hAnsiTheme="minorHAnsi" w:cs="Calibri"/>
                <w:sz w:val="18"/>
                <w:szCs w:val="18"/>
              </w:rPr>
            </w:pPr>
            <w:r w:rsidRPr="00DA6CC4">
              <w:rPr>
                <w:rFonts w:asciiTheme="minorHAnsi" w:hAnsiTheme="minorHAnsi" w:cs="Calibri"/>
                <w:sz w:val="18"/>
                <w:szCs w:val="18"/>
              </w:rPr>
              <w:t>1.6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hAnsiTheme="minorHAnsi" w:cs="Calibri"/>
                <w:sz w:val="18"/>
                <w:szCs w:val="18"/>
              </w:rPr>
              <w:t>6.5</w:t>
            </w:r>
          </w:p>
        </w:tc>
        <w:tc>
          <w:tcPr>
            <w:tcW w:w="1276" w:type="dxa"/>
            <w:vAlign w:val="center"/>
          </w:tcPr>
          <w:p w:rsidR="003E3A3E" w:rsidRPr="00DA6CC4" w:rsidRDefault="003E3A3E" w:rsidP="00325E22">
            <w:pPr>
              <w:ind w:left="34" w:right="0"/>
              <w:rPr>
                <w:rFonts w:asciiTheme="minorHAnsi" w:eastAsia="Times New Roman" w:hAnsiTheme="minorHAnsi"/>
                <w:snapToGrid w:val="0"/>
                <w:sz w:val="18"/>
                <w:szCs w:val="19"/>
              </w:rPr>
            </w:pPr>
            <w:r w:rsidRPr="00DA6CC4">
              <w:rPr>
                <w:rFonts w:asciiTheme="minorHAnsi" w:eastAsia="Times New Roman" w:hAnsiTheme="minorHAnsi"/>
                <w:snapToGrid w:val="0"/>
                <w:sz w:val="18"/>
                <w:szCs w:val="19"/>
              </w:rPr>
              <w:t>516</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w:t>
            </w:r>
            <w:r w:rsidRPr="00DA6CC4">
              <w:rPr>
                <w:rFonts w:asciiTheme="minorHAnsi" w:eastAsia="Times New Roman" w:hAnsiTheme="minorHAnsi"/>
                <w:snapToGrid w:val="0"/>
                <w:w w:val="50"/>
                <w:sz w:val="18"/>
                <w:szCs w:val="19"/>
              </w:rPr>
              <w:t> </w:t>
            </w:r>
            <w:r w:rsidRPr="00DA6CC4">
              <w:rPr>
                <w:rFonts w:asciiTheme="minorHAnsi" w:eastAsia="Times New Roman" w:hAnsiTheme="minorHAnsi"/>
                <w:snapToGrid w:val="0"/>
                <w:sz w:val="18"/>
                <w:szCs w:val="19"/>
              </w:rPr>
              <w:t>2566</w:t>
            </w:r>
          </w:p>
        </w:tc>
      </w:tr>
      <w:tr w:rsidR="003E3A3E" w:rsidRPr="00000431" w:rsidTr="00325E22">
        <w:trPr>
          <w:trHeight w:val="227"/>
        </w:trPr>
        <w:tc>
          <w:tcPr>
            <w:tcW w:w="1101" w:type="dxa"/>
            <w:vMerge w:val="restart"/>
            <w:vAlign w:val="center"/>
          </w:tcPr>
          <w:p w:rsidR="003E3A3E" w:rsidRPr="00000431" w:rsidRDefault="003E3A3E" w:rsidP="00325E22">
            <w:pPr>
              <w:ind w:left="0" w:right="0"/>
              <w:rPr>
                <w:rFonts w:eastAsia="Times New Roman"/>
                <w:snapToGrid w:val="0"/>
                <w:sz w:val="18"/>
                <w:szCs w:val="19"/>
              </w:rPr>
            </w:pPr>
            <w:proofErr w:type="spellStart"/>
            <w:r w:rsidRPr="00000431">
              <w:rPr>
                <w:rFonts w:eastAsia="Times New Roman"/>
                <w:snapToGrid w:val="0"/>
                <w:sz w:val="18"/>
                <w:szCs w:val="19"/>
              </w:rPr>
              <w:t>Minipig</w:t>
            </w:r>
            <w:proofErr w:type="spellEnd"/>
            <w:r w:rsidRPr="00000431">
              <w:rPr>
                <w:rFonts w:eastAsia="Times New Roman"/>
                <w:snapToGrid w:val="0"/>
                <w:sz w:val="18"/>
                <w:szCs w:val="19"/>
              </w:rPr>
              <w:t xml:space="preserve"> (</w:t>
            </w:r>
            <w:proofErr w:type="spellStart"/>
            <w:r w:rsidRPr="00DA6CC4">
              <w:rPr>
                <w:rFonts w:eastAsia="Times New Roman"/>
                <w:snapToGrid w:val="0"/>
                <w:sz w:val="16"/>
                <w:szCs w:val="16"/>
              </w:rPr>
              <w:t>Göttingen</w:t>
            </w:r>
            <w:proofErr w:type="spellEnd"/>
            <w:r w:rsidRPr="00000431">
              <w:rPr>
                <w:rFonts w:eastAsia="Times New Roman"/>
                <w:snapToGrid w:val="0"/>
                <w:sz w:val="18"/>
                <w:szCs w:val="19"/>
              </w:rPr>
              <w:t>)</w:t>
            </w:r>
          </w:p>
        </w:tc>
        <w:tc>
          <w:tcPr>
            <w:tcW w:w="1701" w:type="dxa"/>
            <w:vMerge w:val="restart"/>
            <w:vAlign w:val="center"/>
          </w:tcPr>
          <w:p w:rsidR="003E3A3E" w:rsidRPr="00000431" w:rsidRDefault="003E3A3E" w:rsidP="00325E22">
            <w:pPr>
              <w:ind w:left="33" w:right="0"/>
              <w:rPr>
                <w:rFonts w:eastAsia="Times New Roman"/>
                <w:snapToGrid w:val="0"/>
                <w:sz w:val="18"/>
                <w:szCs w:val="19"/>
              </w:rPr>
            </w:pPr>
            <w:r w:rsidRPr="00000431">
              <w:rPr>
                <w:rFonts w:eastAsia="Times New Roman"/>
                <w:snapToGrid w:val="0"/>
                <w:kern w:val="16"/>
                <w:sz w:val="18"/>
                <w:szCs w:val="19"/>
              </w:rPr>
              <w:t>RDS.03.SRE.12694</w:t>
            </w:r>
            <w:r w:rsidRPr="00A11E17">
              <w:rPr>
                <w:rFonts w:eastAsia="Times New Roman"/>
                <w:snapToGrid w:val="0"/>
                <w:kern w:val="16"/>
                <w:sz w:val="16"/>
                <w:szCs w:val="16"/>
              </w:rPr>
              <w:t xml:space="preserve"> </w:t>
            </w:r>
            <w:r w:rsidRPr="00DA6CC4">
              <w:rPr>
                <w:rFonts w:eastAsia="Times New Roman"/>
                <w:snapToGrid w:val="0"/>
                <w:kern w:val="16"/>
                <w:sz w:val="18"/>
                <w:szCs w:val="18"/>
              </w:rPr>
              <w:t>[39 weeks]</w:t>
            </w:r>
          </w:p>
        </w:tc>
        <w:tc>
          <w:tcPr>
            <w:tcW w:w="1701" w:type="dxa"/>
            <w:gridSpan w:val="2"/>
          </w:tcPr>
          <w:p w:rsidR="003E3A3E" w:rsidRPr="00000431" w:rsidRDefault="003E3A3E" w:rsidP="00325E22">
            <w:pPr>
              <w:ind w:left="33" w:right="0"/>
              <w:rPr>
                <w:rFonts w:eastAsia="Times New Roman"/>
                <w:snapToGrid w:val="0"/>
                <w:sz w:val="18"/>
                <w:szCs w:val="19"/>
              </w:rPr>
            </w:pPr>
            <w:r w:rsidRPr="00000431">
              <w:rPr>
                <w:rFonts w:eastAsia="Times New Roman"/>
                <w:snapToGrid w:val="0"/>
                <w:sz w:val="18"/>
                <w:szCs w:val="19"/>
              </w:rPr>
              <w:t>1.2</w:t>
            </w:r>
          </w:p>
        </w:tc>
        <w:tc>
          <w:tcPr>
            <w:tcW w:w="1134" w:type="dxa"/>
          </w:tcPr>
          <w:p w:rsidR="003E3A3E" w:rsidRPr="00D81687" w:rsidRDefault="003E3A3E" w:rsidP="00325E22">
            <w:pPr>
              <w:ind w:left="0" w:right="0"/>
              <w:rPr>
                <w:rFonts w:cs="Calibri"/>
                <w:sz w:val="18"/>
                <w:szCs w:val="18"/>
              </w:rPr>
            </w:pPr>
            <w:r w:rsidRPr="00D81687">
              <w:rPr>
                <w:rFonts w:cs="Calibri"/>
                <w:sz w:val="18"/>
                <w:szCs w:val="18"/>
              </w:rPr>
              <w:t>42</w:t>
            </w:r>
          </w:p>
        </w:tc>
        <w:tc>
          <w:tcPr>
            <w:tcW w:w="1134" w:type="dxa"/>
          </w:tcPr>
          <w:p w:rsidR="003E3A3E" w:rsidRPr="00000431" w:rsidRDefault="003E3A3E" w:rsidP="00325E22">
            <w:pPr>
              <w:ind w:left="0" w:right="0"/>
              <w:rPr>
                <w:rFonts w:eastAsia="Times New Roman"/>
                <w:i/>
                <w:snapToGrid w:val="0"/>
                <w:sz w:val="18"/>
                <w:szCs w:val="19"/>
                <w:vertAlign w:val="superscript"/>
              </w:rPr>
            </w:pPr>
            <w:r w:rsidRPr="00000431">
              <w:rPr>
                <w:rFonts w:eastAsia="Times New Roman"/>
                <w:snapToGrid w:val="0"/>
                <w:sz w:val="18"/>
                <w:szCs w:val="19"/>
              </w:rPr>
              <w:t>0.453</w:t>
            </w:r>
            <w:r w:rsidRPr="00150D96">
              <w:rPr>
                <w:rFonts w:eastAsia="Times New Roman"/>
                <w:snapToGrid w:val="0"/>
                <w:sz w:val="18"/>
                <w:szCs w:val="19"/>
                <w:vertAlign w:val="superscript"/>
              </w:rPr>
              <w:t>c</w:t>
            </w:r>
          </w:p>
        </w:tc>
        <w:tc>
          <w:tcPr>
            <w:tcW w:w="850" w:type="dxa"/>
          </w:tcPr>
          <w:p w:rsidR="003E3A3E" w:rsidRPr="00D81687" w:rsidRDefault="003E3A3E" w:rsidP="00325E22">
            <w:pPr>
              <w:ind w:left="34" w:right="0"/>
              <w:rPr>
                <w:rFonts w:cs="Calibri"/>
                <w:sz w:val="18"/>
                <w:szCs w:val="18"/>
              </w:rPr>
            </w:pPr>
            <w:r w:rsidRPr="00D81687">
              <w:rPr>
                <w:rFonts w:cs="Calibri"/>
                <w:sz w:val="18"/>
                <w:szCs w:val="18"/>
              </w:rPr>
              <w:t>4</w:t>
            </w:r>
          </w:p>
        </w:tc>
        <w:tc>
          <w:tcPr>
            <w:tcW w:w="1276" w:type="dxa"/>
          </w:tcPr>
          <w:p w:rsidR="003E3A3E" w:rsidRPr="00000431" w:rsidRDefault="003E3A3E" w:rsidP="00325E22">
            <w:pPr>
              <w:ind w:left="34" w:right="0"/>
              <w:rPr>
                <w:rFonts w:eastAsia="Times New Roman"/>
                <w:snapToGrid w:val="0"/>
                <w:sz w:val="18"/>
                <w:szCs w:val="19"/>
              </w:rPr>
            </w:pPr>
            <w:r w:rsidRPr="00000431">
              <w:rPr>
                <w:rFonts w:eastAsia="Times New Roman"/>
                <w:snapToGrid w:val="0"/>
                <w:sz w:val="18"/>
                <w:szCs w:val="19"/>
              </w:rPr>
              <w:t>1.1</w:t>
            </w:r>
          </w:p>
        </w:tc>
      </w:tr>
      <w:tr w:rsidR="003E3A3E" w:rsidRPr="00000431" w:rsidTr="00325E22">
        <w:trPr>
          <w:trHeight w:val="227"/>
        </w:trPr>
        <w:tc>
          <w:tcPr>
            <w:tcW w:w="1101" w:type="dxa"/>
            <w:vMerge/>
          </w:tcPr>
          <w:p w:rsidR="003E3A3E" w:rsidRPr="00000431" w:rsidRDefault="003E3A3E" w:rsidP="00325E22">
            <w:pPr>
              <w:ind w:left="0" w:right="0"/>
              <w:rPr>
                <w:rFonts w:eastAsia="Times New Roman"/>
                <w:snapToGrid w:val="0"/>
                <w:sz w:val="18"/>
                <w:szCs w:val="19"/>
              </w:rPr>
            </w:pPr>
          </w:p>
        </w:tc>
        <w:tc>
          <w:tcPr>
            <w:tcW w:w="1701" w:type="dxa"/>
            <w:vMerge/>
          </w:tcPr>
          <w:p w:rsidR="003E3A3E" w:rsidRPr="00000431" w:rsidRDefault="003E3A3E" w:rsidP="00325E22">
            <w:pPr>
              <w:ind w:left="33" w:right="0"/>
              <w:rPr>
                <w:rFonts w:eastAsia="Times New Roman"/>
                <w:snapToGrid w:val="0"/>
                <w:color w:val="4C8E3A"/>
                <w:sz w:val="18"/>
                <w:szCs w:val="19"/>
              </w:rPr>
            </w:pPr>
          </w:p>
        </w:tc>
        <w:tc>
          <w:tcPr>
            <w:tcW w:w="1701" w:type="dxa"/>
            <w:gridSpan w:val="2"/>
          </w:tcPr>
          <w:p w:rsidR="003E3A3E" w:rsidRPr="00000431" w:rsidRDefault="003E3A3E" w:rsidP="00325E22">
            <w:pPr>
              <w:ind w:left="33" w:right="0"/>
              <w:rPr>
                <w:rFonts w:eastAsia="Times New Roman"/>
                <w:snapToGrid w:val="0"/>
                <w:sz w:val="18"/>
                <w:szCs w:val="19"/>
              </w:rPr>
            </w:pPr>
            <w:r w:rsidRPr="00000431">
              <w:rPr>
                <w:rFonts w:eastAsia="Times New Roman"/>
                <w:snapToGrid w:val="0"/>
                <w:sz w:val="18"/>
                <w:szCs w:val="19"/>
              </w:rPr>
              <w:t>3.6</w:t>
            </w:r>
          </w:p>
        </w:tc>
        <w:tc>
          <w:tcPr>
            <w:tcW w:w="1134" w:type="dxa"/>
          </w:tcPr>
          <w:p w:rsidR="003E3A3E" w:rsidRPr="00D81687" w:rsidRDefault="003E3A3E" w:rsidP="00325E22">
            <w:pPr>
              <w:ind w:left="0" w:right="0"/>
              <w:rPr>
                <w:rFonts w:cs="Calibri"/>
                <w:sz w:val="18"/>
                <w:szCs w:val="18"/>
              </w:rPr>
            </w:pPr>
            <w:r w:rsidRPr="00D81687">
              <w:rPr>
                <w:rFonts w:cs="Calibri"/>
                <w:sz w:val="18"/>
                <w:szCs w:val="18"/>
              </w:rPr>
              <w:t>126</w:t>
            </w:r>
          </w:p>
        </w:tc>
        <w:tc>
          <w:tcPr>
            <w:tcW w:w="1134" w:type="dxa"/>
          </w:tcPr>
          <w:p w:rsidR="003E3A3E" w:rsidRPr="00000431" w:rsidRDefault="003E3A3E" w:rsidP="00325E22">
            <w:pPr>
              <w:ind w:left="0" w:right="0"/>
              <w:rPr>
                <w:rFonts w:eastAsia="Times New Roman"/>
                <w:snapToGrid w:val="0"/>
                <w:sz w:val="18"/>
                <w:szCs w:val="19"/>
              </w:rPr>
            </w:pPr>
            <w:r w:rsidRPr="00000431">
              <w:rPr>
                <w:rFonts w:eastAsia="Times New Roman"/>
                <w:snapToGrid w:val="0"/>
                <w:sz w:val="18"/>
                <w:szCs w:val="19"/>
              </w:rPr>
              <w:t>0.348</w:t>
            </w:r>
            <w:r w:rsidRPr="00150D96">
              <w:rPr>
                <w:rFonts w:eastAsia="Times New Roman"/>
                <w:snapToGrid w:val="0"/>
                <w:sz w:val="18"/>
                <w:szCs w:val="19"/>
                <w:vertAlign w:val="superscript"/>
              </w:rPr>
              <w:t>c</w:t>
            </w:r>
          </w:p>
        </w:tc>
        <w:tc>
          <w:tcPr>
            <w:tcW w:w="850" w:type="dxa"/>
          </w:tcPr>
          <w:p w:rsidR="003E3A3E" w:rsidRPr="00D81687" w:rsidRDefault="003E3A3E" w:rsidP="00325E22">
            <w:pPr>
              <w:ind w:left="34" w:right="0"/>
              <w:rPr>
                <w:rFonts w:cs="Calibri"/>
                <w:sz w:val="18"/>
                <w:szCs w:val="18"/>
              </w:rPr>
            </w:pPr>
            <w:r w:rsidRPr="00D81687">
              <w:rPr>
                <w:rFonts w:cs="Calibri"/>
                <w:sz w:val="18"/>
                <w:szCs w:val="18"/>
              </w:rPr>
              <w:t>13</w:t>
            </w:r>
          </w:p>
        </w:tc>
        <w:tc>
          <w:tcPr>
            <w:tcW w:w="1276" w:type="dxa"/>
          </w:tcPr>
          <w:p w:rsidR="003E3A3E" w:rsidRPr="00000431" w:rsidRDefault="003E3A3E" w:rsidP="00325E22">
            <w:pPr>
              <w:ind w:left="34" w:right="0"/>
              <w:rPr>
                <w:rFonts w:eastAsia="Times New Roman"/>
                <w:snapToGrid w:val="0"/>
                <w:sz w:val="18"/>
                <w:szCs w:val="19"/>
              </w:rPr>
            </w:pPr>
            <w:r w:rsidRPr="00000431">
              <w:rPr>
                <w:rFonts w:eastAsia="Times New Roman"/>
                <w:snapToGrid w:val="0"/>
                <w:sz w:val="18"/>
                <w:szCs w:val="19"/>
              </w:rPr>
              <w:t>0.83</w:t>
            </w:r>
          </w:p>
        </w:tc>
      </w:tr>
      <w:tr w:rsidR="003E3A3E" w:rsidRPr="00000431" w:rsidTr="00325E22">
        <w:trPr>
          <w:trHeight w:val="227"/>
        </w:trPr>
        <w:tc>
          <w:tcPr>
            <w:tcW w:w="1101" w:type="dxa"/>
            <w:vMerge/>
          </w:tcPr>
          <w:p w:rsidR="003E3A3E" w:rsidRPr="00000431" w:rsidRDefault="003E3A3E" w:rsidP="00325E22">
            <w:pPr>
              <w:ind w:left="0" w:right="0"/>
              <w:rPr>
                <w:rFonts w:eastAsia="Times New Roman"/>
                <w:snapToGrid w:val="0"/>
                <w:sz w:val="18"/>
                <w:szCs w:val="19"/>
              </w:rPr>
            </w:pPr>
          </w:p>
        </w:tc>
        <w:tc>
          <w:tcPr>
            <w:tcW w:w="1701" w:type="dxa"/>
            <w:vMerge/>
          </w:tcPr>
          <w:p w:rsidR="003E3A3E" w:rsidRPr="00000431" w:rsidRDefault="003E3A3E" w:rsidP="00325E22">
            <w:pPr>
              <w:ind w:left="33" w:right="0"/>
              <w:rPr>
                <w:rFonts w:eastAsia="Times New Roman"/>
                <w:snapToGrid w:val="0"/>
                <w:color w:val="4C8E3A"/>
                <w:sz w:val="18"/>
                <w:szCs w:val="19"/>
              </w:rPr>
            </w:pPr>
          </w:p>
        </w:tc>
        <w:tc>
          <w:tcPr>
            <w:tcW w:w="1701" w:type="dxa"/>
            <w:gridSpan w:val="2"/>
          </w:tcPr>
          <w:p w:rsidR="003E3A3E" w:rsidRPr="00000431" w:rsidRDefault="003E3A3E" w:rsidP="00325E22">
            <w:pPr>
              <w:ind w:left="33" w:right="0"/>
              <w:rPr>
                <w:rFonts w:eastAsia="Times New Roman"/>
                <w:snapToGrid w:val="0"/>
                <w:sz w:val="18"/>
                <w:szCs w:val="19"/>
              </w:rPr>
            </w:pPr>
            <w:r w:rsidRPr="00000431">
              <w:rPr>
                <w:rFonts w:eastAsia="Times New Roman"/>
                <w:snapToGrid w:val="0"/>
                <w:sz w:val="18"/>
                <w:szCs w:val="19"/>
              </w:rPr>
              <w:t>20</w:t>
            </w:r>
          </w:p>
        </w:tc>
        <w:tc>
          <w:tcPr>
            <w:tcW w:w="1134" w:type="dxa"/>
          </w:tcPr>
          <w:p w:rsidR="003E3A3E" w:rsidRPr="00D81687" w:rsidRDefault="003E3A3E" w:rsidP="00325E22">
            <w:pPr>
              <w:ind w:left="0" w:right="0"/>
              <w:rPr>
                <w:rFonts w:cs="Calibri"/>
                <w:sz w:val="18"/>
                <w:szCs w:val="18"/>
              </w:rPr>
            </w:pPr>
            <w:r w:rsidRPr="00D81687">
              <w:rPr>
                <w:rFonts w:cs="Calibri"/>
                <w:sz w:val="18"/>
                <w:szCs w:val="18"/>
              </w:rPr>
              <w:t>700</w:t>
            </w:r>
          </w:p>
        </w:tc>
        <w:tc>
          <w:tcPr>
            <w:tcW w:w="1134" w:type="dxa"/>
          </w:tcPr>
          <w:p w:rsidR="003E3A3E" w:rsidRPr="00000431" w:rsidRDefault="003E3A3E" w:rsidP="00325E22">
            <w:pPr>
              <w:ind w:left="0" w:right="0"/>
              <w:rPr>
                <w:rFonts w:eastAsia="Times New Roman"/>
                <w:snapToGrid w:val="0"/>
                <w:sz w:val="18"/>
                <w:szCs w:val="19"/>
              </w:rPr>
            </w:pPr>
            <w:r w:rsidRPr="00000431">
              <w:rPr>
                <w:rFonts w:eastAsia="Times New Roman"/>
                <w:snapToGrid w:val="0"/>
                <w:sz w:val="18"/>
                <w:szCs w:val="19"/>
              </w:rPr>
              <w:t>1.35</w:t>
            </w:r>
            <w:r w:rsidRPr="00150D96">
              <w:rPr>
                <w:rFonts w:eastAsia="Times New Roman"/>
                <w:snapToGrid w:val="0"/>
                <w:sz w:val="18"/>
                <w:szCs w:val="19"/>
                <w:vertAlign w:val="superscript"/>
              </w:rPr>
              <w:t>c</w:t>
            </w:r>
          </w:p>
        </w:tc>
        <w:tc>
          <w:tcPr>
            <w:tcW w:w="850" w:type="dxa"/>
          </w:tcPr>
          <w:p w:rsidR="003E3A3E" w:rsidRPr="00D81687" w:rsidRDefault="003E3A3E" w:rsidP="00325E22">
            <w:pPr>
              <w:ind w:left="34" w:right="0"/>
              <w:rPr>
                <w:rFonts w:cs="Calibri"/>
                <w:sz w:val="18"/>
                <w:szCs w:val="18"/>
              </w:rPr>
            </w:pPr>
            <w:r w:rsidRPr="00D81687">
              <w:rPr>
                <w:rFonts w:cs="Calibri"/>
                <w:sz w:val="18"/>
                <w:szCs w:val="18"/>
              </w:rPr>
              <w:t>70</w:t>
            </w:r>
          </w:p>
        </w:tc>
        <w:tc>
          <w:tcPr>
            <w:tcW w:w="1276" w:type="dxa"/>
          </w:tcPr>
          <w:p w:rsidR="003E3A3E" w:rsidRPr="00000431" w:rsidRDefault="003E3A3E" w:rsidP="00325E22">
            <w:pPr>
              <w:ind w:left="34" w:right="0"/>
              <w:rPr>
                <w:rFonts w:eastAsia="Times New Roman"/>
                <w:snapToGrid w:val="0"/>
                <w:sz w:val="18"/>
                <w:szCs w:val="19"/>
              </w:rPr>
            </w:pPr>
            <w:r w:rsidRPr="00000431">
              <w:rPr>
                <w:rFonts w:eastAsia="Times New Roman"/>
                <w:snapToGrid w:val="0"/>
                <w:sz w:val="18"/>
                <w:szCs w:val="19"/>
              </w:rPr>
              <w:t>3.2</w:t>
            </w:r>
          </w:p>
        </w:tc>
      </w:tr>
      <w:tr w:rsidR="003E3A3E" w:rsidRPr="00000431" w:rsidTr="00325E22">
        <w:trPr>
          <w:trHeight w:val="340"/>
        </w:trPr>
        <w:tc>
          <w:tcPr>
            <w:tcW w:w="1101" w:type="dxa"/>
            <w:vAlign w:val="center"/>
          </w:tcPr>
          <w:p w:rsidR="003E3A3E" w:rsidRPr="00000431" w:rsidRDefault="003E3A3E" w:rsidP="00325E22">
            <w:pPr>
              <w:ind w:left="0" w:right="0"/>
              <w:rPr>
                <w:rFonts w:eastAsia="Times New Roman"/>
                <w:snapToGrid w:val="0"/>
                <w:sz w:val="18"/>
                <w:szCs w:val="19"/>
              </w:rPr>
            </w:pPr>
            <w:r w:rsidRPr="00000431">
              <w:rPr>
                <w:rFonts w:eastAsia="Times New Roman"/>
                <w:snapToGrid w:val="0"/>
                <w:sz w:val="18"/>
                <w:szCs w:val="19"/>
              </w:rPr>
              <w:t>Human</w:t>
            </w:r>
          </w:p>
        </w:tc>
        <w:tc>
          <w:tcPr>
            <w:tcW w:w="1701" w:type="dxa"/>
            <w:vAlign w:val="center"/>
          </w:tcPr>
          <w:p w:rsidR="003E3A3E" w:rsidRPr="00000431" w:rsidRDefault="003E3A3E" w:rsidP="00325E22">
            <w:pPr>
              <w:ind w:left="33" w:right="0"/>
              <w:rPr>
                <w:rFonts w:eastAsia="Times New Roman"/>
                <w:snapToGrid w:val="0"/>
                <w:sz w:val="18"/>
                <w:szCs w:val="19"/>
              </w:rPr>
            </w:pPr>
            <w:r w:rsidRPr="00000431">
              <w:rPr>
                <w:rFonts w:eastAsia="Times New Roman"/>
                <w:snapToGrid w:val="0"/>
                <w:sz w:val="18"/>
                <w:szCs w:val="19"/>
              </w:rPr>
              <w:t>steady state</w:t>
            </w:r>
          </w:p>
        </w:tc>
        <w:tc>
          <w:tcPr>
            <w:tcW w:w="1701" w:type="dxa"/>
            <w:gridSpan w:val="2"/>
            <w:vAlign w:val="center"/>
          </w:tcPr>
          <w:p w:rsidR="003E3A3E" w:rsidRPr="00000431" w:rsidRDefault="003E3A3E" w:rsidP="00325E22">
            <w:pPr>
              <w:ind w:left="33" w:right="0"/>
              <w:rPr>
                <w:rFonts w:eastAsia="Times New Roman"/>
                <w:i/>
                <w:snapToGrid w:val="0"/>
                <w:sz w:val="18"/>
                <w:szCs w:val="19"/>
                <w:vertAlign w:val="superscript"/>
              </w:rPr>
            </w:pPr>
            <w:r>
              <w:rPr>
                <w:rFonts w:eastAsia="Times New Roman"/>
                <w:snapToGrid w:val="0"/>
                <w:sz w:val="18"/>
                <w:szCs w:val="19"/>
              </w:rPr>
              <w:t>[5</w:t>
            </w:r>
            <w:r w:rsidRPr="00000431">
              <w:rPr>
                <w:rFonts w:eastAsia="Times New Roman"/>
                <w:snapToGrid w:val="0"/>
                <w:sz w:val="18"/>
                <w:szCs w:val="19"/>
              </w:rPr>
              <w:t xml:space="preserve"> mg/day]</w:t>
            </w:r>
            <w:r w:rsidRPr="00150D96">
              <w:rPr>
                <w:rFonts w:eastAsia="Times New Roman"/>
                <w:snapToGrid w:val="0"/>
                <w:sz w:val="18"/>
                <w:szCs w:val="19"/>
                <w:vertAlign w:val="superscript"/>
              </w:rPr>
              <w:t>a</w:t>
            </w:r>
          </w:p>
        </w:tc>
        <w:tc>
          <w:tcPr>
            <w:tcW w:w="1134" w:type="dxa"/>
            <w:vAlign w:val="center"/>
          </w:tcPr>
          <w:p w:rsidR="003E3A3E" w:rsidRPr="00000431" w:rsidRDefault="003E3A3E" w:rsidP="00325E22">
            <w:pPr>
              <w:ind w:left="0" w:right="0"/>
              <w:rPr>
                <w:rFonts w:eastAsia="Times New Roman"/>
                <w:snapToGrid w:val="0"/>
                <w:sz w:val="18"/>
                <w:szCs w:val="19"/>
              </w:rPr>
            </w:pPr>
            <w:r>
              <w:rPr>
                <w:rFonts w:eastAsia="Times New Roman"/>
                <w:snapToGrid w:val="0"/>
                <w:sz w:val="18"/>
                <w:szCs w:val="19"/>
              </w:rPr>
              <w:t>10</w:t>
            </w:r>
          </w:p>
        </w:tc>
        <w:tc>
          <w:tcPr>
            <w:tcW w:w="1134" w:type="dxa"/>
            <w:vAlign w:val="center"/>
          </w:tcPr>
          <w:p w:rsidR="003E3A3E" w:rsidRPr="00000431" w:rsidRDefault="003E3A3E" w:rsidP="00325E22">
            <w:pPr>
              <w:ind w:left="0" w:right="0"/>
              <w:rPr>
                <w:rFonts w:eastAsia="Times New Roman"/>
                <w:snapToGrid w:val="0"/>
                <w:sz w:val="18"/>
                <w:szCs w:val="19"/>
              </w:rPr>
            </w:pPr>
            <w:r w:rsidRPr="00000431">
              <w:rPr>
                <w:rFonts w:eastAsia="Times New Roman"/>
                <w:snapToGrid w:val="0"/>
                <w:sz w:val="18"/>
                <w:szCs w:val="19"/>
              </w:rPr>
              <w:t>0.417</w:t>
            </w:r>
          </w:p>
        </w:tc>
        <w:tc>
          <w:tcPr>
            <w:tcW w:w="850" w:type="dxa"/>
            <w:vAlign w:val="center"/>
          </w:tcPr>
          <w:p w:rsidR="003E3A3E" w:rsidRPr="00000431" w:rsidRDefault="003E3A3E" w:rsidP="00325E22">
            <w:pPr>
              <w:ind w:left="34" w:right="0"/>
              <w:rPr>
                <w:rFonts w:eastAsia="Times New Roman"/>
                <w:snapToGrid w:val="0"/>
                <w:sz w:val="18"/>
                <w:szCs w:val="19"/>
              </w:rPr>
            </w:pPr>
            <w:r w:rsidRPr="00000431">
              <w:rPr>
                <w:rFonts w:eastAsia="Times New Roman"/>
                <w:snapToGrid w:val="0"/>
                <w:sz w:val="18"/>
                <w:szCs w:val="19"/>
              </w:rPr>
              <w:t>–</w:t>
            </w:r>
          </w:p>
        </w:tc>
        <w:tc>
          <w:tcPr>
            <w:tcW w:w="1276" w:type="dxa"/>
            <w:vAlign w:val="center"/>
          </w:tcPr>
          <w:p w:rsidR="003E3A3E" w:rsidRPr="00000431" w:rsidRDefault="003E3A3E" w:rsidP="00325E22">
            <w:pPr>
              <w:ind w:left="34" w:right="0"/>
              <w:rPr>
                <w:rFonts w:eastAsia="Times New Roman"/>
                <w:snapToGrid w:val="0"/>
                <w:sz w:val="18"/>
                <w:szCs w:val="19"/>
              </w:rPr>
            </w:pPr>
            <w:r w:rsidRPr="00000431">
              <w:rPr>
                <w:rFonts w:eastAsia="Times New Roman"/>
                <w:snapToGrid w:val="0"/>
                <w:sz w:val="18"/>
                <w:szCs w:val="19"/>
              </w:rPr>
              <w:t>–</w:t>
            </w:r>
          </w:p>
        </w:tc>
      </w:tr>
    </w:tbl>
    <w:p w:rsidR="00DE57B5" w:rsidRPr="007279C4" w:rsidRDefault="00AA4341" w:rsidP="00325E22">
      <w:pPr>
        <w:pStyle w:val="TableDescription"/>
        <w:keepNext/>
        <w:keepLines/>
        <w:numPr>
          <w:ilvl w:val="0"/>
          <w:numId w:val="27"/>
        </w:numPr>
        <w:ind w:left="426"/>
      </w:pPr>
      <w:r w:rsidRPr="007279C4">
        <w:t>1 g of a 0.5% gel;</w:t>
      </w:r>
    </w:p>
    <w:p w:rsidR="00DE57B5" w:rsidRPr="007279C4" w:rsidRDefault="00DE57B5" w:rsidP="00325E22">
      <w:pPr>
        <w:pStyle w:val="TableDescription"/>
        <w:keepNext/>
        <w:keepLines/>
        <w:numPr>
          <w:ilvl w:val="0"/>
          <w:numId w:val="27"/>
        </w:numPr>
        <w:ind w:left="426"/>
      </w:pPr>
      <w:r w:rsidRPr="007279C4">
        <w:t>based on treatment areas of 25 cm</w:t>
      </w:r>
      <w:r w:rsidRPr="007279C4">
        <w:rPr>
          <w:vertAlign w:val="superscript"/>
        </w:rPr>
        <w:t>2</w:t>
      </w:r>
      <w:r w:rsidRPr="007279C4">
        <w:t xml:space="preserve"> in mice and 500 cm</w:t>
      </w:r>
      <w:r w:rsidRPr="007279C4">
        <w:rPr>
          <w:vertAlign w:val="superscript"/>
        </w:rPr>
        <w:t>2</w:t>
      </w:r>
      <w:r w:rsidRPr="007279C4">
        <w:t xml:space="preserve"> in humans, 20% BSA in rats and 10% BSA in </w:t>
      </w:r>
      <w:proofErr w:type="spellStart"/>
      <w:r w:rsidRPr="007279C4">
        <w:t>minipigs</w:t>
      </w:r>
      <w:proofErr w:type="spellEnd"/>
      <w:r w:rsidRPr="007279C4">
        <w:t>, and calculated using mg/kg to mg/m</w:t>
      </w:r>
      <w:r w:rsidRPr="007279C4">
        <w:rPr>
          <w:vertAlign w:val="superscript"/>
        </w:rPr>
        <w:t>2</w:t>
      </w:r>
      <w:r w:rsidRPr="007279C4">
        <w:t xml:space="preserve"> </w:t>
      </w:r>
      <w:r w:rsidR="00525DBA" w:rsidRPr="007279C4">
        <w:t>BSA</w:t>
      </w:r>
      <w:r w:rsidRPr="007279C4">
        <w:t xml:space="preserve"> conversion factors of 6 and 35 for rats and </w:t>
      </w:r>
      <w:proofErr w:type="spellStart"/>
      <w:r w:rsidRPr="007279C4">
        <w:t>minipigs</w:t>
      </w:r>
      <w:proofErr w:type="spellEnd"/>
      <w:r w:rsidRPr="007279C4">
        <w:t>, respectively</w:t>
      </w:r>
    </w:p>
    <w:p w:rsidR="00F51FD9" w:rsidRPr="007279C4" w:rsidRDefault="00DE57B5" w:rsidP="00325E22">
      <w:pPr>
        <w:pStyle w:val="TableDescription"/>
        <w:keepNext/>
        <w:keepLines/>
        <w:numPr>
          <w:ilvl w:val="0"/>
          <w:numId w:val="27"/>
        </w:numPr>
        <w:ind w:left="426"/>
      </w:pPr>
      <w:r w:rsidRPr="007279C4">
        <w:t>reported AUC</w:t>
      </w:r>
      <w:r w:rsidR="00862C86" w:rsidRPr="007279C4">
        <w:rPr>
          <w:vertAlign w:val="subscript"/>
        </w:rPr>
        <w:t>0–24</w:t>
      </w:r>
      <w:r w:rsidRPr="007279C4">
        <w:rPr>
          <w:vertAlign w:val="subscript"/>
        </w:rPr>
        <w:t>h</w:t>
      </w:r>
      <w:r w:rsidRPr="007279C4">
        <w:t xml:space="preserve"> values have been divided by 4 as animals were exposed for 6 h/day only, and the rate of exposure was fairly constant</w:t>
      </w:r>
    </w:p>
    <w:p w:rsidR="003E3A3E" w:rsidRPr="007279C4" w:rsidRDefault="003E3A3E" w:rsidP="00325E22">
      <w:pPr>
        <w:pStyle w:val="TableDescription"/>
        <w:keepNext/>
        <w:keepLines/>
        <w:numPr>
          <w:ilvl w:val="0"/>
          <w:numId w:val="27"/>
        </w:numPr>
        <w:ind w:left="426"/>
      </w:pPr>
      <w:r w:rsidRPr="007279C4">
        <w:t>M = male, F = female</w:t>
      </w:r>
    </w:p>
    <w:p w:rsidR="00F51FD9" w:rsidRPr="00F51FD9" w:rsidRDefault="00F51FD9" w:rsidP="00325E22">
      <w:pPr>
        <w:pStyle w:val="Heading5"/>
      </w:pPr>
      <w:r w:rsidRPr="00325E22">
        <w:t>Systemic</w:t>
      </w:r>
      <w:r w:rsidRPr="00F51FD9">
        <w:t xml:space="preserve"> toxicity</w:t>
      </w:r>
    </w:p>
    <w:p w:rsidR="00F51FD9" w:rsidRPr="00F51FD9" w:rsidRDefault="00F51FD9" w:rsidP="007279C4">
      <w:r w:rsidRPr="00F51FD9">
        <w:t>Deaths were seen at high doses in mice (</w:t>
      </w:r>
      <w:r>
        <w:t xml:space="preserve">≥ </w:t>
      </w:r>
      <w:r w:rsidR="006F1757">
        <w:t>66</w:t>
      </w:r>
      <w:r w:rsidR="00E16BE5">
        <w:t xml:space="preserve"> </w:t>
      </w:r>
      <w:r w:rsidRPr="00F51FD9">
        <w:t>mg/kg/day) and rats (6</w:t>
      </w:r>
      <w:r w:rsidR="006F1757">
        <w:t>0</w:t>
      </w:r>
      <w:r w:rsidR="00E16BE5">
        <w:t xml:space="preserve"> </w:t>
      </w:r>
      <w:r w:rsidRPr="00F51FD9">
        <w:t xml:space="preserve">mg/kg/day). Systemic exposure in rats at this dose is </w:t>
      </w:r>
      <w:r>
        <w:t xml:space="preserve">&gt; </w:t>
      </w:r>
      <w:r w:rsidRPr="00F51FD9">
        <w:t xml:space="preserve">5800 times the clinical AUC; </w:t>
      </w:r>
      <w:proofErr w:type="spellStart"/>
      <w:r w:rsidRPr="00F51FD9">
        <w:t>toxicokinetic</w:t>
      </w:r>
      <w:proofErr w:type="spellEnd"/>
      <w:r w:rsidRPr="00F51FD9">
        <w:t xml:space="preserve"> data were not obtained in mice. A cause of death was only identified in one case, but the mortalit</w:t>
      </w:r>
      <w:r w:rsidR="006F1757">
        <w:t xml:space="preserve">y is considered to be drug </w:t>
      </w:r>
      <w:r w:rsidRPr="00F51FD9">
        <w:t xml:space="preserve">related. Various systemic clinical signs were observed in mice and rats that received topical dermal applications of brimonidine tartrate </w:t>
      </w:r>
      <w:proofErr w:type="gramStart"/>
      <w:r w:rsidRPr="00F51FD9">
        <w:t>gel,</w:t>
      </w:r>
      <w:proofErr w:type="gramEnd"/>
      <w:r w:rsidRPr="00F51FD9">
        <w:t xml:space="preserve"> and these can largely be attributed to the pharmacological action of brimonidine</w:t>
      </w:r>
      <w:r>
        <w:t xml:space="preserve">; </w:t>
      </w:r>
      <w:r w:rsidRPr="00F51FD9">
        <w:t xml:space="preserve">sedation and </w:t>
      </w:r>
      <w:r w:rsidR="00C7611B" w:rsidRPr="00F51FD9">
        <w:t>hypo activity</w:t>
      </w:r>
      <w:r w:rsidRPr="00F51FD9">
        <w:t>, hypersensitivity to touch and hyper</w:t>
      </w:r>
      <w:r w:rsidR="00036B9A">
        <w:t xml:space="preserve"> </w:t>
      </w:r>
      <w:r w:rsidRPr="00F51FD9">
        <w:t xml:space="preserve">reactivity, </w:t>
      </w:r>
      <w:proofErr w:type="spellStart"/>
      <w:r w:rsidRPr="00F51FD9">
        <w:t>bradypn</w:t>
      </w:r>
      <w:r w:rsidR="00E16BE5">
        <w:t>o</w:t>
      </w:r>
      <w:r w:rsidRPr="00F51FD9">
        <w:t>ea</w:t>
      </w:r>
      <w:proofErr w:type="spellEnd"/>
      <w:r w:rsidRPr="00F51FD9">
        <w:t xml:space="preserve"> and tachypn</w:t>
      </w:r>
      <w:r w:rsidR="00E16BE5">
        <w:t>o</w:t>
      </w:r>
      <w:r w:rsidRPr="00F51FD9">
        <w:t>ea and distended abdomen (</w:t>
      </w:r>
      <w:proofErr w:type="spellStart"/>
      <w:r w:rsidRPr="00F51FD9">
        <w:t>Angelov</w:t>
      </w:r>
      <w:proofErr w:type="spellEnd"/>
      <w:r w:rsidRPr="00F51FD9">
        <w:t xml:space="preserve"> et al., 1996a</w:t>
      </w:r>
      <w:r w:rsidR="00704180">
        <w:rPr>
          <w:rStyle w:val="FootnoteReference"/>
        </w:rPr>
        <w:footnoteReference w:id="12"/>
      </w:r>
      <w:r w:rsidRPr="00F51FD9">
        <w:t xml:space="preserve">). The </w:t>
      </w:r>
      <w:r w:rsidR="00036B9A">
        <w:t>no observable effect level (</w:t>
      </w:r>
      <w:r w:rsidRPr="00F51FD9">
        <w:t>NOEL</w:t>
      </w:r>
      <w:r w:rsidR="00036B9A">
        <w:t>)</w:t>
      </w:r>
      <w:r w:rsidRPr="00F51FD9">
        <w:t xml:space="preserve"> for these clinical signs was 6 mg/kg/day fo</w:t>
      </w:r>
      <w:r w:rsidR="00036B9A">
        <w:t xml:space="preserve">r mice and 1.08 </w:t>
      </w:r>
      <w:r w:rsidRPr="00F51FD9">
        <w:t>mg/kg/day for rats in the pivotal stud</w:t>
      </w:r>
      <w:r w:rsidR="00036B9A">
        <w:t>y (exposure ratio based on AUC (</w:t>
      </w:r>
      <w:r w:rsidRPr="00F51FD9">
        <w:t>ER</w:t>
      </w:r>
      <w:r w:rsidRPr="00F51FD9">
        <w:rPr>
          <w:vertAlign w:val="subscript"/>
        </w:rPr>
        <w:t>AUC</w:t>
      </w:r>
      <w:r w:rsidR="00036B9A">
        <w:t>)</w:t>
      </w:r>
      <w:r w:rsidRPr="00F51FD9">
        <w:t xml:space="preserve">, </w:t>
      </w:r>
      <w:r>
        <w:t xml:space="preserve">approximately </w:t>
      </w:r>
      <w:r w:rsidRPr="00F51FD9">
        <w:t>100).</w:t>
      </w:r>
    </w:p>
    <w:p w:rsidR="00F51FD9" w:rsidRPr="00F51FD9" w:rsidRDefault="00F51FD9" w:rsidP="007279C4">
      <w:r w:rsidRPr="00F51FD9">
        <w:t>No consistent target organs for toxic</w:t>
      </w:r>
      <w:r w:rsidR="006F1757">
        <w:t xml:space="preserve">ity were identified during post </w:t>
      </w:r>
      <w:r w:rsidRPr="00F51FD9">
        <w:t>mortem analyses. Increased severity of lymphoid depletion was seen in</w:t>
      </w:r>
      <w:r>
        <w:t xml:space="preserve"> the thymus of treated rats (12 </w:t>
      </w:r>
      <w:r w:rsidRPr="00F51FD9">
        <w:t>mg/kg/day in males and 60 mg/kg/day in females; ER</w:t>
      </w:r>
      <w:r w:rsidRPr="00F51FD9">
        <w:rPr>
          <w:vertAlign w:val="subscript"/>
        </w:rPr>
        <w:t>AUC</w:t>
      </w:r>
      <w:r w:rsidRPr="00F51FD9">
        <w:t xml:space="preserve"> at the NOEL is </w:t>
      </w:r>
      <w:r>
        <w:t xml:space="preserve">&gt; </w:t>
      </w:r>
      <w:r w:rsidRPr="00F51FD9">
        <w:t xml:space="preserve">340). An increased incidence of brown tubular pigment was seen in the kidney of female rats that received </w:t>
      </w:r>
      <w:r w:rsidR="006307ED">
        <w:t>≥</w:t>
      </w:r>
      <w:r>
        <w:t xml:space="preserve"> </w:t>
      </w:r>
      <w:r w:rsidRPr="00F51FD9">
        <w:t>30 mg/kg/day brimonidine tartrate (ER</w:t>
      </w:r>
      <w:r w:rsidRPr="00F00AA1">
        <w:rPr>
          <w:vertAlign w:val="subscript"/>
        </w:rPr>
        <w:t>AUC</w:t>
      </w:r>
      <w:r w:rsidRPr="00F51FD9">
        <w:t xml:space="preserve"> at the NOEL, approximately 500). The identity of</w:t>
      </w:r>
      <w:r w:rsidR="00E16BE5">
        <w:t xml:space="preserve"> the pigment was</w:t>
      </w:r>
      <w:r w:rsidR="00E206D7" w:rsidRPr="00E206D7">
        <w:t xml:space="preserve"> not determined but </w:t>
      </w:r>
      <w:r w:rsidRPr="00F51FD9">
        <w:t xml:space="preserve">there was no accompanying renal toxicity. There were no signs of systemic toxicity in </w:t>
      </w:r>
      <w:proofErr w:type="spellStart"/>
      <w:r w:rsidRPr="00F51FD9">
        <w:t>minipigs</w:t>
      </w:r>
      <w:proofErr w:type="spellEnd"/>
      <w:r w:rsidRPr="00F51FD9">
        <w:t xml:space="preserve"> (ER</w:t>
      </w:r>
      <w:r w:rsidRPr="00F00AA1">
        <w:rPr>
          <w:vertAlign w:val="subscript"/>
        </w:rPr>
        <w:t>AUC</w:t>
      </w:r>
      <w:r w:rsidRPr="00F51FD9">
        <w:t xml:space="preserve"> at the highest tested dose, approximately 3).</w:t>
      </w:r>
    </w:p>
    <w:p w:rsidR="008E566A" w:rsidRDefault="00F51FD9" w:rsidP="007279C4">
      <w:r w:rsidRPr="00F51FD9">
        <w:t xml:space="preserve">Based on the large exposure margins at the NOELs for systemic effects, none of these findings are predicted to be of relevance in patients with clinical use as directed. Additionally, there is some margin in the event </w:t>
      </w:r>
      <w:r w:rsidR="00F00AA1">
        <w:t>of increased expos</w:t>
      </w:r>
      <w:r w:rsidR="00D422F0">
        <w:t>ure due to co </w:t>
      </w:r>
      <w:r w:rsidRPr="001078A8">
        <w:t xml:space="preserve">administered </w:t>
      </w:r>
      <w:r w:rsidR="001078A8" w:rsidRPr="001078A8">
        <w:t>ocular</w:t>
      </w:r>
      <w:r w:rsidRPr="001078A8">
        <w:t xml:space="preserve"> products</w:t>
      </w:r>
      <w:r w:rsidRPr="00F51FD9">
        <w:t xml:space="preserve">, damaged skin or inadvertent (small levels of) ingestion. </w:t>
      </w:r>
      <w:r w:rsidRPr="00F51FD9">
        <w:lastRenderedPageBreak/>
        <w:t>However, if significant levels of the gel are ingested, there is a risk for clinical signs of toxicity (</w:t>
      </w:r>
      <w:r w:rsidR="00F00AA1">
        <w:t>for example</w:t>
      </w:r>
      <w:r w:rsidRPr="00F51FD9">
        <w:t xml:space="preserve"> sedation).</w:t>
      </w:r>
    </w:p>
    <w:p w:rsidR="008E566A" w:rsidRPr="00AD2BB3" w:rsidRDefault="008E566A" w:rsidP="007279C4">
      <w:r w:rsidRPr="008E566A">
        <w:t>Recommended revisions to w</w:t>
      </w:r>
      <w:r w:rsidR="00F51FD9" w:rsidRPr="008E566A">
        <w:t xml:space="preserve">arnings related to </w:t>
      </w:r>
      <w:r w:rsidR="00F00AA1" w:rsidRPr="008E566A">
        <w:t>over dosage</w:t>
      </w:r>
      <w:r w:rsidR="00F51FD9" w:rsidRPr="008E566A">
        <w:t xml:space="preserve"> with ingestion in the draft </w:t>
      </w:r>
      <w:r w:rsidR="006307ED" w:rsidRPr="008E566A">
        <w:t>PI</w:t>
      </w:r>
      <w:r w:rsidR="00F51FD9" w:rsidRPr="008E566A">
        <w:t xml:space="preserve"> and </w:t>
      </w:r>
      <w:r w:rsidR="006307ED" w:rsidRPr="008E566A">
        <w:t>CMI</w:t>
      </w:r>
      <w:r w:rsidR="00F51FD9" w:rsidRPr="008E566A">
        <w:t xml:space="preserve"> are</w:t>
      </w:r>
      <w:r w:rsidRPr="008E566A">
        <w:t xml:space="preserve"> beyond the scope of the AusPAR</w:t>
      </w:r>
      <w:r w:rsidR="00F51FD9" w:rsidRPr="008E566A">
        <w:t>.</w:t>
      </w:r>
    </w:p>
    <w:p w:rsidR="00F00AA1" w:rsidRPr="00F00AA1" w:rsidRDefault="00F00AA1" w:rsidP="007279C4">
      <w:pPr>
        <w:pStyle w:val="Heading5"/>
      </w:pPr>
      <w:r w:rsidRPr="00F00AA1">
        <w:t>Local dermal effects</w:t>
      </w:r>
    </w:p>
    <w:p w:rsidR="00F00AA1" w:rsidRPr="00D422F0" w:rsidRDefault="00F00AA1" w:rsidP="007279C4">
      <w:r w:rsidRPr="00F00AA1">
        <w:t>Local changes at application sites included a transient reduction in skinfold thickness in mice (at strengths</w:t>
      </w:r>
      <w:r>
        <w:t xml:space="preserve"> </w:t>
      </w:r>
      <w:r w:rsidR="006307ED">
        <w:t>≥</w:t>
      </w:r>
      <w:r>
        <w:t xml:space="preserve"> </w:t>
      </w:r>
      <w:r w:rsidRPr="00F00AA1">
        <w:t>0.18%; exposure ratio base</w:t>
      </w:r>
      <w:r w:rsidR="006307ED">
        <w:t xml:space="preserve">d </w:t>
      </w:r>
      <w:r w:rsidR="006307ED" w:rsidRPr="009B63B8">
        <w:t xml:space="preserve">on local dose of </w:t>
      </w:r>
      <w:proofErr w:type="spellStart"/>
      <w:r w:rsidR="006307ED" w:rsidRPr="009B63B8">
        <w:t>brimonidine</w:t>
      </w:r>
      <w:proofErr w:type="spellEnd"/>
      <w:r w:rsidR="006307ED" w:rsidRPr="009B63B8">
        <w:t xml:space="preserve"> </w:t>
      </w:r>
      <w:r w:rsidR="006307ED" w:rsidRPr="00D422F0">
        <w:t>(</w:t>
      </w:r>
      <w:proofErr w:type="spellStart"/>
      <w:r w:rsidRPr="00D422F0">
        <w:t>ER</w:t>
      </w:r>
      <w:r w:rsidRPr="00D422F0">
        <w:rPr>
          <w:vertAlign w:val="subscript"/>
        </w:rPr>
        <w:t>local</w:t>
      </w:r>
      <w:proofErr w:type="spellEnd"/>
      <w:r w:rsidR="006307ED" w:rsidRPr="00D422F0">
        <w:t>)</w:t>
      </w:r>
      <w:r w:rsidRPr="00D422F0">
        <w:t xml:space="preserve"> 0.72), an increased severity of epidermal hyperplasia/hyperkeratosis and hypertrophy/hyperplasia of the sebaceous glands in male rats (at </w:t>
      </w:r>
      <w:r w:rsidR="006307ED" w:rsidRPr="00D422F0">
        <w:t>≥</w:t>
      </w:r>
      <w:r w:rsidRPr="00D422F0">
        <w:t xml:space="preserve"> 0.2%; </w:t>
      </w:r>
      <w:proofErr w:type="spellStart"/>
      <w:r w:rsidRPr="00D422F0">
        <w:t>ER</w:t>
      </w:r>
      <w:r w:rsidRPr="00D422F0">
        <w:rPr>
          <w:vertAlign w:val="subscript"/>
        </w:rPr>
        <w:t>local</w:t>
      </w:r>
      <w:proofErr w:type="spellEnd"/>
      <w:r w:rsidR="00E206D7" w:rsidRPr="00E206D7">
        <w:t>,</w:t>
      </w:r>
      <w:r w:rsidRPr="00D422F0">
        <w:t xml:space="preserve"> 24) (in one study only and the severity was, at the most, mild) and greater erythema in </w:t>
      </w:r>
      <w:proofErr w:type="spellStart"/>
      <w:r w:rsidRPr="00D422F0">
        <w:t>minipigs</w:t>
      </w:r>
      <w:proofErr w:type="spellEnd"/>
      <w:r w:rsidRPr="00D422F0">
        <w:t xml:space="preserve"> (principally at ≥ 1%; </w:t>
      </w:r>
      <w:proofErr w:type="spellStart"/>
      <w:r w:rsidRPr="00D422F0">
        <w:t>ER</w:t>
      </w:r>
      <w:r w:rsidRPr="00D422F0">
        <w:rPr>
          <w:vertAlign w:val="subscript"/>
        </w:rPr>
        <w:t>local</w:t>
      </w:r>
      <w:proofErr w:type="spellEnd"/>
      <w:r w:rsidR="00E206D7" w:rsidRPr="00E206D7">
        <w:t>,</w:t>
      </w:r>
      <w:r w:rsidRPr="00D422F0">
        <w:t xml:space="preserve"> 35). Overall, local skin reactions during clinical use are predicted to be minimal.</w:t>
      </w:r>
    </w:p>
    <w:p w:rsidR="00F00AA1" w:rsidRPr="00F00AA1" w:rsidRDefault="00F00AA1" w:rsidP="007279C4">
      <w:pPr>
        <w:pStyle w:val="Heading4"/>
      </w:pPr>
      <w:bookmarkStart w:id="49" w:name="_Toc294861729"/>
      <w:proofErr w:type="spellStart"/>
      <w:r w:rsidRPr="00F00AA1">
        <w:t>Genotoxicity</w:t>
      </w:r>
      <w:bookmarkEnd w:id="49"/>
      <w:proofErr w:type="spellEnd"/>
    </w:p>
    <w:p w:rsidR="001C65A9" w:rsidRDefault="00F00AA1" w:rsidP="007279C4">
      <w:r w:rsidRPr="00F00AA1">
        <w:t xml:space="preserve">No new studies assessing the </w:t>
      </w:r>
      <w:proofErr w:type="spellStart"/>
      <w:r w:rsidRPr="00F00AA1">
        <w:t>genotoxic</w:t>
      </w:r>
      <w:proofErr w:type="spellEnd"/>
      <w:r w:rsidRPr="00F00AA1">
        <w:t xml:space="preserve"> potential of </w:t>
      </w:r>
      <w:proofErr w:type="spellStart"/>
      <w:r w:rsidRPr="00F00AA1">
        <w:t>brimonidine</w:t>
      </w:r>
      <w:proofErr w:type="spellEnd"/>
      <w:r w:rsidRPr="00F00AA1">
        <w:t xml:space="preserve"> were submitted. Snyder and Green (2001)</w:t>
      </w:r>
      <w:r w:rsidR="00035A8E">
        <w:rPr>
          <w:rStyle w:val="FootnoteReference"/>
        </w:rPr>
        <w:footnoteReference w:id="13"/>
      </w:r>
      <w:r w:rsidRPr="00F00AA1">
        <w:t xml:space="preserve"> reported that negative results were obtained for brimonidine in assays for mutagenicity (bacterial mutation assay and a dominant lethal test) and </w:t>
      </w:r>
      <w:proofErr w:type="spellStart"/>
      <w:r w:rsidRPr="00F00AA1">
        <w:t>clastogenicity</w:t>
      </w:r>
      <w:proofErr w:type="spellEnd"/>
      <w:r w:rsidRPr="00F00AA1">
        <w:t xml:space="preserve"> (in vitro chromosomal aberration assay and an in vivo micronucleus assay). A positive result for mutagenicity in one </w:t>
      </w:r>
      <w:r w:rsidRPr="00F00AA1">
        <w:rPr>
          <w:i/>
        </w:rPr>
        <w:t>S</w:t>
      </w:r>
      <w:r w:rsidR="00E16BE5">
        <w:rPr>
          <w:i/>
        </w:rPr>
        <w:t>almonella</w:t>
      </w:r>
      <w:r w:rsidR="001C65A9">
        <w:rPr>
          <w:i/>
        </w:rPr>
        <w:t xml:space="preserve"> </w:t>
      </w:r>
      <w:proofErr w:type="spellStart"/>
      <w:r w:rsidRPr="00F00AA1">
        <w:rPr>
          <w:i/>
        </w:rPr>
        <w:t>typhimurium</w:t>
      </w:r>
      <w:proofErr w:type="spellEnd"/>
      <w:r w:rsidRPr="00F00AA1">
        <w:t xml:space="preserve"> strain in the absence of metabolic activation is reported for the drug in the approved Australian </w:t>
      </w:r>
      <w:r w:rsidR="008D0214">
        <w:t>PI</w:t>
      </w:r>
      <w:r w:rsidRPr="00F00AA1">
        <w:t xml:space="preserve"> documents for </w:t>
      </w:r>
      <w:proofErr w:type="spellStart"/>
      <w:r w:rsidRPr="00F00AA1">
        <w:t>Alphagan</w:t>
      </w:r>
      <w:proofErr w:type="spellEnd"/>
      <w:r w:rsidRPr="00F00AA1">
        <w:t xml:space="preserve"> and </w:t>
      </w:r>
      <w:proofErr w:type="spellStart"/>
      <w:r w:rsidRPr="00F00AA1">
        <w:t>Combigan</w:t>
      </w:r>
      <w:proofErr w:type="spellEnd"/>
      <w:r w:rsidRPr="00F00AA1">
        <w:t xml:space="preserve"> (eye drop products containing brimonidine). The weight of evidence supports that brimonidine does not pose a </w:t>
      </w:r>
      <w:proofErr w:type="spellStart"/>
      <w:r w:rsidRPr="00F00AA1">
        <w:t>genotoxic</w:t>
      </w:r>
      <w:proofErr w:type="spellEnd"/>
      <w:r w:rsidRPr="00F00AA1">
        <w:t xml:space="preserve"> hazard.</w:t>
      </w:r>
    </w:p>
    <w:p w:rsidR="001C65A9" w:rsidRPr="0034370B" w:rsidRDefault="001C65A9" w:rsidP="00F00AA1">
      <w:r>
        <w:t xml:space="preserve">Potentially </w:t>
      </w:r>
      <w:proofErr w:type="spellStart"/>
      <w:r>
        <w:t>g</w:t>
      </w:r>
      <w:r w:rsidR="00F00AA1" w:rsidRPr="00F00AA1">
        <w:t>enotoxic</w:t>
      </w:r>
      <w:proofErr w:type="spellEnd"/>
      <w:r w:rsidR="00F00AA1" w:rsidRPr="00F00AA1">
        <w:t xml:space="preserve"> impurities in the</w:t>
      </w:r>
      <w:r>
        <w:t xml:space="preserve"> proposed</w:t>
      </w:r>
      <w:r w:rsidR="00F00AA1" w:rsidRPr="00F00AA1">
        <w:t xml:space="preserve"> drug product </w:t>
      </w:r>
      <w:r w:rsidR="00B57024">
        <w:t xml:space="preserve">(DP) </w:t>
      </w:r>
      <w:r w:rsidR="00F00AA1" w:rsidRPr="00F00AA1">
        <w:t>require appropriate control</w:t>
      </w:r>
      <w:r w:rsidR="008D0214">
        <w:t xml:space="preserve"> (see </w:t>
      </w:r>
      <w:r w:rsidR="008D0214" w:rsidRPr="001C65A9">
        <w:rPr>
          <w:i/>
        </w:rPr>
        <w:t>Impurities</w:t>
      </w:r>
      <w:r w:rsidR="008D0214">
        <w:t xml:space="preserve"> section below)</w:t>
      </w:r>
      <w:r w:rsidR="00F00AA1" w:rsidRPr="00F00AA1">
        <w:t>.</w:t>
      </w:r>
    </w:p>
    <w:p w:rsidR="00F00AA1" w:rsidRPr="00F00AA1" w:rsidRDefault="00F00AA1" w:rsidP="007279C4">
      <w:pPr>
        <w:pStyle w:val="Heading4"/>
      </w:pPr>
      <w:bookmarkStart w:id="50" w:name="_Toc294861730"/>
      <w:r w:rsidRPr="00F00AA1">
        <w:t>Carcinogenicity</w:t>
      </w:r>
      <w:bookmarkEnd w:id="50"/>
    </w:p>
    <w:p w:rsidR="0034370B" w:rsidRDefault="00E206D7" w:rsidP="007279C4">
      <w:r w:rsidRPr="00E206D7">
        <w:t xml:space="preserve">Carcinogenicity studies consisted of a standard 2 year study in rats and a 40 week photo </w:t>
      </w:r>
      <w:r w:rsidR="00F00AA1" w:rsidRPr="00F00AA1">
        <w:t xml:space="preserve">carcinogenicity study in hairless mice. The dermal route was used in both studies. </w:t>
      </w:r>
      <w:r w:rsidR="0034370B">
        <w:t>The choice of species and scope of studies are</w:t>
      </w:r>
      <w:r w:rsidR="00F00AA1" w:rsidRPr="00F00AA1">
        <w:t xml:space="preserve"> considered acceptable given the historical use of brimonidine and the exp</w:t>
      </w:r>
      <w:r w:rsidR="00F00AA1">
        <w:t xml:space="preserve">ected use of the product on sun </w:t>
      </w:r>
      <w:r w:rsidR="00F00AA1" w:rsidRPr="00F00AA1">
        <w:t xml:space="preserve">exposed skin. The conduct of the studies was as expected according to the relevant </w:t>
      </w:r>
      <w:r w:rsidR="0034370B">
        <w:t xml:space="preserve">EU </w:t>
      </w:r>
      <w:r w:rsidR="00F00AA1" w:rsidRPr="00F00AA1">
        <w:t>guidelines. Local exposure ratios were rea</w:t>
      </w:r>
      <w:r w:rsidR="0034370B">
        <w:t xml:space="preserve">sonable in mice and </w:t>
      </w:r>
      <w:r w:rsidRPr="00E206D7">
        <w:t xml:space="preserve">female rats but </w:t>
      </w:r>
      <w:r w:rsidR="00F00AA1" w:rsidRPr="00F00AA1">
        <w:t xml:space="preserve">relatively low in male rats (only 1.6 times the clinical local exposure at the highest tested dose). The low local dose in male rats is not considered to compromise the interpretation of the results, given the reasonable exposures in females, and noting also the lack of overall </w:t>
      </w:r>
      <w:proofErr w:type="spellStart"/>
      <w:r w:rsidR="00F00AA1" w:rsidRPr="00F00AA1">
        <w:t>genotoxic</w:t>
      </w:r>
      <w:proofErr w:type="spellEnd"/>
      <w:r w:rsidR="00F00AA1" w:rsidRPr="00F00AA1">
        <w:t xml:space="preserve"> concern</w:t>
      </w:r>
      <w:r w:rsidR="00F83C2A">
        <w:t xml:space="preserve"> and the absence of drug related dermal pre </w:t>
      </w:r>
      <w:r w:rsidR="00F00AA1" w:rsidRPr="00F00AA1">
        <w:t xml:space="preserve">neoplastic lesions in the general </w:t>
      </w:r>
      <w:r w:rsidR="00F83C2A">
        <w:t xml:space="preserve">repeat </w:t>
      </w:r>
      <w:r w:rsidR="00F00AA1" w:rsidRPr="00F00AA1">
        <w:t xml:space="preserve">dose toxicity studies at high local doses in rats and </w:t>
      </w:r>
      <w:proofErr w:type="spellStart"/>
      <w:r w:rsidR="00F00AA1" w:rsidRPr="00F00AA1">
        <w:t>minipigs</w:t>
      </w:r>
      <w:proofErr w:type="spellEnd"/>
      <w:r w:rsidR="00F00AA1" w:rsidRPr="00F00AA1">
        <w:t xml:space="preserve">. Systemic exposures in rats far exceeded the clinical </w:t>
      </w:r>
      <w:r w:rsidR="00F00AA1" w:rsidRPr="00C7611B">
        <w:t xml:space="preserve">exposure </w:t>
      </w:r>
      <w:r w:rsidR="00D422F0">
        <w:t>(</w:t>
      </w:r>
      <w:r w:rsidR="00C7611B" w:rsidRPr="00C7611B">
        <w:t>AUC</w:t>
      </w:r>
      <w:r w:rsidR="00D422F0">
        <w:t>)</w:t>
      </w:r>
      <w:r w:rsidR="00F00AA1" w:rsidRPr="00F00AA1">
        <w:t>. Potential systemic carcinogenicity was not assessed in the mouse study.</w:t>
      </w:r>
    </w:p>
    <w:p w:rsidR="00F00AA1" w:rsidRPr="00F00AA1" w:rsidRDefault="00F00AA1" w:rsidP="007279C4">
      <w:r w:rsidRPr="00F00AA1">
        <w:t xml:space="preserve">Brimonidine tartrate gel did not enhance or promote skin tumour formation in mice in the presence of </w:t>
      </w:r>
      <w:r w:rsidR="008D0214">
        <w:t>ultra violet (</w:t>
      </w:r>
      <w:r w:rsidRPr="00F00AA1">
        <w:t>UV</w:t>
      </w:r>
      <w:r w:rsidR="008D0214">
        <w:t>)</w:t>
      </w:r>
      <w:r w:rsidRPr="00F00AA1">
        <w:t xml:space="preserve"> light. There were no tumours either local or systemic in rats that could be attributed to treatment with brimonidine tartrate gel.</w:t>
      </w:r>
    </w:p>
    <w:p w:rsidR="00F00AA1" w:rsidRPr="00F00AA1" w:rsidRDefault="00F00AA1" w:rsidP="007279C4">
      <w:r w:rsidRPr="00F00AA1">
        <w:t xml:space="preserve">Published data indicated </w:t>
      </w:r>
      <w:r w:rsidR="0071589A">
        <w:t xml:space="preserve">there was no evidence of a drug </w:t>
      </w:r>
      <w:r w:rsidRPr="00F00AA1">
        <w:t>related increase in tumour incidence in mice treated orally with 2.5 mg/kg/day brimonidine for 21 month</w:t>
      </w:r>
      <w:r w:rsidR="006307ED">
        <w:t xml:space="preserve">s or rats treated orally with 1 </w:t>
      </w:r>
      <w:r w:rsidRPr="00F00AA1">
        <w:t>mg/kg/day brimonidine for 2 years (</w:t>
      </w:r>
      <w:proofErr w:type="spellStart"/>
      <w:r w:rsidRPr="00F00AA1">
        <w:t>Angelov</w:t>
      </w:r>
      <w:proofErr w:type="spellEnd"/>
      <w:r w:rsidRPr="00F00AA1">
        <w:t xml:space="preserve"> et al., 1996a). These studies are described in the approved Australian </w:t>
      </w:r>
      <w:r w:rsidR="006307ED">
        <w:t>PI</w:t>
      </w:r>
      <w:r w:rsidRPr="00F00AA1">
        <w:t xml:space="preserve"> documents for </w:t>
      </w:r>
      <w:proofErr w:type="spellStart"/>
      <w:r w:rsidRPr="00F00AA1">
        <w:t>Alphagan</w:t>
      </w:r>
      <w:proofErr w:type="spellEnd"/>
      <w:r w:rsidRPr="00F00AA1">
        <w:t xml:space="preserve"> and </w:t>
      </w:r>
      <w:proofErr w:type="spellStart"/>
      <w:r w:rsidRPr="00F00AA1">
        <w:t>Combigan</w:t>
      </w:r>
      <w:proofErr w:type="spellEnd"/>
      <w:r w:rsidRPr="00F00AA1">
        <w:t>.</w:t>
      </w:r>
    </w:p>
    <w:p w:rsidR="00F00AA1" w:rsidRPr="00F00AA1" w:rsidRDefault="00F00AA1" w:rsidP="00325E22">
      <w:r w:rsidRPr="00F00AA1">
        <w:lastRenderedPageBreak/>
        <w:t>Brimonidine tartrate is not considered to pose a carcinogenic hazard to patients.</w:t>
      </w:r>
    </w:p>
    <w:p w:rsidR="00F00AA1" w:rsidRPr="00F00AA1" w:rsidRDefault="00F00AA1" w:rsidP="007279C4">
      <w:pPr>
        <w:pStyle w:val="Heading4"/>
      </w:pPr>
      <w:r w:rsidRPr="00F00AA1">
        <w:t>Reproductive toxicity</w:t>
      </w:r>
    </w:p>
    <w:p w:rsidR="00F00AA1" w:rsidRPr="00F00AA1" w:rsidRDefault="00F00AA1" w:rsidP="007279C4">
      <w:r w:rsidRPr="00F00AA1">
        <w:t xml:space="preserve">No new reproductive toxicity studies were submitted. </w:t>
      </w:r>
      <w:r w:rsidR="009E4B8A">
        <w:t>T</w:t>
      </w:r>
      <w:r w:rsidRPr="00F00AA1">
        <w:t xml:space="preserve">he clinical systemic </w:t>
      </w:r>
      <w:proofErr w:type="gramStart"/>
      <w:r w:rsidRPr="00F00AA1">
        <w:t>exposure following dermal application of brimonidine tartrate gel is similar to that obtained from currently registered brimonidine tartrate eye drop formulations</w:t>
      </w:r>
      <w:r w:rsidR="009E4B8A">
        <w:t xml:space="preserve"> and</w:t>
      </w:r>
      <w:r w:rsidRPr="00F00AA1">
        <w:t>, when used as directed, similar risks for reproductive toxicity associated with brimonidine exist</w:t>
      </w:r>
      <w:proofErr w:type="gramEnd"/>
      <w:r w:rsidRPr="00F00AA1">
        <w:t xml:space="preserve"> with both dose forms. The sponsor provided an abstract (with minimal detail) describing the reproductive and developmental toxicity studies with brimonidine tartrate conducted by Allergan </w:t>
      </w:r>
      <w:proofErr w:type="spellStart"/>
      <w:r w:rsidRPr="00F00AA1">
        <w:t>Inc</w:t>
      </w:r>
      <w:proofErr w:type="spellEnd"/>
      <w:r w:rsidRPr="00F00AA1">
        <w:t xml:space="preserve"> (</w:t>
      </w:r>
      <w:proofErr w:type="spellStart"/>
      <w:r w:rsidRPr="00F00AA1">
        <w:t>Angelov</w:t>
      </w:r>
      <w:proofErr w:type="spellEnd"/>
      <w:r w:rsidRPr="00F00AA1">
        <w:t xml:space="preserve"> et al, 1996b</w:t>
      </w:r>
      <w:r w:rsidR="00035A8E">
        <w:rPr>
          <w:rStyle w:val="FootnoteReference"/>
        </w:rPr>
        <w:footnoteReference w:id="14"/>
      </w:r>
      <w:r w:rsidRPr="00F00AA1">
        <w:t xml:space="preserve">). It is likely that these studies were evaluated in the application by Allergan Australia Pty Ltd to register </w:t>
      </w:r>
      <w:proofErr w:type="spellStart"/>
      <w:r w:rsidRPr="00F00AA1">
        <w:t>Alphagan</w:t>
      </w:r>
      <w:proofErr w:type="spellEnd"/>
      <w:r w:rsidRPr="00F00AA1">
        <w:t xml:space="preserve"> and are the same studies referred to in the </w:t>
      </w:r>
      <w:r w:rsidR="00F93E60">
        <w:t>PI</w:t>
      </w:r>
      <w:r w:rsidRPr="00F00AA1">
        <w:t xml:space="preserve"> docu</w:t>
      </w:r>
      <w:r w:rsidR="008D0214">
        <w:t xml:space="preserve">ments for </w:t>
      </w:r>
      <w:proofErr w:type="spellStart"/>
      <w:r w:rsidR="008D0214">
        <w:t>Alphagan</w:t>
      </w:r>
      <w:proofErr w:type="spellEnd"/>
      <w:r w:rsidR="008D0214">
        <w:t xml:space="preserve"> and </w:t>
      </w:r>
      <w:proofErr w:type="spellStart"/>
      <w:r w:rsidR="008D0214">
        <w:t>Alphagan</w:t>
      </w:r>
      <w:proofErr w:type="spellEnd"/>
      <w:r w:rsidR="008D0214">
        <w:t xml:space="preserve"> </w:t>
      </w:r>
      <w:r w:rsidRPr="00F00AA1">
        <w:t>P</w:t>
      </w:r>
      <w:r w:rsidR="008D0214">
        <w:t xml:space="preserve">. The </w:t>
      </w:r>
      <w:r w:rsidRPr="00F00AA1">
        <w:t>doses in the abstract likely refer to brimonidine tartrate salt, w</w:t>
      </w:r>
      <w:r w:rsidR="008D0214">
        <w:t xml:space="preserve">hile the doses in the </w:t>
      </w:r>
      <w:proofErr w:type="spellStart"/>
      <w:r w:rsidR="008D0214">
        <w:t>Alphagan</w:t>
      </w:r>
      <w:proofErr w:type="spellEnd"/>
      <w:r w:rsidR="008D0214">
        <w:t xml:space="preserve"> P</w:t>
      </w:r>
      <w:r w:rsidRPr="00F00AA1">
        <w:t xml:space="preserve"> </w:t>
      </w:r>
      <w:r w:rsidR="008D0214">
        <w:t>PI</w:t>
      </w:r>
      <w:r w:rsidR="00F93E60">
        <w:t xml:space="preserve"> document refer to the base.</w:t>
      </w:r>
    </w:p>
    <w:p w:rsidR="00F00AA1" w:rsidRPr="00F00AA1" w:rsidRDefault="00F00AA1" w:rsidP="007279C4">
      <w:pPr>
        <w:pStyle w:val="Heading5"/>
      </w:pPr>
      <w:r w:rsidRPr="00F00AA1">
        <w:t>Pregnancy classification</w:t>
      </w:r>
    </w:p>
    <w:p w:rsidR="00F00AA1" w:rsidRPr="00F00AA1" w:rsidRDefault="00F00AA1" w:rsidP="007279C4">
      <w:r w:rsidRPr="00F00AA1">
        <w:t>The sponsor has proposed Pregnancy Category B1</w:t>
      </w:r>
      <w:r w:rsidR="00D379C9">
        <w:rPr>
          <w:rStyle w:val="FootnoteReference"/>
        </w:rPr>
        <w:footnoteReference w:id="15"/>
      </w:r>
      <w:r w:rsidRPr="00F00AA1">
        <w:t xml:space="preserve">. This is the current pregnancy category for the </w:t>
      </w:r>
      <w:r w:rsidR="00A737CC">
        <w:t xml:space="preserve">registered </w:t>
      </w:r>
      <w:r w:rsidRPr="00F00AA1">
        <w:t xml:space="preserve">product, </w:t>
      </w:r>
      <w:proofErr w:type="spellStart"/>
      <w:r w:rsidRPr="00F00AA1">
        <w:t>Alphagan</w:t>
      </w:r>
      <w:proofErr w:type="spellEnd"/>
      <w:r w:rsidR="00A737CC">
        <w:t xml:space="preserve"> </w:t>
      </w:r>
      <w:proofErr w:type="spellStart"/>
      <w:r w:rsidR="00A737CC">
        <w:t>eyedrops</w:t>
      </w:r>
      <w:proofErr w:type="spellEnd"/>
      <w:r w:rsidR="00A737CC">
        <w:t xml:space="preserve"> (containing 2 mg/mL </w:t>
      </w:r>
      <w:r w:rsidR="00A737CC" w:rsidRPr="00A737CC">
        <w:t>brim</w:t>
      </w:r>
      <w:r w:rsidR="00A737CC">
        <w:t>onidine tartrate)</w:t>
      </w:r>
      <w:r w:rsidRPr="00F00AA1">
        <w:t>. H</w:t>
      </w:r>
      <w:r w:rsidR="00F93E60">
        <w:t>owever, the subsequent</w:t>
      </w:r>
      <w:r w:rsidR="00A737CC">
        <w:t>ly registered</w:t>
      </w:r>
      <w:r w:rsidR="00F93E60">
        <w:t xml:space="preserve"> </w:t>
      </w:r>
      <w:proofErr w:type="spellStart"/>
      <w:r w:rsidR="00F93E60">
        <w:t>Alphagan</w:t>
      </w:r>
      <w:proofErr w:type="spellEnd"/>
      <w:r w:rsidR="00F93E60">
        <w:t xml:space="preserve"> </w:t>
      </w:r>
      <w:r w:rsidRPr="00F00AA1">
        <w:t xml:space="preserve">P </w:t>
      </w:r>
      <w:proofErr w:type="spellStart"/>
      <w:r w:rsidR="00A737CC">
        <w:t>eyedrops</w:t>
      </w:r>
      <w:proofErr w:type="spellEnd"/>
      <w:r w:rsidR="00A737CC">
        <w:t xml:space="preserve"> product </w:t>
      </w:r>
      <w:r w:rsidR="00ED2FF2">
        <w:t xml:space="preserve">containing 0.15% brimonidine </w:t>
      </w:r>
      <w:proofErr w:type="gramStart"/>
      <w:r w:rsidR="00E206D7">
        <w:t>tartrate,</w:t>
      </w:r>
      <w:proofErr w:type="gramEnd"/>
      <w:r w:rsidR="00ED2FF2">
        <w:t xml:space="preserve"> </w:t>
      </w:r>
      <w:r w:rsidRPr="00F00AA1">
        <w:t>has been assigne</w:t>
      </w:r>
      <w:r w:rsidR="0071589A">
        <w:t>d Category B3</w:t>
      </w:r>
      <w:r w:rsidR="006B3937">
        <w:rPr>
          <w:rStyle w:val="FootnoteReference"/>
        </w:rPr>
        <w:footnoteReference w:id="16"/>
      </w:r>
      <w:r w:rsidR="0071589A">
        <w:t xml:space="preserve">. Findings of post </w:t>
      </w:r>
      <w:r w:rsidRPr="00F00AA1">
        <w:t>implantation loss an</w:t>
      </w:r>
      <w:r w:rsidR="0071589A">
        <w:t xml:space="preserve">d </w:t>
      </w:r>
      <w:proofErr w:type="spellStart"/>
      <w:r w:rsidR="0071589A">
        <w:t>embryotoxicity</w:t>
      </w:r>
      <w:proofErr w:type="spellEnd"/>
      <w:r w:rsidR="0071589A">
        <w:t xml:space="preserve"> in </w:t>
      </w:r>
      <w:proofErr w:type="spellStart"/>
      <w:r w:rsidR="0071589A">
        <w:t>brimonidine</w:t>
      </w:r>
      <w:proofErr w:type="spellEnd"/>
      <w:r w:rsidR="0071589A">
        <w:t xml:space="preserve"> </w:t>
      </w:r>
      <w:r w:rsidRPr="00F00AA1">
        <w:t xml:space="preserve">treated rats and rabbits (albeit at </w:t>
      </w:r>
      <w:proofErr w:type="spellStart"/>
      <w:r w:rsidRPr="00F00AA1">
        <w:t>maternotoxic</w:t>
      </w:r>
      <w:proofErr w:type="spellEnd"/>
      <w:r w:rsidRPr="00F00AA1">
        <w:t xml:space="preserve"> doses) described in the </w:t>
      </w:r>
      <w:r w:rsidR="008D0214">
        <w:t>PI</w:t>
      </w:r>
      <w:r w:rsidRPr="00F00AA1">
        <w:t xml:space="preserve"> documents support Category B3 as the ap</w:t>
      </w:r>
      <w:r w:rsidR="00035A8E">
        <w:t>propriate category, and not B1.</w:t>
      </w:r>
    </w:p>
    <w:p w:rsidR="00F00AA1" w:rsidRPr="00F00AA1" w:rsidRDefault="00AA4341" w:rsidP="007279C4">
      <w:pPr>
        <w:pStyle w:val="Heading4"/>
      </w:pPr>
      <w:r>
        <w:t>Local tolerance</w:t>
      </w:r>
    </w:p>
    <w:p w:rsidR="00F00AA1" w:rsidRPr="00F00AA1" w:rsidRDefault="00F00AA1" w:rsidP="007279C4">
      <w:r w:rsidRPr="00F00AA1">
        <w:t xml:space="preserve">Brimonidine tartrate gel was not phototoxic when applied dermally to hairless mice, and was not considered an ocular irritant in rabbits or a </w:t>
      </w:r>
      <w:r w:rsidR="00035A8E">
        <w:t>skin sensitiser in guinea pigs.</w:t>
      </w:r>
    </w:p>
    <w:p w:rsidR="00F00AA1" w:rsidRPr="00F00AA1" w:rsidRDefault="00F00AA1" w:rsidP="007279C4">
      <w:pPr>
        <w:pStyle w:val="Heading4"/>
      </w:pPr>
      <w:r w:rsidRPr="00F00AA1">
        <w:t>Paediatric use</w:t>
      </w:r>
    </w:p>
    <w:p w:rsidR="00F00AA1" w:rsidRPr="00F00AA1" w:rsidRDefault="00F00AA1" w:rsidP="007279C4">
      <w:proofErr w:type="spellStart"/>
      <w:r w:rsidRPr="00F00AA1">
        <w:t>Mirvaso</w:t>
      </w:r>
      <w:proofErr w:type="spellEnd"/>
      <w:r w:rsidRPr="00F00AA1">
        <w:t xml:space="preserve"> is not proposed for paediatric use and no specific studies in juvenile animals were submitted.</w:t>
      </w:r>
    </w:p>
    <w:p w:rsidR="00AD2BB3" w:rsidRPr="00AD2BB3" w:rsidRDefault="00AD2BB3" w:rsidP="007279C4">
      <w:pPr>
        <w:pStyle w:val="Heading4"/>
      </w:pPr>
      <w:r w:rsidRPr="00AD2BB3">
        <w:t>Impurities</w:t>
      </w:r>
    </w:p>
    <w:p w:rsidR="00F51FD9" w:rsidRPr="00AD2BB3" w:rsidRDefault="00AD2BB3" w:rsidP="00F51FD9">
      <w:r w:rsidRPr="00AD2BB3">
        <w:t xml:space="preserve">The sponsor has proposed release and expiry limits for two </w:t>
      </w:r>
      <w:r w:rsidR="00ED2FF2">
        <w:t xml:space="preserve">potentially </w:t>
      </w:r>
      <w:proofErr w:type="spellStart"/>
      <w:r w:rsidRPr="00AD2BB3">
        <w:t>genotoxic</w:t>
      </w:r>
      <w:proofErr w:type="spellEnd"/>
      <w:r w:rsidRPr="00AD2BB3">
        <w:t xml:space="preserve"> impurities in the </w:t>
      </w:r>
      <w:r w:rsidR="00B57024">
        <w:t>DP</w:t>
      </w:r>
      <w:r w:rsidRPr="00AD2BB3">
        <w:t xml:space="preserve"> that result in doses that exceed the threshold of </w:t>
      </w:r>
      <w:r w:rsidR="008D0214">
        <w:t>TTC</w:t>
      </w:r>
      <w:r w:rsidRPr="00AD2BB3">
        <w:t xml:space="preserve"> value of 1.5 </w:t>
      </w:r>
      <w:r w:rsidR="00B271D4">
        <w:t>µ</w:t>
      </w:r>
      <w:r w:rsidRPr="00AD2BB3">
        <w:t xml:space="preserve">g per day without appropriate justification. These limits are not acceptable. Support for registration of </w:t>
      </w:r>
      <w:proofErr w:type="spellStart"/>
      <w:r w:rsidRPr="00AD2BB3">
        <w:t>Mirvaso</w:t>
      </w:r>
      <w:proofErr w:type="spellEnd"/>
      <w:r w:rsidRPr="00AD2BB3">
        <w:t xml:space="preserve"> gel is conditional on the limits for</w:t>
      </w:r>
      <w:r w:rsidR="00DC25B6">
        <w:t xml:space="preserve"> these impurities being reduced.</w:t>
      </w:r>
    </w:p>
    <w:p w:rsidR="008E7846" w:rsidRDefault="006A23E6" w:rsidP="007279C4">
      <w:pPr>
        <w:pStyle w:val="Heading3"/>
      </w:pPr>
      <w:bookmarkStart w:id="51" w:name="_Toc247691515"/>
      <w:bookmarkStart w:id="52" w:name="_Toc314842499"/>
      <w:bookmarkStart w:id="53" w:name="_Toc413157310"/>
      <w:r>
        <w:lastRenderedPageBreak/>
        <w:t xml:space="preserve">Nonclinical </w:t>
      </w:r>
      <w:r w:rsidR="007279C4">
        <w:t>s</w:t>
      </w:r>
      <w:r w:rsidR="008E7846">
        <w:t>ummary</w:t>
      </w:r>
      <w:bookmarkEnd w:id="53"/>
      <w:r w:rsidR="008E7846">
        <w:t xml:space="preserve"> </w:t>
      </w:r>
      <w:bookmarkEnd w:id="51"/>
      <w:bookmarkEnd w:id="52"/>
    </w:p>
    <w:p w:rsidR="001329F2" w:rsidRPr="001329F2" w:rsidRDefault="001329F2" w:rsidP="007279C4">
      <w:pPr>
        <w:pStyle w:val="ListBullet"/>
      </w:pPr>
      <w:r w:rsidRPr="001329F2">
        <w:t>The scope of nonclinical studies submitted is considered appropriate for this type of application and the conduct of the studies was generally acceptable.</w:t>
      </w:r>
    </w:p>
    <w:p w:rsidR="001329F2" w:rsidRPr="001329F2" w:rsidRDefault="001329F2" w:rsidP="007279C4">
      <w:pPr>
        <w:pStyle w:val="ListBullet"/>
      </w:pPr>
      <w:r w:rsidRPr="001329F2">
        <w:t>No nonclinical efficacy studies were submitted to suppo</w:t>
      </w:r>
      <w:r w:rsidR="00035A8E">
        <w:t xml:space="preserve">rt the proposed indication. Use is </w:t>
      </w:r>
      <w:r w:rsidRPr="001329F2">
        <w:t>rationalised by the drug’s vasoconstrictor activity (</w:t>
      </w:r>
      <w:r w:rsidR="006A23E6">
        <w:t>α</w:t>
      </w:r>
      <w:r w:rsidRPr="00ED2FF2">
        <w:rPr>
          <w:vertAlign w:val="subscript"/>
        </w:rPr>
        <w:t>2</w:t>
      </w:r>
      <w:r w:rsidRPr="001329F2">
        <w:t>-adrenoceptor mediated).</w:t>
      </w:r>
    </w:p>
    <w:p w:rsidR="001329F2" w:rsidRPr="001329F2" w:rsidRDefault="001329F2" w:rsidP="007279C4">
      <w:pPr>
        <w:pStyle w:val="ListBullet"/>
      </w:pPr>
      <w:r w:rsidRPr="001329F2">
        <w:t xml:space="preserve">The drug was readily absorbed following dermal administration of gel in rats, </w:t>
      </w:r>
      <w:proofErr w:type="spellStart"/>
      <w:r w:rsidRPr="001329F2">
        <w:t>minipigs</w:t>
      </w:r>
      <w:proofErr w:type="spellEnd"/>
      <w:r w:rsidRPr="001329F2">
        <w:t xml:space="preserve"> a</w:t>
      </w:r>
      <w:r w:rsidR="00800A35">
        <w:t xml:space="preserve">nd humans. Plasma concentration </w:t>
      </w:r>
      <w:r w:rsidRPr="001329F2">
        <w:t xml:space="preserve">time profiles were highly variable in rats and systemic exposure at equivalent mg/kg doses was significantly higher in this species than in </w:t>
      </w:r>
      <w:proofErr w:type="spellStart"/>
      <w:r w:rsidRPr="001329F2">
        <w:t>minipigs</w:t>
      </w:r>
      <w:proofErr w:type="spellEnd"/>
      <w:r w:rsidRPr="001329F2">
        <w:t xml:space="preserve"> or humans. Systemic levels were fairly constant over time in </w:t>
      </w:r>
      <w:proofErr w:type="spellStart"/>
      <w:r w:rsidRPr="001329F2">
        <w:t>minipigs</w:t>
      </w:r>
      <w:proofErr w:type="spellEnd"/>
      <w:r w:rsidRPr="001329F2">
        <w:t>, though, and this species is considered a better model for dermal absorption in humans. There was no evidence of systemic accumulation. Accumulation in the skin was not assessed. No st</w:t>
      </w:r>
      <w:r w:rsidR="006A23E6">
        <w:t xml:space="preserve">udies assessed the effect of co </w:t>
      </w:r>
      <w:r w:rsidRPr="001329F2">
        <w:t>administered dermal products (including cosmetics or sunscreens), or damaged skin, on the systemic absorption of brimonidine.</w:t>
      </w:r>
    </w:p>
    <w:p w:rsidR="001329F2" w:rsidRPr="001329F2" w:rsidRDefault="00C843DF" w:rsidP="007279C4">
      <w:pPr>
        <w:pStyle w:val="ListBullet"/>
      </w:pPr>
      <w:r>
        <w:t xml:space="preserve">Repeat </w:t>
      </w:r>
      <w:r w:rsidR="001329F2" w:rsidRPr="001329F2">
        <w:t>dose toxicity studies by the dermal route were condu</w:t>
      </w:r>
      <w:r w:rsidR="00035A8E">
        <w:t xml:space="preserve">cted in hairless mice (up to 13 </w:t>
      </w:r>
      <w:r w:rsidR="001329F2" w:rsidRPr="001329F2">
        <w:t xml:space="preserve">weeks), rats (up to 57 weeks) and </w:t>
      </w:r>
      <w:proofErr w:type="spellStart"/>
      <w:r w:rsidR="001329F2" w:rsidRPr="001329F2">
        <w:t>minipigs</w:t>
      </w:r>
      <w:proofErr w:type="spellEnd"/>
      <w:r w:rsidR="001329F2" w:rsidRPr="001329F2">
        <w:t xml:space="preserve"> (up to 39 weeks). Systemic clinical signs were observed at very high exposure levels in mice and rats, and these can largely be attributed to the pharmacological action of brimonidin</w:t>
      </w:r>
      <w:r>
        <w:t>e (such as</w:t>
      </w:r>
      <w:r w:rsidR="001329F2" w:rsidRPr="001329F2">
        <w:t xml:space="preserve"> sedation and </w:t>
      </w:r>
      <w:proofErr w:type="spellStart"/>
      <w:r w:rsidR="001329F2" w:rsidRPr="001329F2">
        <w:t>bradypn</w:t>
      </w:r>
      <w:r w:rsidR="00ED2FF2">
        <w:t>o</w:t>
      </w:r>
      <w:r w:rsidR="001329F2" w:rsidRPr="001329F2">
        <w:t>ea</w:t>
      </w:r>
      <w:proofErr w:type="spellEnd"/>
      <w:r w:rsidR="001329F2" w:rsidRPr="001329F2">
        <w:t xml:space="preserve">). No signs of systemic toxicity were observed in rats at an exposure margin of approximately 100, nor in </w:t>
      </w:r>
      <w:proofErr w:type="spellStart"/>
      <w:r w:rsidR="001329F2" w:rsidRPr="001329F2">
        <w:t>minipigs</w:t>
      </w:r>
      <w:proofErr w:type="spellEnd"/>
      <w:r w:rsidR="001329F2" w:rsidRPr="001329F2">
        <w:t xml:space="preserve"> up to the highest dose tested (exposure margin of around 3).</w:t>
      </w:r>
    </w:p>
    <w:p w:rsidR="001329F2" w:rsidRPr="001329F2" w:rsidRDefault="001329F2" w:rsidP="007279C4">
      <w:pPr>
        <w:pStyle w:val="ListBullet"/>
      </w:pPr>
      <w:r w:rsidRPr="001329F2">
        <w:t xml:space="preserve">Local dermal reactions were minimal to mild at clinically-relevant concentrations. Greater erythema was seen in </w:t>
      </w:r>
      <w:proofErr w:type="spellStart"/>
      <w:r w:rsidRPr="001329F2">
        <w:t>minipigs</w:t>
      </w:r>
      <w:proofErr w:type="spellEnd"/>
      <w:r w:rsidRPr="001329F2">
        <w:t xml:space="preserve"> at </w:t>
      </w:r>
      <w:r w:rsidR="00800A35">
        <w:t>≥</w:t>
      </w:r>
      <w:r w:rsidR="006A23E6">
        <w:t xml:space="preserve"> </w:t>
      </w:r>
      <w:r w:rsidRPr="001329F2">
        <w:t>1%.</w:t>
      </w:r>
    </w:p>
    <w:p w:rsidR="001329F2" w:rsidRPr="001329F2" w:rsidRDefault="001329F2" w:rsidP="007279C4">
      <w:pPr>
        <w:pStyle w:val="ListBullet"/>
      </w:pPr>
      <w:r w:rsidRPr="001329F2">
        <w:t xml:space="preserve">Brimonidine returned overall negative results for </w:t>
      </w:r>
      <w:proofErr w:type="spellStart"/>
      <w:r w:rsidRPr="001329F2">
        <w:t>genotoxicity</w:t>
      </w:r>
      <w:proofErr w:type="spellEnd"/>
      <w:r w:rsidRPr="001329F2">
        <w:t xml:space="preserve">. Two </w:t>
      </w:r>
      <w:proofErr w:type="spellStart"/>
      <w:r w:rsidRPr="001329F2">
        <w:t>genotoxic</w:t>
      </w:r>
      <w:proofErr w:type="spellEnd"/>
      <w:r w:rsidRPr="001329F2">
        <w:t xml:space="preserve"> impurit</w:t>
      </w:r>
      <w:r w:rsidR="00D379C9">
        <w:t>ies require appropriate control.</w:t>
      </w:r>
    </w:p>
    <w:p w:rsidR="001329F2" w:rsidRPr="001329F2" w:rsidRDefault="001329F2" w:rsidP="00271234">
      <w:pPr>
        <w:pStyle w:val="ListBullet"/>
      </w:pPr>
      <w:r w:rsidRPr="001329F2">
        <w:t xml:space="preserve">In a dermal carcinogenicity study, there were no tumours (either local or systemic) in rats that could be attributed to brimonidine tartrate gel. Brimonidine tartrate gel did not enhance or promote skin tumour formation on hairless mice in the presence of UV light. The drug batches used in these studies did not contain detectable levels of two </w:t>
      </w:r>
      <w:proofErr w:type="spellStart"/>
      <w:r w:rsidRPr="001329F2">
        <w:t>genotoxic</w:t>
      </w:r>
      <w:proofErr w:type="spellEnd"/>
      <w:r w:rsidRPr="001329F2">
        <w:t xml:space="preserve"> impurities proposed to be specified in the </w:t>
      </w:r>
      <w:r w:rsidR="00B57024">
        <w:t>DP</w:t>
      </w:r>
      <w:r w:rsidRPr="001329F2">
        <w:t>; consequently, the studies are unable to support that the impurities do not pose a carcinogenic risk to patients.</w:t>
      </w:r>
    </w:p>
    <w:p w:rsidR="001329F2" w:rsidRPr="001329F2" w:rsidRDefault="001329F2" w:rsidP="007279C4">
      <w:pPr>
        <w:pStyle w:val="ListBullet"/>
      </w:pPr>
      <w:r w:rsidRPr="001329F2">
        <w:t>No new reproductive toxicity studies were submitted. Existing data have shown some adverse effects on embryofetal development in rats and rabbits.</w:t>
      </w:r>
    </w:p>
    <w:p w:rsidR="001329F2" w:rsidRDefault="001329F2" w:rsidP="007279C4">
      <w:pPr>
        <w:pStyle w:val="ListBullet"/>
      </w:pPr>
      <w:r w:rsidRPr="001329F2">
        <w:t>Brimonidine tartrate gel was not phototoxic when applied dermally to hairless mice, and was not considered an ocular irritant in rabbits or a skin sensitiser in guinea pigs.</w:t>
      </w:r>
    </w:p>
    <w:p w:rsidR="006A23E6" w:rsidRDefault="006A23E6" w:rsidP="007279C4">
      <w:pPr>
        <w:pStyle w:val="Heading3"/>
      </w:pPr>
      <w:bookmarkStart w:id="54" w:name="_Toc413157311"/>
      <w:r>
        <w:t xml:space="preserve">Conclusions and </w:t>
      </w:r>
      <w:r w:rsidR="00AA4341">
        <w:t>r</w:t>
      </w:r>
      <w:r>
        <w:t>ecommendation</w:t>
      </w:r>
      <w:bookmarkEnd w:id="54"/>
    </w:p>
    <w:p w:rsidR="006A23E6" w:rsidRPr="006A23E6" w:rsidRDefault="006A23E6" w:rsidP="007279C4">
      <w:pPr>
        <w:pStyle w:val="ListBullet"/>
      </w:pPr>
      <w:r w:rsidRPr="006A23E6">
        <w:t>Support for efficacy in the proposed indication relies on clinical data only.</w:t>
      </w:r>
    </w:p>
    <w:p w:rsidR="006A23E6" w:rsidRPr="006A23E6" w:rsidRDefault="006A23E6" w:rsidP="007279C4">
      <w:pPr>
        <w:pStyle w:val="ListBullet"/>
      </w:pPr>
      <w:r w:rsidRPr="006A23E6">
        <w:t>The toxicity studies indicate a large safety margin for systemic effects. Therefore, there is some margin in the event of inc</w:t>
      </w:r>
      <w:r w:rsidR="00800A35">
        <w:t xml:space="preserve">reased exposure due to co </w:t>
      </w:r>
      <w:r w:rsidRPr="006A23E6">
        <w:t xml:space="preserve">administered </w:t>
      </w:r>
      <w:r w:rsidR="00CD7A74">
        <w:t>ocular</w:t>
      </w:r>
      <w:r w:rsidRPr="006A23E6">
        <w:t xml:space="preserve"> products, damaged skin or inadvertent (small levels of) ingestion. However, if significant levels of the gel are ingested, there is a risk for clinical signs of toxicity (</w:t>
      </w:r>
      <w:r w:rsidR="00D379C9" w:rsidRPr="00D379C9">
        <w:t>for example</w:t>
      </w:r>
      <w:r w:rsidRPr="00D379C9">
        <w:t>,</w:t>
      </w:r>
      <w:r w:rsidRPr="006A23E6">
        <w:t xml:space="preserve"> sedation), warranting appropriate warnings.</w:t>
      </w:r>
    </w:p>
    <w:p w:rsidR="006A23E6" w:rsidRPr="006A23E6" w:rsidRDefault="006A23E6" w:rsidP="007279C4">
      <w:pPr>
        <w:pStyle w:val="ListBullet"/>
      </w:pPr>
      <w:r w:rsidRPr="006A23E6">
        <w:t>Local skin reactions during clinical use are predicted to be minimal.</w:t>
      </w:r>
    </w:p>
    <w:p w:rsidR="006A23E6" w:rsidRPr="006A23E6" w:rsidRDefault="006A23E6" w:rsidP="007279C4">
      <w:pPr>
        <w:pStyle w:val="ListBullet"/>
      </w:pPr>
      <w:r w:rsidRPr="006A23E6">
        <w:t xml:space="preserve">Brimonidine tartrate itself is not considered to pose a </w:t>
      </w:r>
      <w:proofErr w:type="spellStart"/>
      <w:r w:rsidRPr="006A23E6">
        <w:t>genotoxic</w:t>
      </w:r>
      <w:proofErr w:type="spellEnd"/>
      <w:r w:rsidRPr="006A23E6">
        <w:t xml:space="preserve"> or carcinogenic hazard to patients.</w:t>
      </w:r>
    </w:p>
    <w:p w:rsidR="006A23E6" w:rsidRPr="006A23E6" w:rsidRDefault="006A23E6" w:rsidP="007279C4">
      <w:pPr>
        <w:pStyle w:val="ListBullet"/>
      </w:pPr>
      <w:r w:rsidRPr="006A23E6">
        <w:lastRenderedPageBreak/>
        <w:t>Based on the anticipated systemic exposure, the risks for reproductive toxicity are expected to be similar to those with regist</w:t>
      </w:r>
      <w:r w:rsidR="00E206D7">
        <w:t xml:space="preserve">ered brimonidine </w:t>
      </w:r>
      <w:r w:rsidR="00CD7A74">
        <w:t xml:space="preserve">containing eye </w:t>
      </w:r>
      <w:r w:rsidRPr="006A23E6">
        <w:t>drop products. The product should be placed in Pregnancy Category B3 (rather than B1 as the sponsor proposes).</w:t>
      </w:r>
    </w:p>
    <w:p w:rsidR="006A23E6" w:rsidRPr="006A23E6" w:rsidRDefault="006A23E6" w:rsidP="007279C4">
      <w:pPr>
        <w:pStyle w:val="ListBullet"/>
      </w:pPr>
      <w:r w:rsidRPr="006A23E6">
        <w:t xml:space="preserve">There are no objections on nonclinical grounds to the registration of </w:t>
      </w:r>
      <w:proofErr w:type="spellStart"/>
      <w:r w:rsidRPr="006A23E6">
        <w:t>Mirvaso</w:t>
      </w:r>
      <w:proofErr w:type="spellEnd"/>
      <w:r w:rsidRPr="006A23E6">
        <w:t xml:space="preserve"> gel for the proposed indication provided that two </w:t>
      </w:r>
      <w:r w:rsidR="00CD7A74">
        <w:t xml:space="preserve">potentially </w:t>
      </w:r>
      <w:proofErr w:type="spellStart"/>
      <w:r w:rsidRPr="006A23E6">
        <w:t>genotoxic</w:t>
      </w:r>
      <w:proofErr w:type="spellEnd"/>
      <w:r w:rsidRPr="006A23E6">
        <w:t xml:space="preserve"> impurities are controlled to at or below the TTC value </w:t>
      </w:r>
      <w:proofErr w:type="gramStart"/>
      <w:r w:rsidRPr="006A23E6">
        <w:t xml:space="preserve">of 1.5 </w:t>
      </w:r>
      <w:proofErr w:type="spellStart"/>
      <w:r w:rsidRPr="006A23E6">
        <w:t>μg</w:t>
      </w:r>
      <w:proofErr w:type="spellEnd"/>
      <w:r w:rsidRPr="006A23E6">
        <w:t>/day</w:t>
      </w:r>
      <w:proofErr w:type="gramEnd"/>
      <w:r w:rsidRPr="006A23E6">
        <w:t>. Currently proposed limits for these impurities are considered to pose an unacceptable carcinogenic risk to patients.</w:t>
      </w:r>
    </w:p>
    <w:p w:rsidR="006A23E6" w:rsidRPr="006A23E6" w:rsidRDefault="006A23E6" w:rsidP="007279C4">
      <w:pPr>
        <w:pStyle w:val="ListBullet"/>
      </w:pPr>
      <w:r w:rsidRPr="006A23E6">
        <w:t>The</w:t>
      </w:r>
      <w:r w:rsidR="00D379C9">
        <w:t xml:space="preserve"> nonclinical evaluator also recommended amendments </w:t>
      </w:r>
      <w:r w:rsidR="00CD7A74">
        <w:t>to the draft PI</w:t>
      </w:r>
      <w:r w:rsidR="00D379C9">
        <w:t xml:space="preserve"> document</w:t>
      </w:r>
      <w:r w:rsidR="00CD7A74">
        <w:t>. Details of these</w:t>
      </w:r>
      <w:r w:rsidR="00D379C9">
        <w:t xml:space="preserve"> are beyond the scope of this AusPAR.</w:t>
      </w:r>
    </w:p>
    <w:p w:rsidR="008E7846" w:rsidRPr="00254787" w:rsidRDefault="008E7846" w:rsidP="007279C4">
      <w:pPr>
        <w:pStyle w:val="Heading2"/>
      </w:pPr>
      <w:bookmarkStart w:id="55" w:name="_Toc196046462"/>
      <w:bookmarkStart w:id="56" w:name="_Toc247691516"/>
      <w:bookmarkStart w:id="57" w:name="_Toc314842500"/>
      <w:bookmarkStart w:id="58" w:name="_Toc163441353"/>
      <w:bookmarkStart w:id="59" w:name="_Toc163441348"/>
      <w:bookmarkStart w:id="60" w:name="_Toc413157312"/>
      <w:r>
        <w:t xml:space="preserve">IV. </w:t>
      </w:r>
      <w:r w:rsidRPr="00254787">
        <w:t>Clinical</w:t>
      </w:r>
      <w:bookmarkEnd w:id="55"/>
      <w:r>
        <w:t xml:space="preserve"> </w:t>
      </w:r>
      <w:r w:rsidR="003A7F6C">
        <w:t>f</w:t>
      </w:r>
      <w:r>
        <w:t>indings</w:t>
      </w:r>
      <w:bookmarkEnd w:id="56"/>
      <w:bookmarkEnd w:id="57"/>
      <w:bookmarkEnd w:id="60"/>
    </w:p>
    <w:p w:rsidR="00C80137" w:rsidRDefault="00C80137" w:rsidP="007279C4">
      <w:bookmarkStart w:id="61"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6F1757" w:rsidRDefault="008E7846" w:rsidP="007279C4">
      <w:pPr>
        <w:pStyle w:val="Heading3"/>
      </w:pPr>
      <w:bookmarkStart w:id="62" w:name="_Toc247691517"/>
      <w:bookmarkStart w:id="63" w:name="_Toc314842501"/>
      <w:bookmarkStart w:id="64" w:name="_Toc413157313"/>
      <w:r w:rsidRPr="00254787">
        <w:t>Introduction</w:t>
      </w:r>
      <w:bookmarkEnd w:id="61"/>
      <w:bookmarkEnd w:id="62"/>
      <w:bookmarkEnd w:id="63"/>
      <w:bookmarkEnd w:id="64"/>
    </w:p>
    <w:p w:rsidR="00CD7A74" w:rsidRPr="00CD7A74" w:rsidRDefault="00CD7A74" w:rsidP="007279C4">
      <w:r w:rsidRPr="00CD7A74">
        <w:t>Brimonidine is a highly selective α</w:t>
      </w:r>
      <w:r w:rsidRPr="00CD7A74">
        <w:rPr>
          <w:vertAlign w:val="subscript"/>
        </w:rPr>
        <w:t>2</w:t>
      </w:r>
      <w:r w:rsidRPr="00CD7A74">
        <w:t>-adrenoceptor agonist that is 1000 fold more selective for the α</w:t>
      </w:r>
      <w:r w:rsidRPr="00CD7A74">
        <w:rPr>
          <w:vertAlign w:val="subscript"/>
        </w:rPr>
        <w:t>2</w:t>
      </w:r>
      <w:r w:rsidRPr="00CD7A74">
        <w:t>-adrenergic receptor than the α</w:t>
      </w:r>
      <w:r w:rsidRPr="00CD7A74">
        <w:rPr>
          <w:vertAlign w:val="subscript"/>
        </w:rPr>
        <w:t>1</w:t>
      </w:r>
      <w:r w:rsidRPr="00CD7A74">
        <w:t>-adrenergic receptor. Topical facial application of a highly selective α</w:t>
      </w:r>
      <w:r w:rsidRPr="00CD7A74">
        <w:rPr>
          <w:vertAlign w:val="subscript"/>
        </w:rPr>
        <w:t>2</w:t>
      </w:r>
      <w:r w:rsidRPr="00CD7A74">
        <w:t>-adrenoceptor agonist reduces erythema through direct cutaneous vasoconstriction.</w:t>
      </w:r>
    </w:p>
    <w:p w:rsidR="00CD7A74" w:rsidRPr="00CD7A74" w:rsidRDefault="00CD7A74" w:rsidP="007279C4">
      <w:r w:rsidRPr="00CD7A74">
        <w:t xml:space="preserve">The submission proposes registration of </w:t>
      </w:r>
      <w:proofErr w:type="spellStart"/>
      <w:r w:rsidRPr="00CD7A74">
        <w:t>Mirvaso</w:t>
      </w:r>
      <w:proofErr w:type="spellEnd"/>
      <w:r w:rsidRPr="00CD7A74">
        <w:t xml:space="preserve"> 0.5% g</w:t>
      </w:r>
      <w:r w:rsidR="00AA4341">
        <w:t>el for the proposed indication:</w:t>
      </w:r>
    </w:p>
    <w:p w:rsidR="00CD7A74" w:rsidRPr="00CD7A74" w:rsidRDefault="00CD7A74" w:rsidP="00CD7A74">
      <w:pPr>
        <w:ind w:left="720"/>
      </w:pPr>
      <w:proofErr w:type="spellStart"/>
      <w:r w:rsidRPr="00CD7A74">
        <w:rPr>
          <w:i/>
        </w:rPr>
        <w:t>Mirvaso</w:t>
      </w:r>
      <w:proofErr w:type="spellEnd"/>
      <w:r w:rsidRPr="00CD7A74">
        <w:rPr>
          <w:i/>
        </w:rPr>
        <w:t xml:space="preserve"> is indicated for the treatment of facial erythema of rosacea.</w:t>
      </w:r>
    </w:p>
    <w:p w:rsidR="00605AD4" w:rsidRDefault="00605AD4" w:rsidP="007279C4">
      <w:pPr>
        <w:pStyle w:val="Heading4"/>
      </w:pPr>
      <w:bookmarkStart w:id="65" w:name="_Toc196046464"/>
      <w:bookmarkStart w:id="66" w:name="_Toc247691518"/>
      <w:bookmarkStart w:id="67" w:name="_Toc314842502"/>
      <w:r w:rsidRPr="00605AD4">
        <w:t xml:space="preserve">Clinical </w:t>
      </w:r>
      <w:r w:rsidR="00AA4341">
        <w:t>r</w:t>
      </w:r>
      <w:r w:rsidRPr="00605AD4">
        <w:t>ationale</w:t>
      </w:r>
    </w:p>
    <w:p w:rsidR="00CD7A74" w:rsidRPr="00CD7A74" w:rsidRDefault="00CD7A74" w:rsidP="007279C4">
      <w:r w:rsidRPr="00CD7A74">
        <w:t>Rosacea is one of the most common chronic dermatological diseases, with reports suggesting prevalence between 2% to 10% in both Europe and the United States (Berg 1989</w:t>
      </w:r>
      <w:r w:rsidR="001A34E4">
        <w:rPr>
          <w:rStyle w:val="FootnoteReference"/>
        </w:rPr>
        <w:footnoteReference w:id="17"/>
      </w:r>
      <w:r w:rsidRPr="00CD7A74">
        <w:t xml:space="preserve">, </w:t>
      </w:r>
      <w:proofErr w:type="spellStart"/>
      <w:r w:rsidRPr="00CD7A74">
        <w:t>Kyriakis</w:t>
      </w:r>
      <w:proofErr w:type="spellEnd"/>
      <w:r w:rsidRPr="00CD7A74">
        <w:t xml:space="preserve"> 2005</w:t>
      </w:r>
      <w:r w:rsidR="007C5C01">
        <w:rPr>
          <w:rStyle w:val="FootnoteReference"/>
        </w:rPr>
        <w:footnoteReference w:id="18"/>
      </w:r>
      <w:r w:rsidRPr="00CD7A74">
        <w:t>, Powell 2005</w:t>
      </w:r>
      <w:r w:rsidR="007C5C01">
        <w:rPr>
          <w:rStyle w:val="FootnoteReference"/>
        </w:rPr>
        <w:footnoteReference w:id="19"/>
      </w:r>
      <w:r w:rsidRPr="00CD7A74">
        <w:t xml:space="preserve">, van </w:t>
      </w:r>
      <w:proofErr w:type="spellStart"/>
      <w:r w:rsidRPr="00CD7A74">
        <w:t>Zuuren</w:t>
      </w:r>
      <w:proofErr w:type="spellEnd"/>
      <w:r w:rsidRPr="00CD7A74">
        <w:t xml:space="preserve"> 2005</w:t>
      </w:r>
      <w:r w:rsidR="007C5C01">
        <w:rPr>
          <w:rStyle w:val="FootnoteReference"/>
        </w:rPr>
        <w:footnoteReference w:id="20"/>
      </w:r>
      <w:r w:rsidRPr="00CD7A74">
        <w:t>). While there is a disproportionately higher frequency of occurrence in fair-skinned people of European and Celtic origin, it also occurs less frequently in other mixed populations (</w:t>
      </w:r>
      <w:proofErr w:type="spellStart"/>
      <w:r w:rsidRPr="00CD7A74">
        <w:t>Kyriakis</w:t>
      </w:r>
      <w:proofErr w:type="spellEnd"/>
      <w:r w:rsidRPr="00CD7A74">
        <w:t xml:space="preserve"> 2005, Powell 2005, </w:t>
      </w:r>
      <w:proofErr w:type="gramStart"/>
      <w:r w:rsidRPr="00CD7A74">
        <w:t>van</w:t>
      </w:r>
      <w:proofErr w:type="gramEnd"/>
      <w:r w:rsidRPr="00CD7A74">
        <w:t xml:space="preserve"> </w:t>
      </w:r>
      <w:proofErr w:type="spellStart"/>
      <w:r w:rsidRPr="00CD7A74">
        <w:t>Zuuren</w:t>
      </w:r>
      <w:proofErr w:type="spellEnd"/>
      <w:r w:rsidRPr="00CD7A74">
        <w:t xml:space="preserve"> 2005). Onset typically occurs between 30 to 50 years of age, and while women are more commonly affected than men, disease manifestations, especially </w:t>
      </w:r>
      <w:proofErr w:type="spellStart"/>
      <w:r w:rsidRPr="00CD7A74">
        <w:t>rhinophyma</w:t>
      </w:r>
      <w:proofErr w:type="spellEnd"/>
      <w:r w:rsidRPr="00CD7A74">
        <w:t xml:space="preserve">, are frequently more severe in males than in females (Crawford 2004, Powell 2005, </w:t>
      </w:r>
      <w:proofErr w:type="gramStart"/>
      <w:r w:rsidRPr="00CD7A74">
        <w:t>van</w:t>
      </w:r>
      <w:proofErr w:type="gramEnd"/>
      <w:r w:rsidRPr="00CD7A74">
        <w:t xml:space="preserve"> </w:t>
      </w:r>
      <w:proofErr w:type="spellStart"/>
      <w:r w:rsidRPr="00CD7A74">
        <w:t>Zuuren</w:t>
      </w:r>
      <w:proofErr w:type="spellEnd"/>
      <w:r w:rsidRPr="00CD7A74">
        <w:t xml:space="preserve"> 2007</w:t>
      </w:r>
      <w:r w:rsidR="007C5C01">
        <w:rPr>
          <w:rStyle w:val="FootnoteReference"/>
        </w:rPr>
        <w:footnoteReference w:id="21"/>
      </w:r>
      <w:r w:rsidRPr="00CD7A74">
        <w:t>). Because the facial skin is the predominant site of involvement, many patients sense that the disease alters their social and professional interactions, leading to problems in the workplace, in relationships, and in other social interactions (Crawford 2004).</w:t>
      </w:r>
    </w:p>
    <w:p w:rsidR="00CD7A74" w:rsidRPr="00CD7A74" w:rsidRDefault="00CD7A74" w:rsidP="007279C4">
      <w:r w:rsidRPr="00CD7A74">
        <w:t>An expert committee assembled by the National Rosacea Society in April 2002 (Wilkin 2002</w:t>
      </w:r>
      <w:r w:rsidR="007C5C01">
        <w:rPr>
          <w:rStyle w:val="FootnoteReference"/>
        </w:rPr>
        <w:footnoteReference w:id="22"/>
      </w:r>
      <w:r w:rsidRPr="00CD7A74">
        <w:t xml:space="preserve">) explicitly defined and classified rosacea into 4 different subtypes based upon specific clinical signs and symptoms: </w:t>
      </w:r>
      <w:r w:rsidR="003C5C18">
        <w:t>ETR</w:t>
      </w:r>
      <w:r w:rsidRPr="00CD7A74">
        <w:t xml:space="preserve"> (subtype 1), </w:t>
      </w:r>
      <w:proofErr w:type="spellStart"/>
      <w:r w:rsidRPr="00CD7A74">
        <w:t>papulopustular</w:t>
      </w:r>
      <w:proofErr w:type="spellEnd"/>
      <w:r w:rsidRPr="00CD7A74">
        <w:t xml:space="preserve"> rosacea (subtype 2), </w:t>
      </w:r>
      <w:proofErr w:type="spellStart"/>
      <w:r w:rsidRPr="00CD7A74">
        <w:t>phymatous</w:t>
      </w:r>
      <w:proofErr w:type="spellEnd"/>
      <w:r w:rsidRPr="00CD7A74">
        <w:t xml:space="preserve"> rosacea (subtype 3), ocular rosacea (subtype 4), and the variant granulomatous rosacea. Perhaps the most defining characteristic of the disease for both </w:t>
      </w:r>
      <w:r w:rsidRPr="00CD7A74">
        <w:lastRenderedPageBreak/>
        <w:t>subtypes 1 and 2 is the presence of persistent erythema of the central portion of the face lasting for at least 3 months (Crawford 2004).</w:t>
      </w:r>
    </w:p>
    <w:p w:rsidR="00CD7A74" w:rsidRPr="00CD7A74" w:rsidRDefault="00CD7A74" w:rsidP="007279C4">
      <w:r w:rsidRPr="00CD7A74">
        <w:t xml:space="preserve">The pathophysiology of rosacea is poorly understood and may be multifactorial, involving abnormal vascular reactivity, immune system responses, and follicular microorganisms (Crawford 2004, </w:t>
      </w:r>
      <w:proofErr w:type="spellStart"/>
      <w:r w:rsidRPr="00CD7A74">
        <w:t>Nally</w:t>
      </w:r>
      <w:proofErr w:type="spellEnd"/>
      <w:r w:rsidRPr="00CD7A74">
        <w:t xml:space="preserve"> 2006, </w:t>
      </w:r>
      <w:proofErr w:type="spellStart"/>
      <w:r w:rsidRPr="00CD7A74">
        <w:t>Pelle</w:t>
      </w:r>
      <w:proofErr w:type="spellEnd"/>
      <w:r w:rsidRPr="00CD7A74">
        <w:t xml:space="preserve"> 2008, Wolf 2005). Many of the most cited pathogenic theories on the </w:t>
      </w:r>
      <w:r w:rsidR="009E4B8A" w:rsidRPr="00CD7A74">
        <w:t>aetiology</w:t>
      </w:r>
      <w:r w:rsidRPr="00CD7A74">
        <w:t xml:space="preserve"> of the persistent facial erythema of rosacea focus on abnormalities in cutaneous vascular homeostasis, or vasomotor instability, the term commonly used to refer to abnormal involuntary dilatation and reactivity of small subcutaneous resistance arteries. The </w:t>
      </w:r>
      <w:r w:rsidR="003C5C18" w:rsidRPr="00CD7A74">
        <w:t>aetiology</w:t>
      </w:r>
      <w:r w:rsidRPr="00CD7A74">
        <w:t xml:space="preserve"> of vasomotor instability in patients with rosacea is unknown (Crawford 2004, </w:t>
      </w:r>
      <w:proofErr w:type="spellStart"/>
      <w:r w:rsidRPr="00CD7A74">
        <w:t>Kyriakis</w:t>
      </w:r>
      <w:proofErr w:type="spellEnd"/>
      <w:r w:rsidRPr="00CD7A74">
        <w:t xml:space="preserve"> 2005).</w:t>
      </w:r>
    </w:p>
    <w:p w:rsidR="00CD7A74" w:rsidRPr="00CD7A74" w:rsidRDefault="00CD7A74" w:rsidP="007279C4">
      <w:r w:rsidRPr="00CD7A74">
        <w:t xml:space="preserve">Currently, there are no approved pharmaceutical agents in the US or EU that directly target the persistent facial erythema of rosacea. Current pharmaceutical treatments for rosacea available on </w:t>
      </w:r>
      <w:r w:rsidR="00C16629">
        <w:t>t</w:t>
      </w:r>
      <w:r w:rsidRPr="00CD7A74">
        <w:t xml:space="preserve">he US and EU market primarily target the </w:t>
      </w:r>
      <w:proofErr w:type="spellStart"/>
      <w:r w:rsidRPr="00CD7A74">
        <w:t>papulopustular</w:t>
      </w:r>
      <w:proofErr w:type="spellEnd"/>
      <w:r w:rsidRPr="00CD7A74">
        <w:t xml:space="preserve"> rosacea subtype of the disease, reducing rosacea inflammatory lesions through anti-inflammatory/</w:t>
      </w:r>
      <w:proofErr w:type="spellStart"/>
      <w:r w:rsidRPr="00CD7A74">
        <w:t>antiparasitic</w:t>
      </w:r>
      <w:proofErr w:type="spellEnd"/>
      <w:r w:rsidRPr="00CD7A74">
        <w:t xml:space="preserve"> mechanisms. Topical metronidazole targets the </w:t>
      </w:r>
      <w:proofErr w:type="spellStart"/>
      <w:r w:rsidRPr="00CD7A74">
        <w:t>papulopustular</w:t>
      </w:r>
      <w:proofErr w:type="spellEnd"/>
      <w:r w:rsidRPr="00CD7A74">
        <w:t xml:space="preserve"> stage of rosacea, although certain brand products in the US and EU include “erythema” or “acute inflammatory” or “rosacea” statement in the indication</w:t>
      </w:r>
      <w:r w:rsidRPr="00072001">
        <w:rPr>
          <w:vertAlign w:val="superscript"/>
        </w:rPr>
        <w:footnoteReference w:id="23"/>
      </w:r>
      <w:r w:rsidRPr="00072001">
        <w:rPr>
          <w:vertAlign w:val="superscript"/>
        </w:rPr>
        <w:t>,</w:t>
      </w:r>
      <w:r w:rsidRPr="00CD7A74">
        <w:t xml:space="preserve"> it is important to note that topical metronidazole products primarily focus on the </w:t>
      </w:r>
      <w:proofErr w:type="spellStart"/>
      <w:r w:rsidRPr="00CD7A74">
        <w:t>papulopustular</w:t>
      </w:r>
      <w:proofErr w:type="spellEnd"/>
      <w:r w:rsidRPr="00CD7A74">
        <w:t xml:space="preserve"> aspect of the disease, targeting the inflammatory lesion component through anti-inflammatory mechanisms. Metronidazole has no known </w:t>
      </w:r>
      <w:proofErr w:type="spellStart"/>
      <w:r w:rsidRPr="00CD7A74">
        <w:t>vasoconstrictive</w:t>
      </w:r>
      <w:proofErr w:type="spellEnd"/>
      <w:r w:rsidRPr="00CD7A74">
        <w:t xml:space="preserve"> activity, thus, any reduction in general facial erythema, which is not well documented to date, is likely due to foc</w:t>
      </w:r>
      <w:r w:rsidR="003C5C18">
        <w:t xml:space="preserve">al reductions in transient peri </w:t>
      </w:r>
      <w:proofErr w:type="spellStart"/>
      <w:r w:rsidRPr="00CD7A74">
        <w:t>lesional</w:t>
      </w:r>
      <w:proofErr w:type="spellEnd"/>
      <w:r w:rsidRPr="00CD7A74">
        <w:t xml:space="preserve"> erythema, secondary to the anti-inflammatory action, rather than a true reduction in the persistent generalized erythema of rosacea that is vascular in origin.</w:t>
      </w:r>
    </w:p>
    <w:p w:rsidR="00CD7A74" w:rsidRPr="00CD7A74" w:rsidRDefault="00CD7A74" w:rsidP="007279C4">
      <w:r w:rsidRPr="00CD7A74">
        <w:t>Some reported effectiveness of non-pharmaceutical/mechanical treatments for rosacea has been documented in the literature with use of both vascular lasers and intense pulsed light emitters (</w:t>
      </w:r>
      <w:proofErr w:type="spellStart"/>
      <w:r w:rsidRPr="00CD7A74">
        <w:t>Pelle</w:t>
      </w:r>
      <w:proofErr w:type="spellEnd"/>
      <w:r w:rsidRPr="00CD7A74">
        <w:t xml:space="preserve"> 2004, Adamic 2007</w:t>
      </w:r>
      <w:r w:rsidR="00072001">
        <w:rPr>
          <w:rStyle w:val="FootnoteReference"/>
        </w:rPr>
        <w:footnoteReference w:id="24"/>
      </w:r>
      <w:r w:rsidRPr="00CD7A74">
        <w:t>). There are no large, well-controlled trials to fully substantiate a claim for the reduction of the persistent facial erythema of rosacea with these devices. In general, these procedures have not gained wide-acceptance as a standard of care for rosacea, which may be in part due to their lack of accessibility</w:t>
      </w:r>
      <w:r w:rsidR="009E4B8A">
        <w:t xml:space="preserve"> and/or </w:t>
      </w:r>
      <w:r w:rsidRPr="00CD7A74">
        <w:t>availability (</w:t>
      </w:r>
      <w:r w:rsidR="009E4B8A">
        <w:t>for example,</w:t>
      </w:r>
      <w:r w:rsidRPr="00CD7A74">
        <w:t xml:space="preserve"> they can only be performed by a qualified physician, in an office setting, with multiple treatments often required) and high financial costs to patients (</w:t>
      </w:r>
      <w:proofErr w:type="spellStart"/>
      <w:r w:rsidRPr="00CD7A74">
        <w:t>Pelle</w:t>
      </w:r>
      <w:proofErr w:type="spellEnd"/>
      <w:r w:rsidRPr="00CD7A74">
        <w:t xml:space="preserve"> 2004).</w:t>
      </w:r>
    </w:p>
    <w:p w:rsidR="00CD7A74" w:rsidRDefault="00CD7A74" w:rsidP="007279C4">
      <w:r w:rsidRPr="00CD7A74">
        <w:t xml:space="preserve">The persistent erythema of rosacea, common to both subtype 1 and 2, represents an unmet medical need that is not adequately addressed by currently approved pharmaceutical treatments, and no products have specifically demonstrated reduction in persistent facial erythema to date. Based on the current etiological theories, treatments that stabilize the contractile state of the cutaneous facial blood vessels are expected to have the most beneficial effect in addressing this unmet need. Brimonidine tartrate is a potent and highly selective </w:t>
      </w:r>
      <w:r w:rsidR="003C5C18" w:rsidRPr="003C5C18">
        <w:t>α</w:t>
      </w:r>
      <w:r w:rsidR="003C5C18" w:rsidRPr="003C5C18">
        <w:rPr>
          <w:vertAlign w:val="subscript"/>
        </w:rPr>
        <w:t>2</w:t>
      </w:r>
      <w:r w:rsidR="003C5C18" w:rsidRPr="003C5C18">
        <w:t>-adreno</w:t>
      </w:r>
      <w:r w:rsidR="003C5C18">
        <w:t>ceptor</w:t>
      </w:r>
      <w:r w:rsidRPr="00CD7A74">
        <w:t xml:space="preserve"> agonist that is ap</w:t>
      </w:r>
      <w:r w:rsidR="003C5C18">
        <w:t xml:space="preserve">proximately 1000 </w:t>
      </w:r>
      <w:r w:rsidRPr="00CD7A74">
        <w:t xml:space="preserve">fold more selective for the </w:t>
      </w:r>
      <w:r w:rsidR="003C5C18" w:rsidRPr="003C5C18">
        <w:t>α</w:t>
      </w:r>
      <w:r w:rsidR="003C5C18" w:rsidRPr="003C5C18">
        <w:rPr>
          <w:vertAlign w:val="subscript"/>
        </w:rPr>
        <w:t>2</w:t>
      </w:r>
      <w:r w:rsidR="003C5C18" w:rsidRPr="003C5C18">
        <w:t xml:space="preserve">-adrenoceptor </w:t>
      </w:r>
      <w:r w:rsidRPr="00CD7A74">
        <w:t xml:space="preserve">than the </w:t>
      </w:r>
      <w:r w:rsidR="003C5C18" w:rsidRPr="003C5C18">
        <w:t>α</w:t>
      </w:r>
      <w:r w:rsidR="003C5C18">
        <w:rPr>
          <w:vertAlign w:val="subscript"/>
        </w:rPr>
        <w:t>1</w:t>
      </w:r>
      <w:r w:rsidR="003C5C18" w:rsidRPr="003C5C18">
        <w:t xml:space="preserve">-adrenoceptor </w:t>
      </w:r>
      <w:r w:rsidRPr="00CD7A74">
        <w:t xml:space="preserve">(Burke 1996). In consideration of the subcutaneous </w:t>
      </w:r>
      <w:proofErr w:type="spellStart"/>
      <w:r w:rsidRPr="00CD7A74">
        <w:t>vasoconstrictive</w:t>
      </w:r>
      <w:proofErr w:type="spellEnd"/>
      <w:r w:rsidRPr="00CD7A74">
        <w:t xml:space="preserve"> activity of </w:t>
      </w:r>
      <w:proofErr w:type="spellStart"/>
      <w:r w:rsidRPr="00CD7A74">
        <w:t>brimonidine</w:t>
      </w:r>
      <w:proofErr w:type="spellEnd"/>
      <w:r w:rsidRPr="00CD7A74">
        <w:t xml:space="preserve"> tartrate, it was expected to offer a positive effect on reducing cutaneous erythema caused by vasomotor instability through direct cutaneous vasoconstriction and the sponsors have investigated </w:t>
      </w:r>
      <w:r w:rsidRPr="00CD7A74">
        <w:lastRenderedPageBreak/>
        <w:t>Brimonidine Tartrate 0.5% Gel for topical treatment of facial erythema of rosacea in adults.</w:t>
      </w:r>
    </w:p>
    <w:p w:rsidR="00605AD4" w:rsidRDefault="00605AD4" w:rsidP="007279C4">
      <w:pPr>
        <w:pStyle w:val="Heading4"/>
      </w:pPr>
      <w:r w:rsidRPr="00605AD4">
        <w:t>Contents of the clinical dossier</w:t>
      </w:r>
    </w:p>
    <w:p w:rsidR="009855C2" w:rsidRPr="009855C2" w:rsidRDefault="009855C2" w:rsidP="007279C4">
      <w:pPr>
        <w:pStyle w:val="Heading5"/>
      </w:pPr>
      <w:bookmarkStart w:id="68" w:name="_Toc290846234"/>
      <w:bookmarkStart w:id="69" w:name="_Toc381350503"/>
      <w:r w:rsidRPr="009855C2">
        <w:t>Scope of the clinical dossier</w:t>
      </w:r>
      <w:bookmarkEnd w:id="68"/>
      <w:bookmarkEnd w:id="69"/>
    </w:p>
    <w:p w:rsidR="009855C2" w:rsidRPr="009855C2" w:rsidRDefault="009855C2" w:rsidP="007279C4">
      <w:r w:rsidRPr="009855C2">
        <w:t>The submission contained the following clinical information:</w:t>
      </w:r>
    </w:p>
    <w:p w:rsidR="009855C2" w:rsidRPr="009855C2" w:rsidRDefault="009855C2" w:rsidP="007279C4">
      <w:r w:rsidRPr="009855C2">
        <w:t>The cl</w:t>
      </w:r>
      <w:r w:rsidR="0062434D">
        <w:t>inical development program for brimonidine tartrate g</w:t>
      </w:r>
      <w:r w:rsidRPr="009855C2">
        <w:t>el included a total of 18 clinical tri</w:t>
      </w:r>
      <w:r w:rsidR="00470652">
        <w:t>als conducted in adult subjects.</w:t>
      </w:r>
      <w:r w:rsidRPr="009855C2">
        <w:t xml:space="preserve"> A total of 10 of the 18 clinical trials were conducted</w:t>
      </w:r>
      <w:r w:rsidR="0062434D">
        <w:t xml:space="preserve"> in subjects with rosacea, and brimonidine tartrate 0.5% g</w:t>
      </w:r>
      <w:r w:rsidR="00D64CFA">
        <w:t xml:space="preserve">el (the proposed to be </w:t>
      </w:r>
      <w:r w:rsidRPr="009855C2">
        <w:t>marketed concentration) was evaluated in 6 of the 10 studies in subjects with rosacea.</w:t>
      </w:r>
      <w:r w:rsidR="0062434D">
        <w:t xml:space="preserve"> Brimonidine tartrate 0.5% g</w:t>
      </w:r>
      <w:r w:rsidRPr="009855C2">
        <w:t xml:space="preserve">el was also evaluated in </w:t>
      </w:r>
      <w:r w:rsidR="00D64CFA">
        <w:t>4 studies in healthy subjects.</w:t>
      </w:r>
      <w:r w:rsidR="00470652">
        <w:t xml:space="preserve"> These studies were as follows:</w:t>
      </w:r>
    </w:p>
    <w:p w:rsidR="009855C2" w:rsidRPr="009855C2" w:rsidRDefault="009855C2" w:rsidP="00271234">
      <w:pPr>
        <w:pStyle w:val="ListBullet"/>
      </w:pPr>
      <w:r w:rsidRPr="00271234">
        <w:t>Thirteen</w:t>
      </w:r>
      <w:r w:rsidRPr="009855C2">
        <w:t xml:space="preserve"> clinical pharmacology studies, including </w:t>
      </w:r>
      <w:r w:rsidR="00E325E2">
        <w:t xml:space="preserve">3 that provided pharmacokinetic (PK) </w:t>
      </w:r>
      <w:r w:rsidRPr="009855C2">
        <w:t>data and 11 that provided pharmacodynamics data.</w:t>
      </w:r>
    </w:p>
    <w:p w:rsidR="009855C2" w:rsidRPr="009855C2" w:rsidRDefault="009855C2" w:rsidP="007279C4">
      <w:pPr>
        <w:pStyle w:val="ListBullet"/>
      </w:pPr>
      <w:r w:rsidRPr="009855C2">
        <w:t>Two pivotal efficacy/safety studies</w:t>
      </w:r>
      <w:r>
        <w:t>;</w:t>
      </w:r>
      <w:r w:rsidRPr="009855C2">
        <w:t xml:space="preserve"> 18140 and 18141.</w:t>
      </w:r>
    </w:p>
    <w:p w:rsidR="009855C2" w:rsidRPr="009855C2" w:rsidRDefault="00D64CFA" w:rsidP="007279C4">
      <w:pPr>
        <w:pStyle w:val="ListBullet"/>
      </w:pPr>
      <w:r>
        <w:t xml:space="preserve">3 dose </w:t>
      </w:r>
      <w:r w:rsidR="009855C2" w:rsidRPr="009855C2">
        <w:t>finding studies</w:t>
      </w:r>
      <w:r w:rsidR="009855C2">
        <w:t>;</w:t>
      </w:r>
      <w:r w:rsidR="00C97058">
        <w:t xml:space="preserve"> </w:t>
      </w:r>
      <w:r>
        <w:t xml:space="preserve">ROSE 201, 18144 and </w:t>
      </w:r>
      <w:r w:rsidR="00470652">
        <w:t>18161</w:t>
      </w:r>
      <w:r w:rsidR="009855C2" w:rsidRPr="009855C2">
        <w:t>.</w:t>
      </w:r>
    </w:p>
    <w:p w:rsidR="009855C2" w:rsidRPr="009855C2" w:rsidRDefault="00470652" w:rsidP="007279C4">
      <w:pPr>
        <w:pStyle w:val="ListBullet"/>
      </w:pPr>
      <w:r>
        <w:t>A l</w:t>
      </w:r>
      <w:r w:rsidR="009855C2">
        <w:t>ong term efficacy and safety study,</w:t>
      </w:r>
      <w:r w:rsidR="009855C2" w:rsidRPr="009855C2">
        <w:t xml:space="preserve"> 18142.</w:t>
      </w:r>
    </w:p>
    <w:p w:rsidR="009855C2" w:rsidRPr="009855C2" w:rsidRDefault="00470652" w:rsidP="007279C4">
      <w:r>
        <w:t>The dossier also included p</w:t>
      </w:r>
      <w:r w:rsidR="00D64CFA">
        <w:t xml:space="preserve">ooled analyses, </w:t>
      </w:r>
      <w:proofErr w:type="gramStart"/>
      <w:r w:rsidR="00D64CFA">
        <w:t>meta</w:t>
      </w:r>
      <w:proofErr w:type="gramEnd"/>
      <w:r w:rsidR="00D64CFA">
        <w:t xml:space="preserve"> </w:t>
      </w:r>
      <w:r w:rsidR="009855C2" w:rsidRPr="009855C2">
        <w:t xml:space="preserve">analyses, </w:t>
      </w:r>
      <w:r>
        <w:t>Periodic Safety Update R</w:t>
      </w:r>
      <w:r w:rsidR="00D64CFA">
        <w:t>eports (</w:t>
      </w:r>
      <w:r w:rsidR="009855C2" w:rsidRPr="009855C2">
        <w:t>PSURs</w:t>
      </w:r>
      <w:r w:rsidR="00D64CFA">
        <w:t>)</w:t>
      </w:r>
      <w:r w:rsidR="009855C2" w:rsidRPr="009855C2">
        <w:t>, Integrated Summary of Efficacy</w:t>
      </w:r>
      <w:r w:rsidR="00D64CFA">
        <w:t xml:space="preserve">, </w:t>
      </w:r>
      <w:r>
        <w:t xml:space="preserve">and </w:t>
      </w:r>
      <w:r w:rsidR="00D64CFA">
        <w:t>Integrated Summary of Safety</w:t>
      </w:r>
      <w:r w:rsidR="009855C2" w:rsidRPr="009855C2">
        <w:t>.</w:t>
      </w:r>
    </w:p>
    <w:p w:rsidR="00605AD4" w:rsidRDefault="00605AD4" w:rsidP="008516DC">
      <w:pPr>
        <w:pStyle w:val="Heading4"/>
      </w:pPr>
      <w:r w:rsidRPr="00605AD4">
        <w:t>Paediatric data</w:t>
      </w:r>
    </w:p>
    <w:p w:rsidR="009855C2" w:rsidRPr="009855C2" w:rsidRDefault="009855C2" w:rsidP="008516DC">
      <w:r w:rsidRPr="009855C2">
        <w:t>The submission did not include paediatric data.</w:t>
      </w:r>
    </w:p>
    <w:p w:rsidR="00605AD4" w:rsidRDefault="00605AD4" w:rsidP="008516DC">
      <w:pPr>
        <w:pStyle w:val="Heading4"/>
      </w:pPr>
      <w:r w:rsidRPr="00605AD4">
        <w:t>Good clinical practice</w:t>
      </w:r>
    </w:p>
    <w:p w:rsidR="00470812" w:rsidRPr="00470812" w:rsidRDefault="00470812" w:rsidP="008516DC">
      <w:bookmarkStart w:id="70" w:name="_Toc241374282"/>
      <w:r w:rsidRPr="00470812">
        <w:t xml:space="preserve">All studies were conducted in accordance with the ICH E6 Guideline for Good Clinical Practice, the ethical principles originating from the Declaration of Helsinki revised version </w:t>
      </w:r>
      <w:r w:rsidRPr="009B63B8">
        <w:t xml:space="preserve">and local </w:t>
      </w:r>
      <w:r w:rsidRPr="00470812">
        <w:t>regulatory requirements.</w:t>
      </w:r>
      <w:bookmarkEnd w:id="70"/>
    </w:p>
    <w:p w:rsidR="008E7846" w:rsidRPr="00254787" w:rsidRDefault="008E7846" w:rsidP="008516DC">
      <w:pPr>
        <w:pStyle w:val="Heading3"/>
      </w:pPr>
      <w:bookmarkStart w:id="71" w:name="_Toc413157314"/>
      <w:r w:rsidRPr="00254787">
        <w:t>Pharmacokinetics</w:t>
      </w:r>
      <w:bookmarkEnd w:id="58"/>
      <w:bookmarkEnd w:id="65"/>
      <w:bookmarkEnd w:id="66"/>
      <w:bookmarkEnd w:id="67"/>
      <w:bookmarkEnd w:id="71"/>
    </w:p>
    <w:p w:rsidR="008755B7" w:rsidRPr="008755B7" w:rsidRDefault="008755B7" w:rsidP="008516DC">
      <w:pPr>
        <w:pStyle w:val="Heading4"/>
      </w:pPr>
      <w:bookmarkStart w:id="72" w:name="_Ref271017296"/>
      <w:bookmarkStart w:id="73" w:name="_Ref271018924"/>
      <w:bookmarkStart w:id="74" w:name="_Ref271018934"/>
      <w:bookmarkStart w:id="75" w:name="_Toc272414614"/>
      <w:bookmarkStart w:id="76" w:name="_Toc290846238"/>
      <w:bookmarkStart w:id="77" w:name="_Toc381350507"/>
      <w:r w:rsidRPr="008755B7">
        <w:t>Studies</w:t>
      </w:r>
      <w:bookmarkEnd w:id="72"/>
      <w:bookmarkEnd w:id="73"/>
      <w:bookmarkEnd w:id="74"/>
      <w:r w:rsidRPr="008755B7">
        <w:t xml:space="preserve"> providing </w:t>
      </w:r>
      <w:r w:rsidR="00E325E2">
        <w:t>PK</w:t>
      </w:r>
      <w:r w:rsidRPr="008755B7">
        <w:t xml:space="preserve"> data</w:t>
      </w:r>
      <w:bookmarkEnd w:id="75"/>
      <w:bookmarkEnd w:id="76"/>
      <w:bookmarkEnd w:id="77"/>
    </w:p>
    <w:p w:rsidR="008755B7" w:rsidRPr="008755B7" w:rsidRDefault="008755B7" w:rsidP="008516DC">
      <w:r w:rsidRPr="008755B7">
        <w:t xml:space="preserve">Table </w:t>
      </w:r>
      <w:r w:rsidR="00AC335C">
        <w:t>2</w:t>
      </w:r>
      <w:r w:rsidRPr="008755B7">
        <w:t xml:space="preserve"> shows the studies relating to each </w:t>
      </w:r>
      <w:r w:rsidR="00E325E2">
        <w:t>PK</w:t>
      </w:r>
      <w:r w:rsidRPr="008755B7">
        <w:t xml:space="preserve"> topic.</w:t>
      </w:r>
    </w:p>
    <w:p w:rsidR="00271234" w:rsidRDefault="00271234">
      <w:pPr>
        <w:spacing w:before="0" w:after="200" w:line="0" w:lineRule="auto"/>
        <w:rPr>
          <w:b/>
        </w:rPr>
      </w:pPr>
      <w:r>
        <w:br w:type="page"/>
      </w:r>
    </w:p>
    <w:p w:rsidR="008755B7" w:rsidRPr="008755B7" w:rsidRDefault="008755B7" w:rsidP="008516DC">
      <w:pPr>
        <w:pStyle w:val="TableTitle"/>
      </w:pPr>
      <w:proofErr w:type="gramStart"/>
      <w:r w:rsidRPr="008755B7">
        <w:lastRenderedPageBreak/>
        <w:t xml:space="preserve">Table </w:t>
      </w:r>
      <w:r w:rsidR="00AC335C">
        <w:t>2</w:t>
      </w:r>
      <w:r>
        <w:t>: Submitted pharmacokinetic studies.</w:t>
      </w:r>
      <w:proofErr w:type="gramEnd"/>
    </w:p>
    <w:tbl>
      <w:tblPr>
        <w:tblStyle w:val="TableTGAblue"/>
        <w:tblW w:w="8472" w:type="dxa"/>
        <w:tblLayout w:type="fixed"/>
        <w:tblLook w:val="04A0" w:firstRow="1" w:lastRow="0" w:firstColumn="1" w:lastColumn="0" w:noHBand="0" w:noVBand="1"/>
      </w:tblPr>
      <w:tblGrid>
        <w:gridCol w:w="1385"/>
        <w:gridCol w:w="1558"/>
        <w:gridCol w:w="1843"/>
        <w:gridCol w:w="3686"/>
      </w:tblGrid>
      <w:tr w:rsidR="008755B7" w:rsidTr="008516DC">
        <w:trPr>
          <w:cnfStyle w:val="100000000000" w:firstRow="1" w:lastRow="0" w:firstColumn="0" w:lastColumn="0" w:oddVBand="0" w:evenVBand="0" w:oddHBand="0" w:evenHBand="0" w:firstRowFirstColumn="0" w:firstRowLastColumn="0" w:lastRowFirstColumn="0" w:lastRowLastColumn="0"/>
        </w:trPr>
        <w:tc>
          <w:tcPr>
            <w:tcW w:w="1385" w:type="dxa"/>
            <w:hideMark/>
          </w:tcPr>
          <w:p w:rsidR="008755B7" w:rsidRPr="00AC335C" w:rsidRDefault="008755B7" w:rsidP="008516DC">
            <w:pPr>
              <w:ind w:left="0"/>
            </w:pPr>
            <w:r w:rsidRPr="00AC335C">
              <w:t>PK topic</w:t>
            </w:r>
          </w:p>
        </w:tc>
        <w:tc>
          <w:tcPr>
            <w:tcW w:w="1558" w:type="dxa"/>
            <w:hideMark/>
          </w:tcPr>
          <w:p w:rsidR="008755B7" w:rsidRPr="00AC335C" w:rsidRDefault="008755B7" w:rsidP="008516DC">
            <w:pPr>
              <w:ind w:left="33"/>
            </w:pPr>
            <w:r w:rsidRPr="00AC335C">
              <w:t>Subtopic</w:t>
            </w:r>
          </w:p>
        </w:tc>
        <w:tc>
          <w:tcPr>
            <w:tcW w:w="1843" w:type="dxa"/>
            <w:hideMark/>
          </w:tcPr>
          <w:p w:rsidR="008755B7" w:rsidRPr="00AC335C" w:rsidRDefault="008755B7" w:rsidP="008516DC">
            <w:pPr>
              <w:ind w:left="34"/>
            </w:pPr>
            <w:r w:rsidRPr="00AC335C">
              <w:t>Study ID</w:t>
            </w:r>
          </w:p>
        </w:tc>
        <w:tc>
          <w:tcPr>
            <w:tcW w:w="3686" w:type="dxa"/>
            <w:hideMark/>
          </w:tcPr>
          <w:p w:rsidR="008755B7" w:rsidRPr="00AC335C" w:rsidRDefault="008755B7" w:rsidP="008516DC">
            <w:pPr>
              <w:ind w:left="0"/>
            </w:pPr>
            <w:r w:rsidRPr="00AC335C">
              <w:t>Primary aim of the study</w:t>
            </w:r>
          </w:p>
        </w:tc>
      </w:tr>
      <w:tr w:rsidR="008755B7" w:rsidTr="008516DC">
        <w:tc>
          <w:tcPr>
            <w:tcW w:w="1385" w:type="dxa"/>
            <w:hideMark/>
          </w:tcPr>
          <w:p w:rsidR="008755B7" w:rsidRPr="00271234" w:rsidRDefault="008755B7" w:rsidP="00271234">
            <w:pPr>
              <w:ind w:left="0" w:right="35"/>
              <w:rPr>
                <w:szCs w:val="22"/>
              </w:rPr>
            </w:pPr>
            <w:r w:rsidRPr="00271234">
              <w:rPr>
                <w:szCs w:val="22"/>
              </w:rPr>
              <w:t>PK in healthy adults</w:t>
            </w:r>
          </w:p>
        </w:tc>
        <w:tc>
          <w:tcPr>
            <w:tcW w:w="1558" w:type="dxa"/>
            <w:hideMark/>
          </w:tcPr>
          <w:p w:rsidR="008755B7" w:rsidRPr="00271234" w:rsidRDefault="001249B8" w:rsidP="00271234">
            <w:pPr>
              <w:ind w:left="33" w:right="35"/>
              <w:rPr>
                <w:szCs w:val="22"/>
              </w:rPr>
            </w:pPr>
            <w:r w:rsidRPr="00271234">
              <w:rPr>
                <w:szCs w:val="22"/>
              </w:rPr>
              <w:t>General PK</w:t>
            </w:r>
            <w:r w:rsidR="008755B7" w:rsidRPr="00271234">
              <w:rPr>
                <w:szCs w:val="22"/>
              </w:rPr>
              <w:t xml:space="preserve"> Single dose</w:t>
            </w:r>
          </w:p>
        </w:tc>
        <w:tc>
          <w:tcPr>
            <w:tcW w:w="1843" w:type="dxa"/>
            <w:hideMark/>
          </w:tcPr>
          <w:p w:rsidR="008755B7" w:rsidRPr="00271234" w:rsidRDefault="008755B7" w:rsidP="00271234">
            <w:pPr>
              <w:ind w:left="34" w:right="35"/>
              <w:rPr>
                <w:szCs w:val="22"/>
              </w:rPr>
            </w:pPr>
            <w:r w:rsidRPr="00271234">
              <w:rPr>
                <w:szCs w:val="22"/>
              </w:rPr>
              <w:t>COL-118-BAPK-101</w:t>
            </w:r>
          </w:p>
        </w:tc>
        <w:tc>
          <w:tcPr>
            <w:tcW w:w="3686" w:type="dxa"/>
            <w:hideMark/>
          </w:tcPr>
          <w:p w:rsidR="008755B7" w:rsidRPr="00271234" w:rsidRDefault="008755B7" w:rsidP="00271234">
            <w:pPr>
              <w:ind w:left="0" w:right="35"/>
              <w:rPr>
                <w:szCs w:val="22"/>
              </w:rPr>
            </w:pPr>
            <w:r w:rsidRPr="00271234">
              <w:rPr>
                <w:szCs w:val="22"/>
              </w:rPr>
              <w:t xml:space="preserve">Relative BA of 0.2% </w:t>
            </w:r>
            <w:proofErr w:type="spellStart"/>
            <w:r w:rsidRPr="00271234">
              <w:rPr>
                <w:szCs w:val="22"/>
              </w:rPr>
              <w:t>M</w:t>
            </w:r>
            <w:r w:rsidR="00AC335C" w:rsidRPr="00271234">
              <w:rPr>
                <w:szCs w:val="22"/>
              </w:rPr>
              <w:t>irvaso</w:t>
            </w:r>
            <w:proofErr w:type="spellEnd"/>
            <w:r w:rsidRPr="00271234">
              <w:rPr>
                <w:szCs w:val="22"/>
              </w:rPr>
              <w:t xml:space="preserve"> gel </w:t>
            </w:r>
            <w:r w:rsidR="00AC335C" w:rsidRPr="00271234">
              <w:rPr>
                <w:szCs w:val="22"/>
              </w:rPr>
              <w:t>compared to</w:t>
            </w:r>
            <w:r w:rsidRPr="00271234">
              <w:rPr>
                <w:szCs w:val="22"/>
              </w:rPr>
              <w:t xml:space="preserve"> 0.2% brimonidine ophthalmic solution</w:t>
            </w:r>
          </w:p>
        </w:tc>
      </w:tr>
      <w:tr w:rsidR="008755B7" w:rsidTr="008516DC">
        <w:tc>
          <w:tcPr>
            <w:tcW w:w="1385" w:type="dxa"/>
            <w:vMerge w:val="restart"/>
            <w:vAlign w:val="center"/>
            <w:hideMark/>
          </w:tcPr>
          <w:p w:rsidR="008755B7" w:rsidRPr="00271234" w:rsidRDefault="008755B7" w:rsidP="00271234">
            <w:pPr>
              <w:ind w:left="0" w:right="35"/>
              <w:rPr>
                <w:szCs w:val="22"/>
              </w:rPr>
            </w:pPr>
            <w:r w:rsidRPr="00271234">
              <w:rPr>
                <w:szCs w:val="22"/>
              </w:rPr>
              <w:t>PK in special populations</w:t>
            </w:r>
          </w:p>
        </w:tc>
        <w:tc>
          <w:tcPr>
            <w:tcW w:w="1558" w:type="dxa"/>
            <w:vMerge w:val="restart"/>
            <w:vAlign w:val="center"/>
            <w:hideMark/>
          </w:tcPr>
          <w:p w:rsidR="008755B7" w:rsidRPr="00271234" w:rsidRDefault="008755B7" w:rsidP="00271234">
            <w:pPr>
              <w:ind w:left="33" w:right="35"/>
              <w:rPr>
                <w:szCs w:val="22"/>
              </w:rPr>
            </w:pPr>
            <w:r w:rsidRPr="00271234">
              <w:rPr>
                <w:szCs w:val="22"/>
              </w:rPr>
              <w:t>Target population</w:t>
            </w:r>
          </w:p>
        </w:tc>
        <w:tc>
          <w:tcPr>
            <w:tcW w:w="1843" w:type="dxa"/>
            <w:hideMark/>
          </w:tcPr>
          <w:p w:rsidR="008755B7" w:rsidRPr="00271234" w:rsidRDefault="008755B7" w:rsidP="00271234">
            <w:pPr>
              <w:ind w:left="34" w:right="35"/>
              <w:rPr>
                <w:szCs w:val="22"/>
              </w:rPr>
            </w:pPr>
            <w:r w:rsidRPr="00271234">
              <w:rPr>
                <w:szCs w:val="22"/>
              </w:rPr>
              <w:t>RD.06.SRE.18126</w:t>
            </w:r>
          </w:p>
        </w:tc>
        <w:tc>
          <w:tcPr>
            <w:tcW w:w="3686" w:type="dxa"/>
            <w:hideMark/>
          </w:tcPr>
          <w:p w:rsidR="008755B7" w:rsidRPr="00271234" w:rsidRDefault="008755B7" w:rsidP="00271234">
            <w:pPr>
              <w:ind w:left="0" w:right="35"/>
              <w:rPr>
                <w:szCs w:val="22"/>
              </w:rPr>
            </w:pPr>
            <w:r w:rsidRPr="00271234">
              <w:rPr>
                <w:szCs w:val="22"/>
              </w:rPr>
              <w:t xml:space="preserve">Relative BA of 0.18% </w:t>
            </w:r>
            <w:proofErr w:type="spellStart"/>
            <w:r w:rsidRPr="00271234">
              <w:rPr>
                <w:szCs w:val="22"/>
              </w:rPr>
              <w:t>M</w:t>
            </w:r>
            <w:r w:rsidR="00AC335C" w:rsidRPr="00271234">
              <w:rPr>
                <w:szCs w:val="22"/>
              </w:rPr>
              <w:t>irvaso</w:t>
            </w:r>
            <w:proofErr w:type="spellEnd"/>
            <w:r w:rsidRPr="00271234">
              <w:rPr>
                <w:szCs w:val="22"/>
              </w:rPr>
              <w:t xml:space="preserve"> gel and 0.2% brimonidine ophthalmic solution under conditions of maximum use.</w:t>
            </w:r>
          </w:p>
        </w:tc>
      </w:tr>
      <w:tr w:rsidR="008755B7" w:rsidTr="008516DC">
        <w:tc>
          <w:tcPr>
            <w:tcW w:w="1385" w:type="dxa"/>
            <w:vMerge/>
          </w:tcPr>
          <w:p w:rsidR="008755B7" w:rsidRPr="00271234" w:rsidRDefault="008755B7" w:rsidP="00271234">
            <w:pPr>
              <w:ind w:left="0" w:right="35"/>
              <w:rPr>
                <w:szCs w:val="22"/>
              </w:rPr>
            </w:pPr>
          </w:p>
        </w:tc>
        <w:tc>
          <w:tcPr>
            <w:tcW w:w="1558" w:type="dxa"/>
            <w:vMerge/>
          </w:tcPr>
          <w:p w:rsidR="008755B7" w:rsidRPr="00271234" w:rsidRDefault="008755B7" w:rsidP="00271234">
            <w:pPr>
              <w:ind w:left="33" w:right="35"/>
              <w:rPr>
                <w:szCs w:val="22"/>
              </w:rPr>
            </w:pPr>
          </w:p>
        </w:tc>
        <w:tc>
          <w:tcPr>
            <w:tcW w:w="1843" w:type="dxa"/>
            <w:hideMark/>
          </w:tcPr>
          <w:p w:rsidR="008755B7" w:rsidRPr="00271234" w:rsidRDefault="008755B7" w:rsidP="00271234">
            <w:pPr>
              <w:ind w:left="34" w:right="35"/>
              <w:rPr>
                <w:szCs w:val="22"/>
              </w:rPr>
            </w:pPr>
            <w:r w:rsidRPr="00271234">
              <w:rPr>
                <w:szCs w:val="22"/>
              </w:rPr>
              <w:t>RD.06.SRE.18143</w:t>
            </w:r>
          </w:p>
        </w:tc>
        <w:tc>
          <w:tcPr>
            <w:tcW w:w="3686" w:type="dxa"/>
            <w:hideMark/>
          </w:tcPr>
          <w:p w:rsidR="008755B7" w:rsidRPr="00271234" w:rsidRDefault="008755B7" w:rsidP="00271234">
            <w:pPr>
              <w:ind w:left="0" w:right="35"/>
              <w:rPr>
                <w:szCs w:val="22"/>
              </w:rPr>
            </w:pPr>
            <w:r w:rsidRPr="00271234">
              <w:rPr>
                <w:szCs w:val="22"/>
              </w:rPr>
              <w:t xml:space="preserve">PK of </w:t>
            </w:r>
            <w:proofErr w:type="spellStart"/>
            <w:r w:rsidRPr="00271234">
              <w:rPr>
                <w:szCs w:val="22"/>
              </w:rPr>
              <w:t>M</w:t>
            </w:r>
            <w:r w:rsidR="00AC335C" w:rsidRPr="00271234">
              <w:rPr>
                <w:szCs w:val="22"/>
              </w:rPr>
              <w:t>irvaso</w:t>
            </w:r>
            <w:proofErr w:type="spellEnd"/>
            <w:r w:rsidRPr="00271234">
              <w:rPr>
                <w:szCs w:val="22"/>
              </w:rPr>
              <w:t xml:space="preserve"> gel (0.07%, 0.18%, and 0.5%) after 4 weeks treatment </w:t>
            </w:r>
            <w:r w:rsidR="00AC335C" w:rsidRPr="00271234">
              <w:rPr>
                <w:szCs w:val="22"/>
              </w:rPr>
              <w:t>compared to</w:t>
            </w:r>
            <w:r w:rsidRPr="00271234">
              <w:rPr>
                <w:szCs w:val="22"/>
              </w:rPr>
              <w:t xml:space="preserve"> PK of brimonidine tartrate ophthalmic solution 0.2% after 1 day.</w:t>
            </w:r>
          </w:p>
        </w:tc>
      </w:tr>
    </w:tbl>
    <w:p w:rsidR="008755B7" w:rsidRPr="00413E5E" w:rsidRDefault="008755B7" w:rsidP="008516DC">
      <w:r w:rsidRPr="00413E5E">
        <w:t xml:space="preserve">None of the </w:t>
      </w:r>
      <w:r w:rsidR="00E325E2">
        <w:t>PK</w:t>
      </w:r>
      <w:r w:rsidRPr="00413E5E">
        <w:t xml:space="preserve"> studies had deficiencies that excluded their results from consideration.</w:t>
      </w:r>
    </w:p>
    <w:p w:rsidR="001249B8" w:rsidRPr="001249B8" w:rsidRDefault="001249B8" w:rsidP="00271234">
      <w:pPr>
        <w:pStyle w:val="Heading4"/>
      </w:pPr>
      <w:r w:rsidRPr="001249B8">
        <w:t xml:space="preserve">Evaluator’s </w:t>
      </w:r>
      <w:r w:rsidR="00470652" w:rsidRPr="00271234">
        <w:t>summary</w:t>
      </w:r>
      <w:r w:rsidR="00470652">
        <w:t xml:space="preserve"> and </w:t>
      </w:r>
      <w:r w:rsidRPr="001249B8">
        <w:t>conclusions on pharmacokinetics</w:t>
      </w:r>
    </w:p>
    <w:p w:rsidR="001249B8" w:rsidRPr="001249B8" w:rsidRDefault="001249B8" w:rsidP="008516DC">
      <w:pPr>
        <w:pStyle w:val="ListBullet"/>
      </w:pPr>
      <w:proofErr w:type="spellStart"/>
      <w:r w:rsidRPr="001249B8">
        <w:t>M</w:t>
      </w:r>
      <w:r w:rsidR="00CD641E" w:rsidRPr="001249B8">
        <w:t>irvaso</w:t>
      </w:r>
      <w:proofErr w:type="spellEnd"/>
      <w:r w:rsidRPr="001249B8">
        <w:t xml:space="preserve"> is a topical aqueous gel, which is absorbed through the epidermis.</w:t>
      </w:r>
    </w:p>
    <w:p w:rsidR="001249B8" w:rsidRPr="001249B8" w:rsidRDefault="001249B8" w:rsidP="008516DC">
      <w:pPr>
        <w:pStyle w:val="ListBullet"/>
      </w:pPr>
      <w:r w:rsidRPr="001249B8">
        <w:t xml:space="preserve">The absolute </w:t>
      </w:r>
      <w:r w:rsidR="00FF3101">
        <w:t>BA</w:t>
      </w:r>
      <w:r w:rsidRPr="001249B8">
        <w:t xml:space="preserve"> of </w:t>
      </w:r>
      <w:proofErr w:type="spellStart"/>
      <w:r w:rsidRPr="001249B8">
        <w:t>M</w:t>
      </w:r>
      <w:r>
        <w:t>irvaso</w:t>
      </w:r>
      <w:proofErr w:type="spellEnd"/>
      <w:r w:rsidRPr="001249B8">
        <w:t xml:space="preserve"> gel is unknown.</w:t>
      </w:r>
    </w:p>
    <w:p w:rsidR="001249B8" w:rsidRPr="001249B8" w:rsidRDefault="001249B8" w:rsidP="008516DC">
      <w:pPr>
        <w:pStyle w:val="ListBullet"/>
      </w:pPr>
      <w:r w:rsidRPr="001249B8">
        <w:t xml:space="preserve">Dermal </w:t>
      </w:r>
      <w:r w:rsidR="00FF3101">
        <w:t>BA</w:t>
      </w:r>
      <w:r w:rsidRPr="001249B8">
        <w:t xml:space="preserve"> of 0.18% </w:t>
      </w:r>
      <w:proofErr w:type="spellStart"/>
      <w:r w:rsidRPr="001249B8">
        <w:t>Mirvaso</w:t>
      </w:r>
      <w:proofErr w:type="spellEnd"/>
      <w:r w:rsidRPr="001249B8">
        <w:t xml:space="preserve"> gel compared to the ophthalmic solution </w:t>
      </w:r>
      <w:proofErr w:type="gramStart"/>
      <w:r w:rsidRPr="001249B8">
        <w:t xml:space="preserve">(100 </w:t>
      </w:r>
      <w:proofErr w:type="spellStart"/>
      <w:r w:rsidRPr="001249B8">
        <w:t>pg</w:t>
      </w:r>
      <w:proofErr w:type="spellEnd"/>
      <w:r w:rsidRPr="001249B8">
        <w:t>/mL)</w:t>
      </w:r>
      <w:proofErr w:type="gramEnd"/>
      <w:r w:rsidRPr="001249B8">
        <w:t xml:space="preserve"> was less than 3%.</w:t>
      </w:r>
    </w:p>
    <w:p w:rsidR="001249B8" w:rsidRPr="001249B8" w:rsidRDefault="001249B8" w:rsidP="008516DC">
      <w:pPr>
        <w:pStyle w:val="ListBullet"/>
      </w:pPr>
      <w:r w:rsidRPr="001249B8">
        <w:t xml:space="preserve">In the target population, quantifiable plasma levels of brimonidine were detected in samples from 74% of the patients following a single application of 0.5% </w:t>
      </w:r>
      <w:proofErr w:type="spellStart"/>
      <w:r w:rsidRPr="001249B8">
        <w:t>Mirvaso</w:t>
      </w:r>
      <w:proofErr w:type="spellEnd"/>
      <w:r w:rsidRPr="001249B8">
        <w:t xml:space="preserve"> gel and the calculated mean </w:t>
      </w:r>
      <w:r w:rsidR="00CD641E">
        <w:t>maximum serum concentration (</w:t>
      </w:r>
      <w:proofErr w:type="spellStart"/>
      <w:r w:rsidRPr="005C6003">
        <w:t>Cmax</w:t>
      </w:r>
      <w:proofErr w:type="spellEnd"/>
      <w:r w:rsidR="00CD641E" w:rsidRPr="00CD641E">
        <w:t>)</w:t>
      </w:r>
      <w:r w:rsidRPr="001249B8">
        <w:t xml:space="preserve"> and AUC</w:t>
      </w:r>
      <w:r w:rsidRPr="00CC418A">
        <w:rPr>
          <w:vertAlign w:val="subscript"/>
        </w:rPr>
        <w:t>0-24</w:t>
      </w:r>
      <w:r w:rsidR="00470652">
        <w:rPr>
          <w:vertAlign w:val="subscript"/>
        </w:rPr>
        <w:t xml:space="preserve"> </w:t>
      </w:r>
      <w:r w:rsidRPr="00CC418A">
        <w:rPr>
          <w:vertAlign w:val="subscript"/>
        </w:rPr>
        <w:t>h</w:t>
      </w:r>
      <w:r w:rsidRPr="001249B8">
        <w:t xml:space="preserve"> values for </w:t>
      </w:r>
      <w:proofErr w:type="spellStart"/>
      <w:r w:rsidRPr="001249B8">
        <w:t>brimonidine</w:t>
      </w:r>
      <w:proofErr w:type="spellEnd"/>
      <w:r w:rsidRPr="001249B8">
        <w:t xml:space="preserve"> were 19.44 </w:t>
      </w:r>
      <w:proofErr w:type="spellStart"/>
      <w:r w:rsidRPr="001249B8">
        <w:t>pg</w:t>
      </w:r>
      <w:proofErr w:type="spellEnd"/>
      <w:r w:rsidRPr="001249B8">
        <w:t xml:space="preserve">/mL and 262.11 </w:t>
      </w:r>
      <w:proofErr w:type="spellStart"/>
      <w:r w:rsidRPr="001249B8">
        <w:t>pg.h</w:t>
      </w:r>
      <w:proofErr w:type="spellEnd"/>
      <w:r w:rsidRPr="001249B8">
        <w:t>/mL, respectively.</w:t>
      </w:r>
    </w:p>
    <w:p w:rsidR="001249B8" w:rsidRPr="001249B8" w:rsidRDefault="001249B8" w:rsidP="00271234">
      <w:pPr>
        <w:pStyle w:val="ListBullet"/>
      </w:pPr>
      <w:r w:rsidRPr="001249B8">
        <w:t xml:space="preserve">Following administration of the 0.18% formulation </w:t>
      </w:r>
      <w:proofErr w:type="spellStart"/>
      <w:r w:rsidR="00470652">
        <w:t>q.d</w:t>
      </w:r>
      <w:proofErr w:type="spellEnd"/>
      <w:r w:rsidR="00470652">
        <w:t>.,</w:t>
      </w:r>
      <w:r w:rsidRPr="001249B8">
        <w:t xml:space="preserve"> plasma levels of brimonidine could only be detected in 32% of treated subjects and the calculated </w:t>
      </w:r>
      <w:proofErr w:type="spellStart"/>
      <w:r w:rsidRPr="005C6003">
        <w:t>Cmax</w:t>
      </w:r>
      <w:proofErr w:type="spellEnd"/>
      <w:r w:rsidRPr="001249B8">
        <w:t xml:space="preserve"> and AUC values reported were </w:t>
      </w:r>
      <w:proofErr w:type="gramStart"/>
      <w:r w:rsidRPr="001249B8">
        <w:t>13.</w:t>
      </w:r>
      <w:r w:rsidRPr="00271234">
        <w:t>07</w:t>
      </w:r>
      <w:r w:rsidRPr="001249B8">
        <w:t xml:space="preserve"> </w:t>
      </w:r>
      <w:proofErr w:type="spellStart"/>
      <w:r w:rsidRPr="001249B8">
        <w:t>pg</w:t>
      </w:r>
      <w:proofErr w:type="spellEnd"/>
      <w:r w:rsidRPr="001249B8">
        <w:t>/mL</w:t>
      </w:r>
      <w:proofErr w:type="gramEnd"/>
      <w:r w:rsidRPr="001249B8">
        <w:t xml:space="preserve"> a</w:t>
      </w:r>
      <w:r w:rsidR="001870F8">
        <w:t xml:space="preserve">nd 72.3 </w:t>
      </w:r>
      <w:proofErr w:type="spellStart"/>
      <w:r w:rsidR="001870F8">
        <w:t>pg.h</w:t>
      </w:r>
      <w:proofErr w:type="spellEnd"/>
      <w:r w:rsidR="001870F8">
        <w:t>/mL, respectively.</w:t>
      </w:r>
    </w:p>
    <w:p w:rsidR="001249B8" w:rsidRPr="001249B8" w:rsidRDefault="001249B8" w:rsidP="008516DC">
      <w:pPr>
        <w:pStyle w:val="ListBullet"/>
      </w:pPr>
      <w:r w:rsidRPr="001249B8">
        <w:t xml:space="preserve">Following a single administrations of </w:t>
      </w:r>
      <w:proofErr w:type="spellStart"/>
      <w:r w:rsidRPr="001249B8">
        <w:t>Mirvaso</w:t>
      </w:r>
      <w:proofErr w:type="spellEnd"/>
      <w:r w:rsidRPr="001249B8">
        <w:t xml:space="preserve"> gel containing 0.18% or 0.5% </w:t>
      </w:r>
      <w:proofErr w:type="spellStart"/>
      <w:r w:rsidRPr="001249B8">
        <w:t>brimonidine</w:t>
      </w:r>
      <w:proofErr w:type="spellEnd"/>
      <w:r w:rsidRPr="001249B8">
        <w:t xml:space="preserve"> the </w:t>
      </w:r>
      <w:proofErr w:type="spellStart"/>
      <w:r w:rsidRPr="005C6003">
        <w:t>Cmax</w:t>
      </w:r>
      <w:proofErr w:type="spellEnd"/>
      <w:r w:rsidRPr="001249B8">
        <w:t xml:space="preserve"> of </w:t>
      </w:r>
      <w:proofErr w:type="spellStart"/>
      <w:r w:rsidRPr="001249B8">
        <w:t>brimonidine</w:t>
      </w:r>
      <w:proofErr w:type="spellEnd"/>
      <w:r w:rsidRPr="001249B8">
        <w:t xml:space="preserve"> increased less than dose-proportionally (ratio = 1.49), whereas, AUC increased greater than dose proportionally (ratio = 3.63).</w:t>
      </w:r>
    </w:p>
    <w:p w:rsidR="001249B8" w:rsidRPr="001249B8" w:rsidRDefault="001249B8" w:rsidP="008516DC">
      <w:pPr>
        <w:pStyle w:val="ListBullet"/>
      </w:pPr>
      <w:r w:rsidRPr="001249B8">
        <w:t xml:space="preserve">Following 29 days of </w:t>
      </w:r>
      <w:proofErr w:type="spellStart"/>
      <w:r w:rsidRPr="001249B8">
        <w:t>q.d</w:t>
      </w:r>
      <w:proofErr w:type="spellEnd"/>
      <w:r w:rsidRPr="001249B8">
        <w:t xml:space="preserve">. dosing with formulations of </w:t>
      </w:r>
      <w:proofErr w:type="spellStart"/>
      <w:r w:rsidRPr="001249B8">
        <w:t>Mirvaso</w:t>
      </w:r>
      <w:proofErr w:type="spellEnd"/>
      <w:r w:rsidRPr="001249B8">
        <w:t xml:space="preserve"> gel containing 0.18% and 0.5% brimonidine a similar pattern was seen and the </w:t>
      </w:r>
      <w:proofErr w:type="spellStart"/>
      <w:r w:rsidRPr="005C6003">
        <w:t>Cmax</w:t>
      </w:r>
      <w:proofErr w:type="spellEnd"/>
      <w:r w:rsidRPr="001249B8">
        <w:t xml:space="preserve"> and A</w:t>
      </w:r>
      <w:r w:rsidR="00CD641E">
        <w:t xml:space="preserve">UC for the higher dose was 1.35 fold and 3.49 </w:t>
      </w:r>
      <w:r w:rsidRPr="001249B8">
        <w:t>fold higher, respectively, than following the 0.18% dose.</w:t>
      </w:r>
    </w:p>
    <w:p w:rsidR="001249B8" w:rsidRPr="001249B8" w:rsidRDefault="001249B8" w:rsidP="008516DC">
      <w:pPr>
        <w:pStyle w:val="ListBullet"/>
      </w:pPr>
      <w:r w:rsidRPr="001249B8">
        <w:t xml:space="preserve">Following 15 days of treatment with either 0.5% </w:t>
      </w:r>
      <w:proofErr w:type="spellStart"/>
      <w:r w:rsidRPr="001249B8">
        <w:t>q.d</w:t>
      </w:r>
      <w:proofErr w:type="spellEnd"/>
      <w:r w:rsidRPr="001249B8">
        <w:t xml:space="preserve">. or 0.18% </w:t>
      </w:r>
      <w:r w:rsidR="00FF3101">
        <w:t>twice daily (</w:t>
      </w:r>
      <w:proofErr w:type="spellStart"/>
      <w:r w:rsidRPr="001249B8">
        <w:t>b.i.d</w:t>
      </w:r>
      <w:proofErr w:type="spellEnd"/>
      <w:r w:rsidR="00CD641E">
        <w:t>.</w:t>
      </w:r>
      <w:r w:rsidR="00FF3101">
        <w:t>)</w:t>
      </w:r>
      <w:r w:rsidRPr="001249B8">
        <w:t xml:space="preserve"> exposure to brimonidine increased. However, after 29 days of treatment there was little to no drug accumulation and steady state conditions were achieved.</w:t>
      </w:r>
    </w:p>
    <w:p w:rsidR="001249B8" w:rsidRPr="001249B8" w:rsidRDefault="001249B8" w:rsidP="008516DC">
      <w:pPr>
        <w:pStyle w:val="ListBullet"/>
      </w:pPr>
      <w:r w:rsidRPr="001249B8">
        <w:t xml:space="preserve">Following 29 days administration of either the 0.18% facial gel </w:t>
      </w:r>
      <w:proofErr w:type="spellStart"/>
      <w:r w:rsidRPr="001249B8">
        <w:t>b.i.d</w:t>
      </w:r>
      <w:proofErr w:type="spellEnd"/>
      <w:r w:rsidRPr="001249B8">
        <w:t xml:space="preserve">. or the 0.5% dose formulation </w:t>
      </w:r>
      <w:proofErr w:type="spellStart"/>
      <w:r w:rsidRPr="001249B8">
        <w:t>q.d</w:t>
      </w:r>
      <w:proofErr w:type="spellEnd"/>
      <w:r w:rsidRPr="001249B8">
        <w:t xml:space="preserve">. the </w:t>
      </w:r>
      <w:proofErr w:type="spellStart"/>
      <w:r w:rsidRPr="005C6003">
        <w:t>Cmax</w:t>
      </w:r>
      <w:proofErr w:type="spellEnd"/>
      <w:r w:rsidR="00CD641E">
        <w:t xml:space="preserve"> v</w:t>
      </w:r>
      <w:r w:rsidRPr="001249B8">
        <w:t xml:space="preserve">alues were similar (ratio 0.5% </w:t>
      </w:r>
      <w:proofErr w:type="spellStart"/>
      <w:r w:rsidRPr="001249B8">
        <w:t>q.d</w:t>
      </w:r>
      <w:proofErr w:type="spellEnd"/>
      <w:r w:rsidRPr="001249B8">
        <w:t xml:space="preserve">./0.18% </w:t>
      </w:r>
      <w:proofErr w:type="spellStart"/>
      <w:r w:rsidRPr="001249B8">
        <w:t>b.i.d</w:t>
      </w:r>
      <w:proofErr w:type="spellEnd"/>
      <w:r w:rsidRPr="001249B8">
        <w:t xml:space="preserve">. = 1.07), whereas the AUC was approximately 33% for the 0.5% </w:t>
      </w:r>
      <w:proofErr w:type="spellStart"/>
      <w:r w:rsidRPr="001249B8">
        <w:t>q.d</w:t>
      </w:r>
      <w:proofErr w:type="spellEnd"/>
      <w:r w:rsidRPr="001249B8">
        <w:t>. dose.</w:t>
      </w:r>
    </w:p>
    <w:p w:rsidR="008E7846" w:rsidRDefault="008E7846" w:rsidP="008516DC">
      <w:pPr>
        <w:pStyle w:val="Heading3"/>
      </w:pPr>
      <w:bookmarkStart w:id="78" w:name="_Toc196046481"/>
      <w:bookmarkStart w:id="79" w:name="_Toc247691520"/>
      <w:bookmarkStart w:id="80" w:name="_Toc314842503"/>
      <w:bookmarkStart w:id="81" w:name="_Toc413157315"/>
      <w:r w:rsidRPr="00254787">
        <w:lastRenderedPageBreak/>
        <w:t>Pharmacodynamics</w:t>
      </w:r>
      <w:bookmarkEnd w:id="59"/>
      <w:bookmarkEnd w:id="78"/>
      <w:bookmarkEnd w:id="79"/>
      <w:bookmarkEnd w:id="80"/>
      <w:bookmarkEnd w:id="81"/>
    </w:p>
    <w:p w:rsidR="00605AD4" w:rsidRDefault="00605AD4" w:rsidP="008516DC">
      <w:pPr>
        <w:pStyle w:val="Heading4"/>
      </w:pPr>
      <w:r>
        <w:t>Studies providing pharmacodynamic data</w:t>
      </w:r>
    </w:p>
    <w:p w:rsidR="00470652" w:rsidRPr="00470652" w:rsidRDefault="00470652" w:rsidP="008516DC">
      <w:r w:rsidRPr="00470652">
        <w:t>Table 3 shows the studies relating to pharmacodynamics (PD).</w:t>
      </w:r>
    </w:p>
    <w:p w:rsidR="001249B8" w:rsidRPr="00193AA6" w:rsidRDefault="001249B8" w:rsidP="008516DC">
      <w:pPr>
        <w:pStyle w:val="TableTitle"/>
      </w:pPr>
      <w:r w:rsidRPr="00193AA6">
        <w:t>Table 3</w:t>
      </w:r>
      <w:r w:rsidR="00193AA6" w:rsidRPr="00193AA6">
        <w:t>:</w:t>
      </w:r>
      <w:r w:rsidRPr="00193AA6">
        <w:t xml:space="preserve"> </w:t>
      </w:r>
      <w:r w:rsidR="00193AA6" w:rsidRPr="00193AA6">
        <w:t>Submitted pharmacodynamics studies.</w:t>
      </w:r>
    </w:p>
    <w:tbl>
      <w:tblPr>
        <w:tblStyle w:val="TableTGAblue"/>
        <w:tblW w:w="8613" w:type="dxa"/>
        <w:tblLayout w:type="fixed"/>
        <w:tblLook w:val="04A0" w:firstRow="1" w:lastRow="0" w:firstColumn="1" w:lastColumn="0" w:noHBand="0" w:noVBand="1"/>
      </w:tblPr>
      <w:tblGrid>
        <w:gridCol w:w="1526"/>
        <w:gridCol w:w="1417"/>
        <w:gridCol w:w="2552"/>
        <w:gridCol w:w="3118"/>
      </w:tblGrid>
      <w:tr w:rsidR="001249B8" w:rsidRPr="009547F4" w:rsidTr="002E48CB">
        <w:trPr>
          <w:cnfStyle w:val="100000000000" w:firstRow="1" w:lastRow="0" w:firstColumn="0" w:lastColumn="0" w:oddVBand="0" w:evenVBand="0" w:oddHBand="0" w:evenHBand="0" w:firstRowFirstColumn="0" w:firstRowLastColumn="0" w:lastRowFirstColumn="0" w:lastRowLastColumn="0"/>
        </w:trPr>
        <w:tc>
          <w:tcPr>
            <w:tcW w:w="1526" w:type="dxa"/>
          </w:tcPr>
          <w:p w:rsidR="001249B8" w:rsidRPr="002E48CB" w:rsidRDefault="001249B8" w:rsidP="008516DC">
            <w:pPr>
              <w:ind w:left="0"/>
            </w:pPr>
            <w:r w:rsidRPr="002E48CB">
              <w:t>PD Topic</w:t>
            </w:r>
          </w:p>
        </w:tc>
        <w:tc>
          <w:tcPr>
            <w:tcW w:w="1417" w:type="dxa"/>
          </w:tcPr>
          <w:p w:rsidR="001249B8" w:rsidRPr="002E48CB" w:rsidRDefault="001249B8" w:rsidP="008516DC">
            <w:pPr>
              <w:ind w:left="34"/>
            </w:pPr>
            <w:r w:rsidRPr="002E48CB">
              <w:t>Subtopic</w:t>
            </w:r>
          </w:p>
        </w:tc>
        <w:tc>
          <w:tcPr>
            <w:tcW w:w="2552" w:type="dxa"/>
          </w:tcPr>
          <w:p w:rsidR="001249B8" w:rsidRPr="002E48CB" w:rsidRDefault="001249B8" w:rsidP="008516DC">
            <w:pPr>
              <w:ind w:left="34"/>
            </w:pPr>
            <w:r w:rsidRPr="002E48CB">
              <w:t>Study ID</w:t>
            </w:r>
          </w:p>
        </w:tc>
        <w:tc>
          <w:tcPr>
            <w:tcW w:w="3118" w:type="dxa"/>
          </w:tcPr>
          <w:p w:rsidR="001249B8" w:rsidRPr="002E48CB" w:rsidRDefault="001249B8" w:rsidP="008516DC">
            <w:pPr>
              <w:ind w:left="34"/>
            </w:pPr>
            <w:r w:rsidRPr="002E48CB">
              <w:t>Primary aim of the study</w:t>
            </w:r>
          </w:p>
        </w:tc>
      </w:tr>
      <w:tr w:rsidR="001249B8" w:rsidRPr="009547F4" w:rsidTr="002E48CB">
        <w:tc>
          <w:tcPr>
            <w:tcW w:w="1526" w:type="dxa"/>
            <w:vMerge w:val="restart"/>
            <w:vAlign w:val="center"/>
          </w:tcPr>
          <w:p w:rsidR="001249B8" w:rsidRPr="00271234" w:rsidRDefault="001249B8" w:rsidP="00271234">
            <w:pPr>
              <w:ind w:left="0" w:right="34"/>
              <w:rPr>
                <w:sz w:val="20"/>
                <w:szCs w:val="20"/>
              </w:rPr>
            </w:pPr>
            <w:r w:rsidRPr="00271234">
              <w:rPr>
                <w:sz w:val="20"/>
                <w:szCs w:val="20"/>
              </w:rPr>
              <w:t>Primary Pharmacology</w:t>
            </w:r>
          </w:p>
        </w:tc>
        <w:tc>
          <w:tcPr>
            <w:tcW w:w="1417" w:type="dxa"/>
            <w:vMerge w:val="restart"/>
            <w:vAlign w:val="center"/>
          </w:tcPr>
          <w:p w:rsidR="001249B8" w:rsidRPr="00271234" w:rsidRDefault="001249B8" w:rsidP="00271234">
            <w:pPr>
              <w:ind w:left="34" w:right="-108"/>
              <w:rPr>
                <w:sz w:val="20"/>
                <w:szCs w:val="20"/>
              </w:rPr>
            </w:pPr>
            <w:r w:rsidRPr="00271234">
              <w:rPr>
                <w:sz w:val="20"/>
                <w:szCs w:val="20"/>
              </w:rPr>
              <w:t>Single-dose</w:t>
            </w:r>
          </w:p>
        </w:tc>
        <w:tc>
          <w:tcPr>
            <w:tcW w:w="2552" w:type="dxa"/>
          </w:tcPr>
          <w:p w:rsidR="001249B8" w:rsidRPr="00271234" w:rsidRDefault="001249B8" w:rsidP="00271234">
            <w:pPr>
              <w:ind w:left="34" w:right="-108"/>
              <w:rPr>
                <w:sz w:val="20"/>
                <w:szCs w:val="20"/>
              </w:rPr>
            </w:pPr>
            <w:r w:rsidRPr="00271234">
              <w:rPr>
                <w:sz w:val="20"/>
                <w:szCs w:val="20"/>
              </w:rPr>
              <w:t>COL-118-ROSE-101</w:t>
            </w:r>
          </w:p>
        </w:tc>
        <w:tc>
          <w:tcPr>
            <w:tcW w:w="3118" w:type="dxa"/>
          </w:tcPr>
          <w:p w:rsidR="001249B8" w:rsidRPr="00271234" w:rsidRDefault="001249B8" w:rsidP="00271234">
            <w:pPr>
              <w:ind w:left="34" w:right="-108"/>
              <w:rPr>
                <w:sz w:val="20"/>
                <w:szCs w:val="20"/>
              </w:rPr>
            </w:pPr>
            <w:r w:rsidRPr="00271234">
              <w:rPr>
                <w:sz w:val="20"/>
                <w:szCs w:val="20"/>
              </w:rPr>
              <w:t>Dose-response, tolerability and duration of effect</w:t>
            </w:r>
          </w:p>
        </w:tc>
      </w:tr>
      <w:tr w:rsidR="001249B8" w:rsidRPr="009547F4" w:rsidTr="002E48CB">
        <w:tc>
          <w:tcPr>
            <w:tcW w:w="1526" w:type="dxa"/>
            <w:vMerge/>
            <w:vAlign w:val="center"/>
          </w:tcPr>
          <w:p w:rsidR="001249B8" w:rsidRPr="00271234" w:rsidRDefault="001249B8" w:rsidP="00271234">
            <w:pPr>
              <w:ind w:left="0" w:right="34"/>
              <w:rPr>
                <w:sz w:val="20"/>
                <w:szCs w:val="20"/>
              </w:rPr>
            </w:pPr>
          </w:p>
        </w:tc>
        <w:tc>
          <w:tcPr>
            <w:tcW w:w="1417" w:type="dxa"/>
            <w:vMerge/>
          </w:tcPr>
          <w:p w:rsidR="001249B8" w:rsidRPr="00271234" w:rsidRDefault="001249B8" w:rsidP="00271234">
            <w:pPr>
              <w:ind w:left="34" w:right="-108"/>
              <w:rPr>
                <w:sz w:val="20"/>
                <w:szCs w:val="20"/>
              </w:rPr>
            </w:pPr>
          </w:p>
        </w:tc>
        <w:tc>
          <w:tcPr>
            <w:tcW w:w="2552" w:type="dxa"/>
          </w:tcPr>
          <w:p w:rsidR="001249B8" w:rsidRPr="00271234" w:rsidRDefault="001249B8" w:rsidP="00271234">
            <w:pPr>
              <w:ind w:left="34" w:right="-108"/>
              <w:rPr>
                <w:sz w:val="20"/>
                <w:szCs w:val="20"/>
              </w:rPr>
            </w:pPr>
            <w:r w:rsidRPr="00271234">
              <w:rPr>
                <w:sz w:val="20"/>
                <w:szCs w:val="20"/>
              </w:rPr>
              <w:t>RD.06.SRE.18144</w:t>
            </w:r>
          </w:p>
        </w:tc>
        <w:tc>
          <w:tcPr>
            <w:tcW w:w="3118" w:type="dxa"/>
          </w:tcPr>
          <w:p w:rsidR="001249B8" w:rsidRPr="00271234" w:rsidRDefault="001249B8" w:rsidP="00271234">
            <w:pPr>
              <w:ind w:left="34" w:right="-108"/>
              <w:rPr>
                <w:sz w:val="20"/>
                <w:szCs w:val="20"/>
              </w:rPr>
            </w:pPr>
            <w:r w:rsidRPr="00271234">
              <w:rPr>
                <w:sz w:val="20"/>
                <w:szCs w:val="20"/>
              </w:rPr>
              <w:t>PD profiles of three different concentrations</w:t>
            </w:r>
          </w:p>
        </w:tc>
      </w:tr>
      <w:tr w:rsidR="001249B8" w:rsidRPr="009547F4" w:rsidTr="002E48CB">
        <w:tc>
          <w:tcPr>
            <w:tcW w:w="1526" w:type="dxa"/>
            <w:vMerge/>
            <w:vAlign w:val="center"/>
          </w:tcPr>
          <w:p w:rsidR="001249B8" w:rsidRPr="00271234" w:rsidRDefault="001249B8" w:rsidP="00271234">
            <w:pPr>
              <w:ind w:left="0" w:right="34"/>
              <w:rPr>
                <w:sz w:val="20"/>
                <w:szCs w:val="20"/>
              </w:rPr>
            </w:pPr>
          </w:p>
        </w:tc>
        <w:tc>
          <w:tcPr>
            <w:tcW w:w="1417" w:type="dxa"/>
            <w:vMerge/>
          </w:tcPr>
          <w:p w:rsidR="001249B8" w:rsidRPr="00271234" w:rsidRDefault="001249B8" w:rsidP="00271234">
            <w:pPr>
              <w:ind w:left="34" w:right="-108"/>
              <w:rPr>
                <w:sz w:val="20"/>
                <w:szCs w:val="20"/>
              </w:rPr>
            </w:pPr>
          </w:p>
        </w:tc>
        <w:tc>
          <w:tcPr>
            <w:tcW w:w="2552" w:type="dxa"/>
          </w:tcPr>
          <w:p w:rsidR="001249B8" w:rsidRPr="00271234" w:rsidRDefault="001249B8" w:rsidP="00271234">
            <w:pPr>
              <w:ind w:left="34" w:right="-108"/>
              <w:rPr>
                <w:sz w:val="20"/>
                <w:szCs w:val="20"/>
              </w:rPr>
            </w:pPr>
            <w:r w:rsidRPr="00271234">
              <w:rPr>
                <w:sz w:val="20"/>
                <w:szCs w:val="20"/>
              </w:rPr>
              <w:t>COL-118-ROSE-102</w:t>
            </w:r>
          </w:p>
        </w:tc>
        <w:tc>
          <w:tcPr>
            <w:tcW w:w="3118" w:type="dxa"/>
          </w:tcPr>
          <w:p w:rsidR="001249B8" w:rsidRPr="00271234" w:rsidRDefault="001249B8" w:rsidP="00271234">
            <w:pPr>
              <w:ind w:left="34" w:right="-108"/>
              <w:rPr>
                <w:sz w:val="20"/>
                <w:szCs w:val="20"/>
              </w:rPr>
            </w:pPr>
            <w:r w:rsidRPr="00271234">
              <w:rPr>
                <w:sz w:val="20"/>
                <w:szCs w:val="20"/>
              </w:rPr>
              <w:t>Impact of formulation on the PD profile</w:t>
            </w:r>
          </w:p>
        </w:tc>
      </w:tr>
      <w:tr w:rsidR="001249B8" w:rsidRPr="009547F4" w:rsidTr="002E48CB">
        <w:tc>
          <w:tcPr>
            <w:tcW w:w="1526" w:type="dxa"/>
            <w:vMerge/>
            <w:vAlign w:val="center"/>
          </w:tcPr>
          <w:p w:rsidR="001249B8" w:rsidRPr="00271234" w:rsidRDefault="001249B8" w:rsidP="00271234">
            <w:pPr>
              <w:ind w:left="0" w:right="34"/>
              <w:rPr>
                <w:sz w:val="20"/>
                <w:szCs w:val="20"/>
              </w:rPr>
            </w:pPr>
          </w:p>
        </w:tc>
        <w:tc>
          <w:tcPr>
            <w:tcW w:w="1417" w:type="dxa"/>
          </w:tcPr>
          <w:p w:rsidR="001249B8" w:rsidRPr="00271234" w:rsidRDefault="001249B8" w:rsidP="00271234">
            <w:pPr>
              <w:ind w:left="34" w:right="-108"/>
              <w:rPr>
                <w:sz w:val="20"/>
                <w:szCs w:val="20"/>
              </w:rPr>
            </w:pPr>
            <w:r w:rsidRPr="00271234">
              <w:rPr>
                <w:sz w:val="20"/>
                <w:szCs w:val="20"/>
              </w:rPr>
              <w:t>Multiple-dose</w:t>
            </w:r>
          </w:p>
        </w:tc>
        <w:tc>
          <w:tcPr>
            <w:tcW w:w="2552" w:type="dxa"/>
          </w:tcPr>
          <w:p w:rsidR="001249B8" w:rsidRPr="00271234" w:rsidRDefault="001249B8" w:rsidP="00271234">
            <w:pPr>
              <w:ind w:left="34" w:right="-108"/>
              <w:rPr>
                <w:sz w:val="20"/>
                <w:szCs w:val="20"/>
              </w:rPr>
            </w:pPr>
            <w:r w:rsidRPr="00271234">
              <w:rPr>
                <w:sz w:val="20"/>
                <w:szCs w:val="20"/>
              </w:rPr>
              <w:t>COL-118-ROSE-201</w:t>
            </w:r>
          </w:p>
        </w:tc>
        <w:tc>
          <w:tcPr>
            <w:tcW w:w="3118" w:type="dxa"/>
          </w:tcPr>
          <w:p w:rsidR="001249B8" w:rsidRPr="00271234" w:rsidRDefault="001249B8" w:rsidP="00271234">
            <w:pPr>
              <w:ind w:left="34" w:right="-108"/>
              <w:rPr>
                <w:sz w:val="20"/>
                <w:szCs w:val="20"/>
              </w:rPr>
            </w:pPr>
            <w:r w:rsidRPr="00271234">
              <w:rPr>
                <w:sz w:val="20"/>
                <w:szCs w:val="20"/>
              </w:rPr>
              <w:t>PD profiles of three different concentrations</w:t>
            </w:r>
          </w:p>
        </w:tc>
      </w:tr>
      <w:tr w:rsidR="001249B8" w:rsidRPr="009547F4" w:rsidTr="002E48CB">
        <w:tc>
          <w:tcPr>
            <w:tcW w:w="1526" w:type="dxa"/>
            <w:vMerge w:val="restart"/>
            <w:vAlign w:val="center"/>
          </w:tcPr>
          <w:p w:rsidR="001249B8" w:rsidRPr="00271234" w:rsidRDefault="001249B8" w:rsidP="00271234">
            <w:pPr>
              <w:ind w:left="0" w:right="34"/>
              <w:rPr>
                <w:sz w:val="20"/>
                <w:szCs w:val="20"/>
              </w:rPr>
            </w:pPr>
            <w:r w:rsidRPr="00271234">
              <w:rPr>
                <w:sz w:val="20"/>
                <w:szCs w:val="20"/>
              </w:rPr>
              <w:t>Secondary Pharmacology</w:t>
            </w:r>
          </w:p>
        </w:tc>
        <w:tc>
          <w:tcPr>
            <w:tcW w:w="1417" w:type="dxa"/>
            <w:vAlign w:val="center"/>
          </w:tcPr>
          <w:p w:rsidR="001249B8" w:rsidRPr="00271234" w:rsidRDefault="001249B8" w:rsidP="00271234">
            <w:pPr>
              <w:ind w:left="34" w:right="-108"/>
              <w:rPr>
                <w:sz w:val="20"/>
                <w:szCs w:val="20"/>
              </w:rPr>
            </w:pPr>
            <w:r w:rsidRPr="00271234">
              <w:rPr>
                <w:sz w:val="20"/>
                <w:szCs w:val="20"/>
              </w:rPr>
              <w:t xml:space="preserve">Effect on </w:t>
            </w:r>
            <w:proofErr w:type="spellStart"/>
            <w:r w:rsidRPr="00271234">
              <w:rPr>
                <w:sz w:val="20"/>
                <w:szCs w:val="20"/>
              </w:rPr>
              <w:t>QTc</w:t>
            </w:r>
            <w:r w:rsidR="00304B22" w:rsidRPr="00271234">
              <w:rPr>
                <w:sz w:val="20"/>
                <w:szCs w:val="20"/>
                <w:vertAlign w:val="superscript"/>
              </w:rPr>
              <w:t>a</w:t>
            </w:r>
            <w:proofErr w:type="spellEnd"/>
          </w:p>
        </w:tc>
        <w:tc>
          <w:tcPr>
            <w:tcW w:w="2552" w:type="dxa"/>
          </w:tcPr>
          <w:p w:rsidR="001249B8" w:rsidRPr="00271234" w:rsidRDefault="001249B8" w:rsidP="00271234">
            <w:pPr>
              <w:ind w:left="34" w:right="-108"/>
              <w:rPr>
                <w:sz w:val="20"/>
                <w:szCs w:val="20"/>
              </w:rPr>
            </w:pPr>
            <w:r w:rsidRPr="00271234">
              <w:rPr>
                <w:sz w:val="20"/>
                <w:szCs w:val="20"/>
              </w:rPr>
              <w:t>RD.06.SRE.18139</w:t>
            </w:r>
          </w:p>
        </w:tc>
        <w:tc>
          <w:tcPr>
            <w:tcW w:w="3118" w:type="dxa"/>
          </w:tcPr>
          <w:p w:rsidR="001249B8" w:rsidRPr="00271234" w:rsidRDefault="001249B8" w:rsidP="00271234">
            <w:pPr>
              <w:ind w:left="34" w:right="-108"/>
              <w:rPr>
                <w:sz w:val="20"/>
                <w:szCs w:val="20"/>
              </w:rPr>
            </w:pPr>
            <w:r w:rsidRPr="00271234">
              <w:rPr>
                <w:sz w:val="20"/>
                <w:szCs w:val="20"/>
              </w:rPr>
              <w:t>Thorough QT</w:t>
            </w:r>
          </w:p>
        </w:tc>
      </w:tr>
      <w:tr w:rsidR="00470652" w:rsidRPr="009547F4" w:rsidTr="00470652">
        <w:trPr>
          <w:trHeight w:val="33"/>
        </w:trPr>
        <w:tc>
          <w:tcPr>
            <w:tcW w:w="1526" w:type="dxa"/>
            <w:vMerge/>
          </w:tcPr>
          <w:p w:rsidR="00470652" w:rsidRPr="00271234" w:rsidRDefault="00470652" w:rsidP="00271234">
            <w:pPr>
              <w:ind w:left="0" w:right="34"/>
              <w:rPr>
                <w:sz w:val="20"/>
                <w:szCs w:val="20"/>
              </w:rPr>
            </w:pPr>
          </w:p>
        </w:tc>
        <w:tc>
          <w:tcPr>
            <w:tcW w:w="1417" w:type="dxa"/>
            <w:vMerge w:val="restart"/>
            <w:vAlign w:val="center"/>
          </w:tcPr>
          <w:p w:rsidR="00470652" w:rsidRPr="00271234" w:rsidRDefault="00470652" w:rsidP="00271234">
            <w:pPr>
              <w:ind w:left="34" w:right="-108"/>
              <w:rPr>
                <w:sz w:val="20"/>
                <w:szCs w:val="20"/>
              </w:rPr>
            </w:pPr>
            <w:proofErr w:type="spellStart"/>
            <w:r w:rsidRPr="00271234">
              <w:rPr>
                <w:sz w:val="20"/>
                <w:szCs w:val="20"/>
              </w:rPr>
              <w:t>Phototoxicity</w:t>
            </w:r>
            <w:proofErr w:type="spellEnd"/>
          </w:p>
        </w:tc>
        <w:tc>
          <w:tcPr>
            <w:tcW w:w="2552" w:type="dxa"/>
          </w:tcPr>
          <w:p w:rsidR="00470652" w:rsidRPr="00271234" w:rsidRDefault="00470652" w:rsidP="00271234">
            <w:pPr>
              <w:ind w:left="34" w:right="-108"/>
              <w:rPr>
                <w:sz w:val="20"/>
                <w:szCs w:val="20"/>
              </w:rPr>
            </w:pPr>
            <w:r w:rsidRPr="00271234">
              <w:rPr>
                <w:sz w:val="20"/>
                <w:szCs w:val="20"/>
              </w:rPr>
              <w:t>COL-118-Phototoxicity-104</w:t>
            </w:r>
          </w:p>
        </w:tc>
        <w:tc>
          <w:tcPr>
            <w:tcW w:w="3118" w:type="dxa"/>
          </w:tcPr>
          <w:p w:rsidR="00470652" w:rsidRPr="00271234" w:rsidRDefault="00470652" w:rsidP="00271234">
            <w:pPr>
              <w:ind w:left="34" w:right="-108"/>
              <w:rPr>
                <w:sz w:val="20"/>
                <w:szCs w:val="20"/>
              </w:rPr>
            </w:pPr>
            <w:proofErr w:type="spellStart"/>
            <w:r w:rsidRPr="00271234">
              <w:rPr>
                <w:sz w:val="20"/>
                <w:szCs w:val="20"/>
              </w:rPr>
              <w:t>Phototoxicity</w:t>
            </w:r>
            <w:proofErr w:type="spellEnd"/>
            <w:r w:rsidRPr="00271234">
              <w:rPr>
                <w:sz w:val="20"/>
                <w:szCs w:val="20"/>
              </w:rPr>
              <w:t xml:space="preserve"> of 0.2% gel </w:t>
            </w:r>
          </w:p>
        </w:tc>
      </w:tr>
      <w:tr w:rsidR="00470652" w:rsidRPr="009547F4" w:rsidTr="00470652">
        <w:tc>
          <w:tcPr>
            <w:tcW w:w="1526" w:type="dxa"/>
            <w:vMerge/>
          </w:tcPr>
          <w:p w:rsidR="00470652" w:rsidRPr="00271234" w:rsidRDefault="00470652" w:rsidP="00271234">
            <w:pPr>
              <w:ind w:left="0" w:right="34"/>
              <w:rPr>
                <w:sz w:val="20"/>
                <w:szCs w:val="20"/>
              </w:rPr>
            </w:pPr>
          </w:p>
        </w:tc>
        <w:tc>
          <w:tcPr>
            <w:tcW w:w="1417" w:type="dxa"/>
            <w:vMerge/>
            <w:vAlign w:val="center"/>
          </w:tcPr>
          <w:p w:rsidR="00470652" w:rsidRPr="00271234" w:rsidRDefault="00470652" w:rsidP="00271234">
            <w:pPr>
              <w:ind w:left="34" w:right="-108"/>
              <w:rPr>
                <w:sz w:val="20"/>
                <w:szCs w:val="20"/>
              </w:rPr>
            </w:pPr>
          </w:p>
        </w:tc>
        <w:tc>
          <w:tcPr>
            <w:tcW w:w="2552" w:type="dxa"/>
          </w:tcPr>
          <w:p w:rsidR="00470652" w:rsidRPr="00271234" w:rsidRDefault="00470652" w:rsidP="00271234">
            <w:pPr>
              <w:ind w:left="34" w:right="-108"/>
              <w:rPr>
                <w:sz w:val="20"/>
                <w:szCs w:val="20"/>
              </w:rPr>
            </w:pPr>
            <w:r w:rsidRPr="00271234">
              <w:rPr>
                <w:sz w:val="20"/>
                <w:szCs w:val="20"/>
              </w:rPr>
              <w:t>RD.06.SRE.18189</w:t>
            </w:r>
          </w:p>
        </w:tc>
        <w:tc>
          <w:tcPr>
            <w:tcW w:w="3118" w:type="dxa"/>
          </w:tcPr>
          <w:p w:rsidR="00470652" w:rsidRPr="00271234" w:rsidRDefault="00470652" w:rsidP="00271234">
            <w:pPr>
              <w:ind w:left="34" w:right="-108"/>
              <w:rPr>
                <w:sz w:val="20"/>
                <w:szCs w:val="20"/>
              </w:rPr>
            </w:pPr>
            <w:proofErr w:type="spellStart"/>
            <w:r w:rsidRPr="00271234">
              <w:rPr>
                <w:sz w:val="20"/>
                <w:szCs w:val="20"/>
              </w:rPr>
              <w:t>Phototoxicity</w:t>
            </w:r>
            <w:proofErr w:type="spellEnd"/>
            <w:r w:rsidRPr="00271234">
              <w:rPr>
                <w:sz w:val="20"/>
                <w:szCs w:val="20"/>
              </w:rPr>
              <w:t xml:space="preserve"> of 0.07%, 0.18%, and 0.50% gel</w:t>
            </w:r>
          </w:p>
        </w:tc>
      </w:tr>
      <w:tr w:rsidR="00470652" w:rsidRPr="009547F4" w:rsidTr="002E48CB">
        <w:tc>
          <w:tcPr>
            <w:tcW w:w="1526" w:type="dxa"/>
            <w:vMerge/>
          </w:tcPr>
          <w:p w:rsidR="00470652" w:rsidRPr="00271234" w:rsidRDefault="00470652" w:rsidP="00271234">
            <w:pPr>
              <w:ind w:left="0" w:right="34"/>
              <w:rPr>
                <w:sz w:val="20"/>
                <w:szCs w:val="20"/>
              </w:rPr>
            </w:pPr>
          </w:p>
        </w:tc>
        <w:tc>
          <w:tcPr>
            <w:tcW w:w="1417" w:type="dxa"/>
            <w:vMerge/>
          </w:tcPr>
          <w:p w:rsidR="00470652" w:rsidRPr="00271234" w:rsidRDefault="00470652" w:rsidP="00271234">
            <w:pPr>
              <w:ind w:left="34" w:right="-108"/>
              <w:rPr>
                <w:sz w:val="20"/>
                <w:szCs w:val="20"/>
              </w:rPr>
            </w:pPr>
          </w:p>
        </w:tc>
        <w:tc>
          <w:tcPr>
            <w:tcW w:w="2552" w:type="dxa"/>
          </w:tcPr>
          <w:p w:rsidR="00470652" w:rsidRPr="00271234" w:rsidRDefault="00470652" w:rsidP="00271234">
            <w:pPr>
              <w:ind w:left="34" w:right="-108"/>
              <w:rPr>
                <w:sz w:val="20"/>
                <w:szCs w:val="20"/>
              </w:rPr>
            </w:pPr>
            <w:r w:rsidRPr="00271234">
              <w:rPr>
                <w:sz w:val="20"/>
                <w:szCs w:val="20"/>
              </w:rPr>
              <w:t>RD.06.SRE.18124</w:t>
            </w:r>
          </w:p>
        </w:tc>
        <w:tc>
          <w:tcPr>
            <w:tcW w:w="3118" w:type="dxa"/>
          </w:tcPr>
          <w:p w:rsidR="00470652" w:rsidRPr="00271234" w:rsidRDefault="00470652" w:rsidP="00271234">
            <w:pPr>
              <w:ind w:left="34" w:right="-108"/>
              <w:rPr>
                <w:sz w:val="20"/>
                <w:szCs w:val="20"/>
              </w:rPr>
            </w:pPr>
            <w:r w:rsidRPr="00271234">
              <w:rPr>
                <w:sz w:val="20"/>
                <w:szCs w:val="20"/>
              </w:rPr>
              <w:t>Photosensitisation potential of 0.07%, 0.18%, and 0.50% gel</w:t>
            </w:r>
          </w:p>
        </w:tc>
      </w:tr>
      <w:tr w:rsidR="001249B8" w:rsidRPr="009547F4" w:rsidTr="002E48CB">
        <w:tc>
          <w:tcPr>
            <w:tcW w:w="1526" w:type="dxa"/>
            <w:vMerge/>
          </w:tcPr>
          <w:p w:rsidR="001249B8" w:rsidRPr="00271234" w:rsidRDefault="001249B8" w:rsidP="00271234">
            <w:pPr>
              <w:ind w:left="0" w:right="34"/>
              <w:rPr>
                <w:sz w:val="20"/>
                <w:szCs w:val="20"/>
              </w:rPr>
            </w:pPr>
          </w:p>
        </w:tc>
        <w:tc>
          <w:tcPr>
            <w:tcW w:w="1417" w:type="dxa"/>
            <w:vMerge w:val="restart"/>
            <w:vAlign w:val="center"/>
          </w:tcPr>
          <w:p w:rsidR="001249B8" w:rsidRPr="00271234" w:rsidRDefault="00271234" w:rsidP="00271234">
            <w:pPr>
              <w:ind w:left="34" w:right="-108"/>
              <w:rPr>
                <w:sz w:val="20"/>
                <w:szCs w:val="20"/>
              </w:rPr>
            </w:pPr>
            <w:r>
              <w:rPr>
                <w:sz w:val="20"/>
                <w:szCs w:val="20"/>
              </w:rPr>
              <w:t>Tolerability</w:t>
            </w:r>
          </w:p>
        </w:tc>
        <w:tc>
          <w:tcPr>
            <w:tcW w:w="2552" w:type="dxa"/>
          </w:tcPr>
          <w:p w:rsidR="001249B8" w:rsidRPr="00271234" w:rsidRDefault="001249B8" w:rsidP="00271234">
            <w:pPr>
              <w:ind w:left="34" w:right="-108"/>
              <w:rPr>
                <w:sz w:val="20"/>
                <w:szCs w:val="20"/>
              </w:rPr>
            </w:pPr>
            <w:r w:rsidRPr="00271234">
              <w:rPr>
                <w:sz w:val="20"/>
                <w:szCs w:val="20"/>
              </w:rPr>
              <w:t>RD.06.SRE.18123</w:t>
            </w:r>
          </w:p>
        </w:tc>
        <w:tc>
          <w:tcPr>
            <w:tcW w:w="3118" w:type="dxa"/>
          </w:tcPr>
          <w:p w:rsidR="001249B8" w:rsidRPr="00271234" w:rsidRDefault="001249B8" w:rsidP="00271234">
            <w:pPr>
              <w:ind w:left="34" w:right="-108"/>
              <w:rPr>
                <w:sz w:val="20"/>
                <w:szCs w:val="20"/>
              </w:rPr>
            </w:pPr>
            <w:r w:rsidRPr="00271234">
              <w:rPr>
                <w:sz w:val="20"/>
                <w:szCs w:val="20"/>
              </w:rPr>
              <w:t>Sensitisation and local tolerability of 0.07%, 0.18%, and 0.5% gel</w:t>
            </w:r>
          </w:p>
        </w:tc>
      </w:tr>
      <w:tr w:rsidR="001249B8" w:rsidRPr="009547F4" w:rsidTr="002E48CB">
        <w:tc>
          <w:tcPr>
            <w:tcW w:w="1526" w:type="dxa"/>
            <w:vMerge/>
          </w:tcPr>
          <w:p w:rsidR="001249B8" w:rsidRPr="00271234" w:rsidRDefault="001249B8" w:rsidP="00271234">
            <w:pPr>
              <w:ind w:left="0" w:right="34"/>
              <w:rPr>
                <w:sz w:val="20"/>
                <w:szCs w:val="20"/>
              </w:rPr>
            </w:pPr>
          </w:p>
        </w:tc>
        <w:tc>
          <w:tcPr>
            <w:tcW w:w="1417" w:type="dxa"/>
            <w:vMerge/>
          </w:tcPr>
          <w:p w:rsidR="001249B8" w:rsidRPr="00271234" w:rsidRDefault="001249B8" w:rsidP="00271234">
            <w:pPr>
              <w:ind w:left="34" w:right="-108"/>
              <w:rPr>
                <w:sz w:val="20"/>
                <w:szCs w:val="20"/>
              </w:rPr>
            </w:pPr>
          </w:p>
        </w:tc>
        <w:tc>
          <w:tcPr>
            <w:tcW w:w="2552" w:type="dxa"/>
          </w:tcPr>
          <w:p w:rsidR="001249B8" w:rsidRPr="00271234" w:rsidRDefault="001249B8" w:rsidP="00271234">
            <w:pPr>
              <w:ind w:left="34" w:right="-108"/>
              <w:rPr>
                <w:sz w:val="20"/>
                <w:szCs w:val="20"/>
              </w:rPr>
            </w:pPr>
            <w:r w:rsidRPr="00271234">
              <w:rPr>
                <w:sz w:val="20"/>
                <w:szCs w:val="20"/>
              </w:rPr>
              <w:t>RD.06.SRE.18125</w:t>
            </w:r>
          </w:p>
        </w:tc>
        <w:tc>
          <w:tcPr>
            <w:tcW w:w="3118" w:type="dxa"/>
          </w:tcPr>
          <w:p w:rsidR="001249B8" w:rsidRPr="00271234" w:rsidRDefault="001249B8" w:rsidP="00271234">
            <w:pPr>
              <w:ind w:left="34" w:right="-108"/>
              <w:rPr>
                <w:sz w:val="20"/>
                <w:szCs w:val="20"/>
              </w:rPr>
            </w:pPr>
            <w:r w:rsidRPr="00271234">
              <w:rPr>
                <w:sz w:val="20"/>
                <w:szCs w:val="20"/>
              </w:rPr>
              <w:t>Cumulative irritancy following repeated dosing with 0.07%, 0.18%, and 0.5% gel</w:t>
            </w:r>
          </w:p>
        </w:tc>
      </w:tr>
    </w:tbl>
    <w:p w:rsidR="005E3E99" w:rsidRPr="005E3E99" w:rsidRDefault="00304B22" w:rsidP="008516DC">
      <w:pPr>
        <w:pStyle w:val="TableDescription"/>
        <w:numPr>
          <w:ilvl w:val="0"/>
          <w:numId w:val="45"/>
        </w:numPr>
      </w:pPr>
      <w:r w:rsidRPr="00304B22">
        <w:t>QT interval corrected for heart rate</w:t>
      </w:r>
      <w:r>
        <w:t xml:space="preserve"> (</w:t>
      </w:r>
      <w:proofErr w:type="spellStart"/>
      <w:r>
        <w:t>QTc</w:t>
      </w:r>
      <w:proofErr w:type="spellEnd"/>
      <w:r>
        <w:t>)</w:t>
      </w:r>
      <w:r w:rsidR="005E3E99">
        <w:t xml:space="preserve">. The QT </w:t>
      </w:r>
      <w:r w:rsidR="005E3E99" w:rsidRPr="0079263D">
        <w:t xml:space="preserve">interval: </w:t>
      </w:r>
      <w:r w:rsidR="005E3E99" w:rsidRPr="005E3E99">
        <w:t xml:space="preserve">a measure of the time between the start of the Q wave and the end of the T wave in the heart's electrical cycle. A prolonged QT interval is a risk factor for ventricular </w:t>
      </w:r>
      <w:proofErr w:type="spellStart"/>
      <w:r w:rsidR="005E3E99" w:rsidRPr="005E3E99">
        <w:t>tachyarrhythmias</w:t>
      </w:r>
      <w:proofErr w:type="spellEnd"/>
      <w:r w:rsidR="005E3E99" w:rsidRPr="005E3E99">
        <w:t xml:space="preserve"> and sudden death. The QT interval is dependent on the </w:t>
      </w:r>
      <w:r w:rsidR="005E3E99">
        <w:t xml:space="preserve">heart rate </w:t>
      </w:r>
      <w:r w:rsidR="005E3E99" w:rsidRPr="005E3E99">
        <w:t xml:space="preserve">(the faster the heart rate, the shorter the QT interval). To correct for changes in heart rate and thereby improve the detection of patients at increased risk of ventricular arrhythmia, a heart rate-corrected QT interval </w:t>
      </w:r>
      <w:proofErr w:type="spellStart"/>
      <w:r w:rsidR="005E3E99" w:rsidRPr="005E3E99">
        <w:t>QTc</w:t>
      </w:r>
      <w:proofErr w:type="spellEnd"/>
      <w:r w:rsidR="005E3E99" w:rsidRPr="005E3E99">
        <w:t xml:space="preserve"> is often calculated. The standard clinical correction is to use </w:t>
      </w:r>
      <w:proofErr w:type="spellStart"/>
      <w:r w:rsidR="005E3E99" w:rsidRPr="005E3E99">
        <w:t>Bazett's</w:t>
      </w:r>
      <w:proofErr w:type="spellEnd"/>
      <w:r w:rsidR="005E3E99" w:rsidRPr="005E3E99">
        <w:t xml:space="preserve"> formula, named after </w:t>
      </w:r>
      <w:r w:rsidR="005E3E99">
        <w:t xml:space="preserve">physiologist </w:t>
      </w:r>
      <w:r w:rsidR="005E3E99" w:rsidRPr="005E3E99">
        <w:t xml:space="preserve">Henry Cuthbert </w:t>
      </w:r>
      <w:proofErr w:type="spellStart"/>
      <w:r w:rsidR="005E3E99" w:rsidRPr="005E3E99">
        <w:t>Bazett</w:t>
      </w:r>
      <w:proofErr w:type="spellEnd"/>
      <w:r w:rsidR="005E3E99" w:rsidRPr="005E3E99">
        <w:t>.</w:t>
      </w:r>
    </w:p>
    <w:p w:rsidR="00605AD4" w:rsidRDefault="00605AD4" w:rsidP="00271234">
      <w:pPr>
        <w:pStyle w:val="Heading4"/>
      </w:pPr>
      <w:r>
        <w:t xml:space="preserve">Evaluator’s </w:t>
      </w:r>
      <w:r w:rsidRPr="00271234">
        <w:t>conclusions</w:t>
      </w:r>
      <w:r>
        <w:t xml:space="preserve"> on pharmacodynamics</w:t>
      </w:r>
    </w:p>
    <w:p w:rsidR="00F018FD" w:rsidRPr="00F018FD" w:rsidRDefault="00F018FD" w:rsidP="008516DC">
      <w:r w:rsidRPr="00F018FD">
        <w:t>Brimonidine tartrate is a h</w:t>
      </w:r>
      <w:r w:rsidR="002E48CB">
        <w:t>ighly selective α</w:t>
      </w:r>
      <w:r w:rsidR="002E48CB" w:rsidRPr="001870F8">
        <w:rPr>
          <w:vertAlign w:val="subscript"/>
        </w:rPr>
        <w:t>2</w:t>
      </w:r>
      <w:r w:rsidR="002E48CB">
        <w:t>-adreno</w:t>
      </w:r>
      <w:r w:rsidRPr="00F018FD">
        <w:t xml:space="preserve">ceptor agonist with potent </w:t>
      </w:r>
      <w:proofErr w:type="spellStart"/>
      <w:r w:rsidRPr="00F018FD">
        <w:t>vasoconstrictive</w:t>
      </w:r>
      <w:proofErr w:type="spellEnd"/>
      <w:r w:rsidRPr="00F018FD">
        <w:t xml:space="preserve">/ </w:t>
      </w:r>
      <w:proofErr w:type="spellStart"/>
      <w:r w:rsidRPr="00F018FD">
        <w:t>vasostabilising</w:t>
      </w:r>
      <w:proofErr w:type="spellEnd"/>
      <w:r w:rsidRPr="00F018FD">
        <w:t xml:space="preserve"> activity.</w:t>
      </w:r>
    </w:p>
    <w:p w:rsidR="00F018FD" w:rsidRPr="00F018FD" w:rsidRDefault="00F018FD" w:rsidP="00271234">
      <w:pPr>
        <w:pStyle w:val="Heading5"/>
        <w:rPr>
          <w:rFonts w:eastAsia="TimesNewRoman"/>
        </w:rPr>
      </w:pPr>
      <w:r w:rsidRPr="00F018FD">
        <w:rPr>
          <w:rFonts w:eastAsia="TimesNewRoman"/>
        </w:rPr>
        <w:t xml:space="preserve">Primary </w:t>
      </w:r>
      <w:proofErr w:type="spellStart"/>
      <w:r w:rsidR="005E3E99">
        <w:rPr>
          <w:rFonts w:eastAsia="TimesNewRoman"/>
        </w:rPr>
        <w:t>pharmacodnamics</w:t>
      </w:r>
      <w:proofErr w:type="spellEnd"/>
      <w:r w:rsidRPr="00F018FD">
        <w:rPr>
          <w:rFonts w:eastAsia="TimesNewRoman"/>
        </w:rPr>
        <w:t xml:space="preserve"> in </w:t>
      </w:r>
      <w:r w:rsidRPr="00271234">
        <w:rPr>
          <w:rFonts w:eastAsia="TimesNewRoman"/>
        </w:rPr>
        <w:t>target</w:t>
      </w:r>
      <w:r w:rsidRPr="00F018FD">
        <w:rPr>
          <w:rFonts w:eastAsia="TimesNewRoman"/>
        </w:rPr>
        <w:t xml:space="preserve"> population</w:t>
      </w:r>
    </w:p>
    <w:p w:rsidR="00F018FD" w:rsidRPr="00F018FD" w:rsidRDefault="00F018FD" w:rsidP="00271234">
      <w:pPr>
        <w:pStyle w:val="Heading6"/>
      </w:pPr>
      <w:r w:rsidRPr="00F018FD">
        <w:t xml:space="preserve">Single </w:t>
      </w:r>
      <w:r w:rsidRPr="00271234">
        <w:t>administration</w:t>
      </w:r>
    </w:p>
    <w:p w:rsidR="00F018FD" w:rsidRPr="00F018FD" w:rsidRDefault="00F018FD" w:rsidP="00271234">
      <w:pPr>
        <w:pStyle w:val="ListBullet"/>
      </w:pPr>
      <w:r w:rsidRPr="00F018FD">
        <w:t xml:space="preserve">Fifteen minutes </w:t>
      </w:r>
      <w:r w:rsidRPr="00271234">
        <w:t>following</w:t>
      </w:r>
      <w:r w:rsidRPr="00F018FD">
        <w:t xml:space="preserve"> administration of 0.0125%, 0.025%, 0.10% or 0.20% </w:t>
      </w:r>
      <w:proofErr w:type="spellStart"/>
      <w:r w:rsidRPr="00F018FD">
        <w:t>Mirvaso</w:t>
      </w:r>
      <w:proofErr w:type="spellEnd"/>
      <w:r w:rsidRPr="00F018FD">
        <w:t xml:space="preserve"> gel</w:t>
      </w:r>
      <w:r w:rsidR="001870F8">
        <w:t>,</w:t>
      </w:r>
      <w:r w:rsidRPr="00F018FD">
        <w:t xml:space="preserve"> </w:t>
      </w:r>
      <w:proofErr w:type="spellStart"/>
      <w:r w:rsidRPr="00F018FD">
        <w:t>chromameter</w:t>
      </w:r>
      <w:proofErr w:type="spellEnd"/>
      <w:r w:rsidRPr="00F018FD">
        <w:t xml:space="preserve"> values had significantly decreased (p </w:t>
      </w:r>
      <w:r w:rsidR="001D7582">
        <w:t>≤</w:t>
      </w:r>
      <w:r w:rsidRPr="00F018FD">
        <w:t xml:space="preserve"> 0.019).</w:t>
      </w:r>
    </w:p>
    <w:p w:rsidR="00F018FD" w:rsidRPr="00F018FD" w:rsidRDefault="00F018FD" w:rsidP="008516DC">
      <w:pPr>
        <w:pStyle w:val="ListBullet"/>
      </w:pPr>
      <w:r w:rsidRPr="00F018FD">
        <w:lastRenderedPageBreak/>
        <w:t>By 2</w:t>
      </w:r>
      <w:r w:rsidR="002E48CB">
        <w:t xml:space="preserve"> </w:t>
      </w:r>
      <w:r w:rsidRPr="00F018FD">
        <w:t>h</w:t>
      </w:r>
      <w:r>
        <w:t xml:space="preserve">ours post </w:t>
      </w:r>
      <w:r w:rsidRPr="00F018FD">
        <w:t xml:space="preserve">dose, statistically significant decreases were observed for all </w:t>
      </w:r>
      <w:proofErr w:type="spellStart"/>
      <w:r w:rsidRPr="00F018FD">
        <w:t>M</w:t>
      </w:r>
      <w:r>
        <w:t>irvaso</w:t>
      </w:r>
      <w:proofErr w:type="spellEnd"/>
      <w:r w:rsidRPr="00F018FD">
        <w:t xml:space="preserve"> gel concentrations, with mean </w:t>
      </w:r>
      <w:r w:rsidR="001D7582">
        <w:t>decreases of 1.6, 2.1, 3.0, 3.1</w:t>
      </w:r>
      <w:r w:rsidRPr="00F018FD">
        <w:t xml:space="preserve"> and 4.5 </w:t>
      </w:r>
      <w:r w:rsidR="001D7582">
        <w:t>at 0.0125%, 0.025%, 0.05%, 0.1%</w:t>
      </w:r>
      <w:r w:rsidRPr="00F018FD">
        <w:t xml:space="preserve"> and 0.2%, respectively.</w:t>
      </w:r>
    </w:p>
    <w:p w:rsidR="00F018FD" w:rsidRPr="00F018FD" w:rsidRDefault="00F018FD" w:rsidP="008516DC">
      <w:pPr>
        <w:pStyle w:val="ListBullet"/>
      </w:pPr>
      <w:r w:rsidRPr="00F018FD">
        <w:t xml:space="preserve">Statistically significant decreases continued through 5 hours with all </w:t>
      </w:r>
      <w:proofErr w:type="spellStart"/>
      <w:r w:rsidRPr="00F018FD">
        <w:t>Mirvaso</w:t>
      </w:r>
      <w:proofErr w:type="spellEnd"/>
      <w:r w:rsidRPr="00F018FD">
        <w:t xml:space="preserve"> concentrations, and through 8</w:t>
      </w:r>
      <w:r w:rsidR="001D7582">
        <w:t xml:space="preserve"> hours, the last evaluated time point, with 0.05%, 0.1%</w:t>
      </w:r>
      <w:r w:rsidRPr="00F018FD">
        <w:t xml:space="preserve"> and 0.2%.</w:t>
      </w:r>
    </w:p>
    <w:p w:rsidR="00F018FD" w:rsidRPr="00F018FD" w:rsidRDefault="00F018FD" w:rsidP="008516DC">
      <w:pPr>
        <w:pStyle w:val="ListBullet"/>
      </w:pPr>
      <w:r w:rsidRPr="00F018FD">
        <w:t>The magnitude of</w:t>
      </w:r>
      <w:r w:rsidR="001D7582">
        <w:t xml:space="preserve"> the change appeared to be dose </w:t>
      </w:r>
      <w:r w:rsidRPr="00F018FD">
        <w:t>related.</w:t>
      </w:r>
    </w:p>
    <w:p w:rsidR="00F018FD" w:rsidRPr="00F018FD" w:rsidRDefault="00F018FD" w:rsidP="008516DC">
      <w:pPr>
        <w:pStyle w:val="ListBullet"/>
      </w:pPr>
      <w:r w:rsidRPr="00F018FD">
        <w:t>Based on the criterion</w:t>
      </w:r>
      <w:r w:rsidR="00473FF5">
        <w:t xml:space="preserve"> of 1 </w:t>
      </w:r>
      <w:r w:rsidRPr="00F018FD">
        <w:t xml:space="preserve">grade improvement on </w:t>
      </w:r>
      <w:r w:rsidR="002E48CB">
        <w:t>clinician erythema assessment (</w:t>
      </w:r>
      <w:r w:rsidRPr="00F018FD">
        <w:t>CEA</w:t>
      </w:r>
      <w:r w:rsidR="002E48CB">
        <w:t>)</w:t>
      </w:r>
      <w:r w:rsidRPr="00F018FD">
        <w:t xml:space="preserve"> and </w:t>
      </w:r>
      <w:r w:rsidR="001F0551" w:rsidRPr="001F0551">
        <w:t xml:space="preserve">patient self-assessment </w:t>
      </w:r>
      <w:r w:rsidR="001F0551">
        <w:t>(</w:t>
      </w:r>
      <w:r w:rsidRPr="00F018FD">
        <w:t>PSA</w:t>
      </w:r>
      <w:r w:rsidR="001F0551">
        <w:t>)</w:t>
      </w:r>
      <w:r w:rsidRPr="00F018FD">
        <w:t>, the resp</w:t>
      </w:r>
      <w:r w:rsidR="002E48CB">
        <w:t xml:space="preserve">onse rates were 83.9% (0.50% </w:t>
      </w:r>
      <w:proofErr w:type="spellStart"/>
      <w:r w:rsidRPr="00F018FD">
        <w:t>Mirvaso</w:t>
      </w:r>
      <w:proofErr w:type="spellEnd"/>
      <w:r w:rsidRPr="00F018FD">
        <w:t xml:space="preserve"> g</w:t>
      </w:r>
      <w:r w:rsidR="001D7582">
        <w:t>el), 80.6% (0.18%), 75% (0.07%)</w:t>
      </w:r>
      <w:r w:rsidRPr="00F018FD">
        <w:t xml:space="preserve"> and 28.1% (vehicle).</w:t>
      </w:r>
    </w:p>
    <w:p w:rsidR="00F018FD" w:rsidRPr="00F018FD" w:rsidRDefault="00473FF5" w:rsidP="008516DC">
      <w:pPr>
        <w:pStyle w:val="ListBullet"/>
      </w:pPr>
      <w:r>
        <w:t xml:space="preserve">The median times to onset of 1 </w:t>
      </w:r>
      <w:r w:rsidR="00F018FD" w:rsidRPr="00F018FD">
        <w:t>grade improvement on CEA a</w:t>
      </w:r>
      <w:r w:rsidR="00F018FD">
        <w:t>nd PSA were 2.98 h</w:t>
      </w:r>
      <w:r>
        <w:t>ou</w:t>
      </w:r>
      <w:r w:rsidR="00F018FD">
        <w:t xml:space="preserve">rs (0.50% </w:t>
      </w:r>
      <w:proofErr w:type="spellStart"/>
      <w:r w:rsidR="00F018FD" w:rsidRPr="00F018FD">
        <w:t>Mirvaso</w:t>
      </w:r>
      <w:proofErr w:type="spellEnd"/>
      <w:r w:rsidR="00F018FD" w:rsidRPr="00F018FD">
        <w:t xml:space="preserve"> gel), 2.08 h</w:t>
      </w:r>
      <w:r>
        <w:t>ou</w:t>
      </w:r>
      <w:r w:rsidR="00EC2690">
        <w:t>rs (0.18%)</w:t>
      </w:r>
      <w:r w:rsidR="00F018FD" w:rsidRPr="00F018FD">
        <w:t xml:space="preserve"> and 2.03 h</w:t>
      </w:r>
      <w:r>
        <w:t xml:space="preserve">ours (0.07%) post </w:t>
      </w:r>
      <w:r w:rsidR="00F018FD" w:rsidRPr="00F018FD">
        <w:t>dose.</w:t>
      </w:r>
    </w:p>
    <w:p w:rsidR="00F018FD" w:rsidRPr="00F018FD" w:rsidRDefault="00F018FD" w:rsidP="008516DC">
      <w:pPr>
        <w:pStyle w:val="ListBullet"/>
      </w:pPr>
      <w:r w:rsidRPr="00F018FD">
        <w:t xml:space="preserve">Comparisons of the response curves were statistically significant (p </w:t>
      </w:r>
      <w:r w:rsidR="00473FF5">
        <w:t>&lt;</w:t>
      </w:r>
      <w:r w:rsidRPr="00F018FD">
        <w:t xml:space="preserve"> 0.05) for the individual CEA and PSA responses in the 0.50% and 0.18% groups. For the combined CEA and PSA, the comparisons of time to 1 grade </w:t>
      </w:r>
      <w:r w:rsidR="001D7582">
        <w:t>improvement were significant (p </w:t>
      </w:r>
      <w:r w:rsidR="00473FF5">
        <w:t>&lt;</w:t>
      </w:r>
      <w:r w:rsidR="001D7582">
        <w:t> </w:t>
      </w:r>
      <w:r w:rsidRPr="00F018FD">
        <w:t>0.05) for each active group versus vehicle.</w:t>
      </w:r>
    </w:p>
    <w:p w:rsidR="00F018FD" w:rsidRPr="00F018FD" w:rsidRDefault="00F018FD" w:rsidP="008516DC">
      <w:pPr>
        <w:pStyle w:val="ListBullet"/>
      </w:pPr>
      <w:r w:rsidRPr="00F018FD">
        <w:t>The median duration of effect was more t</w:t>
      </w:r>
      <w:r>
        <w:t>han 7 hours in each of the</w:t>
      </w:r>
      <w:r w:rsidRPr="00F018FD">
        <w:t xml:space="preserve"> </w:t>
      </w:r>
      <w:proofErr w:type="spellStart"/>
      <w:r w:rsidRPr="00F018FD">
        <w:t>Mirvaso</w:t>
      </w:r>
      <w:proofErr w:type="spellEnd"/>
      <w:r w:rsidRPr="00F018FD">
        <w:t xml:space="preserve"> gel groups and approximately 3 hours in vehicle group.</w:t>
      </w:r>
    </w:p>
    <w:p w:rsidR="00F018FD" w:rsidRPr="00F018FD" w:rsidRDefault="00473FF5" w:rsidP="008516DC">
      <w:pPr>
        <w:pStyle w:val="ListBullet"/>
      </w:pPr>
      <w:r>
        <w:t xml:space="preserve">For 2 </w:t>
      </w:r>
      <w:r w:rsidR="00F018FD" w:rsidRPr="00F018FD">
        <w:t>grade improvement on combined CEA and PSA, the respo</w:t>
      </w:r>
      <w:r w:rsidR="00F018FD">
        <w:t xml:space="preserve">nse rates were 54.8% (0.50% </w:t>
      </w:r>
      <w:proofErr w:type="spellStart"/>
      <w:r w:rsidR="00F018FD" w:rsidRPr="00F018FD">
        <w:t>Mirvaso</w:t>
      </w:r>
      <w:proofErr w:type="spellEnd"/>
      <w:r w:rsidR="00F018FD" w:rsidRPr="00F018FD">
        <w:t xml:space="preserve"> g</w:t>
      </w:r>
      <w:r w:rsidR="00EC2690">
        <w:t>el), 32.3% (0.18%), 25% (0.07%)</w:t>
      </w:r>
      <w:r w:rsidR="00AA4341">
        <w:t xml:space="preserve"> and 12.5% (vehicle).</w:t>
      </w:r>
    </w:p>
    <w:p w:rsidR="00F018FD" w:rsidRPr="00F018FD" w:rsidRDefault="00473FF5" w:rsidP="008516DC">
      <w:pPr>
        <w:pStyle w:val="ListBullet"/>
      </w:pPr>
      <w:r>
        <w:t xml:space="preserve">The median time to onset of 2 </w:t>
      </w:r>
      <w:r w:rsidR="00F018FD" w:rsidRPr="00F018FD">
        <w:t>grade improvement was 10.03 hours after dosing for the 0.50% group.</w:t>
      </w:r>
    </w:p>
    <w:p w:rsidR="00F018FD" w:rsidRPr="00F018FD" w:rsidRDefault="00F018FD" w:rsidP="008516DC">
      <w:pPr>
        <w:pStyle w:val="ListBullet"/>
      </w:pPr>
      <w:r w:rsidRPr="00F018FD">
        <w:t>The median duration of effect was approximately 6 hours in the 0.50% group and 3 to 4 hours in the remaining groups.</w:t>
      </w:r>
    </w:p>
    <w:p w:rsidR="00F018FD" w:rsidRPr="00F018FD" w:rsidRDefault="00F018FD" w:rsidP="008516DC">
      <w:pPr>
        <w:pStyle w:val="ListBullet"/>
      </w:pPr>
      <w:r w:rsidRPr="00F018FD">
        <w:t xml:space="preserve">The mean number of time points with CEA </w:t>
      </w:r>
      <w:r w:rsidR="001432D7">
        <w:t>≤</w:t>
      </w:r>
      <w:r w:rsidR="00473FF5">
        <w:t xml:space="preserve"> </w:t>
      </w:r>
      <w:r w:rsidRPr="00F018FD">
        <w:t xml:space="preserve">1 ranged from 0.7 in the vehicle group to 5.0 in the 0.50% group. The mean number of time points with CEA and PSA </w:t>
      </w:r>
      <w:r w:rsidR="001432D7">
        <w:t>≤</w:t>
      </w:r>
      <w:r w:rsidR="00473FF5">
        <w:t xml:space="preserve"> </w:t>
      </w:r>
      <w:r w:rsidRPr="00F018FD">
        <w:t>1 ranged from 0.5 in the vehicle group to 2.8 in the 0.50% group.</w:t>
      </w:r>
    </w:p>
    <w:p w:rsidR="00F018FD" w:rsidRPr="00F018FD" w:rsidRDefault="00EC2690" w:rsidP="008516DC">
      <w:pPr>
        <w:pStyle w:val="ListBullet"/>
      </w:pPr>
      <w:r>
        <w:t xml:space="preserve">Significant reductions in </w:t>
      </w:r>
      <w:proofErr w:type="spellStart"/>
      <w:r>
        <w:t>c</w:t>
      </w:r>
      <w:r w:rsidR="00F018FD" w:rsidRPr="00F018FD">
        <w:t>hromameter</w:t>
      </w:r>
      <w:proofErr w:type="spellEnd"/>
      <w:r w:rsidR="00F018FD">
        <w:t xml:space="preserve"> results were identified for </w:t>
      </w:r>
      <w:proofErr w:type="spellStart"/>
      <w:r w:rsidR="00F018FD" w:rsidRPr="00F018FD">
        <w:t>Mirvaso</w:t>
      </w:r>
      <w:proofErr w:type="spellEnd"/>
      <w:r w:rsidR="00F018FD" w:rsidRPr="00F018FD">
        <w:t xml:space="preserve"> gel (0.50%, 0.18% and 0.07%) versus vehicle gel and 0.50% showed statistically significant reductions versus the 0.18% and 0.07% treatment groups.</w:t>
      </w:r>
    </w:p>
    <w:p w:rsidR="00F018FD" w:rsidRPr="00F018FD" w:rsidRDefault="00F018FD" w:rsidP="008516DC">
      <w:pPr>
        <w:pStyle w:val="Heading6"/>
      </w:pPr>
      <w:r w:rsidRPr="00F018FD">
        <w:t>Multiple-administrations</w:t>
      </w:r>
    </w:p>
    <w:p w:rsidR="00F018FD" w:rsidRPr="00F018FD" w:rsidRDefault="00F018FD" w:rsidP="008516DC">
      <w:pPr>
        <w:pStyle w:val="ListBullet"/>
      </w:pPr>
      <w:r w:rsidRPr="00F018FD">
        <w:t xml:space="preserve">Following administration of 0.18% </w:t>
      </w:r>
      <w:proofErr w:type="spellStart"/>
      <w:r w:rsidRPr="00F018FD">
        <w:t>Mirvaso</w:t>
      </w:r>
      <w:proofErr w:type="spellEnd"/>
      <w:r w:rsidRPr="00F018FD">
        <w:t xml:space="preserve"> gel there was a significant improvement in erythema based on the s</w:t>
      </w:r>
      <w:r w:rsidR="002E48CB">
        <w:t>ubjective scales of PSA and CEAs</w:t>
      </w:r>
      <w:r w:rsidRPr="00F018FD">
        <w:t xml:space="preserve"> up to 8 hours following dosing.</w:t>
      </w:r>
    </w:p>
    <w:p w:rsidR="00F018FD" w:rsidRPr="00F018FD" w:rsidRDefault="00F018FD" w:rsidP="008516DC">
      <w:pPr>
        <w:pStyle w:val="ListBullet"/>
      </w:pPr>
      <w:r w:rsidRPr="00F018FD">
        <w:t xml:space="preserve">Following application of 3 concentrations (0.02%, 0.07% and 0.20% </w:t>
      </w:r>
      <w:proofErr w:type="spellStart"/>
      <w:r w:rsidRPr="00F018FD">
        <w:t>Mirvaso</w:t>
      </w:r>
      <w:proofErr w:type="spellEnd"/>
      <w:r w:rsidRPr="00F018FD">
        <w:t xml:space="preserve"> gel, no more often than once every 4 hours and no more than 3 times per day for 28 days, the reduction in ery</w:t>
      </w:r>
      <w:r w:rsidR="00EC2690">
        <w:t xml:space="preserve">thema across all time </w:t>
      </w:r>
      <w:r w:rsidR="00473FF5">
        <w:t xml:space="preserve">points (0 to </w:t>
      </w:r>
      <w:r w:rsidRPr="00F018FD">
        <w:t>8 hour</w:t>
      </w:r>
      <w:r w:rsidR="00473FF5">
        <w:t>s</w:t>
      </w:r>
      <w:r w:rsidRPr="00F018FD">
        <w:t>) and all visits (Day 0, Day 14, a</w:t>
      </w:r>
      <w:r w:rsidR="00EC2690">
        <w:t xml:space="preserve">nd Day 28), showed a clear dose </w:t>
      </w:r>
      <w:r w:rsidRPr="00F018FD">
        <w:t>response relatio</w:t>
      </w:r>
      <w:r w:rsidR="001D7582">
        <w:t>nship as did the reduction in investigator’s global a</w:t>
      </w:r>
      <w:r w:rsidRPr="00F018FD">
        <w:t>ssessment</w:t>
      </w:r>
      <w:r w:rsidR="001D7582">
        <w:t xml:space="preserve"> (IGA)</w:t>
      </w:r>
      <w:r w:rsidRPr="00F018FD">
        <w:t>.</w:t>
      </w:r>
    </w:p>
    <w:p w:rsidR="00F018FD" w:rsidRPr="00F018FD" w:rsidRDefault="00F018FD" w:rsidP="008516DC">
      <w:pPr>
        <w:pStyle w:val="ListBullet"/>
      </w:pPr>
      <w:r w:rsidRPr="00F018FD">
        <w:t>Both the 0.2% and 0.07% dose groups displayed sign</w:t>
      </w:r>
      <w:r w:rsidR="001432D7">
        <w:t>ificantly greater changes from b</w:t>
      </w:r>
      <w:r w:rsidRPr="00F018FD">
        <w:t xml:space="preserve">aseline than the vehicle group (p </w:t>
      </w:r>
      <w:r w:rsidR="00473FF5">
        <w:t xml:space="preserve">&lt; </w:t>
      </w:r>
      <w:r w:rsidRPr="00F018FD">
        <w:t xml:space="preserve">0.001 and p </w:t>
      </w:r>
      <w:r w:rsidR="00473FF5">
        <w:t>&lt;</w:t>
      </w:r>
      <w:r w:rsidRPr="00F018FD">
        <w:t xml:space="preserve"> 0.05, respectively).</w:t>
      </w:r>
    </w:p>
    <w:p w:rsidR="00F018FD" w:rsidRPr="00F018FD" w:rsidRDefault="00F018FD" w:rsidP="008516DC">
      <w:pPr>
        <w:pStyle w:val="ListBullet"/>
      </w:pPr>
      <w:r w:rsidRPr="00F018FD">
        <w:t>In the Day 28 responder analysis, with success defined as an IGA score of 0 or 1 or an improvement of at least 2 points, the differences among the treatment groups wer</w:t>
      </w:r>
      <w:r w:rsidR="00473FF5">
        <w:t>e statistically significant at h</w:t>
      </w:r>
      <w:r w:rsidRPr="00F018FD">
        <w:t xml:space="preserve">ours 1 through 4 (p </w:t>
      </w:r>
      <w:r w:rsidR="00473FF5">
        <w:t xml:space="preserve">&lt; </w:t>
      </w:r>
      <w:r w:rsidRPr="00F018FD">
        <w:t>0.05, Mantel-</w:t>
      </w:r>
      <w:proofErr w:type="spellStart"/>
      <w:r w:rsidRPr="00F018FD">
        <w:t>Haens</w:t>
      </w:r>
      <w:r w:rsidR="00473FF5">
        <w:t>zel</w:t>
      </w:r>
      <w:proofErr w:type="spellEnd"/>
      <w:r w:rsidR="00473FF5">
        <w:t xml:space="preserve"> Chi-Square statistics). At h</w:t>
      </w:r>
      <w:r w:rsidRPr="00F018FD">
        <w:t xml:space="preserve">our 3, 37.5% of patients in the 0.2% group, 13.6% in the 0.07% </w:t>
      </w:r>
      <w:r w:rsidR="001432D7">
        <w:t>group, 15.0% in the 0.02% group</w:t>
      </w:r>
      <w:r w:rsidRPr="00F018FD">
        <w:t xml:space="preserve"> and 0% in the vehicle group were successes.</w:t>
      </w:r>
    </w:p>
    <w:p w:rsidR="00F018FD" w:rsidRPr="00F018FD" w:rsidRDefault="00F018FD" w:rsidP="008516DC">
      <w:pPr>
        <w:pStyle w:val="ListBullet"/>
      </w:pPr>
      <w:r w:rsidRPr="00F018FD">
        <w:lastRenderedPageBreak/>
        <w:t>Telangiectasia and total inflammatory lesion count neither improved nor worsened following treatment.</w:t>
      </w:r>
    </w:p>
    <w:p w:rsidR="00F018FD" w:rsidRPr="00F018FD" w:rsidRDefault="00F018FD" w:rsidP="008516DC">
      <w:pPr>
        <w:pStyle w:val="ListBullet"/>
      </w:pPr>
      <w:r w:rsidRPr="00F018FD">
        <w:t>Peak efficacy was significantly higher in the 0.2% group than in the vehicle group on Days 0, 14, and 28 when represent</w:t>
      </w:r>
      <w:r w:rsidR="001432D7">
        <w:t>ed by the greatest change from b</w:t>
      </w:r>
      <w:r w:rsidRPr="00F018FD">
        <w:t>aseline in CEA and on Day 28 when represent</w:t>
      </w:r>
      <w:r w:rsidR="001432D7">
        <w:t>ed by the greatest change from b</w:t>
      </w:r>
      <w:r w:rsidRPr="00F018FD">
        <w:t>aseline in IGA.</w:t>
      </w:r>
    </w:p>
    <w:p w:rsidR="00F018FD" w:rsidRPr="00F018FD" w:rsidRDefault="00F018FD" w:rsidP="008516DC">
      <w:pPr>
        <w:pStyle w:val="ListBullet"/>
      </w:pPr>
      <w:r w:rsidRPr="00F018FD">
        <w:t>An onset of effect was seen as early as 15 minutes after study drug application and the duration of effect was about 5 hours.</w:t>
      </w:r>
    </w:p>
    <w:p w:rsidR="00F018FD" w:rsidRPr="00F018FD" w:rsidRDefault="00F018FD" w:rsidP="008516DC">
      <w:pPr>
        <w:pStyle w:val="Heading5"/>
      </w:pPr>
      <w:r w:rsidRPr="00F018FD">
        <w:t>Secondary pharmacodynamic effects</w:t>
      </w:r>
    </w:p>
    <w:p w:rsidR="00F018FD" w:rsidRPr="00F018FD" w:rsidRDefault="00F018FD" w:rsidP="008516DC">
      <w:pPr>
        <w:pStyle w:val="ListBullet"/>
      </w:pPr>
      <w:r w:rsidRPr="00F018FD">
        <w:t xml:space="preserve">Brimonidine does not prolong the </w:t>
      </w:r>
      <w:proofErr w:type="spellStart"/>
      <w:r w:rsidRPr="00F018FD">
        <w:t>QTc</w:t>
      </w:r>
      <w:proofErr w:type="spellEnd"/>
      <w:r w:rsidRPr="00F018FD">
        <w:t xml:space="preserve"> interval compared to placebo.</w:t>
      </w:r>
    </w:p>
    <w:p w:rsidR="00F018FD" w:rsidRPr="00F018FD" w:rsidRDefault="00F018FD" w:rsidP="00271234">
      <w:pPr>
        <w:pStyle w:val="ListBullet"/>
      </w:pPr>
      <w:r w:rsidRPr="00F018FD">
        <w:t xml:space="preserve">Overall </w:t>
      </w:r>
      <w:proofErr w:type="spellStart"/>
      <w:r w:rsidRPr="00F018FD">
        <w:t>Mirvaso</w:t>
      </w:r>
      <w:proofErr w:type="spellEnd"/>
      <w:r w:rsidRPr="00F018FD">
        <w:t xml:space="preserve"> gel did not possess detectable </w:t>
      </w:r>
      <w:proofErr w:type="spellStart"/>
      <w:r w:rsidRPr="00271234">
        <w:t>phototoxicity</w:t>
      </w:r>
      <w:proofErr w:type="spellEnd"/>
      <w:r w:rsidRPr="00F018FD">
        <w:t xml:space="preserve"> potential in human skin.</w:t>
      </w:r>
    </w:p>
    <w:p w:rsidR="00F018FD" w:rsidRPr="00F018FD" w:rsidRDefault="00F018FD" w:rsidP="008516DC">
      <w:pPr>
        <w:pStyle w:val="ListBullet"/>
      </w:pPr>
      <w:r w:rsidRPr="00F018FD">
        <w:t xml:space="preserve">There was no apparent correlation between increasing concentrations </w:t>
      </w:r>
      <w:proofErr w:type="spellStart"/>
      <w:r w:rsidRPr="00F018FD">
        <w:t>Mirvaso</w:t>
      </w:r>
      <w:proofErr w:type="spellEnd"/>
      <w:r w:rsidRPr="00F018FD">
        <w:t xml:space="preserve"> gel and the appearance or intensity of topical erythema/irritation.</w:t>
      </w:r>
    </w:p>
    <w:p w:rsidR="00F018FD" w:rsidRPr="00F018FD" w:rsidRDefault="00F018FD" w:rsidP="008516DC">
      <w:pPr>
        <w:pStyle w:val="ListBullet"/>
      </w:pPr>
      <w:r w:rsidRPr="00F018FD">
        <w:t>Each active test</w:t>
      </w:r>
      <w:r w:rsidR="001432D7">
        <w:t xml:space="preserve"> concentration, the gel vehicle</w:t>
      </w:r>
      <w:r w:rsidRPr="00F018FD">
        <w:t xml:space="preserve"> and the white petrolatum produced no reaction in 95% to 96% of test sites on any given evaluation day, mild erythema in 4% to 5% of test sites on any given evaluation day, and only isolated instances of moderate erythema and/or erythema with vesicles or erosion or bullae.</w:t>
      </w:r>
    </w:p>
    <w:p w:rsidR="00F018FD" w:rsidRPr="00F018FD" w:rsidRDefault="00F018FD" w:rsidP="008516DC">
      <w:pPr>
        <w:pStyle w:val="ListBullet"/>
      </w:pPr>
      <w:r w:rsidRPr="00F018FD">
        <w:t xml:space="preserve">There were no confirmed cases of contact sensitisation for any of the </w:t>
      </w:r>
      <w:proofErr w:type="spellStart"/>
      <w:r w:rsidRPr="00F018FD">
        <w:t>Mirvaso</w:t>
      </w:r>
      <w:proofErr w:type="spellEnd"/>
      <w:r w:rsidR="001432D7">
        <w:t xml:space="preserve"> concentrations, including the v</w:t>
      </w:r>
      <w:r w:rsidR="001870F8">
        <w:t>ehicle gel.</w:t>
      </w:r>
    </w:p>
    <w:p w:rsidR="00F018FD" w:rsidRPr="00F018FD" w:rsidRDefault="00F018FD" w:rsidP="008516DC">
      <w:pPr>
        <w:pStyle w:val="ListBullet"/>
      </w:pPr>
      <w:r w:rsidRPr="00F018FD">
        <w:t xml:space="preserve">Based on the </w:t>
      </w:r>
      <w:r w:rsidR="001432D7" w:rsidRPr="001432D7">
        <w:t xml:space="preserve">mean cumulative irritancy </w:t>
      </w:r>
      <w:r w:rsidR="005E3E99">
        <w:t xml:space="preserve">index </w:t>
      </w:r>
      <w:r w:rsidR="001432D7">
        <w:t>(</w:t>
      </w:r>
      <w:r w:rsidRPr="00F018FD">
        <w:t>MCII</w:t>
      </w:r>
      <w:r w:rsidR="001432D7">
        <w:t>)</w:t>
      </w:r>
      <w:r w:rsidRPr="00F018FD">
        <w:t xml:space="preserve">, test sites patched with the higher concentrations of </w:t>
      </w:r>
      <w:proofErr w:type="spellStart"/>
      <w:r w:rsidRPr="00F018FD">
        <w:t>Mirvaso</w:t>
      </w:r>
      <w:proofErr w:type="spellEnd"/>
      <w:r w:rsidRPr="00F018FD">
        <w:t xml:space="preserve"> gel (0.5% and 0.18%) exhibited slightly less irritation (MCII</w:t>
      </w:r>
      <w:r w:rsidR="005E3E99">
        <w:t xml:space="preserve"> </w:t>
      </w:r>
      <w:r w:rsidRPr="00F018FD">
        <w:t>=</w:t>
      </w:r>
      <w:r w:rsidR="005E3E99">
        <w:t xml:space="preserve"> </w:t>
      </w:r>
      <w:r w:rsidRPr="00F018FD">
        <w:t>0.01) than the weakest concentration (0.07%)(MCII</w:t>
      </w:r>
      <w:r w:rsidR="005E3E99">
        <w:t xml:space="preserve"> </w:t>
      </w:r>
      <w:r w:rsidRPr="00F018FD">
        <w:t>=</w:t>
      </w:r>
      <w:r w:rsidR="005E3E99">
        <w:t xml:space="preserve"> 0.02) and gel v</w:t>
      </w:r>
      <w:r w:rsidRPr="00F018FD">
        <w:t>ehicle (MCII</w:t>
      </w:r>
      <w:r w:rsidR="005E3E99">
        <w:t xml:space="preserve"> </w:t>
      </w:r>
      <w:r w:rsidRPr="00F018FD">
        <w:t>=</w:t>
      </w:r>
      <w:r w:rsidR="005E3E99">
        <w:t xml:space="preserve"> </w:t>
      </w:r>
      <w:r w:rsidRPr="00F018FD">
        <w:t>0.02).</w:t>
      </w:r>
    </w:p>
    <w:p w:rsidR="00F018FD" w:rsidRPr="00F018FD" w:rsidRDefault="00F018FD" w:rsidP="008516DC">
      <w:pPr>
        <w:pStyle w:val="ListBullet"/>
      </w:pPr>
      <w:r w:rsidRPr="00F018FD">
        <w:t>The three concent</w:t>
      </w:r>
      <w:r w:rsidR="001432D7">
        <w:t xml:space="preserve">rations of </w:t>
      </w:r>
      <w:proofErr w:type="spellStart"/>
      <w:r w:rsidR="001432D7">
        <w:t>Mirvaso</w:t>
      </w:r>
      <w:proofErr w:type="spellEnd"/>
      <w:r w:rsidR="001432D7">
        <w:t xml:space="preserve"> gel and the gel v</w:t>
      </w:r>
      <w:r w:rsidRPr="00F018FD">
        <w:t>ehicle produced slightly less irritation than the negative control (MCII</w:t>
      </w:r>
      <w:r w:rsidR="00EF2903">
        <w:t xml:space="preserve"> </w:t>
      </w:r>
      <w:r w:rsidRPr="00F018FD">
        <w:t>=</w:t>
      </w:r>
      <w:r w:rsidR="00EF2903">
        <w:t xml:space="preserve"> </w:t>
      </w:r>
      <w:r w:rsidRPr="00F018FD">
        <w:t>0.03) and markedly less irritation than the positive control (MCII</w:t>
      </w:r>
      <w:r w:rsidR="00EF2903">
        <w:t xml:space="preserve"> </w:t>
      </w:r>
      <w:r w:rsidRPr="00F018FD">
        <w:t>=</w:t>
      </w:r>
      <w:r w:rsidR="00EF2903">
        <w:t xml:space="preserve"> </w:t>
      </w:r>
      <w:r w:rsidRPr="00F018FD">
        <w:t>1.69).</w:t>
      </w:r>
    </w:p>
    <w:p w:rsidR="00F018FD" w:rsidRPr="00F018FD" w:rsidRDefault="00F018FD" w:rsidP="008516DC">
      <w:pPr>
        <w:pStyle w:val="ListBullet"/>
      </w:pPr>
      <w:r w:rsidRPr="00F018FD">
        <w:t>No</w:t>
      </w:r>
      <w:r w:rsidR="00473FF5">
        <w:t xml:space="preserve"> studies examined race, genetic</w:t>
      </w:r>
      <w:r w:rsidRPr="00F018FD">
        <w:t>, gend</w:t>
      </w:r>
      <w:r w:rsidR="00473FF5">
        <w:t xml:space="preserve">er and age </w:t>
      </w:r>
      <w:r w:rsidRPr="00F018FD">
        <w:t>related differences in pharmacodynamic response.</w:t>
      </w:r>
    </w:p>
    <w:p w:rsidR="00F018FD" w:rsidRPr="00F018FD" w:rsidRDefault="00EF2903" w:rsidP="008516DC">
      <w:pPr>
        <w:pStyle w:val="ListBullet"/>
      </w:pPr>
      <w:r>
        <w:t xml:space="preserve">No studies examined the </w:t>
      </w:r>
      <w:proofErr w:type="spellStart"/>
      <w:r>
        <w:t>p</w:t>
      </w:r>
      <w:r w:rsidR="00F018FD" w:rsidRPr="00F018FD">
        <w:t>harmacodynamic</w:t>
      </w:r>
      <w:proofErr w:type="spellEnd"/>
      <w:r w:rsidR="00F018FD" w:rsidRPr="00F018FD">
        <w:t xml:space="preserve"> interactions between </w:t>
      </w:r>
      <w:proofErr w:type="spellStart"/>
      <w:r w:rsidR="00F018FD" w:rsidRPr="00473FF5">
        <w:t>M</w:t>
      </w:r>
      <w:r w:rsidR="00473FF5" w:rsidRPr="00473FF5">
        <w:t>irvaso</w:t>
      </w:r>
      <w:proofErr w:type="spellEnd"/>
      <w:r w:rsidR="002848DD">
        <w:t xml:space="preserve"> gel and other drugs.</w:t>
      </w:r>
    </w:p>
    <w:p w:rsidR="008E7846" w:rsidRDefault="00605AD4" w:rsidP="00271234">
      <w:pPr>
        <w:pStyle w:val="Heading3"/>
      </w:pPr>
      <w:bookmarkStart w:id="82" w:name="_Toc413157316"/>
      <w:r>
        <w:t xml:space="preserve">Dosage selection for the </w:t>
      </w:r>
      <w:r w:rsidRPr="00271234">
        <w:t>pivotal</w:t>
      </w:r>
      <w:r>
        <w:t xml:space="preserve"> studies</w:t>
      </w:r>
      <w:bookmarkEnd w:id="82"/>
    </w:p>
    <w:p w:rsidR="005C6003" w:rsidRPr="005C6003" w:rsidRDefault="005C6003" w:rsidP="008516DC">
      <w:r>
        <w:t>Table 4 contains a summary of the clinical studies providing data for the dose selection used in the pivotal studies.</w:t>
      </w:r>
    </w:p>
    <w:p w:rsidR="00271234" w:rsidRDefault="00271234">
      <w:pPr>
        <w:spacing w:before="0" w:after="200" w:line="0" w:lineRule="auto"/>
        <w:rPr>
          <w:b/>
        </w:rPr>
      </w:pPr>
      <w:r>
        <w:br w:type="page"/>
      </w:r>
    </w:p>
    <w:p w:rsidR="004C782F" w:rsidRPr="004C782F" w:rsidRDefault="004C782F" w:rsidP="008516DC">
      <w:pPr>
        <w:pStyle w:val="TableTitle"/>
      </w:pPr>
      <w:proofErr w:type="gramStart"/>
      <w:r w:rsidRPr="004C782F">
        <w:lastRenderedPageBreak/>
        <w:t>Table 4: Summary of relevant clinical studies contributing to dose selection.</w:t>
      </w:r>
      <w:proofErr w:type="gramEnd"/>
    </w:p>
    <w:tbl>
      <w:tblPr>
        <w:tblStyle w:val="TableTGAblue"/>
        <w:tblW w:w="0" w:type="auto"/>
        <w:tblLayout w:type="fixed"/>
        <w:tblLook w:val="04A0" w:firstRow="1" w:lastRow="0" w:firstColumn="1" w:lastColumn="0" w:noHBand="0" w:noVBand="1"/>
      </w:tblPr>
      <w:tblGrid>
        <w:gridCol w:w="1242"/>
        <w:gridCol w:w="1619"/>
        <w:gridCol w:w="1341"/>
        <w:gridCol w:w="1637"/>
        <w:gridCol w:w="2881"/>
      </w:tblGrid>
      <w:tr w:rsidR="004C782F" w:rsidTr="008516DC">
        <w:trPr>
          <w:cnfStyle w:val="100000000000" w:firstRow="1" w:lastRow="0" w:firstColumn="0" w:lastColumn="0" w:oddVBand="0" w:evenVBand="0" w:oddHBand="0" w:evenHBand="0" w:firstRowFirstColumn="0" w:firstRowLastColumn="0" w:lastRowFirstColumn="0" w:lastRowLastColumn="0"/>
        </w:trPr>
        <w:tc>
          <w:tcPr>
            <w:tcW w:w="1242" w:type="dxa"/>
          </w:tcPr>
          <w:p w:rsidR="004C782F" w:rsidRPr="004C782F" w:rsidRDefault="004C782F" w:rsidP="008516DC">
            <w:pPr>
              <w:ind w:left="0"/>
            </w:pPr>
            <w:r w:rsidRPr="004C782F">
              <w:t>Study Number</w:t>
            </w:r>
          </w:p>
        </w:tc>
        <w:tc>
          <w:tcPr>
            <w:tcW w:w="1619" w:type="dxa"/>
          </w:tcPr>
          <w:p w:rsidR="004C782F" w:rsidRPr="004C782F" w:rsidRDefault="004C782F" w:rsidP="008516DC">
            <w:pPr>
              <w:ind w:left="26"/>
            </w:pPr>
            <w:r w:rsidRPr="004C782F">
              <w:t>Study Design</w:t>
            </w:r>
          </w:p>
        </w:tc>
        <w:tc>
          <w:tcPr>
            <w:tcW w:w="1341" w:type="dxa"/>
          </w:tcPr>
          <w:p w:rsidR="004C782F" w:rsidRPr="004C782F" w:rsidRDefault="004C782F" w:rsidP="008516DC">
            <w:pPr>
              <w:ind w:left="68"/>
            </w:pPr>
            <w:r w:rsidRPr="004C782F">
              <w:t>Number of subjects</w:t>
            </w:r>
            <w:r w:rsidR="008516DC">
              <w:t xml:space="preserve"> </w:t>
            </w:r>
            <w:r w:rsidRPr="004C782F">
              <w:t>Gender</w:t>
            </w:r>
            <w:r w:rsidR="008516DC">
              <w:t xml:space="preserve"> </w:t>
            </w:r>
            <w:r w:rsidRPr="004C782F">
              <w:t>Mean age</w:t>
            </w:r>
          </w:p>
        </w:tc>
        <w:tc>
          <w:tcPr>
            <w:tcW w:w="1637" w:type="dxa"/>
          </w:tcPr>
          <w:p w:rsidR="004C782F" w:rsidRPr="004C782F" w:rsidRDefault="004C782F" w:rsidP="008516DC">
            <w:pPr>
              <w:ind w:left="9"/>
            </w:pPr>
            <w:r w:rsidRPr="004C782F">
              <w:t>Doses and treatment duration</w:t>
            </w:r>
          </w:p>
        </w:tc>
        <w:tc>
          <w:tcPr>
            <w:tcW w:w="2881" w:type="dxa"/>
          </w:tcPr>
          <w:p w:rsidR="004C782F" w:rsidRPr="004C782F" w:rsidRDefault="004C782F" w:rsidP="008516DC">
            <w:pPr>
              <w:ind w:left="0"/>
            </w:pPr>
            <w:r w:rsidRPr="004C782F">
              <w:t>Results</w:t>
            </w:r>
          </w:p>
        </w:tc>
      </w:tr>
      <w:tr w:rsidR="004C782F" w:rsidRPr="004C782F" w:rsidTr="008516DC">
        <w:tc>
          <w:tcPr>
            <w:tcW w:w="1242" w:type="dxa"/>
          </w:tcPr>
          <w:p w:rsidR="004C782F" w:rsidRPr="00271234" w:rsidRDefault="004C782F" w:rsidP="00271234">
            <w:pPr>
              <w:tabs>
                <w:tab w:val="left" w:pos="1026"/>
              </w:tabs>
              <w:ind w:left="0" w:right="0"/>
            </w:pPr>
            <w:r w:rsidRPr="00271234">
              <w:t>18144</w:t>
            </w:r>
          </w:p>
        </w:tc>
        <w:tc>
          <w:tcPr>
            <w:tcW w:w="1619" w:type="dxa"/>
          </w:tcPr>
          <w:p w:rsidR="004C782F" w:rsidRPr="00271234" w:rsidRDefault="005C6003" w:rsidP="00271234">
            <w:pPr>
              <w:tabs>
                <w:tab w:val="left" w:pos="1026"/>
              </w:tabs>
              <w:ind w:left="26" w:right="0"/>
            </w:pPr>
            <w:r w:rsidRPr="00271234">
              <w:t>Randomis</w:t>
            </w:r>
            <w:r w:rsidR="004C782F" w:rsidRPr="00271234">
              <w:t>ed, double blind, parallel group, vehicle controlled, multicentre, dose finding study</w:t>
            </w:r>
            <w:r w:rsidRPr="00271234">
              <w:t>.</w:t>
            </w:r>
          </w:p>
        </w:tc>
        <w:tc>
          <w:tcPr>
            <w:tcW w:w="1341" w:type="dxa"/>
          </w:tcPr>
          <w:p w:rsidR="004C782F" w:rsidRPr="00271234" w:rsidRDefault="004C782F" w:rsidP="00271234">
            <w:pPr>
              <w:tabs>
                <w:tab w:val="left" w:pos="1026"/>
              </w:tabs>
              <w:ind w:left="68" w:right="0"/>
            </w:pPr>
            <w:r w:rsidRPr="00271234">
              <w:t>122 subjects</w:t>
            </w:r>
            <w:r w:rsidR="008516DC" w:rsidRPr="00271234">
              <w:t xml:space="preserve"> </w:t>
            </w:r>
            <w:r w:rsidR="005C6003" w:rsidRPr="00271234">
              <w:t>30 male, 92 female</w:t>
            </w:r>
            <w:r w:rsidR="008516DC" w:rsidRPr="00271234">
              <w:t xml:space="preserve"> </w:t>
            </w:r>
            <w:r w:rsidRPr="00271234">
              <w:t>45.7 years</w:t>
            </w:r>
          </w:p>
        </w:tc>
        <w:tc>
          <w:tcPr>
            <w:tcW w:w="1637" w:type="dxa"/>
          </w:tcPr>
          <w:p w:rsidR="004C782F" w:rsidRPr="00271234" w:rsidRDefault="00665804" w:rsidP="00271234">
            <w:pPr>
              <w:tabs>
                <w:tab w:val="left" w:pos="1026"/>
              </w:tabs>
              <w:ind w:left="9" w:right="0"/>
            </w:pPr>
            <w:r w:rsidRPr="00271234">
              <w:t>Brimonidine</w:t>
            </w:r>
            <w:r w:rsidR="004C782F" w:rsidRPr="00271234">
              <w:t xml:space="preserve"> tartrate (0.5%, 0.18%, 0.07%) gel or vehicle gel</w:t>
            </w:r>
            <w:r w:rsidR="008516DC" w:rsidRPr="00271234">
              <w:t xml:space="preserve"> </w:t>
            </w:r>
            <w:r w:rsidR="004C782F" w:rsidRPr="00271234">
              <w:t>Single dose</w:t>
            </w:r>
            <w:r w:rsidR="005C6003" w:rsidRPr="00271234">
              <w:t>.</w:t>
            </w:r>
          </w:p>
        </w:tc>
        <w:tc>
          <w:tcPr>
            <w:tcW w:w="2881" w:type="dxa"/>
          </w:tcPr>
          <w:p w:rsidR="004C782F" w:rsidRPr="00271234" w:rsidRDefault="00665804" w:rsidP="00271234">
            <w:pPr>
              <w:tabs>
                <w:tab w:val="left" w:pos="1026"/>
              </w:tabs>
              <w:ind w:left="0" w:right="0"/>
            </w:pPr>
            <w:r w:rsidRPr="00271234">
              <w:t>Brimonidine tartrate gel was found to be effective in the treatment of facial erythema of rosacea. The effect was superior to vehicle gel and consistently dose dependent with the highest concentration (0.5%) being the most effective. Safety and tolerability were good and comparable between the groups treated the brimonidine tartrate gel and vehicle gel.</w:t>
            </w:r>
          </w:p>
        </w:tc>
      </w:tr>
      <w:tr w:rsidR="004C782F" w:rsidTr="008516DC">
        <w:tc>
          <w:tcPr>
            <w:tcW w:w="1242" w:type="dxa"/>
          </w:tcPr>
          <w:p w:rsidR="004C782F" w:rsidRPr="00271234" w:rsidRDefault="004C782F" w:rsidP="00271234">
            <w:pPr>
              <w:tabs>
                <w:tab w:val="left" w:pos="1026"/>
              </w:tabs>
              <w:ind w:left="0" w:right="0"/>
            </w:pPr>
            <w:r w:rsidRPr="00271234">
              <w:t>18161</w:t>
            </w:r>
          </w:p>
        </w:tc>
        <w:tc>
          <w:tcPr>
            <w:tcW w:w="1619" w:type="dxa"/>
          </w:tcPr>
          <w:p w:rsidR="004C782F" w:rsidRPr="00271234" w:rsidRDefault="005C6003" w:rsidP="00271234">
            <w:pPr>
              <w:tabs>
                <w:tab w:val="left" w:pos="1026"/>
              </w:tabs>
              <w:ind w:left="26" w:right="0"/>
            </w:pPr>
            <w:r w:rsidRPr="00271234">
              <w:t>Randomis</w:t>
            </w:r>
            <w:r w:rsidR="00665804" w:rsidRPr="00271234">
              <w:t>ed, double blind, parallel group, vehicle controlled, multicentre, efficacy and safety study</w:t>
            </w:r>
            <w:r w:rsidRPr="00271234">
              <w:t>.</w:t>
            </w:r>
          </w:p>
        </w:tc>
        <w:tc>
          <w:tcPr>
            <w:tcW w:w="1341" w:type="dxa"/>
          </w:tcPr>
          <w:p w:rsidR="00665804" w:rsidRPr="00271234" w:rsidRDefault="00665804" w:rsidP="00271234">
            <w:pPr>
              <w:tabs>
                <w:tab w:val="left" w:pos="1026"/>
              </w:tabs>
              <w:ind w:left="68" w:right="0"/>
            </w:pPr>
            <w:r w:rsidRPr="00271234">
              <w:t>269 subjects</w:t>
            </w:r>
            <w:r w:rsidR="008516DC" w:rsidRPr="00271234">
              <w:t xml:space="preserve"> </w:t>
            </w:r>
            <w:r w:rsidR="005C6003" w:rsidRPr="00271234">
              <w:t>52 male, 217 female</w:t>
            </w:r>
            <w:r w:rsidR="008516DC" w:rsidRPr="00271234">
              <w:t xml:space="preserve"> </w:t>
            </w:r>
            <w:r w:rsidRPr="00271234">
              <w:t>44.3 years</w:t>
            </w:r>
          </w:p>
        </w:tc>
        <w:tc>
          <w:tcPr>
            <w:tcW w:w="1637" w:type="dxa"/>
          </w:tcPr>
          <w:p w:rsidR="004C782F" w:rsidRPr="00271234" w:rsidRDefault="00665804" w:rsidP="00271234">
            <w:pPr>
              <w:tabs>
                <w:tab w:val="left" w:pos="1026"/>
              </w:tabs>
              <w:ind w:left="9" w:right="0"/>
            </w:pPr>
            <w:proofErr w:type="spellStart"/>
            <w:r w:rsidRPr="00271234">
              <w:t>Brimonidine</w:t>
            </w:r>
            <w:proofErr w:type="spellEnd"/>
            <w:r w:rsidRPr="00271234">
              <w:t xml:space="preserve"> tartrate (0.5% </w:t>
            </w:r>
            <w:proofErr w:type="spellStart"/>
            <w:r w:rsidRPr="00271234">
              <w:t>q.d</w:t>
            </w:r>
            <w:proofErr w:type="spellEnd"/>
            <w:r w:rsidRPr="00271234">
              <w:t xml:space="preserve">., 0.18% </w:t>
            </w:r>
            <w:proofErr w:type="spellStart"/>
            <w:r w:rsidRPr="00271234">
              <w:t>q.d</w:t>
            </w:r>
            <w:proofErr w:type="spellEnd"/>
            <w:r w:rsidRPr="00271234">
              <w:t xml:space="preserve">. or </w:t>
            </w:r>
            <w:proofErr w:type="spellStart"/>
            <w:r w:rsidRPr="00271234">
              <w:t>b.i.d</w:t>
            </w:r>
            <w:proofErr w:type="spellEnd"/>
            <w:r w:rsidRPr="00271234">
              <w:t>.) gel or vehicle gel (</w:t>
            </w:r>
            <w:proofErr w:type="spellStart"/>
            <w:r w:rsidRPr="00271234">
              <w:t>q.d</w:t>
            </w:r>
            <w:proofErr w:type="spellEnd"/>
            <w:r w:rsidRPr="00271234">
              <w:t xml:space="preserve">. or </w:t>
            </w:r>
            <w:proofErr w:type="spellStart"/>
            <w:r w:rsidRPr="00271234">
              <w:t>b.i.d</w:t>
            </w:r>
            <w:proofErr w:type="spellEnd"/>
            <w:r w:rsidRPr="00271234">
              <w:t>.).</w:t>
            </w:r>
          </w:p>
        </w:tc>
        <w:tc>
          <w:tcPr>
            <w:tcW w:w="2881" w:type="dxa"/>
          </w:tcPr>
          <w:p w:rsidR="004C782F" w:rsidRPr="00271234" w:rsidRDefault="00F2434A" w:rsidP="00271234">
            <w:pPr>
              <w:tabs>
                <w:tab w:val="left" w:pos="1026"/>
              </w:tabs>
              <w:ind w:left="0" w:right="0"/>
            </w:pPr>
            <w:r w:rsidRPr="00271234">
              <w:t xml:space="preserve">Brimonidine tartrate 0.5% gel was statistically superior to vehicle gel for the primary endpoint. No evidence of </w:t>
            </w:r>
            <w:proofErr w:type="spellStart"/>
            <w:r w:rsidRPr="00271234">
              <w:t>tachyphylaxis</w:t>
            </w:r>
            <w:proofErr w:type="spellEnd"/>
            <w:r w:rsidRPr="00271234">
              <w:t xml:space="preserve"> was observed. All brimonidine tartrate gel concentrations/regimens were well-tolerated with an acceptable safety profile during the treatment and follow up phases.</w:t>
            </w:r>
          </w:p>
        </w:tc>
      </w:tr>
      <w:tr w:rsidR="00B46F6B" w:rsidTr="008516DC">
        <w:tc>
          <w:tcPr>
            <w:tcW w:w="1242" w:type="dxa"/>
          </w:tcPr>
          <w:p w:rsidR="00B46F6B" w:rsidRPr="00271234" w:rsidRDefault="0020355D" w:rsidP="00271234">
            <w:pPr>
              <w:tabs>
                <w:tab w:val="left" w:pos="1026"/>
              </w:tabs>
              <w:ind w:left="0" w:right="0"/>
            </w:pPr>
            <w:r w:rsidRPr="00271234">
              <w:t>ROSE-</w:t>
            </w:r>
            <w:r w:rsidR="00B46F6B" w:rsidRPr="00271234">
              <w:t>201</w:t>
            </w:r>
          </w:p>
        </w:tc>
        <w:tc>
          <w:tcPr>
            <w:tcW w:w="1619" w:type="dxa"/>
          </w:tcPr>
          <w:p w:rsidR="00B46F6B" w:rsidRPr="00271234" w:rsidRDefault="008A2B4B" w:rsidP="00271234">
            <w:pPr>
              <w:tabs>
                <w:tab w:val="left" w:pos="1026"/>
              </w:tabs>
              <w:ind w:left="26" w:right="0"/>
            </w:pPr>
            <w:r w:rsidRPr="00271234">
              <w:t>Outpatient, randomised, double blind, vehicle controlled, parallel group, multicentre study</w:t>
            </w:r>
            <w:r w:rsidR="0020355D" w:rsidRPr="00271234">
              <w:t>.</w:t>
            </w:r>
          </w:p>
        </w:tc>
        <w:tc>
          <w:tcPr>
            <w:tcW w:w="1341" w:type="dxa"/>
          </w:tcPr>
          <w:p w:rsidR="008A2B4B" w:rsidRPr="00271234" w:rsidRDefault="008A2B4B" w:rsidP="00271234">
            <w:pPr>
              <w:tabs>
                <w:tab w:val="left" w:pos="1026"/>
              </w:tabs>
              <w:ind w:left="68" w:right="0"/>
            </w:pPr>
            <w:r w:rsidRPr="00271234">
              <w:t>110 subjects</w:t>
            </w:r>
            <w:r w:rsidR="008516DC" w:rsidRPr="00271234">
              <w:t xml:space="preserve"> </w:t>
            </w:r>
            <w:r w:rsidRPr="00271234">
              <w:t>27 male</w:t>
            </w:r>
            <w:r w:rsidR="008516DC" w:rsidRPr="00271234">
              <w:t xml:space="preserve"> </w:t>
            </w:r>
            <w:r w:rsidRPr="00271234">
              <w:t>83 female</w:t>
            </w:r>
            <w:r w:rsidR="008516DC" w:rsidRPr="00271234">
              <w:t xml:space="preserve"> </w:t>
            </w:r>
            <w:r w:rsidRPr="00271234">
              <w:t>47.6 years</w:t>
            </w:r>
          </w:p>
        </w:tc>
        <w:tc>
          <w:tcPr>
            <w:tcW w:w="1637" w:type="dxa"/>
          </w:tcPr>
          <w:p w:rsidR="008A2B4B" w:rsidRPr="00271234" w:rsidRDefault="00E61A30" w:rsidP="00271234">
            <w:pPr>
              <w:tabs>
                <w:tab w:val="left" w:pos="1026"/>
              </w:tabs>
              <w:ind w:left="9" w:right="0"/>
            </w:pPr>
            <w:r w:rsidRPr="00271234">
              <w:t>Brimonidine</w:t>
            </w:r>
            <w:r w:rsidR="008A2B4B" w:rsidRPr="00271234">
              <w:t xml:space="preserve"> tartrat</w:t>
            </w:r>
            <w:r w:rsidR="00BF1A79" w:rsidRPr="00271234">
              <w:t xml:space="preserve">e </w:t>
            </w:r>
            <w:r w:rsidR="008A2B4B" w:rsidRPr="00271234">
              <w:t>0.2%, 0.07%, 0.02% or vehicle gel</w:t>
            </w:r>
            <w:r w:rsidR="008516DC" w:rsidRPr="00271234">
              <w:t xml:space="preserve"> </w:t>
            </w:r>
            <w:r w:rsidR="008A2B4B" w:rsidRPr="00271234">
              <w:t>Applied each morning and as needed thereafter but no more than once every 4 hours and no more than 3 times per day for 28 days.</w:t>
            </w:r>
          </w:p>
        </w:tc>
        <w:tc>
          <w:tcPr>
            <w:tcW w:w="2881" w:type="dxa"/>
          </w:tcPr>
          <w:p w:rsidR="00B46F6B" w:rsidRPr="00271234" w:rsidRDefault="00B46F6B" w:rsidP="00271234">
            <w:pPr>
              <w:tabs>
                <w:tab w:val="left" w:pos="1026"/>
              </w:tabs>
              <w:ind w:left="0" w:right="0"/>
            </w:pPr>
            <w:r w:rsidRPr="00271234">
              <w:t xml:space="preserve">This </w:t>
            </w:r>
            <w:r w:rsidR="0020355D" w:rsidRPr="00271234">
              <w:t xml:space="preserve">previous </w:t>
            </w:r>
            <w:r w:rsidRPr="00271234">
              <w:t xml:space="preserve">study provided supportive data on the efficacy of brimonidine tartrate gel in the treatment of erythema of rosacea. However the interpretation was limited as brimonidine tartrate 0.5% gel </w:t>
            </w:r>
            <w:r w:rsidR="008A2B4B" w:rsidRPr="00271234">
              <w:t>was not used and the endpoints evaluated were different to those used in the pivotal studies.</w:t>
            </w:r>
          </w:p>
        </w:tc>
      </w:tr>
    </w:tbl>
    <w:p w:rsidR="00587986" w:rsidRPr="00587986" w:rsidRDefault="00587986" w:rsidP="00271234">
      <w:r>
        <w:lastRenderedPageBreak/>
        <w:t xml:space="preserve">Based on the Phase </w:t>
      </w:r>
      <w:proofErr w:type="spellStart"/>
      <w:r>
        <w:t>II</w:t>
      </w:r>
      <w:r w:rsidRPr="00587986">
        <w:t>b</w:t>
      </w:r>
      <w:proofErr w:type="spellEnd"/>
      <w:r w:rsidRPr="00587986">
        <w:t xml:space="preserve"> study results and additional data from previous studies, </w:t>
      </w:r>
      <w:r w:rsidR="00EF2903">
        <w:t>brimonidine tartrate</w:t>
      </w:r>
      <w:r w:rsidRPr="00587986">
        <w:t xml:space="preserve"> 0.5% </w:t>
      </w:r>
      <w:r w:rsidR="00EF2903">
        <w:t xml:space="preserve">gel </w:t>
      </w:r>
      <w:r w:rsidRPr="00587986">
        <w:t xml:space="preserve">applied once daily was an appropriate concentration and dose </w:t>
      </w:r>
      <w:r>
        <w:t>regimen selected for the Phase III</w:t>
      </w:r>
      <w:r w:rsidRPr="00587986">
        <w:t xml:space="preserve"> program.</w:t>
      </w:r>
    </w:p>
    <w:p w:rsidR="008E7846" w:rsidRPr="00254787" w:rsidRDefault="008E7846" w:rsidP="008516DC">
      <w:pPr>
        <w:pStyle w:val="Heading3"/>
      </w:pPr>
      <w:bookmarkStart w:id="83" w:name="_Toc163441372"/>
      <w:bookmarkStart w:id="84" w:name="_Toc196046485"/>
      <w:bookmarkStart w:id="85" w:name="_Toc247691521"/>
      <w:bookmarkStart w:id="86" w:name="_Toc314842504"/>
      <w:bookmarkStart w:id="87" w:name="_Toc413157317"/>
      <w:r w:rsidRPr="00254787">
        <w:t>Efficacy</w:t>
      </w:r>
      <w:bookmarkEnd w:id="83"/>
      <w:bookmarkEnd w:id="84"/>
      <w:bookmarkEnd w:id="85"/>
      <w:bookmarkEnd w:id="86"/>
      <w:bookmarkEnd w:id="87"/>
    </w:p>
    <w:p w:rsidR="00D72F57" w:rsidRDefault="00605AD4" w:rsidP="008516DC">
      <w:pPr>
        <w:pStyle w:val="Heading4"/>
      </w:pPr>
      <w:bookmarkStart w:id="88" w:name="_Toc184439992"/>
      <w:bookmarkStart w:id="89" w:name="_Toc184440279"/>
      <w:bookmarkStart w:id="90" w:name="_Toc184444657"/>
      <w:bookmarkStart w:id="91" w:name="_Toc196046487"/>
      <w:r w:rsidRPr="00587986">
        <w:t>Studies providing efficacy data</w:t>
      </w:r>
    </w:p>
    <w:p w:rsidR="00D72F57" w:rsidRDefault="00D72F57" w:rsidP="008516DC">
      <w:pPr>
        <w:pStyle w:val="Heading5"/>
      </w:pPr>
      <w:r>
        <w:t>Pivotal efficacy studies</w:t>
      </w:r>
    </w:p>
    <w:p w:rsidR="00D72F57" w:rsidRDefault="00D72F57" w:rsidP="008516DC">
      <w:pPr>
        <w:pStyle w:val="ListBullet"/>
      </w:pPr>
      <w:r>
        <w:t xml:space="preserve">Study 18140, </w:t>
      </w:r>
      <w:r w:rsidR="00EF2903">
        <w:t xml:space="preserve">was, </w:t>
      </w:r>
      <w:r>
        <w:t xml:space="preserve">a Phase III </w:t>
      </w:r>
      <w:r w:rsidR="002848DD" w:rsidRPr="00D72F57">
        <w:t>multicentre</w:t>
      </w:r>
      <w:r w:rsidR="00EF2903">
        <w:t>, randomis</w:t>
      </w:r>
      <w:r w:rsidR="002848DD">
        <w:t xml:space="preserve">ed, double blind, parallel group, vehicle </w:t>
      </w:r>
      <w:r w:rsidRPr="00D72F57">
        <w:t xml:space="preserve">controlled pivotal study. The main objective of the study was to demonstrate the efficacy of </w:t>
      </w:r>
      <w:r w:rsidR="00EF2903">
        <w:t>brimonidine tartrate</w:t>
      </w:r>
      <w:r w:rsidRPr="00D72F57">
        <w:t xml:space="preserve"> 0.5%</w:t>
      </w:r>
      <w:r w:rsidR="00EF2903">
        <w:t xml:space="preserve"> gel</w:t>
      </w:r>
      <w:r w:rsidRPr="00D72F57">
        <w:t xml:space="preserve">, applied topically </w:t>
      </w:r>
      <w:proofErr w:type="spellStart"/>
      <w:r w:rsidR="009B0254">
        <w:t>q.d</w:t>
      </w:r>
      <w:proofErr w:type="spellEnd"/>
      <w:r w:rsidR="009B0254">
        <w:t>.</w:t>
      </w:r>
      <w:r w:rsidRPr="00D72F57">
        <w:t xml:space="preserve"> for 4 weeks versus vehicle control, in the treatment of moderate to severe facial erythema associated with rosacea.</w:t>
      </w:r>
    </w:p>
    <w:p w:rsidR="00D72F57" w:rsidRDefault="00D72F57" w:rsidP="008516DC">
      <w:pPr>
        <w:pStyle w:val="ListBullet"/>
      </w:pPr>
      <w:r>
        <w:t xml:space="preserve">Study 18141, </w:t>
      </w:r>
      <w:r w:rsidR="00EF2903">
        <w:t>was also a Phase III multicentre, randomised, double blind, parallel group vehicle control study. T</w:t>
      </w:r>
      <w:r w:rsidRPr="00D72F57">
        <w:t xml:space="preserve">he study design and objectives were identical to those </w:t>
      </w:r>
      <w:r w:rsidR="00EF2903">
        <w:t>for Study 18140</w:t>
      </w:r>
      <w:r w:rsidRPr="00D72F57">
        <w:t>.</w:t>
      </w:r>
    </w:p>
    <w:p w:rsidR="00D72F57" w:rsidRDefault="00D72F57" w:rsidP="008516DC">
      <w:pPr>
        <w:pStyle w:val="Heading5"/>
      </w:pPr>
      <w:r>
        <w:t>Other efficacy studies</w:t>
      </w:r>
    </w:p>
    <w:p w:rsidR="00FC236E" w:rsidRDefault="00FC236E" w:rsidP="008516DC">
      <w:pPr>
        <w:pStyle w:val="ListBullet"/>
      </w:pPr>
      <w:r>
        <w:t xml:space="preserve">Study 18194, a </w:t>
      </w:r>
      <w:r w:rsidR="002E48CB">
        <w:t xml:space="preserve">CEA scale, single </w:t>
      </w:r>
      <w:r w:rsidRPr="00FC236E">
        <w:t>centre study</w:t>
      </w:r>
      <w:r>
        <w:t xml:space="preserve">, </w:t>
      </w:r>
      <w:r w:rsidR="00EF2903">
        <w:t xml:space="preserve">was </w:t>
      </w:r>
      <w:r w:rsidRPr="00FC236E">
        <w:t>an independent study conducted by the</w:t>
      </w:r>
      <w:r>
        <w:t xml:space="preserve"> s</w:t>
      </w:r>
      <w:r w:rsidR="00EF2903">
        <w:t>ponsor to evaluate the inter-</w:t>
      </w:r>
      <w:proofErr w:type="spellStart"/>
      <w:r w:rsidR="00EF2903">
        <w:t>rater</w:t>
      </w:r>
      <w:proofErr w:type="spellEnd"/>
      <w:r w:rsidR="00EF2903">
        <w:t xml:space="preserve"> and intra-</w:t>
      </w:r>
      <w:proofErr w:type="spellStart"/>
      <w:r w:rsidRPr="00FC236E">
        <w:t>rater</w:t>
      </w:r>
      <w:proofErr w:type="spellEnd"/>
      <w:r w:rsidRPr="00FC236E">
        <w:t xml:space="preserve"> reliability of the final version of the CEA scale for assessment of the severity of persistent facial erythema in subjects with rosacea.</w:t>
      </w:r>
      <w:r>
        <w:t xml:space="preserve"> </w:t>
      </w:r>
      <w:r w:rsidRPr="00FC236E">
        <w:t xml:space="preserve">Study </w:t>
      </w:r>
      <w:r w:rsidR="0062434D">
        <w:t>subjects were not treated with brimonidine tartrate g</w:t>
      </w:r>
      <w:r w:rsidRPr="00FC236E">
        <w:t>el in this study</w:t>
      </w:r>
      <w:r>
        <w:t>.</w:t>
      </w:r>
    </w:p>
    <w:p w:rsidR="00FC236E" w:rsidRPr="00FC236E" w:rsidRDefault="00EF2903" w:rsidP="008516DC">
      <w:pPr>
        <w:pStyle w:val="ListBullet"/>
      </w:pPr>
      <w:r>
        <w:t>Long term S</w:t>
      </w:r>
      <w:r w:rsidR="00FC236E">
        <w:t xml:space="preserve">tudy 18142 </w:t>
      </w:r>
      <w:r>
        <w:t xml:space="preserve">was </w:t>
      </w:r>
      <w:r w:rsidR="00DB4244">
        <w:t>a Phase III</w:t>
      </w:r>
      <w:r w:rsidR="002848DD">
        <w:t>, multicentre, open label, non comparative 52 week study</w:t>
      </w:r>
      <w:r w:rsidR="009B0254">
        <w:t xml:space="preserve"> which evaluated the long </w:t>
      </w:r>
      <w:r w:rsidR="00FC236E" w:rsidRPr="00FC236E">
        <w:t xml:space="preserve">term safety and efficacy of </w:t>
      </w:r>
      <w:r w:rsidRPr="00EF2903">
        <w:t xml:space="preserve">brimonidine tartrate 0.5% gel </w:t>
      </w:r>
      <w:r w:rsidR="00FC236E" w:rsidRPr="00FC236E">
        <w:t xml:space="preserve">applied </w:t>
      </w:r>
      <w:proofErr w:type="spellStart"/>
      <w:r w:rsidR="009B0254">
        <w:t>q.d</w:t>
      </w:r>
      <w:proofErr w:type="spellEnd"/>
      <w:r w:rsidR="009B0254">
        <w:t>.</w:t>
      </w:r>
      <w:r w:rsidR="00FC236E" w:rsidRPr="00FC236E">
        <w:t xml:space="preserve"> in 449 patients with moderate to severe facial erythema of rosacea. Efficacy assessment was a secondary objective of this study. The efficacy measurements included the PSA, CEA, </w:t>
      </w:r>
      <w:r w:rsidR="008E566A">
        <w:t>patient assessment of appearance (</w:t>
      </w:r>
      <w:r w:rsidR="00FC236E" w:rsidRPr="00FC236E">
        <w:t>PAA</w:t>
      </w:r>
      <w:r w:rsidR="008E566A">
        <w:t>)</w:t>
      </w:r>
      <w:r w:rsidR="00FC236E" w:rsidRPr="00FC236E">
        <w:t xml:space="preserve">, and </w:t>
      </w:r>
      <w:r w:rsidR="002848DD">
        <w:t>overall treatment effect (</w:t>
      </w:r>
      <w:r w:rsidR="00FC236E" w:rsidRPr="00FC236E">
        <w:t>OTE</w:t>
      </w:r>
      <w:r w:rsidR="002848DD">
        <w:t>)</w:t>
      </w:r>
      <w:r w:rsidR="00FC236E">
        <w:t>.</w:t>
      </w:r>
    </w:p>
    <w:p w:rsidR="008E7846" w:rsidRDefault="00605AD4" w:rsidP="008516DC">
      <w:pPr>
        <w:pStyle w:val="Heading4"/>
      </w:pPr>
      <w:r>
        <w:t>Evaluator’s conclusions on efficacy</w:t>
      </w:r>
    </w:p>
    <w:p w:rsidR="00587986" w:rsidRDefault="0062434D" w:rsidP="008516DC">
      <w:r>
        <w:t>Brimonidine tartrate 0.5% g</w:t>
      </w:r>
      <w:r w:rsidR="00587986" w:rsidRPr="00587986">
        <w:t xml:space="preserve">el, applied topically </w:t>
      </w:r>
      <w:proofErr w:type="spellStart"/>
      <w:r w:rsidR="00CD641E">
        <w:t>q.d</w:t>
      </w:r>
      <w:proofErr w:type="spellEnd"/>
      <w:r w:rsidR="00CD641E">
        <w:t>.</w:t>
      </w:r>
      <w:r w:rsidR="00587986" w:rsidRPr="00587986">
        <w:t xml:space="preserve">, was selected as the optimal concentration and dose regimen for Phase </w:t>
      </w:r>
      <w:r w:rsidR="00587986">
        <w:t>III</w:t>
      </w:r>
      <w:r w:rsidR="00587986" w:rsidRPr="00587986">
        <w:t xml:space="preserve"> because the single (18144) and multiple (18161) </w:t>
      </w:r>
      <w:r w:rsidR="00587986">
        <w:t xml:space="preserve">dose </w:t>
      </w:r>
      <w:r w:rsidR="00587986" w:rsidRPr="00587986">
        <w:t>finding</w:t>
      </w:r>
      <w:r>
        <w:t xml:space="preserve"> studies had demonstrated that brimonidine tartrate 0.5% g</w:t>
      </w:r>
      <w:r w:rsidR="00587986" w:rsidRPr="00587986">
        <w:t>el showed the best potential for achieving the desired treatment objectives of reducing facial erythema in the greates</w:t>
      </w:r>
      <w:r>
        <w:t>t number of subjects. That is, brimonidine tartrate 0.5% g</w:t>
      </w:r>
      <w:r w:rsidR="00587986" w:rsidRPr="00587986">
        <w:t xml:space="preserve">el </w:t>
      </w:r>
      <w:proofErr w:type="spellStart"/>
      <w:r w:rsidR="00CD641E">
        <w:t>q.d</w:t>
      </w:r>
      <w:proofErr w:type="spellEnd"/>
      <w:r w:rsidR="00CD641E">
        <w:t xml:space="preserve">. </w:t>
      </w:r>
      <w:r w:rsidR="00587986" w:rsidRPr="00587986">
        <w:t>provides significant effecti</w:t>
      </w:r>
      <w:r w:rsidR="00587986">
        <w:t xml:space="preserve">veness without significant over </w:t>
      </w:r>
      <w:r w:rsidR="00587986" w:rsidRPr="00587986">
        <w:t xml:space="preserve">extended effects, while maintaining a high safety margin with respect to systemic exposure. The treatment objective for the product was to maintain, on </w:t>
      </w:r>
      <w:r w:rsidR="00587986">
        <w:t xml:space="preserve">a daily basis, at least a 1 </w:t>
      </w:r>
      <w:r w:rsidR="00587986" w:rsidRPr="00587986">
        <w:t>grade improvement (</w:t>
      </w:r>
      <w:r w:rsidR="00587986">
        <w:t xml:space="preserve">that is, </w:t>
      </w:r>
      <w:r w:rsidR="00587986" w:rsidRPr="00587986">
        <w:t xml:space="preserve">a noticeable effect) in CEA and/or PSA for a maximal amount of time (target of 12 hours after dosing), while being able to achieve </w:t>
      </w:r>
      <w:r w:rsidR="0047424C">
        <w:t xml:space="preserve">daily 2 </w:t>
      </w:r>
      <w:r w:rsidR="00587986" w:rsidRPr="00587986">
        <w:t xml:space="preserve">grade improvement in both assessments </w:t>
      </w:r>
      <w:r w:rsidR="002848DD">
        <w:t xml:space="preserve">for a sustained period </w:t>
      </w:r>
      <w:r w:rsidR="002848DD" w:rsidRPr="00627394">
        <w:t xml:space="preserve">(Table </w:t>
      </w:r>
      <w:r w:rsidR="005C6003">
        <w:t>5</w:t>
      </w:r>
      <w:r w:rsidR="002848DD" w:rsidRPr="00627394">
        <w:t>).</w:t>
      </w:r>
    </w:p>
    <w:p w:rsidR="00A70ACF" w:rsidRPr="00A70ACF" w:rsidRDefault="005C6003" w:rsidP="008516DC">
      <w:pPr>
        <w:pStyle w:val="Tabletitle0"/>
      </w:pPr>
      <w:proofErr w:type="gramStart"/>
      <w:r>
        <w:lastRenderedPageBreak/>
        <w:t>Table 5</w:t>
      </w:r>
      <w:r w:rsidR="00A70ACF" w:rsidRPr="00A70ACF">
        <w:t>: Summary of relevant clinical studies contributing to dose selection.</w:t>
      </w:r>
      <w:proofErr w:type="gramEnd"/>
    </w:p>
    <w:p w:rsidR="00A70ACF" w:rsidRPr="00587986" w:rsidRDefault="00A70ACF" w:rsidP="008516DC">
      <w:r w:rsidRPr="00A70ACF">
        <w:rPr>
          <w:noProof/>
          <w:lang w:eastAsia="en-AU"/>
        </w:rPr>
        <w:drawing>
          <wp:inline distT="0" distB="0" distL="0" distR="0" wp14:anchorId="355FE76A" wp14:editId="3B3DA95F">
            <wp:extent cx="5400040" cy="2506841"/>
            <wp:effectExtent l="0" t="0" r="0" b="8255"/>
            <wp:docPr id="3" name="Picture 3" descr="Table 5: Summary of relevant clinical studies contributing to dose se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t="6525" b="1451"/>
                    <a:stretch>
                      <a:fillRect/>
                    </a:stretch>
                  </pic:blipFill>
                  <pic:spPr bwMode="auto">
                    <a:xfrm>
                      <a:off x="0" y="0"/>
                      <a:ext cx="5400040" cy="2506841"/>
                    </a:xfrm>
                    <a:prstGeom prst="rect">
                      <a:avLst/>
                    </a:prstGeom>
                    <a:noFill/>
                    <a:ln>
                      <a:noFill/>
                    </a:ln>
                  </pic:spPr>
                </pic:pic>
              </a:graphicData>
            </a:graphic>
          </wp:inline>
        </w:drawing>
      </w:r>
    </w:p>
    <w:p w:rsidR="00587986" w:rsidRPr="00587986" w:rsidRDefault="002848DD" w:rsidP="008516DC">
      <w:r>
        <w:t>The two Phase III</w:t>
      </w:r>
      <w:r w:rsidR="00587986" w:rsidRPr="00587986">
        <w:t xml:space="preserve"> pivotal studies (18140 and 18141) were designed and</w:t>
      </w:r>
      <w:r>
        <w:t xml:space="preserve"> conducted as adequate and well </w:t>
      </w:r>
      <w:r w:rsidR="00587986" w:rsidRPr="00587986">
        <w:t xml:space="preserve">controlled trials that satisfied the criteria outlined in </w:t>
      </w:r>
      <w:r w:rsidR="00784B94">
        <w:t xml:space="preserve">the relevant </w:t>
      </w:r>
      <w:r w:rsidR="00587986" w:rsidRPr="00587986">
        <w:t>ICH Guideline</w:t>
      </w:r>
      <w:r w:rsidR="00784B94">
        <w:t>s</w:t>
      </w:r>
      <w:r w:rsidR="00587986" w:rsidRPr="00587986">
        <w:t xml:space="preserve"> and US</w:t>
      </w:r>
      <w:r w:rsidR="00BF676E">
        <w:t>A</w:t>
      </w:r>
      <w:r w:rsidR="00587986" w:rsidRPr="00587986">
        <w:t xml:space="preserve"> Title 21 Code of Federal Regulations P</w:t>
      </w:r>
      <w:r w:rsidR="00DB4244">
        <w:t>art 314.126. The Phase III</w:t>
      </w:r>
      <w:r w:rsidR="00587986" w:rsidRPr="00587986">
        <w:t xml:space="preserve"> pivotal studies were designed in consideration of input from both US</w:t>
      </w:r>
      <w:r w:rsidR="00BF676E">
        <w:t>A</w:t>
      </w:r>
      <w:r w:rsidR="00587986" w:rsidRPr="00587986">
        <w:t xml:space="preserve"> and EU Regulatory Authorities.</w:t>
      </w:r>
    </w:p>
    <w:p w:rsidR="00587986" w:rsidRPr="00587986" w:rsidRDefault="00587986" w:rsidP="008516DC">
      <w:r w:rsidRPr="00587986">
        <w:t xml:space="preserve">The patients included in these pivotal studies were representative of the target patient population for the proposed brimonidine 0.5% gel topical treatment; </w:t>
      </w:r>
      <w:r w:rsidR="00784B94">
        <w:t xml:space="preserve">the </w:t>
      </w:r>
      <w:r w:rsidRPr="00587986">
        <w:t>majority of the patients were female (75</w:t>
      </w:r>
      <w:r w:rsidR="00DB4244">
        <w:t xml:space="preserve"> to </w:t>
      </w:r>
      <w:r w:rsidRPr="00587986">
        <w:t>79%), White (98%) with moderate facial erythema (85</w:t>
      </w:r>
      <w:r w:rsidR="00DB4244">
        <w:t xml:space="preserve"> to </w:t>
      </w:r>
      <w:r w:rsidRPr="00587986">
        <w:t>88% had CEA and PSA scores &gt;</w:t>
      </w:r>
      <w:r w:rsidR="00DB4244">
        <w:t xml:space="preserve"> </w:t>
      </w:r>
      <w:r w:rsidRPr="00587986">
        <w:t>3 at baseline).</w:t>
      </w:r>
    </w:p>
    <w:p w:rsidR="00587986" w:rsidRPr="00AF51A8" w:rsidRDefault="002848DD" w:rsidP="008516DC">
      <w:r>
        <w:t xml:space="preserve">The primary endpoint of 2 grade composite </w:t>
      </w:r>
      <w:proofErr w:type="gramStart"/>
      <w:r>
        <w:t>s</w:t>
      </w:r>
      <w:r w:rsidR="00587986" w:rsidRPr="00587986">
        <w:t>uccess</w:t>
      </w:r>
      <w:proofErr w:type="gramEnd"/>
      <w:r w:rsidR="00587986" w:rsidRPr="00587986">
        <w:t xml:space="preserve"> was a composite endpoint based on analyses of independent static </w:t>
      </w:r>
      <w:r w:rsidR="002E48CB">
        <w:t>evaluations of erythema by the i</w:t>
      </w:r>
      <w:r w:rsidR="00587986" w:rsidRPr="00587986">
        <w:t xml:space="preserve">nvestigators (CEA) and the subjects (PSA). The final version of the </w:t>
      </w:r>
      <w:r>
        <w:t xml:space="preserve">PSA that was used in the Phase </w:t>
      </w:r>
      <w:proofErr w:type="spellStart"/>
      <w:r>
        <w:t>IIb</w:t>
      </w:r>
      <w:proofErr w:type="spellEnd"/>
      <w:r>
        <w:t xml:space="preserve"> and Phase III</w:t>
      </w:r>
      <w:r w:rsidR="00587986" w:rsidRPr="00587986">
        <w:t xml:space="preserve"> studies was developed and validated in accordance with the 2009 </w:t>
      </w:r>
      <w:r w:rsidR="00862C86" w:rsidRPr="00862C86">
        <w:t>Food and Drug Administration</w:t>
      </w:r>
      <w:r w:rsidR="00862C86">
        <w:t xml:space="preserve"> (FDA) USA</w:t>
      </w:r>
      <w:r w:rsidR="00587986" w:rsidRPr="00587986">
        <w:t xml:space="preserve"> Guidance titled “Patient-Reported Outcome Measures: Use in Medical Product Development to Support L</w:t>
      </w:r>
      <w:r w:rsidR="00AF51A8">
        <w:t xml:space="preserve">abelling Claims.” The Phase </w:t>
      </w:r>
      <w:proofErr w:type="spellStart"/>
      <w:r w:rsidR="00AF51A8">
        <w:t>II</w:t>
      </w:r>
      <w:r w:rsidR="00587986" w:rsidRPr="00587986">
        <w:t>b</w:t>
      </w:r>
      <w:proofErr w:type="spellEnd"/>
      <w:r w:rsidR="00587986" w:rsidRPr="00587986">
        <w:t xml:space="preserve"> study (18161) provided evidence of the appropriateness and sensitivity of t</w:t>
      </w:r>
      <w:r w:rsidR="00AF51A8">
        <w:t xml:space="preserve">he primary endpoint within a </w:t>
      </w:r>
      <w:r w:rsidR="00AF51A8" w:rsidRPr="00AF51A8">
        <w:t xml:space="preserve">29 </w:t>
      </w:r>
      <w:r w:rsidR="00587986" w:rsidRPr="00AF51A8">
        <w:t xml:space="preserve">day treatment period, in consideration of the anticipated </w:t>
      </w:r>
      <w:r w:rsidR="00AF51A8" w:rsidRPr="00AF51A8">
        <w:t>design of the subsequent Phase III</w:t>
      </w:r>
      <w:r w:rsidR="00587986" w:rsidRPr="00AF51A8">
        <w:t xml:space="preserve"> pivotal studies, and evaluated the same primary en</w:t>
      </w:r>
      <w:r w:rsidR="00AF51A8" w:rsidRPr="00AF51A8">
        <w:t>dpoint as the subsequent Phase III</w:t>
      </w:r>
      <w:r w:rsidR="00587986" w:rsidRPr="00AF51A8">
        <w:t xml:space="preserve"> pivotal studies.</w:t>
      </w:r>
    </w:p>
    <w:p w:rsidR="00587986" w:rsidRPr="00587986" w:rsidRDefault="00AF51A8" w:rsidP="008516DC">
      <w:r>
        <w:t xml:space="preserve">The 2 </w:t>
      </w:r>
      <w:r w:rsidR="00587986" w:rsidRPr="00587986">
        <w:t xml:space="preserve">grade </w:t>
      </w:r>
      <w:r>
        <w:t>composite s</w:t>
      </w:r>
      <w:r w:rsidR="0062434D">
        <w:t>uccess rate for the brimonidine tartrate 0.5% g</w:t>
      </w:r>
      <w:r w:rsidR="00587986" w:rsidRPr="00587986">
        <w:t>el group was statistically significant and clinica</w:t>
      </w:r>
      <w:r>
        <w:t>lly meaningful compared to the vehicle g</w:t>
      </w:r>
      <w:r w:rsidR="00587986" w:rsidRPr="00587986">
        <w:t>el group at each time poin</w:t>
      </w:r>
      <w:r>
        <w:t>t (Days 1, 15, and 29). Two (2) grade composite s</w:t>
      </w:r>
      <w:r w:rsidR="00587986" w:rsidRPr="00587986">
        <w:t>uccess ranged from 18.9% to 3</w:t>
      </w:r>
      <w:r w:rsidR="0062434D">
        <w:t>2.1% on Day 29 compared to the v</w:t>
      </w:r>
      <w:r w:rsidR="00587986" w:rsidRPr="00587986">
        <w:t>ehic</w:t>
      </w:r>
      <w:r w:rsidR="0062434D">
        <w:t>le g</w:t>
      </w:r>
      <w:r w:rsidR="00587986" w:rsidRPr="00587986">
        <w:t xml:space="preserve">el control (3.6% to 7.3%) at Hours 3, 6, 9, and 12. The Phase </w:t>
      </w:r>
      <w:r w:rsidR="0062434D">
        <w:t>III</w:t>
      </w:r>
      <w:r w:rsidR="00587986" w:rsidRPr="00587986">
        <w:t xml:space="preserve"> pivotal studies met the p</w:t>
      </w:r>
      <w:r w:rsidR="0062434D">
        <w:t>redefined primary endpoint of 2 grade composite s</w:t>
      </w:r>
      <w:r w:rsidR="00587986" w:rsidRPr="00587986">
        <w:t>uccess, de</w:t>
      </w:r>
      <w:r w:rsidR="0062434D">
        <w:t>monstrating the superiority of brimonidine tartrate 0.5% gel compared to vehicle g</w:t>
      </w:r>
      <w:r w:rsidR="00587986" w:rsidRPr="00587986">
        <w:t>el in reduction of facial erythema</w:t>
      </w:r>
      <w:r w:rsidR="0062434D">
        <w:t xml:space="preserve"> in subjects with rosacea. The brimonidine tartrate 0.5% g</w:t>
      </w:r>
      <w:r w:rsidR="00587986" w:rsidRPr="00587986">
        <w:t xml:space="preserve">el </w:t>
      </w:r>
      <w:proofErr w:type="spellStart"/>
      <w:r w:rsidR="00CD641E">
        <w:t>q.d</w:t>
      </w:r>
      <w:proofErr w:type="spellEnd"/>
      <w:r w:rsidR="00CD641E">
        <w:t>.</w:t>
      </w:r>
      <w:r w:rsidR="00587986" w:rsidRPr="00587986">
        <w:t xml:space="preserve"> dose regimen showed robust</w:t>
      </w:r>
      <w:r w:rsidR="0062434D">
        <w:t xml:space="preserve"> efficacy when compared to the v</w:t>
      </w:r>
      <w:r w:rsidR="00587986" w:rsidRPr="00587986">
        <w:t xml:space="preserve">ehicle </w:t>
      </w:r>
      <w:proofErr w:type="spellStart"/>
      <w:r w:rsidR="00CD641E">
        <w:t>q.d</w:t>
      </w:r>
      <w:proofErr w:type="spellEnd"/>
      <w:r w:rsidR="00CD641E">
        <w:t>.</w:t>
      </w:r>
      <w:r w:rsidR="00587986" w:rsidRPr="00587986">
        <w:t xml:space="preserve"> regimen, as de</w:t>
      </w:r>
      <w:r w:rsidR="0062434D">
        <w:t>monstrated by the analyses of 2 grade composite s</w:t>
      </w:r>
      <w:r w:rsidR="00587986" w:rsidRPr="00587986">
        <w:t xml:space="preserve">uccess </w:t>
      </w:r>
      <w:r>
        <w:t>over Hours 3, 6, 9</w:t>
      </w:r>
      <w:r w:rsidR="00587986" w:rsidRPr="00587986">
        <w:t xml:space="preserve"> and 12. Because the treatment effect was significant at Day 29 (p</w:t>
      </w:r>
      <w:r w:rsidR="00DB4244">
        <w:t> </w:t>
      </w:r>
      <w:r>
        <w:t>&lt; </w:t>
      </w:r>
      <w:r w:rsidR="00587986" w:rsidRPr="00587986">
        <w:t>0.001), the successive earlier time points were tested (Day 15 and Day 1), which also showed statistically significant and clinically relevant improvement in erythema of rosacea starting from the first day of treatment.</w:t>
      </w:r>
    </w:p>
    <w:p w:rsidR="00587986" w:rsidRPr="00587986" w:rsidRDefault="00587986" w:rsidP="008516DC">
      <w:r w:rsidRPr="00587986">
        <w:t>A statistically significant (p</w:t>
      </w:r>
      <w:r w:rsidR="00DB4244">
        <w:t xml:space="preserve"> </w:t>
      </w:r>
      <w:r w:rsidRPr="00587986">
        <w:t>&lt;</w:t>
      </w:r>
      <w:r w:rsidR="00AF51A8">
        <w:t xml:space="preserve"> </w:t>
      </w:r>
      <w:r w:rsidRPr="00587986">
        <w:t>0.001) rapid onset of action was also demonstrated</w:t>
      </w:r>
      <w:r w:rsidR="00AF51A8">
        <w:t xml:space="preserve"> for the secondary endpoint (30 </w:t>
      </w:r>
      <w:r w:rsidR="00784B94">
        <w:t>minute e</w:t>
      </w:r>
      <w:r w:rsidRPr="00587986">
        <w:t>ff</w:t>
      </w:r>
      <w:r w:rsidR="00AF51A8">
        <w:t xml:space="preserve">ect) in the Phase III pivotal studies, which was 1 </w:t>
      </w:r>
      <w:r w:rsidRPr="00587986">
        <w:t>grade improvement on both the CEA and PSA 30 minutes after the first dose o</w:t>
      </w:r>
      <w:r w:rsidR="0062434D">
        <w:t xml:space="preserve">n Day 1. </w:t>
      </w:r>
      <w:r w:rsidR="0062434D">
        <w:lastRenderedPageBreak/>
        <w:t>Brimonidine tartrate 0.5% gel was superior to vehicle g</w:t>
      </w:r>
      <w:r w:rsidRPr="00587986">
        <w:t>el at initiating the onset of a meaningful clinical effect on erythema as</w:t>
      </w:r>
      <w:r w:rsidR="001D7582">
        <w:t xml:space="preserve"> assessed independently by the i</w:t>
      </w:r>
      <w:r w:rsidRPr="00587986">
        <w:t>nvestigator and by the subject within 30 minutes after the very first dose. In each study, approx</w:t>
      </w:r>
      <w:r w:rsidR="0062434D">
        <w:t>imately 28% of subjects in the brimonidine tartrate 0.5% g</w:t>
      </w:r>
      <w:r w:rsidR="00AF51A8">
        <w:t xml:space="preserve">el group showed 1 </w:t>
      </w:r>
      <w:r w:rsidRPr="00587986">
        <w:t>grade improvement on both the CEA and PSA at 30 minutes post</w:t>
      </w:r>
      <w:r w:rsidR="00AF51A8">
        <w:t xml:space="preserve"> </w:t>
      </w:r>
      <w:r w:rsidRPr="00587986">
        <w:t>dosing</w:t>
      </w:r>
      <w:r w:rsidR="0062434D">
        <w:t xml:space="preserve"> on Day 1, compared to 6.9% of vehicle g</w:t>
      </w:r>
      <w:r w:rsidRPr="00587986">
        <w:t>el subje</w:t>
      </w:r>
      <w:r w:rsidR="00784B94">
        <w:t>cts in S</w:t>
      </w:r>
      <w:r w:rsidR="00AF51A8">
        <w:t>tudy 18140 and 4</w:t>
      </w:r>
      <w:r w:rsidR="00784B94">
        <w:t>.8% of vehicle gel subjects in S</w:t>
      </w:r>
      <w:r w:rsidRPr="00587986">
        <w:t>tudy</w:t>
      </w:r>
      <w:r w:rsidR="00AF51A8">
        <w:t xml:space="preserve"> 18141. The odds of achieving 1 grade composite s</w:t>
      </w:r>
      <w:r w:rsidRPr="00587986">
        <w:t xml:space="preserve">uccess on both the CEA and PSA 30 minutes after the first dose on Day 1 were 5 </w:t>
      </w:r>
      <w:r w:rsidR="00AF51A8">
        <w:t>times</w:t>
      </w:r>
      <w:r w:rsidR="00784B94">
        <w:t xml:space="preserve"> higher in S</w:t>
      </w:r>
      <w:r w:rsidRPr="00587986">
        <w:t>tudy 18140 and 7 time</w:t>
      </w:r>
      <w:r w:rsidR="00784B94">
        <w:t>s higher in S</w:t>
      </w:r>
      <w:r w:rsidR="0062434D">
        <w:t>tudy 18141 in the brimonidine tartrate 0.5% gel groups relative to the v</w:t>
      </w:r>
      <w:r w:rsidRPr="00587986">
        <w:t>e</w:t>
      </w:r>
      <w:r w:rsidR="0062434D">
        <w:t>hicle g</w:t>
      </w:r>
      <w:r w:rsidRPr="00587986">
        <w:t>el groups.</w:t>
      </w:r>
    </w:p>
    <w:p w:rsidR="00587986" w:rsidRPr="00587986" w:rsidRDefault="0062434D" w:rsidP="008516DC">
      <w:r>
        <w:t>Both the 2</w:t>
      </w:r>
      <w:r w:rsidR="00AF51A8">
        <w:t xml:space="preserve"> </w:t>
      </w:r>
      <w:r>
        <w:t xml:space="preserve">grade composite success and 30 minute effect in the </w:t>
      </w:r>
      <w:r w:rsidR="00781ED1">
        <w:t>intent to treat (</w:t>
      </w:r>
      <w:r>
        <w:t>ITT</w:t>
      </w:r>
      <w:r w:rsidR="00781ED1">
        <w:t>)</w:t>
      </w:r>
      <w:r>
        <w:t xml:space="preserve"> populations for the Phase III</w:t>
      </w:r>
      <w:r w:rsidR="00587986" w:rsidRPr="00587986">
        <w:t xml:space="preserve"> pivota</w:t>
      </w:r>
      <w:r>
        <w:t xml:space="preserve">l studies were confirmed by </w:t>
      </w:r>
      <w:r w:rsidR="00784B94">
        <w:t>per protocol (</w:t>
      </w:r>
      <w:r>
        <w:t>PP</w:t>
      </w:r>
      <w:r w:rsidR="00784B94">
        <w:t>)</w:t>
      </w:r>
      <w:r>
        <w:t xml:space="preserve"> p</w:t>
      </w:r>
      <w:r w:rsidR="00587986" w:rsidRPr="00587986">
        <w:t>opulation analyses and sensitivity analyses of success and failure for both studies.</w:t>
      </w:r>
    </w:p>
    <w:p w:rsidR="00587986" w:rsidRPr="00587986" w:rsidRDefault="00AF51A8" w:rsidP="008516DC">
      <w:r>
        <w:t xml:space="preserve">The endpoint of 1 grade composite success (1 </w:t>
      </w:r>
      <w:r w:rsidR="00587986" w:rsidRPr="00587986">
        <w:t xml:space="preserve">grade improvement on both CEA and PSA) was a secondary endpoint in Study 18161 and a tertiary endpoint in </w:t>
      </w:r>
      <w:r>
        <w:t>the Phase III</w:t>
      </w:r>
      <w:r w:rsidR="00587986" w:rsidRPr="00587986">
        <w:t xml:space="preserve"> pivotal studies (1814</w:t>
      </w:r>
      <w:r>
        <w:t>0 and 18141). The endpoint of 1 grade composite s</w:t>
      </w:r>
      <w:r w:rsidR="00587986" w:rsidRPr="00587986">
        <w:t>uccess is an apparent and distinguishable improvement from the baseline condition as</w:t>
      </w:r>
      <w:r w:rsidR="001D7582">
        <w:t xml:space="preserve"> assessed independently by the i</w:t>
      </w:r>
      <w:r w:rsidR="00587986" w:rsidRPr="00587986">
        <w:t>nvestigator a</w:t>
      </w:r>
      <w:r w:rsidR="00DB4244">
        <w:t xml:space="preserve">nd by the subject within the 12 hour post </w:t>
      </w:r>
      <w:r w:rsidR="00587986" w:rsidRPr="00587986">
        <w:t>dosing period. Given that eac</w:t>
      </w:r>
      <w:r w:rsidR="004A14DF">
        <w:t xml:space="preserve">h scale is a 5 </w:t>
      </w:r>
      <w:r>
        <w:t xml:space="preserve">point scale, a 1 </w:t>
      </w:r>
      <w:r w:rsidR="00587986" w:rsidRPr="00587986">
        <w:t>grade change can be considered relevant (</w:t>
      </w:r>
      <w:r w:rsidR="004A14DF">
        <w:t>for example</w:t>
      </w:r>
      <w:r w:rsidR="00587986" w:rsidRPr="00587986">
        <w:t xml:space="preserve">, severe to </w:t>
      </w:r>
      <w:r>
        <w:t>moderate or moderate to mild).</w:t>
      </w:r>
    </w:p>
    <w:p w:rsidR="00587986" w:rsidRPr="00587986" w:rsidRDefault="004A14DF" w:rsidP="008516DC">
      <w:r>
        <w:t xml:space="preserve">The odds of achieving 2 </w:t>
      </w:r>
      <w:proofErr w:type="gramStart"/>
      <w:r>
        <w:t>grade</w:t>
      </w:r>
      <w:proofErr w:type="gramEnd"/>
      <w:r>
        <w:t xml:space="preserve"> and 1 </w:t>
      </w:r>
      <w:r w:rsidR="0062434D">
        <w:t>grade composite success in the brimonidine t</w:t>
      </w:r>
      <w:r w:rsidR="00587986" w:rsidRPr="00587986">
        <w:t xml:space="preserve">artrate 0.5% group on Day 29 were 3 to </w:t>
      </w:r>
      <w:r w:rsidR="0062434D">
        <w:t>4 times higher compared to the vehicle g</w:t>
      </w:r>
      <w:r w:rsidR="00587986" w:rsidRPr="00587986">
        <w:t>el groups in the pivo</w:t>
      </w:r>
      <w:r w:rsidR="00DB4244">
        <w:t>tal studies (18140 and 18141).</w:t>
      </w:r>
    </w:p>
    <w:p w:rsidR="00587986" w:rsidRPr="00587986" w:rsidRDefault="0062434D" w:rsidP="008516DC">
      <w:r>
        <w:t>Each of the Phase III</w:t>
      </w:r>
      <w:r w:rsidR="00587986" w:rsidRPr="00587986">
        <w:t xml:space="preserve"> pivotal studies demonstrat</w:t>
      </w:r>
      <w:r>
        <w:t>ed that the positive effect of brimonidine tartrate 0.5% g</w:t>
      </w:r>
      <w:r w:rsidR="00587986" w:rsidRPr="00587986">
        <w:t>el on reducing facial erythema was sustained during the treatment day. On Days 1, 15, and 29, a</w:t>
      </w:r>
      <w:r w:rsidR="00784B94">
        <w:t>t each of the 4 time points in S</w:t>
      </w:r>
      <w:r w:rsidR="00587986" w:rsidRPr="00587986">
        <w:t xml:space="preserve">tudies 18140 and 18141, </w:t>
      </w:r>
      <w:r w:rsidR="004A14DF">
        <w:t>b</w:t>
      </w:r>
      <w:r>
        <w:t>rimonidine tartrate</w:t>
      </w:r>
      <w:r w:rsidR="007F5E31">
        <w:t xml:space="preserve"> </w:t>
      </w:r>
      <w:r w:rsidR="004A14DF">
        <w:t>0.5% g</w:t>
      </w:r>
      <w:r w:rsidR="00587986" w:rsidRPr="00587986">
        <w:t>el showed a consistent and clinically meaningful reduction in erythema. The observed effect tended to be strongest at Hours 3 and 6, and although smaller at Hour 12, was still pres</w:t>
      </w:r>
      <w:r w:rsidR="004A14DF">
        <w:t xml:space="preserve">ent. Over the course of each 12 </w:t>
      </w:r>
      <w:r w:rsidR="00587986" w:rsidRPr="00587986">
        <w:t xml:space="preserve">hour measurement period, a single dose of </w:t>
      </w:r>
      <w:r w:rsidR="007F5E31">
        <w:t>b</w:t>
      </w:r>
      <w:r>
        <w:t>rimonidine tartrate</w:t>
      </w:r>
      <w:r w:rsidR="007F5E31">
        <w:t xml:space="preserve"> </w:t>
      </w:r>
      <w:r w:rsidR="004A14DF">
        <w:t>0.5% g</w:t>
      </w:r>
      <w:r w:rsidR="00587986" w:rsidRPr="00587986">
        <w:t xml:space="preserve">el </w:t>
      </w:r>
      <w:r w:rsidR="004A14DF">
        <w:t xml:space="preserve">generally provided at least a 1 </w:t>
      </w:r>
      <w:r w:rsidR="00587986" w:rsidRPr="00587986">
        <w:t>gra</w:t>
      </w:r>
      <w:r w:rsidR="004A14DF">
        <w:t>de improvement, as measured by composite s</w:t>
      </w:r>
      <w:r w:rsidR="00587986" w:rsidRPr="00587986">
        <w:t>uccess (CEA and PSA c</w:t>
      </w:r>
      <w:r w:rsidR="007F5E31">
        <w:t>ombined), CEA Success, and PSA s</w:t>
      </w:r>
      <w:r w:rsidR="00587986" w:rsidRPr="00587986">
        <w:t>uccess; this effect was maintained for a maximal amount of time (12 hours) in a majority of subjects.</w:t>
      </w:r>
    </w:p>
    <w:p w:rsidR="00587986" w:rsidRPr="00587986" w:rsidRDefault="00587986" w:rsidP="008516DC">
      <w:r w:rsidRPr="00587986">
        <w:t xml:space="preserve">The use of </w:t>
      </w:r>
      <w:r w:rsidR="0062434D">
        <w:t>brimonidine tartrate g</w:t>
      </w:r>
      <w:r w:rsidRPr="00587986">
        <w:t xml:space="preserve">el in the treatment of erythema of rosacea did not result in exacerbation of other signs of rosacea (inflammatory lesions and telangiectasia) or unintended effects such as subjects perceiving an overextended </w:t>
      </w:r>
      <w:r w:rsidR="007F5E31">
        <w:t>pharmacodynamic</w:t>
      </w:r>
      <w:r w:rsidRPr="00587986">
        <w:t xml:space="preserve"> effect due to the </w:t>
      </w:r>
      <w:proofErr w:type="spellStart"/>
      <w:r w:rsidRPr="00587986">
        <w:t>vasoconstr</w:t>
      </w:r>
      <w:r w:rsidR="00CB7D86">
        <w:t>ictive</w:t>
      </w:r>
      <w:proofErr w:type="spellEnd"/>
      <w:r w:rsidR="00CB7D86">
        <w:t xml:space="preserve"> effect of the drug (over </w:t>
      </w:r>
      <w:r w:rsidRPr="00587986">
        <w:t xml:space="preserve">whitening). In addition, </w:t>
      </w:r>
      <w:r w:rsidR="00DB4244">
        <w:t>quality of life (</w:t>
      </w:r>
      <w:proofErr w:type="spellStart"/>
      <w:r w:rsidRPr="00587986">
        <w:t>Q</w:t>
      </w:r>
      <w:r w:rsidR="002E48CB" w:rsidRPr="00587986">
        <w:t>o</w:t>
      </w:r>
      <w:r w:rsidRPr="00587986">
        <w:t>L</w:t>
      </w:r>
      <w:proofErr w:type="spellEnd"/>
      <w:r w:rsidR="00DB4244">
        <w:t>)</w:t>
      </w:r>
      <w:r w:rsidRPr="00587986">
        <w:t xml:space="preserve"> assessments were included</w:t>
      </w:r>
      <w:r w:rsidR="00E61A30">
        <w:t>.</w:t>
      </w:r>
      <w:r w:rsidRPr="00587986">
        <w:t xml:space="preserve"> No worsening of les</w:t>
      </w:r>
      <w:r w:rsidR="00DB4244">
        <w:t xml:space="preserve">ions was observed in the Phase </w:t>
      </w:r>
      <w:proofErr w:type="spellStart"/>
      <w:r w:rsidR="00DB4244">
        <w:t>IIb</w:t>
      </w:r>
      <w:proofErr w:type="spellEnd"/>
      <w:r w:rsidR="00DB4244">
        <w:t xml:space="preserve"> or P</w:t>
      </w:r>
      <w:r w:rsidR="0062434D">
        <w:t>hase III</w:t>
      </w:r>
      <w:r w:rsidRPr="00587986">
        <w:t xml:space="preserve"> pivotal studies in the </w:t>
      </w:r>
      <w:r w:rsidR="0062434D">
        <w:t>brimonidine tartrate 0.5% g</w:t>
      </w:r>
      <w:r w:rsidRPr="00587986">
        <w:t>el groups relative to t</w:t>
      </w:r>
      <w:r w:rsidR="002E48CB">
        <w:t>he corresponding vehicle g</w:t>
      </w:r>
      <w:r w:rsidRPr="00587986">
        <w:t xml:space="preserve">el groups in any of the studies. In addition, no worsening of mean </w:t>
      </w:r>
      <w:r w:rsidR="008D0214" w:rsidRPr="008D0214">
        <w:t xml:space="preserve">telangiectasia grading assessment </w:t>
      </w:r>
      <w:r w:rsidR="008D0214">
        <w:t>(</w:t>
      </w:r>
      <w:proofErr w:type="spellStart"/>
      <w:r w:rsidRPr="00587986">
        <w:t>T</w:t>
      </w:r>
      <w:r w:rsidR="008D0214">
        <w:t>e</w:t>
      </w:r>
      <w:r w:rsidRPr="00587986">
        <w:t>GA</w:t>
      </w:r>
      <w:proofErr w:type="spellEnd"/>
      <w:r w:rsidR="008D0214">
        <w:t>)</w:t>
      </w:r>
      <w:r w:rsidRPr="00587986">
        <w:t xml:space="preserve"> scores was observed </w:t>
      </w:r>
      <w:r w:rsidR="00E61A30">
        <w:t xml:space="preserve">in the </w:t>
      </w:r>
      <w:r w:rsidR="0062434D">
        <w:t>brimonidine tartrate 0.5% g</w:t>
      </w:r>
      <w:r w:rsidRPr="00587986">
        <w:t xml:space="preserve">el groups during the studies. As reduction in vascular erythema is the primary effect of </w:t>
      </w:r>
      <w:r w:rsidR="0062434D">
        <w:t xml:space="preserve">brimonidine tartrate </w:t>
      </w:r>
      <w:r w:rsidR="007F5E31">
        <w:t>0.5% g</w:t>
      </w:r>
      <w:r w:rsidRPr="00587986">
        <w:t xml:space="preserve">el, the drug is not expected to reduce the incidence or severity of inflammatory lesions of rosacea. Although the drug could potentially reduce the transient </w:t>
      </w:r>
      <w:proofErr w:type="spellStart"/>
      <w:r w:rsidRPr="00587986">
        <w:t>perilesional</w:t>
      </w:r>
      <w:proofErr w:type="spellEnd"/>
      <w:r w:rsidRPr="00587986">
        <w:t xml:space="preserve"> erythema of </w:t>
      </w:r>
      <w:proofErr w:type="spellStart"/>
      <w:r w:rsidRPr="00587986">
        <w:t>papulopustular</w:t>
      </w:r>
      <w:proofErr w:type="spellEnd"/>
      <w:r w:rsidRPr="00587986">
        <w:t xml:space="preserve"> lesions of rosacea, thus making them temporarily less visible, this was not sp</w:t>
      </w:r>
      <w:r w:rsidR="00CB7D86">
        <w:t>ecifically investigated by the a</w:t>
      </w:r>
      <w:r w:rsidRPr="00587986">
        <w:t>pplicant.</w:t>
      </w:r>
    </w:p>
    <w:p w:rsidR="00587986" w:rsidRPr="00587986" w:rsidRDefault="00CB7D86" w:rsidP="008516DC">
      <w:r>
        <w:t xml:space="preserve">The Phase </w:t>
      </w:r>
      <w:proofErr w:type="spellStart"/>
      <w:r>
        <w:t>IIb</w:t>
      </w:r>
      <w:proofErr w:type="spellEnd"/>
      <w:r>
        <w:t xml:space="preserve"> and the Phase III</w:t>
      </w:r>
      <w:r w:rsidR="00587986" w:rsidRPr="00587986">
        <w:t xml:space="preserve"> pivotal studies demonstrated that subjects perceived impr</w:t>
      </w:r>
      <w:r w:rsidR="007F5E31">
        <w:t>ovements on both clinic and non</w:t>
      </w:r>
      <w:r w:rsidR="00E61A30">
        <w:t xml:space="preserve"> </w:t>
      </w:r>
      <w:r w:rsidR="00587986" w:rsidRPr="00587986">
        <w:t>clinic days in their erythema and overall facial appearance, a</w:t>
      </w:r>
      <w:r>
        <w:t xml:space="preserve">nd showed minimal unwanted over </w:t>
      </w:r>
      <w:r w:rsidR="00587986" w:rsidRPr="00587986">
        <w:t xml:space="preserve">whitening effects, as measured by the PSA, PAA, and </w:t>
      </w:r>
      <w:r w:rsidR="007F5E31">
        <w:t>patient assessment of whitening</w:t>
      </w:r>
      <w:r w:rsidR="0036600D">
        <w:t xml:space="preserve"> </w:t>
      </w:r>
      <w:r w:rsidR="007F5E31">
        <w:t>(</w:t>
      </w:r>
      <w:r w:rsidR="00587986" w:rsidRPr="00587986">
        <w:t>PAW</w:t>
      </w:r>
      <w:r w:rsidR="007F5E31">
        <w:t>)</w:t>
      </w:r>
      <w:r w:rsidR="00587986" w:rsidRPr="00587986">
        <w:t xml:space="preserve">, respectively. Some subjects in the </w:t>
      </w:r>
      <w:r w:rsidR="0062434D">
        <w:t>brimonidine tartrate 0.5% g</w:t>
      </w:r>
      <w:r w:rsidR="00587986" w:rsidRPr="00587986">
        <w:t xml:space="preserve">el </w:t>
      </w:r>
      <w:proofErr w:type="spellStart"/>
      <w:r w:rsidR="00CD641E">
        <w:t>q.d</w:t>
      </w:r>
      <w:proofErr w:type="spellEnd"/>
      <w:r w:rsidR="00CD641E">
        <w:t>.</w:t>
      </w:r>
      <w:r w:rsidR="00587986" w:rsidRPr="00587986">
        <w:t xml:space="preserve"> group reported </w:t>
      </w:r>
      <w:r>
        <w:t xml:space="preserve">being bothered by unwanted over </w:t>
      </w:r>
      <w:r w:rsidR="00587986" w:rsidRPr="00587986">
        <w:t xml:space="preserve">whitening in each study. There is evidence to suggest that skill in treatment application </w:t>
      </w:r>
      <w:r w:rsidR="00587986" w:rsidRPr="00587986">
        <w:lastRenderedPageBreak/>
        <w:t>technique (smooth, even application across all facial surfaces), which generally improves over time in subjects, may reduce any noticeable contrast between treated and untreated areas, and thus may contribute to the reducti</w:t>
      </w:r>
      <w:r>
        <w:t xml:space="preserve">ons in reports of unwanted over </w:t>
      </w:r>
      <w:r w:rsidR="00587986" w:rsidRPr="00587986">
        <w:t xml:space="preserve">whitening from Day 1 to Day 29 in the </w:t>
      </w:r>
      <w:r w:rsidR="0062434D">
        <w:t>brimonidine tartrate 0.5% g</w:t>
      </w:r>
      <w:r w:rsidR="00587986" w:rsidRPr="00587986">
        <w:t>el groups in each study.</w:t>
      </w:r>
      <w:r>
        <w:t xml:space="preserve"> The incidence of unwanted over </w:t>
      </w:r>
      <w:r w:rsidR="00587986" w:rsidRPr="00587986">
        <w:t xml:space="preserve">whitening was similar in the </w:t>
      </w:r>
      <w:r w:rsidR="0062434D">
        <w:t>brimonidine tartrate 0.5% and vehicle g</w:t>
      </w:r>
      <w:r w:rsidR="00587986" w:rsidRPr="00587986">
        <w:t>el groups by Day 29. Furthermore, no subjects discontinued any of the stu</w:t>
      </w:r>
      <w:r>
        <w:t xml:space="preserve">dies due to any effects of over </w:t>
      </w:r>
      <w:r w:rsidR="00587986" w:rsidRPr="00587986">
        <w:t>whitening.</w:t>
      </w:r>
    </w:p>
    <w:p w:rsidR="00587986" w:rsidRPr="00587986" w:rsidRDefault="00CB7D86" w:rsidP="008516DC">
      <w:r>
        <w:t xml:space="preserve">The long </w:t>
      </w:r>
      <w:r w:rsidR="00587986" w:rsidRPr="00587986">
        <w:t>term, open</w:t>
      </w:r>
      <w:r>
        <w:t xml:space="preserve"> </w:t>
      </w:r>
      <w:r w:rsidR="007F5E31">
        <w:t>label, uncontrolled S</w:t>
      </w:r>
      <w:r w:rsidR="00587986" w:rsidRPr="00587986">
        <w:t xml:space="preserve">tudy 18142 demonstrated that treatment with </w:t>
      </w:r>
      <w:r w:rsidR="0062434D">
        <w:t>brimonidine tartrate 0.5% g</w:t>
      </w:r>
      <w:r w:rsidR="00587986" w:rsidRPr="00587986">
        <w:t>el for up to 1 year resulted in reduction in facial erythema in the target patient population, which was cli</w:t>
      </w:r>
      <w:r w:rsidR="0062434D">
        <w:t>nically meaningful in terms of i</w:t>
      </w:r>
      <w:r w:rsidR="00587986" w:rsidRPr="00587986">
        <w:t>nvestigator and subject assessments. The observed efficacy</w:t>
      </w:r>
      <w:r>
        <w:t xml:space="preserve"> data confirmed the known short </w:t>
      </w:r>
      <w:r w:rsidR="00587986" w:rsidRPr="00587986">
        <w:t xml:space="preserve">term effectiveness of </w:t>
      </w:r>
      <w:r w:rsidR="0062434D">
        <w:t>brimonidine tartrate 0.5% g</w:t>
      </w:r>
      <w:r w:rsidR="00587986" w:rsidRPr="00587986">
        <w:t>el and also suggeste</w:t>
      </w:r>
      <w:r>
        <w:t xml:space="preserve">d a positive impact on the long </w:t>
      </w:r>
      <w:r w:rsidR="00587986" w:rsidRPr="00587986">
        <w:t>term psychosocial function of rosacea. However, interpr</w:t>
      </w:r>
      <w:r>
        <w:t xml:space="preserve">etation was limited by the open </w:t>
      </w:r>
      <w:r w:rsidR="00587986" w:rsidRPr="00587986">
        <w:t>label, uncontrolled nature of the study.</w:t>
      </w:r>
    </w:p>
    <w:p w:rsidR="00587986" w:rsidRPr="00587986" w:rsidRDefault="00587986" w:rsidP="008516DC">
      <w:r w:rsidRPr="00587986">
        <w:t xml:space="preserve">No evidence of </w:t>
      </w:r>
      <w:proofErr w:type="spellStart"/>
      <w:r w:rsidRPr="00587986">
        <w:t>tachyphylaxis</w:t>
      </w:r>
      <w:proofErr w:type="spellEnd"/>
      <w:r w:rsidRPr="00587986">
        <w:t xml:space="preserve"> of the treatmen</w:t>
      </w:r>
      <w:r w:rsidR="00EC0E8B">
        <w:t>t effect was observed in the 29 day vehicle cont</w:t>
      </w:r>
      <w:r w:rsidR="007F5E31">
        <w:t>rolled studies or in the 1 year</w:t>
      </w:r>
      <w:r w:rsidR="00EC0E8B">
        <w:t xml:space="preserve"> long </w:t>
      </w:r>
      <w:r w:rsidRPr="00587986">
        <w:t>term study.</w:t>
      </w:r>
      <w:r w:rsidR="00EC0E8B">
        <w:t xml:space="preserve"> Furthermore, during the follow up period in the 4 vehicle </w:t>
      </w:r>
      <w:r w:rsidRPr="00587986">
        <w:t>controlled studies that evaluated potential erythema rebound effect (Studies ROSE-201, 18161, 18140, and 18141), no rebound effect was observed.</w:t>
      </w:r>
    </w:p>
    <w:p w:rsidR="00977313" w:rsidRPr="008E566A" w:rsidRDefault="00587986" w:rsidP="008516DC">
      <w:r w:rsidRPr="00587986">
        <w:t>The main limitations of the submission regarding demonstration of efficacy were lack of evaluation in patients aged &lt; 18 years</w:t>
      </w:r>
      <w:r w:rsidR="00EC0E8B">
        <w:t xml:space="preserve"> of age and lack of a long term, controlled, double </w:t>
      </w:r>
      <w:r w:rsidRPr="00587986">
        <w:t>blind study (to provide evidenc</w:t>
      </w:r>
      <w:r w:rsidR="007F5E31">
        <w:t>e of efficacy beyond 29 days).</w:t>
      </w:r>
    </w:p>
    <w:p w:rsidR="008E7846" w:rsidRPr="002E238E" w:rsidRDefault="008E7846" w:rsidP="008516DC">
      <w:pPr>
        <w:pStyle w:val="Heading3"/>
      </w:pPr>
      <w:bookmarkStart w:id="92" w:name="_Toc163441378"/>
      <w:bookmarkStart w:id="93" w:name="_Toc196046495"/>
      <w:bookmarkStart w:id="94" w:name="_Toc247691522"/>
      <w:bookmarkStart w:id="95" w:name="_Toc314842505"/>
      <w:bookmarkStart w:id="96" w:name="_Toc413157318"/>
      <w:bookmarkEnd w:id="88"/>
      <w:bookmarkEnd w:id="89"/>
      <w:bookmarkEnd w:id="90"/>
      <w:bookmarkEnd w:id="91"/>
      <w:r w:rsidRPr="002E238E">
        <w:t>Safety</w:t>
      </w:r>
      <w:bookmarkEnd w:id="92"/>
      <w:bookmarkEnd w:id="93"/>
      <w:bookmarkEnd w:id="94"/>
      <w:bookmarkEnd w:id="95"/>
      <w:bookmarkEnd w:id="96"/>
    </w:p>
    <w:p w:rsidR="00605AD4" w:rsidRDefault="00605AD4" w:rsidP="008516DC">
      <w:pPr>
        <w:pStyle w:val="Heading4"/>
      </w:pPr>
      <w:bookmarkStart w:id="97" w:name="_Toc247691524"/>
      <w:bookmarkStart w:id="98" w:name="_Toc314842508"/>
      <w:bookmarkStart w:id="99" w:name="_Toc196046504"/>
      <w:bookmarkStart w:id="100" w:name="_Toc163441390"/>
      <w:r w:rsidRPr="00605AD4">
        <w:t>Studies providing safety data</w:t>
      </w:r>
    </w:p>
    <w:p w:rsidR="00593210" w:rsidRPr="00593210" w:rsidRDefault="00593210" w:rsidP="008516DC">
      <w:bookmarkStart w:id="101" w:name="_Ref268776745"/>
      <w:r w:rsidRPr="00593210">
        <w:t>Overall, 18 clinical studies were performed in</w:t>
      </w:r>
      <w:r w:rsidR="00EC0E8B">
        <w:t xml:space="preserve"> the program and the safety of b</w:t>
      </w:r>
      <w:r w:rsidRPr="00593210">
        <w:t>rimonidine</w:t>
      </w:r>
      <w:r w:rsidR="00E17938">
        <w:t xml:space="preserve"> </w:t>
      </w:r>
      <w:r w:rsidR="00EC0E8B">
        <w:t>tartrate g</w:t>
      </w:r>
      <w:r w:rsidRPr="00593210">
        <w:t>el was assessed in each of the studies; 10 of the 18 studies were conducted in subjects with rosacea and 8 studies were conduct</w:t>
      </w:r>
      <w:r w:rsidR="00EC0E8B">
        <w:t>ed in healthy subjects.</w:t>
      </w:r>
    </w:p>
    <w:p w:rsidR="00593210" w:rsidRPr="00593210" w:rsidRDefault="00593210" w:rsidP="008516DC">
      <w:r w:rsidRPr="00593210">
        <w:t>Five safety populations were defined for analysis of safety.</w:t>
      </w:r>
    </w:p>
    <w:p w:rsidR="00593210" w:rsidRPr="00593210" w:rsidRDefault="00593210" w:rsidP="008516DC">
      <w:pPr>
        <w:pStyle w:val="Numberbullet0"/>
      </w:pPr>
      <w:r w:rsidRPr="00593210">
        <w:t>Core Studies: Four studies in subjects with rosacea includin</w:t>
      </w:r>
      <w:r>
        <w:t xml:space="preserve">g 2 identically designed double </w:t>
      </w:r>
      <w:proofErr w:type="gramStart"/>
      <w:r w:rsidRPr="00593210">
        <w:t>blind,</w:t>
      </w:r>
      <w:proofErr w:type="gramEnd"/>
      <w:r w:rsidRPr="00593210">
        <w:t xml:space="preserve"> randomised pivotal clinical trials (18140 and</w:t>
      </w:r>
      <w:r>
        <w:t xml:space="preserve"> 18141), the 4 week double </w:t>
      </w:r>
      <w:r w:rsidRPr="00593210">
        <w:t>blind, ra</w:t>
      </w:r>
      <w:r w:rsidR="007F5E31">
        <w:t>ndomised S</w:t>
      </w:r>
      <w:r>
        <w:t xml:space="preserve">tudy 18161 and the 52 week open </w:t>
      </w:r>
      <w:r w:rsidR="007F5E31">
        <w:t>label, uncontrolled S</w:t>
      </w:r>
      <w:r w:rsidRPr="00593210">
        <w:t>tudy 18142.</w:t>
      </w:r>
    </w:p>
    <w:p w:rsidR="00593210" w:rsidRPr="00593210" w:rsidRDefault="00593210" w:rsidP="008516DC">
      <w:pPr>
        <w:pStyle w:val="Numberbullet0"/>
      </w:pPr>
      <w:r>
        <w:t xml:space="preserve">Dose </w:t>
      </w:r>
      <w:r w:rsidRPr="00593210">
        <w:t>ranging studies population: This included 5 studies in rosacea subjects with each study analysed separately (COL-118-ROSE-101, COL-118-ROSE-102, COL-118-ROSE-201,</w:t>
      </w:r>
      <w:r w:rsidR="001432F2">
        <w:t xml:space="preserve"> </w:t>
      </w:r>
      <w:r w:rsidRPr="00593210">
        <w:t>18144 and18161)</w:t>
      </w:r>
      <w:r w:rsidR="00F70BC6">
        <w:t>.</w:t>
      </w:r>
    </w:p>
    <w:p w:rsidR="00593210" w:rsidRPr="00593210" w:rsidRDefault="00593210" w:rsidP="008516DC">
      <w:pPr>
        <w:pStyle w:val="Numberbullet0"/>
      </w:pPr>
      <w:r w:rsidRPr="00593210">
        <w:t>Dermal safety studies population: This included 6 studies in healthy subjects with each study analysed separately (COL-118-104, 18189, 18123, 18124, 18125 and 18137).</w:t>
      </w:r>
    </w:p>
    <w:p w:rsidR="00593210" w:rsidRPr="00593210" w:rsidRDefault="00593210" w:rsidP="008516DC">
      <w:pPr>
        <w:pStyle w:val="Numberbullet0"/>
      </w:pPr>
      <w:r w:rsidRPr="00593210">
        <w:t>PK studies population included 4 studies with each study analysed separately (COL-118-BAPK-101,</w:t>
      </w:r>
      <w:r>
        <w:t xml:space="preserve"> </w:t>
      </w:r>
      <w:r w:rsidRPr="00593210">
        <w:t>18126, 18143 and 18139).</w:t>
      </w:r>
    </w:p>
    <w:p w:rsidR="00593210" w:rsidRPr="00593210" w:rsidRDefault="00593210" w:rsidP="008516DC">
      <w:pPr>
        <w:pStyle w:val="Numberbullet0"/>
      </w:pPr>
      <w:r>
        <w:t>Open label</w:t>
      </w:r>
      <w:r w:rsidR="007F5E31">
        <w:t>,</w:t>
      </w:r>
      <w:r>
        <w:t xml:space="preserve"> long </w:t>
      </w:r>
      <w:r w:rsidR="00781ED1">
        <w:t xml:space="preserve">term safety (LTS) </w:t>
      </w:r>
      <w:r w:rsidR="007F5E31">
        <w:t>and efficacy S</w:t>
      </w:r>
      <w:r w:rsidRPr="00593210">
        <w:t>tudy 18142.</w:t>
      </w:r>
    </w:p>
    <w:p w:rsidR="00593210" w:rsidRPr="00593210" w:rsidRDefault="00593210" w:rsidP="008516DC">
      <w:r w:rsidRPr="00593210">
        <w:t xml:space="preserve">The safety monitoring of </w:t>
      </w:r>
      <w:r w:rsidR="0062434D">
        <w:t>brimonidine tartrate g</w:t>
      </w:r>
      <w:r w:rsidRPr="00593210">
        <w:t>el for each study was pe</w:t>
      </w:r>
      <w:r w:rsidR="00EC0E8B">
        <w:t xml:space="preserve">rformed by collecting treatment </w:t>
      </w:r>
      <w:r w:rsidRPr="00593210">
        <w:t>emergent adverse events (TEAEs) and routine laboratory data, physical examination, and vital signs and, in some studies, intraocular pressure (IOP) measurements. The Medical Dicti</w:t>
      </w:r>
      <w:r w:rsidR="0036600D">
        <w:t>onary for Regulatory Activities</w:t>
      </w:r>
      <w:r w:rsidRPr="00593210">
        <w:t xml:space="preserve"> </w:t>
      </w:r>
      <w:r w:rsidR="0036600D">
        <w:t>(</w:t>
      </w:r>
      <w:proofErr w:type="spellStart"/>
      <w:r w:rsidR="0036600D" w:rsidRPr="0036600D">
        <w:t>MedDRA</w:t>
      </w:r>
      <w:proofErr w:type="spellEnd"/>
      <w:r w:rsidR="0036600D">
        <w:t>)</w:t>
      </w:r>
      <w:r w:rsidR="0036600D" w:rsidRPr="0036600D">
        <w:t xml:space="preserve"> </w:t>
      </w:r>
      <w:r w:rsidRPr="00593210">
        <w:t xml:space="preserve">classification system by </w:t>
      </w:r>
      <w:r w:rsidR="007F5E31">
        <w:t>System Organ Class</w:t>
      </w:r>
      <w:r w:rsidRPr="00593210">
        <w:t xml:space="preserve"> </w:t>
      </w:r>
      <w:r w:rsidR="007F5E31">
        <w:t>(</w:t>
      </w:r>
      <w:r w:rsidR="007F5E31" w:rsidRPr="007F5E31">
        <w:t>SOC</w:t>
      </w:r>
      <w:r w:rsidR="007F5E31">
        <w:t>)</w:t>
      </w:r>
      <w:r w:rsidR="007F5E31" w:rsidRPr="007F5E31">
        <w:t xml:space="preserve"> </w:t>
      </w:r>
      <w:r w:rsidRPr="00593210">
        <w:t>and Preferred Term</w:t>
      </w:r>
      <w:r w:rsidR="007F5E31">
        <w:t xml:space="preserve"> (</w:t>
      </w:r>
      <w:r w:rsidR="007F5E31" w:rsidRPr="007F5E31">
        <w:t>PT</w:t>
      </w:r>
      <w:r w:rsidRPr="00593210">
        <w:t xml:space="preserve">) was employed where appropriate. Regardless of the dictionary version used to code </w:t>
      </w:r>
      <w:r w:rsidR="00505DF4">
        <w:t>adverse events (</w:t>
      </w:r>
      <w:r w:rsidRPr="00593210">
        <w:t>AEs</w:t>
      </w:r>
      <w:r w:rsidR="00505DF4">
        <w:t>)</w:t>
      </w:r>
      <w:r w:rsidRPr="00593210">
        <w:t xml:space="preserve"> at the </w:t>
      </w:r>
      <w:r w:rsidRPr="00593210">
        <w:lastRenderedPageBreak/>
        <w:t xml:space="preserve">study level, all AEs in the pooled </w:t>
      </w:r>
      <w:r w:rsidR="00F85E63">
        <w:t>summary of clinical safety (</w:t>
      </w:r>
      <w:r w:rsidRPr="00593210">
        <w:t>S</w:t>
      </w:r>
      <w:r>
        <w:t>CS</w:t>
      </w:r>
      <w:r w:rsidR="00F85E63">
        <w:t>)</w:t>
      </w:r>
      <w:r>
        <w:t xml:space="preserve"> </w:t>
      </w:r>
      <w:r w:rsidR="007F5E31">
        <w:t xml:space="preserve">and the </w:t>
      </w:r>
      <w:r w:rsidR="00781ED1" w:rsidRPr="00781ED1">
        <w:t xml:space="preserve">integrated summary of safety </w:t>
      </w:r>
      <w:r>
        <w:t xml:space="preserve">(ISS) database were coded/re </w:t>
      </w:r>
      <w:r w:rsidRPr="00593210">
        <w:t xml:space="preserve">coded using the </w:t>
      </w:r>
      <w:proofErr w:type="spellStart"/>
      <w:r w:rsidRPr="00593210">
        <w:t>MedDRA</w:t>
      </w:r>
      <w:proofErr w:type="spellEnd"/>
      <w:r w:rsidRPr="00593210">
        <w:t xml:space="preserve"> version 11.0 to ensure consistency.</w:t>
      </w:r>
    </w:p>
    <w:bookmarkEnd w:id="101"/>
    <w:p w:rsidR="00605AD4" w:rsidRDefault="00605AD4" w:rsidP="008516DC">
      <w:pPr>
        <w:pStyle w:val="Heading4"/>
      </w:pPr>
      <w:r w:rsidRPr="00605AD4">
        <w:t>Patient exposure</w:t>
      </w:r>
    </w:p>
    <w:p w:rsidR="006C7A7E" w:rsidRPr="006C7A7E" w:rsidRDefault="006C7A7E" w:rsidP="00B25F0D">
      <w:r w:rsidRPr="006C7A7E">
        <w:t xml:space="preserve">There were 1619 subjects who were exposed to </w:t>
      </w:r>
      <w:r w:rsidR="0062434D">
        <w:t xml:space="preserve">brimonidine tartrate </w:t>
      </w:r>
      <w:r w:rsidRPr="006C7A7E">
        <w:t xml:space="preserve">active gels out of 2174 participants in the 18 studies in the clinical development program. Of the 1619 subjects, 1210 subjects were exposed to </w:t>
      </w:r>
      <w:r w:rsidR="0062434D">
        <w:t>brimonidine tartrate 0.5% g</w:t>
      </w:r>
      <w:r w:rsidRPr="006C7A7E">
        <w:t xml:space="preserve">el </w:t>
      </w:r>
      <w:proofErr w:type="spellStart"/>
      <w:r w:rsidR="007F5E31">
        <w:t>q.d</w:t>
      </w:r>
      <w:proofErr w:type="spellEnd"/>
      <w:r w:rsidR="007F5E31">
        <w:t>.</w:t>
      </w:r>
    </w:p>
    <w:p w:rsidR="006C7A7E" w:rsidRPr="006C7A7E" w:rsidRDefault="006C7A7E" w:rsidP="00B25F0D">
      <w:r w:rsidRPr="006C7A7E">
        <w:t>Eight (8) studies of the gel formulation were conducted in healthy subjects; 423 healthy subjects were exposed to active gel formulations (0.07% gel, 0.18% gel, 0.20% gel or 0.50% gel) and 432 subjects received vehicle gel applications.</w:t>
      </w:r>
    </w:p>
    <w:p w:rsidR="006C7A7E" w:rsidRPr="006C7A7E" w:rsidRDefault="001432F2" w:rsidP="00B25F0D">
      <w:r>
        <w:t>Nine</w:t>
      </w:r>
      <w:r w:rsidR="006C7A7E" w:rsidRPr="006C7A7E">
        <w:t xml:space="preserve"> clinical studies, excluding the LTS study, were conducted in subjects with rosacea; 747 rosacea subjects were exposed to active gel formulations (0.02% gel, 0.07% gel,</w:t>
      </w:r>
      <w:r>
        <w:t xml:space="preserve"> 0.1% gel, 0.18% gel, 0.20% gel</w:t>
      </w:r>
      <w:r w:rsidR="006C7A7E" w:rsidRPr="006C7A7E">
        <w:t xml:space="preserve"> and 0.50% gel) and 462 rosacea subjects received vehicle gel applications. In addition, 120 subjects in Studies 18126 and 18143 were treated with the 0.2% ophthalmic solution.</w:t>
      </w:r>
    </w:p>
    <w:p w:rsidR="006C7A7E" w:rsidRPr="006C7A7E" w:rsidRDefault="00DB4244" w:rsidP="00B25F0D">
      <w:r>
        <w:t>In the 2 Phase III</w:t>
      </w:r>
      <w:r w:rsidR="001432F2">
        <w:t xml:space="preserve">, well </w:t>
      </w:r>
      <w:r w:rsidR="006C7A7E" w:rsidRPr="006C7A7E">
        <w:t xml:space="preserve">controlled, efficacy and safety studies (18140 and 18141), 277 subjects were exposed to 0.50% gel </w:t>
      </w:r>
      <w:proofErr w:type="spellStart"/>
      <w:r w:rsidR="00CD641E">
        <w:t>q.d</w:t>
      </w:r>
      <w:proofErr w:type="spellEnd"/>
      <w:r w:rsidR="00CD641E">
        <w:t>.</w:t>
      </w:r>
      <w:r w:rsidR="006C7A7E" w:rsidRPr="006C7A7E">
        <w:t xml:space="preserve"> If </w:t>
      </w:r>
      <w:r>
        <w:t xml:space="preserve">the 53 subjects from the Phase </w:t>
      </w:r>
      <w:proofErr w:type="spellStart"/>
      <w:r>
        <w:t>II</w:t>
      </w:r>
      <w:r w:rsidR="0074684D">
        <w:t>b</w:t>
      </w:r>
      <w:proofErr w:type="spellEnd"/>
      <w:r w:rsidR="0074684D">
        <w:t xml:space="preserve">, vehicle </w:t>
      </w:r>
      <w:r w:rsidR="006C7A7E" w:rsidRPr="006C7A7E">
        <w:t>c</w:t>
      </w:r>
      <w:r w:rsidR="003C61F0">
        <w:t>ontrolled, efficacy and safety S</w:t>
      </w:r>
      <w:r w:rsidR="006C7A7E" w:rsidRPr="006C7A7E">
        <w:t xml:space="preserve">tudy 18161 treated with the 0.50% gel are included in this sum, a total of 330 rosacea subjects received 0.50% gel </w:t>
      </w:r>
      <w:proofErr w:type="spellStart"/>
      <w:r w:rsidR="00CD641E">
        <w:t>q.d</w:t>
      </w:r>
      <w:proofErr w:type="spellEnd"/>
      <w:r w:rsidR="00CD641E">
        <w:t>.</w:t>
      </w:r>
      <w:r w:rsidR="006C7A7E" w:rsidRPr="006C7A7E">
        <w:t xml:space="preserve"> under</w:t>
      </w:r>
      <w:r w:rsidR="0074684D">
        <w:t xml:space="preserve"> controlled conditions for a 29 </w:t>
      </w:r>
      <w:r w:rsidR="006C7A7E" w:rsidRPr="006C7A7E">
        <w:t>day treatment period, which is the concentration and regimen selected for the proposed marketed product.</w:t>
      </w:r>
    </w:p>
    <w:p w:rsidR="006C7A7E" w:rsidRDefault="0074684D" w:rsidP="00B25F0D">
      <w:r>
        <w:t xml:space="preserve">In the </w:t>
      </w:r>
      <w:r w:rsidR="00B33AE9">
        <w:t>LTS</w:t>
      </w:r>
      <w:r w:rsidR="006C7A7E" w:rsidRPr="006C7A7E">
        <w:t xml:space="preserve"> and efficacy </w:t>
      </w:r>
      <w:r w:rsidR="003C61F0">
        <w:t>S</w:t>
      </w:r>
      <w:r w:rsidR="00B33AE9">
        <w:t xml:space="preserve">tudy </w:t>
      </w:r>
      <w:r w:rsidR="006C7A7E" w:rsidRPr="006C7A7E">
        <w:t xml:space="preserve">18142, a total of 449 subjects were to be exposed to 0.50% gel </w:t>
      </w:r>
      <w:proofErr w:type="spellStart"/>
      <w:r w:rsidR="00CD641E">
        <w:t>q.d</w:t>
      </w:r>
      <w:proofErr w:type="spellEnd"/>
      <w:r w:rsidR="00CD641E">
        <w:t>.</w:t>
      </w:r>
      <w:r w:rsidR="006C7A7E" w:rsidRPr="006C7A7E">
        <w:t xml:space="preserve"> up to 365 days; 276 of these subjects were exposed for </w:t>
      </w:r>
      <w:r w:rsidR="00B33AE9">
        <w:t>≥</w:t>
      </w:r>
      <w:r>
        <w:t xml:space="preserve"> </w:t>
      </w:r>
      <w:r w:rsidR="006C7A7E" w:rsidRPr="006C7A7E">
        <w:t xml:space="preserve">365 days. </w:t>
      </w:r>
      <w:r w:rsidR="006C7A7E" w:rsidRPr="00131BE0">
        <w:t xml:space="preserve">Exposure to brimonidine tartrate gel in all clinical studies </w:t>
      </w:r>
      <w:r w:rsidR="00131BE0" w:rsidRPr="00131BE0">
        <w:t>are</w:t>
      </w:r>
      <w:r w:rsidR="006C7A7E" w:rsidRPr="00131BE0">
        <w:t xml:space="preserve"> summarised </w:t>
      </w:r>
      <w:r w:rsidR="006C7A7E" w:rsidRPr="00F85E63">
        <w:t xml:space="preserve">in Table </w:t>
      </w:r>
      <w:r w:rsidR="00A25419">
        <w:t>32 of the CER (see attachment 2)</w:t>
      </w:r>
      <w:r w:rsidR="00F85E63">
        <w:t>.</w:t>
      </w:r>
    </w:p>
    <w:p w:rsidR="006C7A7E" w:rsidRPr="006C7A7E" w:rsidRDefault="00131BE0" w:rsidP="00B25F0D">
      <w:r>
        <w:t xml:space="preserve">In the short </w:t>
      </w:r>
      <w:r w:rsidR="006C7A7E" w:rsidRPr="006C7A7E">
        <w:t>term studies in rosacea subjects, the average number of treatment days for subjects treated with the 0.50% gel or the vehicle was approximately 26 days</w:t>
      </w:r>
      <w:r>
        <w:t xml:space="preserve">. </w:t>
      </w:r>
      <w:r w:rsidR="006C7A7E" w:rsidRPr="006C7A7E">
        <w:t>The mean number of treatment days for subjects who receiv</w:t>
      </w:r>
      <w:r>
        <w:t>ed 0.50% gel or vehicle in the controlled core s</w:t>
      </w:r>
      <w:r w:rsidR="006C7A7E" w:rsidRPr="006C7A7E">
        <w:t>tudies was approximately 29 days (</w:t>
      </w:r>
      <w:r w:rsidR="00505DF4">
        <w:t>that is</w:t>
      </w:r>
      <w:r w:rsidR="006C7A7E" w:rsidRPr="006C7A7E">
        <w:t xml:space="preserve"> 28.6 days),while the mean treatment duration of the LTS study was approximately 278 days. The mean daily treatment use for subjects who received 0.50% gel </w:t>
      </w:r>
      <w:proofErr w:type="spellStart"/>
      <w:r w:rsidR="00CD641E">
        <w:t>q.d</w:t>
      </w:r>
      <w:proofErr w:type="spellEnd"/>
      <w:r w:rsidR="00CD641E">
        <w:t>.</w:t>
      </w:r>
      <w:r w:rsidR="006C7A7E" w:rsidRPr="006C7A7E">
        <w:t xml:space="preserve"> in Studies.18161, 18140, and 18141 was 0.8 g. In the LTS study, the mea</w:t>
      </w:r>
      <w:r>
        <w:t>n daily treatment use was 0.5 g</w:t>
      </w:r>
      <w:r w:rsidR="006C7A7E" w:rsidRPr="006C7A7E">
        <w:t>.</w:t>
      </w:r>
    </w:p>
    <w:p w:rsidR="00605AD4" w:rsidRDefault="00605AD4" w:rsidP="00B25F0D">
      <w:pPr>
        <w:pStyle w:val="Heading4"/>
      </w:pPr>
      <w:r w:rsidRPr="00605AD4">
        <w:t>Safety issues with the potential for major regulatory impact</w:t>
      </w:r>
    </w:p>
    <w:p w:rsidR="002D26DD" w:rsidRPr="002D26DD" w:rsidRDefault="002D26DD" w:rsidP="00B25F0D">
      <w:pPr>
        <w:pStyle w:val="Heading5"/>
      </w:pPr>
      <w:bookmarkStart w:id="102" w:name="_Toc272414681"/>
      <w:bookmarkStart w:id="103" w:name="_Toc290846319"/>
      <w:bookmarkStart w:id="104" w:name="_Toc381350584"/>
      <w:r w:rsidRPr="002D26DD">
        <w:t>Liver toxicity</w:t>
      </w:r>
      <w:bookmarkEnd w:id="102"/>
      <w:bookmarkEnd w:id="103"/>
      <w:bookmarkEnd w:id="104"/>
    </w:p>
    <w:p w:rsidR="002D26DD" w:rsidRPr="002D26DD" w:rsidRDefault="002D26DD" w:rsidP="00B25F0D">
      <w:proofErr w:type="gramStart"/>
      <w:r w:rsidRPr="002D26DD">
        <w:t>None.</w:t>
      </w:r>
      <w:proofErr w:type="gramEnd"/>
    </w:p>
    <w:p w:rsidR="002D26DD" w:rsidRPr="002D26DD" w:rsidRDefault="002D26DD" w:rsidP="00B25F0D">
      <w:pPr>
        <w:pStyle w:val="Heading5"/>
      </w:pPr>
      <w:bookmarkStart w:id="105" w:name="_Toc272414682"/>
      <w:bookmarkStart w:id="106" w:name="_Toc290846320"/>
      <w:bookmarkStart w:id="107" w:name="_Toc381350585"/>
      <w:r w:rsidRPr="002D26DD">
        <w:t>Haematological toxicity</w:t>
      </w:r>
      <w:bookmarkEnd w:id="105"/>
      <w:bookmarkEnd w:id="106"/>
      <w:bookmarkEnd w:id="107"/>
    </w:p>
    <w:p w:rsidR="002D26DD" w:rsidRPr="002D26DD" w:rsidRDefault="002D26DD" w:rsidP="00B25F0D">
      <w:proofErr w:type="gramStart"/>
      <w:r w:rsidRPr="002D26DD">
        <w:t>None.</w:t>
      </w:r>
      <w:proofErr w:type="gramEnd"/>
    </w:p>
    <w:p w:rsidR="002D26DD" w:rsidRPr="002D26DD" w:rsidRDefault="002D26DD" w:rsidP="00B25F0D">
      <w:pPr>
        <w:pStyle w:val="Heading5"/>
      </w:pPr>
      <w:bookmarkStart w:id="108" w:name="_Toc272414683"/>
      <w:bookmarkStart w:id="109" w:name="_Toc290846321"/>
      <w:bookmarkStart w:id="110" w:name="_Toc381350586"/>
      <w:r w:rsidRPr="002D26DD">
        <w:t>Serious skin reactions</w:t>
      </w:r>
      <w:bookmarkEnd w:id="108"/>
      <w:bookmarkEnd w:id="109"/>
      <w:bookmarkEnd w:id="110"/>
    </w:p>
    <w:p w:rsidR="002D26DD" w:rsidRPr="002D26DD" w:rsidRDefault="002D26DD" w:rsidP="00B25F0D">
      <w:r w:rsidRPr="002D26DD">
        <w:t xml:space="preserve">There were no </w:t>
      </w:r>
      <w:r w:rsidR="00304B22">
        <w:t>serious adverse events (</w:t>
      </w:r>
      <w:r w:rsidRPr="002D26DD">
        <w:t>SAEs</w:t>
      </w:r>
      <w:r w:rsidR="00304B22">
        <w:t>)</w:t>
      </w:r>
      <w:r w:rsidRPr="002D26DD">
        <w:t xml:space="preserve"> related to skin and subcutaneous tissue, although they were the most commonly reported TEAEs (most of these were mild to moderate in severity).</w:t>
      </w:r>
    </w:p>
    <w:p w:rsidR="002D26DD" w:rsidRPr="002D26DD" w:rsidRDefault="002D26DD" w:rsidP="00B25F0D">
      <w:pPr>
        <w:pStyle w:val="Heading5"/>
      </w:pPr>
      <w:bookmarkStart w:id="111" w:name="_Toc272414684"/>
      <w:bookmarkStart w:id="112" w:name="_Toc290846322"/>
      <w:bookmarkStart w:id="113" w:name="_Toc381350587"/>
      <w:r w:rsidRPr="002D26DD">
        <w:t>Cardiovascular safety</w:t>
      </w:r>
      <w:bookmarkEnd w:id="111"/>
      <w:bookmarkEnd w:id="112"/>
      <w:bookmarkEnd w:id="113"/>
    </w:p>
    <w:p w:rsidR="002D26DD" w:rsidRPr="002D26DD" w:rsidRDefault="002D26DD" w:rsidP="00B25F0D">
      <w:proofErr w:type="gramStart"/>
      <w:r w:rsidRPr="002D26DD">
        <w:t>None.</w:t>
      </w:r>
      <w:proofErr w:type="gramEnd"/>
    </w:p>
    <w:p w:rsidR="002D26DD" w:rsidRPr="002D26DD" w:rsidRDefault="002D26DD" w:rsidP="00B25F0D">
      <w:pPr>
        <w:pStyle w:val="Heading5"/>
      </w:pPr>
      <w:bookmarkStart w:id="114" w:name="_Toc241374323"/>
      <w:bookmarkStart w:id="115" w:name="_Toc272414685"/>
      <w:bookmarkStart w:id="116" w:name="_Toc290846323"/>
      <w:bookmarkStart w:id="117" w:name="_Toc381350588"/>
      <w:r w:rsidRPr="002D26DD">
        <w:lastRenderedPageBreak/>
        <w:t>Unwanted immunological events</w:t>
      </w:r>
      <w:bookmarkEnd w:id="114"/>
      <w:bookmarkEnd w:id="115"/>
      <w:bookmarkEnd w:id="116"/>
      <w:bookmarkEnd w:id="117"/>
    </w:p>
    <w:p w:rsidR="002D26DD" w:rsidRPr="002D26DD" w:rsidRDefault="008466EB" w:rsidP="00B25F0D">
      <w:r>
        <w:t>Sensitis</w:t>
      </w:r>
      <w:r w:rsidR="002D26DD" w:rsidRPr="002D26DD">
        <w:t xml:space="preserve">ation to any of the components </w:t>
      </w:r>
      <w:r w:rsidR="002D26DD">
        <w:t xml:space="preserve">of the </w:t>
      </w:r>
      <w:r w:rsidR="0062434D">
        <w:t>brimonidine tartrate g</w:t>
      </w:r>
      <w:r w:rsidR="002D26DD">
        <w:t>el</w:t>
      </w:r>
      <w:r w:rsidR="002D26DD" w:rsidRPr="002D26DD">
        <w:t xml:space="preserve"> was assessed in </w:t>
      </w:r>
      <w:r>
        <w:t>12 studies, possible sensitis</w:t>
      </w:r>
      <w:r w:rsidR="002D26DD" w:rsidRPr="002D26DD">
        <w:t xml:space="preserve">ation reactions were reported </w:t>
      </w:r>
      <w:r>
        <w:t>in</w:t>
      </w:r>
      <w:r w:rsidR="002D26DD" w:rsidRPr="002D26DD">
        <w:t xml:space="preserve"> only 2 of the</w:t>
      </w:r>
      <w:r>
        <w:t>se</w:t>
      </w:r>
      <w:r w:rsidR="002D26DD" w:rsidRPr="002D26DD">
        <w:t xml:space="preserve"> (18123 and 18142)</w:t>
      </w:r>
      <w:r>
        <w:t>. For identification of sensitis</w:t>
      </w:r>
      <w:r w:rsidR="002D26DD" w:rsidRPr="002D26DD">
        <w:t>ation reactions, no specific clinical threshold criteria were predefined.</w:t>
      </w:r>
    </w:p>
    <w:p w:rsidR="002D26DD" w:rsidRPr="002D26DD" w:rsidRDefault="002D26DD" w:rsidP="00B25F0D">
      <w:r w:rsidRPr="002D26DD">
        <w:t>Sensitization responses could only b</w:t>
      </w:r>
      <w:r w:rsidR="00131BE0">
        <w:t xml:space="preserve">e determined by an experienced evaluator who was a board </w:t>
      </w:r>
      <w:r w:rsidRPr="002D26DD">
        <w:t>certified dermatologist.</w:t>
      </w:r>
    </w:p>
    <w:p w:rsidR="002D26DD" w:rsidRPr="002D26DD" w:rsidRDefault="008466EB" w:rsidP="00B25F0D">
      <w:r>
        <w:t>In S</w:t>
      </w:r>
      <w:r w:rsidR="002D26DD" w:rsidRPr="002D26DD">
        <w:t xml:space="preserve">tudy 18123, the </w:t>
      </w:r>
      <w:r>
        <w:t>sensitisation</w:t>
      </w:r>
      <w:r w:rsidR="002D26DD" w:rsidRPr="002D26DD">
        <w:t xml:space="preserve"> potential of various concentrations of the study drug and vehicle showed no evidence of </w:t>
      </w:r>
      <w:r>
        <w:t>sensitisation</w:t>
      </w:r>
      <w:r w:rsidR="002D26DD" w:rsidRPr="002D26DD">
        <w:t xml:space="preserve"> except in 1 subject who exhibited positive </w:t>
      </w:r>
      <w:r>
        <w:t>sensitisation</w:t>
      </w:r>
      <w:r w:rsidR="002D26DD" w:rsidRPr="002D26DD">
        <w:t xml:space="preserve"> results at challenge with the 0.07% gel and the </w:t>
      </w:r>
      <w:r w:rsidR="00A96711" w:rsidRPr="00A96711">
        <w:t xml:space="preserve">vehicle </w:t>
      </w:r>
      <w:r w:rsidR="002D26DD" w:rsidRPr="002D26DD">
        <w:t>gel</w:t>
      </w:r>
      <w:r w:rsidR="00A96711">
        <w:t xml:space="preserve">. Response was equivocal at re </w:t>
      </w:r>
      <w:r w:rsidR="002D26DD" w:rsidRPr="002D26DD">
        <w:t>challenge and the subject was unavaila</w:t>
      </w:r>
      <w:r w:rsidR="00A96711">
        <w:t xml:space="preserve">ble for a second re </w:t>
      </w:r>
      <w:r w:rsidR="001D7582">
        <w:t>challenge.</w:t>
      </w:r>
    </w:p>
    <w:p w:rsidR="002D26DD" w:rsidRPr="002D26DD" w:rsidRDefault="008466EB" w:rsidP="00B25F0D">
      <w:r>
        <w:t>In the long term S</w:t>
      </w:r>
      <w:r w:rsidR="002D26DD" w:rsidRPr="002D26DD">
        <w:t>tudy 18142, 24 subjects (5.3%) develo</w:t>
      </w:r>
      <w:r w:rsidR="001D7582">
        <w:t>ped adverse reactions that the i</w:t>
      </w:r>
      <w:r w:rsidR="002D26DD" w:rsidRPr="002D26DD">
        <w:t xml:space="preserve">nvestigators considered suspicious enough to require patch testing in order to rule out an allergic </w:t>
      </w:r>
      <w:r>
        <w:t>sensitisation</w:t>
      </w:r>
      <w:r w:rsidR="002D26DD" w:rsidRPr="002D26DD">
        <w:t xml:space="preserve"> to the study product (allergic dermatitis). Of these 24 subjects, 17 agreed to undergo diagnostic patch testing and 14 of these subjects had a negative patch test result suggesting no allergy to the study drug</w:t>
      </w:r>
      <w:r>
        <w:t>,</w:t>
      </w:r>
      <w:r w:rsidR="002D26DD" w:rsidRPr="002D26DD">
        <w:t xml:space="preserve"> and 3 subjects had a positive patch test result. Of the </w:t>
      </w:r>
      <w:r w:rsidR="00BB649B">
        <w:t>3</w:t>
      </w:r>
      <w:r w:rsidR="002D26DD" w:rsidRPr="002D26DD">
        <w:t xml:space="preserve"> positive cases, 1 was confirmed as a reaction to brimonidine tartrate, a second was confirmed as a reaction to the </w:t>
      </w:r>
      <w:proofErr w:type="spellStart"/>
      <w:r w:rsidR="002D26DD" w:rsidRPr="002D26DD">
        <w:t>phenoxyethanol</w:t>
      </w:r>
      <w:proofErr w:type="spellEnd"/>
      <w:r w:rsidR="002D26DD" w:rsidRPr="002D26DD">
        <w:t xml:space="preserve"> preservative, and the third was not conclusively confirmed (subject refused further patch testing).</w:t>
      </w:r>
    </w:p>
    <w:p w:rsidR="002D26DD" w:rsidRPr="002D26DD" w:rsidRDefault="002D26DD" w:rsidP="00B25F0D">
      <w:r w:rsidRPr="002D26DD">
        <w:t xml:space="preserve">No </w:t>
      </w:r>
      <w:proofErr w:type="spellStart"/>
      <w:r w:rsidRPr="002D26DD">
        <w:t>phototoxicity</w:t>
      </w:r>
      <w:proofErr w:type="spellEnd"/>
      <w:r w:rsidRPr="002D26DD">
        <w:t xml:space="preserve"> was observed in St</w:t>
      </w:r>
      <w:r w:rsidR="008466EB">
        <w:t xml:space="preserve">udy COL-118-Phototoxicity-104. </w:t>
      </w:r>
      <w:r w:rsidRPr="002D26DD">
        <w:t>In Study18189, 1 subject exhibited contact irritation, not photo</w:t>
      </w:r>
      <w:r w:rsidR="008466EB">
        <w:t>sensitisation</w:t>
      </w:r>
      <w:r w:rsidRPr="002D26DD">
        <w:t>. In photo</w:t>
      </w:r>
      <w:r w:rsidR="008466EB">
        <w:t>sensitisation</w:t>
      </w:r>
      <w:r w:rsidRPr="002D26DD">
        <w:t xml:space="preserve"> Study 18124</w:t>
      </w:r>
      <w:r w:rsidR="00A96711">
        <w:t>, no photosensitivity or photo i</w:t>
      </w:r>
      <w:r w:rsidRPr="002D26DD">
        <w:t>rritancy was observed. A suspected, related, mild “photo</w:t>
      </w:r>
      <w:r w:rsidR="008466EB">
        <w:t>sensitisation</w:t>
      </w:r>
      <w:r w:rsidRPr="002D26DD">
        <w:t>” was reported in 1 subject in Study COL-118-ROSE-201.</w:t>
      </w:r>
    </w:p>
    <w:p w:rsidR="002D26DD" w:rsidRPr="002D26DD" w:rsidRDefault="008466EB" w:rsidP="00BB649B">
      <w:pPr>
        <w:ind w:left="720"/>
      </w:pPr>
      <w:proofErr w:type="gramStart"/>
      <w:r w:rsidRPr="008466EB">
        <w:rPr>
          <w:b/>
        </w:rPr>
        <w:t>Evaluators</w:t>
      </w:r>
      <w:proofErr w:type="gramEnd"/>
      <w:r w:rsidRPr="008466EB">
        <w:rPr>
          <w:b/>
        </w:rPr>
        <w:t xml:space="preserve"> </w:t>
      </w:r>
      <w:r w:rsidR="00271234">
        <w:rPr>
          <w:b/>
        </w:rPr>
        <w:t>c</w:t>
      </w:r>
      <w:r w:rsidR="002D26DD" w:rsidRPr="008466EB">
        <w:rPr>
          <w:b/>
        </w:rPr>
        <w:t>omments</w:t>
      </w:r>
      <w:r w:rsidR="002D26DD" w:rsidRPr="002D26DD">
        <w:t xml:space="preserve">: The rate of </w:t>
      </w:r>
      <w:r>
        <w:t>sensitisation</w:t>
      </w:r>
      <w:r w:rsidR="002D26DD" w:rsidRPr="002D26DD">
        <w:t xml:space="preserve"> for the 1619 subjects expo</w:t>
      </w:r>
      <w:r w:rsidR="0062434D">
        <w:t>sed to brimonidine tartrate gel</w:t>
      </w:r>
      <w:r w:rsidR="002D26DD" w:rsidRPr="002D26DD">
        <w:t xml:space="preserve"> is estimated at &lt;</w:t>
      </w:r>
      <w:r>
        <w:t xml:space="preserve"> </w:t>
      </w:r>
      <w:r w:rsidR="002D26DD" w:rsidRPr="002D26DD">
        <w:t>1% across the entire clinical development program. This estimate is based upon a conservative calculation, including the 3 subjects with ini</w:t>
      </w:r>
      <w:r>
        <w:t>tially positive patch tests in S</w:t>
      </w:r>
      <w:r w:rsidR="002D26DD" w:rsidRPr="002D26DD">
        <w:t>tudy 18142, the 7 subjects who refused rechallenge</w:t>
      </w:r>
      <w:r>
        <w:t>/patch testing in S</w:t>
      </w:r>
      <w:r w:rsidR="002D26DD" w:rsidRPr="002D26DD">
        <w:t>tudy 18142, and the 1 subject with suspected but unconfirmed</w:t>
      </w:r>
      <w:r w:rsidR="00BB649B">
        <w:t xml:space="preserve"> </w:t>
      </w:r>
      <w:r>
        <w:t>sensitisation in S</w:t>
      </w:r>
      <w:r w:rsidR="00BB649B">
        <w:t>tudy 18123.</w:t>
      </w:r>
    </w:p>
    <w:p w:rsidR="00605AD4" w:rsidRPr="00605AD4" w:rsidRDefault="00605AD4" w:rsidP="00B25F0D">
      <w:pPr>
        <w:pStyle w:val="Heading4"/>
      </w:pPr>
      <w:r w:rsidRPr="00605AD4">
        <w:t>Evaluator’s conclusions on safety</w:t>
      </w:r>
    </w:p>
    <w:p w:rsidR="00193AA6" w:rsidRPr="00193AA6" w:rsidRDefault="00193AA6" w:rsidP="00B25F0D">
      <w:r w:rsidRPr="00193AA6">
        <w:t xml:space="preserve">A total of 1619 of the 2174 subjects in the clinical development program were exposed to </w:t>
      </w:r>
      <w:r w:rsidR="0062434D">
        <w:t>brimonidine tartrate g</w:t>
      </w:r>
      <w:r w:rsidRPr="00193AA6">
        <w:t>el. Of these, 1210 subjects were exposed to the proposed marketing formulation (</w:t>
      </w:r>
      <w:r w:rsidR="0062434D">
        <w:t xml:space="preserve">brimonidine tartrate </w:t>
      </w:r>
      <w:r w:rsidRPr="00193AA6">
        <w:t xml:space="preserve">0.5% </w:t>
      </w:r>
      <w:r w:rsidR="0062434D">
        <w:t>g</w:t>
      </w:r>
      <w:r w:rsidRPr="00193AA6">
        <w:t>el) in 10 studies: 377 healthy subjects in 4 studies and 833 subjects with rosacea in 6 studies.</w:t>
      </w:r>
    </w:p>
    <w:p w:rsidR="00193AA6" w:rsidRPr="00193AA6" w:rsidRDefault="00193AA6" w:rsidP="00B25F0D">
      <w:r w:rsidRPr="00193AA6">
        <w:t>Analysis of TEAEs both overall and those considere</w:t>
      </w:r>
      <w:r w:rsidR="001D7582">
        <w:t>d related to study drug by the i</w:t>
      </w:r>
      <w:r w:rsidR="00A96711">
        <w:t xml:space="preserve">nvestigator in the dose </w:t>
      </w:r>
      <w:r w:rsidRPr="00193AA6">
        <w:t xml:space="preserve">range finding studies exhibited no dose relationship, were infrequent, mild or moderate in severity, and did not result in discontinuation. Analysis of TEAEs in the dermal safety studies confirmed the safety and local tolerability of brimonidine tartrate topical gels: no </w:t>
      </w:r>
      <w:proofErr w:type="spellStart"/>
      <w:r w:rsidRPr="00193AA6">
        <w:t>phototoxicity</w:t>
      </w:r>
      <w:proofErr w:type="spellEnd"/>
      <w:r w:rsidRPr="00193AA6">
        <w:t xml:space="preserve">, photosensitivity, or irritancy potential and low </w:t>
      </w:r>
      <w:r w:rsidR="008466EB">
        <w:t>sensitisation</w:t>
      </w:r>
      <w:r w:rsidRPr="00193AA6">
        <w:t xml:space="preserve"> potential were seen in healthy subjects. There was no clear dose relationship and no correlation between TEAEs and plasma concentrations seen in the PK</w:t>
      </w:r>
      <w:r w:rsidR="00C7403B">
        <w:t xml:space="preserve"> studies performed under maximis</w:t>
      </w:r>
      <w:r w:rsidRPr="00193AA6">
        <w:t xml:space="preserve">ed conditions of clinical use. </w:t>
      </w:r>
      <w:r w:rsidR="00C7403B">
        <w:t>The incidences of TEAEs in the controlled core s</w:t>
      </w:r>
      <w:r w:rsidRPr="00193AA6">
        <w:t>tudies were generally equivalent between active gel and vehicle groups (ap</w:t>
      </w:r>
      <w:r w:rsidR="00AA1AB5">
        <w:t>proximately 30% in each group).</w:t>
      </w:r>
    </w:p>
    <w:p w:rsidR="00193AA6" w:rsidRPr="00193AA6" w:rsidRDefault="00193AA6" w:rsidP="00B25F0D">
      <w:r w:rsidRPr="00193AA6">
        <w:t>The TEAEs considered related to the study drug predominated in th</w:t>
      </w:r>
      <w:r w:rsidR="00A96711">
        <w:t>e skin and su</w:t>
      </w:r>
      <w:r w:rsidR="007F3918">
        <w:t>bcutaneous tissue disorders SOC</w:t>
      </w:r>
      <w:r w:rsidR="00A96711">
        <w:t xml:space="preserve"> in the controlled core s</w:t>
      </w:r>
      <w:r w:rsidRPr="00193AA6">
        <w:t>tudies, as expected for a top</w:t>
      </w:r>
      <w:r w:rsidR="00A96711">
        <w:t>ical gel. Flushing, in the SOC vascular d</w:t>
      </w:r>
      <w:r w:rsidRPr="00193AA6">
        <w:t>isorders, was also more frequently reported in the ac</w:t>
      </w:r>
      <w:r w:rsidR="00BB649B">
        <w:t xml:space="preserve">tive gel group. These treatment </w:t>
      </w:r>
      <w:r w:rsidR="00C7403B">
        <w:t>related</w:t>
      </w:r>
      <w:r w:rsidRPr="00193AA6">
        <w:t xml:space="preserve"> local TEAEs</w:t>
      </w:r>
      <w:r w:rsidR="00F70BC6">
        <w:t>,</w:t>
      </w:r>
      <w:r w:rsidRPr="00193AA6">
        <w:t xml:space="preserve"> were mostly mild to moderate in severity and transient in duratio</w:t>
      </w:r>
      <w:r w:rsidR="00C7403B">
        <w:t>n. Many of these local</w:t>
      </w:r>
      <w:r w:rsidR="00A96711">
        <w:t xml:space="preserve"> rosacea </w:t>
      </w:r>
      <w:r w:rsidRPr="00193AA6">
        <w:t xml:space="preserve">related TEAEs were </w:t>
      </w:r>
      <w:r w:rsidRPr="00193AA6">
        <w:lastRenderedPageBreak/>
        <w:t xml:space="preserve">reported later in the day, consistent with the effect of the study drug wearing off. The vasoconstriction effect of </w:t>
      </w:r>
      <w:r w:rsidR="0062434D">
        <w:t>brimonidine tartrate 0.5% g</w:t>
      </w:r>
      <w:r w:rsidRPr="00193AA6">
        <w:t>el does diminish several hours after daily application, allowin</w:t>
      </w:r>
      <w:r w:rsidR="00A96711">
        <w:t>g for progression back towards b</w:t>
      </w:r>
      <w:r w:rsidRPr="00193AA6">
        <w:t>aseline erythema levels late in the day.</w:t>
      </w:r>
    </w:p>
    <w:p w:rsidR="00193AA6" w:rsidRPr="00193AA6" w:rsidRDefault="00193AA6" w:rsidP="00B25F0D">
      <w:r w:rsidRPr="00193AA6">
        <w:t>With respect to the LTS study, TEAEs occurred at similar frequencies during the first 29 days when compared to both</w:t>
      </w:r>
      <w:r w:rsidR="00A96711">
        <w:t xml:space="preserve"> active and vehicle controlled core s</w:t>
      </w:r>
      <w:r w:rsidRPr="00193AA6">
        <w:t>tudy groups. Most TEAEs occurred during that first mont</w:t>
      </w:r>
      <w:r w:rsidR="00C7403B">
        <w:t>h</w:t>
      </w:r>
      <w:r w:rsidRPr="00193AA6">
        <w:t xml:space="preserve"> and markedly decreased at the second quarter (</w:t>
      </w:r>
      <w:r w:rsidR="00505DF4">
        <w:t>that is</w:t>
      </w:r>
      <w:r w:rsidRPr="00193AA6">
        <w:t xml:space="preserve"> 90 days to 180 days after the first dose). Systemic TEAEs were infrequent and rarely related to study treatment. In</w:t>
      </w:r>
      <w:r w:rsidR="00A96711">
        <w:t xml:space="preserve"> particular, treatment related cardiac, metabolic, respiratory, or gastrointestinal d</w:t>
      </w:r>
      <w:r w:rsidRPr="00193AA6">
        <w:t>isorders were not reported during the first 29 days of the LTS</w:t>
      </w:r>
      <w:r w:rsidR="00A96711">
        <w:t xml:space="preserve"> study. As with the controlled core s</w:t>
      </w:r>
      <w:r w:rsidRPr="00193AA6">
        <w:t>tudy subjects w</w:t>
      </w:r>
      <w:r w:rsidR="00A96711">
        <w:t>ho received active medication, skin and subcutaneous tissue d</w:t>
      </w:r>
      <w:r w:rsidRPr="00193AA6">
        <w:t xml:space="preserve">isorders predominated in the LTS study. Headache incidence was low </w:t>
      </w:r>
      <w:r w:rsidR="00C7403B">
        <w:t>(3.3%</w:t>
      </w:r>
      <w:r w:rsidR="00A96711">
        <w:t xml:space="preserve"> overal</w:t>
      </w:r>
      <w:r w:rsidR="00C7403B">
        <w:t>l; 1.8%</w:t>
      </w:r>
      <w:r w:rsidR="00A96711">
        <w:t xml:space="preserve"> treatment </w:t>
      </w:r>
      <w:r w:rsidRPr="00193AA6">
        <w:t xml:space="preserve">related) and did not increase over time. In the LTS study, a minimal, acceptable </w:t>
      </w:r>
      <w:r w:rsidR="008466EB">
        <w:t>sensitisation</w:t>
      </w:r>
      <w:r w:rsidRPr="00193AA6">
        <w:t xml:space="preserve"> rate (1% to 2.2%) was observed in rosacea subjects exposed to the active gel over 1 year. The presence of inflammatory lesions and the use of concomitant rosacea medications in LTS study subjects did not have a clinically relevant relationship to the incidence of AEs or the seriousness/severity of AEs, overall or related to the study drug. In addition, there were no signals observed from the vital signs or laboratory data collected in this study. The incidence of related AEs and premature discontinuations due to AEs did n</w:t>
      </w:r>
      <w:r w:rsidR="00BB649B">
        <w:t xml:space="preserve">ot increase over time with long </w:t>
      </w:r>
      <w:r w:rsidRPr="00193AA6">
        <w:t xml:space="preserve">term use of the study drug and </w:t>
      </w:r>
      <w:r w:rsidR="00C7403B">
        <w:t xml:space="preserve">there was no evidence that long </w:t>
      </w:r>
      <w:r w:rsidRPr="00193AA6">
        <w:t>term use of the study drug conveyed an increased risk of occurrence of any specific type of AE.</w:t>
      </w:r>
    </w:p>
    <w:p w:rsidR="00193AA6" w:rsidRPr="00193AA6" w:rsidRDefault="00193AA6" w:rsidP="007A4F9F">
      <w:r w:rsidRPr="00193AA6">
        <w:t xml:space="preserve">Across the 18 studies in the development program, </w:t>
      </w:r>
      <w:r w:rsidR="00304B22">
        <w:t>SAEs</w:t>
      </w:r>
      <w:r w:rsidRPr="00193AA6">
        <w:t xml:space="preserve"> were few and not related to </w:t>
      </w:r>
      <w:r w:rsidR="0062434D">
        <w:t>brimonidine tartrate 0.5% g</w:t>
      </w:r>
      <w:r w:rsidR="00A96711">
        <w:t>el. One</w:t>
      </w:r>
      <w:r w:rsidRPr="00193AA6">
        <w:t xml:space="preserve"> SAE related to study drug, hypotension, was reported in a subject who received 0.2% brimonidine tartrate ophthalmic solution prior to topical treatment (RD.06.SRE.18143). Seven (7) SAEs related to the study drug were reported in 2 children who ingested the 0.50% gel assigned to their mother. The remaining SAEs were systemic events.</w:t>
      </w:r>
    </w:p>
    <w:p w:rsidR="00193AA6" w:rsidRPr="00193AA6" w:rsidRDefault="00193AA6" w:rsidP="007A4F9F">
      <w:r w:rsidRPr="00193AA6">
        <w:t>Di</w:t>
      </w:r>
      <w:r w:rsidR="00A96711">
        <w:t xml:space="preserve">scontinuations due to treatment </w:t>
      </w:r>
      <w:r w:rsidRPr="00193AA6">
        <w:t>related TEAE were rare, mostly associated with rosacea pathophysiology, and mainly mild to moderate in severity. Severe TEAEs were also infrequent, and often not related to study drug.</w:t>
      </w:r>
    </w:p>
    <w:p w:rsidR="00193AA6" w:rsidRPr="00193AA6" w:rsidRDefault="00193AA6" w:rsidP="007A4F9F">
      <w:r w:rsidRPr="00193AA6">
        <w:t xml:space="preserve">There were no notable, clinically meaningful differences in TEAE incidences with respect to gender, age, or race in the context of subgroup analyses performed </w:t>
      </w:r>
      <w:r w:rsidR="00A96711">
        <w:t>on data from the core s</w:t>
      </w:r>
      <w:r w:rsidRPr="00193AA6">
        <w:t xml:space="preserve">tudies and the full duration of the LTS study. When stratified by age, according to the </w:t>
      </w:r>
      <w:r w:rsidR="00A96711">
        <w:t>a</w:t>
      </w:r>
      <w:r w:rsidRPr="00193AA6">
        <w:t>pplicant’s data, subjects 65 years of age and older had a similar or lower incidence of TEAEs when compared to those seen in the 18 to 64 years of age group. Those subjects in the older age group reporting TEAEs considered related to the study drug were few. No TEAEs in the geriatric age group were serious, severe, or resulted in study discontinuation.</w:t>
      </w:r>
    </w:p>
    <w:p w:rsidR="00193AA6" w:rsidRPr="00193AA6" w:rsidRDefault="00193AA6" w:rsidP="007A4F9F">
      <w:r w:rsidRPr="00193AA6">
        <w:t>There were no clinically important effects on laboratory parameters, IOP or vital signs and physical findings seen in any of the 18 studies in the clinical development program. The minor shifts of laboratory parameters or vital signs outside the normal ranges were rare and did not present a safety signal.</w:t>
      </w:r>
    </w:p>
    <w:p w:rsidR="00193AA6" w:rsidRPr="00193AA6" w:rsidRDefault="0062434D" w:rsidP="007A4F9F">
      <w:r>
        <w:t>Brimonidine tartrate g</w:t>
      </w:r>
      <w:r w:rsidR="00193AA6" w:rsidRPr="00193AA6">
        <w:t xml:space="preserve">el showed a good safety profile in the subjects with moderate to severe facial erythema </w:t>
      </w:r>
      <w:r w:rsidR="00A96711">
        <w:t xml:space="preserve">of rosacea enrolled in the dose </w:t>
      </w:r>
      <w:r w:rsidR="00193AA6" w:rsidRPr="00193AA6">
        <w:t>finding studies. Overall TEAEs and those related to study drug exhibited no dose relationship, were infrequent, generally mild and of short duration, not severe, and did not result in discontinua</w:t>
      </w:r>
      <w:r w:rsidR="00C7403B">
        <w:t xml:space="preserve">tion. The most common treatment </w:t>
      </w:r>
      <w:r w:rsidR="00193AA6" w:rsidRPr="00193AA6">
        <w:t>related TEAEs included pruritus, flushing, skin bur</w:t>
      </w:r>
      <w:r w:rsidR="00A96711">
        <w:t>ning sensation, and skin warm,</w:t>
      </w:r>
      <w:r w:rsidR="00193AA6" w:rsidRPr="00193AA6">
        <w:t xml:space="preserve"> there is no clear dose relationship and no correlation between TEAEs and plasma concentrations i</w:t>
      </w:r>
      <w:r w:rsidR="00C7403B">
        <w:t>n these PK studies, as seen in S</w:t>
      </w:r>
      <w:r w:rsidR="00193AA6" w:rsidRPr="00193AA6">
        <w:t>tudy 18143.</w:t>
      </w:r>
    </w:p>
    <w:p w:rsidR="00193AA6" w:rsidRPr="00193AA6" w:rsidRDefault="00193AA6" w:rsidP="007A4F9F">
      <w:r w:rsidRPr="00193AA6">
        <w:t xml:space="preserve">In the dermal safety studies, </w:t>
      </w:r>
      <w:r w:rsidR="0062434D">
        <w:t>brimonidine tartrate g</w:t>
      </w:r>
      <w:r w:rsidRPr="00193AA6">
        <w:t>el is well tolerated locally, with little incidence of applicati</w:t>
      </w:r>
      <w:r w:rsidR="008740E8">
        <w:t xml:space="preserve">on site irritation or treatment </w:t>
      </w:r>
      <w:r w:rsidRPr="00193AA6">
        <w:t xml:space="preserve">related TEAEs observed following </w:t>
      </w:r>
      <w:r w:rsidRPr="00193AA6">
        <w:lastRenderedPageBreak/>
        <w:t xml:space="preserve">application under patch occlusion. There was only 1 unconfirmed allergic </w:t>
      </w:r>
      <w:r w:rsidR="008466EB">
        <w:t>sensitisation</w:t>
      </w:r>
      <w:r w:rsidRPr="00193AA6">
        <w:t xml:space="preserve"> in 1 subject out of a total of 407 subjects who were tested under patch occlusion in the dermal safety studies (</w:t>
      </w:r>
      <w:r w:rsidR="00505DF4">
        <w:t>that is</w:t>
      </w:r>
      <w:r w:rsidRPr="00193AA6">
        <w:t xml:space="preserve"> excluding subjects from RD.06.SRE.18137, who were not tested under occlusion).</w:t>
      </w:r>
    </w:p>
    <w:p w:rsidR="00193AA6" w:rsidRPr="00193AA6" w:rsidRDefault="00193AA6" w:rsidP="007A4F9F">
      <w:r w:rsidRPr="00193AA6">
        <w:t>There was only one death reported in the clinical studies (lung cancer in LT</w:t>
      </w:r>
      <w:r w:rsidR="00C7403B">
        <w:t>S S</w:t>
      </w:r>
      <w:r w:rsidRPr="00193AA6">
        <w:t>tudy18142). There were n</w:t>
      </w:r>
      <w:r w:rsidR="008740E8">
        <w:t>o SAEs reported in the SOCs of skin and subcutaneous tissue disorders, cardiac disorders, or nervous system d</w:t>
      </w:r>
      <w:r w:rsidRPr="00193AA6">
        <w:t>isorders, the SOCs with t</w:t>
      </w:r>
      <w:r w:rsidR="00C7403B">
        <w:t>he highest frequencies of TEAEs</w:t>
      </w:r>
      <w:r w:rsidRPr="00193AA6">
        <w:t xml:space="preserve"> in the clinical studies of </w:t>
      </w:r>
      <w:r w:rsidR="0062434D">
        <w:t>brimonidine tartrate 0.5% g</w:t>
      </w:r>
      <w:r w:rsidRPr="00193AA6">
        <w:t xml:space="preserve">el. Furthermore, no SAE was found to be related to </w:t>
      </w:r>
      <w:r w:rsidR="0062434D">
        <w:t>brimonidine tartrate g</w:t>
      </w:r>
      <w:r w:rsidRPr="00193AA6">
        <w:t>el in any study subject in any SOC in any of the 18 studies comprising the clini</w:t>
      </w:r>
      <w:r w:rsidR="008740E8">
        <w:t>cal development program. Two</w:t>
      </w:r>
      <w:r w:rsidRPr="00193AA6">
        <w:t xml:space="preserve"> children accidentally ingested the 0.50% gel assigned to their mother in RD.06.SRE.18140</w:t>
      </w:r>
      <w:r w:rsidR="00F70BC6">
        <w:rPr>
          <w:rStyle w:val="FootnoteReference"/>
        </w:rPr>
        <w:footnoteReference w:id="25"/>
      </w:r>
      <w:r w:rsidRPr="00193AA6">
        <w:t>.</w:t>
      </w:r>
    </w:p>
    <w:p w:rsidR="00193AA6" w:rsidRPr="00193AA6" w:rsidRDefault="00193AA6" w:rsidP="007A4F9F">
      <w:r w:rsidRPr="00193AA6">
        <w:t xml:space="preserve">TEAEs resulting in discontinuation from any study that were related to treatment with </w:t>
      </w:r>
      <w:r w:rsidR="0062434D">
        <w:t>brimonidine tartrate 0.5% g</w:t>
      </w:r>
      <w:r w:rsidRPr="00193AA6">
        <w:t>el were typically reports of events common to rosacea (</w:t>
      </w:r>
      <w:r w:rsidR="008740E8">
        <w:t>for example,</w:t>
      </w:r>
      <w:r w:rsidRPr="00193AA6">
        <w:t xml:space="preserve"> erythema, flushing), which were mild or moderate in intensity and eventually resolved. Other TEAEs that resulted in discontinuation included</w:t>
      </w:r>
      <w:r w:rsidR="00C7403B">
        <w:t>:</w:t>
      </w:r>
      <w:r w:rsidRPr="00193AA6">
        <w:t xml:space="preserve"> skin burning sensation, skin irritation, contact dermatitis, and allergic dermatitis. All of these TEAEs occurred at less than 2% in the LT</w:t>
      </w:r>
      <w:r w:rsidR="00C7403B">
        <w:t>S</w:t>
      </w:r>
      <w:r w:rsidRPr="00193AA6">
        <w:t xml:space="preserve"> study and rarely in the other studies.</w:t>
      </w:r>
    </w:p>
    <w:p w:rsidR="00193AA6" w:rsidRPr="00193AA6" w:rsidRDefault="008740E8" w:rsidP="007A4F9F">
      <w:r>
        <w:t xml:space="preserve">In the pivotal short </w:t>
      </w:r>
      <w:r w:rsidR="00193AA6" w:rsidRPr="00193AA6">
        <w:t>t</w:t>
      </w:r>
      <w:r>
        <w:t>erm studies (18140 and 18141), c</w:t>
      </w:r>
      <w:r w:rsidR="00193AA6" w:rsidRPr="00193AA6">
        <w:t>oncomitant use of other treatments for rosacea was not permitted (the only topical medications used were emollients and protective). However, concomitant medications for rosacea</w:t>
      </w:r>
      <w:r>
        <w:t xml:space="preserve"> were permitted in the LT, open label study 18142. </w:t>
      </w:r>
      <w:r w:rsidR="00193AA6" w:rsidRPr="00193AA6">
        <w:t>In this LT</w:t>
      </w:r>
      <w:r w:rsidR="00F70BC6">
        <w:t>S</w:t>
      </w:r>
      <w:r w:rsidR="00193AA6" w:rsidRPr="00193AA6">
        <w:t xml:space="preserve"> study, subjects using </w:t>
      </w:r>
      <w:r w:rsidR="0062434D">
        <w:t>brimonidine tartrate 0.50% g</w:t>
      </w:r>
      <w:r w:rsidR="00193AA6" w:rsidRPr="00193AA6">
        <w:t>el concomitantly with other medications for the treatment of rosacea do not appear to be at increased risk for serious, severe, or systemic AEs. There does not appear to be a potentiation or additive effect with respect to AEs above the normal AE profiles anticipated for each drug individually.</w:t>
      </w:r>
    </w:p>
    <w:p w:rsidR="00193AA6" w:rsidRPr="00977313" w:rsidRDefault="00193AA6" w:rsidP="007A4F9F">
      <w:r w:rsidRPr="00193AA6">
        <w:t xml:space="preserve">Although specific drug interaction studies have not been conducted with </w:t>
      </w:r>
      <w:r w:rsidR="0062434D">
        <w:t>brimonidine tartrate g</w:t>
      </w:r>
      <w:r w:rsidRPr="00193AA6">
        <w:t xml:space="preserve">el, the possibility of an additive or potentiating effect with </w:t>
      </w:r>
      <w:r w:rsidR="008740E8" w:rsidRPr="008740E8">
        <w:t xml:space="preserve">central nervous system </w:t>
      </w:r>
      <w:r w:rsidR="008740E8">
        <w:t>(</w:t>
      </w:r>
      <w:r w:rsidRPr="00193AA6">
        <w:t>CNS</w:t>
      </w:r>
      <w:r w:rsidR="008740E8">
        <w:t>)</w:t>
      </w:r>
      <w:r w:rsidRPr="00193AA6">
        <w:t xml:space="preserve"> depressants (alcohol, barbiturates, opiates, sedatives, or </w:t>
      </w:r>
      <w:r w:rsidR="0062434D" w:rsidRPr="00193AA6">
        <w:t>anaesthetics</w:t>
      </w:r>
      <w:r w:rsidRPr="00193AA6">
        <w:t xml:space="preserve">) should be considered. No data on the level of circulating </w:t>
      </w:r>
      <w:proofErr w:type="spellStart"/>
      <w:r w:rsidRPr="00193AA6">
        <w:t>catecholamines</w:t>
      </w:r>
      <w:proofErr w:type="spellEnd"/>
      <w:r w:rsidRPr="00193AA6">
        <w:t xml:space="preserve"> after </w:t>
      </w:r>
      <w:proofErr w:type="spellStart"/>
      <w:r w:rsidR="0062434D">
        <w:t>brimonidine</w:t>
      </w:r>
      <w:proofErr w:type="spellEnd"/>
      <w:r w:rsidR="0062434D">
        <w:t xml:space="preserve"> tartrate g</w:t>
      </w:r>
      <w:r w:rsidRPr="00193AA6">
        <w:t>el administration are available. However, caution is advised in patients taking medications that can affect the metabolism and uptake of circulating amines (</w:t>
      </w:r>
      <w:r w:rsidR="008740E8">
        <w:t>for example;</w:t>
      </w:r>
      <w:r w:rsidRPr="00193AA6">
        <w:t xml:space="preserve"> chlorpromazine, methylphenidate, and </w:t>
      </w:r>
      <w:r w:rsidRPr="00BB649B">
        <w:t xml:space="preserve">reserpine). </w:t>
      </w:r>
      <w:proofErr w:type="gramStart"/>
      <w:r w:rsidR="006744B8" w:rsidRPr="00BB649B">
        <w:t>α-</w:t>
      </w:r>
      <w:proofErr w:type="spellStart"/>
      <w:r w:rsidR="00C7403B">
        <w:t>A</w:t>
      </w:r>
      <w:r w:rsidRPr="00BB649B">
        <w:t>dren</w:t>
      </w:r>
      <w:r w:rsidR="00BB649B" w:rsidRPr="00BB649B">
        <w:t>oceptor</w:t>
      </w:r>
      <w:proofErr w:type="spellEnd"/>
      <w:proofErr w:type="gramEnd"/>
      <w:r w:rsidRPr="00BB649B">
        <w:t xml:space="preserve"> agonists </w:t>
      </w:r>
      <w:r w:rsidRPr="00193AA6">
        <w:t xml:space="preserve">should be used with caution in patients with depression, cerebral or </w:t>
      </w:r>
      <w:r w:rsidRPr="00977313">
        <w:t xml:space="preserve">coronary insufficiency, Raynaud’s phenomenon, orthostatic hypotension, </w:t>
      </w:r>
      <w:proofErr w:type="spellStart"/>
      <w:r w:rsidRPr="00977313">
        <w:t>thromboangiitis</w:t>
      </w:r>
      <w:proofErr w:type="spellEnd"/>
      <w:r w:rsidRPr="00977313">
        <w:t xml:space="preserve"> </w:t>
      </w:r>
      <w:proofErr w:type="spellStart"/>
      <w:r w:rsidRPr="00977313">
        <w:t>obliterans</w:t>
      </w:r>
      <w:proofErr w:type="spellEnd"/>
      <w:r w:rsidRPr="00977313">
        <w:t xml:space="preserve">, scleroderma, or </w:t>
      </w:r>
      <w:proofErr w:type="spellStart"/>
      <w:r w:rsidRPr="00977313">
        <w:t>Sjögren’s</w:t>
      </w:r>
      <w:proofErr w:type="spellEnd"/>
      <w:r w:rsidRPr="00977313">
        <w:t xml:space="preserve"> syndrome.</w:t>
      </w:r>
    </w:p>
    <w:p w:rsidR="00605AD4" w:rsidRPr="00605AD4" w:rsidRDefault="00605AD4" w:rsidP="007A4F9F">
      <w:pPr>
        <w:pStyle w:val="Heading3"/>
        <w:rPr>
          <w:rFonts w:eastAsia="Cambria"/>
        </w:rPr>
      </w:pPr>
      <w:bookmarkStart w:id="118" w:name="_Toc413157319"/>
      <w:r w:rsidRPr="00605AD4">
        <w:rPr>
          <w:rFonts w:eastAsia="Cambria"/>
        </w:rPr>
        <w:t xml:space="preserve">First </w:t>
      </w:r>
      <w:r w:rsidR="00AA4341">
        <w:rPr>
          <w:rFonts w:eastAsia="Cambria"/>
        </w:rPr>
        <w:t>r</w:t>
      </w:r>
      <w:r w:rsidRPr="00605AD4">
        <w:rPr>
          <w:rFonts w:eastAsia="Cambria"/>
        </w:rPr>
        <w:t xml:space="preserve">ound </w:t>
      </w:r>
      <w:r w:rsidR="00AA4341">
        <w:rPr>
          <w:rFonts w:eastAsia="Cambria"/>
        </w:rPr>
        <w:t>b</w:t>
      </w:r>
      <w:r w:rsidRPr="00605AD4">
        <w:rPr>
          <w:rFonts w:eastAsia="Cambria"/>
        </w:rPr>
        <w:t>enefit-</w:t>
      </w:r>
      <w:r w:rsidR="00AA4341">
        <w:rPr>
          <w:rFonts w:eastAsia="Cambria"/>
        </w:rPr>
        <w:t>r</w:t>
      </w:r>
      <w:r w:rsidRPr="00605AD4">
        <w:rPr>
          <w:rFonts w:eastAsia="Cambria"/>
        </w:rPr>
        <w:t xml:space="preserve">isk </w:t>
      </w:r>
      <w:r w:rsidR="00AA4341">
        <w:rPr>
          <w:rFonts w:eastAsia="Cambria"/>
        </w:rPr>
        <w:t>a</w:t>
      </w:r>
      <w:r w:rsidRPr="00605AD4">
        <w:rPr>
          <w:rFonts w:eastAsia="Cambria"/>
        </w:rPr>
        <w:t>ssessment</w:t>
      </w:r>
      <w:bookmarkEnd w:id="118"/>
    </w:p>
    <w:p w:rsidR="00605AD4" w:rsidRDefault="00605AD4" w:rsidP="007A4F9F">
      <w:pPr>
        <w:pStyle w:val="Heading4"/>
      </w:pPr>
      <w:r w:rsidRPr="00605AD4">
        <w:t>First round assessment of benefits</w:t>
      </w:r>
    </w:p>
    <w:p w:rsidR="00CF589F" w:rsidRPr="00CF589F" w:rsidRDefault="00CF589F" w:rsidP="007A4F9F">
      <w:r w:rsidRPr="00CF589F">
        <w:t xml:space="preserve">The benefits of brimonidine </w:t>
      </w:r>
      <w:r w:rsidR="00C7403B">
        <w:t xml:space="preserve">tartrate </w:t>
      </w:r>
      <w:r w:rsidRPr="00CF589F">
        <w:t>0.5%</w:t>
      </w:r>
      <w:r w:rsidR="008E566A">
        <w:t xml:space="preserve"> gel in the proposed usage are:</w:t>
      </w:r>
    </w:p>
    <w:p w:rsidR="00CF589F" w:rsidRPr="00CF589F" w:rsidRDefault="00CF589F" w:rsidP="007A4F9F">
      <w:pPr>
        <w:pStyle w:val="ListBullet"/>
      </w:pPr>
      <w:r w:rsidRPr="00CF589F">
        <w:t>Statistically significant and clinically relevant improvements in facial erythema in adult patients with rosacea</w:t>
      </w:r>
      <w:r w:rsidR="00A167FA">
        <w:t>,</w:t>
      </w:r>
      <w:r w:rsidRPr="00CF589F">
        <w:t xml:space="preserve"> confirm</w:t>
      </w:r>
      <w:r w:rsidR="008E566A">
        <w:t>ed by the primary endpoint of 2</w:t>
      </w:r>
      <w:r w:rsidR="00A167FA">
        <w:t xml:space="preserve"> </w:t>
      </w:r>
      <w:r w:rsidR="008E566A">
        <w:t>grade composite s</w:t>
      </w:r>
      <w:r w:rsidRPr="00CF589F">
        <w:t xml:space="preserve">uccess </w:t>
      </w:r>
      <w:r w:rsidR="00A167FA">
        <w:t>(</w:t>
      </w:r>
      <w:r w:rsidRPr="00CF589F">
        <w:t xml:space="preserve">which was a composite endpoint based on analyses of independent static evaluations of </w:t>
      </w:r>
      <w:r w:rsidR="002E48CB">
        <w:t>erythema by the i</w:t>
      </w:r>
      <w:r w:rsidRPr="00CF589F">
        <w:t>nvestigators (CEA) and the subjects (PSA)</w:t>
      </w:r>
      <w:r w:rsidR="00A167FA">
        <w:t>)</w:t>
      </w:r>
      <w:r w:rsidRPr="00CF589F">
        <w:t>.</w:t>
      </w:r>
    </w:p>
    <w:p w:rsidR="00CF589F" w:rsidRPr="00CF589F" w:rsidRDefault="008E566A" w:rsidP="007A4F9F">
      <w:pPr>
        <w:pStyle w:val="ListBullet"/>
      </w:pPr>
      <w:r>
        <w:t xml:space="preserve">Brimonidine </w:t>
      </w:r>
      <w:r w:rsidR="00A167FA" w:rsidRPr="00A167FA">
        <w:t xml:space="preserve">tartrate </w:t>
      </w:r>
      <w:r w:rsidR="00CF589F" w:rsidRPr="00CF589F">
        <w:t>0.5%</w:t>
      </w:r>
      <w:r>
        <w:t xml:space="preserve"> </w:t>
      </w:r>
      <w:r w:rsidR="00A167FA" w:rsidRPr="00A167FA">
        <w:t xml:space="preserve">gel </w:t>
      </w:r>
      <w:r>
        <w:t>was significantly better than vehicle g</w:t>
      </w:r>
      <w:r w:rsidR="00CF589F" w:rsidRPr="00CF589F">
        <w:t>el at initiating the onset of a meaningful clinical effect within 30 minutes after the very first application of study drug and this effect was su</w:t>
      </w:r>
      <w:r>
        <w:t xml:space="preserve">stained for up to 12 hours post </w:t>
      </w:r>
      <w:r w:rsidR="00CF589F" w:rsidRPr="00CF589F">
        <w:t>dose.</w:t>
      </w:r>
    </w:p>
    <w:p w:rsidR="00CF589F" w:rsidRPr="00CF589F" w:rsidRDefault="00CF589F" w:rsidP="007A4F9F">
      <w:pPr>
        <w:pStyle w:val="ListBullet"/>
      </w:pPr>
      <w:r w:rsidRPr="00CF589F">
        <w:lastRenderedPageBreak/>
        <w:t xml:space="preserve">No evidence of </w:t>
      </w:r>
      <w:proofErr w:type="spellStart"/>
      <w:r w:rsidRPr="00CF589F">
        <w:t>tachyphylaxis</w:t>
      </w:r>
      <w:proofErr w:type="spellEnd"/>
      <w:r w:rsidRPr="00CF589F">
        <w:t xml:space="preserve"> of the treatmen</w:t>
      </w:r>
      <w:r w:rsidR="008E566A">
        <w:t>t effect was observed in the 29 day vehicle cont</w:t>
      </w:r>
      <w:r w:rsidR="00A167FA">
        <w:t>rolled studies or in the 1 year</w:t>
      </w:r>
      <w:r w:rsidR="008E566A">
        <w:t xml:space="preserve"> long </w:t>
      </w:r>
      <w:r w:rsidRPr="00CF589F">
        <w:t>term study.</w:t>
      </w:r>
    </w:p>
    <w:p w:rsidR="00CF589F" w:rsidRPr="00CF589F" w:rsidRDefault="00CF589F" w:rsidP="007A4F9F">
      <w:pPr>
        <w:pStyle w:val="ListBullet"/>
      </w:pPr>
      <w:r w:rsidRPr="00CF589F">
        <w:t>No rebound effect was observed.</w:t>
      </w:r>
    </w:p>
    <w:p w:rsidR="00CF589F" w:rsidRPr="00CF589F" w:rsidRDefault="00A167FA" w:rsidP="007A4F9F">
      <w:pPr>
        <w:pStyle w:val="ListBullet"/>
      </w:pPr>
      <w:r w:rsidRPr="00A167FA">
        <w:t xml:space="preserve">Brimonidine tartrate 0.5% gel </w:t>
      </w:r>
      <w:r w:rsidR="00CF589F" w:rsidRPr="00CF589F">
        <w:t>consistently showed</w:t>
      </w:r>
      <w:r w:rsidR="008E566A">
        <w:t xml:space="preserve"> a more favourable outcome in PAA</w:t>
      </w:r>
      <w:r w:rsidR="00CF589F" w:rsidRPr="00CF589F">
        <w:t xml:space="preserve"> and </w:t>
      </w:r>
      <w:r w:rsidR="002848DD">
        <w:t>OTE</w:t>
      </w:r>
      <w:r w:rsidR="00CF589F" w:rsidRPr="00CF589F">
        <w:t xml:space="preserve"> compared to vehicle gel.</w:t>
      </w:r>
    </w:p>
    <w:p w:rsidR="00CF589F" w:rsidRPr="00CF589F" w:rsidRDefault="00CF589F" w:rsidP="007A4F9F">
      <w:pPr>
        <w:pStyle w:val="ListBullet"/>
      </w:pPr>
      <w:r w:rsidRPr="00CF589F">
        <w:t xml:space="preserve">The low incidence of severe local TEAEs confirms that </w:t>
      </w:r>
      <w:r w:rsidR="0062434D">
        <w:t>brimonidine tartrate 0.50% g</w:t>
      </w:r>
      <w:r w:rsidRPr="00CF589F">
        <w:t>el is safe and well tolerated in the target population.</w:t>
      </w:r>
    </w:p>
    <w:p w:rsidR="00CF589F" w:rsidRPr="00CF589F" w:rsidRDefault="003F53E1" w:rsidP="007A4F9F">
      <w:pPr>
        <w:pStyle w:val="ListBullet"/>
      </w:pPr>
      <w:r>
        <w:t xml:space="preserve">Long </w:t>
      </w:r>
      <w:r w:rsidR="00CF589F" w:rsidRPr="00CF589F">
        <w:t xml:space="preserve">term treatment (for up to 52 weeks) of subjects with once daily application of </w:t>
      </w:r>
      <w:r w:rsidR="00A167FA">
        <w:t>b</w:t>
      </w:r>
      <w:r w:rsidR="00A167FA" w:rsidRPr="00A167FA">
        <w:t>rimonidine tartrate 0.5% gel</w:t>
      </w:r>
      <w:r w:rsidR="00CF589F" w:rsidRPr="00CF589F">
        <w:t xml:space="preserve"> resulted in no new major safety findings or signals</w:t>
      </w:r>
      <w:r w:rsidR="00A167FA">
        <w:t>,</w:t>
      </w:r>
      <w:r w:rsidR="00CF589F" w:rsidRPr="00CF589F">
        <w:t xml:space="preserve"> and the safety profile determined during shorter </w:t>
      </w:r>
      <w:r>
        <w:t xml:space="preserve">pivotal studies was confirmed. </w:t>
      </w:r>
      <w:r w:rsidR="00CF589F" w:rsidRPr="00CF589F">
        <w:t>However, interpretation wa</w:t>
      </w:r>
      <w:r>
        <w:t xml:space="preserve">s limited by the open </w:t>
      </w:r>
      <w:r w:rsidR="00CF589F" w:rsidRPr="00CF589F">
        <w:t>lab</w:t>
      </w:r>
      <w:r w:rsidR="00CF589F">
        <w:t>el, uncontrolled study design.</w:t>
      </w:r>
    </w:p>
    <w:p w:rsidR="00605AD4" w:rsidRDefault="00605AD4" w:rsidP="007A4F9F">
      <w:pPr>
        <w:pStyle w:val="Heading4"/>
      </w:pPr>
      <w:r w:rsidRPr="00605AD4">
        <w:t>First round assessment of risks</w:t>
      </w:r>
    </w:p>
    <w:p w:rsidR="00CF589F" w:rsidRPr="00CF589F" w:rsidRDefault="00CF589F" w:rsidP="007A4F9F">
      <w:r w:rsidRPr="00CF589F">
        <w:t xml:space="preserve">The risks of brimonidine </w:t>
      </w:r>
      <w:r w:rsidR="00A167FA">
        <w:t xml:space="preserve">tartrate </w:t>
      </w:r>
      <w:r w:rsidRPr="00CF589F">
        <w:t>0.5% gel in the proposed usage are:</w:t>
      </w:r>
    </w:p>
    <w:p w:rsidR="00CF589F" w:rsidRPr="00CF589F" w:rsidRDefault="003F53E1" w:rsidP="007A4F9F">
      <w:pPr>
        <w:pStyle w:val="ListBullet"/>
      </w:pPr>
      <w:r>
        <w:t xml:space="preserve">Rosacea </w:t>
      </w:r>
      <w:r w:rsidR="00A167FA">
        <w:t>related AEs such as erythema and</w:t>
      </w:r>
      <w:r w:rsidR="00CF589F" w:rsidRPr="00CF589F">
        <w:t xml:space="preserve"> flushing were most common following treatment with brimonidine </w:t>
      </w:r>
      <w:r w:rsidR="00A167FA">
        <w:t xml:space="preserve">tartrate </w:t>
      </w:r>
      <w:r w:rsidR="00CF589F" w:rsidRPr="00CF589F">
        <w:t>0.5% gel; however, most of these AEs were mild to moderate in severity and were usually reported later in the day</w:t>
      </w:r>
      <w:r w:rsidR="00A167FA">
        <w:t>,</w:t>
      </w:r>
      <w:r w:rsidR="00CF589F" w:rsidRPr="00CF589F">
        <w:t xml:space="preserve"> consistent with the effect of the drug wearing off.</w:t>
      </w:r>
    </w:p>
    <w:p w:rsidR="00CF589F" w:rsidRPr="00CF589F" w:rsidRDefault="00A167FA" w:rsidP="007A4F9F">
      <w:pPr>
        <w:pStyle w:val="ListBullet"/>
      </w:pPr>
      <w:r>
        <w:t>U</w:t>
      </w:r>
      <w:r w:rsidR="003F53E1">
        <w:t xml:space="preserve">nwanted over </w:t>
      </w:r>
      <w:r w:rsidR="00CF589F" w:rsidRPr="00CF589F">
        <w:t>whitening effects</w:t>
      </w:r>
      <w:r>
        <w:t>,</w:t>
      </w:r>
      <w:r w:rsidR="00CF589F" w:rsidRPr="00CF589F">
        <w:t xml:space="preserve"> although there was a reduction in reports of over</w:t>
      </w:r>
      <w:r w:rsidR="00C402D7">
        <w:t xml:space="preserve"> </w:t>
      </w:r>
      <w:r w:rsidR="00CF589F" w:rsidRPr="00CF589F">
        <w:t>whitening with continued use</w:t>
      </w:r>
      <w:r>
        <w:t xml:space="preserve">, and there was a </w:t>
      </w:r>
      <w:r w:rsidR="00CF589F" w:rsidRPr="00CF589F">
        <w:t xml:space="preserve">similar incidence </w:t>
      </w:r>
      <w:r>
        <w:t xml:space="preserve">of over whitening </w:t>
      </w:r>
      <w:r w:rsidR="00CF589F" w:rsidRPr="00CF589F">
        <w:t xml:space="preserve">between </w:t>
      </w:r>
      <w:proofErr w:type="spellStart"/>
      <w:r w:rsidR="00CF589F" w:rsidRPr="00CF589F">
        <w:t>brimonidine</w:t>
      </w:r>
      <w:proofErr w:type="spellEnd"/>
      <w:r>
        <w:t xml:space="preserve"> </w:t>
      </w:r>
      <w:proofErr w:type="spellStart"/>
      <w:r>
        <w:t>tatrate</w:t>
      </w:r>
      <w:proofErr w:type="spellEnd"/>
      <w:r w:rsidR="00CF589F" w:rsidRPr="00CF589F">
        <w:t xml:space="preserve"> 0.5% gel and vehicle gel treatment </w:t>
      </w:r>
      <w:r w:rsidR="00BB649B">
        <w:t>groups by D</w:t>
      </w:r>
      <w:r w:rsidR="00CF589F" w:rsidRPr="00CF589F">
        <w:t>ay 29.</w:t>
      </w:r>
    </w:p>
    <w:p w:rsidR="00CF589F" w:rsidRPr="00CF589F" w:rsidRDefault="00CF589F" w:rsidP="007A4F9F">
      <w:pPr>
        <w:pStyle w:val="ListBullet"/>
      </w:pPr>
      <w:r w:rsidRPr="00CF589F">
        <w:t xml:space="preserve">Lack of any drug interaction studies with other medications used in treatment </w:t>
      </w:r>
      <w:r w:rsidR="003F53E1">
        <w:t xml:space="preserve">of rosacea in the pivotal short </w:t>
      </w:r>
      <w:r w:rsidRPr="00CF589F">
        <w:t xml:space="preserve">term studies. However, data from </w:t>
      </w:r>
      <w:r w:rsidR="003F53E1">
        <w:t>the LT</w:t>
      </w:r>
      <w:r w:rsidR="00A167FA">
        <w:t>S</w:t>
      </w:r>
      <w:r w:rsidR="003F53E1">
        <w:t xml:space="preserve">, open </w:t>
      </w:r>
      <w:r w:rsidR="00A167FA">
        <w:t>label, uncontrolled S</w:t>
      </w:r>
      <w:r w:rsidRPr="00CF589F">
        <w:t>tudy 18142</w:t>
      </w:r>
      <w:r w:rsidR="003F53E1">
        <w:t>, showed that s</w:t>
      </w:r>
      <w:r w:rsidRPr="00CF589F">
        <w:t xml:space="preserve">ubjects using </w:t>
      </w:r>
      <w:r w:rsidR="0062434D">
        <w:t>brimonidine tartrate 0.50% g</w:t>
      </w:r>
      <w:r w:rsidRPr="00CF589F">
        <w:t>el concomitantly with other medications f</w:t>
      </w:r>
      <w:r w:rsidR="003F53E1">
        <w:t>or the treatment of rosacea does</w:t>
      </w:r>
      <w:r w:rsidRPr="00CF589F">
        <w:t xml:space="preserve"> not appear to be at increased risk for serious, severe, or systemic AEs.</w:t>
      </w:r>
    </w:p>
    <w:p w:rsidR="00CF589F" w:rsidRPr="00CF589F" w:rsidRDefault="00CF589F" w:rsidP="007A4F9F">
      <w:pPr>
        <w:pStyle w:val="ListBullet"/>
      </w:pPr>
      <w:r w:rsidRPr="00CF589F">
        <w:t>Lack of controlled efficacy and safety data beyond 4 weeks.</w:t>
      </w:r>
    </w:p>
    <w:p w:rsidR="00605AD4" w:rsidRPr="00605AD4" w:rsidRDefault="00605AD4" w:rsidP="00605AD4">
      <w:pPr>
        <w:pStyle w:val="Heading4"/>
      </w:pPr>
      <w:r w:rsidRPr="00605AD4">
        <w:t>First round assessment of benefit-risk balance</w:t>
      </w:r>
    </w:p>
    <w:p w:rsidR="00CF589F" w:rsidRPr="00CF589F" w:rsidRDefault="00CF589F" w:rsidP="007A4F9F">
      <w:r w:rsidRPr="00CF589F">
        <w:t xml:space="preserve">The PK, efficacy, and safety profile of </w:t>
      </w:r>
      <w:r w:rsidR="0062434D">
        <w:t>brimonidine tartrate 0.5% g</w:t>
      </w:r>
      <w:r w:rsidRPr="00CF589F">
        <w:t>el was adequately evaluated in adult subjects with erythema of rosacea in a total of 18 clinical trials, including two adeq</w:t>
      </w:r>
      <w:r w:rsidR="003F53E1">
        <w:t xml:space="preserve">uate and well </w:t>
      </w:r>
      <w:r w:rsidR="00DB4244">
        <w:t>controlled Phase III</w:t>
      </w:r>
      <w:r w:rsidRPr="00CF589F">
        <w:t xml:space="preserve"> studies. A total of 1619 of the 2174 subjects in the clinical development program were exposed to </w:t>
      </w:r>
      <w:r w:rsidR="0062434D">
        <w:t>brimonidine tartrate g</w:t>
      </w:r>
      <w:r w:rsidRPr="00CF589F">
        <w:t xml:space="preserve">el, with 1210 of the 1619 subjects exposed to proposed marketing formulation of </w:t>
      </w:r>
      <w:r w:rsidR="0062434D">
        <w:t>brimonidine tartrate 0.5% g</w:t>
      </w:r>
      <w:r w:rsidRPr="00CF589F">
        <w:t xml:space="preserve">el </w:t>
      </w:r>
      <w:proofErr w:type="spellStart"/>
      <w:r w:rsidR="00CD641E">
        <w:t>q.d</w:t>
      </w:r>
      <w:proofErr w:type="spellEnd"/>
      <w:r w:rsidR="00CD641E">
        <w:t>.</w:t>
      </w:r>
    </w:p>
    <w:p w:rsidR="00CF589F" w:rsidRPr="00CF589F" w:rsidRDefault="00CF589F" w:rsidP="007A4F9F">
      <w:r w:rsidRPr="00CF589F">
        <w:t xml:space="preserve">Treatment with </w:t>
      </w:r>
      <w:r w:rsidR="0062434D">
        <w:t>brimonidine tartrate 0.5% g</w:t>
      </w:r>
      <w:r w:rsidRPr="00CF589F">
        <w:t xml:space="preserve">el </w:t>
      </w:r>
      <w:proofErr w:type="spellStart"/>
      <w:r w:rsidR="00CD641E">
        <w:t>q.d</w:t>
      </w:r>
      <w:proofErr w:type="spellEnd"/>
      <w:r w:rsidR="00CD641E">
        <w:t>.</w:t>
      </w:r>
      <w:r w:rsidR="003F53E1">
        <w:t xml:space="preserve"> in vehicle </w:t>
      </w:r>
      <w:r w:rsidRPr="00CF589F">
        <w:t>controlled studies for 29 days resulted in statistically significant and clinically meaningful reductions in facial erythema of rosacea, as</w:t>
      </w:r>
      <w:r w:rsidR="001D7582">
        <w:t xml:space="preserve"> independently observed by the i</w:t>
      </w:r>
      <w:r w:rsidRPr="00CF589F">
        <w:t>nvestigators and the subjects. Furthermore, this onset of effect was rapid (30 minutes after the first dose of study drug on Day 1 in many cases) and was observable and statistically significant rel</w:t>
      </w:r>
      <w:r w:rsidR="00CD54E4">
        <w:t>ative to subjects who received v</w:t>
      </w:r>
      <w:r w:rsidRPr="00CF589F">
        <w:t>eh</w:t>
      </w:r>
      <w:r w:rsidR="00CD54E4">
        <w:t>icle g</w:t>
      </w:r>
      <w:r w:rsidRPr="00CF589F">
        <w:t xml:space="preserve">el. This rapid onset of action provides an advantage for proposed brimonidine </w:t>
      </w:r>
      <w:r w:rsidR="00A167FA">
        <w:t xml:space="preserve">tartrate </w:t>
      </w:r>
      <w:r w:rsidRPr="00CF589F">
        <w:t xml:space="preserve">gel as the other marketed pharmaceutical treatments for rosacea that target inflammatory lesions require 8 weeks or more of continuous therapy to achieve significant effectiveness on reduction of lesions. Thus, </w:t>
      </w:r>
      <w:r w:rsidR="0062434D">
        <w:t>brimonidine tartrate 0.5% g</w:t>
      </w:r>
      <w:r w:rsidRPr="00CF589F">
        <w:t>el offers a direct effect on facial erythema of rosacea that is not provided by current pharmaceutical treatments for rosacea and also offers fast onset of effect on reduction in facial erythema of rosacea.</w:t>
      </w:r>
    </w:p>
    <w:p w:rsidR="00CF589F" w:rsidRPr="00CF589F" w:rsidRDefault="00CD54E4" w:rsidP="007A4F9F">
      <w:r>
        <w:lastRenderedPageBreak/>
        <w:t>B</w:t>
      </w:r>
      <w:r w:rsidR="0062434D">
        <w:t>rimonidine tartrate 0.5% g</w:t>
      </w:r>
      <w:r w:rsidR="00CF589F" w:rsidRPr="00CF589F">
        <w:t>el was able to maintain,</w:t>
      </w:r>
      <w:r>
        <w:t xml:space="preserve"> on a daily basis, at least a 1 </w:t>
      </w:r>
      <w:r w:rsidR="00CF589F" w:rsidRPr="00CF589F">
        <w:t>grade improvement (</w:t>
      </w:r>
      <w:r w:rsidR="00505DF4">
        <w:t>that is</w:t>
      </w:r>
      <w:r w:rsidR="00CF589F" w:rsidRPr="00CF589F">
        <w:t xml:space="preserve">, </w:t>
      </w:r>
      <w:r w:rsidR="00A167FA">
        <w:t xml:space="preserve">a </w:t>
      </w:r>
      <w:r w:rsidR="00CF589F" w:rsidRPr="00CF589F">
        <w:t>noticeable effect) in CEA and/or PSA for a maximal amount of time (target of 12 hours after dosing), while being able to achieve</w:t>
      </w:r>
      <w:r>
        <w:t xml:space="preserve"> daily 2 </w:t>
      </w:r>
      <w:r w:rsidR="00CF589F" w:rsidRPr="00CF589F">
        <w:t>grade improvement in both assessments for a sustained period.</w:t>
      </w:r>
    </w:p>
    <w:p w:rsidR="00CF589F" w:rsidRPr="00CF589F" w:rsidRDefault="0062434D" w:rsidP="007A4F9F">
      <w:r>
        <w:t xml:space="preserve">The Phase </w:t>
      </w:r>
      <w:proofErr w:type="spellStart"/>
      <w:r>
        <w:t>IIb</w:t>
      </w:r>
      <w:proofErr w:type="spellEnd"/>
      <w:r>
        <w:t xml:space="preserve"> and the Phase III</w:t>
      </w:r>
      <w:r w:rsidR="00CF589F" w:rsidRPr="00CF589F">
        <w:t xml:space="preserve"> pivotal studies demonstrated that subjects perceived impr</w:t>
      </w:r>
      <w:r w:rsidR="00CD54E4">
        <w:t xml:space="preserve">ovements on both clinic and non </w:t>
      </w:r>
      <w:r w:rsidR="00CF589F" w:rsidRPr="00CF589F">
        <w:t>clinic days in their erythema and overall facial appearance, as measured by the PS</w:t>
      </w:r>
      <w:r w:rsidR="00CD54E4">
        <w:t>A and PAA. The PAW subject self-</w:t>
      </w:r>
      <w:r w:rsidR="00CD54E4" w:rsidRPr="00CF589F">
        <w:t>assessment</w:t>
      </w:r>
      <w:r w:rsidR="00CF589F" w:rsidRPr="00CF589F">
        <w:t xml:space="preserve"> also showed that few subjects with over whiten</w:t>
      </w:r>
      <w:r w:rsidR="00714455">
        <w:t>ing were bothered by the effect</w:t>
      </w:r>
      <w:r w:rsidR="00CF589F" w:rsidRPr="00CF589F">
        <w:t xml:space="preserve"> and</w:t>
      </w:r>
      <w:r w:rsidR="00714455">
        <w:t>,</w:t>
      </w:r>
      <w:r w:rsidR="00CF589F" w:rsidRPr="00CF589F">
        <w:t xml:space="preserve"> additionally</w:t>
      </w:r>
      <w:r w:rsidR="00714455">
        <w:t>,</w:t>
      </w:r>
      <w:r w:rsidR="00CF589F" w:rsidRPr="00CF589F">
        <w:t xml:space="preserve"> that the percentage of sub</w:t>
      </w:r>
      <w:r w:rsidR="00CD54E4">
        <w:t xml:space="preserve">jects who were bothered by over </w:t>
      </w:r>
      <w:r w:rsidR="00CF589F" w:rsidRPr="00CF589F">
        <w:t>whitening decreased over time</w:t>
      </w:r>
      <w:r w:rsidR="00714455">
        <w:t>,</w:t>
      </w:r>
      <w:r w:rsidR="00CF589F" w:rsidRPr="00CF589F">
        <w:t xml:space="preserve"> which may be due to better application technique with time. </w:t>
      </w:r>
      <w:r w:rsidR="00CD54E4">
        <w:t>Brimonidine</w:t>
      </w:r>
      <w:r>
        <w:t xml:space="preserve"> tartrate g</w:t>
      </w:r>
      <w:r w:rsidR="00CF589F" w:rsidRPr="00CF589F">
        <w:t>el should be applied smoothly and evenly across all</w:t>
      </w:r>
      <w:r w:rsidR="00CD54E4">
        <w:t xml:space="preserve"> application areas. A small pea </w:t>
      </w:r>
      <w:r w:rsidR="00CF589F" w:rsidRPr="00CF589F">
        <w:t xml:space="preserve">size amount (estimated to be no more than 1 g in total weight) of </w:t>
      </w:r>
      <w:r>
        <w:t>brimonidine tartrate g</w:t>
      </w:r>
      <w:r w:rsidR="00CF589F" w:rsidRPr="00CF589F">
        <w:t>el should be applied to each of the five areas of the face (</w:t>
      </w:r>
      <w:r w:rsidR="00505DF4">
        <w:t>that is</w:t>
      </w:r>
      <w:r w:rsidR="00CF589F" w:rsidRPr="00CF589F">
        <w:t>, forehead, chin, nose, each cheek) and these facts have been adequately covered in the proposed PI.</w:t>
      </w:r>
    </w:p>
    <w:p w:rsidR="00CF589F" w:rsidRPr="00CF589F" w:rsidRDefault="00CF589F" w:rsidP="007A4F9F">
      <w:r w:rsidRPr="00CF589F">
        <w:t>No clinically meaningful worsening of les</w:t>
      </w:r>
      <w:r w:rsidR="0062434D">
        <w:t xml:space="preserve">ions was observed in </w:t>
      </w:r>
      <w:r w:rsidR="00714455">
        <w:t xml:space="preserve">any of </w:t>
      </w:r>
      <w:r w:rsidR="0062434D">
        <w:t xml:space="preserve">the Phase </w:t>
      </w:r>
      <w:proofErr w:type="spellStart"/>
      <w:r w:rsidR="0062434D">
        <w:t>II</w:t>
      </w:r>
      <w:r w:rsidRPr="00CF589F">
        <w:t>b</w:t>
      </w:r>
      <w:proofErr w:type="spellEnd"/>
      <w:r w:rsidRPr="00CF589F">
        <w:t xml:space="preserve"> or Phas</w:t>
      </w:r>
      <w:r w:rsidR="0062434D">
        <w:t>e III</w:t>
      </w:r>
      <w:r w:rsidRPr="00CF589F">
        <w:t xml:space="preserve"> pivotal studies in the </w:t>
      </w:r>
      <w:r w:rsidR="0062434D">
        <w:t>brimonidine tartrate 0.5% g</w:t>
      </w:r>
      <w:r w:rsidRPr="00CF589F">
        <w:t>el groups</w:t>
      </w:r>
      <w:r w:rsidR="00CD54E4">
        <w:t xml:space="preserve"> relative to the corresponding vehicle g</w:t>
      </w:r>
      <w:r w:rsidRPr="00CF589F">
        <w:t xml:space="preserve">el groups. In addition, no worsening of mean </w:t>
      </w:r>
      <w:proofErr w:type="spellStart"/>
      <w:r w:rsidRPr="00CF589F">
        <w:t>T</w:t>
      </w:r>
      <w:r w:rsidR="008D0214">
        <w:t>e</w:t>
      </w:r>
      <w:r w:rsidRPr="00CF589F">
        <w:t>GA</w:t>
      </w:r>
      <w:proofErr w:type="spellEnd"/>
      <w:r w:rsidRPr="00CF589F">
        <w:t xml:space="preserve"> scores was </w:t>
      </w:r>
      <w:r w:rsidR="00714455">
        <w:t>observed during the studies. As</w:t>
      </w:r>
      <w:r w:rsidR="00DF6714">
        <w:t>,</w:t>
      </w:r>
      <w:r w:rsidRPr="00CF589F">
        <w:t xml:space="preserve"> reduction in vascular erythema (</w:t>
      </w:r>
      <w:r w:rsidR="00505DF4">
        <w:t>that is</w:t>
      </w:r>
      <w:r w:rsidRPr="00CF589F">
        <w:t xml:space="preserve">, vasoconstriction) is the primary target of </w:t>
      </w:r>
      <w:r w:rsidR="0062434D">
        <w:t>brimonidine tartrate 0.5% g</w:t>
      </w:r>
      <w:r w:rsidRPr="00CF589F">
        <w:t>el, the drug is not expected to reduce the incidence or severity of i</w:t>
      </w:r>
      <w:r w:rsidR="00AA1AB5">
        <w:t>nflammatory lesions of rosacea.</w:t>
      </w:r>
    </w:p>
    <w:p w:rsidR="00CF589F" w:rsidRPr="00CF589F" w:rsidRDefault="00CF589F" w:rsidP="007A4F9F">
      <w:r w:rsidRPr="00CF589F">
        <w:t xml:space="preserve">No clinically meaningful trends with respect to </w:t>
      </w:r>
      <w:proofErr w:type="spellStart"/>
      <w:r w:rsidRPr="00CF589F">
        <w:t>tachyphylaxis</w:t>
      </w:r>
      <w:proofErr w:type="spellEnd"/>
      <w:r w:rsidRPr="00CF589F">
        <w:t xml:space="preserve"> or rebound effects (worsening of baseline erythema after cessation of treatment) were observed with use of </w:t>
      </w:r>
      <w:r w:rsidR="0062434D">
        <w:t>brimonidine tartrate 0.5% g</w:t>
      </w:r>
      <w:r w:rsidRPr="00CF589F">
        <w:t>el for 29 days.</w:t>
      </w:r>
    </w:p>
    <w:p w:rsidR="00CF589F" w:rsidRPr="00CF589F" w:rsidRDefault="00CD54E4" w:rsidP="007A4F9F">
      <w:r>
        <w:t xml:space="preserve">In the long term, open label, 1 </w:t>
      </w:r>
      <w:r w:rsidR="00CF589F" w:rsidRPr="00CF589F">
        <w:t xml:space="preserve">year safety and efficacy study, reductions in facial erythema were maintained over the study duration, showing durability of treatment effect with chronic use and a potential </w:t>
      </w:r>
      <w:r>
        <w:t xml:space="preserve">for positive impact on the long </w:t>
      </w:r>
      <w:r w:rsidR="00CF589F" w:rsidRPr="00CF589F">
        <w:t>term psychosocial function of rosacea subjects; however, interpr</w:t>
      </w:r>
      <w:r>
        <w:t xml:space="preserve">etation was limited by the open </w:t>
      </w:r>
      <w:r w:rsidR="00CF589F" w:rsidRPr="00CF589F">
        <w:t>label, uncontrolled study design.</w:t>
      </w:r>
    </w:p>
    <w:p w:rsidR="00CF589F" w:rsidRPr="00CF589F" w:rsidRDefault="00CF589F" w:rsidP="007A4F9F">
      <w:r w:rsidRPr="00CF589F">
        <w:t xml:space="preserve">The safety of </w:t>
      </w:r>
      <w:r w:rsidR="0062434D">
        <w:t>brimonidine tartrate g</w:t>
      </w:r>
      <w:r w:rsidRPr="00CF589F">
        <w:t xml:space="preserve">el in humans was evaluated in 1210 subjects who were exposed to </w:t>
      </w:r>
      <w:r w:rsidR="0062434D">
        <w:t>brimonidine tartrate 0.5% g</w:t>
      </w:r>
      <w:r w:rsidR="00CD54E4">
        <w:t xml:space="preserve">el. The 1 year open </w:t>
      </w:r>
      <w:r w:rsidRPr="00CF589F">
        <w:t>label study (18142) provided appr</w:t>
      </w:r>
      <w:r w:rsidR="00714455">
        <w:t>oximately 345 subject</w:t>
      </w:r>
      <w:r w:rsidR="00AA1AB5">
        <w:t>-</w:t>
      </w:r>
      <w:r w:rsidRPr="00CF589F">
        <w:t xml:space="preserve">years of exposure. </w:t>
      </w:r>
      <w:r w:rsidR="0062434D">
        <w:t>The subject populations in the a</w:t>
      </w:r>
      <w:r w:rsidRPr="00CF589F">
        <w:t>pplicant’s studies were representative of target patient population.</w:t>
      </w:r>
    </w:p>
    <w:p w:rsidR="00CF589F" w:rsidRPr="00CF589F" w:rsidRDefault="00CF589F" w:rsidP="007A4F9F">
      <w:r w:rsidRPr="00CF589F">
        <w:t xml:space="preserve">The most commonly reported related TEAEs in subjects treated with </w:t>
      </w:r>
      <w:r w:rsidR="0062434D">
        <w:t>brimonidine tartrate 0.5% g</w:t>
      </w:r>
      <w:r w:rsidR="00CD54E4">
        <w:t>el in the controlled core s</w:t>
      </w:r>
      <w:r w:rsidRPr="00CF589F">
        <w:t xml:space="preserve">tudies were erythema, pruritus, skin burning sensation, and flushing which occurred in 1.2% to 3.3% of subjects. They </w:t>
      </w:r>
      <w:r w:rsidR="00DF6714">
        <w:t>were</w:t>
      </w:r>
      <w:r w:rsidRPr="00CF589F">
        <w:t xml:space="preserve"> usually transient, mild to moderate in severity, and usually </w:t>
      </w:r>
      <w:r w:rsidR="00DF6714">
        <w:t>did</w:t>
      </w:r>
      <w:r w:rsidRPr="00CF589F">
        <w:t xml:space="preserve"> not require discontinuation of treatment. Furthermore, most of these AEs were mild to moderate in severity and were usually reported later in the day consistent with the effect of the drug wearing off.</w:t>
      </w:r>
    </w:p>
    <w:p w:rsidR="00CF589F" w:rsidRPr="00CF589F" w:rsidRDefault="00CF589F" w:rsidP="007A4F9F">
      <w:r w:rsidRPr="00CF589F">
        <w:t xml:space="preserve">Clinical local tolerance studies that evaluated </w:t>
      </w:r>
      <w:r w:rsidR="0062434D">
        <w:t>brimonidine tartrate 0.5% g</w:t>
      </w:r>
      <w:r w:rsidRPr="00CF589F">
        <w:t xml:space="preserve">el showed no detectable </w:t>
      </w:r>
      <w:proofErr w:type="spellStart"/>
      <w:r w:rsidRPr="00CF589F">
        <w:t>phototoxicity</w:t>
      </w:r>
      <w:proofErr w:type="spellEnd"/>
      <w:r w:rsidRPr="00CF589F">
        <w:t xml:space="preserve"> or photo</w:t>
      </w:r>
      <w:r w:rsidR="008466EB">
        <w:t>sensitisation</w:t>
      </w:r>
      <w:r w:rsidRPr="00CF589F">
        <w:t xml:space="preserve"> potential, low contact </w:t>
      </w:r>
      <w:r w:rsidR="008466EB">
        <w:t>sensitisation</w:t>
      </w:r>
      <w:r w:rsidRPr="00CF589F">
        <w:t xml:space="preserve"> potential, and low cumulative irritancy potential for the active formulations and for the vehicle. This was consistent with the results of the nonclinical local tolerance studies. Furthermore, no cases of allergic dermatitis were reported in rosacea subjects with up to 4 weeks</w:t>
      </w:r>
      <w:r w:rsidR="00DB4244">
        <w:t xml:space="preserve"> of treatment across all Phase II and Phase III</w:t>
      </w:r>
      <w:r w:rsidR="00CD54E4">
        <w:t xml:space="preserve"> clinical studies. In the 1 year open </w:t>
      </w:r>
      <w:r w:rsidRPr="00CF589F">
        <w:t>label study in 449 subjects with rosacea, 17 subjects were patch tested for possible allergic dermatitis. Of these, 3 were confirmed positive and 14 were negative. Seven additional cases of possible allergic dermatitis were reported, but no patch testing was performed for confirmation. All of these events occurred after 4 weeks of exposure, with the onset between 3 and 6 months in the majority of these subjects.</w:t>
      </w:r>
    </w:p>
    <w:p w:rsidR="00CF589F" w:rsidRPr="00CF589F" w:rsidRDefault="00CF589F" w:rsidP="007A4F9F">
      <w:r w:rsidRPr="00CF589F">
        <w:lastRenderedPageBreak/>
        <w:t xml:space="preserve">Routine blood chemistry, </w:t>
      </w:r>
      <w:r w:rsidR="00C402D7" w:rsidRPr="00CF589F">
        <w:t>haematology</w:t>
      </w:r>
      <w:r w:rsidRPr="00CF589F">
        <w:t>, an</w:t>
      </w:r>
      <w:r w:rsidR="00DF6714">
        <w:t>d urinalysis were performed in S</w:t>
      </w:r>
      <w:r w:rsidRPr="00CF589F">
        <w:t xml:space="preserve">tudies 18143, 18140, 18141, and 18142. No clinically relevant changes in blood chemistry, </w:t>
      </w:r>
      <w:r w:rsidR="00CD54E4" w:rsidRPr="00CF589F">
        <w:t>haematology</w:t>
      </w:r>
      <w:r w:rsidRPr="00CF589F">
        <w:t xml:space="preserve">, or urinalysis were observed for subjects who received </w:t>
      </w:r>
      <w:r w:rsidR="0062434D">
        <w:t>brimonidine tartrate g</w:t>
      </w:r>
      <w:r w:rsidRPr="00CF589F">
        <w:t>el.</w:t>
      </w:r>
    </w:p>
    <w:p w:rsidR="00CF589F" w:rsidRPr="00CF589F" w:rsidRDefault="001C5E5F" w:rsidP="007A4F9F">
      <w:proofErr w:type="gramStart"/>
      <w:r>
        <w:t>T</w:t>
      </w:r>
      <w:r w:rsidR="00CF589F" w:rsidRPr="00CF589F">
        <w:t xml:space="preserve">reatment with </w:t>
      </w:r>
      <w:r w:rsidR="0062434D">
        <w:t>brimonidine tartrate 0.5% g</w:t>
      </w:r>
      <w:r w:rsidR="00CF589F" w:rsidRPr="00CF589F">
        <w:t xml:space="preserve">el showed reductions in facial </w:t>
      </w:r>
      <w:r w:rsidR="005C779C" w:rsidRPr="00CF589F">
        <w:t>erythema</w:t>
      </w:r>
      <w:r w:rsidR="005C779C">
        <w:t xml:space="preserve"> that</w:t>
      </w:r>
      <w:r w:rsidR="00CF589F" w:rsidRPr="00CF589F">
        <w:t xml:space="preserve"> were both statistically significant and clinically meaningful, with a rapid onset of effect in many cases (30 minutes after the first dose on Day 1).</w:t>
      </w:r>
      <w:proofErr w:type="gramEnd"/>
      <w:r w:rsidR="00CF589F" w:rsidRPr="00CF589F">
        <w:t xml:space="preserve"> </w:t>
      </w:r>
      <w:r w:rsidR="0062434D">
        <w:t>Brimonidine tartrate 0.5% g</w:t>
      </w:r>
      <w:r w:rsidR="00CF589F" w:rsidRPr="00CF589F">
        <w:t>el has be</w:t>
      </w:r>
      <w:r w:rsidR="0062434D">
        <w:t xml:space="preserve">en shown to be safe and well </w:t>
      </w:r>
      <w:r w:rsidR="00CF589F" w:rsidRPr="00CF589F">
        <w:t xml:space="preserve">tolerated, as evidenced in the data from the development program for </w:t>
      </w:r>
      <w:r w:rsidR="0062434D">
        <w:t>brimonidine tartrate 0.5% g</w:t>
      </w:r>
      <w:r w:rsidR="00211C26">
        <w:t xml:space="preserve">el. Furthermore, the long term, open </w:t>
      </w:r>
      <w:r w:rsidR="00CF589F" w:rsidRPr="00CF589F">
        <w:t>label study showed no attenuatio</w:t>
      </w:r>
      <w:r w:rsidR="00211C26">
        <w:t xml:space="preserve">n of treatment effect with long </w:t>
      </w:r>
      <w:r w:rsidR="00CF589F" w:rsidRPr="00CF589F">
        <w:t>term, chronic use</w:t>
      </w:r>
      <w:r w:rsidR="00DF6714">
        <w:t>,</w:t>
      </w:r>
      <w:r w:rsidR="00CF589F" w:rsidRPr="00CF589F">
        <w:t xml:space="preserve"> in addition to a positive effect on the social impact of treatment for facial erythema of rosacea with </w:t>
      </w:r>
      <w:r w:rsidR="0062434D">
        <w:t>brimonidine tartrate 0.5% g</w:t>
      </w:r>
      <w:r w:rsidR="00CF589F" w:rsidRPr="00CF589F">
        <w:t>el.</w:t>
      </w:r>
    </w:p>
    <w:p w:rsidR="00CF589F" w:rsidRPr="00CF589F" w:rsidRDefault="00CF589F" w:rsidP="007A4F9F">
      <w:r w:rsidRPr="00CF589F">
        <w:t xml:space="preserve">Rosacea is one of the most common chronic dermatological diseases; the prevalence statistics published in </w:t>
      </w:r>
      <w:r w:rsidR="007247CF">
        <w:t>EU</w:t>
      </w:r>
      <w:r w:rsidRPr="00CF589F">
        <w:t xml:space="preserve"> and the </w:t>
      </w:r>
      <w:r w:rsidR="007247CF">
        <w:t>USA</w:t>
      </w:r>
      <w:r w:rsidRPr="00CF589F">
        <w:t xml:space="preserve"> are highly variable, ranging from less than 1% to more than 20% of the adult population. Rosacea substantially impacts </w:t>
      </w:r>
      <w:proofErr w:type="spellStart"/>
      <w:r w:rsidR="007247CF">
        <w:t>QoL</w:t>
      </w:r>
      <w:proofErr w:type="spellEnd"/>
      <w:r w:rsidRPr="00CF589F">
        <w:t xml:space="preserve"> and can be associa</w:t>
      </w:r>
      <w:r w:rsidR="007247CF">
        <w:t>ted with depressive symptoms. T</w:t>
      </w:r>
      <w:r w:rsidRPr="00CF589F">
        <w:t>he psychological and social consequences of r</w:t>
      </w:r>
      <w:r w:rsidR="00DF6714">
        <w:t>osacea are often underestimated</w:t>
      </w:r>
      <w:r w:rsidRPr="00CF589F">
        <w:t xml:space="preserve"> as they are not consistently commensurate with the quantitative severity of the facial lesions. Rosacea is significantly associated with depression (</w:t>
      </w:r>
      <w:proofErr w:type="spellStart"/>
      <w:r w:rsidRPr="00CF589F">
        <w:t>Chosidow</w:t>
      </w:r>
      <w:proofErr w:type="spellEnd"/>
      <w:r w:rsidRPr="00CF589F">
        <w:t xml:space="preserve"> and </w:t>
      </w:r>
      <w:proofErr w:type="spellStart"/>
      <w:r w:rsidRPr="00CF589F">
        <w:t>Cribier</w:t>
      </w:r>
      <w:proofErr w:type="spellEnd"/>
      <w:r w:rsidRPr="00CF589F">
        <w:t xml:space="preserve"> 2011</w:t>
      </w:r>
      <w:r w:rsidR="00211C26">
        <w:rPr>
          <w:rStyle w:val="FootnoteReference"/>
        </w:rPr>
        <w:footnoteReference w:id="26"/>
      </w:r>
      <w:r w:rsidRPr="00CF589F">
        <w:t>).</w:t>
      </w:r>
    </w:p>
    <w:p w:rsidR="00CF589F" w:rsidRPr="00CF589F" w:rsidRDefault="00CF589F" w:rsidP="007A4F9F">
      <w:r w:rsidRPr="00CF589F">
        <w:t xml:space="preserve">Currently, there are no approved pharmaceutical agents that directly target the persistent facial erythema of rosacea. Current pharmaceutical treatments available for rosacea primarily target the </w:t>
      </w:r>
      <w:proofErr w:type="spellStart"/>
      <w:r w:rsidRPr="00CF589F">
        <w:t>papulopustular</w:t>
      </w:r>
      <w:proofErr w:type="spellEnd"/>
      <w:r w:rsidRPr="00CF589F">
        <w:t xml:space="preserve"> rosacea subtype of the disease, reducing rosacea inflammatory lesions through anti-inflammatory/</w:t>
      </w:r>
      <w:proofErr w:type="spellStart"/>
      <w:r w:rsidRPr="00CF589F">
        <w:t>antiparasitic</w:t>
      </w:r>
      <w:proofErr w:type="spellEnd"/>
      <w:r w:rsidRPr="00CF589F">
        <w:t xml:space="preserve"> mechanisms.</w:t>
      </w:r>
    </w:p>
    <w:p w:rsidR="00CF589F" w:rsidRPr="00CF589F" w:rsidRDefault="00CF589F" w:rsidP="007A4F9F">
      <w:r w:rsidRPr="00CF589F">
        <w:t xml:space="preserve">Topical treatment with brimonidine </w:t>
      </w:r>
      <w:r w:rsidR="00DF6714">
        <w:t xml:space="preserve">tartrate </w:t>
      </w:r>
      <w:r w:rsidRPr="00CF589F">
        <w:t xml:space="preserve">0.5% gel applied </w:t>
      </w:r>
      <w:proofErr w:type="spellStart"/>
      <w:r w:rsidR="00DF6714">
        <w:t>q.d</w:t>
      </w:r>
      <w:proofErr w:type="spellEnd"/>
      <w:r w:rsidR="00DF6714">
        <w:t>.</w:t>
      </w:r>
      <w:r w:rsidRPr="00CF589F">
        <w:t xml:space="preserve"> provides a rapid, effective and safe treatment option with potential positive social impact for adult patients with facial erythema of rosacea. However, there are certain limitations of the submission which need to be addressed before recommendin</w:t>
      </w:r>
      <w:r w:rsidR="00211C26">
        <w:t>g authori</w:t>
      </w:r>
      <w:r w:rsidR="00AA1AB5">
        <w:t>sation for marketing.</w:t>
      </w:r>
    </w:p>
    <w:p w:rsidR="00605AD4" w:rsidRPr="00BA754B" w:rsidRDefault="00211C26" w:rsidP="007A4F9F">
      <w:r w:rsidRPr="00BA754B">
        <w:t xml:space="preserve">The benefit </w:t>
      </w:r>
      <w:r w:rsidR="00CF589F" w:rsidRPr="00BA754B">
        <w:t xml:space="preserve">risk balance of </w:t>
      </w:r>
      <w:proofErr w:type="spellStart"/>
      <w:r w:rsidR="00CF589F" w:rsidRPr="00BA754B">
        <w:t>M</w:t>
      </w:r>
      <w:r w:rsidRPr="00BA754B">
        <w:t>irvaso</w:t>
      </w:r>
      <w:proofErr w:type="spellEnd"/>
      <w:r w:rsidR="00CF589F" w:rsidRPr="00BA754B">
        <w:t xml:space="preserve"> given the proposed usage (for the treatment of facial erythema of rosacea) is unfavourable, but would become favourable if changes recommended in </w:t>
      </w:r>
      <w:r w:rsidR="00BA754B">
        <w:t xml:space="preserve">the </w:t>
      </w:r>
      <w:r w:rsidR="00BA754B" w:rsidRPr="00BA754B">
        <w:rPr>
          <w:i/>
        </w:rPr>
        <w:t>First Round Recommendation Regarding Authorisation</w:t>
      </w:r>
      <w:r w:rsidR="00BA754B">
        <w:t xml:space="preserve"> </w:t>
      </w:r>
      <w:r w:rsidR="00DF6714">
        <w:t xml:space="preserve">(see below) </w:t>
      </w:r>
      <w:r w:rsidR="006F3729">
        <w:t>are accepted.</w:t>
      </w:r>
    </w:p>
    <w:p w:rsidR="00605AD4" w:rsidRPr="00605AD4" w:rsidRDefault="00605AD4" w:rsidP="007A4F9F">
      <w:pPr>
        <w:pStyle w:val="Heading3"/>
        <w:rPr>
          <w:rFonts w:eastAsia="Cambria"/>
        </w:rPr>
      </w:pPr>
      <w:bookmarkStart w:id="119" w:name="_Toc413157320"/>
      <w:r w:rsidRPr="00605AD4">
        <w:rPr>
          <w:rFonts w:eastAsia="Cambria"/>
        </w:rPr>
        <w:t xml:space="preserve">First </w:t>
      </w:r>
      <w:r w:rsidR="00AA4341">
        <w:rPr>
          <w:rFonts w:eastAsia="Cambria"/>
        </w:rPr>
        <w:t>r</w:t>
      </w:r>
      <w:r w:rsidRPr="00605AD4">
        <w:rPr>
          <w:rFonts w:eastAsia="Cambria"/>
        </w:rPr>
        <w:t xml:space="preserve">ound </w:t>
      </w:r>
      <w:r w:rsidR="00AA4341">
        <w:rPr>
          <w:rFonts w:eastAsia="Cambria"/>
        </w:rPr>
        <w:t>r</w:t>
      </w:r>
      <w:r w:rsidRPr="00605AD4">
        <w:rPr>
          <w:rFonts w:eastAsia="Cambria"/>
        </w:rPr>
        <w:t xml:space="preserve">ecommendation </w:t>
      </w:r>
      <w:r w:rsidR="00AA4341">
        <w:rPr>
          <w:rFonts w:eastAsia="Cambria"/>
        </w:rPr>
        <w:t>r</w:t>
      </w:r>
      <w:r w:rsidRPr="00605AD4">
        <w:rPr>
          <w:rFonts w:eastAsia="Cambria"/>
        </w:rPr>
        <w:t xml:space="preserve">egarding </w:t>
      </w:r>
      <w:r w:rsidR="00AA4341">
        <w:rPr>
          <w:rFonts w:eastAsia="Cambria"/>
        </w:rPr>
        <w:t>a</w:t>
      </w:r>
      <w:r w:rsidRPr="00605AD4">
        <w:rPr>
          <w:rFonts w:eastAsia="Cambria"/>
        </w:rPr>
        <w:t>uthorisation</w:t>
      </w:r>
      <w:bookmarkEnd w:id="119"/>
    </w:p>
    <w:p w:rsidR="00CF589F" w:rsidRPr="00CF589F" w:rsidRDefault="00CF589F" w:rsidP="007A4F9F">
      <w:r w:rsidRPr="00CF589F">
        <w:t>It is recommended that approval of the submission be granted subje</w:t>
      </w:r>
      <w:r w:rsidR="00211C26">
        <w:t>ct to the following conditions:</w:t>
      </w:r>
    </w:p>
    <w:p w:rsidR="00CF589F" w:rsidRPr="00CF589F" w:rsidRDefault="00CF589F" w:rsidP="00CF589F">
      <w:pPr>
        <w:pStyle w:val="ListBullet"/>
      </w:pPr>
      <w:r w:rsidRPr="00CF589F">
        <w:t xml:space="preserve">Approval </w:t>
      </w:r>
      <w:r w:rsidR="006F3729">
        <w:t xml:space="preserve">should </w:t>
      </w:r>
      <w:r w:rsidR="00BA754B">
        <w:t>be</w:t>
      </w:r>
      <w:r w:rsidRPr="00CF589F">
        <w:t xml:space="preserve"> granted for the modified indication of: “</w:t>
      </w:r>
      <w:proofErr w:type="spellStart"/>
      <w:r w:rsidRPr="00211C26">
        <w:rPr>
          <w:i/>
        </w:rPr>
        <w:t>M</w:t>
      </w:r>
      <w:r w:rsidR="00211C26" w:rsidRPr="00211C26">
        <w:rPr>
          <w:i/>
        </w:rPr>
        <w:t>irvaso</w:t>
      </w:r>
      <w:proofErr w:type="spellEnd"/>
      <w:r w:rsidRPr="00211C26">
        <w:rPr>
          <w:i/>
        </w:rPr>
        <w:t xml:space="preserve"> is indicated for the cutaneous symptomatic treatment of facial erythema of rosacea in adult patients</w:t>
      </w:r>
      <w:r w:rsidRPr="00CF589F">
        <w:t>.”</w:t>
      </w:r>
    </w:p>
    <w:p w:rsidR="00605AD4" w:rsidRPr="00BA754B" w:rsidRDefault="00CF589F" w:rsidP="007A4F9F">
      <w:pPr>
        <w:pStyle w:val="ListBullet"/>
      </w:pPr>
      <w:r w:rsidRPr="00BA754B">
        <w:t xml:space="preserve">Approval </w:t>
      </w:r>
      <w:r w:rsidR="00BA754B" w:rsidRPr="00BA754B">
        <w:t xml:space="preserve">should be </w:t>
      </w:r>
      <w:r w:rsidRPr="00BA754B">
        <w:t>subject to incorporation of changes to PI and CMI</w:t>
      </w:r>
      <w:r w:rsidR="00BA754B" w:rsidRPr="00BA754B">
        <w:rPr>
          <w:rStyle w:val="FootnoteReference"/>
        </w:rPr>
        <w:footnoteReference w:id="27"/>
      </w:r>
      <w:r w:rsidRPr="00BA754B">
        <w:t xml:space="preserve"> and adequate response</w:t>
      </w:r>
      <w:r w:rsidR="00BA754B" w:rsidRPr="00BA754B">
        <w:t>s</w:t>
      </w:r>
      <w:r w:rsidRPr="00BA754B">
        <w:t xml:space="preserve"> to the clinical questions </w:t>
      </w:r>
      <w:r w:rsidR="00BA754B" w:rsidRPr="00BA754B">
        <w:t>(below)</w:t>
      </w:r>
      <w:r w:rsidRPr="00BA754B">
        <w:t>.</w:t>
      </w:r>
    </w:p>
    <w:p w:rsidR="00605AD4" w:rsidRPr="00605AD4" w:rsidRDefault="00605AD4" w:rsidP="007A4F9F">
      <w:pPr>
        <w:pStyle w:val="Heading3"/>
        <w:rPr>
          <w:rFonts w:eastAsia="Cambria"/>
        </w:rPr>
      </w:pPr>
      <w:bookmarkStart w:id="120" w:name="_Toc413157321"/>
      <w:r w:rsidRPr="00605AD4">
        <w:rPr>
          <w:rFonts w:eastAsia="Cambria"/>
        </w:rPr>
        <w:lastRenderedPageBreak/>
        <w:t xml:space="preserve">Clinical </w:t>
      </w:r>
      <w:r w:rsidR="00AA4341">
        <w:rPr>
          <w:rFonts w:eastAsia="Cambria"/>
        </w:rPr>
        <w:t>q</w:t>
      </w:r>
      <w:r w:rsidRPr="00605AD4">
        <w:rPr>
          <w:rFonts w:eastAsia="Cambria"/>
        </w:rPr>
        <w:t>uestions</w:t>
      </w:r>
      <w:bookmarkEnd w:id="120"/>
    </w:p>
    <w:p w:rsidR="00CF589F" w:rsidRDefault="00CF589F" w:rsidP="007A4F9F">
      <w:pPr>
        <w:pStyle w:val="Heading4"/>
      </w:pPr>
      <w:bookmarkStart w:id="121" w:name="_Toc272414702"/>
      <w:bookmarkStart w:id="122" w:name="_Toc290846342"/>
      <w:bookmarkStart w:id="123" w:name="_Toc381350607"/>
      <w:r w:rsidRPr="00CF589F">
        <w:t>Pharmacokinetics</w:t>
      </w:r>
      <w:bookmarkEnd w:id="121"/>
      <w:bookmarkEnd w:id="122"/>
      <w:bookmarkEnd w:id="123"/>
    </w:p>
    <w:p w:rsidR="00366882" w:rsidRPr="00366882" w:rsidRDefault="00366882" w:rsidP="007A4F9F">
      <w:pPr>
        <w:pStyle w:val="Heading5"/>
      </w:pPr>
      <w:r>
        <w:t>Question 1</w:t>
      </w:r>
    </w:p>
    <w:p w:rsidR="00CF589F" w:rsidRPr="00CF589F" w:rsidRDefault="00CF589F" w:rsidP="007A4F9F">
      <w:r w:rsidRPr="00CF589F">
        <w:t xml:space="preserve">Why was the less sensitive analytical method, which had a </w:t>
      </w:r>
      <w:r w:rsidR="00326D97">
        <w:t>lower limit of quantification (</w:t>
      </w:r>
      <w:r w:rsidRPr="00CF589F">
        <w:t>LLQ</w:t>
      </w:r>
      <w:r w:rsidR="00326D97">
        <w:t>)</w:t>
      </w:r>
      <w:r w:rsidRPr="00CF589F">
        <w:t xml:space="preserve"> of 25 </w:t>
      </w:r>
      <w:proofErr w:type="spellStart"/>
      <w:r w:rsidRPr="00CF589F">
        <w:t>pg</w:t>
      </w:r>
      <w:proofErr w:type="spellEnd"/>
      <w:r w:rsidRPr="00CF589F">
        <w:t>/m</w:t>
      </w:r>
      <w:r w:rsidR="00326D97">
        <w:t>L, rather than the method from S</w:t>
      </w:r>
      <w:r w:rsidRPr="00CF589F">
        <w:t xml:space="preserve">tudy RD.06.SRE.18143, which had a LLQ of 10 </w:t>
      </w:r>
      <w:proofErr w:type="spellStart"/>
      <w:r w:rsidRPr="00CF589F">
        <w:t>pg</w:t>
      </w:r>
      <w:proofErr w:type="spellEnd"/>
      <w:r w:rsidRPr="00CF589F">
        <w:t>/mL, used to determine plasma concentrations of brimonidine in the 2 initial BA studies?</w:t>
      </w:r>
    </w:p>
    <w:p w:rsidR="00366882" w:rsidRDefault="00366882" w:rsidP="007A4F9F">
      <w:pPr>
        <w:pStyle w:val="Heading5"/>
      </w:pPr>
      <w:r>
        <w:t>Question 2</w:t>
      </w:r>
    </w:p>
    <w:p w:rsidR="00CF589F" w:rsidRPr="00CF589F" w:rsidRDefault="00CF589F" w:rsidP="007A4F9F">
      <w:r w:rsidRPr="00CF589F">
        <w:t xml:space="preserve">Why was 0.5% </w:t>
      </w:r>
      <w:proofErr w:type="spellStart"/>
      <w:r w:rsidRPr="00CF589F">
        <w:t>M</w:t>
      </w:r>
      <w:r w:rsidR="00211C26" w:rsidRPr="00CF589F">
        <w:t>irvaso</w:t>
      </w:r>
      <w:proofErr w:type="spellEnd"/>
      <w:r w:rsidRPr="00CF589F">
        <w:t xml:space="preserve"> gel </w:t>
      </w:r>
      <w:r w:rsidR="00326D97">
        <w:t xml:space="preserve">(that is, </w:t>
      </w:r>
      <w:proofErr w:type="gramStart"/>
      <w:r w:rsidR="00326D97">
        <w:t>the to</w:t>
      </w:r>
      <w:proofErr w:type="gramEnd"/>
      <w:r w:rsidR="00326D97">
        <w:t xml:space="preserve"> be marketed concentration) </w:t>
      </w:r>
      <w:r w:rsidRPr="00CF589F">
        <w:t>not examined in the BA studies in healthy subjects, as the higher dose may have been easier to detect in plasma?</w:t>
      </w:r>
    </w:p>
    <w:p w:rsidR="00366882" w:rsidRDefault="00366882" w:rsidP="007A4F9F">
      <w:pPr>
        <w:pStyle w:val="Heading5"/>
      </w:pPr>
      <w:r>
        <w:t>Question 3</w:t>
      </w:r>
    </w:p>
    <w:p w:rsidR="00CF589F" w:rsidRPr="00CF589F" w:rsidRDefault="00CF589F" w:rsidP="00CF589F">
      <w:r w:rsidRPr="00CF589F">
        <w:t xml:space="preserve">Have the sponsors conducted a population </w:t>
      </w:r>
      <w:r w:rsidR="00E325E2">
        <w:t>PK</w:t>
      </w:r>
      <w:r w:rsidRPr="00CF589F">
        <w:t xml:space="preserve"> analysis on pooled data which examines the effects of race, age, gender and Fitzgerald’s skin types on the PK, PD and safety of </w:t>
      </w:r>
      <w:proofErr w:type="spellStart"/>
      <w:r w:rsidRPr="00CF589F">
        <w:t>M</w:t>
      </w:r>
      <w:r w:rsidR="00211C26" w:rsidRPr="00CF589F">
        <w:t>irvaso</w:t>
      </w:r>
      <w:proofErr w:type="spellEnd"/>
      <w:r w:rsidRPr="00CF589F">
        <w:t xml:space="preserve"> Gel?</w:t>
      </w:r>
    </w:p>
    <w:p w:rsidR="00366882" w:rsidRDefault="00366882" w:rsidP="007A4F9F">
      <w:pPr>
        <w:pStyle w:val="Heading5"/>
      </w:pPr>
      <w:r>
        <w:t>Question 4</w:t>
      </w:r>
    </w:p>
    <w:p w:rsidR="00CF589F" w:rsidRPr="00CF589F" w:rsidRDefault="00CF589F" w:rsidP="007A4F9F">
      <w:r w:rsidRPr="00CF589F">
        <w:t xml:space="preserve">Can the </w:t>
      </w:r>
      <w:r w:rsidR="005C779C">
        <w:t>sponsor please justify why drug/</w:t>
      </w:r>
      <w:r w:rsidRPr="00CF589F">
        <w:t>drug interaction studies with other pharmaceutical agents used in the treatment</w:t>
      </w:r>
      <w:r w:rsidR="00211C26">
        <w:t xml:space="preserve"> of facial rosacea, such as low </w:t>
      </w:r>
      <w:r w:rsidRPr="00CF589F">
        <w:t>d</w:t>
      </w:r>
      <w:r w:rsidR="00211C26">
        <w:t xml:space="preserve">ose clonidine, long acting beta </w:t>
      </w:r>
      <w:r w:rsidRPr="00CF589F">
        <w:t xml:space="preserve">blockers, antibiotics or </w:t>
      </w:r>
      <w:proofErr w:type="spellStart"/>
      <w:r w:rsidRPr="00CF589F">
        <w:t>retinoids</w:t>
      </w:r>
      <w:proofErr w:type="spellEnd"/>
      <w:r w:rsidR="00326D97">
        <w:t>,</w:t>
      </w:r>
      <w:r w:rsidRPr="00CF589F">
        <w:t xml:space="preserve"> have not been conducted?</w:t>
      </w:r>
    </w:p>
    <w:p w:rsidR="00605AD4" w:rsidRPr="00605AD4" w:rsidRDefault="00605AD4" w:rsidP="007A4F9F">
      <w:pPr>
        <w:pStyle w:val="Heading3"/>
        <w:rPr>
          <w:rFonts w:eastAsia="Cambria"/>
        </w:rPr>
      </w:pPr>
      <w:bookmarkStart w:id="124" w:name="_Toc413157322"/>
      <w:r w:rsidRPr="00605AD4">
        <w:rPr>
          <w:rFonts w:eastAsia="Cambria"/>
        </w:rPr>
        <w:t xml:space="preserve">Second </w:t>
      </w:r>
      <w:r w:rsidR="00AA4341">
        <w:rPr>
          <w:rFonts w:eastAsia="Cambria"/>
        </w:rPr>
        <w:t>r</w:t>
      </w:r>
      <w:r w:rsidRPr="00605AD4">
        <w:rPr>
          <w:rFonts w:eastAsia="Cambria"/>
        </w:rPr>
        <w:t xml:space="preserve">ound </w:t>
      </w:r>
      <w:r w:rsidR="00AA4341">
        <w:rPr>
          <w:rFonts w:eastAsia="Cambria"/>
        </w:rPr>
        <w:t>e</w:t>
      </w:r>
      <w:r w:rsidRPr="00605AD4">
        <w:rPr>
          <w:rFonts w:eastAsia="Cambria"/>
        </w:rPr>
        <w:t>valuation of clinical data submitted in response to questions</w:t>
      </w:r>
      <w:bookmarkEnd w:id="124"/>
    </w:p>
    <w:p w:rsidR="00326D97" w:rsidRDefault="00326D97" w:rsidP="007A4F9F">
      <w:r>
        <w:t>The sponsor</w:t>
      </w:r>
      <w:r w:rsidR="000901F0" w:rsidRPr="000901F0">
        <w:t xml:space="preserve"> </w:t>
      </w:r>
      <w:r w:rsidRPr="00326D97">
        <w:t>provided acceptable responses to Questions 1, 2 and 4. (</w:t>
      </w:r>
      <w:proofErr w:type="gramStart"/>
      <w:r w:rsidRPr="00326D97">
        <w:t>see</w:t>
      </w:r>
      <w:proofErr w:type="gramEnd"/>
      <w:r w:rsidRPr="00326D97">
        <w:t xml:space="preserve"> CER Extract Attachment 2 for details of the responses). With regards to Question 3</w:t>
      </w:r>
      <w:r>
        <w:t>, t</w:t>
      </w:r>
      <w:r w:rsidR="000901F0" w:rsidRPr="000901F0">
        <w:t xml:space="preserve">he evaluator accepts that the </w:t>
      </w:r>
      <w:proofErr w:type="spellStart"/>
      <w:r w:rsidR="000901F0" w:rsidRPr="000901F0">
        <w:t>Mirvaso</w:t>
      </w:r>
      <w:proofErr w:type="spellEnd"/>
      <w:r w:rsidR="000901F0" w:rsidRPr="000901F0">
        <w:t xml:space="preserve"> may have been difficult to detect in plasma. However, due to the small number of participants enrolled in the definitive study, that is Study RD.06.SRE.18143, it is impossible, based on the PK data available, to determine whether gender and age related differences or factors such as hepatic or renal impairment affect the PKs of </w:t>
      </w:r>
      <w:proofErr w:type="spellStart"/>
      <w:r w:rsidR="000901F0" w:rsidRPr="000901F0">
        <w:t>Mirvaso</w:t>
      </w:r>
      <w:proofErr w:type="spellEnd"/>
      <w:r w:rsidR="000901F0" w:rsidRPr="000901F0">
        <w:t xml:space="preserve">. </w:t>
      </w:r>
      <w:r w:rsidRPr="00326D97">
        <w:t xml:space="preserve">The current PI already states that the effects of hepatic and renal impairment have not been studied and that the data relating to subjects older than 65 is limited; however, no statement is included in the PI, which identifies the fact that the effects of gender on the PKs of </w:t>
      </w:r>
      <w:proofErr w:type="spellStart"/>
      <w:r w:rsidRPr="00326D97">
        <w:t>Mirvaso</w:t>
      </w:r>
      <w:proofErr w:type="spellEnd"/>
      <w:r w:rsidRPr="00326D97">
        <w:t xml:space="preserve"> are unknown and a statement to this effect should be included in the revised PI.</w:t>
      </w:r>
    </w:p>
    <w:p w:rsidR="00605AD4" w:rsidRPr="00605AD4" w:rsidRDefault="00605AD4" w:rsidP="007A4F9F">
      <w:pPr>
        <w:pStyle w:val="Heading3"/>
        <w:rPr>
          <w:rFonts w:eastAsia="Cambria"/>
        </w:rPr>
      </w:pPr>
      <w:bookmarkStart w:id="125" w:name="_Toc413157323"/>
      <w:r w:rsidRPr="00605AD4">
        <w:rPr>
          <w:rFonts w:eastAsia="Cambria"/>
        </w:rPr>
        <w:t xml:space="preserve">Second </w:t>
      </w:r>
      <w:r w:rsidR="00AA4341">
        <w:rPr>
          <w:rFonts w:eastAsia="Cambria"/>
        </w:rPr>
        <w:t>r</w:t>
      </w:r>
      <w:r w:rsidRPr="00605AD4">
        <w:rPr>
          <w:rFonts w:eastAsia="Cambria"/>
        </w:rPr>
        <w:t xml:space="preserve">ound </w:t>
      </w:r>
      <w:r w:rsidR="00AA4341">
        <w:rPr>
          <w:rFonts w:eastAsia="Cambria"/>
        </w:rPr>
        <w:t>b</w:t>
      </w:r>
      <w:r w:rsidRPr="00605AD4">
        <w:rPr>
          <w:rFonts w:eastAsia="Cambria"/>
        </w:rPr>
        <w:t>enefit-</w:t>
      </w:r>
      <w:r w:rsidR="00AA4341">
        <w:rPr>
          <w:rFonts w:eastAsia="Cambria"/>
        </w:rPr>
        <w:t>r</w:t>
      </w:r>
      <w:r w:rsidRPr="00605AD4">
        <w:rPr>
          <w:rFonts w:eastAsia="Cambria"/>
        </w:rPr>
        <w:t xml:space="preserve">isk </w:t>
      </w:r>
      <w:r w:rsidR="00AA4341">
        <w:rPr>
          <w:rFonts w:eastAsia="Cambria"/>
        </w:rPr>
        <w:t>a</w:t>
      </w:r>
      <w:r w:rsidRPr="00605AD4">
        <w:rPr>
          <w:rFonts w:eastAsia="Cambria"/>
        </w:rPr>
        <w:t>ssessment</w:t>
      </w:r>
      <w:bookmarkEnd w:id="125"/>
    </w:p>
    <w:p w:rsidR="00665F88" w:rsidRPr="00665F88" w:rsidRDefault="00665F88" w:rsidP="007A4F9F">
      <w:pPr>
        <w:pStyle w:val="Heading4"/>
      </w:pPr>
      <w:bookmarkStart w:id="126" w:name="_Toc272414709"/>
      <w:bookmarkStart w:id="127" w:name="_Toc290846349"/>
      <w:bookmarkStart w:id="128" w:name="_Toc381350614"/>
      <w:r w:rsidRPr="00665F88">
        <w:t>Second round assessment of benefits</w:t>
      </w:r>
      <w:bookmarkEnd w:id="126"/>
      <w:bookmarkEnd w:id="127"/>
      <w:bookmarkEnd w:id="128"/>
    </w:p>
    <w:p w:rsidR="00665F88" w:rsidRPr="00665F88" w:rsidRDefault="00665F88" w:rsidP="007A4F9F">
      <w:bookmarkStart w:id="129" w:name="_Toc272414710"/>
      <w:bookmarkStart w:id="130" w:name="_Toc290846350"/>
      <w:r w:rsidRPr="00665F88">
        <w:t xml:space="preserve">After consideration of response to clinical questions, the benefits of </w:t>
      </w:r>
      <w:proofErr w:type="spellStart"/>
      <w:r w:rsidRPr="00665F88">
        <w:t>Mirvaso</w:t>
      </w:r>
      <w:proofErr w:type="spellEnd"/>
      <w:r w:rsidRPr="00665F88">
        <w:t xml:space="preserve"> in the proposed usage are unchanged from those identified in</w:t>
      </w:r>
      <w:r>
        <w:t xml:space="preserve"> </w:t>
      </w:r>
      <w:r w:rsidRPr="00665F88">
        <w:rPr>
          <w:i/>
        </w:rPr>
        <w:t>First Round Assessment of Benefits.</w:t>
      </w:r>
    </w:p>
    <w:p w:rsidR="00665F88" w:rsidRPr="00665F88" w:rsidRDefault="00665F88" w:rsidP="007A4F9F">
      <w:pPr>
        <w:pStyle w:val="Heading4"/>
      </w:pPr>
      <w:bookmarkStart w:id="131" w:name="_Toc381350615"/>
      <w:r w:rsidRPr="00665F88">
        <w:t>Second round assessment of risks</w:t>
      </w:r>
      <w:bookmarkEnd w:id="129"/>
      <w:bookmarkEnd w:id="130"/>
      <w:bookmarkEnd w:id="131"/>
    </w:p>
    <w:p w:rsidR="00605AD4" w:rsidRDefault="00665F88" w:rsidP="007A4F9F">
      <w:r w:rsidRPr="00665F88">
        <w:t xml:space="preserve">After consideration of response to clinical questions, the risks of </w:t>
      </w:r>
      <w:proofErr w:type="spellStart"/>
      <w:r w:rsidRPr="00665F88">
        <w:t>Mirvaso</w:t>
      </w:r>
      <w:proofErr w:type="spellEnd"/>
      <w:r w:rsidRPr="00665F88">
        <w:t xml:space="preserve"> in the proposed usage are unchanged from those identified in in </w:t>
      </w:r>
      <w:r w:rsidRPr="00665F88">
        <w:rPr>
          <w:i/>
        </w:rPr>
        <w:t>First Round Assessment of Risks</w:t>
      </w:r>
      <w:r>
        <w:t>.</w:t>
      </w:r>
    </w:p>
    <w:p w:rsidR="00BA754B" w:rsidRPr="00BA754B" w:rsidRDefault="00BA754B" w:rsidP="007A4F9F">
      <w:pPr>
        <w:pStyle w:val="Heading3"/>
      </w:pPr>
      <w:bookmarkStart w:id="132" w:name="_Toc356306164"/>
      <w:bookmarkStart w:id="133" w:name="_Toc413157324"/>
      <w:r w:rsidRPr="00BA754B">
        <w:lastRenderedPageBreak/>
        <w:t>Second round recommendation regarding authorisation</w:t>
      </w:r>
      <w:bookmarkEnd w:id="132"/>
      <w:bookmarkEnd w:id="133"/>
    </w:p>
    <w:p w:rsidR="00BA754B" w:rsidRPr="00BA754B" w:rsidRDefault="00BA754B" w:rsidP="007A4F9F">
      <w:r w:rsidRPr="00BA754B">
        <w:t xml:space="preserve">It is recommended that approval of the submission be granted for the indication of: </w:t>
      </w:r>
    </w:p>
    <w:p w:rsidR="00BA754B" w:rsidRPr="00BA754B" w:rsidRDefault="00BA754B" w:rsidP="00BA754B">
      <w:pPr>
        <w:ind w:left="720"/>
        <w:rPr>
          <w:i/>
        </w:rPr>
      </w:pPr>
      <w:r w:rsidRPr="00BA754B">
        <w:rPr>
          <w:i/>
        </w:rPr>
        <w:t>“</w:t>
      </w:r>
      <w:proofErr w:type="spellStart"/>
      <w:r w:rsidRPr="00BA754B">
        <w:rPr>
          <w:i/>
        </w:rPr>
        <w:t>Mirvaso</w:t>
      </w:r>
      <w:proofErr w:type="spellEnd"/>
      <w:r w:rsidRPr="00BA754B">
        <w:rPr>
          <w:i/>
        </w:rPr>
        <w:t xml:space="preserve"> is indicated for the cutaneous symptomatic treatment of facial erythema of rosacea in adult patients.” </w:t>
      </w:r>
    </w:p>
    <w:p w:rsidR="00BA754B" w:rsidRPr="00605AD4" w:rsidRDefault="00BA754B" w:rsidP="007A4F9F">
      <w:r w:rsidRPr="00BA754B">
        <w:t>Approval is subject to incorporation of a minor change to the proposed PI details of which are beyond the scope of the AusPAR.</w:t>
      </w:r>
    </w:p>
    <w:p w:rsidR="008E7846" w:rsidRPr="00E41208" w:rsidRDefault="008E7846" w:rsidP="007A4F9F">
      <w:pPr>
        <w:pStyle w:val="Heading2"/>
      </w:pPr>
      <w:bookmarkStart w:id="134" w:name="_Toc413157325"/>
      <w:r w:rsidRPr="00E41208">
        <w:t xml:space="preserve">V. Pharmacovigilance </w:t>
      </w:r>
      <w:r>
        <w:t>f</w:t>
      </w:r>
      <w:r w:rsidRPr="00E41208">
        <w:t>indings</w:t>
      </w:r>
      <w:bookmarkEnd w:id="97"/>
      <w:bookmarkEnd w:id="98"/>
      <w:bookmarkEnd w:id="134"/>
    </w:p>
    <w:p w:rsidR="008E7846" w:rsidRDefault="00386150" w:rsidP="007A4F9F">
      <w:pPr>
        <w:pStyle w:val="Heading3"/>
        <w:rPr>
          <w:lang w:eastAsia="en-AU"/>
        </w:rPr>
      </w:pPr>
      <w:bookmarkStart w:id="135" w:name="_Toc247691526"/>
      <w:bookmarkStart w:id="136" w:name="_Toc314842509"/>
      <w:bookmarkStart w:id="137" w:name="_Toc413157326"/>
      <w:r>
        <w:rPr>
          <w:lang w:eastAsia="en-AU"/>
        </w:rPr>
        <w:t>Risk m</w:t>
      </w:r>
      <w:r w:rsidR="008E7846">
        <w:rPr>
          <w:lang w:eastAsia="en-AU"/>
        </w:rPr>
        <w:t xml:space="preserve">anagement </w:t>
      </w:r>
      <w:r>
        <w:rPr>
          <w:lang w:eastAsia="en-AU"/>
        </w:rPr>
        <w:t>p</w:t>
      </w:r>
      <w:r w:rsidR="008E7846">
        <w:rPr>
          <w:lang w:eastAsia="en-AU"/>
        </w:rPr>
        <w:t>lan</w:t>
      </w:r>
      <w:bookmarkEnd w:id="135"/>
      <w:bookmarkEnd w:id="136"/>
      <w:bookmarkEnd w:id="137"/>
    </w:p>
    <w:p w:rsidR="008E7846" w:rsidRDefault="008E7846" w:rsidP="007A4F9F">
      <w:pPr>
        <w:rPr>
          <w:lang w:eastAsia="en-AU"/>
        </w:rPr>
      </w:pPr>
      <w:r>
        <w:rPr>
          <w:lang w:eastAsia="en-AU"/>
        </w:rPr>
        <w:t>The sponsor submitted a Risk Management Plan</w:t>
      </w:r>
      <w:r w:rsidR="00D30737">
        <w:rPr>
          <w:lang w:eastAsia="en-AU"/>
        </w:rPr>
        <w:t xml:space="preserve"> </w:t>
      </w:r>
      <w:r w:rsidR="00A91D0E">
        <w:rPr>
          <w:lang w:eastAsia="en-AU"/>
        </w:rPr>
        <w:t>(RMP)</w:t>
      </w:r>
      <w:r w:rsidR="006F25B8">
        <w:rPr>
          <w:lang w:eastAsia="en-AU"/>
        </w:rPr>
        <w:t xml:space="preserve"> </w:t>
      </w:r>
      <w:r w:rsidR="00054326" w:rsidRPr="00054326">
        <w:rPr>
          <w:lang w:eastAsia="en-AU"/>
        </w:rPr>
        <w:t xml:space="preserve">EU-RMP Version 1.0 (dated June 2012, </w:t>
      </w:r>
      <w:r w:rsidR="00054326">
        <w:rPr>
          <w:lang w:eastAsia="en-AU"/>
        </w:rPr>
        <w:t>data lock point</w:t>
      </w:r>
      <w:r w:rsidR="00054326" w:rsidRPr="00054326">
        <w:rPr>
          <w:lang w:eastAsia="en-AU"/>
        </w:rPr>
        <w:t xml:space="preserve"> 18/06/2012) and Australian Specific Annex Version</w:t>
      </w:r>
      <w:r w:rsidR="00D30737">
        <w:rPr>
          <w:lang w:eastAsia="en-AU"/>
        </w:rPr>
        <w:t xml:space="preserve"> </w:t>
      </w:r>
      <w:r w:rsidR="00663348">
        <w:rPr>
          <w:lang w:eastAsia="en-AU"/>
        </w:rPr>
        <w:t>(ASA)</w:t>
      </w:r>
      <w:r w:rsidR="00054326" w:rsidRPr="00054326">
        <w:rPr>
          <w:lang w:eastAsia="en-AU"/>
        </w:rPr>
        <w:t xml:space="preserve"> 1.0 (dated July 2013, data lock point not given)</w:t>
      </w:r>
      <w:r w:rsidR="00054326">
        <w:rPr>
          <w:lang w:eastAsia="en-AU"/>
        </w:rPr>
        <w:t xml:space="preserve"> </w:t>
      </w:r>
      <w:r>
        <w:rPr>
          <w:lang w:eastAsia="en-AU"/>
        </w:rPr>
        <w:t>which was reviewed by the TGA’s Office of Product Review (OPR).</w:t>
      </w:r>
    </w:p>
    <w:p w:rsidR="008E7846" w:rsidRDefault="003A7F6C" w:rsidP="007A4F9F">
      <w:pPr>
        <w:pStyle w:val="Heading4"/>
        <w:rPr>
          <w:lang w:eastAsia="en-AU"/>
        </w:rPr>
      </w:pPr>
      <w:r>
        <w:rPr>
          <w:lang w:eastAsia="en-AU"/>
        </w:rPr>
        <w:t>Safety s</w:t>
      </w:r>
      <w:r w:rsidR="008E7846">
        <w:rPr>
          <w:lang w:eastAsia="en-AU"/>
        </w:rPr>
        <w:t>pecification</w:t>
      </w:r>
    </w:p>
    <w:p w:rsidR="00054326" w:rsidRPr="006F3729" w:rsidRDefault="00054326" w:rsidP="007A4F9F">
      <w:r w:rsidRPr="006F3729">
        <w:t>Subje</w:t>
      </w:r>
      <w:r w:rsidR="006961EE" w:rsidRPr="006F3729">
        <w:t>ct to the evaluation of the non clinical aspects of the s</w:t>
      </w:r>
      <w:r w:rsidRPr="006F3729">
        <w:t xml:space="preserve">afety </w:t>
      </w:r>
      <w:r w:rsidR="006961EE" w:rsidRPr="006F3729">
        <w:t>s</w:t>
      </w:r>
      <w:r w:rsidRPr="006F3729">
        <w:t>pecification (SS) by the Toxicology area of the O</w:t>
      </w:r>
      <w:r w:rsidR="0052776D" w:rsidRPr="006F3729">
        <w:t xml:space="preserve">ffice of </w:t>
      </w:r>
      <w:r w:rsidRPr="006F3729">
        <w:t>S</w:t>
      </w:r>
      <w:r w:rsidR="0052776D" w:rsidRPr="006F3729">
        <w:t xml:space="preserve">cientific </w:t>
      </w:r>
      <w:r w:rsidRPr="006F3729">
        <w:t>E</w:t>
      </w:r>
      <w:r w:rsidR="0052776D" w:rsidRPr="006F3729">
        <w:t>valuation</w:t>
      </w:r>
      <w:r w:rsidRPr="006F3729">
        <w:t xml:space="preserve"> and the clinical aspects of the SS by the O</w:t>
      </w:r>
      <w:r w:rsidR="0052776D" w:rsidRPr="006F3729">
        <w:t xml:space="preserve">ffice of </w:t>
      </w:r>
      <w:r w:rsidRPr="006F3729">
        <w:t>M</w:t>
      </w:r>
      <w:r w:rsidR="0052776D" w:rsidRPr="006F3729">
        <w:t xml:space="preserve">edicines </w:t>
      </w:r>
      <w:r w:rsidRPr="006F3729">
        <w:t>A</w:t>
      </w:r>
      <w:r w:rsidR="0052776D" w:rsidRPr="006F3729">
        <w:t>uthorisation</w:t>
      </w:r>
      <w:r w:rsidRPr="006F3729">
        <w:t xml:space="preserve">, the summary of the ongoing safety concerns as specified by the sponsor is as follows (Table </w:t>
      </w:r>
      <w:r w:rsidR="00A25419">
        <w:t>6</w:t>
      </w:r>
      <w:r w:rsidRPr="006F3729">
        <w:t>):</w:t>
      </w:r>
    </w:p>
    <w:p w:rsidR="00087162" w:rsidRPr="0052776D" w:rsidRDefault="00054326" w:rsidP="007A4F9F">
      <w:pPr>
        <w:pStyle w:val="TableTitle"/>
      </w:pPr>
      <w:proofErr w:type="gramStart"/>
      <w:r w:rsidRPr="006F3729">
        <w:t xml:space="preserve">Table </w:t>
      </w:r>
      <w:r w:rsidR="00A25419">
        <w:t>6</w:t>
      </w:r>
      <w:r w:rsidRPr="006F3729">
        <w:t>.</w:t>
      </w:r>
      <w:proofErr w:type="gramEnd"/>
      <w:r w:rsidRPr="006F3729">
        <w:t xml:space="preserve"> </w:t>
      </w:r>
      <w:proofErr w:type="gramStart"/>
      <w:r w:rsidRPr="00087162">
        <w:t>Ongoing safety concerns provided by the sponsor in their RMP submission.</w:t>
      </w:r>
      <w:proofErr w:type="gramEnd"/>
    </w:p>
    <w:tbl>
      <w:tblPr>
        <w:tblStyle w:val="TableTGAblue"/>
        <w:tblW w:w="0" w:type="auto"/>
        <w:tblLook w:val="04A0" w:firstRow="1" w:lastRow="0" w:firstColumn="1" w:lastColumn="0" w:noHBand="0" w:noVBand="1"/>
      </w:tblPr>
      <w:tblGrid>
        <w:gridCol w:w="3085"/>
        <w:gridCol w:w="5635"/>
      </w:tblGrid>
      <w:tr w:rsidR="00087162" w:rsidTr="00040C1C">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087162" w:rsidRPr="0052776D" w:rsidRDefault="00054326" w:rsidP="007A4F9F">
            <w:r w:rsidRPr="0052776D">
              <w:t>Ongoing safety concerns</w:t>
            </w:r>
          </w:p>
        </w:tc>
      </w:tr>
      <w:tr w:rsidR="00087162" w:rsidTr="0052776D">
        <w:tc>
          <w:tcPr>
            <w:tcW w:w="3085" w:type="dxa"/>
          </w:tcPr>
          <w:p w:rsidR="00087162" w:rsidRPr="0052776D" w:rsidRDefault="00087162" w:rsidP="007A4F9F">
            <w:r w:rsidRPr="0052776D">
              <w:rPr>
                <w:bCs/>
              </w:rPr>
              <w:t>Important identified risks</w:t>
            </w:r>
          </w:p>
        </w:tc>
        <w:tc>
          <w:tcPr>
            <w:tcW w:w="5635" w:type="dxa"/>
          </w:tcPr>
          <w:p w:rsidR="005B5D39" w:rsidRDefault="00087162" w:rsidP="007A4F9F">
            <w:r w:rsidRPr="0052776D">
              <w:t>Skin and subcutaneous tissue disorders</w:t>
            </w:r>
          </w:p>
          <w:p w:rsidR="00087162" w:rsidRPr="0052776D" w:rsidRDefault="00087162" w:rsidP="007A4F9F">
            <w:r w:rsidRPr="0052776D">
              <w:t>Vascular disorders – flushing</w:t>
            </w:r>
          </w:p>
          <w:p w:rsidR="00087162" w:rsidRPr="0052776D" w:rsidRDefault="00087162" w:rsidP="007A4F9F">
            <w:r w:rsidRPr="0052776D">
              <w:t>Skin sensitisation</w:t>
            </w:r>
          </w:p>
          <w:p w:rsidR="00087162" w:rsidRPr="0052776D" w:rsidRDefault="00087162" w:rsidP="007A4F9F">
            <w:r w:rsidRPr="0052776D">
              <w:t>Accidental oral ingestion</w:t>
            </w:r>
          </w:p>
        </w:tc>
      </w:tr>
      <w:tr w:rsidR="00087162" w:rsidTr="0052776D">
        <w:tc>
          <w:tcPr>
            <w:tcW w:w="3085" w:type="dxa"/>
          </w:tcPr>
          <w:p w:rsidR="00087162" w:rsidRPr="0052776D" w:rsidRDefault="00087162" w:rsidP="007A4F9F">
            <w:r w:rsidRPr="0052776D">
              <w:rPr>
                <w:bCs/>
              </w:rPr>
              <w:t>Important potential risks</w:t>
            </w:r>
          </w:p>
        </w:tc>
        <w:tc>
          <w:tcPr>
            <w:tcW w:w="5635" w:type="dxa"/>
          </w:tcPr>
          <w:p w:rsidR="00087162" w:rsidRPr="0052776D" w:rsidRDefault="00087162" w:rsidP="007A4F9F">
            <w:r w:rsidRPr="0052776D">
              <w:t>None identified</w:t>
            </w:r>
          </w:p>
        </w:tc>
      </w:tr>
      <w:tr w:rsidR="00087162" w:rsidTr="0052776D">
        <w:tc>
          <w:tcPr>
            <w:tcW w:w="3085" w:type="dxa"/>
          </w:tcPr>
          <w:p w:rsidR="00087162" w:rsidRPr="0052776D" w:rsidRDefault="00087162" w:rsidP="007A4F9F">
            <w:r w:rsidRPr="0052776D">
              <w:rPr>
                <w:bCs/>
              </w:rPr>
              <w:t>Important missing information</w:t>
            </w:r>
          </w:p>
        </w:tc>
        <w:tc>
          <w:tcPr>
            <w:tcW w:w="5635" w:type="dxa"/>
          </w:tcPr>
          <w:p w:rsidR="00087162" w:rsidRPr="0052776D" w:rsidRDefault="00087162" w:rsidP="007A4F9F">
            <w:r w:rsidRPr="0052776D">
              <w:t>Patients with particular severe/complex forms of rosacea</w:t>
            </w:r>
          </w:p>
          <w:p w:rsidR="00087162" w:rsidRPr="0052776D" w:rsidRDefault="00087162" w:rsidP="007A4F9F">
            <w:r w:rsidRPr="0052776D">
              <w:t>Paediatric population</w:t>
            </w:r>
          </w:p>
          <w:p w:rsidR="00087162" w:rsidRPr="0052776D" w:rsidRDefault="00087162" w:rsidP="007A4F9F">
            <w:r w:rsidRPr="0052776D">
              <w:t>Ethnicity other than white Caucasian</w:t>
            </w:r>
          </w:p>
          <w:p w:rsidR="00087162" w:rsidRPr="0052776D" w:rsidRDefault="00087162" w:rsidP="007A4F9F">
            <w:r w:rsidRPr="0052776D">
              <w:t>European patient experience</w:t>
            </w:r>
          </w:p>
          <w:p w:rsidR="00087162" w:rsidRPr="0052776D" w:rsidRDefault="00087162" w:rsidP="007A4F9F">
            <w:r w:rsidRPr="0052776D">
              <w:t>Lactating women</w:t>
            </w:r>
          </w:p>
          <w:p w:rsidR="00087162" w:rsidRPr="0052776D" w:rsidRDefault="00087162" w:rsidP="007A4F9F">
            <w:r w:rsidRPr="0052776D">
              <w:t>Pregnancy</w:t>
            </w:r>
          </w:p>
          <w:p w:rsidR="00087162" w:rsidRPr="0052776D" w:rsidRDefault="00087162" w:rsidP="007A4F9F">
            <w:r w:rsidRPr="0052776D">
              <w:t>Patients with renal and/or hepatic impairment</w:t>
            </w:r>
          </w:p>
          <w:p w:rsidR="00087162" w:rsidRPr="0052776D" w:rsidRDefault="00087162" w:rsidP="007A4F9F">
            <w:r w:rsidRPr="0052776D">
              <w:t>Concurrent significant disease including d</w:t>
            </w:r>
            <w:r w:rsidR="0052776D">
              <w:t xml:space="preserve">epression, cerebral or coronary </w:t>
            </w:r>
            <w:r w:rsidRPr="0052776D">
              <w:t>insufficiency, Raynaud’s phenomenon, orthosta</w:t>
            </w:r>
            <w:r w:rsidR="0052776D">
              <w:t xml:space="preserve">tic hypotension, </w:t>
            </w:r>
            <w:proofErr w:type="spellStart"/>
            <w:r w:rsidR="0052776D">
              <w:t>thrombangiitis</w:t>
            </w:r>
            <w:proofErr w:type="spellEnd"/>
            <w:r w:rsidR="0052776D">
              <w:t xml:space="preserve"> </w:t>
            </w:r>
            <w:proofErr w:type="spellStart"/>
            <w:r w:rsidRPr="0052776D">
              <w:t>obliterans</w:t>
            </w:r>
            <w:proofErr w:type="spellEnd"/>
            <w:r w:rsidRPr="0052776D">
              <w:t xml:space="preserve">, scleroderma, or </w:t>
            </w:r>
            <w:proofErr w:type="spellStart"/>
            <w:r w:rsidRPr="0052776D">
              <w:t>Sjögren’s</w:t>
            </w:r>
            <w:proofErr w:type="spellEnd"/>
            <w:r w:rsidRPr="0052776D">
              <w:t xml:space="preserve"> syndrome.</w:t>
            </w:r>
          </w:p>
        </w:tc>
      </w:tr>
    </w:tbl>
    <w:p w:rsidR="00087162" w:rsidRPr="00665F88" w:rsidRDefault="00087162" w:rsidP="005B5D39">
      <w:pPr>
        <w:pStyle w:val="Heading5"/>
      </w:pPr>
      <w:r w:rsidRPr="00665F88">
        <w:lastRenderedPageBreak/>
        <w:t>OPR reviewer comment</w:t>
      </w:r>
    </w:p>
    <w:p w:rsidR="00087162" w:rsidRPr="00665F88" w:rsidRDefault="00087162" w:rsidP="005B5D39">
      <w:r w:rsidRPr="00665F88">
        <w:t>Notwithsta</w:t>
      </w:r>
      <w:r w:rsidR="00665F88">
        <w:t xml:space="preserve">nding the evaluation of the non </w:t>
      </w:r>
      <w:r w:rsidRPr="00665F88">
        <w:t xml:space="preserve">clinical and clinical aspects of the </w:t>
      </w:r>
      <w:r w:rsidR="00DE4568" w:rsidRPr="00665F88">
        <w:t>safety specifications</w:t>
      </w:r>
      <w:r w:rsidRPr="00665F88">
        <w:t xml:space="preserve">, </w:t>
      </w:r>
      <w:r w:rsidR="00665F88">
        <w:t>the listed o</w:t>
      </w:r>
      <w:r w:rsidRPr="00665F88">
        <w:t>ngoi</w:t>
      </w:r>
      <w:r w:rsidR="00665F88">
        <w:t>ng safety c</w:t>
      </w:r>
      <w:r w:rsidRPr="00665F88">
        <w:t>oncerns are considered acceptable.</w:t>
      </w:r>
    </w:p>
    <w:p w:rsidR="008E7846" w:rsidRDefault="008E7846" w:rsidP="005B5D39">
      <w:pPr>
        <w:pStyle w:val="Heading4"/>
        <w:rPr>
          <w:lang w:eastAsia="en-AU"/>
        </w:rPr>
      </w:pPr>
      <w:r>
        <w:rPr>
          <w:lang w:eastAsia="en-AU"/>
        </w:rPr>
        <w:t xml:space="preserve">Pharmacovigilance </w:t>
      </w:r>
      <w:r w:rsidR="003A7F6C">
        <w:rPr>
          <w:lang w:eastAsia="en-AU"/>
        </w:rPr>
        <w:t>p</w:t>
      </w:r>
      <w:r>
        <w:rPr>
          <w:lang w:eastAsia="en-AU"/>
        </w:rPr>
        <w:t>lan</w:t>
      </w:r>
    </w:p>
    <w:p w:rsidR="00087162" w:rsidRPr="0052776D" w:rsidRDefault="00087162" w:rsidP="005B5D39">
      <w:r w:rsidRPr="0052776D">
        <w:t>The sponsor proposes routine and additional pharmacovigilance activities (a p</w:t>
      </w:r>
      <w:r w:rsidR="0052776D">
        <w:t xml:space="preserve">atient </w:t>
      </w:r>
      <w:r w:rsidRPr="0052776D">
        <w:t xml:space="preserve">reported outcome study; and a </w:t>
      </w:r>
      <w:r w:rsidR="00DE4568" w:rsidRPr="0052776D">
        <w:t xml:space="preserve">4 week vehicle </w:t>
      </w:r>
      <w:r w:rsidRPr="0052776D">
        <w:t>controlled study) for important identified and potential risks and missing information.</w:t>
      </w:r>
    </w:p>
    <w:p w:rsidR="008E7846" w:rsidRDefault="008E7846" w:rsidP="005B5D39">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6F25B8" w:rsidRDefault="00DE4568" w:rsidP="005B5D39">
      <w:bookmarkStart w:id="138" w:name="_Toc371951605"/>
      <w:bookmarkStart w:id="139" w:name="_Toc247691527"/>
      <w:r>
        <w:t>The s</w:t>
      </w:r>
      <w:r w:rsidRPr="00DE4568">
        <w:t>ponsor’s conclusion in regard to the need for additional risk minimisation activities</w:t>
      </w:r>
      <w:bookmarkEnd w:id="138"/>
      <w:r>
        <w:t xml:space="preserve"> is:</w:t>
      </w:r>
      <w:r w:rsidRPr="00DE4568">
        <w:t xml:space="preserve"> ‘No risk management activities other than labelling through the S</w:t>
      </w:r>
      <w:r>
        <w:t xml:space="preserve">ummary of </w:t>
      </w:r>
      <w:r w:rsidRPr="00DE4568">
        <w:t>P</w:t>
      </w:r>
      <w:r>
        <w:t xml:space="preserve">roduct </w:t>
      </w:r>
      <w:r w:rsidRPr="00DE4568">
        <w:t>C</w:t>
      </w:r>
      <w:r>
        <w:t>haracteristics</w:t>
      </w:r>
      <w:r w:rsidRPr="00DE4568">
        <w:t xml:space="preserve"> </w:t>
      </w:r>
      <w:r>
        <w:t>(</w:t>
      </w:r>
      <w:proofErr w:type="spellStart"/>
      <w:r>
        <w:t>SmPC</w:t>
      </w:r>
      <w:proofErr w:type="spellEnd"/>
      <w:r>
        <w:t xml:space="preserve">) </w:t>
      </w:r>
      <w:r w:rsidRPr="00DE4568">
        <w:t>and P</w:t>
      </w:r>
      <w:r>
        <w:t xml:space="preserve">atient </w:t>
      </w:r>
      <w:r w:rsidRPr="00DE4568">
        <w:t>I</w:t>
      </w:r>
      <w:r>
        <w:t xml:space="preserve">nformation </w:t>
      </w:r>
      <w:r w:rsidRPr="00DE4568">
        <w:t>L</w:t>
      </w:r>
      <w:r>
        <w:t>eaflet</w:t>
      </w:r>
      <w:r>
        <w:rPr>
          <w:rStyle w:val="FootnoteReference"/>
          <w:i/>
        </w:rPr>
        <w:footnoteReference w:id="28"/>
      </w:r>
      <w:r w:rsidRPr="00DE4568">
        <w:t xml:space="preserve"> are proposed for identified risks or for missing information.</w:t>
      </w:r>
      <w:r>
        <w:t>’</w:t>
      </w:r>
    </w:p>
    <w:p w:rsidR="00665F88" w:rsidRDefault="00DE4568" w:rsidP="005B5D39">
      <w:pPr>
        <w:pStyle w:val="Heading5"/>
      </w:pPr>
      <w:r w:rsidRPr="00DE4568">
        <w:t>OPR reviewer comment:</w:t>
      </w:r>
    </w:p>
    <w:p w:rsidR="00DE4568" w:rsidRDefault="00DE4568" w:rsidP="005B5D39">
      <w:r w:rsidRPr="00DE4568">
        <w:t>The sponsor’s conclusion is acceptable</w:t>
      </w:r>
      <w:r>
        <w:t>.</w:t>
      </w:r>
    </w:p>
    <w:p w:rsidR="00DE4568" w:rsidRPr="00DE4568" w:rsidRDefault="00DE4568" w:rsidP="005B5D39">
      <w:pPr>
        <w:pStyle w:val="Heading4"/>
      </w:pPr>
      <w:r w:rsidRPr="00DE4568">
        <w:t xml:space="preserve">Risk minimisation </w:t>
      </w:r>
      <w:r>
        <w:t>plan</w:t>
      </w:r>
    </w:p>
    <w:p w:rsidR="00DE4568" w:rsidRPr="0052776D" w:rsidRDefault="00DE4568" w:rsidP="005B5D39">
      <w:r w:rsidRPr="00937B9C">
        <w:t>No additional risk minimisation activities are proposed for</w:t>
      </w:r>
      <w:r>
        <w:t xml:space="preserve"> </w:t>
      </w:r>
      <w:r w:rsidRPr="00FF0731">
        <w:t>brimonidine tartrate</w:t>
      </w:r>
      <w:r w:rsidR="0052776D">
        <w:t>.</w:t>
      </w:r>
    </w:p>
    <w:p w:rsidR="006F25B8" w:rsidRDefault="006F25B8" w:rsidP="005B5D39">
      <w:pPr>
        <w:pStyle w:val="Heading4"/>
        <w:rPr>
          <w:lang w:eastAsia="en-AU"/>
        </w:rPr>
      </w:pPr>
      <w:r w:rsidRPr="006F25B8">
        <w:rPr>
          <w:lang w:eastAsia="en-AU"/>
        </w:rPr>
        <w:t>Reconciliation of issues outlined in the RMP report</w:t>
      </w:r>
    </w:p>
    <w:p w:rsidR="006F25B8" w:rsidRDefault="006F25B8" w:rsidP="005B5D39">
      <w:pPr>
        <w:rPr>
          <w:lang w:eastAsia="en-AU"/>
        </w:rPr>
      </w:pPr>
      <w:r w:rsidRPr="006F3729">
        <w:rPr>
          <w:lang w:eastAsia="en-AU"/>
        </w:rPr>
        <w:t>Table</w:t>
      </w:r>
      <w:r w:rsidR="0052776D" w:rsidRPr="006F3729">
        <w:rPr>
          <w:lang w:eastAsia="en-AU"/>
        </w:rPr>
        <w:t xml:space="preserve"> </w:t>
      </w:r>
      <w:r w:rsidR="00A25419">
        <w:rPr>
          <w:lang w:eastAsia="en-AU"/>
        </w:rPr>
        <w:t>7</w:t>
      </w:r>
      <w:r w:rsidRPr="006F3729">
        <w:rPr>
          <w:lang w:eastAsia="en-AU"/>
        </w:rPr>
        <w:t xml:space="preserve"> summarises </w:t>
      </w:r>
      <w:r>
        <w:rPr>
          <w:lang w:eastAsia="en-AU"/>
        </w:rPr>
        <w:t>the OPR’s first round evaluation of the RMP, the sponsor’s responses to issues raised by the OPR and the OPR’s evaluat</w:t>
      </w:r>
      <w:r w:rsidR="00A91D0E">
        <w:rPr>
          <w:lang w:eastAsia="en-AU"/>
        </w:rPr>
        <w:t>ion of the sponsor’s responses.</w:t>
      </w:r>
    </w:p>
    <w:p w:rsidR="00DC5E25" w:rsidRPr="00DC5E25" w:rsidRDefault="00366882" w:rsidP="005B5D39">
      <w:pPr>
        <w:pStyle w:val="TableTitle"/>
      </w:pPr>
      <w:proofErr w:type="gramStart"/>
      <w:r>
        <w:t xml:space="preserve">Table </w:t>
      </w:r>
      <w:r w:rsidR="00A25419">
        <w:t>7</w:t>
      </w:r>
      <w:r w:rsidR="00A91D0E">
        <w:t>.</w:t>
      </w:r>
      <w:proofErr w:type="gramEnd"/>
      <w:r w:rsidR="00A91D0E">
        <w:t xml:space="preserve"> Reconciliation of issues outlined in the RMP report.</w:t>
      </w:r>
    </w:p>
    <w:tbl>
      <w:tblPr>
        <w:tblStyle w:val="TableTGAblue"/>
        <w:tblW w:w="5000" w:type="pct"/>
        <w:jc w:val="center"/>
        <w:tblLayout w:type="fixed"/>
        <w:tblLook w:val="04A0" w:firstRow="1" w:lastRow="0" w:firstColumn="1" w:lastColumn="0" w:noHBand="0" w:noVBand="1"/>
      </w:tblPr>
      <w:tblGrid>
        <w:gridCol w:w="2803"/>
        <w:gridCol w:w="2975"/>
        <w:gridCol w:w="2942"/>
      </w:tblGrid>
      <w:tr w:rsidR="00DC5E25" w:rsidRPr="00DC5E25" w:rsidTr="00D30737">
        <w:trPr>
          <w:cnfStyle w:val="100000000000" w:firstRow="1" w:lastRow="0" w:firstColumn="0" w:lastColumn="0" w:oddVBand="0" w:evenVBand="0" w:oddHBand="0" w:evenHBand="0" w:firstRowFirstColumn="0" w:firstRowLastColumn="0" w:lastRowFirstColumn="0" w:lastRowLastColumn="0"/>
          <w:jc w:val="center"/>
        </w:trPr>
        <w:tc>
          <w:tcPr>
            <w:tcW w:w="1607" w:type="pct"/>
            <w:noWrap/>
          </w:tcPr>
          <w:p w:rsidR="00DC5E25" w:rsidRPr="00DC5E25" w:rsidRDefault="00DC5E25" w:rsidP="005B5D39">
            <w:pPr>
              <w:ind w:left="0"/>
            </w:pPr>
            <w:r w:rsidRPr="00DC5E25">
              <w:t>Recommendation in RMP evaluation report</w:t>
            </w:r>
          </w:p>
        </w:tc>
        <w:tc>
          <w:tcPr>
            <w:tcW w:w="1706" w:type="pct"/>
            <w:noWrap/>
          </w:tcPr>
          <w:p w:rsidR="00DC5E25" w:rsidRPr="00DC5E25" w:rsidRDefault="00DC5E25" w:rsidP="005B5D39">
            <w:pPr>
              <w:ind w:left="32"/>
            </w:pPr>
            <w:r w:rsidRPr="00DC5E25">
              <w:t>Sponsor’s response (or summary of the response)</w:t>
            </w:r>
          </w:p>
        </w:tc>
        <w:tc>
          <w:tcPr>
            <w:tcW w:w="1687" w:type="pct"/>
            <w:noWrap/>
          </w:tcPr>
          <w:p w:rsidR="00DC5E25" w:rsidRPr="00DC5E25" w:rsidRDefault="00DC5E25" w:rsidP="005B5D39">
            <w:pPr>
              <w:ind w:left="34"/>
            </w:pPr>
            <w:r w:rsidRPr="00DC5E25">
              <w:t>OPR evaluator’s comment</w:t>
            </w:r>
          </w:p>
        </w:tc>
      </w:tr>
      <w:tr w:rsidR="00DC5E25" w:rsidRPr="00DC5E25" w:rsidTr="00D30737">
        <w:trPr>
          <w:jc w:val="center"/>
        </w:trPr>
        <w:tc>
          <w:tcPr>
            <w:tcW w:w="1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0"/>
              <w:rPr>
                <w:sz w:val="20"/>
                <w:szCs w:val="20"/>
              </w:rPr>
            </w:pPr>
            <w:r w:rsidRPr="009A6879">
              <w:rPr>
                <w:sz w:val="20"/>
                <w:szCs w:val="20"/>
              </w:rPr>
              <w:t xml:space="preserve">Safety considerations may be raised by the nonclinical and clinical evaluators through the </w:t>
            </w:r>
            <w:r w:rsidR="00A91D0E" w:rsidRPr="009A6879">
              <w:rPr>
                <w:sz w:val="20"/>
                <w:szCs w:val="20"/>
              </w:rPr>
              <w:t xml:space="preserve">TGA </w:t>
            </w:r>
            <w:r w:rsidRPr="009A6879">
              <w:rPr>
                <w:sz w:val="20"/>
                <w:szCs w:val="20"/>
              </w:rPr>
              <w:t xml:space="preserve">consolidated request </w:t>
            </w:r>
            <w:r w:rsidR="00A91D0E" w:rsidRPr="009A6879">
              <w:rPr>
                <w:sz w:val="20"/>
                <w:szCs w:val="20"/>
              </w:rPr>
              <w:t>for further information and/or the n</w:t>
            </w:r>
            <w:r w:rsidRPr="009A6879">
              <w:rPr>
                <w:sz w:val="20"/>
                <w:szCs w:val="20"/>
              </w:rPr>
              <w:t>onclinical and</w:t>
            </w:r>
            <w:r w:rsidR="00A91D0E" w:rsidRPr="009A6879">
              <w:rPr>
                <w:sz w:val="20"/>
                <w:szCs w:val="20"/>
              </w:rPr>
              <w:t xml:space="preserve"> clinical evaluation report</w:t>
            </w:r>
            <w:r w:rsidRPr="009A6879">
              <w:rPr>
                <w:sz w:val="20"/>
                <w:szCs w:val="20"/>
              </w:rPr>
              <w:t xml:space="preserve"> </w:t>
            </w:r>
            <w:r w:rsidR="00A91D0E" w:rsidRPr="009A6879">
              <w:rPr>
                <w:sz w:val="20"/>
                <w:szCs w:val="20"/>
              </w:rPr>
              <w:t>(CER)</w:t>
            </w:r>
            <w:r w:rsidR="00C261A7" w:rsidRPr="009A6879">
              <w:rPr>
                <w:sz w:val="20"/>
                <w:szCs w:val="20"/>
              </w:rPr>
              <w:t xml:space="preserve"> respectively. </w:t>
            </w:r>
            <w:r w:rsidRPr="009A6879">
              <w:rPr>
                <w:sz w:val="20"/>
                <w:szCs w:val="20"/>
              </w:rPr>
              <w:t xml:space="preserve">It is important to ensure that the information provided in response to these includes a consideration of the relevance for the </w:t>
            </w:r>
            <w:r w:rsidR="00A91D0E" w:rsidRPr="009A6879">
              <w:rPr>
                <w:sz w:val="20"/>
                <w:szCs w:val="20"/>
              </w:rPr>
              <w:t>RMP</w:t>
            </w:r>
            <w:r w:rsidRPr="009A6879">
              <w:rPr>
                <w:sz w:val="20"/>
                <w:szCs w:val="20"/>
              </w:rPr>
              <w:t>, and any specific information needed to address this issue in the R</w:t>
            </w:r>
            <w:r w:rsidR="00C261A7" w:rsidRPr="009A6879">
              <w:rPr>
                <w:sz w:val="20"/>
                <w:szCs w:val="20"/>
              </w:rPr>
              <w:t xml:space="preserve">MP. </w:t>
            </w:r>
            <w:r w:rsidRPr="009A6879">
              <w:rPr>
                <w:sz w:val="20"/>
                <w:szCs w:val="20"/>
              </w:rPr>
              <w:t xml:space="preserve">For any safety considerations so raised, please provide information </w:t>
            </w:r>
            <w:r w:rsidRPr="009A6879">
              <w:rPr>
                <w:sz w:val="20"/>
                <w:szCs w:val="20"/>
              </w:rPr>
              <w:lastRenderedPageBreak/>
              <w:t>that is relevant and necessary to address the issue in the RMP.</w:t>
            </w:r>
          </w:p>
        </w:tc>
        <w:tc>
          <w:tcPr>
            <w:tcW w:w="170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2"/>
              <w:rPr>
                <w:sz w:val="20"/>
                <w:szCs w:val="20"/>
              </w:rPr>
            </w:pPr>
            <w:r w:rsidRPr="009A6879">
              <w:rPr>
                <w:sz w:val="20"/>
                <w:szCs w:val="20"/>
              </w:rPr>
              <w:lastRenderedPageBreak/>
              <w:t xml:space="preserve">‘No safety considerations were raised by nonclinical and clinical evaluators via </w:t>
            </w:r>
            <w:r w:rsidR="00985F2F" w:rsidRPr="009A6879">
              <w:rPr>
                <w:sz w:val="20"/>
                <w:szCs w:val="20"/>
              </w:rPr>
              <w:t xml:space="preserve">the TGA consolidated request for further information </w:t>
            </w:r>
            <w:r w:rsidRPr="009A6879">
              <w:rPr>
                <w:sz w:val="20"/>
                <w:szCs w:val="20"/>
              </w:rPr>
              <w:t xml:space="preserve">or the nonclinical or </w:t>
            </w:r>
            <w:r w:rsidR="00985F2F" w:rsidRPr="009A6879">
              <w:rPr>
                <w:sz w:val="20"/>
                <w:szCs w:val="20"/>
              </w:rPr>
              <w:t>CER reports</w:t>
            </w:r>
            <w:r w:rsidRPr="009A6879">
              <w:rPr>
                <w:sz w:val="20"/>
                <w:szCs w:val="20"/>
              </w:rPr>
              <w:t xml:space="preserve"> that impact the RMP. Should </w:t>
            </w:r>
            <w:r w:rsidR="00985F2F" w:rsidRPr="009A6879">
              <w:rPr>
                <w:sz w:val="20"/>
                <w:szCs w:val="20"/>
              </w:rPr>
              <w:t>such considerations arise, the a</w:t>
            </w:r>
            <w:r w:rsidRPr="009A6879">
              <w:rPr>
                <w:sz w:val="20"/>
                <w:szCs w:val="20"/>
              </w:rPr>
              <w:t>pplicant will provide information relevant and necessary to address such safety issues in the RMP.’</w:t>
            </w:r>
          </w:p>
        </w:tc>
        <w:tc>
          <w:tcPr>
            <w:tcW w:w="168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4"/>
              <w:rPr>
                <w:sz w:val="20"/>
                <w:szCs w:val="20"/>
              </w:rPr>
            </w:pPr>
            <w:r w:rsidRPr="009A6879">
              <w:rPr>
                <w:sz w:val="20"/>
                <w:szCs w:val="20"/>
              </w:rPr>
              <w:t>This is considered acceptable.</w:t>
            </w:r>
          </w:p>
        </w:tc>
      </w:tr>
      <w:tr w:rsidR="00DC5E25" w:rsidRPr="00DC5E25" w:rsidTr="00D30737">
        <w:trPr>
          <w:jc w:val="center"/>
        </w:trPr>
        <w:tc>
          <w:tcPr>
            <w:tcW w:w="1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0"/>
              <w:rPr>
                <w:sz w:val="20"/>
                <w:szCs w:val="20"/>
              </w:rPr>
            </w:pPr>
            <w:r w:rsidRPr="009A6879">
              <w:rPr>
                <w:sz w:val="20"/>
                <w:szCs w:val="20"/>
              </w:rPr>
              <w:lastRenderedPageBreak/>
              <w:t>It is noted that the sponsor ha</w:t>
            </w:r>
            <w:r w:rsidR="0000761A" w:rsidRPr="009A6879">
              <w:rPr>
                <w:sz w:val="20"/>
                <w:szCs w:val="20"/>
              </w:rPr>
              <w:t xml:space="preserve">s submitted a RMP in the old EU </w:t>
            </w:r>
            <w:r w:rsidRPr="009A6879">
              <w:rPr>
                <w:sz w:val="20"/>
                <w:szCs w:val="20"/>
              </w:rPr>
              <w:t>RMP format. The sponsor is advised to subm</w:t>
            </w:r>
            <w:r w:rsidR="0000761A" w:rsidRPr="009A6879">
              <w:rPr>
                <w:sz w:val="20"/>
                <w:szCs w:val="20"/>
              </w:rPr>
              <w:t xml:space="preserve">it the latest version of the EU </w:t>
            </w:r>
            <w:r w:rsidRPr="009A6879">
              <w:rPr>
                <w:sz w:val="20"/>
                <w:szCs w:val="20"/>
              </w:rPr>
              <w:t>RMP.</w:t>
            </w:r>
          </w:p>
        </w:tc>
        <w:tc>
          <w:tcPr>
            <w:tcW w:w="170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2"/>
              <w:rPr>
                <w:sz w:val="20"/>
                <w:szCs w:val="20"/>
              </w:rPr>
            </w:pPr>
            <w:r w:rsidRPr="009A6879">
              <w:rPr>
                <w:sz w:val="20"/>
                <w:szCs w:val="20"/>
              </w:rPr>
              <w:t xml:space="preserve">‘In compliance with the </w:t>
            </w:r>
            <w:r w:rsidR="00985F2F" w:rsidRPr="009A6879">
              <w:rPr>
                <w:sz w:val="20"/>
                <w:szCs w:val="20"/>
              </w:rPr>
              <w:t>TGA’s request, the a</w:t>
            </w:r>
            <w:r w:rsidRPr="009A6879">
              <w:rPr>
                <w:sz w:val="20"/>
                <w:szCs w:val="20"/>
              </w:rPr>
              <w:t xml:space="preserve">pplicant </w:t>
            </w:r>
            <w:r w:rsidR="00985F2F" w:rsidRPr="009A6879">
              <w:rPr>
                <w:sz w:val="20"/>
                <w:szCs w:val="20"/>
              </w:rPr>
              <w:t>provided</w:t>
            </w:r>
            <w:r w:rsidRPr="009A6879">
              <w:rPr>
                <w:sz w:val="20"/>
                <w:szCs w:val="20"/>
              </w:rPr>
              <w:t xml:space="preserve"> the RMP </w:t>
            </w:r>
            <w:r w:rsidR="0000761A" w:rsidRPr="009A6879">
              <w:rPr>
                <w:sz w:val="20"/>
                <w:szCs w:val="20"/>
              </w:rPr>
              <w:t>using the latest Day 120 EU RMP format.</w:t>
            </w:r>
            <w:r w:rsidRPr="009A6879">
              <w:rPr>
                <w:sz w:val="20"/>
                <w:szCs w:val="20"/>
              </w:rPr>
              <w:t xml:space="preserve"> Please note that this RMP version is the same version as the one submitted on the 16 September 2013 as requested </w:t>
            </w:r>
            <w:r w:rsidR="0000761A" w:rsidRPr="009A6879">
              <w:rPr>
                <w:sz w:val="20"/>
                <w:szCs w:val="20"/>
              </w:rPr>
              <w:t>by</w:t>
            </w:r>
            <w:r w:rsidRPr="009A6879">
              <w:rPr>
                <w:sz w:val="20"/>
                <w:szCs w:val="20"/>
              </w:rPr>
              <w:t xml:space="preserve"> the TGA.</w:t>
            </w:r>
          </w:p>
        </w:tc>
        <w:tc>
          <w:tcPr>
            <w:tcW w:w="168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4"/>
              <w:rPr>
                <w:sz w:val="20"/>
                <w:szCs w:val="20"/>
              </w:rPr>
            </w:pPr>
            <w:r w:rsidRPr="009A6879">
              <w:rPr>
                <w:sz w:val="20"/>
                <w:szCs w:val="20"/>
              </w:rPr>
              <w:t>It is noted that the submitted RMP in the new EU-RMP format (version 2) seems to be a draft version, as it does not contain any dates or dates of data lock points and many of the Ongoing Safety Concerns have been removed. It is also noted that the ASA attached to EU-RMP Version 2 (draft) has not been updated to reflect the differing Ongoing Safety Concerns in EU-RMP Version 2. As a result, for the purposes of this submission, the submitted EU-RMP (Version 1) with attached ASA shall apply in conjunction with the agreed changes by the sponsor in the response</w:t>
            </w:r>
            <w:r w:rsidR="006214F5" w:rsidRPr="009A6879">
              <w:rPr>
                <w:sz w:val="20"/>
                <w:szCs w:val="20"/>
              </w:rPr>
              <w:t xml:space="preserve"> to TGA’s consolidated request for information</w:t>
            </w:r>
            <w:r w:rsidRPr="009A6879">
              <w:rPr>
                <w:sz w:val="20"/>
                <w:szCs w:val="20"/>
              </w:rPr>
              <w:t>.</w:t>
            </w:r>
          </w:p>
        </w:tc>
      </w:tr>
      <w:tr w:rsidR="00DC5E25" w:rsidRPr="00DC5E25" w:rsidTr="00D30737">
        <w:trPr>
          <w:jc w:val="center"/>
        </w:trPr>
        <w:tc>
          <w:tcPr>
            <w:tcW w:w="1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0"/>
              <w:rPr>
                <w:sz w:val="20"/>
                <w:szCs w:val="20"/>
              </w:rPr>
            </w:pPr>
            <w:r w:rsidRPr="009A6879">
              <w:rPr>
                <w:sz w:val="20"/>
                <w:szCs w:val="20"/>
              </w:rPr>
              <w:t>The sponsor is advised to submit prot</w:t>
            </w:r>
            <w:r w:rsidR="00D30737" w:rsidRPr="009A6879">
              <w:rPr>
                <w:sz w:val="20"/>
                <w:szCs w:val="20"/>
              </w:rPr>
              <w:t>ocols or protocol synopses for S</w:t>
            </w:r>
            <w:r w:rsidRPr="009A6879">
              <w:rPr>
                <w:sz w:val="20"/>
                <w:szCs w:val="20"/>
              </w:rPr>
              <w:t>tudies RD.03.SPR.29107 and RD.03.SPR.40174.</w:t>
            </w:r>
          </w:p>
        </w:tc>
        <w:tc>
          <w:tcPr>
            <w:tcW w:w="170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2"/>
              <w:rPr>
                <w:sz w:val="20"/>
                <w:szCs w:val="20"/>
              </w:rPr>
            </w:pPr>
            <w:r w:rsidRPr="009A6879">
              <w:rPr>
                <w:sz w:val="20"/>
                <w:szCs w:val="20"/>
              </w:rPr>
              <w:t xml:space="preserve">In compliance with the </w:t>
            </w:r>
            <w:r w:rsidR="006214F5" w:rsidRPr="009A6879">
              <w:rPr>
                <w:sz w:val="20"/>
                <w:szCs w:val="20"/>
              </w:rPr>
              <w:t>TGA’s request, the a</w:t>
            </w:r>
            <w:r w:rsidRPr="009A6879">
              <w:rPr>
                <w:sz w:val="20"/>
                <w:szCs w:val="20"/>
              </w:rPr>
              <w:t>pplicant pr</w:t>
            </w:r>
            <w:r w:rsidR="006214F5" w:rsidRPr="009A6879">
              <w:rPr>
                <w:sz w:val="20"/>
                <w:szCs w:val="20"/>
              </w:rPr>
              <w:t>ovided</w:t>
            </w:r>
            <w:r w:rsidR="00D30737" w:rsidRPr="009A6879">
              <w:rPr>
                <w:sz w:val="20"/>
                <w:szCs w:val="20"/>
              </w:rPr>
              <w:t xml:space="preserve"> the protocols for European S</w:t>
            </w:r>
            <w:r w:rsidRPr="009A6879">
              <w:rPr>
                <w:sz w:val="20"/>
                <w:szCs w:val="20"/>
              </w:rPr>
              <w:t>tudies RD.0</w:t>
            </w:r>
            <w:r w:rsidR="006214F5" w:rsidRPr="009A6879">
              <w:rPr>
                <w:sz w:val="20"/>
                <w:szCs w:val="20"/>
              </w:rPr>
              <w:t xml:space="preserve">6.SPR.40174 and RD.06.SPR.29107. The former study is a double blind, vehicle </w:t>
            </w:r>
            <w:r w:rsidRPr="009A6879">
              <w:rPr>
                <w:sz w:val="20"/>
                <w:szCs w:val="20"/>
              </w:rPr>
              <w:t xml:space="preserve">controlled evaluation of the efficacy and safety of brimonidine tartrate 0.5% gel applied </w:t>
            </w:r>
            <w:proofErr w:type="spellStart"/>
            <w:r w:rsidR="00CD641E" w:rsidRPr="009A6879">
              <w:rPr>
                <w:sz w:val="20"/>
                <w:szCs w:val="20"/>
              </w:rPr>
              <w:t>q.d</w:t>
            </w:r>
            <w:proofErr w:type="spellEnd"/>
            <w:r w:rsidR="00CD641E" w:rsidRPr="009A6879">
              <w:rPr>
                <w:sz w:val="20"/>
                <w:szCs w:val="20"/>
              </w:rPr>
              <w:t>.</w:t>
            </w:r>
            <w:r w:rsidRPr="009A6879">
              <w:rPr>
                <w:sz w:val="20"/>
                <w:szCs w:val="20"/>
              </w:rPr>
              <w:t xml:space="preserve"> for a duration of 29 days in patients with moderate to severe facial erythema of rosace</w:t>
            </w:r>
            <w:r w:rsidR="00C261A7" w:rsidRPr="009A6879">
              <w:rPr>
                <w:sz w:val="20"/>
                <w:szCs w:val="20"/>
              </w:rPr>
              <w:t xml:space="preserve">a. The latter study is a double blind, vehicle </w:t>
            </w:r>
            <w:r w:rsidRPr="009A6879">
              <w:rPr>
                <w:sz w:val="20"/>
                <w:szCs w:val="20"/>
              </w:rPr>
              <w:t>controlled ass</w:t>
            </w:r>
            <w:r w:rsidR="00C261A7" w:rsidRPr="009A6879">
              <w:rPr>
                <w:sz w:val="20"/>
                <w:szCs w:val="20"/>
              </w:rPr>
              <w:t xml:space="preserve">essment of patient </w:t>
            </w:r>
            <w:r w:rsidRPr="009A6879">
              <w:rPr>
                <w:sz w:val="20"/>
                <w:szCs w:val="20"/>
              </w:rPr>
              <w:t xml:space="preserve">reported outcomes following treatment of severe facial erythema of rosacea applied </w:t>
            </w:r>
            <w:proofErr w:type="spellStart"/>
            <w:r w:rsidR="00CD641E" w:rsidRPr="009A6879">
              <w:rPr>
                <w:sz w:val="20"/>
                <w:szCs w:val="20"/>
              </w:rPr>
              <w:t>q.d</w:t>
            </w:r>
            <w:proofErr w:type="spellEnd"/>
            <w:r w:rsidR="00CD641E" w:rsidRPr="009A6879">
              <w:rPr>
                <w:sz w:val="20"/>
                <w:szCs w:val="20"/>
              </w:rPr>
              <w:t>.</w:t>
            </w:r>
            <w:r w:rsidRPr="009A6879">
              <w:rPr>
                <w:sz w:val="20"/>
                <w:szCs w:val="20"/>
              </w:rPr>
              <w:t xml:space="preserve"> for 8 days. As described in the RMP, the pharmacovigilance plan is based on routine pharmacovigilance activities. Therefore, only routine </w:t>
            </w:r>
            <w:r w:rsidRPr="009A6879">
              <w:rPr>
                <w:sz w:val="20"/>
                <w:szCs w:val="20"/>
              </w:rPr>
              <w:lastRenderedPageBreak/>
              <w:t>pharmacovigilance activities are planned and the conduct of these studies is not part of any additional pharmaco</w:t>
            </w:r>
            <w:r w:rsidR="006214F5" w:rsidRPr="009A6879">
              <w:rPr>
                <w:sz w:val="20"/>
                <w:szCs w:val="20"/>
              </w:rPr>
              <w:t>vigilance activities.</w:t>
            </w:r>
          </w:p>
        </w:tc>
        <w:tc>
          <w:tcPr>
            <w:tcW w:w="168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4"/>
              <w:rPr>
                <w:sz w:val="20"/>
                <w:szCs w:val="20"/>
              </w:rPr>
            </w:pPr>
            <w:r w:rsidRPr="009A6879">
              <w:rPr>
                <w:sz w:val="20"/>
                <w:szCs w:val="20"/>
              </w:rPr>
              <w:lastRenderedPageBreak/>
              <w:t>This is considered acceptable.</w:t>
            </w:r>
          </w:p>
        </w:tc>
      </w:tr>
      <w:tr w:rsidR="00DC5E25" w:rsidRPr="00DC5E25" w:rsidTr="00D30737">
        <w:trPr>
          <w:jc w:val="center"/>
        </w:trPr>
        <w:tc>
          <w:tcPr>
            <w:tcW w:w="1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0"/>
              <w:rPr>
                <w:sz w:val="20"/>
                <w:szCs w:val="20"/>
              </w:rPr>
            </w:pPr>
            <w:r w:rsidRPr="009A6879">
              <w:rPr>
                <w:sz w:val="20"/>
                <w:szCs w:val="20"/>
              </w:rPr>
              <w:lastRenderedPageBreak/>
              <w:t xml:space="preserve">The sponsor should make the results of the </w:t>
            </w:r>
            <w:r w:rsidR="00781ED1" w:rsidRPr="009A6879">
              <w:rPr>
                <w:sz w:val="20"/>
                <w:szCs w:val="20"/>
              </w:rPr>
              <w:t>LTS</w:t>
            </w:r>
            <w:r w:rsidRPr="009A6879">
              <w:rPr>
                <w:sz w:val="20"/>
                <w:szCs w:val="20"/>
              </w:rPr>
              <w:t xml:space="preserve"> study available to the TGA.</w:t>
            </w:r>
          </w:p>
        </w:tc>
        <w:tc>
          <w:tcPr>
            <w:tcW w:w="170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EE38A2" w:rsidRPr="009A6879" w:rsidRDefault="006214F5" w:rsidP="005B5D39">
            <w:pPr>
              <w:ind w:left="32"/>
              <w:rPr>
                <w:sz w:val="20"/>
                <w:szCs w:val="20"/>
              </w:rPr>
            </w:pPr>
            <w:r w:rsidRPr="009A6879">
              <w:rPr>
                <w:sz w:val="20"/>
                <w:szCs w:val="20"/>
              </w:rPr>
              <w:t>The a</w:t>
            </w:r>
            <w:r w:rsidR="00DC5E25" w:rsidRPr="009A6879">
              <w:rPr>
                <w:sz w:val="20"/>
                <w:szCs w:val="20"/>
              </w:rPr>
              <w:t>pplicant has provided the cli</w:t>
            </w:r>
            <w:r w:rsidR="00EE38A2" w:rsidRPr="009A6879">
              <w:rPr>
                <w:sz w:val="20"/>
                <w:szCs w:val="20"/>
              </w:rPr>
              <w:t xml:space="preserve">nical </w:t>
            </w:r>
            <w:r w:rsidRPr="009A6879">
              <w:rPr>
                <w:sz w:val="20"/>
                <w:szCs w:val="20"/>
              </w:rPr>
              <w:t xml:space="preserve">study report for the long </w:t>
            </w:r>
            <w:r w:rsidR="00DC5E25" w:rsidRPr="009A6879">
              <w:rPr>
                <w:sz w:val="20"/>
                <w:szCs w:val="20"/>
              </w:rPr>
              <w:t xml:space="preserve">term safety study RD.06.SRE.18142 with the initial application. As stated in the RMP, </w:t>
            </w:r>
            <w:r w:rsidR="00EE38A2" w:rsidRPr="009A6879">
              <w:rPr>
                <w:sz w:val="20"/>
                <w:szCs w:val="20"/>
              </w:rPr>
              <w:t xml:space="preserve">overall, the long </w:t>
            </w:r>
            <w:r w:rsidR="00DC5E25" w:rsidRPr="009A6879">
              <w:rPr>
                <w:sz w:val="20"/>
                <w:szCs w:val="20"/>
              </w:rPr>
              <w:t>term treatment of subjects with a once daily application of brimonidine tartrate 5 mg/g gel resulted in no new major safety findings or signals and the safety profile determined during earlier development was confirmed.</w:t>
            </w:r>
          </w:p>
          <w:p w:rsidR="00DC5E25" w:rsidRPr="009A6879" w:rsidRDefault="00DC5E25" w:rsidP="005B5D39">
            <w:pPr>
              <w:ind w:left="32"/>
              <w:rPr>
                <w:sz w:val="20"/>
                <w:szCs w:val="20"/>
              </w:rPr>
            </w:pPr>
            <w:r w:rsidRPr="009A6879">
              <w:rPr>
                <w:sz w:val="20"/>
                <w:szCs w:val="20"/>
              </w:rPr>
              <w:t>Of primary importance was the observation that the incidence of related TEAEs and premature discontinuations due to TEAEs did n</w:t>
            </w:r>
            <w:r w:rsidR="00EE38A2" w:rsidRPr="009A6879">
              <w:rPr>
                <w:sz w:val="20"/>
                <w:szCs w:val="20"/>
              </w:rPr>
              <w:t xml:space="preserve">ot increase over time with long </w:t>
            </w:r>
            <w:r w:rsidRPr="009A6879">
              <w:rPr>
                <w:sz w:val="20"/>
                <w:szCs w:val="20"/>
              </w:rPr>
              <w:t xml:space="preserve">term use of the study drug; </w:t>
            </w:r>
            <w:r w:rsidR="00EE38A2" w:rsidRPr="009A6879">
              <w:rPr>
                <w:sz w:val="20"/>
                <w:szCs w:val="20"/>
              </w:rPr>
              <w:t xml:space="preserve">there was no evidence that long </w:t>
            </w:r>
            <w:r w:rsidRPr="009A6879">
              <w:rPr>
                <w:sz w:val="20"/>
                <w:szCs w:val="20"/>
              </w:rPr>
              <w:t xml:space="preserve">term use of the study drug conveyed an increased risk of occurrence of any specific </w:t>
            </w:r>
            <w:r w:rsidR="00EE38A2" w:rsidRPr="009A6879">
              <w:rPr>
                <w:sz w:val="20"/>
                <w:szCs w:val="20"/>
              </w:rPr>
              <w:t>type of TEAE.</w:t>
            </w:r>
          </w:p>
        </w:tc>
        <w:tc>
          <w:tcPr>
            <w:tcW w:w="168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4"/>
              <w:rPr>
                <w:sz w:val="20"/>
                <w:szCs w:val="20"/>
              </w:rPr>
            </w:pPr>
            <w:r w:rsidRPr="009A6879">
              <w:rPr>
                <w:sz w:val="20"/>
                <w:szCs w:val="20"/>
              </w:rPr>
              <w:t>This is considered acceptable.</w:t>
            </w:r>
          </w:p>
        </w:tc>
      </w:tr>
      <w:tr w:rsidR="00DC5E25" w:rsidRPr="00DC5E25" w:rsidTr="00D30737">
        <w:trPr>
          <w:jc w:val="center"/>
        </w:trPr>
        <w:tc>
          <w:tcPr>
            <w:tcW w:w="1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EE38A2" w:rsidP="005B5D39">
            <w:pPr>
              <w:ind w:left="0"/>
              <w:rPr>
                <w:sz w:val="20"/>
                <w:szCs w:val="20"/>
              </w:rPr>
            </w:pPr>
            <w:r w:rsidRPr="009A6879">
              <w:rPr>
                <w:sz w:val="20"/>
                <w:szCs w:val="20"/>
              </w:rPr>
              <w:t>A</w:t>
            </w:r>
            <w:r w:rsidR="00DC5E25" w:rsidRPr="009A6879">
              <w:rPr>
                <w:sz w:val="20"/>
                <w:szCs w:val="20"/>
              </w:rPr>
              <w:t>ll the results from any pharmacovigilance activities should inform upd</w:t>
            </w:r>
            <w:r w:rsidR="00D30737" w:rsidRPr="009A6879">
              <w:rPr>
                <w:sz w:val="20"/>
                <w:szCs w:val="20"/>
              </w:rPr>
              <w:t>ates to the RMP</w:t>
            </w:r>
            <w:r w:rsidR="00DC5E25" w:rsidRPr="009A6879">
              <w:rPr>
                <w:sz w:val="20"/>
                <w:szCs w:val="20"/>
              </w:rPr>
              <w:t>, and should also be reported in the periodic safety update reports (PSURs).</w:t>
            </w:r>
          </w:p>
        </w:tc>
        <w:tc>
          <w:tcPr>
            <w:tcW w:w="170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EE38A2" w:rsidP="005B5D39">
            <w:pPr>
              <w:ind w:left="32"/>
              <w:rPr>
                <w:sz w:val="20"/>
                <w:szCs w:val="20"/>
              </w:rPr>
            </w:pPr>
            <w:r w:rsidRPr="009A6879">
              <w:rPr>
                <w:sz w:val="20"/>
                <w:szCs w:val="20"/>
              </w:rPr>
              <w:t>As</w:t>
            </w:r>
            <w:r w:rsidR="00DC5E25" w:rsidRPr="009A6879">
              <w:rPr>
                <w:sz w:val="20"/>
                <w:szCs w:val="20"/>
              </w:rPr>
              <w:t xml:space="preserve"> planned in routine pha</w:t>
            </w:r>
            <w:r w:rsidRPr="009A6879">
              <w:rPr>
                <w:sz w:val="20"/>
                <w:szCs w:val="20"/>
              </w:rPr>
              <w:t>rmacovigilance activities, the a</w:t>
            </w:r>
            <w:r w:rsidR="00DC5E25" w:rsidRPr="009A6879">
              <w:rPr>
                <w:sz w:val="20"/>
                <w:szCs w:val="20"/>
              </w:rPr>
              <w:t>pplicant agrees to update the RMP if needed and to report in PSURs any sa</w:t>
            </w:r>
            <w:r w:rsidRPr="009A6879">
              <w:rPr>
                <w:sz w:val="20"/>
                <w:szCs w:val="20"/>
              </w:rPr>
              <w:t xml:space="preserve">fety data collected during post </w:t>
            </w:r>
            <w:r w:rsidR="00DC5E25" w:rsidRPr="009A6879">
              <w:rPr>
                <w:sz w:val="20"/>
                <w:szCs w:val="20"/>
              </w:rPr>
              <w:t>authorisation use of brimonidine tartrate 0.5% gel.’</w:t>
            </w:r>
          </w:p>
        </w:tc>
        <w:tc>
          <w:tcPr>
            <w:tcW w:w="168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4"/>
              <w:rPr>
                <w:sz w:val="20"/>
                <w:szCs w:val="20"/>
              </w:rPr>
            </w:pPr>
            <w:r w:rsidRPr="009A6879">
              <w:rPr>
                <w:sz w:val="20"/>
                <w:szCs w:val="20"/>
              </w:rPr>
              <w:t>This is considered acceptable.</w:t>
            </w:r>
          </w:p>
        </w:tc>
      </w:tr>
      <w:tr w:rsidR="00DC5E25" w:rsidRPr="00DC5E25" w:rsidTr="00D30737">
        <w:trPr>
          <w:jc w:val="center"/>
        </w:trPr>
        <w:tc>
          <w:tcPr>
            <w:tcW w:w="160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0"/>
              <w:rPr>
                <w:sz w:val="20"/>
                <w:szCs w:val="20"/>
              </w:rPr>
            </w:pPr>
            <w:r w:rsidRPr="009A6879">
              <w:rPr>
                <w:sz w:val="20"/>
                <w:szCs w:val="20"/>
              </w:rPr>
              <w:t xml:space="preserve">The sponsor should present </w:t>
            </w:r>
            <w:r w:rsidR="00505DF4" w:rsidRPr="009A6879">
              <w:rPr>
                <w:sz w:val="20"/>
                <w:szCs w:val="20"/>
              </w:rPr>
              <w:t>AEs</w:t>
            </w:r>
            <w:r w:rsidRPr="009A6879">
              <w:rPr>
                <w:sz w:val="20"/>
                <w:szCs w:val="20"/>
              </w:rPr>
              <w:t xml:space="preserve"> in a table that allows easy visualisation of the </w:t>
            </w:r>
            <w:r w:rsidR="00505DF4" w:rsidRPr="009A6879">
              <w:rPr>
                <w:sz w:val="20"/>
                <w:szCs w:val="20"/>
              </w:rPr>
              <w:t>AEs</w:t>
            </w:r>
            <w:r w:rsidRPr="009A6879">
              <w:rPr>
                <w:sz w:val="20"/>
                <w:szCs w:val="20"/>
              </w:rPr>
              <w:t xml:space="preserve"> according to body system and frequency.</w:t>
            </w:r>
          </w:p>
        </w:tc>
        <w:tc>
          <w:tcPr>
            <w:tcW w:w="170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2"/>
              <w:rPr>
                <w:sz w:val="20"/>
                <w:szCs w:val="20"/>
              </w:rPr>
            </w:pPr>
            <w:r w:rsidRPr="009A6879">
              <w:rPr>
                <w:sz w:val="20"/>
                <w:szCs w:val="20"/>
              </w:rPr>
              <w:t xml:space="preserve">The table of adverse reactions has been reformatted as proposed in </w:t>
            </w:r>
            <w:r w:rsidR="00EE38A2" w:rsidRPr="009A6879">
              <w:rPr>
                <w:sz w:val="20"/>
                <w:szCs w:val="20"/>
              </w:rPr>
              <w:t>the response to the TGA’s consolidated request for further information.</w:t>
            </w:r>
          </w:p>
        </w:tc>
        <w:tc>
          <w:tcPr>
            <w:tcW w:w="168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rsidR="00DC5E25" w:rsidRPr="009A6879" w:rsidRDefault="00DC5E25" w:rsidP="005B5D39">
            <w:pPr>
              <w:ind w:left="34"/>
              <w:rPr>
                <w:sz w:val="20"/>
                <w:szCs w:val="20"/>
              </w:rPr>
            </w:pPr>
            <w:r w:rsidRPr="009A6879">
              <w:rPr>
                <w:sz w:val="20"/>
                <w:szCs w:val="20"/>
              </w:rPr>
              <w:t>This is considered acceptable.</w:t>
            </w:r>
          </w:p>
        </w:tc>
      </w:tr>
    </w:tbl>
    <w:p w:rsidR="00DC5E25" w:rsidRPr="00DC5E25" w:rsidRDefault="00DC5E25" w:rsidP="005B5D39">
      <w:pPr>
        <w:pStyle w:val="Heading4"/>
      </w:pPr>
      <w:r w:rsidRPr="00DC5E25">
        <w:lastRenderedPageBreak/>
        <w:t>Outstanding issues</w:t>
      </w:r>
    </w:p>
    <w:p w:rsidR="00DC5E25" w:rsidRPr="00DC5E25" w:rsidRDefault="00DC5E25" w:rsidP="005B5D39">
      <w:r w:rsidRPr="00DC5E25">
        <w:t>It is considered that the</w:t>
      </w:r>
      <w:r w:rsidR="006961EE">
        <w:t xml:space="preserve"> sponsor’s response to the TGA’s r</w:t>
      </w:r>
      <w:r w:rsidRPr="00DC5E25">
        <w:t xml:space="preserve">equest </w:t>
      </w:r>
      <w:r w:rsidR="006961EE">
        <w:t xml:space="preserve">for further information </w:t>
      </w:r>
      <w:r w:rsidRPr="00DC5E25">
        <w:t>has adequately addressed the issues identified in the RMP evaluation report.</w:t>
      </w:r>
    </w:p>
    <w:p w:rsidR="00D30737" w:rsidRDefault="00D30737" w:rsidP="005B5D39">
      <w:r w:rsidRPr="00D30737">
        <w:t>There is an outstanding issue with the draft format of the new version of the submitted EU‐RMP (see Table above).</w:t>
      </w:r>
    </w:p>
    <w:p w:rsidR="003B2284" w:rsidRPr="00D463CE" w:rsidRDefault="003B2284" w:rsidP="005B5D39">
      <w:pPr>
        <w:pStyle w:val="Heading4"/>
      </w:pPr>
      <w:r w:rsidRPr="008C486E">
        <w:t xml:space="preserve">Advice from the Advisory Committee on the </w:t>
      </w:r>
      <w:r>
        <w:t>Safety of Medicines (ACSOM)</w:t>
      </w:r>
    </w:p>
    <w:p w:rsidR="003B2284" w:rsidRDefault="003B2284" w:rsidP="005B5D39">
      <w:r>
        <w:t>Not applicable.</w:t>
      </w:r>
    </w:p>
    <w:p w:rsidR="00D30737" w:rsidRDefault="00D30737" w:rsidP="005B5D39">
      <w:pPr>
        <w:pStyle w:val="Heading4"/>
      </w:pPr>
      <w:r>
        <w:t>Comments on the safety specifications of the RMP</w:t>
      </w:r>
    </w:p>
    <w:p w:rsidR="00D30737" w:rsidRPr="008311D3" w:rsidRDefault="00D30737" w:rsidP="005B5D39">
      <w:pPr>
        <w:pStyle w:val="Heading5"/>
      </w:pPr>
      <w:r w:rsidRPr="008311D3">
        <w:t xml:space="preserve">OMA </w:t>
      </w:r>
      <w:r w:rsidR="006D60A7">
        <w:t>c</w:t>
      </w:r>
      <w:r w:rsidRPr="008311D3">
        <w:t xml:space="preserve">linical </w:t>
      </w:r>
      <w:r w:rsidR="006D60A7">
        <w:t>e</w:t>
      </w:r>
      <w:r w:rsidRPr="008311D3">
        <w:t xml:space="preserve">valuation </w:t>
      </w:r>
      <w:r w:rsidR="006D60A7">
        <w:t>report</w:t>
      </w:r>
    </w:p>
    <w:p w:rsidR="00D30737" w:rsidRDefault="00D30737" w:rsidP="005B5D39">
      <w:r>
        <w:t xml:space="preserve">The </w:t>
      </w:r>
      <w:r w:rsidRPr="00270F0E">
        <w:t>clinical evaluator made the following summary comment in regard to safety specifications in the draft RMP:</w:t>
      </w:r>
    </w:p>
    <w:p w:rsidR="00D30737" w:rsidRPr="005B5D39" w:rsidRDefault="00D30737" w:rsidP="005B5D39">
      <w:pPr>
        <w:ind w:firstLine="720"/>
        <w:rPr>
          <w:i/>
        </w:rPr>
      </w:pPr>
      <w:r w:rsidRPr="005B5D39">
        <w:rPr>
          <w:i/>
        </w:rPr>
        <w:t>‘The Safety Specification in the draft Risk Management Plan is satisfactory.’</w:t>
      </w:r>
    </w:p>
    <w:p w:rsidR="00D30737" w:rsidRPr="00E81056" w:rsidRDefault="00D30737" w:rsidP="005B5D39">
      <w:pPr>
        <w:pStyle w:val="Heading5"/>
      </w:pPr>
      <w:r w:rsidRPr="00E81056">
        <w:t>OS</w:t>
      </w:r>
      <w:r w:rsidR="006D60A7">
        <w:t>E nonclinical evaluation report</w:t>
      </w:r>
    </w:p>
    <w:p w:rsidR="00D30737" w:rsidRPr="006961EE" w:rsidRDefault="00D30737" w:rsidP="005B5D39">
      <w:r>
        <w:t xml:space="preserve">The non </w:t>
      </w:r>
      <w:r w:rsidRPr="006961EE">
        <w:t>clinical evaluator made the following summary comment in regard to safety specifications in the draft RMP:</w:t>
      </w:r>
    </w:p>
    <w:p w:rsidR="00D30737" w:rsidRPr="00E81056" w:rsidRDefault="00D30737" w:rsidP="00D30737">
      <w:pPr>
        <w:ind w:left="720"/>
        <w:rPr>
          <w:i/>
        </w:rPr>
      </w:pPr>
      <w:r w:rsidRPr="00E81056">
        <w:rPr>
          <w:i/>
        </w:rPr>
        <w:t xml:space="preserve">‘Results and conclusions drawn from the nonclinical program for </w:t>
      </w:r>
      <w:proofErr w:type="spellStart"/>
      <w:r w:rsidRPr="00E81056">
        <w:rPr>
          <w:i/>
        </w:rPr>
        <w:t>Mirvaso</w:t>
      </w:r>
      <w:proofErr w:type="spellEnd"/>
      <w:r w:rsidRPr="00E81056">
        <w:rPr>
          <w:i/>
        </w:rPr>
        <w:t xml:space="preserve"> detailed in the sponsor’s draft Risk Management Plan (Section 1.1) are in general concordance with those of the Nonclinical Evaluator.’</w:t>
      </w:r>
    </w:p>
    <w:p w:rsidR="0092402D" w:rsidRDefault="006D60A7" w:rsidP="005B5D39">
      <w:pPr>
        <w:pStyle w:val="Heading4"/>
      </w:pPr>
      <w:r>
        <w:t>Recommendation to the delegate</w:t>
      </w:r>
    </w:p>
    <w:p w:rsidR="003B2284" w:rsidRPr="006961EE" w:rsidRDefault="003B2284" w:rsidP="005B5D39">
      <w:r w:rsidRPr="006961EE">
        <w:t>Any changes to the RMP that were agreed to by the sponsor become part of the RMP, whether they are included in the currently available version of the RMP document, or not included, inadve</w:t>
      </w:r>
      <w:r w:rsidR="00D463CE" w:rsidRPr="006961EE">
        <w:t>rtently or otherwise.</w:t>
      </w:r>
    </w:p>
    <w:p w:rsidR="0092402D" w:rsidRPr="006961EE" w:rsidRDefault="0092402D" w:rsidP="005B5D39">
      <w:r>
        <w:t>O</w:t>
      </w:r>
      <w:r w:rsidR="003B2284" w:rsidRPr="006961EE">
        <w:t>nce a satisfact</w:t>
      </w:r>
      <w:r w:rsidR="00EE38A2">
        <w:t>ory RMP has been submitted</w:t>
      </w:r>
      <w:r>
        <w:t>, the following is recommended:</w:t>
      </w:r>
    </w:p>
    <w:p w:rsidR="0092402D" w:rsidRPr="006961EE" w:rsidRDefault="0092402D" w:rsidP="005B5D39">
      <w:pPr>
        <w:pStyle w:val="ListBullet"/>
      </w:pPr>
      <w:r w:rsidRPr="006961EE">
        <w:t>Implement EU-RMP Version 1.0 (dated June 2012, DLP 18/06/2012) and Australian Specific Annex Version 1.0 (dated July 2013, DLP not given), and any future updates (where TGA approved) as a condition of registration</w:t>
      </w:r>
    </w:p>
    <w:p w:rsidR="008E7846" w:rsidRPr="00792A32" w:rsidRDefault="008E7846" w:rsidP="003E26C3">
      <w:pPr>
        <w:pStyle w:val="Heading2"/>
      </w:pPr>
      <w:bookmarkStart w:id="140" w:name="_Toc314842510"/>
      <w:bookmarkStart w:id="141" w:name="_Toc413157327"/>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9"/>
      <w:bookmarkEnd w:id="139"/>
      <w:bookmarkEnd w:id="140"/>
      <w:bookmarkEnd w:id="141"/>
    </w:p>
    <w:p w:rsidR="008E7846" w:rsidRDefault="008E7846" w:rsidP="003E26C3">
      <w:bookmarkStart w:id="142"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3E26C3">
      <w:pPr>
        <w:pStyle w:val="Heading3"/>
      </w:pPr>
      <w:bookmarkStart w:id="143" w:name="_Toc314842511"/>
      <w:bookmarkStart w:id="144" w:name="_Toc413157328"/>
      <w:r>
        <w:t>Quality</w:t>
      </w:r>
      <w:bookmarkEnd w:id="142"/>
      <w:bookmarkEnd w:id="143"/>
      <w:bookmarkEnd w:id="144"/>
    </w:p>
    <w:p w:rsidR="0092402D" w:rsidRDefault="0092402D" w:rsidP="003E26C3">
      <w:r w:rsidRPr="0092402D">
        <w:t xml:space="preserve">The Delegate noted the quality findings (see above) and the advice that approval </w:t>
      </w:r>
      <w:r w:rsidR="00DA5884" w:rsidRPr="00EE38A2">
        <w:t>could be recommended if issues relating to two impurities were resolved.</w:t>
      </w:r>
    </w:p>
    <w:p w:rsidR="00EB6DF4" w:rsidRPr="00EB6DF4" w:rsidRDefault="00EB6DF4" w:rsidP="003E26C3">
      <w:r w:rsidRPr="00EB6DF4">
        <w:t xml:space="preserve">In line with the </w:t>
      </w:r>
      <w:r w:rsidR="00EE38A2">
        <w:t xml:space="preserve">non </w:t>
      </w:r>
      <w:r w:rsidR="00067025">
        <w:t>clinical</w:t>
      </w:r>
      <w:r w:rsidRPr="00EB6DF4">
        <w:t xml:space="preserve"> evaluator’s recommendation, these impurities must be limited to the </w:t>
      </w:r>
      <w:r w:rsidR="008D0214">
        <w:t>TTC</w:t>
      </w:r>
      <w:r w:rsidRPr="00EB6DF4">
        <w:t xml:space="preserve"> which for a product with chronic use is </w:t>
      </w:r>
      <w:proofErr w:type="gramStart"/>
      <w:r w:rsidRPr="00EB6DF4">
        <w:t>1.5 µg/day</w:t>
      </w:r>
      <w:proofErr w:type="gramEnd"/>
      <w:r w:rsidRPr="00EB6DF4">
        <w:t xml:space="preserve">. (The TTC represents a dose for which a </w:t>
      </w:r>
      <w:r w:rsidR="00067025" w:rsidRPr="00EB6DF4">
        <w:t>geno toxic</w:t>
      </w:r>
      <w:r w:rsidRPr="00EB6DF4">
        <w:t xml:space="preserve"> impurity is considered to pose a negligible carcinogenic risk).</w:t>
      </w:r>
    </w:p>
    <w:p w:rsidR="00EB6DF4" w:rsidRPr="00EB6DF4" w:rsidRDefault="00EB6DF4" w:rsidP="003E26C3">
      <w:r w:rsidRPr="00EB6DF4">
        <w:t xml:space="preserve">The evaluator recommends that the release limit must be set at lower than </w:t>
      </w:r>
      <w:r w:rsidR="005A4A1E">
        <w:t>the TTC</w:t>
      </w:r>
      <w:r w:rsidRPr="00EB6DF4">
        <w:t xml:space="preserve"> </w:t>
      </w:r>
      <w:r w:rsidR="0092402D">
        <w:t xml:space="preserve">and </w:t>
      </w:r>
      <w:r w:rsidRPr="00EB6DF4">
        <w:t xml:space="preserve">confirms that the limits for </w:t>
      </w:r>
      <w:r w:rsidR="00067025">
        <w:t>the two impurities</w:t>
      </w:r>
      <w:r w:rsidRPr="00EB6DF4">
        <w:t xml:space="preserve"> in the drug substance specifications must also be </w:t>
      </w:r>
      <w:r w:rsidR="005A4A1E">
        <w:t>tightened</w:t>
      </w:r>
      <w:r w:rsidRPr="00EB6DF4">
        <w:t>.</w:t>
      </w:r>
    </w:p>
    <w:p w:rsidR="00EB6DF4" w:rsidRPr="00EB6DF4" w:rsidRDefault="00EB6DF4" w:rsidP="003E26C3">
      <w:r w:rsidRPr="00EB6DF4">
        <w:lastRenderedPageBreak/>
        <w:t xml:space="preserve">The evaluator also states that the test method used for the determination of these impurities has a </w:t>
      </w:r>
      <w:r w:rsidR="0092402D">
        <w:t>LOQ</w:t>
      </w:r>
      <w:r w:rsidRPr="00EB6DF4">
        <w:t xml:space="preserve"> which is above the acceptable expiry limit. Therefore, the test method was not suitable and it was not possible to determine if the stability results meet these limits or not.</w:t>
      </w:r>
    </w:p>
    <w:p w:rsidR="00EB6DF4" w:rsidRPr="00EB6DF4" w:rsidRDefault="00EB6DF4" w:rsidP="003E26C3">
      <w:r w:rsidRPr="00EB6DF4">
        <w:t xml:space="preserve">The sponsor has agreed to limit the impurities to </w:t>
      </w:r>
      <w:r w:rsidR="0092402D">
        <w:t>the TTC and</w:t>
      </w:r>
      <w:r w:rsidRPr="00EB6DF4">
        <w:t xml:space="preserve"> has agreed to develop a test method sensitive enough to detect impurities at </w:t>
      </w:r>
      <w:r w:rsidR="008574CC">
        <w:t>the tightened specification</w:t>
      </w:r>
      <w:r w:rsidR="00A37B25">
        <w:rPr>
          <w:rStyle w:val="FootnoteReference"/>
        </w:rPr>
        <w:footnoteReference w:id="29"/>
      </w:r>
      <w:r w:rsidRPr="00EB6DF4">
        <w:t>. The sponsor requests time after registration (approximately 4 months) to undertake this.</w:t>
      </w:r>
    </w:p>
    <w:p w:rsidR="00730F8A" w:rsidRDefault="00EB6DF4" w:rsidP="003E26C3">
      <w:r w:rsidRPr="00EB6DF4">
        <w:t>H</w:t>
      </w:r>
      <w:r w:rsidR="00DA5884">
        <w:t xml:space="preserve">owever, the evaluator </w:t>
      </w:r>
      <w:r w:rsidR="0092402D">
        <w:t xml:space="preserve">has </w:t>
      </w:r>
      <w:r w:rsidR="00DA5884">
        <w:t>recommended</w:t>
      </w:r>
      <w:r w:rsidRPr="00EB6DF4">
        <w:t xml:space="preserve"> that the expiry limit be set </w:t>
      </w:r>
      <w:r w:rsidR="008574CC">
        <w:t>to the TTC</w:t>
      </w:r>
      <w:r w:rsidRPr="00EB6DF4">
        <w:t xml:space="preserve"> prior to registration of the product</w:t>
      </w:r>
      <w:r w:rsidR="0092402D">
        <w:t xml:space="preserve"> and</w:t>
      </w:r>
      <w:r w:rsidRPr="00EB6DF4">
        <w:t xml:space="preserve"> is agreeable for an improved test method to be submitted within 4 months of registration.</w:t>
      </w:r>
    </w:p>
    <w:p w:rsidR="008E7846" w:rsidRDefault="008E7846" w:rsidP="003E26C3">
      <w:pPr>
        <w:pStyle w:val="Heading3"/>
      </w:pPr>
      <w:bookmarkStart w:id="145" w:name="_Toc314842512"/>
      <w:bookmarkStart w:id="146" w:name="_Toc413157329"/>
      <w:r>
        <w:t>Nonclinical</w:t>
      </w:r>
      <w:bookmarkEnd w:id="145"/>
      <w:bookmarkEnd w:id="146"/>
    </w:p>
    <w:p w:rsidR="00EB6DF4" w:rsidRPr="00067025" w:rsidRDefault="00EB6DF4" w:rsidP="003E26C3">
      <w:r w:rsidRPr="00067025">
        <w:t>The evaluator states that the nonclinical studies were acceptable for this type of application and the conduct was generally satisfactory.</w:t>
      </w:r>
    </w:p>
    <w:p w:rsidR="00EB6DF4" w:rsidRPr="00067025" w:rsidRDefault="00571782" w:rsidP="003E26C3">
      <w:r>
        <w:t>There was</w:t>
      </w:r>
      <w:r w:rsidR="00EB6DF4" w:rsidRPr="00067025">
        <w:t xml:space="preserve"> no efficacy data submitted for this type of application.</w:t>
      </w:r>
    </w:p>
    <w:p w:rsidR="00EB6DF4" w:rsidRPr="00067025" w:rsidRDefault="00EB6DF4" w:rsidP="003E26C3">
      <w:r w:rsidRPr="00067025">
        <w:t xml:space="preserve">The drug was readily absorbed in rats, pigs and humans following dermal application. The </w:t>
      </w:r>
      <w:r w:rsidR="00E325E2">
        <w:t>PK</w:t>
      </w:r>
      <w:r w:rsidRPr="00067025">
        <w:t xml:space="preserve"> was highly variable in rats; it was fairly constant in </w:t>
      </w:r>
      <w:proofErr w:type="spellStart"/>
      <w:r w:rsidRPr="00067025">
        <w:t>minipigs</w:t>
      </w:r>
      <w:proofErr w:type="spellEnd"/>
      <w:r w:rsidRPr="00067025">
        <w:t>; the latter species was a better model for topical absorption in humans. There was no evidence of systemic accumulation. There were no studies on damaged skin.</w:t>
      </w:r>
    </w:p>
    <w:p w:rsidR="00EB6DF4" w:rsidRPr="00067025" w:rsidRDefault="00571782" w:rsidP="003E26C3">
      <w:r>
        <w:t xml:space="preserve">Repeat </w:t>
      </w:r>
      <w:r w:rsidR="00EB6DF4" w:rsidRPr="00067025">
        <w:t xml:space="preserve">dose toxicity studies by the dermal route were conducted in hairless mice (up to 13 weeks), rats (up to 57 weeks) and </w:t>
      </w:r>
      <w:proofErr w:type="spellStart"/>
      <w:r w:rsidR="00EB6DF4" w:rsidRPr="00067025">
        <w:t>minipigs</w:t>
      </w:r>
      <w:proofErr w:type="spellEnd"/>
      <w:r w:rsidR="00EB6DF4" w:rsidRPr="00067025">
        <w:t xml:space="preserve"> (up to 39 weeks). There were exaggerated pharmacological effects at high exposure levels in mice and rats. No signs of systemic toxicity were observed in rats at an exposure margin of approximately 100, nor in </w:t>
      </w:r>
      <w:proofErr w:type="spellStart"/>
      <w:r w:rsidR="00EB6DF4" w:rsidRPr="00067025">
        <w:t>minipigs</w:t>
      </w:r>
      <w:proofErr w:type="spellEnd"/>
      <w:r w:rsidR="00EB6DF4" w:rsidRPr="00067025">
        <w:t xml:space="preserve"> up to the highest dose tested (exposure margin of around 3).</w:t>
      </w:r>
    </w:p>
    <w:p w:rsidR="00EB6DF4" w:rsidRPr="00067025" w:rsidRDefault="00EB6DF4" w:rsidP="003E26C3">
      <w:r w:rsidRPr="00067025">
        <w:t>Local dermal reactions wer</w:t>
      </w:r>
      <w:r w:rsidR="00067025">
        <w:t xml:space="preserve">e minimal to mild at clinically </w:t>
      </w:r>
      <w:r w:rsidRPr="00067025">
        <w:t>relevant concentrations.</w:t>
      </w:r>
    </w:p>
    <w:p w:rsidR="00EB6DF4" w:rsidRPr="00067025" w:rsidRDefault="00EB6DF4" w:rsidP="003E26C3">
      <w:r w:rsidRPr="00067025">
        <w:t>In a dermal carcinogenicity study, there were no tumours (either local or systemic) in rats that could be attributed to brimonidine tartrate gel. Brimonidine tartrate gel did not enhance or promote skin tumour formation on hairless mice in the presence of UV light.</w:t>
      </w:r>
    </w:p>
    <w:p w:rsidR="00EB6DF4" w:rsidRPr="00EB6DF4" w:rsidRDefault="00EB6DF4" w:rsidP="003E26C3">
      <w:r w:rsidRPr="00EB6DF4">
        <w:t>Brimonidine returned overall negative results for geno</w:t>
      </w:r>
      <w:r w:rsidR="0007476C">
        <w:t xml:space="preserve"> </w:t>
      </w:r>
      <w:r w:rsidRPr="00EB6DF4">
        <w:t>toxicity. The evaluator states that two geno</w:t>
      </w:r>
      <w:r w:rsidR="0007476C">
        <w:t xml:space="preserve"> </w:t>
      </w:r>
      <w:r w:rsidRPr="00EB6DF4">
        <w:t xml:space="preserve">toxic impurities require appropriate control. This is dealt with in the </w:t>
      </w:r>
      <w:r w:rsidR="00067025">
        <w:t>quality</w:t>
      </w:r>
      <w:r w:rsidR="0092402D">
        <w:t xml:space="preserve"> section, above.</w:t>
      </w:r>
    </w:p>
    <w:p w:rsidR="00EB6DF4" w:rsidRPr="00EB6DF4" w:rsidRDefault="00EB6DF4" w:rsidP="003E26C3">
      <w:r w:rsidRPr="00EB6DF4">
        <w:t>Overall, the evaluator</w:t>
      </w:r>
      <w:r w:rsidR="00042563">
        <w:t xml:space="preserve"> recommends approval from </w:t>
      </w:r>
      <w:r w:rsidR="0092402D" w:rsidRPr="0092402D">
        <w:t xml:space="preserve">a nonclinical </w:t>
      </w:r>
      <w:r w:rsidRPr="00EB6DF4">
        <w:t>point of view.</w:t>
      </w:r>
    </w:p>
    <w:p w:rsidR="008E7846" w:rsidRDefault="008E7846" w:rsidP="003E26C3">
      <w:pPr>
        <w:pStyle w:val="Heading3"/>
      </w:pPr>
      <w:bookmarkStart w:id="147" w:name="_Toc247691530"/>
      <w:bookmarkStart w:id="148" w:name="_Toc314842513"/>
      <w:bookmarkStart w:id="149" w:name="_Toc413157330"/>
      <w:r>
        <w:t>Clinical</w:t>
      </w:r>
      <w:bookmarkEnd w:id="147"/>
      <w:bookmarkEnd w:id="148"/>
      <w:bookmarkEnd w:id="149"/>
    </w:p>
    <w:p w:rsidR="00EB6DF4" w:rsidRPr="00EB6DF4" w:rsidRDefault="009A6879" w:rsidP="003E26C3">
      <w:pPr>
        <w:pStyle w:val="Heading4"/>
      </w:pPr>
      <w:bookmarkStart w:id="150" w:name="_Toc314842514"/>
      <w:r>
        <w:t>Pharmacokinetics</w:t>
      </w:r>
    </w:p>
    <w:p w:rsidR="00EB6DF4" w:rsidRPr="0007476C" w:rsidRDefault="00EB6DF4" w:rsidP="003E26C3">
      <w:r w:rsidRPr="0007476C">
        <w:t xml:space="preserve">There is one single dose </w:t>
      </w:r>
      <w:r w:rsidR="00E325E2">
        <w:t>PK</w:t>
      </w:r>
      <w:r w:rsidRPr="0007476C">
        <w:t xml:space="preserve"> study, COL-118-BAPK-101, on healthy volunteers and 2 studies on the target population, RD.06.SRE.18126 and RD.06.SRE.18143. The latter 2 studies assessed the relative </w:t>
      </w:r>
      <w:r w:rsidR="00FF3101">
        <w:t>BA</w:t>
      </w:r>
      <w:r w:rsidRPr="0007476C">
        <w:t xml:space="preserve"> of the gel compared with the ophthalmic solution.</w:t>
      </w:r>
    </w:p>
    <w:p w:rsidR="00EB6DF4" w:rsidRPr="00EB6DF4" w:rsidRDefault="00EB6DF4" w:rsidP="003E26C3">
      <w:r w:rsidRPr="00EB6DF4">
        <w:t xml:space="preserve">The evaluator states that, “Study COL-118-BAPK-101 aimed to determine the relative </w:t>
      </w:r>
      <w:r w:rsidR="00FF3101">
        <w:t>BA</w:t>
      </w:r>
      <w:r w:rsidRPr="00EB6DF4">
        <w:t xml:space="preserve"> of 0.2% (2 mg </w:t>
      </w:r>
      <w:proofErr w:type="spellStart"/>
      <w:r w:rsidRPr="00EB6DF4">
        <w:t>brimonidine</w:t>
      </w:r>
      <w:proofErr w:type="spellEnd"/>
      <w:r w:rsidRPr="00EB6DF4">
        <w:t xml:space="preserve">) </w:t>
      </w:r>
      <w:proofErr w:type="spellStart"/>
      <w:r w:rsidR="0007476C" w:rsidRPr="0007476C">
        <w:t>Mirvaso</w:t>
      </w:r>
      <w:proofErr w:type="spellEnd"/>
      <w:r w:rsidRPr="00EB6DF4">
        <w:t xml:space="preserve"> facial gel compared to 0.2% brimonidine ophthalmic solution in 16 healthy subjects. Following facial administration of 0.2% </w:t>
      </w:r>
      <w:proofErr w:type="spellStart"/>
      <w:r w:rsidR="0007476C" w:rsidRPr="0007476C">
        <w:t>Mirvaso</w:t>
      </w:r>
      <w:proofErr w:type="spellEnd"/>
      <w:r w:rsidRPr="00EB6DF4">
        <w:t xml:space="preserve"> gel, </w:t>
      </w:r>
      <w:r w:rsidRPr="00EB6DF4">
        <w:lastRenderedPageBreak/>
        <w:t>plasma levels of brimonidine</w:t>
      </w:r>
      <w:r w:rsidR="0007476C">
        <w:t>,</w:t>
      </w:r>
      <w:r w:rsidRPr="00EB6DF4">
        <w:t xml:space="preserve"> for all subjects</w:t>
      </w:r>
      <w:r w:rsidR="0007476C">
        <w:t>,</w:t>
      </w:r>
      <w:r w:rsidRPr="00EB6DF4">
        <w:t xml:space="preserve"> were below LLQ and therefore no PK analysis could be performed.”</w:t>
      </w:r>
    </w:p>
    <w:p w:rsidR="00EB6DF4" w:rsidRPr="00EB6DF4" w:rsidRDefault="0007476C" w:rsidP="003E26C3">
      <w:r>
        <w:t>Study RD.06.SRE.18126 (a Phase II</w:t>
      </w:r>
      <w:r w:rsidR="00EB6DF4" w:rsidRPr="00EB6DF4">
        <w:t xml:space="preserve">, double blind randomised placebo controlled study) examined the relative </w:t>
      </w:r>
      <w:r w:rsidR="00FF3101">
        <w:t>BA</w:t>
      </w:r>
      <w:r>
        <w:t xml:space="preserve"> of 0.18% </w:t>
      </w:r>
      <w:proofErr w:type="spellStart"/>
      <w:r>
        <w:t>Mirvaso</w:t>
      </w:r>
      <w:proofErr w:type="spellEnd"/>
      <w:r>
        <w:t xml:space="preserve"> facial gel versus</w:t>
      </w:r>
      <w:r w:rsidR="00EB6DF4" w:rsidRPr="00EB6DF4">
        <w:t xml:space="preserve"> 0.2% ophthalmic solution in subjects with moderate to severe erythematous rosacea. </w:t>
      </w:r>
      <w:r w:rsidR="0092402D">
        <w:t>Two</w:t>
      </w:r>
      <w:r w:rsidR="00EB6DF4" w:rsidRPr="00EB6DF4">
        <w:t xml:space="preserve"> doses of the gel (1 g each) were applied 4 hours apart whereas the single dose of the eye drop was applied to the eye as a comparison. Systemic exposure to </w:t>
      </w:r>
      <w:proofErr w:type="spellStart"/>
      <w:r w:rsidRPr="0007476C">
        <w:t>Mirvaso</w:t>
      </w:r>
      <w:proofErr w:type="spellEnd"/>
      <w:r w:rsidR="0092402D">
        <w:t xml:space="preserve"> gel (0.18%) was seen in 1 of </w:t>
      </w:r>
      <w:r w:rsidR="00EB6DF4" w:rsidRPr="00EB6DF4">
        <w:t>18 subjects, whereas, systemic exposure with the eye</w:t>
      </w:r>
      <w:r>
        <w:t xml:space="preserve"> </w:t>
      </w:r>
      <w:r w:rsidR="00EB6DF4" w:rsidRPr="00EB6DF4">
        <w:t>drop</w:t>
      </w:r>
      <w:r>
        <w:t>s</w:t>
      </w:r>
      <w:r w:rsidR="0092402D">
        <w:t xml:space="preserve"> was quantifiable in 11 of </w:t>
      </w:r>
      <w:r w:rsidR="00EB6DF4" w:rsidRPr="00EB6DF4">
        <w:t xml:space="preserve">18 subjects. The evaluator states that, “relative </w:t>
      </w:r>
      <w:r w:rsidR="00FF3101">
        <w:t>BA</w:t>
      </w:r>
      <w:r w:rsidR="00EB6DF4" w:rsidRPr="00EB6DF4">
        <w:t xml:space="preserve"> was calculated using the highest </w:t>
      </w:r>
      <w:proofErr w:type="spellStart"/>
      <w:r w:rsidR="00EB6DF4" w:rsidRPr="00EB6DF4">
        <w:t>C</w:t>
      </w:r>
      <w:r w:rsidR="00EB6DF4" w:rsidRPr="005C6003">
        <w:t>max</w:t>
      </w:r>
      <w:proofErr w:type="spellEnd"/>
      <w:r w:rsidR="00EB6DF4" w:rsidRPr="00EB6DF4">
        <w:t xml:space="preserve"> obtained with the ophthalmic solution </w:t>
      </w:r>
      <w:proofErr w:type="gramStart"/>
      <w:r w:rsidR="00EB6DF4" w:rsidRPr="00EB6DF4">
        <w:t>(10</w:t>
      </w:r>
      <w:r w:rsidR="00AC15D3">
        <w:t xml:space="preserve">0 </w:t>
      </w:r>
      <w:proofErr w:type="spellStart"/>
      <w:r w:rsidR="00AC15D3">
        <w:t>pg</w:t>
      </w:r>
      <w:proofErr w:type="spellEnd"/>
      <w:r w:rsidR="00EB6DF4" w:rsidRPr="00EB6DF4">
        <w:t>/mL)</w:t>
      </w:r>
      <w:proofErr w:type="gramEnd"/>
      <w:r w:rsidR="00EB6DF4" w:rsidRPr="00EB6DF4">
        <w:t xml:space="preserve"> and, as a conservative approach, the LLQ (25 </w:t>
      </w:r>
      <w:proofErr w:type="spellStart"/>
      <w:r w:rsidR="00EB6DF4" w:rsidRPr="00EB6DF4">
        <w:t>pg</w:t>
      </w:r>
      <w:proofErr w:type="spellEnd"/>
      <w:r w:rsidR="00EB6DF4" w:rsidRPr="00EB6DF4">
        <w:t xml:space="preserve">/mL) was set as the </w:t>
      </w:r>
      <w:proofErr w:type="spellStart"/>
      <w:r w:rsidR="00EB6DF4" w:rsidRPr="00EB6DF4">
        <w:t>C</w:t>
      </w:r>
      <w:r w:rsidR="00EB6DF4" w:rsidRPr="005C6003">
        <w:t>max</w:t>
      </w:r>
      <w:proofErr w:type="spellEnd"/>
      <w:r w:rsidR="00EB6DF4" w:rsidRPr="00EB6DF4">
        <w:t xml:space="preserve"> for 0.18% </w:t>
      </w:r>
      <w:proofErr w:type="spellStart"/>
      <w:r w:rsidRPr="0007476C">
        <w:t>Mirvaso</w:t>
      </w:r>
      <w:proofErr w:type="spellEnd"/>
      <w:r w:rsidR="00EB6DF4" w:rsidRPr="00EB6DF4">
        <w:t xml:space="preserve"> facial gel. Based on this calculation, the dermal </w:t>
      </w:r>
      <w:r w:rsidR="00FF3101">
        <w:t>BA</w:t>
      </w:r>
      <w:r w:rsidR="00EB6DF4" w:rsidRPr="00EB6DF4">
        <w:t xml:space="preserve"> relative to the ophthalmic route was lower than 3%”.</w:t>
      </w:r>
    </w:p>
    <w:p w:rsidR="00EB6DF4" w:rsidRPr="00EB6DF4" w:rsidRDefault="00781ED1" w:rsidP="003E26C3">
      <w:r>
        <w:t xml:space="preserve">The evaluator questions the </w:t>
      </w:r>
      <w:r w:rsidR="00EB6DF4" w:rsidRPr="00EB6DF4">
        <w:t xml:space="preserve">LOQ used in this study </w:t>
      </w:r>
      <w:proofErr w:type="gramStart"/>
      <w:r w:rsidR="00EB6DF4" w:rsidRPr="00EB6DF4">
        <w:t xml:space="preserve">(25 </w:t>
      </w:r>
      <w:proofErr w:type="spellStart"/>
      <w:r w:rsidR="00EB6DF4" w:rsidRPr="00EB6DF4">
        <w:t>pg</w:t>
      </w:r>
      <w:proofErr w:type="spellEnd"/>
      <w:r w:rsidR="00EB6DF4" w:rsidRPr="00EB6DF4">
        <w:t>/ml)</w:t>
      </w:r>
      <w:proofErr w:type="gramEnd"/>
      <w:r w:rsidR="00EB6DF4" w:rsidRPr="00EB6DF4">
        <w:t xml:space="preserve"> compared with 1</w:t>
      </w:r>
      <w:r w:rsidR="00AC15D3">
        <w:t xml:space="preserve">0 </w:t>
      </w:r>
      <w:proofErr w:type="spellStart"/>
      <w:r w:rsidR="00AC15D3">
        <w:t>pg</w:t>
      </w:r>
      <w:proofErr w:type="spellEnd"/>
      <w:r w:rsidR="00AC15D3">
        <w:t xml:space="preserve">/mL in the previous study. </w:t>
      </w:r>
      <w:r w:rsidR="00EB6DF4" w:rsidRPr="00EB6DF4">
        <w:t>This has been addressed by the sponsor: this study was conducted by the previous sponsor, which used a diff</w:t>
      </w:r>
      <w:r w:rsidR="0007476C">
        <w:t xml:space="preserve">erent limit. </w:t>
      </w:r>
      <w:r w:rsidR="00EB6DF4" w:rsidRPr="00EB6DF4">
        <w:t xml:space="preserve">Another deficiency was that the concentration to be marketed (0.5%) was not studied in relation to </w:t>
      </w:r>
      <w:r w:rsidR="00E325E2">
        <w:t>PK</w:t>
      </w:r>
      <w:r w:rsidR="00EB6DF4" w:rsidRPr="00EB6DF4">
        <w:t xml:space="preserve">. The sponsor has responded similarly: the proposed strength of 0.5% was developed by </w:t>
      </w:r>
      <w:proofErr w:type="spellStart"/>
      <w:r w:rsidR="00EB6DF4" w:rsidRPr="00EB6DF4">
        <w:t>Galde</w:t>
      </w:r>
      <w:r w:rsidR="0007476C">
        <w:t>rma</w:t>
      </w:r>
      <w:proofErr w:type="spellEnd"/>
      <w:r w:rsidR="0007476C">
        <w:t xml:space="preserve">, after the </w:t>
      </w:r>
      <w:r w:rsidR="00E325E2">
        <w:t>PK</w:t>
      </w:r>
      <w:r w:rsidR="0007476C">
        <w:t xml:space="preserve"> </w:t>
      </w:r>
      <w:r w:rsidR="00EB6DF4" w:rsidRPr="00EB6DF4">
        <w:t>studies were completed by the former sponsor, 0.5% was chosen based on dose finding studies. The evaluator accepts this explanation by the sponsor.</w:t>
      </w:r>
    </w:p>
    <w:p w:rsidR="00EB6DF4" w:rsidRPr="0007476C" w:rsidRDefault="00EB6DF4" w:rsidP="003E26C3">
      <w:r w:rsidRPr="0007476C">
        <w:t>Study RD.06.SRE.1814</w:t>
      </w:r>
      <w:r w:rsidR="0007476C" w:rsidRPr="0007476C">
        <w:t xml:space="preserve">3 examined the </w:t>
      </w:r>
      <w:r w:rsidR="00E325E2">
        <w:t>PK</w:t>
      </w:r>
      <w:r w:rsidR="0007476C" w:rsidRPr="0007476C">
        <w:t xml:space="preserve"> of </w:t>
      </w:r>
      <w:r w:rsidRPr="0007476C">
        <w:t xml:space="preserve">0.5% </w:t>
      </w:r>
      <w:proofErr w:type="spellStart"/>
      <w:r w:rsidR="0007476C" w:rsidRPr="0007476C">
        <w:t>Mirvaso</w:t>
      </w:r>
      <w:proofErr w:type="spellEnd"/>
      <w:r w:rsidRPr="0007476C">
        <w:t xml:space="preserve"> gel following a single application in 23 patients with facial erythema of rosacea. Quantifiable plasma levels of brimonidine were detected in samples from 17 (74%) patients treated. Following statistical analysis of the data, in which the values below the </w:t>
      </w:r>
      <w:r w:rsidR="0092402D">
        <w:t>LOQ</w:t>
      </w:r>
      <w:r w:rsidRPr="0007476C">
        <w:t xml:space="preserve"> were replaced by LLQ of 10 </w:t>
      </w:r>
      <w:proofErr w:type="spellStart"/>
      <w:r w:rsidRPr="0007476C">
        <w:t>pg</w:t>
      </w:r>
      <w:proofErr w:type="spellEnd"/>
      <w:r w:rsidRPr="0007476C">
        <w:t xml:space="preserve">/mL, the mean </w:t>
      </w:r>
      <w:proofErr w:type="spellStart"/>
      <w:r w:rsidRPr="005C6003">
        <w:t>Cmax</w:t>
      </w:r>
      <w:proofErr w:type="spellEnd"/>
      <w:r w:rsidRPr="0007476C">
        <w:t xml:space="preserve"> and AUC</w:t>
      </w:r>
      <w:r w:rsidRPr="0007476C">
        <w:rPr>
          <w:vertAlign w:val="subscript"/>
        </w:rPr>
        <w:t>0-24h</w:t>
      </w:r>
      <w:r w:rsidRPr="0007476C">
        <w:t xml:space="preserve"> values for </w:t>
      </w:r>
      <w:proofErr w:type="spellStart"/>
      <w:r w:rsidRPr="0007476C">
        <w:t>brimonidine</w:t>
      </w:r>
      <w:proofErr w:type="spellEnd"/>
      <w:r w:rsidRPr="0007476C">
        <w:t xml:space="preserve"> were 19.44 </w:t>
      </w:r>
      <w:proofErr w:type="spellStart"/>
      <w:r w:rsidRPr="0007476C">
        <w:t>pg</w:t>
      </w:r>
      <w:proofErr w:type="spellEnd"/>
      <w:r w:rsidRPr="0007476C">
        <w:t>/mL (</w:t>
      </w:r>
      <w:r w:rsidR="00304B22">
        <w:t>standard deviation (</w:t>
      </w:r>
      <w:r w:rsidRPr="0007476C">
        <w:t>SD</w:t>
      </w:r>
      <w:r w:rsidR="00304B22">
        <w:t>)</w:t>
      </w:r>
      <w:r w:rsidRPr="0007476C">
        <w:t xml:space="preserve">: 11.67) and 262.11 </w:t>
      </w:r>
      <w:proofErr w:type="spellStart"/>
      <w:r w:rsidRPr="0007476C">
        <w:t>pg.h</w:t>
      </w:r>
      <w:proofErr w:type="spellEnd"/>
      <w:r w:rsidRPr="0007476C">
        <w:t>/mL (209.39) respectively.</w:t>
      </w:r>
    </w:p>
    <w:p w:rsidR="00EB6DF4" w:rsidRPr="00EB6DF4" w:rsidRDefault="00EB6DF4" w:rsidP="003E26C3">
      <w:r w:rsidRPr="00EB6DF4">
        <w:t xml:space="preserve">The evaluator states that this study reveals that brimonidine is absorbed systemically, “albeit at lower levels” with the AUC and </w:t>
      </w:r>
      <w:proofErr w:type="spellStart"/>
      <w:r w:rsidRPr="005C6003">
        <w:t>Cmax</w:t>
      </w:r>
      <w:proofErr w:type="spellEnd"/>
      <w:r w:rsidRPr="00EB6DF4">
        <w:t xml:space="preserve"> at least 2 fold lower </w:t>
      </w:r>
      <w:r w:rsidRPr="00962B66">
        <w:t xml:space="preserve">than the </w:t>
      </w:r>
      <w:r w:rsidR="00962B66" w:rsidRPr="00962B66">
        <w:t>three times daily</w:t>
      </w:r>
      <w:r w:rsidRPr="00962B66">
        <w:t xml:space="preserve"> administration </w:t>
      </w:r>
      <w:r w:rsidRPr="00EB6DF4">
        <w:t>of 0.2% eye</w:t>
      </w:r>
      <w:r w:rsidR="0007476C">
        <w:t xml:space="preserve"> </w:t>
      </w:r>
      <w:r w:rsidRPr="00EB6DF4">
        <w:t>drops (after 1 day).</w:t>
      </w:r>
    </w:p>
    <w:p w:rsidR="00EB6DF4" w:rsidRPr="00EB6DF4" w:rsidRDefault="00EB6DF4" w:rsidP="009A6879">
      <w:r w:rsidRPr="00EB6DF4">
        <w:t xml:space="preserve">This study also examined dose proportionality after single dosing of 0.18% and 0.5% strength. The increases in </w:t>
      </w:r>
      <w:proofErr w:type="spellStart"/>
      <w:r w:rsidRPr="005C6003">
        <w:t>Cmax</w:t>
      </w:r>
      <w:proofErr w:type="spellEnd"/>
      <w:r w:rsidRPr="00EB6DF4">
        <w:t xml:space="preserve"> and AUC were not shown to be dose proportional. A similar pattern was also seen with multi-dosing (29 days of once daily administration). This study did not reveal accumulation after 29 days of dosing.</w:t>
      </w:r>
    </w:p>
    <w:p w:rsidR="00EB6DF4" w:rsidRPr="00EB6DF4" w:rsidRDefault="009A6879" w:rsidP="003E26C3">
      <w:pPr>
        <w:pStyle w:val="Heading4"/>
      </w:pPr>
      <w:r>
        <w:t>Pharmacodynamics</w:t>
      </w:r>
    </w:p>
    <w:p w:rsidR="00EB6DF4" w:rsidRPr="00EB6DF4" w:rsidRDefault="00DD47A9" w:rsidP="003E26C3">
      <w:r>
        <w:t>T</w:t>
      </w:r>
      <w:r w:rsidR="00EB6DF4" w:rsidRPr="00EB6DF4">
        <w:t>here were 3 s</w:t>
      </w:r>
      <w:r w:rsidR="0007476C">
        <w:t xml:space="preserve">ingle dose and one </w:t>
      </w:r>
      <w:proofErr w:type="spellStart"/>
      <w:r w:rsidR="0007476C">
        <w:t>multidose</w:t>
      </w:r>
      <w:proofErr w:type="spellEnd"/>
      <w:r w:rsidR="0007476C">
        <w:t xml:space="preserve"> </w:t>
      </w:r>
      <w:r w:rsidR="00EB6DF4" w:rsidRPr="00EB6DF4">
        <w:t xml:space="preserve">studies assessing primary pharmacodynamics. Secondary studies also assessed the effect on tolerability, </w:t>
      </w:r>
      <w:proofErr w:type="spellStart"/>
      <w:r w:rsidR="00EB6DF4" w:rsidRPr="00EB6DF4">
        <w:t>QTc</w:t>
      </w:r>
      <w:proofErr w:type="spellEnd"/>
      <w:r w:rsidR="00EB6DF4" w:rsidRPr="00EB6DF4">
        <w:t xml:space="preserve"> and </w:t>
      </w:r>
      <w:proofErr w:type="spellStart"/>
      <w:r w:rsidR="00EB6DF4" w:rsidRPr="00EB6DF4">
        <w:t>phototoxicity</w:t>
      </w:r>
      <w:proofErr w:type="spellEnd"/>
      <w:r w:rsidR="00EB6DF4" w:rsidRPr="00EB6DF4">
        <w:t>.</w:t>
      </w:r>
    </w:p>
    <w:p w:rsidR="00E360A2" w:rsidRDefault="009A6879" w:rsidP="003E26C3">
      <w:pPr>
        <w:pStyle w:val="Heading5"/>
      </w:pPr>
      <w:r>
        <w:t>Single dose administration</w:t>
      </w:r>
    </w:p>
    <w:p w:rsidR="00E360A2" w:rsidRDefault="00EB6DF4" w:rsidP="003E26C3">
      <w:r w:rsidRPr="00EB6DF4">
        <w:t>COL-</w:t>
      </w:r>
      <w:r w:rsidR="00E360A2">
        <w:t xml:space="preserve">118-ROSE-101 evaluated the dose </w:t>
      </w:r>
      <w:r w:rsidRPr="00EB6DF4">
        <w:t xml:space="preserve">response relationship following single administrations of placebo (diluent), 0.0125%, 0.025%, 0.10% or 0.20% </w:t>
      </w:r>
      <w:proofErr w:type="spellStart"/>
      <w:r w:rsidR="00E360A2" w:rsidRPr="00E360A2">
        <w:t>Mirvaso</w:t>
      </w:r>
      <w:proofErr w:type="spellEnd"/>
      <w:r w:rsidR="00AC15D3">
        <w:t xml:space="preserve"> gel to a 1 </w:t>
      </w:r>
      <w:r w:rsidRPr="00EB6DF4">
        <w:t>cm</w:t>
      </w:r>
      <w:r w:rsidRPr="00E360A2">
        <w:rPr>
          <w:vertAlign w:val="superscript"/>
        </w:rPr>
        <w:t>2</w:t>
      </w:r>
      <w:r w:rsidRPr="00EB6DF4">
        <w:t xml:space="preserve"> area on the malar region of the face of subjects with rosacea with moderate to severe erythema. Efficacy was evaluated by </w:t>
      </w:r>
      <w:proofErr w:type="spellStart"/>
      <w:r w:rsidRPr="00EB6DF4">
        <w:t>chromame</w:t>
      </w:r>
      <w:r w:rsidR="00AC15D3">
        <w:t>ter</w:t>
      </w:r>
      <w:proofErr w:type="spellEnd"/>
      <w:r w:rsidR="00AC15D3">
        <w:t xml:space="preserve"> measurements and by the CEA score</w:t>
      </w:r>
      <w:r w:rsidRPr="00EB6DF4">
        <w:t>.</w:t>
      </w:r>
    </w:p>
    <w:p w:rsidR="00E360A2" w:rsidRDefault="00EB6DF4" w:rsidP="003E26C3">
      <w:r w:rsidRPr="00EB6DF4">
        <w:t xml:space="preserve">Study RD.06.SRE.18144 evaluated the pharmacodynamic profiles of three different concentrations of </w:t>
      </w:r>
      <w:proofErr w:type="spellStart"/>
      <w:r w:rsidR="00E360A2" w:rsidRPr="00E360A2">
        <w:t>Mirvaso</w:t>
      </w:r>
      <w:proofErr w:type="spellEnd"/>
      <w:r w:rsidRPr="00EB6DF4">
        <w:t xml:space="preserve"> gel (0.07%, 0.18%, and 0.50%), following a single administration to subjects with stable moderate to severe </w:t>
      </w:r>
      <w:r w:rsidR="007F3918">
        <w:t>ETR</w:t>
      </w:r>
      <w:r w:rsidRPr="00EB6DF4">
        <w:t>. With the exception of PSA scores, the baseline scores for all other parameters were comp</w:t>
      </w:r>
      <w:r w:rsidR="00E360A2">
        <w:t>arable between treatment groups</w:t>
      </w:r>
      <w:r w:rsidRPr="00EB6DF4">
        <w:t>.</w:t>
      </w:r>
    </w:p>
    <w:p w:rsidR="00EB6DF4" w:rsidRPr="00EB6DF4" w:rsidRDefault="00EB6DF4" w:rsidP="003E26C3">
      <w:r w:rsidRPr="00EB6DF4">
        <w:lastRenderedPageBreak/>
        <w:t xml:space="preserve">COL-118-ROSE-102 evaluated the impact of different formulations (cream and gel) on the </w:t>
      </w:r>
      <w:proofErr w:type="spellStart"/>
      <w:r w:rsidR="00DD47A9" w:rsidRPr="00DD47A9">
        <w:t>pharmacodynamic</w:t>
      </w:r>
      <w:proofErr w:type="spellEnd"/>
      <w:r w:rsidRPr="00EB6DF4">
        <w:t xml:space="preserve"> profile of </w:t>
      </w:r>
      <w:proofErr w:type="spellStart"/>
      <w:r w:rsidR="00E360A2" w:rsidRPr="00E360A2">
        <w:t>Mirvaso</w:t>
      </w:r>
      <w:proofErr w:type="spellEnd"/>
      <w:r w:rsidRPr="00EB6DF4">
        <w:t xml:space="preserve"> gel applied to a 1 cm</w:t>
      </w:r>
      <w:r w:rsidRPr="00E360A2">
        <w:rPr>
          <w:vertAlign w:val="superscript"/>
        </w:rPr>
        <w:t>2</w:t>
      </w:r>
      <w:r w:rsidRPr="00EB6DF4">
        <w:t xml:space="preserve"> area on the malar region of the face in subjects diagnosed with rosacea with moderate to severe erythema. The </w:t>
      </w:r>
      <w:proofErr w:type="spellStart"/>
      <w:r w:rsidRPr="00EB6DF4">
        <w:t>chromameter</w:t>
      </w:r>
      <w:proofErr w:type="spellEnd"/>
      <w:r w:rsidRPr="00EB6DF4">
        <w:t xml:space="preserve"> values were similar pre</w:t>
      </w:r>
      <w:r w:rsidR="00AC15D3">
        <w:t xml:space="preserve"> </w:t>
      </w:r>
      <w:r w:rsidRPr="00EB6DF4">
        <w:t>dosing in all facial areas.</w:t>
      </w:r>
    </w:p>
    <w:p w:rsidR="00EB6DF4" w:rsidRPr="00EB6DF4" w:rsidRDefault="00EB6DF4" w:rsidP="003E26C3">
      <w:r w:rsidRPr="00EB6DF4">
        <w:t xml:space="preserve">Changes in relation the CEA scores were observed within 15 minutes of administration. Statistically significant increases were seen at 2 hours post dose which were maintained at 5 hours. The magnitude of change was dose related. The median duration of effect was greater than 7 hours in each of the </w:t>
      </w:r>
      <w:proofErr w:type="spellStart"/>
      <w:r w:rsidR="00E360A2" w:rsidRPr="00E360A2">
        <w:t>Mirvaso</w:t>
      </w:r>
      <w:proofErr w:type="spellEnd"/>
      <w:r w:rsidRPr="00EB6DF4">
        <w:t xml:space="preserve"> gel groups and 3 hours in the vehicle group.</w:t>
      </w:r>
    </w:p>
    <w:p w:rsidR="00E360A2" w:rsidRDefault="009A6879" w:rsidP="003E26C3">
      <w:pPr>
        <w:pStyle w:val="Heading5"/>
      </w:pPr>
      <w:r>
        <w:t>Multiple dose administration</w:t>
      </w:r>
    </w:p>
    <w:p w:rsidR="00EB6DF4" w:rsidRPr="00E360A2" w:rsidRDefault="00EB6DF4" w:rsidP="003E26C3">
      <w:r w:rsidRPr="00EB6DF4">
        <w:t>Study COL-</w:t>
      </w:r>
      <w:r w:rsidR="00DD47A9">
        <w:t xml:space="preserve">118-ROSE-201 evaluated the dose </w:t>
      </w:r>
      <w:r w:rsidRPr="00EB6DF4">
        <w:t>response rel</w:t>
      </w:r>
      <w:r w:rsidR="00E360A2">
        <w:t xml:space="preserve">ationship and pharmacodynamics </w:t>
      </w:r>
      <w:r w:rsidRPr="00EB6DF4">
        <w:t xml:space="preserve">profile of 3 concentrations (0.02%, 0.07% and 0.20%) of </w:t>
      </w:r>
      <w:proofErr w:type="spellStart"/>
      <w:r w:rsidR="00E360A2" w:rsidRPr="00E360A2">
        <w:t>Mirvaso</w:t>
      </w:r>
      <w:proofErr w:type="spellEnd"/>
      <w:r w:rsidRPr="00EB6DF4">
        <w:t xml:space="preserve"> gel applied to the face of subjects with rosacea with moderate to severe erythema and telangiectasia on the malar area. Each patient applied a small amount (approximately 1 g) </w:t>
      </w:r>
      <w:r w:rsidRPr="00E360A2">
        <w:t xml:space="preserve">of the assigned study drug to the affected area of the face each morning and as needed thereafter, but no more often than once every 4 hours and no more than 3 times per day for 28 days. The primary endpoint, reduction in </w:t>
      </w:r>
      <w:r w:rsidR="00AC15D3">
        <w:t>CEA scores</w:t>
      </w:r>
      <w:r w:rsidR="00E360A2" w:rsidRPr="00E360A2">
        <w:t xml:space="preserve"> across all time </w:t>
      </w:r>
      <w:r w:rsidR="00AC15D3">
        <w:t xml:space="preserve">points (0 to </w:t>
      </w:r>
      <w:r w:rsidR="00DD47A9">
        <w:t>8 H</w:t>
      </w:r>
      <w:r w:rsidRPr="00E360A2">
        <w:t>our</w:t>
      </w:r>
      <w:r w:rsidR="00DD47A9">
        <w:t>s</w:t>
      </w:r>
      <w:r w:rsidRPr="00E360A2">
        <w:t>) and all visits (Day 0, Day 14, a</w:t>
      </w:r>
      <w:r w:rsidR="00E360A2" w:rsidRPr="00E360A2">
        <w:t xml:space="preserve">nd Day 28), showed a clear dose </w:t>
      </w:r>
      <w:r w:rsidRPr="00E360A2">
        <w:t>r</w:t>
      </w:r>
      <w:r w:rsidR="00E360A2">
        <w:t>esponse relationship</w:t>
      </w:r>
      <w:r w:rsidRPr="00E360A2">
        <w:t>. The duration of effect was approximately 5 hours. Telangiectasia and total inflammatory lesion count were not significantly affected.</w:t>
      </w:r>
    </w:p>
    <w:p w:rsidR="00EB6DF4" w:rsidRPr="00EB6DF4" w:rsidRDefault="00EB6DF4" w:rsidP="003E26C3">
      <w:pPr>
        <w:pStyle w:val="Heading5"/>
      </w:pPr>
      <w:r w:rsidRPr="00EB6DF4">
        <w:t>Seco</w:t>
      </w:r>
      <w:r w:rsidR="009A6879">
        <w:t>ndary pharmacodynamics effects</w:t>
      </w:r>
    </w:p>
    <w:p w:rsidR="00DD47A9" w:rsidRPr="00EB6DF4" w:rsidRDefault="00DD47A9" w:rsidP="003E26C3">
      <w:r>
        <w:rPr>
          <w:i/>
        </w:rPr>
        <w:t xml:space="preserve">Thorough </w:t>
      </w:r>
      <w:proofErr w:type="spellStart"/>
      <w:r>
        <w:rPr>
          <w:i/>
        </w:rPr>
        <w:t>QTc</w:t>
      </w:r>
      <w:proofErr w:type="spellEnd"/>
      <w:r w:rsidRPr="00E81056">
        <w:rPr>
          <w:i/>
        </w:rPr>
        <w:t xml:space="preserve"> study</w:t>
      </w:r>
      <w:r w:rsidRPr="00DD47A9">
        <w:rPr>
          <w:i/>
        </w:rPr>
        <w:t>:</w:t>
      </w:r>
      <w:r>
        <w:t xml:space="preserve"> </w:t>
      </w:r>
      <w:r w:rsidRPr="00EB6DF4">
        <w:t>Study RD.06.SRE.18139 evaluated the effect of a single ocular administered dose of brimonidine tartrate (two drops of a 0.2% solution to each eye) on ventricular repolarisation in healthy subjects</w:t>
      </w:r>
      <w:r>
        <w:t>,</w:t>
      </w:r>
      <w:r w:rsidRPr="00EB6DF4">
        <w:t xml:space="preserve"> compared to placebo and/or 400 mg </w:t>
      </w:r>
      <w:proofErr w:type="spellStart"/>
      <w:r w:rsidRPr="00EB6DF4">
        <w:t>moxifloxacin</w:t>
      </w:r>
      <w:proofErr w:type="spellEnd"/>
      <w:r>
        <w:t xml:space="preserve">. The study also </w:t>
      </w:r>
      <w:r w:rsidRPr="00EB6DF4">
        <w:t>evaluate</w:t>
      </w:r>
      <w:r>
        <w:t>d</w:t>
      </w:r>
      <w:r w:rsidRPr="00EB6DF4">
        <w:t xml:space="preserve"> the change from baseline of QT/</w:t>
      </w:r>
      <w:proofErr w:type="spellStart"/>
      <w:r w:rsidRPr="00EB6DF4">
        <w:t>QTc</w:t>
      </w:r>
      <w:proofErr w:type="spellEnd"/>
      <w:r w:rsidRPr="00EB6DF4">
        <w:t xml:space="preserve"> interval by</w:t>
      </w:r>
      <w:r>
        <w:t>:</w:t>
      </w:r>
      <w:r w:rsidRPr="00EB6DF4">
        <w:t xml:space="preserve"> </w:t>
      </w:r>
      <w:proofErr w:type="spellStart"/>
      <w:r w:rsidRPr="00304B22">
        <w:t>Bazett</w:t>
      </w:r>
      <w:proofErr w:type="spellEnd"/>
      <w:r w:rsidRPr="00304B22">
        <w:t>-</w:t>
      </w:r>
      <w:r>
        <w:t>c</w:t>
      </w:r>
      <w:r w:rsidRPr="00304B22">
        <w:t xml:space="preserve">orrected QT </w:t>
      </w:r>
      <w:r>
        <w:t>i</w:t>
      </w:r>
      <w:r w:rsidRPr="00304B22">
        <w:t xml:space="preserve">nterval </w:t>
      </w:r>
      <w:r>
        <w:t>(</w:t>
      </w:r>
      <w:proofErr w:type="spellStart"/>
      <w:r w:rsidRPr="00EB6DF4">
        <w:t>QTcB</w:t>
      </w:r>
      <w:proofErr w:type="spellEnd"/>
      <w:r>
        <w:t>)</w:t>
      </w:r>
      <w:r w:rsidRPr="00EB6DF4">
        <w:t xml:space="preserve">, </w:t>
      </w:r>
      <w:proofErr w:type="spellStart"/>
      <w:r w:rsidRPr="00304B22">
        <w:t>Fridericia</w:t>
      </w:r>
      <w:proofErr w:type="spellEnd"/>
      <w:r w:rsidRPr="00304B22">
        <w:t>-</w:t>
      </w:r>
      <w:r>
        <w:t>c</w:t>
      </w:r>
      <w:r w:rsidRPr="00304B22">
        <w:t xml:space="preserve">orrected QT </w:t>
      </w:r>
      <w:r>
        <w:t>i</w:t>
      </w:r>
      <w:r w:rsidRPr="00304B22">
        <w:t xml:space="preserve">nterval </w:t>
      </w:r>
      <w:r>
        <w:t>(</w:t>
      </w:r>
      <w:proofErr w:type="spellStart"/>
      <w:r w:rsidRPr="00EB6DF4">
        <w:t>QTcF</w:t>
      </w:r>
      <w:proofErr w:type="spellEnd"/>
      <w:r>
        <w:t xml:space="preserve">), and </w:t>
      </w:r>
      <w:r w:rsidRPr="00304B22">
        <w:t xml:space="preserve">QT </w:t>
      </w:r>
      <w:r>
        <w:t>i</w:t>
      </w:r>
      <w:r w:rsidRPr="00304B22">
        <w:t xml:space="preserve">nterval, </w:t>
      </w:r>
      <w:r>
        <w:t>i</w:t>
      </w:r>
      <w:r w:rsidRPr="00304B22">
        <w:t>ndividual-</w:t>
      </w:r>
      <w:r>
        <w:t>b</w:t>
      </w:r>
      <w:r w:rsidRPr="00304B22">
        <w:t xml:space="preserve">ased </w:t>
      </w:r>
      <w:r>
        <w:t>c</w:t>
      </w:r>
      <w:r w:rsidRPr="00304B22">
        <w:t xml:space="preserve">orrection </w:t>
      </w:r>
      <w:r>
        <w:t>f</w:t>
      </w:r>
      <w:r w:rsidRPr="00304B22">
        <w:t xml:space="preserve">actor </w:t>
      </w:r>
      <w:r>
        <w:t>(</w:t>
      </w:r>
      <w:proofErr w:type="spellStart"/>
      <w:r>
        <w:t>QTcI</w:t>
      </w:r>
      <w:proofErr w:type="spellEnd"/>
      <w:r>
        <w:t xml:space="preserve">, </w:t>
      </w:r>
      <w:r w:rsidRPr="00EB6DF4">
        <w:t xml:space="preserve">subject specific) at the </w:t>
      </w:r>
      <w:proofErr w:type="spellStart"/>
      <w:r w:rsidR="00735A24">
        <w:t>Tmax</w:t>
      </w:r>
      <w:proofErr w:type="spellEnd"/>
      <w:r>
        <w:t xml:space="preserve"> using 12 </w:t>
      </w:r>
      <w:r w:rsidRPr="00EB6DF4">
        <w:t xml:space="preserve">lead </w:t>
      </w:r>
      <w:r>
        <w:t>electrocardiograms (</w:t>
      </w:r>
      <w:r w:rsidRPr="00EB6DF4">
        <w:t>ECGs</w:t>
      </w:r>
      <w:r>
        <w:t>)</w:t>
      </w:r>
      <w:r w:rsidRPr="00EB6DF4">
        <w:t>. No clinically significant effect was seen with brimonidine.</w:t>
      </w:r>
    </w:p>
    <w:p w:rsidR="00EB6DF4" w:rsidRPr="00EB6DF4" w:rsidRDefault="00EB6DF4" w:rsidP="003E26C3">
      <w:r w:rsidRPr="00EB6DF4">
        <w:t xml:space="preserve">Three studies examined the potential of </w:t>
      </w:r>
      <w:proofErr w:type="spellStart"/>
      <w:r w:rsidR="0075059F" w:rsidRPr="0075059F">
        <w:t>Mirvaso</w:t>
      </w:r>
      <w:proofErr w:type="spellEnd"/>
      <w:r w:rsidRPr="00EB6DF4">
        <w:t xml:space="preserve"> gel (0.07% to 0.5%) to produce </w:t>
      </w:r>
      <w:proofErr w:type="spellStart"/>
      <w:r w:rsidRPr="00EB6DF4">
        <w:t>ph</w:t>
      </w:r>
      <w:r w:rsidR="0075059F">
        <w:t>ototoxicity</w:t>
      </w:r>
      <w:proofErr w:type="spellEnd"/>
      <w:r w:rsidR="0075059F">
        <w:t xml:space="preserve"> and sensitisation (</w:t>
      </w:r>
      <w:r w:rsidRPr="00EB6DF4">
        <w:t xml:space="preserve">COL-118-PT-104, RD.06.SRE.18189, RD. 06.SRE.18124). The evaluator mentions that </w:t>
      </w:r>
      <w:proofErr w:type="spellStart"/>
      <w:r w:rsidR="0075059F" w:rsidRPr="0075059F">
        <w:t>Mirvaso</w:t>
      </w:r>
      <w:proofErr w:type="spellEnd"/>
      <w:r w:rsidRPr="00EB6DF4">
        <w:t xml:space="preserve"> gel did not possess detectable </w:t>
      </w:r>
      <w:proofErr w:type="spellStart"/>
      <w:r w:rsidRPr="00EB6DF4">
        <w:t>phototoxicity</w:t>
      </w:r>
      <w:proofErr w:type="spellEnd"/>
      <w:r w:rsidRPr="00EB6DF4">
        <w:t xml:space="preserve"> potential in human skin.</w:t>
      </w:r>
    </w:p>
    <w:p w:rsidR="00EB6DF4" w:rsidRPr="00EB6DF4" w:rsidRDefault="00EB6DF4" w:rsidP="003E26C3">
      <w:r w:rsidRPr="00EB6DF4">
        <w:t>Tolerability and irritan</w:t>
      </w:r>
      <w:r w:rsidR="002E48CB">
        <w:t xml:space="preserve">cy were assessed in 2 studies. </w:t>
      </w:r>
      <w:r w:rsidRPr="00EB6DF4">
        <w:t xml:space="preserve">The </w:t>
      </w:r>
      <w:r w:rsidR="00DD47A9" w:rsidRPr="00DD47A9">
        <w:t xml:space="preserve">first, Study </w:t>
      </w:r>
      <w:r w:rsidRPr="00EB6DF4">
        <w:t xml:space="preserve">RD.06.SRE.18123 examined the sensitisation potential and local tolerability of three concentrations of </w:t>
      </w:r>
      <w:proofErr w:type="spellStart"/>
      <w:r w:rsidR="0011632F" w:rsidRPr="0011632F">
        <w:t>Mirvaso</w:t>
      </w:r>
      <w:proofErr w:type="spellEnd"/>
      <w:r w:rsidRPr="00EB6DF4">
        <w:t xml:space="preserve"> gel (0.07%, 0.18%, and 0.5%) after applications to the skin of 247 healthy, predominantly Caucasian subjects. Each active test concentration, the gel vehicle, and the white petrolatum produced no reaction in 95% to 96% of test sites on any given </w:t>
      </w:r>
      <w:r w:rsidR="00DD47A9" w:rsidRPr="00DD47A9">
        <w:t xml:space="preserve">evaluation day; mild erythema in 4% to 5% of test sites on any given evaluation day; and </w:t>
      </w:r>
      <w:r w:rsidRPr="00EB6DF4">
        <w:t xml:space="preserve">only isolated instances of moderate erythema and/or erythema with vesicles or erosion or bullae. There were no confirmed cases of contact sensitisation for any of the </w:t>
      </w:r>
      <w:proofErr w:type="spellStart"/>
      <w:r w:rsidR="0011632F" w:rsidRPr="0011632F">
        <w:t>Mirvaso</w:t>
      </w:r>
      <w:proofErr w:type="spellEnd"/>
      <w:r w:rsidR="0011632F">
        <w:t xml:space="preserve"> concentrations, including the v</w:t>
      </w:r>
      <w:r w:rsidRPr="00EB6DF4">
        <w:t>ehicle gel.</w:t>
      </w:r>
    </w:p>
    <w:p w:rsidR="00EB6DF4" w:rsidRPr="00EB6DF4" w:rsidRDefault="00EB6DF4" w:rsidP="003E26C3">
      <w:r w:rsidRPr="00EB6DF4">
        <w:t>The second</w:t>
      </w:r>
      <w:r w:rsidR="00DD47A9">
        <w:t>, S</w:t>
      </w:r>
      <w:r w:rsidRPr="00EB6DF4">
        <w:t xml:space="preserve">tudy RD.06.SRE.18125 assessed the cumulative irritancy potential of repeated applications of three concentrations of </w:t>
      </w:r>
      <w:proofErr w:type="spellStart"/>
      <w:r w:rsidR="0011632F" w:rsidRPr="0011632F">
        <w:t>Mirvaso</w:t>
      </w:r>
      <w:proofErr w:type="spellEnd"/>
      <w:r w:rsidRPr="00EB6DF4">
        <w:t xml:space="preserve"> gel (0.07%, 0.18%, and 0.5%) to the skin of 38 healthy, Caucasian subjects. Based on the MCII, test sites patched with the higher concentrations of </w:t>
      </w:r>
      <w:proofErr w:type="spellStart"/>
      <w:r w:rsidR="0011632F" w:rsidRPr="0011632F">
        <w:t>Mirvaso</w:t>
      </w:r>
      <w:proofErr w:type="spellEnd"/>
      <w:r w:rsidRPr="00EB6DF4">
        <w:t xml:space="preserve"> gel (0.5% and 0.18%) exhibited slightly less irritation </w:t>
      </w:r>
      <w:r w:rsidR="00DD47A9" w:rsidRPr="00DD47A9">
        <w:t>(MCII = 0.01) than the weakest concentration (0.07%;MCII = 0.02) and gel vehicle (MCII</w:t>
      </w:r>
      <w:r w:rsidR="00DD47A9">
        <w:t> </w:t>
      </w:r>
      <w:r w:rsidR="00DD47A9" w:rsidRPr="00DD47A9">
        <w:t>=</w:t>
      </w:r>
      <w:r w:rsidR="00DD47A9">
        <w:t> </w:t>
      </w:r>
      <w:r w:rsidR="00DD47A9" w:rsidRPr="00DD47A9">
        <w:t>0.02).</w:t>
      </w:r>
    </w:p>
    <w:p w:rsidR="00EB6DF4" w:rsidRPr="00EB6DF4" w:rsidRDefault="00EB6DF4" w:rsidP="003E26C3">
      <w:r w:rsidRPr="00EB6DF4">
        <w:t xml:space="preserve">There was no apparent correlation between increasing concentrations of </w:t>
      </w:r>
      <w:proofErr w:type="spellStart"/>
      <w:r w:rsidR="0011632F" w:rsidRPr="0011632F">
        <w:t>Mirvaso</w:t>
      </w:r>
      <w:proofErr w:type="spellEnd"/>
      <w:r w:rsidRPr="00EB6DF4">
        <w:t xml:space="preserve"> gel and the appearance or intensity of topical erythema/irritation.</w:t>
      </w:r>
    </w:p>
    <w:p w:rsidR="00EB6DF4" w:rsidRPr="00EB6DF4" w:rsidRDefault="009A6879" w:rsidP="003E26C3">
      <w:pPr>
        <w:pStyle w:val="Heading4"/>
      </w:pPr>
      <w:r>
        <w:lastRenderedPageBreak/>
        <w:t>Efficacy</w:t>
      </w:r>
    </w:p>
    <w:p w:rsidR="0066627F" w:rsidRDefault="009A6879" w:rsidP="003E26C3">
      <w:pPr>
        <w:pStyle w:val="Heading5"/>
      </w:pPr>
      <w:r>
        <w:t>Dose response studies</w:t>
      </w:r>
    </w:p>
    <w:p w:rsidR="00EB6DF4" w:rsidRPr="00EB6DF4" w:rsidRDefault="00EB6DF4" w:rsidP="003E26C3">
      <w:r w:rsidRPr="00EB6DF4">
        <w:t>2 studies are submitted.</w:t>
      </w:r>
    </w:p>
    <w:p w:rsidR="0066627F" w:rsidRDefault="0011632F" w:rsidP="003E26C3">
      <w:pPr>
        <w:pStyle w:val="Heading6"/>
      </w:pPr>
      <w:r w:rsidRPr="0011632F">
        <w:t>Study 18144</w:t>
      </w:r>
    </w:p>
    <w:p w:rsidR="00EB6DF4" w:rsidRPr="0011632F" w:rsidRDefault="0066627F" w:rsidP="003E26C3">
      <w:r>
        <w:t>A</w:t>
      </w:r>
      <w:r w:rsidR="0011632F" w:rsidRPr="0011632F">
        <w:t xml:space="preserve"> Phase </w:t>
      </w:r>
      <w:proofErr w:type="spellStart"/>
      <w:r w:rsidR="0011632F" w:rsidRPr="0011632F">
        <w:t>IIa</w:t>
      </w:r>
      <w:proofErr w:type="spellEnd"/>
      <w:r w:rsidR="0011632F" w:rsidRPr="0011632F">
        <w:t xml:space="preserve">, randomized, double blind, parallel group, vehicle controlled, dose </w:t>
      </w:r>
      <w:r w:rsidR="00EB6DF4" w:rsidRPr="0011632F">
        <w:t xml:space="preserve">finding study investigating the pharmacodynamics and safety of three concentrations of brimonidine </w:t>
      </w:r>
      <w:r w:rsidR="00DD47A9">
        <w:t xml:space="preserve">tartrate </w:t>
      </w:r>
      <w:r w:rsidR="00EB6DF4" w:rsidRPr="0011632F">
        <w:t xml:space="preserve">topical gel (0.07%, 0.18%, and 0.50%), applied in subjects with moderate to severe </w:t>
      </w:r>
      <w:r w:rsidR="00DD47A9">
        <w:t>ETR</w:t>
      </w:r>
      <w:r w:rsidR="00EB6DF4" w:rsidRPr="0011632F">
        <w:t>. This was a single dose study which included time to first and second grade improvements on the CEA, PSA or both. Other endpoints are also included.</w:t>
      </w:r>
    </w:p>
    <w:p w:rsidR="00EB6DF4" w:rsidRPr="0011632F" w:rsidRDefault="00EB6DF4" w:rsidP="003E26C3">
      <w:r w:rsidRPr="0011632F">
        <w:t>The ITT population included 122 subjects; 31, 31, 28 and 32 subjects were randomise</w:t>
      </w:r>
      <w:r w:rsidR="0011632F">
        <w:t>d to brimonidine tartrate 0.5% gel, 0.18% gel, 0.07% g</w:t>
      </w:r>
      <w:r w:rsidRPr="0011632F">
        <w:t xml:space="preserve">el </w:t>
      </w:r>
      <w:r w:rsidR="0011632F">
        <w:t xml:space="preserve">and vehicle gel, respectively. </w:t>
      </w:r>
      <w:r w:rsidRPr="0011632F">
        <w:t xml:space="preserve">All completed the study. There was dose response seen in relation to the endpoints assessed. The largest effect observed </w:t>
      </w:r>
      <w:r w:rsidR="001D3688">
        <w:t xml:space="preserve">was </w:t>
      </w:r>
      <w:r w:rsidRPr="0011632F">
        <w:t>with the 0.5% concentration, followed by the 0</w:t>
      </w:r>
      <w:r w:rsidR="0011632F">
        <w:t xml:space="preserve">.18% and 0.07% concentrations. </w:t>
      </w:r>
      <w:r w:rsidRPr="0011632F">
        <w:t>Based on these results, 0.18% and 0.5% were chosen for the next dose finding study, 18161.</w:t>
      </w:r>
    </w:p>
    <w:p w:rsidR="0066627F" w:rsidRDefault="0066627F" w:rsidP="003E26C3">
      <w:pPr>
        <w:pStyle w:val="Heading6"/>
      </w:pPr>
      <w:r>
        <w:t xml:space="preserve">Study </w:t>
      </w:r>
      <w:r w:rsidR="0011632F">
        <w:t>18161</w:t>
      </w:r>
    </w:p>
    <w:p w:rsidR="00EB6DF4" w:rsidRPr="00EB6DF4" w:rsidRDefault="001D3688" w:rsidP="003E26C3">
      <w:r w:rsidRPr="001D3688">
        <w:t xml:space="preserve">A Phase </w:t>
      </w:r>
      <w:proofErr w:type="spellStart"/>
      <w:r w:rsidRPr="001D3688">
        <w:t>IIb</w:t>
      </w:r>
      <w:proofErr w:type="spellEnd"/>
      <w:r w:rsidRPr="001D3688">
        <w:t xml:space="preserve">, 4 week, randomised, double blind, parallel group, </w:t>
      </w:r>
      <w:proofErr w:type="gramStart"/>
      <w:r w:rsidRPr="001D3688">
        <w:t>vehicle</w:t>
      </w:r>
      <w:proofErr w:type="gramEnd"/>
      <w:r w:rsidRPr="001D3688">
        <w:t xml:space="preserve"> controlled, multi-</w:t>
      </w:r>
      <w:r w:rsidR="006309FD" w:rsidRPr="00EB6DF4">
        <w:t>centre</w:t>
      </w:r>
      <w:r w:rsidR="00EB6DF4" w:rsidRPr="00EB6DF4">
        <w:t xml:space="preserve"> study. Brimonidine gel, 0.5% and 0.18% was applied topically in subjects with moderate to severe facial erythema associated with rosacea. Subjects were to be randomised in a 1:1:1:1:1 ratio to one of the following treatment arms:</w:t>
      </w:r>
      <w:r w:rsidR="0011632F">
        <w:t xml:space="preserve"> </w:t>
      </w:r>
      <w:r w:rsidR="00EB6DF4" w:rsidRPr="00EB6DF4">
        <w:t xml:space="preserve">brimonidine </w:t>
      </w:r>
      <w:r w:rsidR="0011632F">
        <w:t xml:space="preserve">gel 0.5% applied topically </w:t>
      </w:r>
      <w:proofErr w:type="spellStart"/>
      <w:r w:rsidR="00CD641E">
        <w:t>q.d</w:t>
      </w:r>
      <w:proofErr w:type="spellEnd"/>
      <w:r w:rsidR="00CD641E">
        <w:t>.</w:t>
      </w:r>
      <w:r w:rsidR="0011632F">
        <w:t xml:space="preserve">; </w:t>
      </w:r>
      <w:r w:rsidR="00EB6DF4" w:rsidRPr="00EB6DF4">
        <w:t>brimonidine gel 0.18% appl</w:t>
      </w:r>
      <w:r w:rsidR="0011632F">
        <w:t xml:space="preserve">ied topically </w:t>
      </w:r>
      <w:proofErr w:type="spellStart"/>
      <w:r w:rsidR="002E48CB" w:rsidRPr="002E48CB">
        <w:t>b.i.d</w:t>
      </w:r>
      <w:proofErr w:type="spellEnd"/>
      <w:r w:rsidR="002E48CB" w:rsidRPr="002E48CB">
        <w:t>.</w:t>
      </w:r>
      <w:r w:rsidR="0011632F">
        <w:t xml:space="preserve">; brimonidine </w:t>
      </w:r>
      <w:r w:rsidR="00EB6DF4" w:rsidRPr="00EB6DF4">
        <w:t>g</w:t>
      </w:r>
      <w:r w:rsidR="0011632F">
        <w:t xml:space="preserve">el 0.18% applied topically </w:t>
      </w:r>
      <w:proofErr w:type="spellStart"/>
      <w:r w:rsidR="00CD641E">
        <w:t>q.d</w:t>
      </w:r>
      <w:proofErr w:type="spellEnd"/>
      <w:r w:rsidR="00CD641E">
        <w:t>.</w:t>
      </w:r>
      <w:r w:rsidR="0011632F">
        <w:t xml:space="preserve">; </w:t>
      </w:r>
      <w:r w:rsidR="00EB6DF4" w:rsidRPr="00EB6DF4">
        <w:t xml:space="preserve">vehicle gel applied </w:t>
      </w:r>
      <w:proofErr w:type="spellStart"/>
      <w:r w:rsidR="002E48CB" w:rsidRPr="002E48CB">
        <w:t>b.i.d</w:t>
      </w:r>
      <w:proofErr w:type="spellEnd"/>
      <w:r w:rsidR="002E48CB" w:rsidRPr="002E48CB">
        <w:t>.</w:t>
      </w:r>
      <w:r w:rsidR="00EB6DF4" w:rsidRPr="00EB6DF4">
        <w:t xml:space="preserve"> or </w:t>
      </w:r>
      <w:proofErr w:type="spellStart"/>
      <w:r w:rsidR="00AC15D3">
        <w:t>q.d</w:t>
      </w:r>
      <w:proofErr w:type="spellEnd"/>
      <w:r w:rsidR="00AC15D3">
        <w:t>.</w:t>
      </w:r>
    </w:p>
    <w:p w:rsidR="00EB6DF4" w:rsidRPr="0011632F" w:rsidRDefault="00EB6DF4" w:rsidP="003E26C3">
      <w:r w:rsidRPr="0011632F">
        <w:t xml:space="preserve">The </w:t>
      </w:r>
      <w:r w:rsidR="0011632F">
        <w:t xml:space="preserve">primary efficacy endpoint was 2 grade composite </w:t>
      </w:r>
      <w:proofErr w:type="gramStart"/>
      <w:r w:rsidR="0011632F">
        <w:t>s</w:t>
      </w:r>
      <w:r w:rsidR="00063060">
        <w:t>uccess</w:t>
      </w:r>
      <w:proofErr w:type="gramEnd"/>
      <w:r w:rsidR="00063060">
        <w:t xml:space="preserve"> at Hours 3, 6, 9</w:t>
      </w:r>
      <w:r w:rsidRPr="0011632F">
        <w:t xml:space="preserve"> and 12 on Day 29, then on</w:t>
      </w:r>
      <w:r w:rsidR="0011632F">
        <w:t xml:space="preserve"> Day 1</w:t>
      </w:r>
      <w:r w:rsidR="00063060">
        <w:t>5</w:t>
      </w:r>
      <w:r w:rsidR="0011632F">
        <w:t xml:space="preserve"> and lastly on Day 1; </w:t>
      </w:r>
      <w:r w:rsidR="00063060">
        <w:t xml:space="preserve">a </w:t>
      </w:r>
      <w:r w:rsidR="0011632F">
        <w:t>2 grade composite success was defined as</w:t>
      </w:r>
      <w:r w:rsidR="003E26C3">
        <w:br/>
      </w:r>
      <w:r w:rsidR="0011632F">
        <w:t>a 2</w:t>
      </w:r>
      <w:r w:rsidR="003E26C3">
        <w:t xml:space="preserve"> </w:t>
      </w:r>
      <w:r w:rsidRPr="0011632F">
        <w:t>gra</w:t>
      </w:r>
      <w:r w:rsidR="0011632F">
        <w:t>de improvement from Baseline (T</w:t>
      </w:r>
      <w:r w:rsidRPr="0011632F">
        <w:t xml:space="preserve">0 at Day 1) on both CEA and PSA-5 at each time point. Secondary endpoints were also </w:t>
      </w:r>
      <w:r w:rsidR="001D3688">
        <w:t>assessed.</w:t>
      </w:r>
    </w:p>
    <w:p w:rsidR="00EB6DF4" w:rsidRPr="00E02DAC" w:rsidRDefault="00EB6DF4" w:rsidP="003E26C3">
      <w:r w:rsidRPr="00E02DAC">
        <w:t xml:space="preserve">269 subjects were randomised to the ITT population. 80% were female and </w:t>
      </w:r>
      <w:r w:rsidR="00E02DAC" w:rsidRPr="00E02DAC">
        <w:t>&gt;</w:t>
      </w:r>
      <w:r w:rsidRPr="00E02DAC">
        <w:t xml:space="preserve"> 95%</w:t>
      </w:r>
      <w:r w:rsidR="00E02DAC">
        <w:t>,</w:t>
      </w:r>
      <w:r w:rsidRPr="00E02DAC">
        <w:t xml:space="preserve"> were Caucasians. For CAE a</w:t>
      </w:r>
      <w:r w:rsidR="001D3688">
        <w:t>ll baseline scores were in the m</w:t>
      </w:r>
      <w:r w:rsidRPr="00E02DAC">
        <w:t>oderate (CEA</w:t>
      </w:r>
      <w:r w:rsidR="001D3688">
        <w:t xml:space="preserve"> </w:t>
      </w:r>
      <w:r w:rsidRPr="00E02DAC">
        <w:t>=</w:t>
      </w:r>
      <w:r w:rsidR="001D3688">
        <w:t xml:space="preserve"> 3) to s</w:t>
      </w:r>
      <w:r w:rsidRPr="00E02DAC">
        <w:t>evere (CEA</w:t>
      </w:r>
      <w:r w:rsidR="001D3688">
        <w:t> </w:t>
      </w:r>
      <w:r w:rsidRPr="00E02DAC">
        <w:t>=</w:t>
      </w:r>
      <w:r w:rsidR="001D3688">
        <w:t> </w:t>
      </w:r>
      <w:r w:rsidRPr="00E02DAC">
        <w:t>4) range. The baseline demographics and disease characteristics were similar across treatment groups.</w:t>
      </w:r>
    </w:p>
    <w:p w:rsidR="00EB6DF4" w:rsidRPr="00E02DAC" w:rsidRDefault="001D3688" w:rsidP="003E26C3">
      <w:r>
        <w:t>On D</w:t>
      </w:r>
      <w:r w:rsidR="00EB6DF4" w:rsidRPr="00E02DAC">
        <w:t>ays 1, 15 and 29, a statistically significant</w:t>
      </w:r>
      <w:r>
        <w:t>ly</w:t>
      </w:r>
      <w:r w:rsidR="00EB6DF4" w:rsidRPr="00E02DAC">
        <w:t xml:space="preserve"> (p</w:t>
      </w:r>
      <w:r w:rsidR="00E02DAC">
        <w:t xml:space="preserve"> &lt; </w:t>
      </w:r>
      <w:r w:rsidR="00EB6DF4" w:rsidRPr="00E02DAC">
        <w:t xml:space="preserve">0.001) greater proportion of subjects treated with </w:t>
      </w:r>
      <w:proofErr w:type="spellStart"/>
      <w:r w:rsidR="00EB6DF4" w:rsidRPr="00E02DAC">
        <w:t>bri</w:t>
      </w:r>
      <w:r w:rsidR="00E02DAC">
        <w:t>monidine</w:t>
      </w:r>
      <w:proofErr w:type="spellEnd"/>
      <w:r w:rsidR="00E02DAC">
        <w:t xml:space="preserve"> gel 0.5% </w:t>
      </w:r>
      <w:proofErr w:type="spellStart"/>
      <w:r w:rsidR="00CD641E">
        <w:t>q.d</w:t>
      </w:r>
      <w:proofErr w:type="spellEnd"/>
      <w:r w:rsidR="00CD641E">
        <w:t>.</w:t>
      </w:r>
      <w:r w:rsidR="00E02DAC">
        <w:t xml:space="preserve"> achieved 2 </w:t>
      </w:r>
      <w:r w:rsidR="00EB6DF4" w:rsidRPr="00E02DAC">
        <w:t xml:space="preserve">grade </w:t>
      </w:r>
      <w:r w:rsidR="00E02DAC">
        <w:t>composite s</w:t>
      </w:r>
      <w:r w:rsidR="00EB6DF4" w:rsidRPr="00E02DAC">
        <w:t>ucc</w:t>
      </w:r>
      <w:r w:rsidR="00E02DAC">
        <w:t xml:space="preserve">ess, compared to vehicle gel </w:t>
      </w:r>
      <w:proofErr w:type="spellStart"/>
      <w:r w:rsidR="00CD641E">
        <w:t>q.d</w:t>
      </w:r>
      <w:proofErr w:type="spellEnd"/>
      <w:r w:rsidR="00CD641E">
        <w:t>.</w:t>
      </w:r>
      <w:r w:rsidR="00EB6DF4" w:rsidRPr="00E02DAC">
        <w:t xml:space="preserve">. The evaluator concludes that the 0.5% gel was significantly more effective than the vehicle; though no direct statistical comparisons are </w:t>
      </w:r>
      <w:r w:rsidRPr="001D3688">
        <w:t xml:space="preserve">made; it also </w:t>
      </w:r>
      <w:r w:rsidR="00EB6DF4" w:rsidRPr="00E02DAC">
        <w:t>produced greater efficacy tha</w:t>
      </w:r>
      <w:r w:rsidR="00E02DAC" w:rsidRPr="00E02DAC">
        <w:t xml:space="preserve">n the 0.18% </w:t>
      </w:r>
      <w:proofErr w:type="spellStart"/>
      <w:r w:rsidRPr="001D3688">
        <w:t>b.i.d</w:t>
      </w:r>
      <w:proofErr w:type="spellEnd"/>
      <w:r w:rsidRPr="001D3688">
        <w:t>.</w:t>
      </w:r>
      <w:r w:rsidR="00E02DAC" w:rsidRPr="00E02DAC">
        <w:t xml:space="preserve"> or </w:t>
      </w:r>
      <w:proofErr w:type="spellStart"/>
      <w:r w:rsidR="00CD641E">
        <w:t>q.d</w:t>
      </w:r>
      <w:proofErr w:type="spellEnd"/>
      <w:r w:rsidR="00CD641E">
        <w:t>.</w:t>
      </w:r>
      <w:r w:rsidR="00E02DAC" w:rsidRPr="00E02DAC">
        <w:t xml:space="preserve"> regimens. </w:t>
      </w:r>
      <w:r w:rsidR="00EB6DF4" w:rsidRPr="00E02DAC">
        <w:t xml:space="preserve">Based on the results of this study, 0.5% gel (once daily) was chosen for the Phase </w:t>
      </w:r>
      <w:r w:rsidR="00E02DAC">
        <w:t>III</w:t>
      </w:r>
      <w:r w:rsidR="00EB6DF4" w:rsidRPr="00E02DAC">
        <w:t xml:space="preserve"> studies.</w:t>
      </w:r>
    </w:p>
    <w:p w:rsidR="00EB6DF4" w:rsidRPr="00EB6DF4" w:rsidRDefault="009A6879" w:rsidP="003E26C3">
      <w:pPr>
        <w:pStyle w:val="Heading5"/>
      </w:pPr>
      <w:r>
        <w:t>Pivotal studies</w:t>
      </w:r>
    </w:p>
    <w:p w:rsidR="00EB6DF4" w:rsidRPr="00EB6DF4" w:rsidRDefault="00EB6DF4" w:rsidP="003E26C3">
      <w:r w:rsidRPr="00EB6DF4">
        <w:t xml:space="preserve">2 studies (18140 and 18141) are </w:t>
      </w:r>
      <w:r w:rsidR="001D3688">
        <w:t>provided</w:t>
      </w:r>
      <w:r w:rsidRPr="00EB6DF4">
        <w:t>.</w:t>
      </w:r>
    </w:p>
    <w:p w:rsidR="00A425B5" w:rsidRDefault="00EB6DF4" w:rsidP="003E26C3">
      <w:pPr>
        <w:pStyle w:val="Heading6"/>
      </w:pPr>
      <w:r w:rsidRPr="00E02DAC">
        <w:t>Study 18140</w:t>
      </w:r>
    </w:p>
    <w:p w:rsidR="00EB6DF4" w:rsidRPr="00E02DAC" w:rsidRDefault="00A425B5" w:rsidP="003E26C3">
      <w:r>
        <w:t>A</w:t>
      </w:r>
      <w:r w:rsidR="00EB6DF4" w:rsidRPr="00E02DAC">
        <w:t xml:space="preserve"> Phase </w:t>
      </w:r>
      <w:r w:rsidR="00E02DAC" w:rsidRPr="00E02DAC">
        <w:t>III</w:t>
      </w:r>
      <w:r w:rsidR="00EB6DF4" w:rsidRPr="00E02DAC">
        <w:t>, multi</w:t>
      </w:r>
      <w:r w:rsidR="00063060">
        <w:t xml:space="preserve"> </w:t>
      </w:r>
      <w:r w:rsidR="00063060" w:rsidRPr="00E02DAC">
        <w:t>ce</w:t>
      </w:r>
      <w:r w:rsidR="00063060">
        <w:t>ntre</w:t>
      </w:r>
      <w:r w:rsidR="00E02DAC">
        <w:t>, randomize</w:t>
      </w:r>
      <w:r w:rsidR="00AC15D3">
        <w:t xml:space="preserve">d, double blind, parallel </w:t>
      </w:r>
      <w:r w:rsidR="001D3688" w:rsidRPr="001D3688">
        <w:t xml:space="preserve">group, </w:t>
      </w:r>
      <w:proofErr w:type="gramStart"/>
      <w:r w:rsidR="001D3688" w:rsidRPr="001D3688">
        <w:t>vehicle</w:t>
      </w:r>
      <w:proofErr w:type="gramEnd"/>
      <w:r w:rsidR="001D3688" w:rsidRPr="001D3688">
        <w:t xml:space="preserve"> controlled </w:t>
      </w:r>
      <w:r w:rsidR="00EB6DF4" w:rsidRPr="00E02DAC">
        <w:t xml:space="preserve">pivotal study. Brimonidine gel 0.5% was to be applied topically once daily for 4 weeks versus vehicle control, in patients with moderate to severe facial erythema associated with rosacea. The main inclusion criteria were: male or female at least 18 years of age or older with a clinical diagnosis of </w:t>
      </w:r>
      <w:r w:rsidR="001D3688" w:rsidRPr="001D3688">
        <w:t xml:space="preserve">facial rosacea, and CEA score and PSA score of ≥ 3 at </w:t>
      </w:r>
      <w:r w:rsidR="001D3688">
        <w:t>s</w:t>
      </w:r>
      <w:r w:rsidR="00EB6DF4" w:rsidRPr="00E02DAC">
        <w:t>creening. Exclusion criteria were comprehensive.</w:t>
      </w:r>
    </w:p>
    <w:p w:rsidR="00EB6DF4" w:rsidRPr="00EB6DF4" w:rsidRDefault="00EB6DF4" w:rsidP="003E26C3">
      <w:r w:rsidRPr="00EB6DF4">
        <w:t xml:space="preserve">Subject assessments were to be performed at the investigational </w:t>
      </w:r>
      <w:r w:rsidR="00E02DAC" w:rsidRPr="00EB6DF4">
        <w:t>centre</w:t>
      </w:r>
      <w:r w:rsidR="00E02DAC">
        <w:t xml:space="preserve"> during a 12 hour post </w:t>
      </w:r>
      <w:r w:rsidRPr="00EB6DF4">
        <w:t>dose eva</w:t>
      </w:r>
      <w:r w:rsidR="00063060">
        <w:t>luation period on Day 1, Day 15</w:t>
      </w:r>
      <w:r w:rsidRPr="00EB6DF4">
        <w:t xml:space="preserve"> and Day 29.</w:t>
      </w:r>
    </w:p>
    <w:p w:rsidR="00EB6DF4" w:rsidRPr="00EB6DF4" w:rsidRDefault="00EB6DF4" w:rsidP="003E26C3">
      <w:r w:rsidRPr="00EB6DF4">
        <w:lastRenderedPageBreak/>
        <w:t xml:space="preserve">The primary endpoint to compare the active treatment arm with the vehicle control arm </w:t>
      </w:r>
      <w:r w:rsidR="001D3688" w:rsidRPr="001D3688">
        <w:t xml:space="preserve">was “composite success” at Hours </w:t>
      </w:r>
      <w:r w:rsidRPr="00EB6DF4">
        <w:t>3, 6, 9 and 12 first on Day 29, then on Day 15 and lastly Day 1. Com</w:t>
      </w:r>
      <w:r w:rsidR="001D3688">
        <w:t>posite s</w:t>
      </w:r>
      <w:r w:rsidR="00202FF5">
        <w:t xml:space="preserve">uccess was defined as 2 </w:t>
      </w:r>
      <w:r w:rsidRPr="00EB6DF4">
        <w:t>grade improvement on both CEA and PSA at each time point.</w:t>
      </w:r>
    </w:p>
    <w:p w:rsidR="00EB6DF4" w:rsidRPr="00202FF5" w:rsidRDefault="001D3688" w:rsidP="003E26C3">
      <w:r>
        <w:t>S</w:t>
      </w:r>
      <w:r w:rsidR="00EB6DF4" w:rsidRPr="00202FF5">
        <w:t>econdary endpoints</w:t>
      </w:r>
      <w:r w:rsidRPr="001D3688">
        <w:t xml:space="preserve"> were also assessed.</w:t>
      </w:r>
    </w:p>
    <w:p w:rsidR="00EB6DF4" w:rsidRPr="00202FF5" w:rsidRDefault="00EB6DF4" w:rsidP="003E26C3">
      <w:r w:rsidRPr="00202FF5">
        <w:t>Randomisation methods, populations analysed, sample size calculations and statistical methods are considered satisfactory.</w:t>
      </w:r>
    </w:p>
    <w:p w:rsidR="00EB6DF4" w:rsidRPr="00202FF5" w:rsidRDefault="00EB6DF4" w:rsidP="003E26C3">
      <w:r w:rsidRPr="00202FF5">
        <w:t>260 subjects were randomised and included in the ITT and safety analysis. 7</w:t>
      </w:r>
      <w:r w:rsidR="001D3688">
        <w:t>9% were females and 98.5% were W</w:t>
      </w:r>
      <w:r w:rsidRPr="00202FF5">
        <w:t>hite. 85% had moderate erythema (according to CEA and PSA score). The mean age was 48.8 years. There was no significant difference in baseline characteristics.</w:t>
      </w:r>
    </w:p>
    <w:p w:rsidR="00EB6DF4" w:rsidRPr="00202FF5" w:rsidRDefault="00202FF5" w:rsidP="003E26C3">
      <w:r w:rsidRPr="00202FF5">
        <w:t>Brimonidine g</w:t>
      </w:r>
      <w:r w:rsidR="00EB6DF4" w:rsidRPr="00202FF5">
        <w:t>el 0.5% was significantly superior (p</w:t>
      </w:r>
      <w:r w:rsidRPr="00202FF5">
        <w:t xml:space="preserve"> &lt; 0.001) compared to vehicle gel for the primary endpoint (2 </w:t>
      </w:r>
      <w:r w:rsidR="00EB6DF4" w:rsidRPr="00202FF5">
        <w:t>grade Composite Success for CEA and PSA at H</w:t>
      </w:r>
      <w:r w:rsidRPr="00202FF5">
        <w:t>ours 3, 6, 9, and 12 on Day 29)</w:t>
      </w:r>
      <w:r w:rsidR="00EB6DF4" w:rsidRPr="00202FF5">
        <w:t xml:space="preserve">. The secondary efficacy endpoints showed similar trends. In relation to Patient Assessment of Appearance, brimonidine gel consistently favourable outcome. There were no obvious effect on </w:t>
      </w:r>
      <w:proofErr w:type="spellStart"/>
      <w:r w:rsidR="00EB6DF4" w:rsidRPr="00202FF5">
        <w:t>telegectasiae</w:t>
      </w:r>
      <w:proofErr w:type="spellEnd"/>
      <w:r w:rsidR="00EB6DF4" w:rsidRPr="00202FF5">
        <w:t xml:space="preserve">; there was no evidence of </w:t>
      </w:r>
      <w:proofErr w:type="spellStart"/>
      <w:r w:rsidR="00EB6DF4" w:rsidRPr="00202FF5">
        <w:t>tachyphylaxis</w:t>
      </w:r>
      <w:proofErr w:type="spellEnd"/>
      <w:r w:rsidR="00EB6DF4" w:rsidRPr="00202FF5">
        <w:t>.</w:t>
      </w:r>
    </w:p>
    <w:p w:rsidR="00EB6DF4" w:rsidRPr="00202FF5" w:rsidRDefault="00EB6DF4" w:rsidP="003E26C3">
      <w:r w:rsidRPr="00202FF5">
        <w:t>In regard to rebound phenomeno</w:t>
      </w:r>
      <w:r w:rsidR="00202FF5">
        <w:t>n, the evaluator states that, “</w:t>
      </w:r>
      <w:proofErr w:type="gramStart"/>
      <w:r w:rsidR="007B2FD0">
        <w:t>after</w:t>
      </w:r>
      <w:proofErr w:type="gramEnd"/>
      <w:r w:rsidR="007B2FD0">
        <w:t xml:space="preserve"> cessation of a 4 </w:t>
      </w:r>
      <w:r w:rsidRPr="00202FF5">
        <w:t>week continuous treatment period, no aggravation effect on facial erythema was observed during the follow-up period, in comparison to Baseline/Day 1 (T0) assessments”. Similar incidence of wors</w:t>
      </w:r>
      <w:r w:rsidR="006B5D4C">
        <w:t xml:space="preserve">ening scores in the active and </w:t>
      </w:r>
      <w:r w:rsidRPr="00202FF5">
        <w:t>placebo groups were observed in relation to CEA and PSA.</w:t>
      </w:r>
    </w:p>
    <w:p w:rsidR="00EB6DF4" w:rsidRPr="00EB6DF4" w:rsidRDefault="009A6879" w:rsidP="003E26C3">
      <w:pPr>
        <w:pStyle w:val="Heading6"/>
      </w:pPr>
      <w:r>
        <w:t>Study 18141</w:t>
      </w:r>
    </w:p>
    <w:p w:rsidR="00EB6DF4" w:rsidRPr="00A425B5" w:rsidRDefault="00EB6DF4" w:rsidP="003E26C3">
      <w:r w:rsidRPr="00A425B5">
        <w:t>This was a multicentre study which was si</w:t>
      </w:r>
      <w:r w:rsidR="007B2FD0">
        <w:t>milar in design and conduct to S</w:t>
      </w:r>
      <w:r w:rsidRPr="00A425B5">
        <w:t>tudy 18140.</w:t>
      </w:r>
    </w:p>
    <w:p w:rsidR="00EB6DF4" w:rsidRPr="00A425B5" w:rsidRDefault="00EB6DF4" w:rsidP="00A425B5">
      <w:r w:rsidRPr="00A425B5">
        <w:t>293 subjects were randomised to the ITT population.</w:t>
      </w:r>
      <w:r w:rsidR="007B2FD0">
        <w:t xml:space="preserve"> 72% were females and 98% were W</w:t>
      </w:r>
      <w:r w:rsidRPr="00A425B5">
        <w:t>hite. Moderate erythema based on CEA score of 3 was present in 76% of the population and PSA score of 3 was seen in 86%.</w:t>
      </w:r>
    </w:p>
    <w:p w:rsidR="00EB6DF4" w:rsidRPr="00A425B5" w:rsidRDefault="00EB6DF4" w:rsidP="003E26C3">
      <w:r w:rsidRPr="00A425B5">
        <w:t xml:space="preserve">Primary efficacy endpoint: Brimonidine </w:t>
      </w:r>
      <w:r w:rsidR="007B2FD0" w:rsidRPr="007B2FD0">
        <w:t xml:space="preserve">tartrate </w:t>
      </w:r>
      <w:r w:rsidRPr="00A425B5">
        <w:t xml:space="preserve">0.5% </w:t>
      </w:r>
      <w:r w:rsidR="007B2FD0" w:rsidRPr="007B2FD0">
        <w:t xml:space="preserve">gel </w:t>
      </w:r>
      <w:r w:rsidRPr="00A425B5">
        <w:t>was significantly superior (p</w:t>
      </w:r>
      <w:r w:rsidR="007B2FD0">
        <w:t> &lt; </w:t>
      </w:r>
      <w:r w:rsidR="00A425B5">
        <w:t xml:space="preserve">0.001) compared to vehicle gel for the primary endpoint: 2 </w:t>
      </w:r>
      <w:r w:rsidR="007F3918">
        <w:t>grade composite s</w:t>
      </w:r>
      <w:r w:rsidRPr="00A425B5">
        <w:t xml:space="preserve">uccess for CEA and PSA at Hours 3, 6, 9, and 12 on Day 29. </w:t>
      </w:r>
      <w:r w:rsidR="00A425B5">
        <w:t xml:space="preserve">Using the observed case data, 2 </w:t>
      </w:r>
      <w:r w:rsidR="007F3918">
        <w:t xml:space="preserve">grade composite </w:t>
      </w:r>
      <w:proofErr w:type="gramStart"/>
      <w:r w:rsidR="007F3918">
        <w:t>s</w:t>
      </w:r>
      <w:r w:rsidRPr="00A425B5">
        <w:t>uccess</w:t>
      </w:r>
      <w:proofErr w:type="gramEnd"/>
      <w:r w:rsidRPr="00A425B5">
        <w:t xml:space="preserve"> ranged from 17.6% to 2</w:t>
      </w:r>
      <w:r w:rsidR="00A425B5">
        <w:t>5.4% on Day 29 compared to the vehicle gel control (9.2% to 10.6%)</w:t>
      </w:r>
      <w:r w:rsidRPr="00A425B5">
        <w:t>. The secondary efficacy endpoints showed similar trends.</w:t>
      </w:r>
    </w:p>
    <w:p w:rsidR="00EB6DF4" w:rsidRPr="006F603F" w:rsidRDefault="00EB6DF4" w:rsidP="003E26C3">
      <w:r w:rsidRPr="006F603F">
        <w:t xml:space="preserve">The evaluator </w:t>
      </w:r>
      <w:r w:rsidR="00A425B5" w:rsidRPr="006F603F">
        <w:t xml:space="preserve">also mentions that brimonidine </w:t>
      </w:r>
      <w:r w:rsidR="007B2FD0" w:rsidRPr="007B2FD0">
        <w:t>tartrate 0.5% gel</w:t>
      </w:r>
      <w:r w:rsidRPr="006F603F">
        <w:t>, “consistently showed a more favourable outcome in PAA</w:t>
      </w:r>
      <w:r w:rsidR="002848DD">
        <w:t xml:space="preserve"> and OTE</w:t>
      </w:r>
      <w:r w:rsidRPr="006F603F">
        <w:t xml:space="preserve"> compared to vehicle gel. As expected, slightly m</w:t>
      </w:r>
      <w:r w:rsidR="006F603F">
        <w:t xml:space="preserve">ore subjects in the </w:t>
      </w:r>
      <w:r w:rsidR="007B2FD0" w:rsidRPr="007B2FD0">
        <w:t xml:space="preserve">brimonidine tartrate 0.5% gel </w:t>
      </w:r>
      <w:r w:rsidR="006F603F">
        <w:t xml:space="preserve">group reported unwanted over </w:t>
      </w:r>
      <w:r w:rsidRPr="006F603F">
        <w:t>whitening compared to subjects in the vehicle gel group. Overall, subjects in the active group adapted to the over whitening effect (</w:t>
      </w:r>
      <w:r w:rsidR="006F603F">
        <w:t>that is</w:t>
      </w:r>
      <w:r w:rsidRPr="006F603F">
        <w:t xml:space="preserve">, the incidence decreased from Day 1 to Day 29) and no subjects discontinued from the </w:t>
      </w:r>
      <w:r w:rsidR="006F603F">
        <w:t xml:space="preserve">study due to the effect of over </w:t>
      </w:r>
      <w:r w:rsidRPr="006F603F">
        <w:t>whitening”.</w:t>
      </w:r>
    </w:p>
    <w:p w:rsidR="00EB6DF4" w:rsidRPr="00EB6DF4" w:rsidRDefault="00EB6DF4" w:rsidP="003E26C3">
      <w:pPr>
        <w:pStyle w:val="Heading5"/>
      </w:pPr>
      <w:r w:rsidRPr="00EB6DF4">
        <w:t xml:space="preserve">Other studies using </w:t>
      </w:r>
      <w:proofErr w:type="spellStart"/>
      <w:r w:rsidR="006F603F" w:rsidRPr="006F603F">
        <w:t>Mirvaso</w:t>
      </w:r>
      <w:proofErr w:type="spellEnd"/>
    </w:p>
    <w:p w:rsidR="0066627F" w:rsidRDefault="00842325" w:rsidP="003E26C3">
      <w:pPr>
        <w:pStyle w:val="Heading6"/>
      </w:pPr>
      <w:r>
        <w:t>Study 18142</w:t>
      </w:r>
    </w:p>
    <w:p w:rsidR="00EB6DF4" w:rsidRPr="00EB6DF4" w:rsidRDefault="006F603F" w:rsidP="003E26C3">
      <w:r>
        <w:t xml:space="preserve">This was a multicentre, open label, non comparative 52 week study </w:t>
      </w:r>
      <w:r w:rsidR="007B2FD0">
        <w:t xml:space="preserve">which evaluated the long </w:t>
      </w:r>
      <w:r w:rsidR="00EB6DF4" w:rsidRPr="00EB6DF4">
        <w:t xml:space="preserve">term safety and efficacy of </w:t>
      </w:r>
      <w:proofErr w:type="spellStart"/>
      <w:r w:rsidRPr="006F603F">
        <w:t>Mirvaso</w:t>
      </w:r>
      <w:proofErr w:type="spellEnd"/>
      <w:r w:rsidR="00EB6DF4" w:rsidRPr="00EB6DF4">
        <w:t xml:space="preserve"> gel 0.5% applied once daily in 449 patients with moderate to severe facial erythema of rosacea. Efficacy was a secondary objective and thus is a </w:t>
      </w:r>
      <w:r>
        <w:t xml:space="preserve">supportive study of efficacy. </w:t>
      </w:r>
      <w:r w:rsidR="00EB6DF4" w:rsidRPr="00EB6DF4">
        <w:t xml:space="preserve">The evaluator mentions that, “the mean change of -1.0 observed at the Baseline (Day 1) Hour 3 assessment improved over the course of the study reaching a level of improvement of -1.6 at the Month 3 visit. For the remaining clinic visits, a mean change in PSA of -1.5 or -1.7 was maintained until the end of the study, which suggested that no </w:t>
      </w:r>
      <w:proofErr w:type="spellStart"/>
      <w:r w:rsidR="00EB6DF4" w:rsidRPr="00EB6DF4">
        <w:t>tachyphylaxis</w:t>
      </w:r>
      <w:proofErr w:type="spellEnd"/>
      <w:r w:rsidR="00EB6DF4" w:rsidRPr="00EB6DF4">
        <w:t xml:space="preserve"> of treatment effect occurred over time”. Similar observations were made in relation to CEA, PAA, OTE scores and basically confirmed the </w:t>
      </w:r>
      <w:r w:rsidR="007B2FD0">
        <w:lastRenderedPageBreak/>
        <w:t>short term results. T</w:t>
      </w:r>
      <w:r w:rsidR="00EB6DF4" w:rsidRPr="00EB6DF4">
        <w:t xml:space="preserve">he evaluator also states that there was no evidence of </w:t>
      </w:r>
      <w:proofErr w:type="spellStart"/>
      <w:r w:rsidR="00EB6DF4" w:rsidRPr="00EB6DF4">
        <w:t>tachyphylaxis</w:t>
      </w:r>
      <w:proofErr w:type="spellEnd"/>
      <w:r w:rsidR="00EB6DF4" w:rsidRPr="00EB6DF4">
        <w:t xml:space="preserve"> with long term chronic use.</w:t>
      </w:r>
    </w:p>
    <w:p w:rsidR="00EB6DF4" w:rsidRPr="00EB6DF4" w:rsidRDefault="009A6879" w:rsidP="003E26C3">
      <w:pPr>
        <w:pStyle w:val="Heading5"/>
      </w:pPr>
      <w:r>
        <w:t>Overall efficacy conclusions</w:t>
      </w:r>
    </w:p>
    <w:p w:rsidR="00EB6DF4" w:rsidRPr="006F603F" w:rsidRDefault="00EB6DF4" w:rsidP="003E26C3">
      <w:r w:rsidRPr="006F603F">
        <w:t>The evaluator mentions that the dose finding studies supported 0.5% gel once daily. The objective of the dose finding stud</w:t>
      </w:r>
      <w:r w:rsidR="006F603F" w:rsidRPr="006F603F">
        <w:t xml:space="preserve">ies was to produce at least a 1 </w:t>
      </w:r>
      <w:r w:rsidRPr="006F603F">
        <w:t>grade improvement (</w:t>
      </w:r>
      <w:r w:rsidR="006F603F" w:rsidRPr="006F603F">
        <w:t>that is</w:t>
      </w:r>
      <w:r w:rsidRPr="006F603F">
        <w:t>, a noticeable effect) in CEA and/or PSA for a maximal amount of time (target of 12 hours after dosing), whil</w:t>
      </w:r>
      <w:r w:rsidR="006F603F" w:rsidRPr="006F603F">
        <w:t xml:space="preserve">e being able to achieve daily 2 </w:t>
      </w:r>
      <w:r w:rsidRPr="006F603F">
        <w:t>grade improvement in both assessments for a sustained period.</w:t>
      </w:r>
    </w:p>
    <w:p w:rsidR="00EB6DF4" w:rsidRPr="006F603F" w:rsidRDefault="00EB6DF4" w:rsidP="003E26C3">
      <w:r w:rsidRPr="006F603F">
        <w:t xml:space="preserve">The 2 Phase </w:t>
      </w:r>
      <w:r w:rsidR="006F603F" w:rsidRPr="006F603F">
        <w:t>III</w:t>
      </w:r>
      <w:r w:rsidRPr="006F603F">
        <w:t xml:space="preserve"> pivotal studies were vehicle controlled studies. The pr</w:t>
      </w:r>
      <w:r w:rsidR="006F603F" w:rsidRPr="006F603F">
        <w:t xml:space="preserve">imary efficacy endpoint was a 2 </w:t>
      </w:r>
      <w:r w:rsidR="007F3918">
        <w:t>grade composite s</w:t>
      </w:r>
      <w:r w:rsidRPr="006F603F">
        <w:t>uccess which was a composite endpoint based on analyses of independent static evaluatio</w:t>
      </w:r>
      <w:r w:rsidR="001D7582">
        <w:t>ns of erythema by the i</w:t>
      </w:r>
      <w:r w:rsidRPr="006F603F">
        <w:t>nvestigators (CEA) and</w:t>
      </w:r>
      <w:r w:rsidR="006F603F" w:rsidRPr="006F603F">
        <w:t xml:space="preserve"> the subjects (PSA). The Phase III</w:t>
      </w:r>
      <w:r w:rsidRPr="006F603F">
        <w:t xml:space="preserve"> pivotal studies met the p</w:t>
      </w:r>
      <w:r w:rsidR="006F603F">
        <w:t xml:space="preserve">redefined primary endpoint of 2 </w:t>
      </w:r>
      <w:r w:rsidRPr="006F603F">
        <w:t>grade composite success, demonstrating the superiority of brimonidine tartrate 0.5% gel compared to vehicle gel in reduction of facial erythema in subjects with rosacea. These studies were 4 week studies.</w:t>
      </w:r>
    </w:p>
    <w:p w:rsidR="00EB6DF4" w:rsidRPr="006F603F" w:rsidRDefault="007B2FD0" w:rsidP="003E26C3">
      <w:r w:rsidRPr="007B2FD0">
        <w:t>There was no exacerbation of the condition observed and no unwanted over whitening</w:t>
      </w:r>
      <w:r w:rsidR="00EB6DF4" w:rsidRPr="006F603F">
        <w:t xml:space="preserve">. There was no evidence of </w:t>
      </w:r>
      <w:proofErr w:type="spellStart"/>
      <w:r w:rsidR="00EB6DF4" w:rsidRPr="006F603F">
        <w:t>tachyphylaxis</w:t>
      </w:r>
      <w:proofErr w:type="spellEnd"/>
      <w:r w:rsidR="00EB6DF4" w:rsidRPr="006F603F">
        <w:t>.</w:t>
      </w:r>
    </w:p>
    <w:p w:rsidR="00EB6DF4" w:rsidRPr="006F603F" w:rsidRDefault="00EB6DF4" w:rsidP="003E26C3">
      <w:r w:rsidRPr="006F603F">
        <w:t>The treatment effect appeared to be sustained in the long term (52 week) open label study.</w:t>
      </w:r>
    </w:p>
    <w:p w:rsidR="00EB6DF4" w:rsidRPr="006F603F" w:rsidRDefault="00EB6DF4" w:rsidP="003E26C3">
      <w:r w:rsidRPr="006F603F">
        <w:t xml:space="preserve">The evaluator mentions that the main limitation was that subjects </w:t>
      </w:r>
      <w:r w:rsidR="006F603F">
        <w:t>&lt;</w:t>
      </w:r>
      <w:r w:rsidR="007B2FD0">
        <w:t xml:space="preserve"> 18 years were not studied. </w:t>
      </w:r>
      <w:r w:rsidRPr="006F603F">
        <w:t>There are no long term data based on double blind studies.</w:t>
      </w:r>
    </w:p>
    <w:p w:rsidR="00EB6DF4" w:rsidRPr="00EB6DF4" w:rsidRDefault="006F603F" w:rsidP="003E26C3">
      <w:pPr>
        <w:pStyle w:val="Heading4"/>
      </w:pPr>
      <w:r>
        <w:t>Safety</w:t>
      </w:r>
    </w:p>
    <w:p w:rsidR="00EB6DF4" w:rsidRPr="0066627F" w:rsidRDefault="00EB6DF4" w:rsidP="003E26C3">
      <w:r w:rsidRPr="0066627F">
        <w:t>The safety data relate to pharmacology, dose finding and efficacy studies.</w:t>
      </w:r>
    </w:p>
    <w:p w:rsidR="00EB6DF4" w:rsidRPr="0066627F" w:rsidRDefault="007B2FD0" w:rsidP="003E26C3">
      <w:r w:rsidRPr="007B2FD0">
        <w:t>Study 18142 assessed</w:t>
      </w:r>
      <w:r w:rsidR="00EB6DF4" w:rsidRPr="0066627F">
        <w:t xml:space="preserve"> safety as the primary outc</w:t>
      </w:r>
      <w:r w:rsidR="005F71EE">
        <w:t>ome and was an open label non</w:t>
      </w:r>
      <w:r w:rsidR="00EB6DF4" w:rsidRPr="0066627F">
        <w:t xml:space="preserve"> comparative 52 week study. 449 subjects were enrolled and 279 completed the study. 67 (14.9%) </w:t>
      </w:r>
      <w:r w:rsidR="005F71EE">
        <w:t xml:space="preserve">subjects </w:t>
      </w:r>
      <w:r w:rsidR="00EB6DF4" w:rsidRPr="0066627F">
        <w:t>discontinued due to AEs that were related to the study drug. The majority of related AEs that led to stu</w:t>
      </w:r>
      <w:r w:rsidR="007F3918">
        <w:t>dy discontinuation were in the skin and subcutaneous tissue d</w:t>
      </w:r>
      <w:r w:rsidR="00EB6DF4" w:rsidRPr="0066627F">
        <w:t>isorders SOC and were mild or moderate in severity; AEs (</w:t>
      </w:r>
      <w:r w:rsidR="007F3918">
        <w:t>≥</w:t>
      </w:r>
      <w:r w:rsidR="005F71EE">
        <w:t xml:space="preserve"> </w:t>
      </w:r>
      <w:r w:rsidR="00EB6DF4" w:rsidRPr="0066627F">
        <w:t xml:space="preserve">4% of subjects) for the entire study </w:t>
      </w:r>
      <w:r w:rsidRPr="007B2FD0">
        <w:t xml:space="preserve">were: flushing </w:t>
      </w:r>
      <w:r w:rsidR="00EB6DF4" w:rsidRPr="0066627F">
        <w:t xml:space="preserve">(10.2%), erythema (7.8%), rosacea (5.3%), </w:t>
      </w:r>
      <w:proofErr w:type="spellStart"/>
      <w:r w:rsidR="00EB6DF4" w:rsidRPr="0066627F">
        <w:t>nasopharyngitis</w:t>
      </w:r>
      <w:proofErr w:type="spellEnd"/>
      <w:r w:rsidR="00EB6DF4" w:rsidRPr="0066627F">
        <w:t xml:space="preserve"> (4.9%), skin burning sensation (4.2%), increased IOP (4.2%), and headache (4.0%). The cardiovascular events (reported in 6 patients) were assessed by the investigator as unrelated.</w:t>
      </w:r>
    </w:p>
    <w:p w:rsidR="00EB6DF4" w:rsidRPr="005F71EE" w:rsidRDefault="00EB6DF4" w:rsidP="003E26C3">
      <w:r w:rsidRPr="005F71EE">
        <w:t>In the vehicle controlled pivotal studies, 33% TEAEs were in the brimonidine and 27% in the vehicle group. Frequently reported events were</w:t>
      </w:r>
      <w:r w:rsidR="007B2FD0">
        <w:t>:</w:t>
      </w:r>
      <w:r w:rsidRPr="005F71EE">
        <w:t xml:space="preserve"> headache 4.5%, erythema 3.6%, pruritus 2.4% and </w:t>
      </w:r>
      <w:proofErr w:type="spellStart"/>
      <w:r w:rsidRPr="005F71EE">
        <w:t>nasopharyngitis</w:t>
      </w:r>
      <w:proofErr w:type="spellEnd"/>
      <w:r w:rsidRPr="005F71EE">
        <w:t xml:space="preserve"> 8%. The events were assessed as severe in 1.2% (one report of contact dermatitis) of the active and 0.3% of the vehicle controlled events. 0.9% (n</w:t>
      </w:r>
      <w:r w:rsidR="007B2FD0">
        <w:t xml:space="preserve"> </w:t>
      </w:r>
      <w:r w:rsidRPr="005F71EE">
        <w:t>=</w:t>
      </w:r>
      <w:r w:rsidR="007B2FD0">
        <w:t xml:space="preserve"> </w:t>
      </w:r>
      <w:r w:rsidRPr="005F71EE">
        <w:t xml:space="preserve">3) </w:t>
      </w:r>
      <w:r w:rsidR="005F71EE">
        <w:t>versus</w:t>
      </w:r>
      <w:r w:rsidR="007B2FD0">
        <w:t xml:space="preserve"> 0.6% TEAE</w:t>
      </w:r>
      <w:r w:rsidRPr="005F71EE">
        <w:t>s led to discontinuation; 2 were due to contact dermatitis and one due to erythema.</w:t>
      </w:r>
    </w:p>
    <w:p w:rsidR="005F71EE" w:rsidRDefault="009A6879" w:rsidP="003E26C3">
      <w:pPr>
        <w:pStyle w:val="Heading5"/>
      </w:pPr>
      <w:r>
        <w:t>Photosensitivity</w:t>
      </w:r>
    </w:p>
    <w:p w:rsidR="00EB6DF4" w:rsidRPr="0066627F" w:rsidRDefault="00EB6DF4" w:rsidP="003E26C3">
      <w:r w:rsidRPr="0066627F">
        <w:t>There were three reports in total; based on this, the rate of sensitisation was &lt; 1% across the</w:t>
      </w:r>
      <w:r w:rsidR="005F71EE">
        <w:t xml:space="preserve"> clinical development program. </w:t>
      </w:r>
      <w:r w:rsidRPr="0066627F">
        <w:t>It was also well tolerated locally with little incidence of application site irritation or treatment-related TEAEs observed following application under patch occlusion, in the dermal occlusion studies. There was 1 report of unconfirmed allergic sensitisation.</w:t>
      </w:r>
    </w:p>
    <w:p w:rsidR="00EB6DF4" w:rsidRDefault="00EB6DF4" w:rsidP="003E26C3">
      <w:r w:rsidRPr="0066627F">
        <w:t xml:space="preserve">The evaluator states that no specific drug interaction studies have been conducted. Additive effect with CNS depressants should be </w:t>
      </w:r>
      <w:r w:rsidR="005F71EE">
        <w:t xml:space="preserve">a consideration as this </w:t>
      </w:r>
      <w:r w:rsidR="007B2FD0" w:rsidRPr="007B2FD0">
        <w:t xml:space="preserve">is </w:t>
      </w:r>
      <w:proofErr w:type="gramStart"/>
      <w:r w:rsidR="007B2FD0" w:rsidRPr="007B2FD0">
        <w:t>an</w:t>
      </w:r>
      <w:proofErr w:type="gramEnd"/>
      <w:r w:rsidR="007B2FD0" w:rsidRPr="007B2FD0">
        <w:t xml:space="preserve"> α</w:t>
      </w:r>
      <w:r w:rsidR="007B2FD0" w:rsidRPr="007B2FD0">
        <w:noBreakHyphen/>
      </w:r>
      <w:proofErr w:type="spellStart"/>
      <w:r w:rsidR="007B2FD0" w:rsidRPr="007B2FD0">
        <w:t>adrenoceptor</w:t>
      </w:r>
      <w:proofErr w:type="spellEnd"/>
      <w:r w:rsidR="007B2FD0" w:rsidRPr="007B2FD0">
        <w:t xml:space="preserve"> agonist.</w:t>
      </w:r>
    </w:p>
    <w:p w:rsidR="005F71EE" w:rsidRPr="005F71EE" w:rsidRDefault="005F71EE" w:rsidP="003E26C3">
      <w:pPr>
        <w:pStyle w:val="Heading5"/>
      </w:pPr>
      <w:r w:rsidRPr="005F71EE">
        <w:lastRenderedPageBreak/>
        <w:t>Clinical evaluator’s recommendation</w:t>
      </w:r>
    </w:p>
    <w:p w:rsidR="00EB6DF4" w:rsidRDefault="00EB6DF4" w:rsidP="003E26C3">
      <w:r w:rsidRPr="007F3918">
        <w:t>Overall,</w:t>
      </w:r>
      <w:r w:rsidRPr="0066627F">
        <w:t xml:space="preserve"> the evaluator concludes that the risk/benefit profile is acceptable and </w:t>
      </w:r>
      <w:r w:rsidR="007B2FD0" w:rsidRPr="007B2FD0">
        <w:t xml:space="preserve">recommends approval of </w:t>
      </w:r>
      <w:r w:rsidR="004D253D">
        <w:t>the indication</w:t>
      </w:r>
      <w:r w:rsidRPr="004D253D">
        <w:rPr>
          <w:i/>
        </w:rPr>
        <w:t>: “</w:t>
      </w:r>
      <w:proofErr w:type="spellStart"/>
      <w:r w:rsidRPr="004D253D">
        <w:rPr>
          <w:i/>
        </w:rPr>
        <w:t>M</w:t>
      </w:r>
      <w:r w:rsidR="005F71EE" w:rsidRPr="004D253D">
        <w:rPr>
          <w:i/>
        </w:rPr>
        <w:t>irvaso</w:t>
      </w:r>
      <w:proofErr w:type="spellEnd"/>
      <w:r w:rsidRPr="004D253D">
        <w:rPr>
          <w:i/>
        </w:rPr>
        <w:t xml:space="preserve"> is indicated for the cutaneous symptomatic treatment of facial erythema of rosacea in adult patients.”</w:t>
      </w:r>
    </w:p>
    <w:p w:rsidR="008E7846" w:rsidRDefault="00386150" w:rsidP="003E26C3">
      <w:pPr>
        <w:pStyle w:val="Heading3"/>
        <w:rPr>
          <w:lang w:eastAsia="en-AU"/>
        </w:rPr>
      </w:pPr>
      <w:bookmarkStart w:id="151" w:name="_Toc413157331"/>
      <w:r>
        <w:rPr>
          <w:lang w:eastAsia="en-AU"/>
        </w:rPr>
        <w:t>Risk m</w:t>
      </w:r>
      <w:r w:rsidR="008E7846">
        <w:rPr>
          <w:lang w:eastAsia="en-AU"/>
        </w:rPr>
        <w:t xml:space="preserve">anagement </w:t>
      </w:r>
      <w:r>
        <w:rPr>
          <w:lang w:eastAsia="en-AU"/>
        </w:rPr>
        <w:t>p</w:t>
      </w:r>
      <w:r w:rsidR="008E7846">
        <w:rPr>
          <w:lang w:eastAsia="en-AU"/>
        </w:rPr>
        <w:t>lan</w:t>
      </w:r>
      <w:bookmarkEnd w:id="150"/>
      <w:bookmarkEnd w:id="151"/>
    </w:p>
    <w:p w:rsidR="00EB6DF4" w:rsidRPr="00EB6DF4" w:rsidRDefault="009A6879" w:rsidP="003E26C3">
      <w:pPr>
        <w:pStyle w:val="Heading4"/>
      </w:pPr>
      <w:r>
        <w:t>OPR evaluation</w:t>
      </w:r>
    </w:p>
    <w:p w:rsidR="00EB6DF4" w:rsidRPr="00EB6DF4" w:rsidRDefault="00EB6DF4" w:rsidP="003E26C3">
      <w:r w:rsidRPr="00EB6DF4">
        <w:t>There are no outstanding safety concerns that preclude registration.</w:t>
      </w:r>
    </w:p>
    <w:p w:rsidR="008E7846" w:rsidRDefault="00AA0ED0" w:rsidP="003E26C3">
      <w:pPr>
        <w:pStyle w:val="Heading3"/>
      </w:pPr>
      <w:bookmarkStart w:id="152" w:name="_Toc247691531"/>
      <w:bookmarkStart w:id="153" w:name="_Toc314842515"/>
      <w:bookmarkStart w:id="154" w:name="_Toc196046505"/>
      <w:bookmarkStart w:id="155" w:name="_Toc196046949"/>
      <w:bookmarkStart w:id="156" w:name="_Toc413157332"/>
      <w:r>
        <w:t>Risk-benefit a</w:t>
      </w:r>
      <w:r w:rsidR="008E7846">
        <w:t>nalysis</w:t>
      </w:r>
      <w:bookmarkEnd w:id="152"/>
      <w:bookmarkEnd w:id="153"/>
      <w:bookmarkEnd w:id="156"/>
    </w:p>
    <w:p w:rsidR="00D23139" w:rsidRDefault="009A6879" w:rsidP="003E26C3">
      <w:pPr>
        <w:pStyle w:val="Heading4"/>
      </w:pPr>
      <w:r>
        <w:t>Delegate’s considerations</w:t>
      </w:r>
    </w:p>
    <w:p w:rsidR="00EB6DF4" w:rsidRPr="00EB6DF4" w:rsidRDefault="00AF458D" w:rsidP="003E26C3">
      <w:r>
        <w:t>The Delegate agreed</w:t>
      </w:r>
      <w:r w:rsidR="00EB6DF4" w:rsidRPr="00EB6DF4">
        <w:t xml:space="preserve"> with the chemistry and quality control evaluator that the expiry limit </w:t>
      </w:r>
      <w:r w:rsidR="004D253D">
        <w:t>for the two impurities</w:t>
      </w:r>
      <w:r w:rsidR="006309FD">
        <w:t xml:space="preserve"> </w:t>
      </w:r>
      <w:r w:rsidR="00EB6DF4" w:rsidRPr="00EB6DF4">
        <w:t xml:space="preserve">be </w:t>
      </w:r>
      <w:r w:rsidR="00B46C73">
        <w:t xml:space="preserve">tightened </w:t>
      </w:r>
      <w:r w:rsidR="00EB6DF4" w:rsidRPr="00EB6DF4">
        <w:t xml:space="preserve">prior to registration of the product. </w:t>
      </w:r>
      <w:r w:rsidR="004D253D">
        <w:t>The Delegate</w:t>
      </w:r>
      <w:r w:rsidR="00EB6DF4" w:rsidRPr="00EB6DF4">
        <w:t xml:space="preserve"> also agree</w:t>
      </w:r>
      <w:r w:rsidR="004D253D">
        <w:t>d</w:t>
      </w:r>
      <w:r w:rsidR="00EB6DF4" w:rsidRPr="00EB6DF4">
        <w:t xml:space="preserve"> with the evaluator that the improved test method can be submitted within 4 months of registration.</w:t>
      </w:r>
    </w:p>
    <w:p w:rsidR="00EB6DF4" w:rsidRPr="00EB6DF4" w:rsidRDefault="00AF458D" w:rsidP="003E26C3">
      <w:r w:rsidRPr="00AF458D">
        <w:t xml:space="preserve">The Delegate </w:t>
      </w:r>
      <w:r w:rsidR="00EB6DF4" w:rsidRPr="00EB6DF4">
        <w:t>agree</w:t>
      </w:r>
      <w:r>
        <w:t>d</w:t>
      </w:r>
      <w:r w:rsidR="00EB6DF4" w:rsidRPr="00EB6DF4">
        <w:t xml:space="preserve"> with the </w:t>
      </w:r>
      <w:r w:rsidR="004D253D">
        <w:t xml:space="preserve">clinical </w:t>
      </w:r>
      <w:r w:rsidR="00EB6DF4" w:rsidRPr="00EB6DF4">
        <w:t>evaluator that the indication be restricted to the adult population as the pivotal studies were conducted in adult patients. The sponsor has changed the proposed</w:t>
      </w:r>
      <w:r w:rsidR="00067025">
        <w:t xml:space="preserve"> indication to reflect this.</w:t>
      </w:r>
    </w:p>
    <w:p w:rsidR="00EB6DF4" w:rsidRPr="00EB6DF4" w:rsidRDefault="00EB6DF4" w:rsidP="003E26C3">
      <w:proofErr w:type="gramStart"/>
      <w:r w:rsidRPr="00EB6DF4">
        <w:t xml:space="preserve">Short term efficacy from pivotal studies support </w:t>
      </w:r>
      <w:r w:rsidR="00AF058E">
        <w:t xml:space="preserve">the </w:t>
      </w:r>
      <w:r w:rsidRPr="00EB6DF4">
        <w:t>treatment of moderate</w:t>
      </w:r>
      <w:r w:rsidR="00067025">
        <w:t>,</w:t>
      </w:r>
      <w:r w:rsidRPr="00EB6DF4">
        <w:t xml:space="preserve"> to severe, persistent (non</w:t>
      </w:r>
      <w:r w:rsidR="006309FD">
        <w:t xml:space="preserve"> </w:t>
      </w:r>
      <w:r w:rsidRPr="00EB6DF4">
        <w:t>transient)</w:t>
      </w:r>
      <w:r w:rsidR="006309FD">
        <w:t>,</w:t>
      </w:r>
      <w:r w:rsidRPr="00EB6DF4">
        <w:t xml:space="preserve"> facial erythema of rosacea.</w:t>
      </w:r>
      <w:proofErr w:type="gramEnd"/>
      <w:r w:rsidRPr="00EB6DF4">
        <w:t xml:space="preserve"> Long term efficacy is based on a 12 month uncontrolled safety study which supports the long term effect of treatment.</w:t>
      </w:r>
    </w:p>
    <w:p w:rsidR="004D253D" w:rsidRPr="00EB6DF4" w:rsidRDefault="004D253D" w:rsidP="003E26C3">
      <w:r w:rsidRPr="00EB6DF4">
        <w:t xml:space="preserve">There were no </w:t>
      </w:r>
      <w:r>
        <w:t xml:space="preserve">reports of </w:t>
      </w:r>
      <w:r w:rsidRPr="00EB6DF4">
        <w:t xml:space="preserve">local irritation photosensitivity that was clinically significant in the clinical trials; however, these studies were conducted in USA and Canada. No studies were conducted in Australia. This may be of concern relating to the potential </w:t>
      </w:r>
      <w:r>
        <w:t xml:space="preserve">UV </w:t>
      </w:r>
      <w:r w:rsidRPr="00EB6DF4">
        <w:t>light exposure in Australia. Is this likely to cause more photosensitivity and local irritation? The sponsor</w:t>
      </w:r>
      <w:r>
        <w:t xml:space="preserve"> would be requested to address this in the re</w:t>
      </w:r>
      <w:r w:rsidR="00B46C73">
        <w:t>s</w:t>
      </w:r>
      <w:r>
        <w:t>ponse to this Overview.</w:t>
      </w:r>
      <w:r w:rsidRPr="00EB6DF4">
        <w:t xml:space="preserve"> This may need to be addressed in the draft PI.</w:t>
      </w:r>
    </w:p>
    <w:p w:rsidR="00D23139" w:rsidRDefault="00D23139" w:rsidP="003E26C3">
      <w:pPr>
        <w:pStyle w:val="Heading4"/>
      </w:pPr>
      <w:r w:rsidRPr="00D23139">
        <w:t>Proposed action</w:t>
      </w:r>
    </w:p>
    <w:p w:rsidR="004D253D" w:rsidRDefault="004D253D" w:rsidP="003E26C3">
      <w:r>
        <w:t xml:space="preserve">The Delegate had </w:t>
      </w:r>
      <w:r w:rsidRPr="000D76BC">
        <w:t xml:space="preserve">no reason to say, at this time, that the application for </w:t>
      </w:r>
      <w:proofErr w:type="spellStart"/>
      <w:r w:rsidRPr="000D76BC">
        <w:t>M</w:t>
      </w:r>
      <w:r>
        <w:t>irvaso</w:t>
      </w:r>
      <w:proofErr w:type="spellEnd"/>
      <w:r>
        <w:t xml:space="preserve"> </w:t>
      </w:r>
      <w:r w:rsidRPr="000D76BC">
        <w:t>should not be approved for registration</w:t>
      </w:r>
      <w:r>
        <w:t xml:space="preserve"> for the following indication:</w:t>
      </w:r>
    </w:p>
    <w:p w:rsidR="00EB6DF4" w:rsidRPr="00AF458D" w:rsidRDefault="00EB6DF4" w:rsidP="004D253D">
      <w:pPr>
        <w:ind w:left="720"/>
        <w:rPr>
          <w:i/>
        </w:rPr>
      </w:pPr>
      <w:r w:rsidRPr="00AF458D">
        <w:rPr>
          <w:i/>
        </w:rPr>
        <w:t>“</w:t>
      </w:r>
      <w:proofErr w:type="spellStart"/>
      <w:r w:rsidRPr="00AF458D">
        <w:rPr>
          <w:i/>
        </w:rPr>
        <w:t>M</w:t>
      </w:r>
      <w:r w:rsidR="00936442" w:rsidRPr="00AF458D">
        <w:rPr>
          <w:i/>
        </w:rPr>
        <w:t>irvaso</w:t>
      </w:r>
      <w:proofErr w:type="spellEnd"/>
      <w:r w:rsidR="00936442" w:rsidRPr="00AF458D">
        <w:rPr>
          <w:i/>
        </w:rPr>
        <w:t xml:space="preserve"> </w:t>
      </w:r>
      <w:r w:rsidRPr="00AF458D">
        <w:rPr>
          <w:i/>
        </w:rPr>
        <w:t xml:space="preserve">gel containing </w:t>
      </w:r>
      <w:proofErr w:type="spellStart"/>
      <w:r w:rsidRPr="00AF458D">
        <w:rPr>
          <w:i/>
        </w:rPr>
        <w:t>brimonidine</w:t>
      </w:r>
      <w:proofErr w:type="spellEnd"/>
      <w:r w:rsidRPr="00AF458D">
        <w:rPr>
          <w:i/>
        </w:rPr>
        <w:t>: 3.3 mg/g for the cutaneous symptomatic treatment of facial erythema of rosacea in adult patients”.</w:t>
      </w:r>
    </w:p>
    <w:p w:rsidR="00D23139" w:rsidRDefault="00D23139" w:rsidP="003E26C3">
      <w:pPr>
        <w:pStyle w:val="Heading4"/>
      </w:pPr>
      <w:r w:rsidRPr="00D23139">
        <w:t>Request for ACPM advice</w:t>
      </w:r>
    </w:p>
    <w:p w:rsidR="006309FD" w:rsidRPr="006309FD" w:rsidRDefault="006309FD" w:rsidP="003E26C3">
      <w:r w:rsidRPr="006309FD">
        <w:t>The Delegate proposed to seek general advice on this application from the Advisory Committee on Prescription Medicines (ACPM) and to request the committee provide advice on the following specific issue</w:t>
      </w:r>
      <w:r>
        <w:t>s</w:t>
      </w:r>
      <w:r w:rsidRPr="006309FD">
        <w:t>:</w:t>
      </w:r>
    </w:p>
    <w:p w:rsidR="00942CF8" w:rsidRPr="00E94E40" w:rsidRDefault="004D253D" w:rsidP="003E26C3">
      <w:pPr>
        <w:pStyle w:val="Numberbullet0"/>
        <w:numPr>
          <w:ilvl w:val="0"/>
          <w:numId w:val="38"/>
        </w:numPr>
      </w:pPr>
      <w:r>
        <w:t>Does the c</w:t>
      </w:r>
      <w:r w:rsidR="00942CF8" w:rsidRPr="00E94E40">
        <w:t>ommit</w:t>
      </w:r>
      <w:r>
        <w:t>tee agree with the Delegate</w:t>
      </w:r>
      <w:r w:rsidRPr="004D253D">
        <w:t xml:space="preserve"> (and the chemistry and quality evaluator)</w:t>
      </w:r>
      <w:r w:rsidR="00942CF8" w:rsidRPr="00E94E40">
        <w:t xml:space="preserve"> that that the expiry limit </w:t>
      </w:r>
      <w:r>
        <w:t xml:space="preserve">of two impurities </w:t>
      </w:r>
      <w:r w:rsidRPr="00E94E40">
        <w:t xml:space="preserve">be </w:t>
      </w:r>
      <w:r w:rsidR="00B46C73">
        <w:t>tightened</w:t>
      </w:r>
      <w:r>
        <w:t xml:space="preserve"> </w:t>
      </w:r>
      <w:r w:rsidRPr="00E94E40">
        <w:t>prior to registration of</w:t>
      </w:r>
      <w:r>
        <w:t xml:space="preserve"> the product</w:t>
      </w:r>
      <w:r w:rsidR="00942CF8" w:rsidRPr="00E94E40">
        <w:t>?</w:t>
      </w:r>
    </w:p>
    <w:p w:rsidR="004D253D" w:rsidRPr="00E94E40" w:rsidRDefault="004D253D" w:rsidP="003E26C3">
      <w:pPr>
        <w:pStyle w:val="Numberbullet0"/>
        <w:numPr>
          <w:ilvl w:val="0"/>
          <w:numId w:val="38"/>
        </w:numPr>
      </w:pPr>
      <w:r w:rsidRPr="00E94E40">
        <w:t xml:space="preserve">Does the </w:t>
      </w:r>
      <w:r>
        <w:t>c</w:t>
      </w:r>
      <w:r w:rsidRPr="00E94E40">
        <w:t>ommittee agree that the risk</w:t>
      </w:r>
      <w:r>
        <w:t>/</w:t>
      </w:r>
      <w:r w:rsidRPr="00E94E40">
        <w:t xml:space="preserve">benefit profile is acceptable to approve </w:t>
      </w:r>
      <w:proofErr w:type="spellStart"/>
      <w:r w:rsidRPr="00E94E40">
        <w:t>Miravso</w:t>
      </w:r>
      <w:proofErr w:type="spellEnd"/>
      <w:r w:rsidRPr="00E94E40">
        <w:t xml:space="preserve"> gel </w:t>
      </w:r>
      <w:r w:rsidRPr="00E81056">
        <w:t>for the treatment of cutaneous symptomatic treatment of facial erythema of rosacea</w:t>
      </w:r>
      <w:r w:rsidRPr="000D76BC">
        <w:t>?</w:t>
      </w:r>
    </w:p>
    <w:p w:rsidR="004D253D" w:rsidRPr="00E94E40" w:rsidRDefault="004D253D" w:rsidP="003E26C3">
      <w:pPr>
        <w:pStyle w:val="Numberbullet0"/>
        <w:numPr>
          <w:ilvl w:val="0"/>
          <w:numId w:val="38"/>
        </w:numPr>
      </w:pPr>
      <w:r w:rsidRPr="00E94E40">
        <w:lastRenderedPageBreak/>
        <w:t xml:space="preserve">Does the </w:t>
      </w:r>
      <w:r>
        <w:t>c</w:t>
      </w:r>
      <w:r w:rsidRPr="00E94E40">
        <w:t>ommittee agree to restrict the indication to adults?</w:t>
      </w:r>
    </w:p>
    <w:p w:rsidR="004D253D" w:rsidRPr="00E94E40" w:rsidRDefault="004D253D" w:rsidP="003E26C3">
      <w:pPr>
        <w:pStyle w:val="Numberbullet0"/>
        <w:numPr>
          <w:ilvl w:val="0"/>
          <w:numId w:val="38"/>
        </w:numPr>
      </w:pPr>
      <w:r w:rsidRPr="00E94E40">
        <w:t xml:space="preserve">There is a lack of information on the effect of sun exposure (in Australia) when treating with </w:t>
      </w:r>
      <w:proofErr w:type="spellStart"/>
      <w:r w:rsidRPr="00E94E40">
        <w:t>Mirvaso</w:t>
      </w:r>
      <w:proofErr w:type="spellEnd"/>
      <w:r w:rsidRPr="00E94E40">
        <w:t xml:space="preserve"> gel. Doe</w:t>
      </w:r>
      <w:r>
        <w:t>s the committee agree with the D</w:t>
      </w:r>
      <w:r w:rsidRPr="00E94E40">
        <w:t>elegate that this should be addressed in the PI?</w:t>
      </w:r>
    </w:p>
    <w:p w:rsidR="00D23139" w:rsidRDefault="00D23139" w:rsidP="003E26C3">
      <w:pPr>
        <w:pStyle w:val="Heading4"/>
      </w:pPr>
      <w:r w:rsidRPr="00D23139">
        <w:t xml:space="preserve">Response from </w:t>
      </w:r>
      <w:r w:rsidR="00842325">
        <w:t>s</w:t>
      </w:r>
      <w:r w:rsidRPr="00D23139">
        <w:t>ponsor</w:t>
      </w:r>
    </w:p>
    <w:p w:rsidR="00AF458D" w:rsidRDefault="00AF458D" w:rsidP="003E26C3">
      <w:pPr>
        <w:pStyle w:val="Heading5"/>
      </w:pPr>
      <w:r w:rsidRPr="00AF458D">
        <w:rPr>
          <w:rFonts w:eastAsiaTheme="minorHAnsi"/>
        </w:rPr>
        <w:t>Indication and registration</w:t>
      </w:r>
    </w:p>
    <w:p w:rsidR="00BB3308" w:rsidRPr="00BB3308" w:rsidRDefault="00BB3308" w:rsidP="003E26C3">
      <w:r w:rsidRPr="00BB3308">
        <w:t>The company agrees with the Delegate to recomm</w:t>
      </w:r>
      <w:r>
        <w:t xml:space="preserve">end approval of </w:t>
      </w:r>
      <w:proofErr w:type="spellStart"/>
      <w:r>
        <w:t>M</w:t>
      </w:r>
      <w:r w:rsidR="00936442">
        <w:t>irvaso</w:t>
      </w:r>
      <w:proofErr w:type="spellEnd"/>
      <w:r>
        <w:t xml:space="preserve"> for the </w:t>
      </w:r>
      <w:r w:rsidRPr="00BB3308">
        <w:t>following indication:</w:t>
      </w:r>
    </w:p>
    <w:p w:rsidR="00BB3308" w:rsidRPr="00BB3308" w:rsidRDefault="00BB3308" w:rsidP="00936442">
      <w:pPr>
        <w:ind w:left="720"/>
        <w:rPr>
          <w:i/>
        </w:rPr>
      </w:pPr>
      <w:r w:rsidRPr="00BB3308">
        <w:t>“</w:t>
      </w:r>
      <w:proofErr w:type="spellStart"/>
      <w:r w:rsidRPr="00BB3308">
        <w:rPr>
          <w:i/>
        </w:rPr>
        <w:t>M</w:t>
      </w:r>
      <w:r w:rsidR="00936442" w:rsidRPr="00BB3308">
        <w:rPr>
          <w:i/>
        </w:rPr>
        <w:t>irvaso</w:t>
      </w:r>
      <w:proofErr w:type="spellEnd"/>
      <w:r w:rsidRPr="00BB3308">
        <w:rPr>
          <w:i/>
        </w:rPr>
        <w:t xml:space="preserve"> is indicated for the cutaneous symptomatic </w:t>
      </w:r>
      <w:r>
        <w:rPr>
          <w:i/>
        </w:rPr>
        <w:t xml:space="preserve">treatment of facial erythema of </w:t>
      </w:r>
      <w:r w:rsidRPr="00BB3308">
        <w:rPr>
          <w:i/>
        </w:rPr>
        <w:t>rosacea in adult patients”.</w:t>
      </w:r>
    </w:p>
    <w:p w:rsidR="00BB3308" w:rsidRPr="00BB3308" w:rsidRDefault="00BB3308" w:rsidP="003E26C3">
      <w:r w:rsidRPr="00BB3308">
        <w:t>The company agrees that the risk-benefit profile is a</w:t>
      </w:r>
      <w:r>
        <w:t xml:space="preserve">cceptable for registration. The </w:t>
      </w:r>
      <w:r w:rsidRPr="00BB3308">
        <w:t>company also agrees to the inclusion “</w:t>
      </w:r>
      <w:r w:rsidRPr="00BB3308">
        <w:rPr>
          <w:i/>
        </w:rPr>
        <w:t>in adult patients</w:t>
      </w:r>
      <w:r w:rsidRPr="00BB3308">
        <w:t>” in the proposed indication.</w:t>
      </w:r>
    </w:p>
    <w:p w:rsidR="00BB3308" w:rsidRPr="00BB3308" w:rsidRDefault="00BB3308" w:rsidP="003E26C3">
      <w:pPr>
        <w:pStyle w:val="Heading5"/>
        <w:rPr>
          <w:rFonts w:eastAsiaTheme="minorHAnsi"/>
        </w:rPr>
      </w:pPr>
      <w:r w:rsidRPr="00BB3308">
        <w:rPr>
          <w:rFonts w:eastAsiaTheme="minorHAnsi"/>
        </w:rPr>
        <w:t xml:space="preserve">Impurity limits of </w:t>
      </w:r>
      <w:r w:rsidR="00D54D5F">
        <w:rPr>
          <w:rFonts w:eastAsiaTheme="minorHAnsi"/>
        </w:rPr>
        <w:t xml:space="preserve">two </w:t>
      </w:r>
      <w:proofErr w:type="spellStart"/>
      <w:r w:rsidR="00D54D5F">
        <w:rPr>
          <w:rFonts w:eastAsiaTheme="minorHAnsi"/>
        </w:rPr>
        <w:t>genotoxic</w:t>
      </w:r>
      <w:proofErr w:type="spellEnd"/>
      <w:r w:rsidR="00D54D5F">
        <w:rPr>
          <w:rFonts w:eastAsiaTheme="minorHAnsi"/>
        </w:rPr>
        <w:t xml:space="preserve"> impurities</w:t>
      </w:r>
    </w:p>
    <w:p w:rsidR="004D253D" w:rsidRPr="00BB3308" w:rsidRDefault="004D253D" w:rsidP="003E26C3">
      <w:r>
        <w:t xml:space="preserve">Regarding the </w:t>
      </w:r>
      <w:r w:rsidRPr="00BB3308">
        <w:t>Delegate</w:t>
      </w:r>
      <w:r>
        <w:t xml:space="preserve">’s comments on the issue of limits for two potentially </w:t>
      </w:r>
      <w:proofErr w:type="spellStart"/>
      <w:r>
        <w:t>genotoxic</w:t>
      </w:r>
      <w:proofErr w:type="spellEnd"/>
      <w:r>
        <w:t xml:space="preserve"> impurities</w:t>
      </w:r>
      <w:r w:rsidRPr="00BB3308">
        <w:t>, in the finished product</w:t>
      </w:r>
      <w:r>
        <w:t>: The company has</w:t>
      </w:r>
      <w:r w:rsidRPr="00BB3308">
        <w:t xml:space="preserve"> noted the con</w:t>
      </w:r>
      <w:r>
        <w:t xml:space="preserve">cerns of the pharmaceutical and </w:t>
      </w:r>
      <w:r w:rsidRPr="00BB3308">
        <w:t>chemistry and the nonclinical evaluators and had put fo</w:t>
      </w:r>
      <w:r>
        <w:t>rward the following proposal</w:t>
      </w:r>
      <w:r w:rsidRPr="00BB3308">
        <w:t>:</w:t>
      </w:r>
    </w:p>
    <w:p w:rsidR="00BB3308" w:rsidRPr="00BB3308" w:rsidRDefault="00BB3308" w:rsidP="003E26C3">
      <w:r w:rsidRPr="00BB3308">
        <w:t>“The company agrees to meet the requested limit for the two</w:t>
      </w:r>
      <w:r w:rsidR="00E03172">
        <w:t xml:space="preserve"> </w:t>
      </w:r>
      <w:r w:rsidR="00A97AC5" w:rsidRPr="00D54D5F">
        <w:t xml:space="preserve">potentially </w:t>
      </w:r>
      <w:proofErr w:type="spellStart"/>
      <w:r w:rsidR="00A97AC5" w:rsidRPr="00D54D5F">
        <w:t>genotoxic</w:t>
      </w:r>
      <w:proofErr w:type="spellEnd"/>
      <w:r w:rsidR="00A97AC5" w:rsidRPr="00D54D5F">
        <w:t xml:space="preserve"> </w:t>
      </w:r>
      <w:r w:rsidR="00E03172" w:rsidRPr="00D54D5F">
        <w:t>impurities</w:t>
      </w:r>
      <w:r w:rsidR="00E03172">
        <w:t xml:space="preserve">, </w:t>
      </w:r>
      <w:r w:rsidRPr="00BB3308">
        <w:t>in the drug</w:t>
      </w:r>
      <w:r w:rsidR="00E03172">
        <w:t xml:space="preserve"> substance specification and in </w:t>
      </w:r>
      <w:r w:rsidRPr="00BB3308">
        <w:t xml:space="preserve">the release and shelf life </w:t>
      </w:r>
      <w:r w:rsidR="00B57024">
        <w:t>DP</w:t>
      </w:r>
      <w:r w:rsidRPr="00BB3308">
        <w:t xml:space="preserve"> specifications. Giv</w:t>
      </w:r>
      <w:r w:rsidR="00E03172">
        <w:t xml:space="preserve">en the broader limits have been </w:t>
      </w:r>
      <w:r w:rsidRPr="00BB3308">
        <w:t>very recently approved in EU and USA, the TGA’s request necessitat</w:t>
      </w:r>
      <w:r w:rsidR="00E03172">
        <w:t xml:space="preserve">es further analytical </w:t>
      </w:r>
      <w:r w:rsidRPr="00BB3308">
        <w:t>development and impurity controls to be implemented at th</w:t>
      </w:r>
      <w:r w:rsidR="00E03172">
        <w:t xml:space="preserve">e manufacturing site, and given </w:t>
      </w:r>
      <w:r w:rsidRPr="00BB3308">
        <w:t>the risk associated with the broader limits is only associate</w:t>
      </w:r>
      <w:r>
        <w:t>d wit</w:t>
      </w:r>
      <w:r w:rsidR="00B57024">
        <w:t xml:space="preserve">h long </w:t>
      </w:r>
      <w:r>
        <w:t xml:space="preserve">term treatment </w:t>
      </w:r>
      <w:r w:rsidR="004D253D" w:rsidRPr="004D253D">
        <w:t>(10 years or more)</w:t>
      </w:r>
      <w:r w:rsidRPr="00BB3308">
        <w:t>, the following is proposed:</w:t>
      </w:r>
    </w:p>
    <w:p w:rsidR="00BB3308" w:rsidRPr="00BB3308" w:rsidRDefault="009A6879" w:rsidP="009A6879">
      <w:pPr>
        <w:pStyle w:val="Heading6"/>
      </w:pPr>
      <w:r>
        <w:t>Specific c</w:t>
      </w:r>
      <w:r w:rsidR="00BB3308" w:rsidRPr="00BB3308">
        <w:t>ondition of approval</w:t>
      </w:r>
    </w:p>
    <w:p w:rsidR="00BB3308" w:rsidRPr="00BB3308" w:rsidRDefault="00BB3308" w:rsidP="003E26C3">
      <w:proofErr w:type="spellStart"/>
      <w:r w:rsidRPr="00BB3308">
        <w:t>Galderma</w:t>
      </w:r>
      <w:proofErr w:type="spellEnd"/>
      <w:r w:rsidRPr="00BB3308">
        <w:t xml:space="preserve"> are willing to accept TGA imposing a specifi</w:t>
      </w:r>
      <w:r>
        <w:t xml:space="preserve">c condition of registration for </w:t>
      </w:r>
      <w:proofErr w:type="spellStart"/>
      <w:r w:rsidRPr="00BB3308">
        <w:t>Mirvaso</w:t>
      </w:r>
      <w:proofErr w:type="spellEnd"/>
      <w:r w:rsidRPr="00BB3308">
        <w:t xml:space="preserve"> based on an assurance provided by the company tha</w:t>
      </w:r>
      <w:r>
        <w:t xml:space="preserve">t an appropriate variation will </w:t>
      </w:r>
      <w:r w:rsidRPr="00BB3308">
        <w:t xml:space="preserve">be submitted to TGA to tighten the </w:t>
      </w:r>
      <w:r>
        <w:t>DP</w:t>
      </w:r>
      <w:r w:rsidR="00B57024">
        <w:t xml:space="preserve"> </w:t>
      </w:r>
      <w:r w:rsidRPr="00BB3308">
        <w:t xml:space="preserve">release and expiry limits </w:t>
      </w:r>
      <w:r w:rsidR="00D54D5F">
        <w:t xml:space="preserve">for the two potentially </w:t>
      </w:r>
      <w:proofErr w:type="spellStart"/>
      <w:r w:rsidR="00D54D5F">
        <w:t>genotoxic</w:t>
      </w:r>
      <w:proofErr w:type="spellEnd"/>
      <w:r w:rsidR="00D54D5F">
        <w:t xml:space="preserve"> substances </w:t>
      </w:r>
      <w:r w:rsidRPr="00BB3308">
        <w:t>by no later</w:t>
      </w:r>
      <w:r>
        <w:t xml:space="preserve"> than four months post approval </w:t>
      </w:r>
      <w:r w:rsidRPr="00BB3308">
        <w:t>(following completion of the development and validation</w:t>
      </w:r>
      <w:r>
        <w:t xml:space="preserve"> of the test method required to </w:t>
      </w:r>
      <w:r w:rsidRPr="00BB3308">
        <w:t>quantify the tighter release and expiry limits).</w:t>
      </w:r>
    </w:p>
    <w:p w:rsidR="00BB3308" w:rsidRPr="00A35ABE" w:rsidRDefault="00BB3308" w:rsidP="009A6879">
      <w:pPr>
        <w:pStyle w:val="Heading6"/>
      </w:pPr>
      <w:r w:rsidRPr="00A35ABE">
        <w:t>Exemption for the first two batches</w:t>
      </w:r>
    </w:p>
    <w:p w:rsidR="00BB3308" w:rsidRPr="00BB3308" w:rsidRDefault="00BB3308" w:rsidP="003E26C3">
      <w:r w:rsidRPr="00BB3308">
        <w:t>Given the minimal exposure of patients to these impuriti</w:t>
      </w:r>
      <w:r w:rsidR="00E03172">
        <w:t>es over the short term, and the</w:t>
      </w:r>
      <w:r w:rsidR="00D54D5F">
        <w:t xml:space="preserve"> </w:t>
      </w:r>
      <w:r w:rsidRPr="00BB3308">
        <w:t xml:space="preserve">carcinogenicity </w:t>
      </w:r>
      <w:r w:rsidR="00A35ABE">
        <w:t xml:space="preserve">risk being associated with long </w:t>
      </w:r>
      <w:r w:rsidRPr="00BB3308">
        <w:t xml:space="preserve">term </w:t>
      </w:r>
      <w:r w:rsidR="00E03172">
        <w:t xml:space="preserve">use of many years, prior to the </w:t>
      </w:r>
      <w:r w:rsidRPr="00BB3308">
        <w:t>implementation of the requested limits, the company seeks</w:t>
      </w:r>
      <w:r w:rsidR="00E03172">
        <w:t xml:space="preserve"> an exemption for the first two </w:t>
      </w:r>
      <w:r w:rsidRPr="00BB3308">
        <w:t>batches manufactured with the current expiry specifi</w:t>
      </w:r>
      <w:r w:rsidR="00D54D5F">
        <w:t xml:space="preserve">cations for the two </w:t>
      </w:r>
      <w:r w:rsidRPr="00BB3308">
        <w:t>impurities. This would allow patients to readily access thi</w:t>
      </w:r>
      <w:r w:rsidR="00D54D5F">
        <w:t xml:space="preserve">s treatment addressing an unmet </w:t>
      </w:r>
      <w:r w:rsidRPr="00BB3308">
        <w:t>medical need in the interim period whilst the t</w:t>
      </w:r>
      <w:r w:rsidR="00A35ABE">
        <w:t>est method is being developed.</w:t>
      </w:r>
      <w:r w:rsidR="007A6C1D">
        <w:t xml:space="preserve"> </w:t>
      </w:r>
      <w:r w:rsidRPr="00BB3308">
        <w:t xml:space="preserve">The company refers to the </w:t>
      </w:r>
      <w:r w:rsidR="005021FC" w:rsidRPr="005021FC">
        <w:t>PCS second round recommendation: “Given</w:t>
      </w:r>
      <w:r w:rsidRPr="00BB3308">
        <w:t xml:space="preserve"> the toxicological advice, PCS can in principal ag</w:t>
      </w:r>
      <w:r w:rsidR="00D54D5F">
        <w:t xml:space="preserve">ree to the </w:t>
      </w:r>
      <w:r w:rsidR="00A35ABE">
        <w:t>proposal;</w:t>
      </w:r>
      <w:r w:rsidR="00D54D5F">
        <w:t xml:space="preserve"> however it</w:t>
      </w:r>
      <w:r w:rsidR="007A6C1D">
        <w:t xml:space="preserve"> </w:t>
      </w:r>
      <w:r w:rsidRPr="00BB3308">
        <w:t xml:space="preserve">would be very preferable that the expiry limit </w:t>
      </w:r>
      <w:r w:rsidR="007A6C1D">
        <w:t xml:space="preserve">be adopted now, not in </w:t>
      </w:r>
      <w:r w:rsidRPr="00BB3308">
        <w:t>four months</w:t>
      </w:r>
      <w:r w:rsidR="00A35ABE">
        <w:t>”</w:t>
      </w:r>
      <w:r w:rsidRPr="00BB3308">
        <w:t>.</w:t>
      </w:r>
    </w:p>
    <w:p w:rsidR="00BB3308" w:rsidRPr="00BB3308" w:rsidRDefault="00BE0F74" w:rsidP="003E26C3">
      <w:r>
        <w:t>“</w:t>
      </w:r>
      <w:r w:rsidR="00BB3308" w:rsidRPr="00BB3308">
        <w:t>PCS believes that it should be made a condition of regis</w:t>
      </w:r>
      <w:r w:rsidR="00E03172">
        <w:t xml:space="preserve">tration that the company submit </w:t>
      </w:r>
      <w:r w:rsidR="00BB3308" w:rsidRPr="00BB3308">
        <w:t xml:space="preserve">a </w:t>
      </w:r>
      <w:r w:rsidR="00A35ABE">
        <w:t>variation a</w:t>
      </w:r>
      <w:r w:rsidR="00BB3308" w:rsidRPr="00BB3308">
        <w:t>pplication within 4 months (company e</w:t>
      </w:r>
      <w:r w:rsidR="00E03172">
        <w:t xml:space="preserve">stimate) with the improved test </w:t>
      </w:r>
      <w:r w:rsidR="00BB3308" w:rsidRPr="00BB3308">
        <w:t>method and appropriate release limits for these im</w:t>
      </w:r>
      <w:r w:rsidR="00E03172">
        <w:t xml:space="preserve">purities, and, limits for these </w:t>
      </w:r>
      <w:r w:rsidR="00BB3308" w:rsidRPr="00BB3308">
        <w:t>impurities in the drug substance specifications.</w:t>
      </w:r>
      <w:r>
        <w:t xml:space="preserve"> </w:t>
      </w:r>
      <w:r w:rsidRPr="00BE0F74">
        <w:t>An exemption could then be given to allow supply of product with the broader expiry limit for 6 to 10 months.”</w:t>
      </w:r>
    </w:p>
    <w:p w:rsidR="00BB3308" w:rsidRPr="00BB3308" w:rsidRDefault="00A35ABE" w:rsidP="003E26C3">
      <w:r>
        <w:lastRenderedPageBreak/>
        <w:t xml:space="preserve">The company </w:t>
      </w:r>
      <w:r w:rsidR="008319E8">
        <w:t xml:space="preserve">had previously </w:t>
      </w:r>
      <w:r>
        <w:t xml:space="preserve">proposed </w:t>
      </w:r>
      <w:r w:rsidR="008319E8">
        <w:t xml:space="preserve">to PCS </w:t>
      </w:r>
      <w:r>
        <w:t>that a</w:t>
      </w:r>
      <w:r w:rsidR="00BB3308" w:rsidRPr="00BB3308">
        <w:t>n exemption could then be given to allow supply of p</w:t>
      </w:r>
      <w:r w:rsidR="00E03172">
        <w:t xml:space="preserve">roduct with the </w:t>
      </w:r>
      <w:r w:rsidR="008319E8">
        <w:t xml:space="preserve">broader </w:t>
      </w:r>
      <w:r w:rsidR="00E03172">
        <w:t>expiry lim</w:t>
      </w:r>
      <w:r>
        <w:t>it for 6 to 10 months.</w:t>
      </w:r>
      <w:r w:rsidR="00E03172">
        <w:t xml:space="preserve"> </w:t>
      </w:r>
      <w:r w:rsidR="00BB3308" w:rsidRPr="00BB3308">
        <w:t>Consequently, the sponsor understood that the advice from</w:t>
      </w:r>
      <w:r w:rsidR="00E03172">
        <w:t xml:space="preserve"> the PCS evaluator </w:t>
      </w:r>
      <w:r w:rsidR="008319E8">
        <w:t xml:space="preserve">(as per the PCS Addendum to the Pharmaceutical Chemistry Summary for the ACPM) </w:t>
      </w:r>
      <w:r w:rsidR="00E03172">
        <w:t xml:space="preserve">was that the </w:t>
      </w:r>
      <w:r w:rsidR="00BB3308" w:rsidRPr="00BB3308">
        <w:t>sponsor’s proposal would be acceptable as would the condition of registration and the</w:t>
      </w:r>
      <w:r w:rsidR="00E03172">
        <w:t xml:space="preserve"> </w:t>
      </w:r>
      <w:r w:rsidR="00BB3308" w:rsidRPr="00BB3308">
        <w:t>exemption</w:t>
      </w:r>
      <w:r>
        <w:t xml:space="preserve"> (if granted)</w:t>
      </w:r>
      <w:r w:rsidR="00BB3308" w:rsidRPr="00BB3308">
        <w:t>.</w:t>
      </w:r>
    </w:p>
    <w:p w:rsidR="00BB3308" w:rsidRPr="00BB3308" w:rsidRDefault="00A35ABE" w:rsidP="003E26C3">
      <w:r>
        <w:t>T</w:t>
      </w:r>
      <w:r w:rsidR="00BB3308" w:rsidRPr="00BB3308">
        <w:t xml:space="preserve">he company agrees to tightened limits for </w:t>
      </w:r>
      <w:r w:rsidR="00E03172">
        <w:t xml:space="preserve">the impurities in </w:t>
      </w:r>
      <w:r w:rsidR="00BB3308" w:rsidRPr="00BB3308">
        <w:t xml:space="preserve">principal in order to facilitate approval and registration of </w:t>
      </w:r>
      <w:proofErr w:type="spellStart"/>
      <w:r w:rsidR="00BB3308" w:rsidRPr="00BB3308">
        <w:t>Mir</w:t>
      </w:r>
      <w:r w:rsidR="00E03172">
        <w:t>vaso</w:t>
      </w:r>
      <w:proofErr w:type="spellEnd"/>
      <w:r w:rsidR="00E03172">
        <w:t xml:space="preserve"> in the first instance. The </w:t>
      </w:r>
      <w:r w:rsidR="00BB3308" w:rsidRPr="00BB3308">
        <w:t>company also accepts that a condition of registration be that a</w:t>
      </w:r>
      <w:r w:rsidR="00E03172">
        <w:t xml:space="preserve"> </w:t>
      </w:r>
      <w:r>
        <w:t>variation</w:t>
      </w:r>
      <w:r w:rsidR="00E03172">
        <w:t xml:space="preserve"> application </w:t>
      </w:r>
      <w:r w:rsidR="00BB3308" w:rsidRPr="00BB3308">
        <w:t>would have to be submitted to register the improved tes</w:t>
      </w:r>
      <w:r w:rsidR="00E03172">
        <w:t xml:space="preserve">t method and release limits for </w:t>
      </w:r>
      <w:r w:rsidR="00BB3308" w:rsidRPr="00BB3308">
        <w:t>these impurities.</w:t>
      </w:r>
    </w:p>
    <w:p w:rsidR="00E03172" w:rsidRDefault="00BB3308" w:rsidP="003E26C3">
      <w:r w:rsidRPr="00BB3308">
        <w:t>However, the company would like the ACPM and the Del</w:t>
      </w:r>
      <w:r w:rsidR="00E03172">
        <w:t xml:space="preserve">egate to give due consideration </w:t>
      </w:r>
      <w:r w:rsidRPr="00BB3308">
        <w:t>of the limited exemption at the t</w:t>
      </w:r>
      <w:r w:rsidR="00E03172">
        <w:t xml:space="preserve">ime of registration of </w:t>
      </w:r>
      <w:proofErr w:type="spellStart"/>
      <w:r w:rsidR="00E03172">
        <w:t>Mirvaso</w:t>
      </w:r>
      <w:proofErr w:type="spellEnd"/>
      <w:r w:rsidR="00E03172">
        <w:t>.</w:t>
      </w:r>
    </w:p>
    <w:p w:rsidR="00BB3308" w:rsidRPr="00BB3308" w:rsidRDefault="007D3138" w:rsidP="003E26C3">
      <w:r>
        <w:t>The company requested</w:t>
      </w:r>
      <w:r w:rsidR="00BB3308" w:rsidRPr="00BB3308">
        <w:t xml:space="preserve"> an exemption to supply two lau</w:t>
      </w:r>
      <w:r w:rsidR="00E03172">
        <w:t xml:space="preserve">nch batches of </w:t>
      </w:r>
      <w:proofErr w:type="spellStart"/>
      <w:r w:rsidR="00E03172">
        <w:t>Mirvaso</w:t>
      </w:r>
      <w:proofErr w:type="spellEnd"/>
      <w:r w:rsidR="00E03172">
        <w:t xml:space="preserve"> with the </w:t>
      </w:r>
      <w:r w:rsidR="008319E8">
        <w:t xml:space="preserve">broader </w:t>
      </w:r>
      <w:r w:rsidR="00BB3308" w:rsidRPr="00BB3308">
        <w:t xml:space="preserve">impurity limits of the finished product </w:t>
      </w:r>
      <w:r w:rsidR="00E03172">
        <w:t xml:space="preserve">for </w:t>
      </w:r>
      <w:r w:rsidR="007A6C1D">
        <w:t>the two impurities</w:t>
      </w:r>
      <w:r w:rsidR="00BB3308" w:rsidRPr="00BB3308">
        <w:t>. It is approximated that these two</w:t>
      </w:r>
      <w:r w:rsidR="00E03172">
        <w:t xml:space="preserve"> batches will be sold within 10 </w:t>
      </w:r>
      <w:r w:rsidR="00BB3308" w:rsidRPr="00BB3308">
        <w:t>months, with a sh</w:t>
      </w:r>
      <w:r>
        <w:t xml:space="preserve">elf life of 24 months and an in </w:t>
      </w:r>
      <w:r w:rsidR="00BB3308" w:rsidRPr="00BB3308">
        <w:t>use shelf l</w:t>
      </w:r>
      <w:r w:rsidR="00E03172">
        <w:t xml:space="preserve">ife of 6 months. The </w:t>
      </w:r>
      <w:r w:rsidR="00BB3308" w:rsidRPr="00BB3308">
        <w:t xml:space="preserve">exemption is to allow supply whilst the company will obtain the </w:t>
      </w:r>
      <w:r>
        <w:t>variation</w:t>
      </w:r>
      <w:r w:rsidR="00BB3308" w:rsidRPr="00BB3308">
        <w:t xml:space="preserve"> a</w:t>
      </w:r>
      <w:r w:rsidR="00E03172">
        <w:t xml:space="preserve">pproval and </w:t>
      </w:r>
      <w:r w:rsidR="00BB3308" w:rsidRPr="00BB3308">
        <w:t>implement the improved test method at the manufactu</w:t>
      </w:r>
      <w:r w:rsidR="00E03172">
        <w:t xml:space="preserve">ring site for future Australian </w:t>
      </w:r>
      <w:r w:rsidR="00BB3308" w:rsidRPr="00BB3308">
        <w:t>batches.</w:t>
      </w:r>
    </w:p>
    <w:p w:rsidR="00BB3308" w:rsidRPr="00BB3308" w:rsidRDefault="00BB3308" w:rsidP="003E26C3">
      <w:r w:rsidRPr="00BB3308">
        <w:t xml:space="preserve">The potential exposure to these impurities has been </w:t>
      </w:r>
      <w:r w:rsidR="00E03172">
        <w:t xml:space="preserve">considered in line with the ICH </w:t>
      </w:r>
      <w:r w:rsidRPr="00BB3308">
        <w:t>guideline M7, Step 2, dated 6 February 2013</w:t>
      </w:r>
      <w:r w:rsidR="00E03172">
        <w:t xml:space="preserve"> and </w:t>
      </w:r>
      <w:r w:rsidRPr="00BB3308">
        <w:t xml:space="preserve">for a product with daily exposure of up to 12 months, the </w:t>
      </w:r>
      <w:r w:rsidR="00E03172">
        <w:t xml:space="preserve">acceptable TTC is 20 </w:t>
      </w:r>
      <w:r w:rsidR="007D3138">
        <w:t>µ</w:t>
      </w:r>
      <w:r w:rsidR="00E03172">
        <w:t xml:space="preserve">g/day for </w:t>
      </w:r>
      <w:r w:rsidRPr="00BB3308">
        <w:t xml:space="preserve">a single impurity and </w:t>
      </w:r>
      <w:proofErr w:type="gramStart"/>
      <w:r w:rsidRPr="00BB3308">
        <w:t xml:space="preserve">up to 60 </w:t>
      </w:r>
      <w:r w:rsidR="007D3138">
        <w:t>µ</w:t>
      </w:r>
      <w:r w:rsidRPr="00BB3308">
        <w:t>g/day</w:t>
      </w:r>
      <w:r w:rsidR="007D3138">
        <w:t>,</w:t>
      </w:r>
      <w:r w:rsidRPr="00BB3308">
        <w:t xml:space="preserve"> for total impurities</w:t>
      </w:r>
      <w:proofErr w:type="gramEnd"/>
      <w:r w:rsidRPr="00BB3308">
        <w:t>.</w:t>
      </w:r>
    </w:p>
    <w:p w:rsidR="00BB3308" w:rsidRPr="00BB3308" w:rsidRDefault="00BB3308" w:rsidP="003E26C3">
      <w:r w:rsidRPr="00BB3308">
        <w:t xml:space="preserve">The maximum possible patient exposure to the two impurities of </w:t>
      </w:r>
      <w:r w:rsidR="008319E8">
        <w:t xml:space="preserve">was calculated </w:t>
      </w:r>
      <w:r w:rsidRPr="00BB3308">
        <w:t>f</w:t>
      </w:r>
      <w:r w:rsidR="007D3138">
        <w:t xml:space="preserve">or individual impurity and </w:t>
      </w:r>
      <w:r w:rsidRPr="00BB3308">
        <w:t xml:space="preserve">for total mutagenic impurities when </w:t>
      </w:r>
      <w:proofErr w:type="spellStart"/>
      <w:r w:rsidRPr="00BB3308">
        <w:t>Mirvaso</w:t>
      </w:r>
      <w:proofErr w:type="spellEnd"/>
      <w:r w:rsidR="00364E60">
        <w:t xml:space="preserve"> is used in accordance with the </w:t>
      </w:r>
      <w:r w:rsidRPr="00BB3308">
        <w:t>maximum recommended dose of 1 g/day. This amoun</w:t>
      </w:r>
      <w:r w:rsidR="00364E60">
        <w:t xml:space="preserve">t is well within the acceptable </w:t>
      </w:r>
      <w:r w:rsidRPr="00BB3308">
        <w:t xml:space="preserve">exposures and well below the </w:t>
      </w:r>
      <w:r w:rsidR="008D0214">
        <w:t>TTC</w:t>
      </w:r>
      <w:r w:rsidR="00364E60">
        <w:t xml:space="preserve"> which is </w:t>
      </w:r>
      <w:r w:rsidRPr="00BB3308">
        <w:t>accepted to pose negligible carcinogenic risk</w:t>
      </w:r>
      <w:r w:rsidR="00364E60">
        <w:t xml:space="preserve"> according to ICH guideline M7.</w:t>
      </w:r>
    </w:p>
    <w:p w:rsidR="00BB3308" w:rsidRPr="00BB3308" w:rsidRDefault="00BB3308" w:rsidP="003E26C3">
      <w:r w:rsidRPr="00BB3308">
        <w:t>In addition to the safety assurances as stipulated above, as t</w:t>
      </w:r>
      <w:r w:rsidR="00364E60">
        <w:t xml:space="preserve">his issue was not raised by the </w:t>
      </w:r>
      <w:r w:rsidRPr="00BB3308">
        <w:t>EMA or the US</w:t>
      </w:r>
      <w:r w:rsidR="00BF676E">
        <w:t>A</w:t>
      </w:r>
      <w:r w:rsidRPr="00BB3308">
        <w:t xml:space="preserve"> FDA prior to the TGA,</w:t>
      </w:r>
      <w:r w:rsidR="00364E60">
        <w:t xml:space="preserve"> the global company has already </w:t>
      </w:r>
      <w:r w:rsidRPr="00BB3308">
        <w:t xml:space="preserve">manufactured bulk batches of </w:t>
      </w:r>
      <w:proofErr w:type="spellStart"/>
      <w:r w:rsidRPr="00BB3308">
        <w:t>Mirvaso</w:t>
      </w:r>
      <w:proofErr w:type="spellEnd"/>
      <w:r w:rsidRPr="00BB3308">
        <w:t xml:space="preserve"> gel, including</w:t>
      </w:r>
      <w:r w:rsidR="00364E60">
        <w:t xml:space="preserve"> batches intended for supply in </w:t>
      </w:r>
      <w:r w:rsidRPr="00BB3308">
        <w:t xml:space="preserve">Australia which meets the </w:t>
      </w:r>
      <w:r w:rsidR="008319E8">
        <w:t xml:space="preserve">broader </w:t>
      </w:r>
      <w:r w:rsidRPr="00BB3308">
        <w:t xml:space="preserve">limits of </w:t>
      </w:r>
      <w:r w:rsidR="00364E60">
        <w:t xml:space="preserve">the two impurities. </w:t>
      </w:r>
      <w:r w:rsidRPr="00BB3308">
        <w:t xml:space="preserve">As such, the company believes that to supply only two </w:t>
      </w:r>
      <w:r w:rsidR="007D3138">
        <w:t xml:space="preserve">launch batches via an </w:t>
      </w:r>
      <w:r w:rsidRPr="00BB3308">
        <w:t>exemption will pose no short term safety risk to patients, an</w:t>
      </w:r>
      <w:r w:rsidR="00364E60">
        <w:t xml:space="preserve">d will ensure earliest possible </w:t>
      </w:r>
      <w:r w:rsidRPr="00BB3308">
        <w:t>patient access to this new product. There are currently no the</w:t>
      </w:r>
      <w:r w:rsidR="00364E60">
        <w:t xml:space="preserve">rapeutic alternatives available </w:t>
      </w:r>
      <w:r w:rsidRPr="00BB3308">
        <w:t>in Australia to treat erythema associated with rosacea.</w:t>
      </w:r>
    </w:p>
    <w:p w:rsidR="00BB3308" w:rsidRPr="00BB3308" w:rsidRDefault="00BB3308" w:rsidP="003E26C3">
      <w:pPr>
        <w:pStyle w:val="Heading5"/>
        <w:rPr>
          <w:rFonts w:eastAsiaTheme="minorHAnsi"/>
        </w:rPr>
      </w:pPr>
      <w:r w:rsidRPr="00BB3308">
        <w:rPr>
          <w:rFonts w:eastAsiaTheme="minorHAnsi"/>
        </w:rPr>
        <w:t>Long term efficacy studies conducted in the target population</w:t>
      </w:r>
    </w:p>
    <w:p w:rsidR="00BB3308" w:rsidRPr="005021FC" w:rsidRDefault="00BB3308" w:rsidP="00BB3308">
      <w:pPr>
        <w:rPr>
          <w:i/>
        </w:rPr>
      </w:pPr>
      <w:r w:rsidRPr="005021FC">
        <w:rPr>
          <w:i/>
        </w:rPr>
        <w:t>Delegate comment: “Short term efficacy from pivot</w:t>
      </w:r>
      <w:r w:rsidR="00364E60" w:rsidRPr="005021FC">
        <w:rPr>
          <w:i/>
        </w:rPr>
        <w:t xml:space="preserve">al studies support treatment of </w:t>
      </w:r>
      <w:r w:rsidRPr="005021FC">
        <w:rPr>
          <w:i/>
        </w:rPr>
        <w:t>moderate to severe, persistent (non</w:t>
      </w:r>
      <w:r w:rsidR="007D3138" w:rsidRPr="005021FC">
        <w:rPr>
          <w:i/>
        </w:rPr>
        <w:t xml:space="preserve"> </w:t>
      </w:r>
      <w:r w:rsidRPr="005021FC">
        <w:rPr>
          <w:i/>
        </w:rPr>
        <w:t>transient) facial</w:t>
      </w:r>
      <w:r w:rsidR="00364E60" w:rsidRPr="005021FC">
        <w:rPr>
          <w:i/>
        </w:rPr>
        <w:t xml:space="preserve"> erythema of rosacea. Long term </w:t>
      </w:r>
      <w:r w:rsidRPr="005021FC">
        <w:rPr>
          <w:i/>
        </w:rPr>
        <w:t>efficacy is based on a 12 month uncontrolled safety stu</w:t>
      </w:r>
      <w:r w:rsidR="00364E60" w:rsidRPr="005021FC">
        <w:rPr>
          <w:i/>
        </w:rPr>
        <w:t xml:space="preserve">dy which supports the long term </w:t>
      </w:r>
      <w:r w:rsidRPr="005021FC">
        <w:rPr>
          <w:i/>
        </w:rPr>
        <w:t>effect of treatment.”</w:t>
      </w:r>
    </w:p>
    <w:p w:rsidR="00BB3308" w:rsidRPr="007D3138" w:rsidRDefault="008F29A0" w:rsidP="003E26C3">
      <w:r w:rsidRPr="008F29A0">
        <w:rPr>
          <w:b/>
        </w:rPr>
        <w:t>Company response</w:t>
      </w:r>
      <w:r w:rsidRPr="008F29A0">
        <w:t xml:space="preserve">: </w:t>
      </w:r>
      <w:r w:rsidR="00BB3308" w:rsidRPr="007D3138">
        <w:t>The design of the clinical program to support produ</w:t>
      </w:r>
      <w:r w:rsidR="00364E60" w:rsidRPr="007D3138">
        <w:t>ct registration in the proposed indication included two Phase III</w:t>
      </w:r>
      <w:r w:rsidR="00BB3308" w:rsidRPr="007D3138">
        <w:t xml:space="preserve"> pivotal studies (18</w:t>
      </w:r>
      <w:r w:rsidR="007D3138" w:rsidRPr="007D3138">
        <w:t xml:space="preserve">140 and 18141, 29 </w:t>
      </w:r>
      <w:r w:rsidR="00364E60" w:rsidRPr="007D3138">
        <w:t xml:space="preserve">day treatment </w:t>
      </w:r>
      <w:r w:rsidR="00BB3308" w:rsidRPr="007D3138">
        <w:t>period)</w:t>
      </w:r>
      <w:r w:rsidR="007D3138" w:rsidRPr="007D3138">
        <w:t xml:space="preserve"> and a single open </w:t>
      </w:r>
      <w:r w:rsidR="007A6C1D" w:rsidRPr="007D3138">
        <w:t>label Phase III</w:t>
      </w:r>
      <w:r w:rsidR="007D3138" w:rsidRPr="007D3138">
        <w:t xml:space="preserve"> study (1 </w:t>
      </w:r>
      <w:r w:rsidR="00BB3308" w:rsidRPr="007D3138">
        <w:t>year treatment peri</w:t>
      </w:r>
      <w:r w:rsidR="00364E60" w:rsidRPr="007D3138">
        <w:t xml:space="preserve">od). The sponsor </w:t>
      </w:r>
      <w:r w:rsidR="007D3138" w:rsidRPr="007D3138">
        <w:t xml:space="preserve">asserts that the long </w:t>
      </w:r>
      <w:r w:rsidR="00BB3308" w:rsidRPr="007D3138">
        <w:t>term efficacy of the product is prima</w:t>
      </w:r>
      <w:r w:rsidR="00364E60" w:rsidRPr="007D3138">
        <w:t xml:space="preserve">rily supported by the data from </w:t>
      </w:r>
      <w:r w:rsidR="00BB3308" w:rsidRPr="007D3138">
        <w:t>these studies.</w:t>
      </w:r>
    </w:p>
    <w:p w:rsidR="00BB3308" w:rsidRPr="00BB3308" w:rsidRDefault="00BB3308" w:rsidP="003E26C3">
      <w:r w:rsidRPr="00BB3308">
        <w:t>The efficacy data from the sponsor’s clinical trials de</w:t>
      </w:r>
      <w:r w:rsidR="00364E60">
        <w:t xml:space="preserve">monstrated that </w:t>
      </w:r>
      <w:proofErr w:type="spellStart"/>
      <w:r w:rsidR="00364E60">
        <w:t>Mirvaso</w:t>
      </w:r>
      <w:proofErr w:type="spellEnd"/>
      <w:r w:rsidR="00364E60">
        <w:t xml:space="preserve"> must be </w:t>
      </w:r>
      <w:r w:rsidRPr="00BB3308">
        <w:t>reapplied each day in order to achieve the desired therapeut</w:t>
      </w:r>
      <w:r w:rsidR="00364E60">
        <w:t xml:space="preserve">ic effect. This was established in the single day Phase </w:t>
      </w:r>
      <w:proofErr w:type="spellStart"/>
      <w:r w:rsidR="00364E60">
        <w:t>II</w:t>
      </w:r>
      <w:r w:rsidRPr="00BB3308">
        <w:t>a</w:t>
      </w:r>
      <w:proofErr w:type="spellEnd"/>
      <w:r w:rsidRPr="00BB3308">
        <w:t xml:space="preserve"> Study 18144, which wa</w:t>
      </w:r>
      <w:r w:rsidR="00364E60">
        <w:t xml:space="preserve">s conducted to select doses for </w:t>
      </w:r>
      <w:r w:rsidRPr="00BB3308">
        <w:t>subsequent studies and also to elucidate the pharmacodynami</w:t>
      </w:r>
      <w:r w:rsidR="00364E60">
        <w:t xml:space="preserve">c profile of the drug. Efficacy </w:t>
      </w:r>
      <w:r w:rsidRPr="00BB3308">
        <w:t>data in the study were collected hourly from Hour</w:t>
      </w:r>
      <w:r w:rsidR="00364E60">
        <w:t xml:space="preserve"> 0 through Hour 12. The results </w:t>
      </w:r>
      <w:r w:rsidRPr="00BB3308">
        <w:t>confirmed that after a single application of the highest dose</w:t>
      </w:r>
      <w:r w:rsidR="00364E60">
        <w:t xml:space="preserve">, </w:t>
      </w:r>
      <w:proofErr w:type="spellStart"/>
      <w:r w:rsidR="00364E60">
        <w:t>Mirvaso</w:t>
      </w:r>
      <w:proofErr w:type="spellEnd"/>
      <w:r w:rsidR="00364E60">
        <w:t xml:space="preserve"> achieved a peak level </w:t>
      </w:r>
      <w:r w:rsidRPr="00BB3308">
        <w:t>of effectiveness that persisted for several hours, but</w:t>
      </w:r>
      <w:r w:rsidR="00364E60">
        <w:t xml:space="preserve"> began to decline after Hour 9. </w:t>
      </w:r>
      <w:r w:rsidRPr="00BB3308">
        <w:t>Although a measurable effect on erythema was still prese</w:t>
      </w:r>
      <w:r w:rsidR="00364E60">
        <w:t xml:space="preserve">nt at Hour 12, extrapolation of </w:t>
      </w:r>
      <w:r w:rsidRPr="00BB3308">
        <w:lastRenderedPageBreak/>
        <w:t>these trends over 24 hours indicates a near complete loss o</w:t>
      </w:r>
      <w:r w:rsidR="00364E60">
        <w:t xml:space="preserve">f pharmacodynamic effect at the </w:t>
      </w:r>
      <w:r w:rsidRPr="00BB3308">
        <w:t>end</w:t>
      </w:r>
      <w:r w:rsidR="007D3138">
        <w:t xml:space="preserve"> of a 24 hour post </w:t>
      </w:r>
      <w:r w:rsidRPr="00BB3308">
        <w:t>dosing interval.</w:t>
      </w:r>
    </w:p>
    <w:p w:rsidR="00BB3308" w:rsidRPr="00BB3308" w:rsidRDefault="00BB3308" w:rsidP="003E26C3">
      <w:r w:rsidRPr="008F29A0">
        <w:t>The PK data from Study 18143 demonstrated an absence of brimonidine syste</w:t>
      </w:r>
      <w:r w:rsidR="00364E60" w:rsidRPr="008F29A0">
        <w:t xml:space="preserve">mic </w:t>
      </w:r>
      <w:r w:rsidR="007D3138" w:rsidRPr="008F29A0">
        <w:t xml:space="preserve">accumulation over a 29 </w:t>
      </w:r>
      <w:r w:rsidRPr="008F29A0">
        <w:t xml:space="preserve">day topical treatment and that a </w:t>
      </w:r>
      <w:r w:rsidR="00364E60" w:rsidRPr="008F29A0">
        <w:t xml:space="preserve">single daily dose of </w:t>
      </w:r>
      <w:proofErr w:type="spellStart"/>
      <w:r w:rsidR="00364E60" w:rsidRPr="008F29A0">
        <w:t>Mirvaso</w:t>
      </w:r>
      <w:proofErr w:type="spellEnd"/>
      <w:r w:rsidR="00364E60" w:rsidRPr="008F29A0">
        <w:t xml:space="preserve"> is </w:t>
      </w:r>
      <w:r w:rsidRPr="008F29A0">
        <w:t>largely eliminated wit</w:t>
      </w:r>
      <w:r w:rsidR="007D3138" w:rsidRPr="008F29A0">
        <w:t>hin 24 hours. The terminal half-</w:t>
      </w:r>
      <w:r w:rsidRPr="008F29A0">
        <w:t xml:space="preserve">life for </w:t>
      </w:r>
      <w:r w:rsidR="0062434D" w:rsidRPr="008F29A0">
        <w:t xml:space="preserve">brimonidine tartrate </w:t>
      </w:r>
      <w:r w:rsidRPr="008F29A0">
        <w:t>0.5%</w:t>
      </w:r>
      <w:r w:rsidR="00364E60" w:rsidRPr="008F29A0">
        <w:t xml:space="preserve"> </w:t>
      </w:r>
      <w:r w:rsidR="0062434D" w:rsidRPr="008F29A0">
        <w:t>g</w:t>
      </w:r>
      <w:r w:rsidRPr="008F29A0">
        <w:t>el could not be precisely calculated due to the flat PK profile observed w</w:t>
      </w:r>
      <w:r w:rsidR="00364E60" w:rsidRPr="008F29A0">
        <w:t xml:space="preserve">ith 29 days of </w:t>
      </w:r>
      <w:r w:rsidRPr="008F29A0">
        <w:t xml:space="preserve">dosing and also due to the low systemic exposures (in </w:t>
      </w:r>
      <w:r w:rsidR="00364E60" w:rsidRPr="008F29A0">
        <w:t xml:space="preserve">the </w:t>
      </w:r>
      <w:proofErr w:type="spellStart"/>
      <w:r w:rsidR="00364E60" w:rsidRPr="008F29A0">
        <w:t>pg</w:t>
      </w:r>
      <w:proofErr w:type="spellEnd"/>
      <w:r w:rsidR="00364E60" w:rsidRPr="008F29A0">
        <w:t xml:space="preserve">/mL range, LOQ 10 </w:t>
      </w:r>
      <w:proofErr w:type="spellStart"/>
      <w:r w:rsidR="00364E60" w:rsidRPr="008F29A0">
        <w:t>pg</w:t>
      </w:r>
      <w:proofErr w:type="spellEnd"/>
      <w:r w:rsidR="00364E60" w:rsidRPr="008F29A0">
        <w:t xml:space="preserve">/mL). </w:t>
      </w:r>
      <w:r w:rsidRPr="008F29A0">
        <w:t>Nevertheless, the terminal half-life is longer than the termin</w:t>
      </w:r>
      <w:r w:rsidR="00364E60" w:rsidRPr="008F29A0">
        <w:t xml:space="preserve">al half-life for the ophthalmic </w:t>
      </w:r>
      <w:r w:rsidR="008F29A0">
        <w:t xml:space="preserve">product (2 to </w:t>
      </w:r>
      <w:r w:rsidRPr="008F29A0">
        <w:t>3 hours), but shorter than 12 hours as evidenced b</w:t>
      </w:r>
      <w:r w:rsidR="00364E60" w:rsidRPr="008F29A0">
        <w:t>y (1) the flat PK profile and</w:t>
      </w:r>
      <w:r w:rsidR="00364E60">
        <w:t xml:space="preserve"> </w:t>
      </w:r>
      <w:r w:rsidRPr="00BB3308">
        <w:t xml:space="preserve">(2) the absence of systemic accumulation. As such, the </w:t>
      </w:r>
      <w:r w:rsidR="007D3138">
        <w:t>s</w:t>
      </w:r>
      <w:r w:rsidR="00364E60">
        <w:t xml:space="preserve">ponsor can reasonably conclude </w:t>
      </w:r>
      <w:r w:rsidRPr="00BB3308">
        <w:t xml:space="preserve">that 75% to 88% of brimonidine (from 2 to 3 terminal </w:t>
      </w:r>
      <w:r w:rsidR="00364E60">
        <w:t xml:space="preserve">half-lives) has been completely </w:t>
      </w:r>
      <w:r w:rsidRPr="00BB3308">
        <w:t>elimi</w:t>
      </w:r>
      <w:r w:rsidR="007D3138">
        <w:t xml:space="preserve">nated from the plasma over a 24 </w:t>
      </w:r>
      <w:r w:rsidRPr="00BB3308">
        <w:t>hour dosing interv</w:t>
      </w:r>
      <w:r w:rsidR="00364E60">
        <w:t xml:space="preserve">al. In addition, the absence of </w:t>
      </w:r>
      <w:r w:rsidRPr="00BB3308">
        <w:t>brimonidine systemic accumulation suggests that the amo</w:t>
      </w:r>
      <w:r w:rsidR="00364E60">
        <w:t xml:space="preserve">unt of brimonidine remaining in </w:t>
      </w:r>
      <w:r w:rsidRPr="00BB3308">
        <w:t>the plasma 24 hours after a single dose of the highest concentration (0.5%) is ins</w:t>
      </w:r>
      <w:r w:rsidR="00364E60">
        <w:t xml:space="preserve">ignificant. </w:t>
      </w:r>
      <w:r w:rsidRPr="00BB3308">
        <w:t>Accumulation in the skin would likely result in accumu</w:t>
      </w:r>
      <w:r w:rsidR="00364E60">
        <w:t xml:space="preserve">lation in the plasma; as plasma </w:t>
      </w:r>
      <w:r w:rsidRPr="00BB3308">
        <w:t>accu</w:t>
      </w:r>
      <w:r w:rsidR="007D3138">
        <w:t>mulation was not observed, the s</w:t>
      </w:r>
      <w:r w:rsidRPr="00BB3308">
        <w:t>ponsor can ma</w:t>
      </w:r>
      <w:r w:rsidR="00364E60">
        <w:t xml:space="preserve">ke the same assertion about the </w:t>
      </w:r>
      <w:r w:rsidRPr="00BB3308">
        <w:t>amount of drug remaining in the skin 24 hours after a single dose. These obse</w:t>
      </w:r>
      <w:r w:rsidR="00364E60">
        <w:t xml:space="preserve">rvations </w:t>
      </w:r>
      <w:r w:rsidRPr="00BB3308">
        <w:t xml:space="preserve">further substantiate the position that efficacy over time with </w:t>
      </w:r>
      <w:proofErr w:type="spellStart"/>
      <w:r w:rsidRPr="00BB3308">
        <w:t>Mirvaso</w:t>
      </w:r>
      <w:proofErr w:type="spellEnd"/>
      <w:r w:rsidRPr="00BB3308">
        <w:t xml:space="preserve"> is not dependent upo</w:t>
      </w:r>
      <w:r w:rsidR="00364E60">
        <w:t xml:space="preserve">n </w:t>
      </w:r>
      <w:r w:rsidRPr="00BB3308">
        <w:t>cumulative effect or drug accumulation.</w:t>
      </w:r>
    </w:p>
    <w:p w:rsidR="00BB3308" w:rsidRPr="00BB3308" w:rsidRDefault="00BB3308" w:rsidP="003E26C3">
      <w:r w:rsidRPr="00BB3308">
        <w:t>Based on the PD and PK observations described above, th</w:t>
      </w:r>
      <w:r w:rsidR="007D3138">
        <w:t>e s</w:t>
      </w:r>
      <w:r w:rsidR="00364E60">
        <w:t xml:space="preserve">ponsor can conclude that one </w:t>
      </w:r>
      <w:r w:rsidRPr="00BB3308">
        <w:t xml:space="preserve">day of treatment with </w:t>
      </w:r>
      <w:proofErr w:type="spellStart"/>
      <w:r w:rsidRPr="00BB3308">
        <w:t>Mirvaso</w:t>
      </w:r>
      <w:proofErr w:type="spellEnd"/>
      <w:r w:rsidRPr="00BB3308">
        <w:t xml:space="preserve"> represents one comple</w:t>
      </w:r>
      <w:r w:rsidR="00364E60">
        <w:t xml:space="preserve">te treatment cycle, and thus, a </w:t>
      </w:r>
      <w:r w:rsidRPr="00BB3308">
        <w:t>treatment period</w:t>
      </w:r>
      <w:r w:rsidR="005021FC">
        <w:t xml:space="preserve"> of 29 days (as implemented in S</w:t>
      </w:r>
      <w:r w:rsidR="00364E60">
        <w:t xml:space="preserve">tudies 18161, 18140, and 18141) </w:t>
      </w:r>
      <w:r w:rsidRPr="00BB3308">
        <w:t>represents 29 complete treatment cycles. Data from 29 com</w:t>
      </w:r>
      <w:r w:rsidR="00364E60">
        <w:t xml:space="preserve">plete and consecutive treatment </w:t>
      </w:r>
      <w:r w:rsidRPr="00BB3308">
        <w:t>cycles is s</w:t>
      </w:r>
      <w:r w:rsidR="007D3138">
        <w:t xml:space="preserve">ufficient to inform on the long </w:t>
      </w:r>
      <w:r w:rsidRPr="00BB3308">
        <w:t>term efficacy an</w:t>
      </w:r>
      <w:r w:rsidR="00364E60">
        <w:t xml:space="preserve">d durability of response for an </w:t>
      </w:r>
      <w:r w:rsidRPr="00BB3308">
        <w:t>investigational topical product. In addition, based on</w:t>
      </w:r>
      <w:r w:rsidR="008F29A0">
        <w:t xml:space="preserve"> the s</w:t>
      </w:r>
      <w:r w:rsidR="00364E60">
        <w:t xml:space="preserve">ponsor’s understanding of </w:t>
      </w:r>
      <w:proofErr w:type="spellStart"/>
      <w:r w:rsidRPr="00BB3308">
        <w:t>adren</w:t>
      </w:r>
      <w:r w:rsidR="008F29A0">
        <w:t>oceptor</w:t>
      </w:r>
      <w:proofErr w:type="spellEnd"/>
      <w:r w:rsidR="008F29A0">
        <w:t xml:space="preserve"> </w:t>
      </w:r>
      <w:r w:rsidRPr="00BB3308">
        <w:t>physiology with respect to the tempo</w:t>
      </w:r>
      <w:r w:rsidR="008F29A0">
        <w:t xml:space="preserve">ral pattern for agonist </w:t>
      </w:r>
      <w:r w:rsidR="00364E60">
        <w:t xml:space="preserve">induced </w:t>
      </w:r>
      <w:r w:rsidR="008F29A0">
        <w:t>de</w:t>
      </w:r>
      <w:r w:rsidR="008466EB">
        <w:t>sensitisation</w:t>
      </w:r>
      <w:r w:rsidR="008F29A0">
        <w:t xml:space="preserve"> and down </w:t>
      </w:r>
      <w:r w:rsidRPr="00BB3308">
        <w:t xml:space="preserve">regulation, 29 days of treatment </w:t>
      </w:r>
      <w:r w:rsidR="00364E60">
        <w:t xml:space="preserve">is more than adequate to inform </w:t>
      </w:r>
      <w:r w:rsidRPr="00BB3308">
        <w:t xml:space="preserve">on the presence of </w:t>
      </w:r>
      <w:proofErr w:type="spellStart"/>
      <w:r w:rsidRPr="00BB3308">
        <w:t>ta</w:t>
      </w:r>
      <w:r w:rsidR="008F29A0">
        <w:t>chyphylaxis</w:t>
      </w:r>
      <w:proofErr w:type="spellEnd"/>
      <w:r w:rsidR="008F29A0">
        <w:t xml:space="preserve">/tolerance with long </w:t>
      </w:r>
      <w:r w:rsidRPr="00BB3308">
        <w:t xml:space="preserve">term </w:t>
      </w:r>
      <w:r w:rsidR="008F29A0">
        <w:t>use. As such, data from the 29</w:t>
      </w:r>
      <w:r w:rsidR="00364E60">
        <w:t xml:space="preserve"> </w:t>
      </w:r>
      <w:r w:rsidRPr="00BB3308">
        <w:t xml:space="preserve">day pivotal trials clearly establish that </w:t>
      </w:r>
      <w:proofErr w:type="spellStart"/>
      <w:r w:rsidRPr="00BB3308">
        <w:t>Mirvaso</w:t>
      </w:r>
      <w:proofErr w:type="spellEnd"/>
      <w:r w:rsidRPr="00BB3308">
        <w:t xml:space="preserve"> is an ef</w:t>
      </w:r>
      <w:r w:rsidR="008F29A0">
        <w:t xml:space="preserve">fective long </w:t>
      </w:r>
      <w:r w:rsidR="00364E60">
        <w:t xml:space="preserve">term treatment and </w:t>
      </w:r>
      <w:r w:rsidRPr="00BB3308">
        <w:t xml:space="preserve">without significant </w:t>
      </w:r>
      <w:proofErr w:type="spellStart"/>
      <w:r w:rsidRPr="00BB3308">
        <w:t>tachyphylaxis</w:t>
      </w:r>
      <w:proofErr w:type="spellEnd"/>
      <w:r w:rsidRPr="00BB3308">
        <w:t xml:space="preserve">/tolerance. Data from </w:t>
      </w:r>
      <w:r w:rsidR="008F29A0">
        <w:t xml:space="preserve">the long term, open </w:t>
      </w:r>
      <w:r w:rsidR="00364E60">
        <w:t xml:space="preserve">label study </w:t>
      </w:r>
      <w:r w:rsidRPr="00BB3308">
        <w:t>(18142) provide further corroborative evidence of this observation.</w:t>
      </w:r>
    </w:p>
    <w:p w:rsidR="00BB3308" w:rsidRPr="00BB3308" w:rsidRDefault="00BB3308" w:rsidP="003E26C3">
      <w:pPr>
        <w:pStyle w:val="Heading5"/>
        <w:rPr>
          <w:rFonts w:eastAsiaTheme="minorHAnsi"/>
        </w:rPr>
      </w:pPr>
      <w:r w:rsidRPr="00BB3308">
        <w:rPr>
          <w:rFonts w:eastAsiaTheme="minorHAnsi"/>
        </w:rPr>
        <w:t>Efficacy and safety in the Australian context of ultraviolet sun exposure</w:t>
      </w:r>
    </w:p>
    <w:p w:rsidR="00BB3308" w:rsidRPr="00AF458D" w:rsidRDefault="00BB3308" w:rsidP="00BB3308">
      <w:pPr>
        <w:rPr>
          <w:i/>
        </w:rPr>
      </w:pPr>
      <w:r w:rsidRPr="00AF458D">
        <w:rPr>
          <w:i/>
        </w:rPr>
        <w:t xml:space="preserve">Delegate comment: “There were </w:t>
      </w:r>
      <w:r w:rsidR="005021FC" w:rsidRPr="005021FC">
        <w:rPr>
          <w:i/>
        </w:rPr>
        <w:t xml:space="preserve">no [reports of] local </w:t>
      </w:r>
      <w:r w:rsidRPr="00AF458D">
        <w:rPr>
          <w:i/>
        </w:rPr>
        <w:t>irritation, photo</w:t>
      </w:r>
      <w:r w:rsidR="00364E60" w:rsidRPr="00AF458D">
        <w:rPr>
          <w:i/>
        </w:rPr>
        <w:t xml:space="preserve">sensitivity that was clinically </w:t>
      </w:r>
      <w:r w:rsidRPr="00AF458D">
        <w:rPr>
          <w:i/>
        </w:rPr>
        <w:t>significant in the clinical trials; however, these st</w:t>
      </w:r>
      <w:r w:rsidR="00364E60" w:rsidRPr="00AF458D">
        <w:rPr>
          <w:i/>
        </w:rPr>
        <w:t xml:space="preserve">udies were conducted in USA and </w:t>
      </w:r>
      <w:r w:rsidRPr="00AF458D">
        <w:rPr>
          <w:i/>
        </w:rPr>
        <w:t>Canada. No studies were conducted in Australia. This ma</w:t>
      </w:r>
      <w:r w:rsidR="00364E60" w:rsidRPr="00AF458D">
        <w:rPr>
          <w:i/>
        </w:rPr>
        <w:t xml:space="preserve">y be of concern relating to the </w:t>
      </w:r>
      <w:r w:rsidRPr="00AF458D">
        <w:rPr>
          <w:i/>
        </w:rPr>
        <w:t>potential ultra violet light exposure in Australi</w:t>
      </w:r>
      <w:r w:rsidR="00364E60" w:rsidRPr="00AF458D">
        <w:rPr>
          <w:i/>
        </w:rPr>
        <w:t xml:space="preserve">a. Is this likely to cause more </w:t>
      </w:r>
      <w:r w:rsidRPr="00AF458D">
        <w:rPr>
          <w:i/>
        </w:rPr>
        <w:t>photose</w:t>
      </w:r>
      <w:r w:rsidR="00364E60" w:rsidRPr="00AF458D">
        <w:rPr>
          <w:i/>
        </w:rPr>
        <w:t xml:space="preserve">nsitivity and local irritation? </w:t>
      </w:r>
      <w:r w:rsidRPr="00AF458D">
        <w:rPr>
          <w:i/>
        </w:rPr>
        <w:t>The sponsor</w:t>
      </w:r>
      <w:r w:rsidR="008F29A0">
        <w:rPr>
          <w:i/>
        </w:rPr>
        <w:t xml:space="preserve"> should address this in the </w:t>
      </w:r>
      <w:r w:rsidR="00364E60" w:rsidRPr="00AF458D">
        <w:rPr>
          <w:i/>
        </w:rPr>
        <w:t>response</w:t>
      </w:r>
      <w:r w:rsidR="005021FC" w:rsidRPr="005021FC">
        <w:rPr>
          <w:i/>
        </w:rPr>
        <w:t xml:space="preserve"> to this Overview</w:t>
      </w:r>
      <w:r w:rsidR="00364E60" w:rsidRPr="00AF458D">
        <w:rPr>
          <w:i/>
        </w:rPr>
        <w:t xml:space="preserve">. This may need to be </w:t>
      </w:r>
      <w:r w:rsidRPr="00AF458D">
        <w:rPr>
          <w:i/>
        </w:rPr>
        <w:t>addressed in the draft PI.”</w:t>
      </w:r>
    </w:p>
    <w:p w:rsidR="00BB3308" w:rsidRPr="00BB3308" w:rsidRDefault="008F29A0" w:rsidP="00155112">
      <w:r w:rsidRPr="008F29A0">
        <w:rPr>
          <w:b/>
        </w:rPr>
        <w:t>Company response</w:t>
      </w:r>
      <w:r w:rsidRPr="008F29A0">
        <w:t xml:space="preserve">: </w:t>
      </w:r>
      <w:r w:rsidR="005021FC">
        <w:t>As mentioned in the Delegate’s O</w:t>
      </w:r>
      <w:r w:rsidR="00BB3308" w:rsidRPr="00BB3308">
        <w:t>verview, the company pe</w:t>
      </w:r>
      <w:r w:rsidR="00364E60">
        <w:t xml:space="preserve">rformed three </w:t>
      </w:r>
      <w:proofErr w:type="spellStart"/>
      <w:r w:rsidR="00364E60">
        <w:t>phototoxicity</w:t>
      </w:r>
      <w:proofErr w:type="spellEnd"/>
      <w:r w:rsidR="00364E60">
        <w:t xml:space="preserve"> and </w:t>
      </w:r>
      <w:r w:rsidR="00BB3308" w:rsidRPr="00BB3308">
        <w:t xml:space="preserve">sensitivity studies and </w:t>
      </w:r>
      <w:proofErr w:type="spellStart"/>
      <w:r w:rsidR="00BB3308" w:rsidRPr="00BB3308">
        <w:t>Mirvaso</w:t>
      </w:r>
      <w:proofErr w:type="spellEnd"/>
      <w:r w:rsidR="00BB3308" w:rsidRPr="00BB3308">
        <w:t xml:space="preserve"> did not possess detectable </w:t>
      </w:r>
      <w:proofErr w:type="spellStart"/>
      <w:r w:rsidR="00BB3308" w:rsidRPr="00BB3308">
        <w:t>phot</w:t>
      </w:r>
      <w:r w:rsidR="00364E60">
        <w:t>otoxicity</w:t>
      </w:r>
      <w:proofErr w:type="spellEnd"/>
      <w:r w:rsidR="00364E60">
        <w:t xml:space="preserve"> potential in healthy </w:t>
      </w:r>
      <w:r w:rsidR="00BB3308" w:rsidRPr="00BB3308">
        <w:t xml:space="preserve">human skin. These studies followed standard protocols for </w:t>
      </w:r>
      <w:r w:rsidR="00364E60">
        <w:t xml:space="preserve">evaluation of the </w:t>
      </w:r>
      <w:proofErr w:type="spellStart"/>
      <w:r w:rsidR="00364E60">
        <w:t>phototoxicity</w:t>
      </w:r>
      <w:proofErr w:type="spellEnd"/>
      <w:r w:rsidR="00364E60">
        <w:t xml:space="preserve"> </w:t>
      </w:r>
      <w:r w:rsidR="00BB3308" w:rsidRPr="00BB3308">
        <w:t>and photosensitivity potential of a topical product, and</w:t>
      </w:r>
      <w:r w:rsidR="00364E60">
        <w:t xml:space="preserve"> use directed UV irradiation of </w:t>
      </w:r>
      <w:r w:rsidR="00BB3308" w:rsidRPr="00BB3308">
        <w:t>application sites to mimic high enough UV exposure condition</w:t>
      </w:r>
      <w:r w:rsidR="00364E60">
        <w:t xml:space="preserve">s to insure that the results of </w:t>
      </w:r>
      <w:r w:rsidR="00BB3308" w:rsidRPr="00BB3308">
        <w:t xml:space="preserve">these studies allow for generalization of the </w:t>
      </w:r>
      <w:proofErr w:type="spellStart"/>
      <w:r w:rsidR="00BB3308" w:rsidRPr="00BB3308">
        <w:t>photosafety</w:t>
      </w:r>
      <w:proofErr w:type="spellEnd"/>
      <w:r w:rsidR="00BB3308" w:rsidRPr="00BB3308">
        <w:t xml:space="preserve"> pote</w:t>
      </w:r>
      <w:r w:rsidR="00364E60">
        <w:t xml:space="preserve">ntial of the product regardless </w:t>
      </w:r>
      <w:r w:rsidR="00BB3308" w:rsidRPr="00BB3308">
        <w:t>of the variations in normal UV exposure experien</w:t>
      </w:r>
      <w:r w:rsidR="00364E60">
        <w:t xml:space="preserve">ced by most people in different </w:t>
      </w:r>
      <w:r w:rsidR="00BB3308" w:rsidRPr="00BB3308">
        <w:t>geographic regions. The conduct of these trials in the</w:t>
      </w:r>
      <w:r w:rsidR="00364E60">
        <w:t xml:space="preserve"> US</w:t>
      </w:r>
      <w:r w:rsidR="00BF676E">
        <w:t>A</w:t>
      </w:r>
      <w:r w:rsidR="00364E60">
        <w:t xml:space="preserve"> and Canada has no impact on </w:t>
      </w:r>
      <w:r w:rsidR="00BB3308" w:rsidRPr="00BB3308">
        <w:t xml:space="preserve">these study results as the UV is administered by the sites </w:t>
      </w:r>
      <w:r w:rsidR="00364E60">
        <w:t xml:space="preserve">using solar simulators given in </w:t>
      </w:r>
      <w:r w:rsidR="005021FC">
        <w:t>specified do</w:t>
      </w:r>
      <w:r w:rsidR="008319E8">
        <w:t>s</w:t>
      </w:r>
      <w:r w:rsidR="005021FC">
        <w:t>es. As such, the s</w:t>
      </w:r>
      <w:r w:rsidR="00BB3308" w:rsidRPr="00BB3308">
        <w:t xml:space="preserve">ponsor takes the position that </w:t>
      </w:r>
      <w:r w:rsidR="00364E60">
        <w:t xml:space="preserve">these studies have sufficiently </w:t>
      </w:r>
      <w:r w:rsidR="00BB3308" w:rsidRPr="00BB3308">
        <w:t xml:space="preserve">ruled out the potential for significant UV toxicity with use </w:t>
      </w:r>
      <w:r w:rsidR="00364E60">
        <w:t xml:space="preserve">of the product, irrespective of </w:t>
      </w:r>
      <w:r w:rsidR="00BB3308" w:rsidRPr="00BB3308">
        <w:t xml:space="preserve">geographic location. In addition, only one case of a </w:t>
      </w:r>
      <w:r w:rsidR="00364E60">
        <w:t xml:space="preserve">suspected, related, mild </w:t>
      </w:r>
      <w:r w:rsidR="00BB3308" w:rsidRPr="00BB3308">
        <w:t xml:space="preserve">“photosensitisation” </w:t>
      </w:r>
      <w:r>
        <w:t>was reported in one participant</w:t>
      </w:r>
      <w:r w:rsidR="00364E60">
        <w:t xml:space="preserve"> in Study COL-118- </w:t>
      </w:r>
      <w:r w:rsidR="00BB3308" w:rsidRPr="00BB3308">
        <w:t>ROSE-201. This participant had been treated with 0.0</w:t>
      </w:r>
      <w:r w:rsidR="00364E60">
        <w:t xml:space="preserve">2% gel no more than </w:t>
      </w:r>
      <w:r w:rsidR="0015208A">
        <w:lastRenderedPageBreak/>
        <w:t>three times daily</w:t>
      </w:r>
      <w:r w:rsidR="00364E60">
        <w:t xml:space="preserve"> and the </w:t>
      </w:r>
      <w:r w:rsidR="00BB3308" w:rsidRPr="00BB3308">
        <w:t>reaction was observed on Day 28 (last treatment day). No pat</w:t>
      </w:r>
      <w:r w:rsidR="00364E60">
        <w:t xml:space="preserve">ch testing was specified in the </w:t>
      </w:r>
      <w:r w:rsidR="00BB3308" w:rsidRPr="00BB3308">
        <w:t>protocol. The subject returned on Day 56 and the condition had resolved.</w:t>
      </w:r>
    </w:p>
    <w:p w:rsidR="005021FC" w:rsidRDefault="00BB3308" w:rsidP="00155112">
      <w:r w:rsidRPr="00BB3308">
        <w:t xml:space="preserve">In addition, the brimonidine tartrate gel formulation was not </w:t>
      </w:r>
      <w:proofErr w:type="gramStart"/>
      <w:r w:rsidRPr="00BB3308">
        <w:t>photo(</w:t>
      </w:r>
      <w:proofErr w:type="gramEnd"/>
      <w:r w:rsidRPr="00BB3308">
        <w:t>co)carcinogenic in</w:t>
      </w:r>
      <w:r w:rsidR="00364E60">
        <w:t xml:space="preserve"> </w:t>
      </w:r>
      <w:r w:rsidRPr="00BB3308">
        <w:t>hairless mice at concentrations up to 2% and was rather protective delaying the appearance</w:t>
      </w:r>
      <w:r w:rsidR="00364E60">
        <w:t xml:space="preserve"> </w:t>
      </w:r>
      <w:r w:rsidR="000A7768">
        <w:t xml:space="preserve">of UV </w:t>
      </w:r>
      <w:r w:rsidRPr="00BB3308">
        <w:t xml:space="preserve">induced cutaneous </w:t>
      </w:r>
      <w:r w:rsidR="000A7768" w:rsidRPr="00BB3308">
        <w:t>tumours</w:t>
      </w:r>
      <w:r w:rsidRPr="00BB3308">
        <w:t xml:space="preserve"> (Study RDS.03.SRE.12629).</w:t>
      </w:r>
    </w:p>
    <w:p w:rsidR="00BB3308" w:rsidRPr="00BB3308" w:rsidRDefault="00BB3308" w:rsidP="00155112">
      <w:r w:rsidRPr="00BB3308">
        <w:t>Given that the product did not cause any photosensitivity</w:t>
      </w:r>
      <w:r w:rsidR="00364E60">
        <w:t xml:space="preserve"> and </w:t>
      </w:r>
      <w:proofErr w:type="spellStart"/>
      <w:r w:rsidR="00364E60">
        <w:t>phototoxicity</w:t>
      </w:r>
      <w:proofErr w:type="spellEnd"/>
      <w:r w:rsidR="00364E60">
        <w:t xml:space="preserve"> in the three </w:t>
      </w:r>
      <w:r w:rsidRPr="00BB3308">
        <w:t>specific clinical studies on healthy skin using UV radiatio</w:t>
      </w:r>
      <w:r w:rsidR="00364E60">
        <w:t xml:space="preserve">n and given that there was only </w:t>
      </w:r>
      <w:r w:rsidRPr="00BB3308">
        <w:t>one case of a suspected photosensitivity reaction in a patient</w:t>
      </w:r>
      <w:r w:rsidR="00364E60">
        <w:t xml:space="preserve"> with rosacea across the entire </w:t>
      </w:r>
      <w:r w:rsidR="005021FC">
        <w:t>clinical program, the s</w:t>
      </w:r>
      <w:r w:rsidRPr="00BB3308">
        <w:t xml:space="preserve">ponsor believes it would </w:t>
      </w:r>
      <w:r w:rsidR="00364E60">
        <w:t xml:space="preserve">not be appropriate to include a </w:t>
      </w:r>
      <w:r w:rsidRPr="00BB3308">
        <w:t xml:space="preserve">precautionary statement in the </w:t>
      </w:r>
      <w:r w:rsidR="005021FC">
        <w:t>PI</w:t>
      </w:r>
      <w:r w:rsidRPr="00BB3308">
        <w:t xml:space="preserve"> based on</w:t>
      </w:r>
      <w:r w:rsidR="00DB4244">
        <w:t xml:space="preserve"> the fact that Phase III</w:t>
      </w:r>
      <w:r w:rsidR="00364E60">
        <w:t xml:space="preserve"> clinical </w:t>
      </w:r>
      <w:r w:rsidRPr="00BB3308">
        <w:t>studies were not conducted in areas of UV exposure comparable to Australia.</w:t>
      </w:r>
    </w:p>
    <w:p w:rsidR="00BB3308" w:rsidRDefault="00BB3308" w:rsidP="00155112">
      <w:pPr>
        <w:pStyle w:val="Heading5"/>
        <w:rPr>
          <w:rFonts w:eastAsiaTheme="minorHAnsi"/>
        </w:rPr>
      </w:pPr>
      <w:r w:rsidRPr="00BB3308">
        <w:rPr>
          <w:rFonts w:eastAsiaTheme="minorHAnsi"/>
        </w:rPr>
        <w:t>Proposed changes to the Product Information</w:t>
      </w:r>
    </w:p>
    <w:p w:rsidR="00AF458D" w:rsidRPr="00AF458D" w:rsidRDefault="00AF458D" w:rsidP="00155112">
      <w:r>
        <w:t>Details of the proposed changes to the PI are beyond the scope of the AusPAR.</w:t>
      </w:r>
    </w:p>
    <w:p w:rsidR="008E7846" w:rsidRDefault="009A6879" w:rsidP="00155112">
      <w:pPr>
        <w:pStyle w:val="Heading4"/>
      </w:pPr>
      <w:r>
        <w:t>Advisory c</w:t>
      </w:r>
      <w:r w:rsidR="008E7846">
        <w:t xml:space="preserve">ommittee </w:t>
      </w:r>
      <w:r>
        <w:t>c</w:t>
      </w:r>
      <w:r w:rsidR="008E7846">
        <w:t>onsiderations</w:t>
      </w:r>
    </w:p>
    <w:p w:rsidR="008E7846" w:rsidRDefault="00D23139" w:rsidP="00155112">
      <w:r w:rsidRPr="00D23139">
        <w:t>The Advisory Committee on Prescription Medicines (ACPM), having considered the evaluations and the Delegate’s overview, as well as the sponsor’s response to these documents, advised the following:</w:t>
      </w:r>
    </w:p>
    <w:p w:rsidR="00F516A2" w:rsidRPr="00F516A2" w:rsidRDefault="00F516A2" w:rsidP="00155112">
      <w:r w:rsidRPr="00F516A2">
        <w:t>The submission seeks to register an extension of indications (and a new dose form) for a currently registered product.</w:t>
      </w:r>
    </w:p>
    <w:p w:rsidR="00F516A2" w:rsidRPr="00F516A2" w:rsidRDefault="00F516A2" w:rsidP="00155112">
      <w:r w:rsidRPr="00F516A2">
        <w:t>The ACPM, taking into account the submitted evidence of efficacy, safet</w:t>
      </w:r>
      <w:r w:rsidR="0015208A">
        <w:t>y and quality, agreed with the D</w:t>
      </w:r>
      <w:r w:rsidRPr="00F516A2">
        <w:t xml:space="preserve">elegate and considered </w:t>
      </w:r>
      <w:proofErr w:type="spellStart"/>
      <w:r w:rsidRPr="00F516A2">
        <w:t>M</w:t>
      </w:r>
      <w:r w:rsidR="0015208A" w:rsidRPr="0015208A">
        <w:rPr>
          <w:sz w:val="20"/>
        </w:rPr>
        <w:t>irvaso</w:t>
      </w:r>
      <w:proofErr w:type="spellEnd"/>
      <w:r w:rsidRPr="00F516A2">
        <w:t xml:space="preserve"> gel containing 5 mg/g of brimonidine tartrate to hav</w:t>
      </w:r>
      <w:r w:rsidR="0015208A">
        <w:t>e an overall positive benefit risk profile for the D</w:t>
      </w:r>
      <w:r w:rsidR="00155112">
        <w:t>elegate’s amended indication;</w:t>
      </w:r>
    </w:p>
    <w:p w:rsidR="00F516A2" w:rsidRPr="00F516A2" w:rsidRDefault="00F516A2" w:rsidP="00F516A2">
      <w:pPr>
        <w:ind w:left="720"/>
        <w:rPr>
          <w:i/>
        </w:rPr>
      </w:pPr>
      <w:r w:rsidRPr="00F516A2">
        <w:rPr>
          <w:i/>
        </w:rPr>
        <w:t>For the treatment of facial erythema associated with rosacea in adult patients.</w:t>
      </w:r>
    </w:p>
    <w:p w:rsidR="00F516A2" w:rsidRPr="00F516A2" w:rsidRDefault="00F516A2" w:rsidP="00155112">
      <w:pPr>
        <w:pStyle w:val="Heading5"/>
      </w:pPr>
      <w:bookmarkStart w:id="157" w:name="_Toc247691532"/>
      <w:bookmarkStart w:id="158" w:name="_Toc314842516"/>
      <w:bookmarkEnd w:id="100"/>
      <w:bookmarkEnd w:id="154"/>
      <w:bookmarkEnd w:id="155"/>
      <w:r w:rsidRPr="00F516A2">
        <w:t>Propos</w:t>
      </w:r>
      <w:r w:rsidR="009A6879">
        <w:t>ed conditions of registration</w:t>
      </w:r>
    </w:p>
    <w:p w:rsidR="00F516A2" w:rsidRPr="00F516A2" w:rsidRDefault="00F516A2" w:rsidP="00155112">
      <w:r w:rsidRPr="00F516A2">
        <w:t>The ACPM agreed with the Delegate on the proposed conditions of registration.</w:t>
      </w:r>
    </w:p>
    <w:p w:rsidR="00F516A2" w:rsidRPr="00F516A2" w:rsidRDefault="005021FC" w:rsidP="00155112">
      <w:pPr>
        <w:pStyle w:val="Heading5"/>
      </w:pPr>
      <w:r>
        <w:t>Proposed PI/</w:t>
      </w:r>
      <w:r w:rsidR="009A6879">
        <w:t>CMI amendments</w:t>
      </w:r>
    </w:p>
    <w:p w:rsidR="00F516A2" w:rsidRPr="00F516A2" w:rsidRDefault="00F516A2" w:rsidP="00155112">
      <w:r>
        <w:t>The ACPM agreed with the D</w:t>
      </w:r>
      <w:r w:rsidRPr="00F516A2">
        <w:t xml:space="preserve">elegate to the proposed amendments to the </w:t>
      </w:r>
      <w:r>
        <w:t>PI</w:t>
      </w:r>
      <w:r w:rsidRPr="00F516A2">
        <w:t xml:space="preserve"> and</w:t>
      </w:r>
      <w:r>
        <w:t xml:space="preserve"> CMI</w:t>
      </w:r>
      <w:r w:rsidRPr="00F516A2">
        <w:t xml:space="preserve"> and specifically advised on the inclusion of the following:</w:t>
      </w:r>
    </w:p>
    <w:p w:rsidR="00F516A2" w:rsidRPr="0015208A" w:rsidRDefault="00F516A2" w:rsidP="00155112">
      <w:proofErr w:type="gramStart"/>
      <w:r w:rsidRPr="0015208A">
        <w:t xml:space="preserve">A statement in the </w:t>
      </w:r>
      <w:r w:rsidRPr="005021FC">
        <w:rPr>
          <w:i/>
        </w:rPr>
        <w:t>Precautions</w:t>
      </w:r>
      <w:r w:rsidRPr="0015208A">
        <w:t xml:space="preserve"> section of the PI and </w:t>
      </w:r>
      <w:r w:rsidR="00AF058E">
        <w:t xml:space="preserve">the </w:t>
      </w:r>
      <w:r w:rsidRPr="0015208A">
        <w:t xml:space="preserve">relevant sections of the CMI to reflect the lack of information on the effect of sun exposure when treating with </w:t>
      </w:r>
      <w:proofErr w:type="spellStart"/>
      <w:r w:rsidRPr="0015208A">
        <w:t>Mirvaso</w:t>
      </w:r>
      <w:proofErr w:type="spellEnd"/>
      <w:r w:rsidRPr="0015208A">
        <w:t xml:space="preserve"> gel.</w:t>
      </w:r>
      <w:proofErr w:type="gramEnd"/>
    </w:p>
    <w:p w:rsidR="00F516A2" w:rsidRPr="00F516A2" w:rsidRDefault="009A6879" w:rsidP="00155112">
      <w:pPr>
        <w:pStyle w:val="Heading5"/>
      </w:pPr>
      <w:r>
        <w:t>Specific advice</w:t>
      </w:r>
    </w:p>
    <w:p w:rsidR="00F516A2" w:rsidRPr="00F516A2" w:rsidRDefault="00F516A2" w:rsidP="00155112">
      <w:r w:rsidRPr="00F516A2">
        <w:t>The ACPM advised the followi</w:t>
      </w:r>
      <w:r>
        <w:t>ng in response to the specific D</w:t>
      </w:r>
      <w:r w:rsidRPr="00F516A2">
        <w:t>elegate’s questions on this submission:</w:t>
      </w:r>
    </w:p>
    <w:p w:rsidR="00F516A2" w:rsidRPr="00F516A2" w:rsidRDefault="00F516A2" w:rsidP="00155112">
      <w:pPr>
        <w:pStyle w:val="Numberbullet0"/>
        <w:numPr>
          <w:ilvl w:val="0"/>
          <w:numId w:val="41"/>
        </w:numPr>
      </w:pPr>
      <w:r w:rsidRPr="00F516A2">
        <w:t>Doe</w:t>
      </w:r>
      <w:r w:rsidR="005021FC">
        <w:t>s the c</w:t>
      </w:r>
      <w:r>
        <w:t>ommittee agree with the D</w:t>
      </w:r>
      <w:r w:rsidRPr="00F516A2">
        <w:t xml:space="preserve">elegate (and evaluator) that that the expiry limit of the impurities be </w:t>
      </w:r>
      <w:r w:rsidR="008319E8">
        <w:t>tightened</w:t>
      </w:r>
      <w:r w:rsidRPr="00F516A2">
        <w:t xml:space="preserve"> prior to registration of the product?</w:t>
      </w:r>
    </w:p>
    <w:p w:rsidR="00F516A2" w:rsidRPr="00F516A2" w:rsidRDefault="00F516A2" w:rsidP="00155112">
      <w:r w:rsidRPr="00F516A2">
        <w:t xml:space="preserve">Given the </w:t>
      </w:r>
      <w:proofErr w:type="spellStart"/>
      <w:r w:rsidRPr="00F516A2">
        <w:t>Mirvaso</w:t>
      </w:r>
      <w:proofErr w:type="spellEnd"/>
      <w:r w:rsidRPr="00F516A2">
        <w:t xml:space="preserve"> gel is intended for chronic use and it is unlikely that there will be serious consequence for patients in awaiting the resolution of the impurities issue prior to registration, therefore the ACPM advised that approval of </w:t>
      </w:r>
      <w:proofErr w:type="spellStart"/>
      <w:r w:rsidRPr="00F516A2">
        <w:t>Mirvaso</w:t>
      </w:r>
      <w:proofErr w:type="spellEnd"/>
      <w:r w:rsidRPr="00F516A2">
        <w:t xml:space="preserve"> gel should be delayed </w:t>
      </w:r>
      <w:r w:rsidRPr="00F516A2">
        <w:lastRenderedPageBreak/>
        <w:t>until the improved test method becomes available and the limits for the two specified impurities can be set.</w:t>
      </w:r>
      <w:r w:rsidR="00C31BF0">
        <w:rPr>
          <w:rStyle w:val="FootnoteReference"/>
        </w:rPr>
        <w:footnoteReference w:id="30"/>
      </w:r>
    </w:p>
    <w:p w:rsidR="00F516A2" w:rsidRPr="00F516A2" w:rsidRDefault="005021FC" w:rsidP="00155112">
      <w:pPr>
        <w:pStyle w:val="Numberbullet0"/>
      </w:pPr>
      <w:r>
        <w:t>Does the c</w:t>
      </w:r>
      <w:r w:rsidR="00F516A2" w:rsidRPr="00F516A2">
        <w:t xml:space="preserve">ommittee agree that the risk benefit profile is acceptable to approve </w:t>
      </w:r>
      <w:proofErr w:type="spellStart"/>
      <w:r w:rsidR="00F516A2" w:rsidRPr="00F516A2">
        <w:t>Miravso</w:t>
      </w:r>
      <w:proofErr w:type="spellEnd"/>
      <w:r w:rsidR="00F516A2" w:rsidRPr="00F516A2">
        <w:t xml:space="preserve"> gel for the treatment of cutaneous symptomatic treatment of facial erythema of rosacea?</w:t>
      </w:r>
    </w:p>
    <w:p w:rsidR="00F516A2" w:rsidRPr="00F516A2" w:rsidRDefault="00F516A2" w:rsidP="00155112">
      <w:r w:rsidRPr="00F516A2">
        <w:t xml:space="preserve">The ACPM noted that </w:t>
      </w:r>
      <w:r w:rsidR="005021FC">
        <w:t>the indication proposed by the D</w:t>
      </w:r>
      <w:r w:rsidRPr="00F516A2">
        <w:t>elegate (</w:t>
      </w:r>
      <w:r w:rsidRPr="007C2E65">
        <w:rPr>
          <w:i/>
        </w:rPr>
        <w:t>for the cutaneous symptomatic treatment of facial erythema of rosacea in adult patients</w:t>
      </w:r>
      <w:r w:rsidRPr="00F516A2">
        <w:t>) was more expansive tha</w:t>
      </w:r>
      <w:r w:rsidR="00C31BF0">
        <w:t>n</w:t>
      </w:r>
      <w:r w:rsidRPr="00F516A2">
        <w:t xml:space="preserve"> </w:t>
      </w:r>
      <w:r w:rsidR="00C31BF0">
        <w:t>w</w:t>
      </w:r>
      <w:r w:rsidRPr="00F516A2">
        <w:t xml:space="preserve">hat </w:t>
      </w:r>
      <w:r w:rsidR="00C31BF0">
        <w:t xml:space="preserve">was </w:t>
      </w:r>
      <w:r w:rsidRPr="00F516A2">
        <w:t>proposed by the sponsor (for the treatment of facial erythema of rosacea). The ACPM preferred a simpler indication;</w:t>
      </w:r>
    </w:p>
    <w:p w:rsidR="00F516A2" w:rsidRPr="007C2E65" w:rsidRDefault="00F516A2" w:rsidP="007C2E65">
      <w:pPr>
        <w:ind w:left="425"/>
        <w:rPr>
          <w:i/>
        </w:rPr>
      </w:pPr>
      <w:r w:rsidRPr="007C2E65">
        <w:rPr>
          <w:i/>
        </w:rPr>
        <w:t>For the treatment of facial erythema associated with rosacea in adult patients.</w:t>
      </w:r>
    </w:p>
    <w:p w:rsidR="00F516A2" w:rsidRPr="00F516A2" w:rsidRDefault="005021FC" w:rsidP="00155112">
      <w:pPr>
        <w:pStyle w:val="Numberbullet0"/>
      </w:pPr>
      <w:r>
        <w:t>Does the c</w:t>
      </w:r>
      <w:r w:rsidR="00F516A2" w:rsidRPr="00F516A2">
        <w:t>ommittee agree to restrict the indication to adults?</w:t>
      </w:r>
    </w:p>
    <w:p w:rsidR="00F516A2" w:rsidRPr="00F516A2" w:rsidRDefault="00F516A2" w:rsidP="00155112">
      <w:r w:rsidRPr="00F516A2">
        <w:t xml:space="preserve">ACPM agreed that </w:t>
      </w:r>
      <w:proofErr w:type="spellStart"/>
      <w:r w:rsidRPr="00F516A2">
        <w:t>Mirvaso</w:t>
      </w:r>
      <w:proofErr w:type="spellEnd"/>
      <w:r w:rsidRPr="00F516A2">
        <w:t xml:space="preserve"> for the treatment of facial erythema associated with rosacea could be approved on the b</w:t>
      </w:r>
      <w:r w:rsidR="007C2E65">
        <w:t xml:space="preserve">asis that an acceptable benefit </w:t>
      </w:r>
      <w:r w:rsidRPr="00F516A2">
        <w:t>risk profile had been established in adequate studies, provided registration was delayed until the issues regarding impurities were resolved. Studies were performed in adult patients and therefore approval should be restricted to patients aged 18 years or over.</w:t>
      </w:r>
    </w:p>
    <w:p w:rsidR="00F516A2" w:rsidRPr="00F516A2" w:rsidRDefault="00F516A2" w:rsidP="00155112">
      <w:pPr>
        <w:pStyle w:val="Numberbullet0"/>
      </w:pPr>
      <w:r w:rsidRPr="00F516A2">
        <w:t xml:space="preserve">There is a lack of information on the effect of sun exposure (in Australia) when treating with </w:t>
      </w:r>
      <w:proofErr w:type="spellStart"/>
      <w:r w:rsidRPr="00F516A2">
        <w:t>M</w:t>
      </w:r>
      <w:r w:rsidR="00D455A5" w:rsidRPr="00F516A2">
        <w:t>irvaso</w:t>
      </w:r>
      <w:proofErr w:type="spellEnd"/>
      <w:r w:rsidR="005021FC">
        <w:t xml:space="preserve"> gel. Does the committee agree with the D</w:t>
      </w:r>
      <w:r w:rsidRPr="00F516A2">
        <w:t>elegate that this should be addressed in the draft PI?</w:t>
      </w:r>
    </w:p>
    <w:p w:rsidR="00F516A2" w:rsidRPr="00F516A2" w:rsidRDefault="00F516A2" w:rsidP="00155112">
      <w:r w:rsidRPr="00F516A2">
        <w:t xml:space="preserve">There were no studies investigating the efficacy and safety of </w:t>
      </w:r>
      <w:proofErr w:type="spellStart"/>
      <w:r w:rsidRPr="00F516A2">
        <w:t>Mirvaso</w:t>
      </w:r>
      <w:proofErr w:type="spellEnd"/>
      <w:r w:rsidRPr="00F516A2">
        <w:t xml:space="preserve"> gel in the context of Australian ultraviolet sun exposure. The ACPM noted the lack of evidence for concern over </w:t>
      </w:r>
      <w:proofErr w:type="spellStart"/>
      <w:r w:rsidRPr="00F516A2">
        <w:t>phototoxicity</w:t>
      </w:r>
      <w:proofErr w:type="spellEnd"/>
      <w:r w:rsidRPr="00F516A2">
        <w:t xml:space="preserve"> in clinical trials which were conducted in the USA and Canada. While differences in exposure to ultraviolet light between countries were acknowledged, the ACPM advised there was no material evidence to suggest that these diff</w:t>
      </w:r>
      <w:r w:rsidR="0015208A">
        <w:t xml:space="preserve">erences would alter the benefit </w:t>
      </w:r>
      <w:r w:rsidRPr="00F516A2">
        <w:t xml:space="preserve">risk profile when used in Australia. Nevertheless, the ACPM considered the lack of information on the effect of sun exposure when treating with </w:t>
      </w:r>
      <w:proofErr w:type="spellStart"/>
      <w:r w:rsidRPr="00F516A2">
        <w:t>Mirvaso</w:t>
      </w:r>
      <w:proofErr w:type="spellEnd"/>
      <w:r w:rsidRPr="00F516A2">
        <w:t xml:space="preserve"> gel should be stated in the </w:t>
      </w:r>
      <w:r w:rsidR="0015208A">
        <w:t xml:space="preserve">PI. Post </w:t>
      </w:r>
      <w:r w:rsidRPr="00F516A2">
        <w:t>market reporting on this issue should be encouraged.</w:t>
      </w:r>
    </w:p>
    <w:p w:rsidR="00F516A2" w:rsidRPr="007C2E65" w:rsidRDefault="00F516A2" w:rsidP="00155112">
      <w:r w:rsidRPr="00F516A2">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155112">
      <w:pPr>
        <w:pStyle w:val="Heading3"/>
      </w:pPr>
      <w:bookmarkStart w:id="159" w:name="_Toc413157333"/>
      <w:r>
        <w:t>Outcome</w:t>
      </w:r>
      <w:bookmarkEnd w:id="157"/>
      <w:bookmarkEnd w:id="158"/>
      <w:bookmarkEnd w:id="159"/>
    </w:p>
    <w:p w:rsidR="00D23139" w:rsidRPr="00D23139" w:rsidRDefault="00D23139" w:rsidP="00155112">
      <w:bookmarkStart w:id="160" w:name="_Toc247691533"/>
      <w:bookmarkStart w:id="161" w:name="_Toc314842517"/>
      <w:r w:rsidRPr="00D23139">
        <w:t xml:space="preserve">Based on a review of quality, safety and efficacy, TGA approved the registration of </w:t>
      </w:r>
      <w:proofErr w:type="spellStart"/>
      <w:r w:rsidR="00F87F7E">
        <w:t>Mirvaso</w:t>
      </w:r>
      <w:proofErr w:type="spellEnd"/>
      <w:r w:rsidR="00F87F7E">
        <w:t xml:space="preserve"> </w:t>
      </w:r>
      <w:proofErr w:type="spellStart"/>
      <w:r w:rsidR="00F87F7E">
        <w:t>brimonidine</w:t>
      </w:r>
      <w:proofErr w:type="spellEnd"/>
      <w:r w:rsidR="00F87F7E">
        <w:t xml:space="preserve"> 3.3</w:t>
      </w:r>
      <w:r w:rsidR="005021FC">
        <w:t xml:space="preserve"> </w:t>
      </w:r>
      <w:r w:rsidR="00F87F7E">
        <w:t>mg/g (as tartrate) gel tube</w:t>
      </w:r>
      <w:r w:rsidR="006F398C">
        <w:t xml:space="preserve"> </w:t>
      </w:r>
      <w:r w:rsidRPr="006F398C">
        <w:t xml:space="preserve">for </w:t>
      </w:r>
      <w:r w:rsidR="006F398C" w:rsidRPr="006F398C">
        <w:t>topical once daily application</w:t>
      </w:r>
      <w:r w:rsidRPr="006F398C">
        <w:t xml:space="preserve">, indicated </w:t>
      </w:r>
      <w:r w:rsidRPr="00D23139">
        <w:t>for:</w:t>
      </w:r>
    </w:p>
    <w:p w:rsidR="00D23139" w:rsidRPr="006F398C" w:rsidRDefault="006F398C" w:rsidP="006F398C">
      <w:pPr>
        <w:ind w:left="720"/>
      </w:pPr>
      <w:proofErr w:type="spellStart"/>
      <w:r w:rsidRPr="006F398C">
        <w:rPr>
          <w:i/>
          <w:szCs w:val="24"/>
        </w:rPr>
        <w:t>Mirvaso</w:t>
      </w:r>
      <w:proofErr w:type="spellEnd"/>
      <w:r w:rsidRPr="006F398C">
        <w:rPr>
          <w:i/>
          <w:szCs w:val="24"/>
        </w:rPr>
        <w:t xml:space="preserve"> is indicated for the treatment of facial erythema of rosacea in adult patients.</w:t>
      </w:r>
    </w:p>
    <w:p w:rsidR="00D23139" w:rsidRPr="00D23139" w:rsidRDefault="00D23139" w:rsidP="00155112">
      <w:pPr>
        <w:pStyle w:val="Heading4"/>
      </w:pPr>
      <w:r w:rsidRPr="00D23139">
        <w:t>Specific conditions of registration applying to these goods</w:t>
      </w:r>
    </w:p>
    <w:p w:rsidR="00F87F7E" w:rsidRPr="00F87F7E" w:rsidRDefault="00F87F7E" w:rsidP="00155112">
      <w:r w:rsidRPr="00F87F7E">
        <w:t>T</w:t>
      </w:r>
      <w:r>
        <w:t xml:space="preserve">he </w:t>
      </w:r>
      <w:proofErr w:type="spellStart"/>
      <w:r>
        <w:t>M</w:t>
      </w:r>
      <w:r w:rsidR="00D455A5">
        <w:t>irvaso</w:t>
      </w:r>
      <w:proofErr w:type="spellEnd"/>
      <w:r>
        <w:t xml:space="preserve"> (</w:t>
      </w:r>
      <w:proofErr w:type="spellStart"/>
      <w:r w:rsidR="002D26DD" w:rsidRPr="00F87F7E">
        <w:t>brimonidine</w:t>
      </w:r>
      <w:proofErr w:type="spellEnd"/>
      <w:r w:rsidR="002D26DD" w:rsidRPr="00F87F7E">
        <w:t xml:space="preserve"> tartrate) EU Risk Management Plan (RMP), version 1.0</w:t>
      </w:r>
      <w:r>
        <w:t xml:space="preserve"> dated June 2012 </w:t>
      </w:r>
      <w:proofErr w:type="spellStart"/>
      <w:r>
        <w:t>datalock</w:t>
      </w:r>
      <w:proofErr w:type="spellEnd"/>
      <w:r>
        <w:t xml:space="preserve"> point (DLP) 18 J</w:t>
      </w:r>
      <w:r w:rsidR="002D26DD" w:rsidRPr="00F87F7E">
        <w:t>une 2012</w:t>
      </w:r>
      <w:r>
        <w:t xml:space="preserve">1 and Australian Specific Annex </w:t>
      </w:r>
      <w:r w:rsidR="002D26DD" w:rsidRPr="00F87F7E">
        <w:t xml:space="preserve">version 1.0 </w:t>
      </w:r>
      <w:r>
        <w:t>dated J</w:t>
      </w:r>
      <w:r w:rsidR="002D26DD" w:rsidRPr="00F87F7E">
        <w:t xml:space="preserve">uly 2013 (DLP not given), and any </w:t>
      </w:r>
      <w:r>
        <w:t xml:space="preserve">subsequent revisions, as agreed </w:t>
      </w:r>
      <w:r w:rsidR="002D26DD" w:rsidRPr="00F87F7E">
        <w:t>with the TGA will be impleme</w:t>
      </w:r>
      <w:r w:rsidRPr="00F87F7E">
        <w:t>nted in Australia.</w:t>
      </w:r>
    </w:p>
    <w:p w:rsidR="00192E0E" w:rsidRPr="006961EE" w:rsidRDefault="00192E0E" w:rsidP="00155112">
      <w:r w:rsidRPr="006961EE">
        <w:t>Details of additional specific conditions of registration applying to these goods including batch release conditions are beyond the scope of the AusPAR.</w:t>
      </w:r>
    </w:p>
    <w:p w:rsidR="008E7846" w:rsidRDefault="008E7846" w:rsidP="00155112">
      <w:pPr>
        <w:pStyle w:val="Heading2"/>
      </w:pPr>
      <w:bookmarkStart w:id="162" w:name="_Toc413157334"/>
      <w:proofErr w:type="gramStart"/>
      <w:r>
        <w:lastRenderedPageBreak/>
        <w:t>Attachment 1.</w:t>
      </w:r>
      <w:proofErr w:type="gramEnd"/>
      <w:r>
        <w:tab/>
        <w:t xml:space="preserve">Product </w:t>
      </w:r>
      <w:r w:rsidR="00AA0ED0">
        <w:t>I</w:t>
      </w:r>
      <w:r>
        <w:t>nformation</w:t>
      </w:r>
      <w:bookmarkEnd w:id="160"/>
      <w:bookmarkEnd w:id="161"/>
      <w:bookmarkEnd w:id="162"/>
    </w:p>
    <w:p w:rsidR="00C80137" w:rsidRDefault="002B3624" w:rsidP="00155112">
      <w:pPr>
        <w:rPr>
          <w:color w:val="000000"/>
          <w:lang w:eastAsia="en-AU"/>
        </w:rPr>
      </w:pPr>
      <w:r w:rsidRPr="002B3624">
        <w:t>The Produ</w:t>
      </w:r>
      <w:r w:rsidR="00166E94">
        <w:t>ct Information approved for</w:t>
      </w:r>
      <w:r w:rsidRPr="002B3624">
        <w:t xml:space="preserve"> </w:t>
      </w:r>
      <w:proofErr w:type="spellStart"/>
      <w:r w:rsidR="00F87F7E">
        <w:t>Mirvaso</w:t>
      </w:r>
      <w:proofErr w:type="spellEnd"/>
      <w:r w:rsidRPr="002B3624">
        <w:t xml:space="preserve"> at the time this AusPAR was published is at Attachment 1. For the most recent Product Information please refer to the TGA website at &lt;</w:t>
      </w:r>
      <w:hyperlink r:id="rId17" w:history="1">
        <w:r w:rsidR="009A6879">
          <w:rPr>
            <w:rStyle w:val="Hyperlink"/>
          </w:rPr>
          <w:t>https://www.tga.gov.au/product-information-pi</w:t>
        </w:r>
      </w:hyperlink>
      <w:r w:rsidRPr="002B3624">
        <w:t>&gt;.</w:t>
      </w:r>
    </w:p>
    <w:p w:rsidR="00C80137" w:rsidRDefault="00C80137" w:rsidP="00155112">
      <w:pPr>
        <w:pStyle w:val="Heading2"/>
        <w:rPr>
          <w:lang w:eastAsia="en-AU"/>
        </w:rPr>
      </w:pPr>
      <w:bookmarkStart w:id="163" w:name="_Toc413157335"/>
      <w:proofErr w:type="gramStart"/>
      <w:r>
        <w:rPr>
          <w:lang w:eastAsia="en-AU"/>
        </w:rPr>
        <w:t>Attachment 2.</w:t>
      </w:r>
      <w:proofErr w:type="gramEnd"/>
      <w:r>
        <w:rPr>
          <w:lang w:eastAsia="en-AU"/>
        </w:rPr>
        <w:t xml:space="preserve"> Extract from the Clinical Evaluation Report</w:t>
      </w:r>
      <w:bookmarkEnd w:id="163"/>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C802D1">
        <w:trPr>
          <w:trHeight w:hRule="exact" w:val="704"/>
        </w:trPr>
        <w:tc>
          <w:tcPr>
            <w:tcW w:w="9175" w:type="dxa"/>
          </w:tcPr>
          <w:p w:rsidR="001C32CD" w:rsidRPr="00487162" w:rsidRDefault="001C32CD" w:rsidP="00C802D1">
            <w:pPr>
              <w:pStyle w:val="TGASignoff"/>
            </w:pPr>
            <w:r w:rsidRPr="00487162">
              <w:lastRenderedPageBreak/>
              <w:t>Therapeutic Goods Administration</w:t>
            </w:r>
          </w:p>
        </w:tc>
      </w:tr>
      <w:tr w:rsidR="001C32CD" w:rsidRPr="004C239D" w:rsidTr="00C802D1">
        <w:trPr>
          <w:trHeight w:val="1221"/>
        </w:trPr>
        <w:tc>
          <w:tcPr>
            <w:tcW w:w="9175" w:type="dxa"/>
            <w:tcMar>
              <w:top w:w="28" w:type="dxa"/>
            </w:tcMar>
          </w:tcPr>
          <w:p w:rsidR="001C32CD" w:rsidRPr="00487162" w:rsidRDefault="001C32CD" w:rsidP="00C802D1">
            <w:pPr>
              <w:pStyle w:val="Address"/>
            </w:pPr>
            <w:r w:rsidRPr="00487162">
              <w:t>PO Box 100 Woden ACT 2606 Australia</w:t>
            </w:r>
          </w:p>
          <w:p w:rsidR="001C32CD" w:rsidRPr="00487162" w:rsidRDefault="001C32CD" w:rsidP="00C802D1">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rsidR="001C32CD" w:rsidRPr="004C239D" w:rsidRDefault="00AA11BF" w:rsidP="00C802D1">
            <w:pPr>
              <w:pStyle w:val="Address"/>
              <w:spacing w:line="260" w:lineRule="atLeast"/>
              <w:rPr>
                <w:b/>
                <w:color w:val="0000FF"/>
                <w:u w:val="single"/>
              </w:rPr>
            </w:pPr>
            <w:hyperlink r:id="rId23"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1BF" w:rsidRDefault="00AA11BF" w:rsidP="00C40A36">
      <w:pPr>
        <w:spacing w:after="0"/>
      </w:pPr>
      <w:r>
        <w:separator/>
      </w:r>
    </w:p>
  </w:endnote>
  <w:endnote w:type="continuationSeparator" w:id="0">
    <w:p w:rsidR="00AA11BF" w:rsidRDefault="00AA11BF"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AA11BF" w:rsidRPr="00487162" w:rsidTr="00DB750B">
      <w:trPr>
        <w:trHeight w:val="269"/>
      </w:trPr>
      <w:tc>
        <w:tcPr>
          <w:tcW w:w="7371" w:type="dxa"/>
          <w:tcMar>
            <w:top w:w="142" w:type="dxa"/>
            <w:bottom w:w="0" w:type="dxa"/>
          </w:tcMar>
        </w:tcPr>
        <w:p w:rsidR="00AA11BF" w:rsidRPr="00487162" w:rsidRDefault="00AA11BF" w:rsidP="00C25CE8">
          <w:pPr>
            <w:pStyle w:val="Footer"/>
          </w:pPr>
          <w:proofErr w:type="spellStart"/>
          <w:r w:rsidRPr="00487162">
            <w:t>AusPAR</w:t>
          </w:r>
          <w:proofErr w:type="spellEnd"/>
          <w:r w:rsidRPr="00487162">
            <w:t xml:space="preserve"> </w:t>
          </w:r>
          <w:proofErr w:type="spellStart"/>
          <w:r>
            <w:t>Mirvaso</w:t>
          </w:r>
          <w:proofErr w:type="spellEnd"/>
          <w:r w:rsidRPr="00487162">
            <w:t xml:space="preserve"> </w:t>
          </w:r>
          <w:proofErr w:type="spellStart"/>
          <w:r>
            <w:t>Brimonidine</w:t>
          </w:r>
          <w:proofErr w:type="spellEnd"/>
          <w:r>
            <w:t xml:space="preserve"> tartrate</w:t>
          </w:r>
          <w:r w:rsidRPr="00487162">
            <w:t xml:space="preserve"> </w:t>
          </w:r>
          <w:proofErr w:type="spellStart"/>
          <w:r>
            <w:t>Galderma</w:t>
          </w:r>
          <w:proofErr w:type="spellEnd"/>
          <w:r>
            <w:t xml:space="preserve"> Australia Pty Ltd PM-2013</w:t>
          </w:r>
          <w:r w:rsidRPr="00487162">
            <w:t>-</w:t>
          </w:r>
          <w:r>
            <w:t>01459-1-5</w:t>
          </w:r>
          <w:r>
            <w:br/>
            <w:t>Date of Finalisation 23 January 2015</w:t>
          </w:r>
        </w:p>
      </w:tc>
      <w:tc>
        <w:tcPr>
          <w:tcW w:w="1490" w:type="dxa"/>
          <w:tcMar>
            <w:top w:w="142" w:type="dxa"/>
            <w:bottom w:w="0" w:type="dxa"/>
          </w:tcMar>
        </w:tcPr>
        <w:p w:rsidR="00AA11BF" w:rsidRPr="00487162" w:rsidRDefault="00AA11BF" w:rsidP="00DB750B">
          <w:pPr>
            <w:pStyle w:val="Footer"/>
            <w:jc w:val="right"/>
          </w:pPr>
          <w:r w:rsidRPr="00487162">
            <w:t xml:space="preserve">Page </w:t>
          </w:r>
          <w:r>
            <w:fldChar w:fldCharType="begin"/>
          </w:r>
          <w:r>
            <w:instrText xml:space="preserve"> PAGE  \* Arabic </w:instrText>
          </w:r>
          <w:r>
            <w:fldChar w:fldCharType="separate"/>
          </w:r>
          <w:r w:rsidR="009A6879">
            <w:rPr>
              <w:noProof/>
            </w:rPr>
            <w:t>4</w:t>
          </w:r>
          <w:r>
            <w:fldChar w:fldCharType="end"/>
          </w:r>
          <w:r w:rsidRPr="00487162">
            <w:t xml:space="preserve"> of </w:t>
          </w:r>
          <w:r>
            <w:fldChar w:fldCharType="begin"/>
          </w:r>
          <w:r>
            <w:instrText xml:space="preserve"> NUMPAGES  \* Arabic </w:instrText>
          </w:r>
          <w:r>
            <w:fldChar w:fldCharType="separate"/>
          </w:r>
          <w:r w:rsidR="009A6879">
            <w:rPr>
              <w:noProof/>
            </w:rPr>
            <w:t>56</w:t>
          </w:r>
          <w:r>
            <w:rPr>
              <w:noProof/>
            </w:rPr>
            <w:fldChar w:fldCharType="end"/>
          </w:r>
        </w:p>
      </w:tc>
    </w:tr>
  </w:tbl>
  <w:p w:rsidR="00AA11BF" w:rsidRDefault="00AA11BF"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AA11BF" w:rsidRPr="00487162" w:rsidTr="00E45619">
      <w:trPr>
        <w:trHeight w:val="269"/>
      </w:trPr>
      <w:tc>
        <w:tcPr>
          <w:tcW w:w="4519" w:type="dxa"/>
          <w:tcBorders>
            <w:top w:val="single" w:sz="4" w:space="0" w:color="auto"/>
          </w:tcBorders>
          <w:tcMar>
            <w:top w:w="142" w:type="dxa"/>
            <w:bottom w:w="0" w:type="dxa"/>
          </w:tcMar>
        </w:tcPr>
        <w:p w:rsidR="00AA11BF" w:rsidRPr="00487162" w:rsidRDefault="00AA11BF" w:rsidP="00FE1DEE">
          <w:pPr>
            <w:pStyle w:val="Footer"/>
          </w:pPr>
          <w:r w:rsidRPr="00487162">
            <w:t>Document title, Part #, Section # - Section title</w:t>
          </w:r>
        </w:p>
        <w:p w:rsidR="00AA11BF" w:rsidRPr="00487162" w:rsidRDefault="00AA11BF" w:rsidP="00FE1DEE">
          <w:pPr>
            <w:pStyle w:val="Footer"/>
          </w:pPr>
          <w:r w:rsidRPr="00487162">
            <w:t>V1.0 October 2010</w:t>
          </w:r>
        </w:p>
      </w:tc>
      <w:tc>
        <w:tcPr>
          <w:tcW w:w="4342" w:type="dxa"/>
          <w:tcBorders>
            <w:top w:val="single" w:sz="4" w:space="0" w:color="auto"/>
          </w:tcBorders>
          <w:tcMar>
            <w:top w:w="142" w:type="dxa"/>
            <w:bottom w:w="0" w:type="dxa"/>
          </w:tcMar>
        </w:tcPr>
        <w:p w:rsidR="00AA11BF" w:rsidRPr="00487162" w:rsidRDefault="00AA11BF"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fldChar w:fldCharType="begin"/>
          </w:r>
          <w:r>
            <w:instrText xml:space="preserve"> NUMPAGES  </w:instrText>
          </w:r>
          <w:r>
            <w:fldChar w:fldCharType="separate"/>
          </w:r>
          <w:r>
            <w:rPr>
              <w:noProof/>
            </w:rPr>
            <w:t>3</w:t>
          </w:r>
          <w:r>
            <w:rPr>
              <w:noProof/>
            </w:rPr>
            <w:fldChar w:fldCharType="end"/>
          </w:r>
        </w:p>
      </w:tc>
    </w:tr>
  </w:tbl>
  <w:p w:rsidR="00AA11BF" w:rsidRDefault="00AA11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Pr="001C32CD" w:rsidRDefault="00AA11BF"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AA11BF" w:rsidTr="0010601F">
      <w:trPr>
        <w:trHeight w:val="108"/>
      </w:trPr>
      <w:tc>
        <w:tcPr>
          <w:tcW w:w="8875" w:type="dxa"/>
          <w:gridSpan w:val="2"/>
          <w:tcBorders>
            <w:bottom w:val="single" w:sz="4" w:space="0" w:color="auto"/>
          </w:tcBorders>
          <w:tcMar>
            <w:right w:w="284" w:type="dxa"/>
          </w:tcMar>
        </w:tcPr>
        <w:p w:rsidR="00AA11BF" w:rsidRDefault="00AA11BF" w:rsidP="006E08B3">
          <w:pPr>
            <w:pStyle w:val="Heading3"/>
          </w:pPr>
          <w:r>
            <w:t>Copyright</w:t>
          </w:r>
        </w:p>
        <w:p w:rsidR="00AA11BF" w:rsidRDefault="00AA11BF" w:rsidP="006E08B3">
          <w:r>
            <w:rPr>
              <w:rFonts w:cs="Arial"/>
            </w:rPr>
            <w:t>©</w:t>
          </w:r>
          <w:r>
            <w:t xml:space="preserve"> Commonwealth of Australia [add year]</w:t>
          </w:r>
        </w:p>
        <w:p w:rsidR="00AA11BF" w:rsidRDefault="00AA11BF" w:rsidP="006E08B3"/>
        <w:p w:rsidR="00AA11BF" w:rsidRDefault="00AA11BF"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AA11BF" w:rsidRDefault="00AA11BF" w:rsidP="006E08B3"/>
        <w:p w:rsidR="00AA11BF" w:rsidRDefault="00AA11BF" w:rsidP="006E08B3">
          <w:pPr>
            <w:pStyle w:val="Heading3"/>
          </w:pPr>
          <w:r>
            <w:t>Confidentiality</w:t>
          </w:r>
        </w:p>
        <w:p w:rsidR="00AA11BF" w:rsidRDefault="00AA11BF"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AA11BF" w:rsidRDefault="00AA11BF" w:rsidP="006E08B3"/>
        <w:p w:rsidR="00AA11BF" w:rsidRDefault="00AA11BF" w:rsidP="006E08B3">
          <w:r>
            <w:t>For submission made by individuals, all personal details, other than your name, will be removed from your submission before it is published on the TGA’s Internet site.</w:t>
          </w:r>
        </w:p>
        <w:p w:rsidR="00AA11BF" w:rsidRDefault="00AA11BF" w:rsidP="006E08B3"/>
        <w:p w:rsidR="00AA11BF" w:rsidRDefault="00AA11BF"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AA11BF" w:rsidTr="0010601F">
      <w:trPr>
        <w:trHeight w:val="417"/>
      </w:trPr>
      <w:tc>
        <w:tcPr>
          <w:tcW w:w="4519" w:type="dxa"/>
          <w:tcBorders>
            <w:top w:val="single" w:sz="4" w:space="0" w:color="auto"/>
          </w:tcBorders>
          <w:tcMar>
            <w:top w:w="142" w:type="dxa"/>
            <w:bottom w:w="0" w:type="dxa"/>
          </w:tcMar>
        </w:tcPr>
        <w:p w:rsidR="00AA11BF" w:rsidRDefault="00AA11BF" w:rsidP="006E08B3">
          <w:r>
            <w:t>Document title, Part #, Section # - Section title</w:t>
          </w:r>
        </w:p>
        <w:p w:rsidR="00AA11BF" w:rsidRDefault="00AA11BF" w:rsidP="006E08B3">
          <w:r>
            <w:t>V1.0 October 2010</w:t>
          </w:r>
        </w:p>
      </w:tc>
      <w:tc>
        <w:tcPr>
          <w:tcW w:w="4356" w:type="dxa"/>
          <w:tcBorders>
            <w:top w:val="single" w:sz="4" w:space="0" w:color="auto"/>
          </w:tcBorders>
          <w:tcMar>
            <w:top w:w="142" w:type="dxa"/>
            <w:bottom w:w="0" w:type="dxa"/>
          </w:tcMar>
        </w:tcPr>
        <w:p w:rsidR="00AA11BF" w:rsidRDefault="00AA11BF"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fldChar w:fldCharType="begin"/>
          </w:r>
          <w:r>
            <w:instrText xml:space="preserve"> NUMPAGES  \* Arabic </w:instrText>
          </w:r>
          <w:r>
            <w:fldChar w:fldCharType="separate"/>
          </w:r>
          <w:r>
            <w:rPr>
              <w:noProof/>
            </w:rPr>
            <w:t>3</w:t>
          </w:r>
          <w:r>
            <w:rPr>
              <w:noProof/>
            </w:rPr>
            <w:fldChar w:fldCharType="end"/>
          </w:r>
          <w:r>
            <w:t xml:space="preserve">  </w:t>
          </w:r>
        </w:p>
      </w:tc>
    </w:tr>
  </w:tbl>
  <w:p w:rsidR="00AA11BF" w:rsidRDefault="00AA11B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1BF" w:rsidRDefault="00AA11BF" w:rsidP="00C40A36">
      <w:pPr>
        <w:spacing w:after="0"/>
      </w:pPr>
      <w:r>
        <w:separator/>
      </w:r>
    </w:p>
  </w:footnote>
  <w:footnote w:type="continuationSeparator" w:id="0">
    <w:p w:rsidR="00AA11BF" w:rsidRDefault="00AA11BF" w:rsidP="00C40A36">
      <w:pPr>
        <w:spacing w:after="0"/>
      </w:pPr>
      <w:r>
        <w:continuationSeparator/>
      </w:r>
    </w:p>
  </w:footnote>
  <w:footnote w:id="1">
    <w:p w:rsidR="00AA11BF" w:rsidRDefault="00AA11BF" w:rsidP="00AA4341">
      <w:pPr>
        <w:pStyle w:val="FootnoteText"/>
      </w:pPr>
      <w:r>
        <w:rPr>
          <w:rStyle w:val="FootnoteReference"/>
        </w:rPr>
        <w:footnoteRef/>
      </w:r>
      <w:r>
        <w:t xml:space="preserve"> </w:t>
      </w:r>
      <w:r w:rsidRPr="00735A24">
        <w:t xml:space="preserve">Crawford GH et al., Rosacea: I. </w:t>
      </w:r>
      <w:proofErr w:type="spellStart"/>
      <w:r w:rsidRPr="00735A24">
        <w:t>Etiology</w:t>
      </w:r>
      <w:proofErr w:type="spellEnd"/>
      <w:r w:rsidRPr="00735A24">
        <w:t xml:space="preserve">, pathogenesis, and subtype classification. </w:t>
      </w:r>
      <w:r w:rsidRPr="00735A24">
        <w:rPr>
          <w:i/>
        </w:rPr>
        <w:t xml:space="preserve">J Am </w:t>
      </w:r>
      <w:proofErr w:type="spellStart"/>
      <w:r w:rsidRPr="00735A24">
        <w:rPr>
          <w:i/>
        </w:rPr>
        <w:t>Acad</w:t>
      </w:r>
      <w:proofErr w:type="spellEnd"/>
      <w:r w:rsidRPr="00735A24">
        <w:rPr>
          <w:i/>
        </w:rPr>
        <w:t xml:space="preserve"> </w:t>
      </w:r>
      <w:proofErr w:type="spellStart"/>
      <w:r w:rsidRPr="00735A24">
        <w:rPr>
          <w:i/>
        </w:rPr>
        <w:t>Dermatol</w:t>
      </w:r>
      <w:proofErr w:type="spellEnd"/>
      <w:r w:rsidRPr="00735A24">
        <w:t>. 2004</w:t>
      </w:r>
      <w:proofErr w:type="gramStart"/>
      <w:r w:rsidRPr="00735A24">
        <w:t>;51</w:t>
      </w:r>
      <w:r>
        <w:t>:</w:t>
      </w:r>
      <w:r w:rsidRPr="00735A24">
        <w:t>327</w:t>
      </w:r>
      <w:proofErr w:type="gramEnd"/>
      <w:r w:rsidRPr="00735A24">
        <w:t>-41.</w:t>
      </w:r>
    </w:p>
  </w:footnote>
  <w:footnote w:id="2">
    <w:p w:rsidR="00AA11BF" w:rsidRDefault="00AA11BF" w:rsidP="00AA4341">
      <w:pPr>
        <w:pStyle w:val="FootnoteText"/>
      </w:pPr>
      <w:r>
        <w:rPr>
          <w:rStyle w:val="FootnoteReference"/>
        </w:rPr>
        <w:footnoteRef/>
      </w:r>
      <w:r>
        <w:t xml:space="preserve"> </w:t>
      </w:r>
      <w:proofErr w:type="spellStart"/>
      <w:proofErr w:type="gramStart"/>
      <w:r w:rsidRPr="005D45B4">
        <w:t>Nally</w:t>
      </w:r>
      <w:proofErr w:type="spellEnd"/>
      <w:r w:rsidRPr="005D45B4">
        <w:t xml:space="preserve"> JB, </w:t>
      </w:r>
      <w:r>
        <w:t xml:space="preserve">and </w:t>
      </w:r>
      <w:proofErr w:type="spellStart"/>
      <w:r w:rsidRPr="005D45B4">
        <w:t>Berson</w:t>
      </w:r>
      <w:proofErr w:type="spellEnd"/>
      <w:r w:rsidRPr="005D45B4">
        <w:t xml:space="preserve"> DS.</w:t>
      </w:r>
      <w:proofErr w:type="gramEnd"/>
      <w:r w:rsidRPr="005D45B4">
        <w:t xml:space="preserve"> </w:t>
      </w:r>
      <w:proofErr w:type="gramStart"/>
      <w:r w:rsidRPr="005D45B4">
        <w:t>Topical therapies for rosacea</w:t>
      </w:r>
      <w:r w:rsidRPr="00995347">
        <w:rPr>
          <w:i/>
        </w:rPr>
        <w:t>.</w:t>
      </w:r>
      <w:proofErr w:type="gramEnd"/>
      <w:r w:rsidRPr="00995347">
        <w:rPr>
          <w:i/>
        </w:rPr>
        <w:t xml:space="preserve"> </w:t>
      </w:r>
      <w:proofErr w:type="gramStart"/>
      <w:r>
        <w:rPr>
          <w:i/>
        </w:rPr>
        <w:t>J</w:t>
      </w:r>
      <w:r w:rsidRPr="00995347">
        <w:rPr>
          <w:i/>
        </w:rPr>
        <w:t xml:space="preserve"> Drugs </w:t>
      </w:r>
      <w:proofErr w:type="spellStart"/>
      <w:r w:rsidRPr="00995347">
        <w:rPr>
          <w:i/>
        </w:rPr>
        <w:t>Dermatol</w:t>
      </w:r>
      <w:proofErr w:type="spellEnd"/>
      <w:r>
        <w:t>.</w:t>
      </w:r>
      <w:proofErr w:type="gramEnd"/>
      <w:r>
        <w:t xml:space="preserve"> 2006</w:t>
      </w:r>
      <w:proofErr w:type="gramStart"/>
      <w:r>
        <w:t>;5</w:t>
      </w:r>
      <w:r w:rsidRPr="005D45B4">
        <w:t>:23</w:t>
      </w:r>
      <w:proofErr w:type="gramEnd"/>
      <w:r w:rsidRPr="005D45B4">
        <w:t>-6.</w:t>
      </w:r>
    </w:p>
  </w:footnote>
  <w:footnote w:id="3">
    <w:p w:rsidR="00AA11BF" w:rsidRPr="006C2DA2" w:rsidRDefault="00AA11BF" w:rsidP="00AA4341">
      <w:pPr>
        <w:pStyle w:val="FootnoteText"/>
      </w:pPr>
      <w:r>
        <w:rPr>
          <w:rStyle w:val="FootnoteReference"/>
        </w:rPr>
        <w:footnoteRef/>
      </w:r>
      <w:r>
        <w:t xml:space="preserve"> </w:t>
      </w:r>
      <w:proofErr w:type="spellStart"/>
      <w:proofErr w:type="gramStart"/>
      <w:r w:rsidRPr="006C2DA2">
        <w:t>Pelle</w:t>
      </w:r>
      <w:proofErr w:type="spellEnd"/>
      <w:r w:rsidRPr="006C2DA2">
        <w:t xml:space="preserve"> MT. Rosacea.</w:t>
      </w:r>
      <w:proofErr w:type="gramEnd"/>
      <w:r w:rsidRPr="006C2DA2">
        <w:t xml:space="preserve"> In Wolff K, et al, editors: </w:t>
      </w:r>
      <w:r w:rsidRPr="006C2DA2">
        <w:rPr>
          <w:i/>
        </w:rPr>
        <w:t>Fitzpatrick’s Dermatology in General Medicine, 7th Ed.</w:t>
      </w:r>
      <w:r w:rsidRPr="006C2DA2">
        <w:t xml:space="preserve"> McGraw-Hill. 2008:704-9.</w:t>
      </w:r>
    </w:p>
  </w:footnote>
  <w:footnote w:id="4">
    <w:p w:rsidR="00AA11BF" w:rsidRPr="006C2DA2" w:rsidRDefault="00AA11BF" w:rsidP="00AA4341">
      <w:pPr>
        <w:pStyle w:val="FootnoteText"/>
      </w:pPr>
      <w:r w:rsidRPr="00AA11BF">
        <w:rPr>
          <w:rStyle w:val="FootnoteReference"/>
        </w:rPr>
        <w:footnoteRef/>
      </w:r>
      <w:r w:rsidRPr="006C2DA2">
        <w:t xml:space="preserve"> </w:t>
      </w:r>
      <w:proofErr w:type="gramStart"/>
      <w:r w:rsidRPr="006C2DA2">
        <w:t>Wolf JE Jr. Present and future rosacea therapy.</w:t>
      </w:r>
      <w:proofErr w:type="gramEnd"/>
      <w:r w:rsidRPr="006C2DA2">
        <w:t xml:space="preserve"> </w:t>
      </w:r>
      <w:proofErr w:type="gramStart"/>
      <w:r w:rsidRPr="006C2DA2">
        <w:rPr>
          <w:i/>
        </w:rPr>
        <w:t>Cutis.</w:t>
      </w:r>
      <w:proofErr w:type="gramEnd"/>
      <w:r w:rsidRPr="006C2DA2">
        <w:t xml:space="preserve"> 2005</w:t>
      </w:r>
      <w:proofErr w:type="gramStart"/>
      <w:r w:rsidRPr="006C2DA2">
        <w:t>;75:4</w:t>
      </w:r>
      <w:proofErr w:type="gramEnd"/>
      <w:r w:rsidRPr="006C2DA2">
        <w:t>-7.</w:t>
      </w:r>
    </w:p>
  </w:footnote>
  <w:footnote w:id="5">
    <w:p w:rsidR="00AA11BF" w:rsidRPr="006C2DA2" w:rsidRDefault="00AA11BF" w:rsidP="00AA4341">
      <w:pPr>
        <w:pStyle w:val="FootnoteText"/>
      </w:pPr>
      <w:r w:rsidRPr="00325E22">
        <w:rPr>
          <w:rStyle w:val="FootnoteReference"/>
        </w:rPr>
        <w:footnoteRef/>
      </w:r>
      <w:r w:rsidRPr="006C2DA2">
        <w:t xml:space="preserve"> Burke J, Schwartz M. Preclinical evaluation of brimonidine. </w:t>
      </w:r>
      <w:proofErr w:type="spellStart"/>
      <w:r w:rsidRPr="006C2DA2">
        <w:rPr>
          <w:i/>
        </w:rPr>
        <w:t>Surv</w:t>
      </w:r>
      <w:proofErr w:type="spellEnd"/>
      <w:r w:rsidRPr="006C2DA2">
        <w:rPr>
          <w:i/>
        </w:rPr>
        <w:t xml:space="preserve"> </w:t>
      </w:r>
      <w:proofErr w:type="spellStart"/>
      <w:r w:rsidRPr="006C2DA2">
        <w:rPr>
          <w:i/>
        </w:rPr>
        <w:t>Ophthalmol</w:t>
      </w:r>
      <w:proofErr w:type="spellEnd"/>
      <w:r w:rsidRPr="006C2DA2">
        <w:t>. 1996</w:t>
      </w:r>
      <w:proofErr w:type="gramStart"/>
      <w:r w:rsidRPr="006C2DA2">
        <w:t>;41:S9</w:t>
      </w:r>
      <w:proofErr w:type="gramEnd"/>
      <w:r w:rsidRPr="006C2DA2">
        <w:t>-18.</w:t>
      </w:r>
    </w:p>
  </w:footnote>
  <w:footnote w:id="6">
    <w:p w:rsidR="00AA11BF" w:rsidRPr="006C2DA2" w:rsidRDefault="00AA11BF" w:rsidP="00AA4341">
      <w:pPr>
        <w:pStyle w:val="FootnoteText"/>
      </w:pPr>
      <w:r w:rsidRPr="00325E22">
        <w:rPr>
          <w:rStyle w:val="FootnoteReference"/>
        </w:rPr>
        <w:footnoteRef/>
      </w:r>
      <w:r w:rsidRPr="006C2DA2">
        <w:t xml:space="preserve"> </w:t>
      </w:r>
      <w:proofErr w:type="spellStart"/>
      <w:r w:rsidRPr="006C2DA2">
        <w:t>Chotani</w:t>
      </w:r>
      <w:proofErr w:type="spellEnd"/>
      <w:r w:rsidRPr="006C2DA2">
        <w:t xml:space="preserve">, MA et al., Silent α2c-adrenergic receptors enable cold-induced vasoconstriction in cutaneous arteries. </w:t>
      </w:r>
      <w:r w:rsidRPr="006C2DA2">
        <w:rPr>
          <w:i/>
        </w:rPr>
        <w:t>Am. J. Physiol. Heart Circ. Physiol</w:t>
      </w:r>
      <w:r w:rsidRPr="006C2DA2">
        <w:t>. 2000;278:1075–83</w:t>
      </w:r>
    </w:p>
  </w:footnote>
  <w:footnote w:id="7">
    <w:p w:rsidR="00AA11BF" w:rsidRPr="00B71130" w:rsidRDefault="00AA11BF" w:rsidP="00AA4341">
      <w:pPr>
        <w:pStyle w:val="FootnoteText"/>
      </w:pPr>
      <w:r w:rsidRPr="00AA11BF">
        <w:rPr>
          <w:rStyle w:val="FootnoteReference"/>
        </w:rPr>
        <w:footnoteRef/>
      </w:r>
      <w:r w:rsidRPr="00AA11BF">
        <w:rPr>
          <w:vertAlign w:val="superscript"/>
        </w:rPr>
        <w:t xml:space="preserve"> </w:t>
      </w:r>
      <w:r w:rsidRPr="00B71130">
        <w:t xml:space="preserve">The TTC represents a dose for which a </w:t>
      </w:r>
      <w:proofErr w:type="spellStart"/>
      <w:r w:rsidRPr="00B71130">
        <w:t>genotoxic</w:t>
      </w:r>
      <w:proofErr w:type="spellEnd"/>
      <w:r w:rsidRPr="00B71130">
        <w:t xml:space="preserve"> impurity is considered to pose </w:t>
      </w:r>
      <w:proofErr w:type="spellStart"/>
      <w:r w:rsidRPr="00B71130">
        <w:t>neglible</w:t>
      </w:r>
      <w:proofErr w:type="spellEnd"/>
      <w:r w:rsidRPr="00B71130">
        <w:t xml:space="preserve"> </w:t>
      </w:r>
      <w:proofErr w:type="spellStart"/>
      <w:r w:rsidRPr="00B71130">
        <w:t>carcionogenic</w:t>
      </w:r>
      <w:proofErr w:type="spellEnd"/>
      <w:r w:rsidRPr="00B71130">
        <w:t xml:space="preserve"> risk.</w:t>
      </w:r>
    </w:p>
  </w:footnote>
  <w:footnote w:id="8">
    <w:p w:rsidR="00AA11BF" w:rsidRDefault="00AA11BF" w:rsidP="00AA4341">
      <w:pPr>
        <w:pStyle w:val="FootnoteText"/>
      </w:pPr>
      <w:r>
        <w:rPr>
          <w:rStyle w:val="FootnoteReference"/>
        </w:rPr>
        <w:footnoteRef/>
      </w:r>
      <w:r>
        <w:t xml:space="preserve"> Yamasaki K</w:t>
      </w:r>
      <w:r w:rsidRPr="00CC418A">
        <w:t xml:space="preserve"> et al., Increased serine protease activity and </w:t>
      </w:r>
      <w:proofErr w:type="spellStart"/>
      <w:r w:rsidRPr="00CC418A">
        <w:t>cathelicidin</w:t>
      </w:r>
      <w:proofErr w:type="spellEnd"/>
      <w:r w:rsidRPr="00CC418A">
        <w:t xml:space="preserve"> promotes skin inflammation in rosacea. </w:t>
      </w:r>
      <w:r w:rsidRPr="00995347">
        <w:rPr>
          <w:i/>
        </w:rPr>
        <w:t>Nat. Med.</w:t>
      </w:r>
      <w:r w:rsidRPr="00CC418A">
        <w:t xml:space="preserve"> </w:t>
      </w:r>
      <w:r>
        <w:t>2007</w:t>
      </w:r>
      <w:proofErr w:type="gramStart"/>
      <w:r>
        <w:t>;13</w:t>
      </w:r>
      <w:proofErr w:type="gramEnd"/>
      <w:r>
        <w:t xml:space="preserve">: </w:t>
      </w:r>
      <w:r w:rsidRPr="00CC418A">
        <w:t>975–980</w:t>
      </w:r>
      <w:r w:rsidRPr="00704180">
        <w:t>.</w:t>
      </w:r>
    </w:p>
  </w:footnote>
  <w:footnote w:id="9">
    <w:p w:rsidR="00AA11BF" w:rsidRDefault="00AA11BF" w:rsidP="00AA11BF">
      <w:pPr>
        <w:pStyle w:val="FootnoteText"/>
      </w:pPr>
      <w:r>
        <w:rPr>
          <w:rStyle w:val="FootnoteReference"/>
        </w:rPr>
        <w:footnoteRef/>
      </w:r>
      <w:r>
        <w:t xml:space="preserve"> Zhang J</w:t>
      </w:r>
      <w:r w:rsidRPr="00CC418A">
        <w:t xml:space="preserve"> </w:t>
      </w:r>
      <w:r>
        <w:t>et al.,</w:t>
      </w:r>
      <w:r w:rsidRPr="00CC418A">
        <w:t xml:space="preserve"> Novel </w:t>
      </w:r>
      <w:proofErr w:type="spellStart"/>
      <w:r w:rsidRPr="00CC418A">
        <w:t>sulfated</w:t>
      </w:r>
      <w:proofErr w:type="spellEnd"/>
      <w:r w:rsidRPr="00CC418A">
        <w:t xml:space="preserve"> polysaccharides disrupt </w:t>
      </w:r>
      <w:proofErr w:type="spellStart"/>
      <w:r w:rsidRPr="00CC418A">
        <w:t>cathelicidins</w:t>
      </w:r>
      <w:proofErr w:type="spellEnd"/>
      <w:r w:rsidRPr="00CC418A">
        <w:t xml:space="preserve">, inhibit RAGE and reduce cutaneous inflammation in a </w:t>
      </w:r>
      <w:r w:rsidRPr="00AA11BF">
        <w:t>mouse</w:t>
      </w:r>
      <w:r w:rsidRPr="00CC418A">
        <w:t xml:space="preserve"> model of rosacea</w:t>
      </w:r>
      <w:r w:rsidRPr="00995347">
        <w:rPr>
          <w:i/>
        </w:rPr>
        <w:t xml:space="preserve">. </w:t>
      </w:r>
      <w:proofErr w:type="spellStart"/>
      <w:r w:rsidRPr="00995347">
        <w:rPr>
          <w:i/>
        </w:rPr>
        <w:t>PLoS</w:t>
      </w:r>
      <w:proofErr w:type="spellEnd"/>
      <w:r w:rsidRPr="00995347">
        <w:rPr>
          <w:i/>
        </w:rPr>
        <w:t xml:space="preserve"> ONE</w:t>
      </w:r>
      <w:r w:rsidRPr="00CC418A">
        <w:t xml:space="preserve"> </w:t>
      </w:r>
      <w:r>
        <w:t>2011;</w:t>
      </w:r>
      <w:r w:rsidRPr="00995347">
        <w:t xml:space="preserve"> </w:t>
      </w:r>
      <w:r>
        <w:t>6: 16658</w:t>
      </w:r>
      <w:r w:rsidRPr="00704180">
        <w:t>.</w:t>
      </w:r>
    </w:p>
  </w:footnote>
  <w:footnote w:id="10">
    <w:p w:rsidR="00AA11BF" w:rsidRDefault="00AA11BF" w:rsidP="00AA4341">
      <w:pPr>
        <w:pStyle w:val="FootnoteText"/>
      </w:pPr>
      <w:r>
        <w:rPr>
          <w:rStyle w:val="FootnoteReference"/>
        </w:rPr>
        <w:footnoteRef/>
      </w:r>
      <w:r>
        <w:t xml:space="preserve"> </w:t>
      </w:r>
      <w:proofErr w:type="gramStart"/>
      <w:r>
        <w:t>Poet TS and McDougal JN.</w:t>
      </w:r>
      <w:proofErr w:type="gramEnd"/>
      <w:r>
        <w:t xml:space="preserve"> </w:t>
      </w:r>
      <w:proofErr w:type="gramStart"/>
      <w:r w:rsidRPr="00CC418A">
        <w:t>Skin absorption and human risk assessment.</w:t>
      </w:r>
      <w:proofErr w:type="gramEnd"/>
      <w:r w:rsidRPr="00CC418A">
        <w:t xml:space="preserve"> </w:t>
      </w:r>
      <w:r w:rsidRPr="00995347">
        <w:rPr>
          <w:i/>
        </w:rPr>
        <w:t>Chem. Biol. Interactions</w:t>
      </w:r>
      <w:r w:rsidRPr="00CC418A">
        <w:t xml:space="preserve"> </w:t>
      </w:r>
      <w:r>
        <w:t>2002;</w:t>
      </w:r>
      <w:r w:rsidRPr="00995347">
        <w:t xml:space="preserve"> </w:t>
      </w:r>
      <w:r>
        <w:t>140:</w:t>
      </w:r>
      <w:r w:rsidRPr="00CC418A">
        <w:t>19‒34.</w:t>
      </w:r>
    </w:p>
  </w:footnote>
  <w:footnote w:id="11">
    <w:p w:rsidR="00AA11BF" w:rsidRDefault="00AA11BF" w:rsidP="00AA4341">
      <w:pPr>
        <w:pStyle w:val="FootnoteText"/>
      </w:pPr>
      <w:r>
        <w:rPr>
          <w:rStyle w:val="FootnoteReference"/>
        </w:rPr>
        <w:footnoteRef/>
      </w:r>
      <w:r>
        <w:t xml:space="preserve"> Bode G</w:t>
      </w:r>
      <w:r w:rsidRPr="00CC418A">
        <w:t xml:space="preserve"> </w:t>
      </w:r>
      <w:r>
        <w:t xml:space="preserve">et al., </w:t>
      </w:r>
      <w:r w:rsidRPr="00CC418A">
        <w:t xml:space="preserve">The utility of the </w:t>
      </w:r>
      <w:proofErr w:type="spellStart"/>
      <w:r w:rsidRPr="00CC418A">
        <w:t>minipig</w:t>
      </w:r>
      <w:proofErr w:type="spellEnd"/>
      <w:r w:rsidRPr="00CC418A">
        <w:t xml:space="preserve"> as an animal model in regulatory toxicology</w:t>
      </w:r>
      <w:r w:rsidRPr="00995347">
        <w:rPr>
          <w:i/>
        </w:rPr>
        <w:t xml:space="preserve">. J. </w:t>
      </w:r>
      <w:proofErr w:type="spellStart"/>
      <w:r w:rsidRPr="00995347">
        <w:rPr>
          <w:i/>
        </w:rPr>
        <w:t>Pharmacol</w:t>
      </w:r>
      <w:proofErr w:type="spellEnd"/>
      <w:r w:rsidRPr="00995347">
        <w:rPr>
          <w:i/>
        </w:rPr>
        <w:t xml:space="preserve">. </w:t>
      </w:r>
      <w:proofErr w:type="spellStart"/>
      <w:proofErr w:type="gramStart"/>
      <w:r w:rsidRPr="00995347">
        <w:rPr>
          <w:i/>
        </w:rPr>
        <w:t>Toxicol</w:t>
      </w:r>
      <w:proofErr w:type="spellEnd"/>
      <w:r w:rsidRPr="00995347">
        <w:rPr>
          <w:i/>
        </w:rPr>
        <w:t>.</w:t>
      </w:r>
      <w:proofErr w:type="gramEnd"/>
      <w:r w:rsidRPr="00995347">
        <w:rPr>
          <w:i/>
        </w:rPr>
        <w:t xml:space="preserve"> Methods</w:t>
      </w:r>
      <w:r w:rsidRPr="00CC418A">
        <w:t xml:space="preserve"> </w:t>
      </w:r>
      <w:r w:rsidRPr="00995347">
        <w:t>2010</w:t>
      </w:r>
      <w:proofErr w:type="gramStart"/>
      <w:r>
        <w:t>;62:</w:t>
      </w:r>
      <w:r w:rsidRPr="00CC418A">
        <w:t>196</w:t>
      </w:r>
      <w:proofErr w:type="gramEnd"/>
      <w:r w:rsidRPr="00CC418A">
        <w:t>‒220.</w:t>
      </w:r>
    </w:p>
  </w:footnote>
  <w:footnote w:id="12">
    <w:p w:rsidR="00AA11BF" w:rsidRPr="008D0214" w:rsidRDefault="00AA11BF" w:rsidP="00AA4341">
      <w:pPr>
        <w:pStyle w:val="FootnoteText"/>
      </w:pPr>
      <w:r>
        <w:rPr>
          <w:rStyle w:val="FootnoteReference"/>
        </w:rPr>
        <w:footnoteRef/>
      </w:r>
      <w:r>
        <w:t xml:space="preserve"> </w:t>
      </w:r>
      <w:proofErr w:type="spellStart"/>
      <w:r>
        <w:t>Angelov</w:t>
      </w:r>
      <w:proofErr w:type="spellEnd"/>
      <w:r>
        <w:t xml:space="preserve"> O</w:t>
      </w:r>
      <w:r w:rsidRPr="008D0214">
        <w:t>V</w:t>
      </w:r>
      <w:r>
        <w:t xml:space="preserve"> </w:t>
      </w:r>
      <w:r w:rsidRPr="00271234">
        <w:rPr>
          <w:i/>
        </w:rPr>
        <w:t>et al.</w:t>
      </w:r>
      <w:r>
        <w:t>,</w:t>
      </w:r>
      <w:r w:rsidRPr="008D0214">
        <w:t xml:space="preserve"> Preclinical safety profile of brim</w:t>
      </w:r>
      <w:r>
        <w:t>onidine</w:t>
      </w:r>
      <w:r w:rsidRPr="001078A8">
        <w:rPr>
          <w:i/>
        </w:rPr>
        <w:t xml:space="preserve">. Eur. J. </w:t>
      </w:r>
      <w:proofErr w:type="spellStart"/>
      <w:r w:rsidRPr="001078A8">
        <w:rPr>
          <w:i/>
        </w:rPr>
        <w:t>Ophthalmol</w:t>
      </w:r>
      <w:proofErr w:type="spellEnd"/>
      <w:r>
        <w:t xml:space="preserve">. </w:t>
      </w:r>
      <w:r w:rsidRPr="001078A8">
        <w:t>1996a</w:t>
      </w:r>
      <w:proofErr w:type="gramStart"/>
      <w:r>
        <w:t>;6:</w:t>
      </w:r>
      <w:r w:rsidRPr="008D0214">
        <w:t>21</w:t>
      </w:r>
      <w:proofErr w:type="gramEnd"/>
      <w:r w:rsidRPr="008D0214">
        <w:t>–25.</w:t>
      </w:r>
    </w:p>
  </w:footnote>
  <w:footnote w:id="13">
    <w:p w:rsidR="00AA11BF" w:rsidRDefault="00AA11BF" w:rsidP="00AA4341">
      <w:pPr>
        <w:pStyle w:val="FootnoteText"/>
      </w:pPr>
      <w:r>
        <w:rPr>
          <w:rStyle w:val="FootnoteReference"/>
        </w:rPr>
        <w:footnoteRef/>
      </w:r>
      <w:r>
        <w:t xml:space="preserve"> Snyder RD and Green JW. </w:t>
      </w:r>
      <w:proofErr w:type="gramStart"/>
      <w:r w:rsidRPr="008D0214">
        <w:t xml:space="preserve">A review of the </w:t>
      </w:r>
      <w:proofErr w:type="spellStart"/>
      <w:r w:rsidRPr="008D0214">
        <w:t>genotoxicity</w:t>
      </w:r>
      <w:proofErr w:type="spellEnd"/>
      <w:r w:rsidRPr="008D0214">
        <w:t xml:space="preserve"> of marketed ph</w:t>
      </w:r>
      <w:r>
        <w:t>armaceuticals.</w:t>
      </w:r>
      <w:proofErr w:type="gramEnd"/>
      <w:r>
        <w:t xml:space="preserve"> </w:t>
      </w:r>
      <w:proofErr w:type="spellStart"/>
      <w:proofErr w:type="gramStart"/>
      <w:r w:rsidRPr="001078A8">
        <w:rPr>
          <w:i/>
        </w:rPr>
        <w:t>Mutat</w:t>
      </w:r>
      <w:proofErr w:type="spellEnd"/>
      <w:r w:rsidRPr="001078A8">
        <w:rPr>
          <w:i/>
        </w:rPr>
        <w:t>.</w:t>
      </w:r>
      <w:proofErr w:type="gramEnd"/>
      <w:r w:rsidRPr="001078A8">
        <w:rPr>
          <w:i/>
        </w:rPr>
        <w:t> Res</w:t>
      </w:r>
      <w:r>
        <w:t xml:space="preserve">. </w:t>
      </w:r>
      <w:r w:rsidRPr="001078A8">
        <w:t>2001</w:t>
      </w:r>
      <w:proofErr w:type="gramStart"/>
      <w:r>
        <w:t>;488:</w:t>
      </w:r>
      <w:r w:rsidRPr="008D0214">
        <w:t>151</w:t>
      </w:r>
      <w:proofErr w:type="gramEnd"/>
      <w:r w:rsidRPr="008D0214">
        <w:t>‒169.</w:t>
      </w:r>
    </w:p>
  </w:footnote>
  <w:footnote w:id="14">
    <w:p w:rsidR="00AA11BF" w:rsidRDefault="00AA11BF" w:rsidP="00AA4341">
      <w:pPr>
        <w:pStyle w:val="FootnoteText"/>
      </w:pPr>
      <w:r>
        <w:rPr>
          <w:rStyle w:val="FootnoteReference"/>
        </w:rPr>
        <w:footnoteRef/>
      </w:r>
      <w:r>
        <w:t xml:space="preserve"> </w:t>
      </w:r>
      <w:proofErr w:type="spellStart"/>
      <w:proofErr w:type="gramStart"/>
      <w:r>
        <w:t>Angelov</w:t>
      </w:r>
      <w:proofErr w:type="spellEnd"/>
      <w:r>
        <w:t xml:space="preserve"> O</w:t>
      </w:r>
      <w:r w:rsidRPr="008D0214">
        <w:t xml:space="preserve"> </w:t>
      </w:r>
      <w:r>
        <w:t>et al.,</w:t>
      </w:r>
      <w:r w:rsidRPr="008D0214">
        <w:t xml:space="preserve"> Reproductive and developmental safety studies with brimonidine.</w:t>
      </w:r>
      <w:proofErr w:type="gramEnd"/>
      <w:r w:rsidRPr="008D0214">
        <w:t xml:space="preserve"> </w:t>
      </w:r>
      <w:r w:rsidRPr="000646F7">
        <w:rPr>
          <w:i/>
        </w:rPr>
        <w:t xml:space="preserve">Invest. </w:t>
      </w:r>
      <w:proofErr w:type="spellStart"/>
      <w:proofErr w:type="gramStart"/>
      <w:r w:rsidRPr="000646F7">
        <w:rPr>
          <w:i/>
        </w:rPr>
        <w:t>Ophthal</w:t>
      </w:r>
      <w:proofErr w:type="spellEnd"/>
      <w:r w:rsidRPr="000646F7">
        <w:rPr>
          <w:i/>
        </w:rPr>
        <w:t>.</w:t>
      </w:r>
      <w:proofErr w:type="gramEnd"/>
      <w:r w:rsidRPr="000646F7">
        <w:rPr>
          <w:i/>
        </w:rPr>
        <w:t xml:space="preserve"> Visual Sci.</w:t>
      </w:r>
      <w:r w:rsidRPr="008D0214">
        <w:t xml:space="preserve"> </w:t>
      </w:r>
      <w:r>
        <w:t>1996b;</w:t>
      </w:r>
      <w:r w:rsidRPr="008D0214">
        <w:t>S1101</w:t>
      </w:r>
    </w:p>
  </w:footnote>
  <w:footnote w:id="15">
    <w:p w:rsidR="00AA11BF" w:rsidRPr="00035A8E" w:rsidRDefault="00AA11BF" w:rsidP="00AA4341">
      <w:pPr>
        <w:pStyle w:val="FootnoteText"/>
      </w:pPr>
      <w:r w:rsidRPr="006B3937">
        <w:rPr>
          <w:vertAlign w:val="superscript"/>
        </w:rPr>
        <w:footnoteRef/>
      </w:r>
      <w:r w:rsidR="00325E22">
        <w:rPr>
          <w:i/>
        </w:rPr>
        <w:t xml:space="preserve"> </w:t>
      </w:r>
      <w:r w:rsidRPr="00AA4341">
        <w:rPr>
          <w:i/>
        </w:rPr>
        <w:t xml:space="preserve">Category B1: Drugs which have been taken by only a limited number of pregnant women and women of childbearing age, without an increase in the frequency of malformation or other direct or indirect harmful effects on the human </w:t>
      </w:r>
      <w:proofErr w:type="spellStart"/>
      <w:r w:rsidRPr="00AA4341">
        <w:rPr>
          <w:i/>
        </w:rPr>
        <w:t>fetus</w:t>
      </w:r>
      <w:proofErr w:type="spellEnd"/>
      <w:r w:rsidRPr="00AA4341">
        <w:rPr>
          <w:i/>
        </w:rPr>
        <w:t xml:space="preserve"> having been observed. Studies in animals have not shown evidence of an increased occurrence of </w:t>
      </w:r>
      <w:proofErr w:type="spellStart"/>
      <w:r w:rsidRPr="00AA4341">
        <w:rPr>
          <w:i/>
        </w:rPr>
        <w:t>fetal</w:t>
      </w:r>
      <w:proofErr w:type="spellEnd"/>
      <w:r w:rsidRPr="00AA4341">
        <w:rPr>
          <w:i/>
        </w:rPr>
        <w:t xml:space="preserve"> damage.</w:t>
      </w:r>
    </w:p>
  </w:footnote>
  <w:footnote w:id="16">
    <w:p w:rsidR="00AA11BF" w:rsidRPr="006B3937" w:rsidRDefault="00AA11BF" w:rsidP="00AA4341">
      <w:pPr>
        <w:pStyle w:val="FootnoteText"/>
      </w:pPr>
      <w:r>
        <w:rPr>
          <w:rStyle w:val="FootnoteReference"/>
        </w:rPr>
        <w:footnoteRef/>
      </w:r>
      <w:r w:rsidR="00325E22">
        <w:rPr>
          <w:i/>
        </w:rPr>
        <w:t xml:space="preserve"> </w:t>
      </w:r>
      <w:r w:rsidRPr="00AA4341">
        <w:rPr>
          <w:i/>
        </w:rPr>
        <w:t xml:space="preserve">Category B3: Drugs which have been taken by only a limited number of pregnant women and women of childbearing age, without an increase in the frequency of malformation or other direct or indirect harmful effects on the human </w:t>
      </w:r>
      <w:proofErr w:type="spellStart"/>
      <w:r w:rsidRPr="00AA4341">
        <w:rPr>
          <w:i/>
        </w:rPr>
        <w:t>fetus</w:t>
      </w:r>
      <w:proofErr w:type="spellEnd"/>
      <w:r w:rsidRPr="00AA4341">
        <w:rPr>
          <w:i/>
        </w:rPr>
        <w:t xml:space="preserve"> having been observed. Studies in animals have shown evidence of an increased occurrence of </w:t>
      </w:r>
      <w:proofErr w:type="spellStart"/>
      <w:r w:rsidRPr="00AA4341">
        <w:rPr>
          <w:i/>
        </w:rPr>
        <w:t>fetal</w:t>
      </w:r>
      <w:proofErr w:type="spellEnd"/>
      <w:r w:rsidRPr="00AA4341">
        <w:rPr>
          <w:i/>
        </w:rPr>
        <w:t xml:space="preserve"> damage, the significance of which is considered uncertain in humans.</w:t>
      </w:r>
    </w:p>
    <w:p w:rsidR="00AA11BF" w:rsidRDefault="00AA11BF">
      <w:pPr>
        <w:pStyle w:val="FootnoteText"/>
      </w:pPr>
    </w:p>
  </w:footnote>
  <w:footnote w:id="17">
    <w:p w:rsidR="00AA11BF" w:rsidRDefault="00AA11BF" w:rsidP="00AA4341">
      <w:pPr>
        <w:pStyle w:val="FootnoteText"/>
      </w:pPr>
      <w:r>
        <w:rPr>
          <w:rStyle w:val="FootnoteReference"/>
        </w:rPr>
        <w:footnoteRef/>
      </w:r>
      <w:r>
        <w:t xml:space="preserve"> </w:t>
      </w:r>
      <w:proofErr w:type="gramStart"/>
      <w:r>
        <w:t xml:space="preserve">Berg M and </w:t>
      </w:r>
      <w:proofErr w:type="spellStart"/>
      <w:r w:rsidRPr="007C5C01">
        <w:t>Liden</w:t>
      </w:r>
      <w:proofErr w:type="spellEnd"/>
      <w:r w:rsidRPr="007C5C01">
        <w:t xml:space="preserve"> S.</w:t>
      </w:r>
      <w:proofErr w:type="gramEnd"/>
      <w:r w:rsidRPr="007C5C01">
        <w:t xml:space="preserve"> </w:t>
      </w:r>
      <w:proofErr w:type="gramStart"/>
      <w:r w:rsidRPr="007C5C01">
        <w:t>An epidemiological study of rosacea.</w:t>
      </w:r>
      <w:proofErr w:type="gramEnd"/>
      <w:r w:rsidRPr="007C5C01">
        <w:t xml:space="preserve"> </w:t>
      </w:r>
      <w:proofErr w:type="spellStart"/>
      <w:proofErr w:type="gramStart"/>
      <w:r w:rsidRPr="000646F7">
        <w:rPr>
          <w:i/>
        </w:rPr>
        <w:t>Acta</w:t>
      </w:r>
      <w:proofErr w:type="spellEnd"/>
      <w:r w:rsidRPr="000646F7">
        <w:rPr>
          <w:i/>
        </w:rPr>
        <w:t xml:space="preserve"> </w:t>
      </w:r>
      <w:proofErr w:type="spellStart"/>
      <w:r w:rsidRPr="000646F7">
        <w:rPr>
          <w:i/>
        </w:rPr>
        <w:t>Derm</w:t>
      </w:r>
      <w:proofErr w:type="spellEnd"/>
      <w:r w:rsidRPr="000646F7">
        <w:rPr>
          <w:i/>
        </w:rPr>
        <w:t xml:space="preserve"> </w:t>
      </w:r>
      <w:proofErr w:type="spellStart"/>
      <w:r w:rsidRPr="000646F7">
        <w:rPr>
          <w:i/>
        </w:rPr>
        <w:t>Venereol</w:t>
      </w:r>
      <w:proofErr w:type="spellEnd"/>
      <w:r>
        <w:t>.</w:t>
      </w:r>
      <w:proofErr w:type="gramEnd"/>
      <w:r>
        <w:t xml:space="preserve"> 1989</w:t>
      </w:r>
      <w:proofErr w:type="gramStart"/>
      <w:r>
        <w:t>;69</w:t>
      </w:r>
      <w:r w:rsidRPr="007C5C01">
        <w:t>:419</w:t>
      </w:r>
      <w:proofErr w:type="gramEnd"/>
      <w:r w:rsidRPr="007C5C01">
        <w:t>-23.</w:t>
      </w:r>
    </w:p>
  </w:footnote>
  <w:footnote w:id="18">
    <w:p w:rsidR="00AA11BF" w:rsidRDefault="00AA11BF" w:rsidP="00AA4341">
      <w:pPr>
        <w:pStyle w:val="FootnoteText"/>
      </w:pPr>
      <w:r>
        <w:rPr>
          <w:rStyle w:val="FootnoteReference"/>
        </w:rPr>
        <w:footnoteRef/>
      </w:r>
      <w:r>
        <w:t xml:space="preserve"> </w:t>
      </w:r>
      <w:proofErr w:type="spellStart"/>
      <w:r>
        <w:t>Kyriakis</w:t>
      </w:r>
      <w:proofErr w:type="spellEnd"/>
      <w:r>
        <w:t xml:space="preserve"> KP</w:t>
      </w:r>
      <w:r w:rsidRPr="007C5C01">
        <w:t xml:space="preserve"> </w:t>
      </w:r>
      <w:r>
        <w:t>et al.,</w:t>
      </w:r>
      <w:r w:rsidRPr="007C5C01">
        <w:t xml:space="preserve"> Epidemiologic aspects of rosacea. </w:t>
      </w:r>
      <w:r w:rsidRPr="000646F7">
        <w:rPr>
          <w:i/>
        </w:rPr>
        <w:t xml:space="preserve">J Am </w:t>
      </w:r>
      <w:proofErr w:type="spellStart"/>
      <w:r w:rsidRPr="000646F7">
        <w:rPr>
          <w:i/>
        </w:rPr>
        <w:t>Acad</w:t>
      </w:r>
      <w:proofErr w:type="spellEnd"/>
      <w:r w:rsidRPr="000646F7">
        <w:rPr>
          <w:i/>
        </w:rPr>
        <w:t xml:space="preserve"> </w:t>
      </w:r>
      <w:proofErr w:type="spellStart"/>
      <w:r w:rsidRPr="000646F7">
        <w:rPr>
          <w:i/>
        </w:rPr>
        <w:t>Dermatol</w:t>
      </w:r>
      <w:proofErr w:type="spellEnd"/>
      <w:r w:rsidRPr="000646F7">
        <w:rPr>
          <w:i/>
        </w:rPr>
        <w:t xml:space="preserve">. </w:t>
      </w:r>
      <w:r w:rsidRPr="007C5C01">
        <w:t>2005</w:t>
      </w:r>
      <w:proofErr w:type="gramStart"/>
      <w:r>
        <w:t>;53</w:t>
      </w:r>
      <w:r w:rsidRPr="007C5C01">
        <w:t>:918</w:t>
      </w:r>
      <w:proofErr w:type="gramEnd"/>
      <w:r w:rsidRPr="007C5C01">
        <w:t>-9.</w:t>
      </w:r>
    </w:p>
  </w:footnote>
  <w:footnote w:id="19">
    <w:p w:rsidR="00AA11BF" w:rsidRDefault="00AA11BF" w:rsidP="00AA4341">
      <w:pPr>
        <w:pStyle w:val="FootnoteText"/>
      </w:pPr>
      <w:r>
        <w:rPr>
          <w:rStyle w:val="FootnoteReference"/>
        </w:rPr>
        <w:footnoteRef/>
      </w:r>
      <w:r>
        <w:t xml:space="preserve"> </w:t>
      </w:r>
      <w:r w:rsidRPr="007C5C01">
        <w:t xml:space="preserve">Powell FC. </w:t>
      </w:r>
      <w:proofErr w:type="gramStart"/>
      <w:r w:rsidRPr="007C5C01">
        <w:t>Rosacea.</w:t>
      </w:r>
      <w:proofErr w:type="gramEnd"/>
      <w:r w:rsidRPr="007C5C01">
        <w:t xml:space="preserve"> </w:t>
      </w:r>
      <w:r w:rsidRPr="000646F7">
        <w:rPr>
          <w:i/>
        </w:rPr>
        <w:t xml:space="preserve">N </w:t>
      </w:r>
      <w:proofErr w:type="spellStart"/>
      <w:r w:rsidRPr="000646F7">
        <w:rPr>
          <w:i/>
        </w:rPr>
        <w:t>Engl</w:t>
      </w:r>
      <w:proofErr w:type="spellEnd"/>
      <w:r w:rsidRPr="000646F7">
        <w:rPr>
          <w:i/>
        </w:rPr>
        <w:t xml:space="preserve"> J Med.</w:t>
      </w:r>
      <w:r>
        <w:t xml:space="preserve"> 2005</w:t>
      </w:r>
      <w:proofErr w:type="gramStart"/>
      <w:r>
        <w:t>;352</w:t>
      </w:r>
      <w:r w:rsidRPr="007C5C01">
        <w:t>:793</w:t>
      </w:r>
      <w:proofErr w:type="gramEnd"/>
      <w:r w:rsidRPr="007C5C01">
        <w:t>-803</w:t>
      </w:r>
      <w:r>
        <w:t>.</w:t>
      </w:r>
    </w:p>
  </w:footnote>
  <w:footnote w:id="20">
    <w:p w:rsidR="00AA11BF" w:rsidRDefault="00AA11BF" w:rsidP="00AA4341">
      <w:pPr>
        <w:pStyle w:val="FootnoteText"/>
      </w:pPr>
      <w:r>
        <w:rPr>
          <w:rStyle w:val="FootnoteReference"/>
        </w:rPr>
        <w:footnoteRef/>
      </w:r>
      <w:r>
        <w:t xml:space="preserve"> </w:t>
      </w:r>
      <w:proofErr w:type="gramStart"/>
      <w:r>
        <w:t>van</w:t>
      </w:r>
      <w:proofErr w:type="gramEnd"/>
      <w:r>
        <w:t xml:space="preserve"> </w:t>
      </w:r>
      <w:proofErr w:type="spellStart"/>
      <w:r>
        <w:t>Zuuren</w:t>
      </w:r>
      <w:proofErr w:type="spellEnd"/>
      <w:r>
        <w:t xml:space="preserve"> EJ</w:t>
      </w:r>
      <w:r w:rsidRPr="007C5C01">
        <w:t xml:space="preserve"> </w:t>
      </w:r>
      <w:r>
        <w:t xml:space="preserve">et al., </w:t>
      </w:r>
      <w:r w:rsidRPr="007C5C01">
        <w:t xml:space="preserve">Interventions for rosacea. </w:t>
      </w:r>
      <w:r w:rsidRPr="00E131B2">
        <w:rPr>
          <w:i/>
        </w:rPr>
        <w:t>Cochrane Database System Rev</w:t>
      </w:r>
      <w:r w:rsidRPr="007C5C01">
        <w:t>. 2005</w:t>
      </w:r>
      <w:proofErr w:type="gramStart"/>
      <w:r>
        <w:t>;3</w:t>
      </w:r>
      <w:r w:rsidRPr="007C5C01">
        <w:t>:CD003262</w:t>
      </w:r>
      <w:proofErr w:type="gramEnd"/>
      <w:r w:rsidRPr="007C5C01">
        <w:t>.</w:t>
      </w:r>
    </w:p>
  </w:footnote>
  <w:footnote w:id="21">
    <w:p w:rsidR="00AA11BF" w:rsidRDefault="00AA11BF" w:rsidP="00AA4341">
      <w:pPr>
        <w:pStyle w:val="FootnoteText"/>
      </w:pPr>
      <w:r>
        <w:rPr>
          <w:rStyle w:val="FootnoteReference"/>
        </w:rPr>
        <w:footnoteRef/>
      </w:r>
      <w:r>
        <w:t xml:space="preserve"> </w:t>
      </w:r>
      <w:proofErr w:type="gramStart"/>
      <w:r>
        <w:t>van</w:t>
      </w:r>
      <w:proofErr w:type="gramEnd"/>
      <w:r>
        <w:t xml:space="preserve"> </w:t>
      </w:r>
      <w:proofErr w:type="spellStart"/>
      <w:r>
        <w:t>Zuuren</w:t>
      </w:r>
      <w:proofErr w:type="spellEnd"/>
      <w:r>
        <w:t xml:space="preserve"> EJ et al., </w:t>
      </w:r>
      <w:r w:rsidRPr="007C5C01">
        <w:t xml:space="preserve">Systematic review of rosacea treatments. </w:t>
      </w:r>
      <w:r w:rsidRPr="00E131B2">
        <w:rPr>
          <w:i/>
        </w:rPr>
        <w:t xml:space="preserve">J Am </w:t>
      </w:r>
      <w:proofErr w:type="spellStart"/>
      <w:r w:rsidRPr="00E131B2">
        <w:rPr>
          <w:i/>
        </w:rPr>
        <w:t>Acad</w:t>
      </w:r>
      <w:proofErr w:type="spellEnd"/>
      <w:r w:rsidRPr="00E131B2">
        <w:rPr>
          <w:i/>
        </w:rPr>
        <w:t xml:space="preserve"> </w:t>
      </w:r>
      <w:proofErr w:type="spellStart"/>
      <w:r w:rsidRPr="00E131B2">
        <w:rPr>
          <w:i/>
        </w:rPr>
        <w:t>Dermatol</w:t>
      </w:r>
      <w:proofErr w:type="spellEnd"/>
      <w:r>
        <w:t>. 2007</w:t>
      </w:r>
      <w:proofErr w:type="gramStart"/>
      <w:r>
        <w:t>;56</w:t>
      </w:r>
      <w:r w:rsidRPr="007C5C01">
        <w:t>:107</w:t>
      </w:r>
      <w:proofErr w:type="gramEnd"/>
      <w:r w:rsidRPr="007C5C01">
        <w:t>-15.</w:t>
      </w:r>
    </w:p>
  </w:footnote>
  <w:footnote w:id="22">
    <w:p w:rsidR="00AA11BF" w:rsidRDefault="00AA11BF" w:rsidP="00AA4341">
      <w:pPr>
        <w:pStyle w:val="FootnoteText"/>
      </w:pPr>
      <w:r>
        <w:rPr>
          <w:rStyle w:val="FootnoteReference"/>
        </w:rPr>
        <w:footnoteRef/>
      </w:r>
      <w:r>
        <w:t xml:space="preserve"> Wilkin J</w:t>
      </w:r>
      <w:r w:rsidRPr="007C5C01">
        <w:t xml:space="preserve"> et al.</w:t>
      </w:r>
      <w:r>
        <w:t>,</w:t>
      </w:r>
      <w:r w:rsidRPr="007C5C01">
        <w:t xml:space="preserve"> Standard classification of rosacea: Report of the National Rosacea Society Expert Committee on the Classification and Staging of Rosacea</w:t>
      </w:r>
      <w:r w:rsidRPr="00E131B2">
        <w:rPr>
          <w:i/>
        </w:rPr>
        <w:t xml:space="preserve">. J Am </w:t>
      </w:r>
      <w:proofErr w:type="spellStart"/>
      <w:r w:rsidRPr="00E131B2">
        <w:rPr>
          <w:i/>
        </w:rPr>
        <w:t>Acad</w:t>
      </w:r>
      <w:proofErr w:type="spellEnd"/>
      <w:r w:rsidRPr="00E131B2">
        <w:rPr>
          <w:i/>
        </w:rPr>
        <w:t xml:space="preserve"> </w:t>
      </w:r>
      <w:proofErr w:type="spellStart"/>
      <w:r w:rsidRPr="00E131B2">
        <w:rPr>
          <w:i/>
        </w:rPr>
        <w:t>Dermatol</w:t>
      </w:r>
      <w:proofErr w:type="spellEnd"/>
      <w:r w:rsidRPr="00E131B2">
        <w:rPr>
          <w:i/>
        </w:rPr>
        <w:t>.</w:t>
      </w:r>
      <w:r w:rsidRPr="007C5C01">
        <w:t xml:space="preserve"> 2002</w:t>
      </w:r>
      <w:proofErr w:type="gramStart"/>
      <w:r w:rsidRPr="007C5C01">
        <w:t>;46:584</w:t>
      </w:r>
      <w:proofErr w:type="gramEnd"/>
      <w:r w:rsidRPr="007C5C01">
        <w:t>-7.</w:t>
      </w:r>
    </w:p>
  </w:footnote>
  <w:footnote w:id="23">
    <w:p w:rsidR="00AA11BF" w:rsidRDefault="00AA11BF" w:rsidP="00AA4341">
      <w:pPr>
        <w:pStyle w:val="FootnoteText"/>
      </w:pPr>
      <w:r w:rsidRPr="001E0E0D">
        <w:rPr>
          <w:rStyle w:val="FootnoteReference"/>
          <w:sz w:val="16"/>
          <w:szCs w:val="16"/>
        </w:rPr>
        <w:footnoteRef/>
      </w:r>
      <w:r w:rsidRPr="001E0E0D">
        <w:rPr>
          <w:sz w:val="16"/>
          <w:szCs w:val="16"/>
        </w:rPr>
        <w:t xml:space="preserve"> </w:t>
      </w:r>
      <w:proofErr w:type="spellStart"/>
      <w:r w:rsidRPr="00DA6CC4">
        <w:rPr>
          <w:rStyle w:val="FootnoteTextChar"/>
        </w:rPr>
        <w:t>Noritate</w:t>
      </w:r>
      <w:proofErr w:type="spellEnd"/>
      <w:r w:rsidRPr="00DA6CC4">
        <w:rPr>
          <w:rStyle w:val="FootnoteTextChar"/>
        </w:rPr>
        <w:t xml:space="preserve"> 1% Cream (US) is indicated for the topical treatment of inflammatory lesions and erythema of rosacea; </w:t>
      </w:r>
      <w:proofErr w:type="spellStart"/>
      <w:r w:rsidRPr="00DA6CC4">
        <w:rPr>
          <w:rStyle w:val="FootnoteTextChar"/>
        </w:rPr>
        <w:t>Metrogel</w:t>
      </w:r>
      <w:proofErr w:type="spellEnd"/>
      <w:r w:rsidRPr="00DA6CC4">
        <w:rPr>
          <w:rStyle w:val="FootnoteTextChar"/>
        </w:rPr>
        <w:t xml:space="preserve"> 0.75% (UK) is indicated for the treatment of acute inflammatory exacerbation of rosacea; </w:t>
      </w:r>
      <w:proofErr w:type="spellStart"/>
      <w:r w:rsidRPr="00DA6CC4">
        <w:rPr>
          <w:rStyle w:val="FootnoteTextChar"/>
        </w:rPr>
        <w:t>Zyomet</w:t>
      </w:r>
      <w:proofErr w:type="spellEnd"/>
      <w:r w:rsidRPr="00DA6CC4">
        <w:rPr>
          <w:rStyle w:val="FootnoteTextChar"/>
        </w:rPr>
        <w:t xml:space="preserve"> Gel 0.75% (UK) is indicated for the treatment of acute inflammatory exacerbations of acne rosacea; </w:t>
      </w:r>
      <w:proofErr w:type="spellStart"/>
      <w:r w:rsidRPr="00DA6CC4">
        <w:rPr>
          <w:rStyle w:val="FootnoteTextChar"/>
        </w:rPr>
        <w:t>Rozex</w:t>
      </w:r>
      <w:proofErr w:type="spellEnd"/>
      <w:r w:rsidRPr="00DA6CC4">
        <w:rPr>
          <w:rStyle w:val="FootnoteTextChar"/>
        </w:rPr>
        <w:t xml:space="preserve"> cream or gel 0.75% (broad EU brand) is indicated in the treatment of inflammatory papules, pustules and erythema of rosacea; Metronidazole </w:t>
      </w:r>
      <w:proofErr w:type="spellStart"/>
      <w:r w:rsidRPr="00DA6CC4">
        <w:rPr>
          <w:rStyle w:val="FootnoteTextChar"/>
        </w:rPr>
        <w:t>Actavis</w:t>
      </w:r>
      <w:proofErr w:type="spellEnd"/>
      <w:r w:rsidRPr="00DA6CC4">
        <w:rPr>
          <w:rStyle w:val="FootnoteTextChar"/>
        </w:rPr>
        <w:t xml:space="preserve"> 1% cream (EU Nordic countries) is indicated for rosacea.</w:t>
      </w:r>
    </w:p>
  </w:footnote>
  <w:footnote w:id="24">
    <w:p w:rsidR="00AA11BF" w:rsidRDefault="00AA11BF" w:rsidP="00AA4341">
      <w:pPr>
        <w:pStyle w:val="FootnoteText"/>
      </w:pPr>
      <w:r>
        <w:rPr>
          <w:rStyle w:val="FootnoteReference"/>
        </w:rPr>
        <w:footnoteRef/>
      </w:r>
      <w:r>
        <w:t xml:space="preserve"> Adamic M</w:t>
      </w:r>
      <w:r w:rsidRPr="00072001">
        <w:t xml:space="preserve"> </w:t>
      </w:r>
      <w:r>
        <w:t>et al.,</w:t>
      </w:r>
      <w:r w:rsidRPr="00072001">
        <w:t xml:space="preserve"> Vascular lasers and IPLS: guidelines for care from the European Society for Laser Dermatology (ESLD). </w:t>
      </w:r>
      <w:proofErr w:type="gramStart"/>
      <w:r w:rsidRPr="00E131B2">
        <w:rPr>
          <w:i/>
        </w:rPr>
        <w:t xml:space="preserve">J </w:t>
      </w:r>
      <w:proofErr w:type="spellStart"/>
      <w:r w:rsidRPr="00E131B2">
        <w:rPr>
          <w:i/>
        </w:rPr>
        <w:t>Cosmet</w:t>
      </w:r>
      <w:proofErr w:type="spellEnd"/>
      <w:r w:rsidRPr="00E131B2">
        <w:rPr>
          <w:i/>
        </w:rPr>
        <w:t xml:space="preserve"> Laser </w:t>
      </w:r>
      <w:proofErr w:type="spellStart"/>
      <w:r w:rsidRPr="00E131B2">
        <w:rPr>
          <w:i/>
        </w:rPr>
        <w:t>Ther</w:t>
      </w:r>
      <w:proofErr w:type="spellEnd"/>
      <w:r w:rsidRPr="00E131B2">
        <w:rPr>
          <w:i/>
        </w:rPr>
        <w:t>.</w:t>
      </w:r>
      <w:proofErr w:type="gramEnd"/>
      <w:r w:rsidRPr="00072001">
        <w:t xml:space="preserve"> 2007</w:t>
      </w:r>
      <w:proofErr w:type="gramStart"/>
      <w:r>
        <w:t>;9</w:t>
      </w:r>
      <w:r w:rsidRPr="00072001">
        <w:t>:113</w:t>
      </w:r>
      <w:proofErr w:type="gramEnd"/>
      <w:r w:rsidRPr="00072001">
        <w:t>–24</w:t>
      </w:r>
      <w:r>
        <w:t>.</w:t>
      </w:r>
    </w:p>
  </w:footnote>
  <w:footnote w:id="25">
    <w:p w:rsidR="00AA11BF" w:rsidRDefault="00AA11BF" w:rsidP="00AA4341">
      <w:pPr>
        <w:pStyle w:val="FootnoteText"/>
      </w:pPr>
      <w:r>
        <w:rPr>
          <w:rStyle w:val="FootnoteReference"/>
        </w:rPr>
        <w:footnoteRef/>
      </w:r>
      <w:r>
        <w:t xml:space="preserve"> </w:t>
      </w:r>
      <w:r w:rsidRPr="00F70BC6">
        <w:t xml:space="preserve">Sponsor comment: As a result of this, </w:t>
      </w:r>
      <w:proofErr w:type="spellStart"/>
      <w:r w:rsidRPr="00F70BC6">
        <w:t>Galderma</w:t>
      </w:r>
      <w:proofErr w:type="spellEnd"/>
      <w:r w:rsidRPr="00F70BC6">
        <w:t xml:space="preserve"> subsequently designed a Child-Resistant Cap (CRC) for the 10g and 30g tube presentations only. Product in Australia will be supplied with the CRC.</w:t>
      </w:r>
    </w:p>
  </w:footnote>
  <w:footnote w:id="26">
    <w:p w:rsidR="00AA11BF" w:rsidRDefault="00AA11BF" w:rsidP="00AA4341">
      <w:pPr>
        <w:pStyle w:val="FootnoteText"/>
      </w:pPr>
      <w:r>
        <w:rPr>
          <w:rStyle w:val="FootnoteReference"/>
        </w:rPr>
        <w:footnoteRef/>
      </w:r>
      <w:r>
        <w:t xml:space="preserve"> </w:t>
      </w:r>
      <w:proofErr w:type="spellStart"/>
      <w:r>
        <w:t>Chosidow</w:t>
      </w:r>
      <w:proofErr w:type="spellEnd"/>
      <w:r>
        <w:t xml:space="preserve"> O and</w:t>
      </w:r>
      <w:r w:rsidRPr="00211C26">
        <w:t xml:space="preserve"> </w:t>
      </w:r>
      <w:proofErr w:type="spellStart"/>
      <w:r w:rsidRPr="00211C26">
        <w:t>Cribier</w:t>
      </w:r>
      <w:proofErr w:type="spellEnd"/>
      <w:r w:rsidRPr="00211C26">
        <w:t xml:space="preserve"> B. Epidemiology of rosacea: updated data. </w:t>
      </w:r>
      <w:r w:rsidRPr="00E131B2">
        <w:rPr>
          <w:i/>
        </w:rPr>
        <w:t xml:space="preserve">Ann </w:t>
      </w:r>
      <w:proofErr w:type="spellStart"/>
      <w:r w:rsidRPr="00E131B2">
        <w:rPr>
          <w:i/>
        </w:rPr>
        <w:t>Dermatol</w:t>
      </w:r>
      <w:proofErr w:type="spellEnd"/>
      <w:r w:rsidRPr="00E131B2">
        <w:rPr>
          <w:i/>
        </w:rPr>
        <w:t xml:space="preserve"> </w:t>
      </w:r>
      <w:proofErr w:type="spellStart"/>
      <w:r w:rsidRPr="00E131B2">
        <w:rPr>
          <w:i/>
        </w:rPr>
        <w:t>Venereol</w:t>
      </w:r>
      <w:proofErr w:type="spellEnd"/>
      <w:r>
        <w:t>. 2011</w:t>
      </w:r>
      <w:proofErr w:type="gramStart"/>
      <w:r>
        <w:t>;138:</w:t>
      </w:r>
      <w:r w:rsidRPr="00211C26">
        <w:t>179</w:t>
      </w:r>
      <w:proofErr w:type="gramEnd"/>
      <w:r w:rsidRPr="00211C26">
        <w:t>-183.</w:t>
      </w:r>
    </w:p>
  </w:footnote>
  <w:footnote w:id="27">
    <w:p w:rsidR="00AA11BF" w:rsidRDefault="00AA11BF" w:rsidP="00AA4341">
      <w:pPr>
        <w:pStyle w:val="FootnoteText"/>
      </w:pPr>
      <w:r>
        <w:rPr>
          <w:rStyle w:val="FootnoteReference"/>
        </w:rPr>
        <w:footnoteRef/>
      </w:r>
      <w:r>
        <w:t xml:space="preserve"> Details of these are beyond the scope of the AusPAR.</w:t>
      </w:r>
    </w:p>
  </w:footnote>
  <w:footnote w:id="28">
    <w:p w:rsidR="00AA11BF" w:rsidRPr="00DE4568" w:rsidRDefault="00AA11BF" w:rsidP="006D60A7">
      <w:pPr>
        <w:pStyle w:val="FootnoteText"/>
      </w:pPr>
      <w:r>
        <w:rPr>
          <w:rStyle w:val="FootnoteReference"/>
        </w:rPr>
        <w:footnoteRef/>
      </w:r>
      <w:r>
        <w:t xml:space="preserve"> </w:t>
      </w:r>
      <w:proofErr w:type="spellStart"/>
      <w:r w:rsidRPr="00DE4568">
        <w:t>SmPC</w:t>
      </w:r>
      <w:proofErr w:type="spellEnd"/>
      <w:r w:rsidRPr="00DE4568">
        <w:t xml:space="preserve"> and PIL are the equivalent of the Australian PI and CMI respectively.</w:t>
      </w:r>
    </w:p>
  </w:footnote>
  <w:footnote w:id="29">
    <w:p w:rsidR="00AA11BF" w:rsidRDefault="00AA11BF" w:rsidP="00842325">
      <w:pPr>
        <w:pStyle w:val="FootnoteText"/>
      </w:pPr>
      <w:r>
        <w:rPr>
          <w:rStyle w:val="FootnoteReference"/>
        </w:rPr>
        <w:footnoteRef/>
      </w:r>
      <w:r>
        <w:t xml:space="preserve"> The tightened limit for these impurities was less than the required specifications in the Ph. Eur. Monograph for brimonidine tartrate; however as the importance of ensuring the TTC was recognised, the sponsor complied with the TGA request.</w:t>
      </w:r>
    </w:p>
  </w:footnote>
  <w:footnote w:id="30">
    <w:p w:rsidR="00AA11BF" w:rsidRDefault="00AA11BF" w:rsidP="00842325">
      <w:pPr>
        <w:pStyle w:val="FootnoteText"/>
      </w:pPr>
      <w:r>
        <w:rPr>
          <w:rStyle w:val="FootnoteReference"/>
        </w:rPr>
        <w:footnoteRef/>
      </w:r>
      <w:r>
        <w:t xml:space="preserve"> The sponsor advised </w:t>
      </w:r>
      <w:r w:rsidRPr="00C31BF0">
        <w:t xml:space="preserve">that the limits for the potentially </w:t>
      </w:r>
      <w:proofErr w:type="spellStart"/>
      <w:r w:rsidRPr="00C31BF0">
        <w:t>genotoxic</w:t>
      </w:r>
      <w:proofErr w:type="spellEnd"/>
      <w:r w:rsidRPr="00C31BF0">
        <w:t xml:space="preserve"> impurities have been tightened in accordance with the TGA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pPr>
      <w:rPr>
        <w:noProof/>
        <w:lang w:eastAsia="en-AU"/>
      </w:rPr>
    </w:pPr>
    <w:r w:rsidRPr="00347824">
      <w:rPr>
        <w:noProof/>
        <w:lang w:eastAsia="en-AU"/>
      </w:rPr>
      <w:drawing>
        <wp:anchor distT="0" distB="0" distL="114300" distR="114300" simplePos="0" relativeHeight="251659264" behindDoc="1" locked="0" layoutInCell="1" allowOverlap="1" wp14:anchorId="37C4E5A5" wp14:editId="17AACBAD">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AA11BF" w:rsidRDefault="00AA11BF"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11BF" w:rsidRDefault="00AA11BF" w:rsidP="006E08B3">
    <w:r>
      <w:t>Therapeutic Goods Administration</w:t>
    </w:r>
  </w:p>
  <w:p w:rsidR="00AA11BF" w:rsidRDefault="00AA11BF"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2094FEF"/>
    <w:multiLevelType w:val="hybridMultilevel"/>
    <w:tmpl w:val="A57C1952"/>
    <w:lvl w:ilvl="0" w:tplc="5F9446DE">
      <w:start w:val="1"/>
      <w:numFmt w:val="bullet"/>
      <w:lvlText w:val="-"/>
      <w:lvlJc w:val="left"/>
      <w:pPr>
        <w:ind w:left="720" w:hanging="360"/>
      </w:pPr>
      <w:rPr>
        <w:rFonts w:ascii="Courier" w:hAnsi="Courier" w:hint="default"/>
        <w:sz w:val="16"/>
        <w:szCs w:val="16"/>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4E97C4F"/>
    <w:multiLevelType w:val="hybridMultilevel"/>
    <w:tmpl w:val="4C0603E4"/>
    <w:lvl w:ilvl="0" w:tplc="5F9446DE">
      <w:start w:val="1"/>
      <w:numFmt w:val="bullet"/>
      <w:lvlText w:val="-"/>
      <w:lvlJc w:val="left"/>
      <w:pPr>
        <w:ind w:left="720" w:hanging="360"/>
      </w:pPr>
      <w:rPr>
        <w:rFonts w:ascii="Courier" w:hAnsi="Courier"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30C68F7"/>
    <w:multiLevelType w:val="hybridMultilevel"/>
    <w:tmpl w:val="EAB0E604"/>
    <w:lvl w:ilvl="0" w:tplc="BFBC3926">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68E0619"/>
    <w:multiLevelType w:val="hybridMultilevel"/>
    <w:tmpl w:val="5E36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6B54B8C"/>
    <w:multiLevelType w:val="hybridMultilevel"/>
    <w:tmpl w:val="4BCE8CCC"/>
    <w:lvl w:ilvl="0" w:tplc="C4600C5E">
      <w:start w:val="1"/>
      <w:numFmt w:val="decimal"/>
      <w:lvlText w:val="%1."/>
      <w:lvlJc w:val="left"/>
      <w:pPr>
        <w:ind w:left="644" w:hanging="360"/>
      </w:pPr>
    </w:lvl>
    <w:lvl w:ilvl="1" w:tplc="E8800802">
      <w:start w:val="1"/>
      <w:numFmt w:val="lowerLetter"/>
      <w:lvlText w:val="%2."/>
      <w:lvlJc w:val="left"/>
      <w:pPr>
        <w:ind w:left="1364" w:hanging="360"/>
      </w:pPr>
    </w:lvl>
    <w:lvl w:ilvl="2" w:tplc="85605320">
      <w:start w:val="1"/>
      <w:numFmt w:val="lowerRoman"/>
      <w:lvlText w:val="%3."/>
      <w:lvlJc w:val="right"/>
      <w:pPr>
        <w:ind w:left="2084" w:hanging="180"/>
      </w:pPr>
    </w:lvl>
    <w:lvl w:ilvl="3" w:tplc="8DA2F316">
      <w:start w:val="1"/>
      <w:numFmt w:val="decimal"/>
      <w:lvlText w:val="%4."/>
      <w:lvlJc w:val="left"/>
      <w:pPr>
        <w:ind w:left="2804" w:hanging="360"/>
      </w:pPr>
    </w:lvl>
    <w:lvl w:ilvl="4" w:tplc="18468208" w:tentative="1">
      <w:start w:val="1"/>
      <w:numFmt w:val="lowerLetter"/>
      <w:lvlText w:val="%5."/>
      <w:lvlJc w:val="left"/>
      <w:pPr>
        <w:ind w:left="3524" w:hanging="360"/>
      </w:pPr>
    </w:lvl>
    <w:lvl w:ilvl="5" w:tplc="D470802A" w:tentative="1">
      <w:start w:val="1"/>
      <w:numFmt w:val="lowerRoman"/>
      <w:lvlText w:val="%6."/>
      <w:lvlJc w:val="right"/>
      <w:pPr>
        <w:ind w:left="4244" w:hanging="180"/>
      </w:pPr>
    </w:lvl>
    <w:lvl w:ilvl="6" w:tplc="518840D8" w:tentative="1">
      <w:start w:val="1"/>
      <w:numFmt w:val="decimal"/>
      <w:lvlText w:val="%7."/>
      <w:lvlJc w:val="left"/>
      <w:pPr>
        <w:ind w:left="4964" w:hanging="360"/>
      </w:pPr>
    </w:lvl>
    <w:lvl w:ilvl="7" w:tplc="F85C8670" w:tentative="1">
      <w:start w:val="1"/>
      <w:numFmt w:val="lowerLetter"/>
      <w:lvlText w:val="%8."/>
      <w:lvlJc w:val="left"/>
      <w:pPr>
        <w:ind w:left="5684" w:hanging="360"/>
      </w:pPr>
    </w:lvl>
    <w:lvl w:ilvl="8" w:tplc="1CA8AD22" w:tentative="1">
      <w:start w:val="1"/>
      <w:numFmt w:val="lowerRoman"/>
      <w:lvlText w:val="%9."/>
      <w:lvlJc w:val="right"/>
      <w:pPr>
        <w:ind w:left="6404" w:hanging="180"/>
      </w:pPr>
    </w:lvl>
  </w:abstractNum>
  <w:abstractNum w:abstractNumId="11">
    <w:nsid w:val="187168A3"/>
    <w:multiLevelType w:val="hybridMultilevel"/>
    <w:tmpl w:val="48E4E7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2C2D7B"/>
    <w:multiLevelType w:val="hybridMultilevel"/>
    <w:tmpl w:val="2AC8B27C"/>
    <w:lvl w:ilvl="0" w:tplc="5F9446DE">
      <w:start w:val="1"/>
      <w:numFmt w:val="bullet"/>
      <w:lvlText w:val="-"/>
      <w:lvlJc w:val="left"/>
      <w:pPr>
        <w:ind w:left="720" w:hanging="360"/>
      </w:pPr>
      <w:rPr>
        <w:rFonts w:ascii="Courier" w:hAnsi="Courier"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C75256"/>
    <w:multiLevelType w:val="hybridMultilevel"/>
    <w:tmpl w:val="332A32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BCF57AC"/>
    <w:multiLevelType w:val="hybridMultilevel"/>
    <w:tmpl w:val="977038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6">
    <w:nsid w:val="32BC2695"/>
    <w:multiLevelType w:val="hybridMultilevel"/>
    <w:tmpl w:val="47DA0408"/>
    <w:lvl w:ilvl="0" w:tplc="5964DEDC">
      <w:numFmt w:val="bullet"/>
      <w:lvlText w:val="•"/>
      <w:lvlJc w:val="left"/>
      <w:pPr>
        <w:ind w:left="720" w:hanging="360"/>
      </w:pPr>
      <w:rPr>
        <w:rFonts w:ascii="Cambria" w:eastAsia="Times New Roman"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AC02909"/>
    <w:multiLevelType w:val="hybridMultilevel"/>
    <w:tmpl w:val="A4E21B0E"/>
    <w:lvl w:ilvl="0" w:tplc="3B76980A">
      <w:start w:val="1"/>
      <w:numFmt w:val="bullet"/>
      <w:pStyle w:val="Bullet2"/>
      <w:lvlText w:val="-"/>
      <w:lvlJc w:val="left"/>
      <w:pPr>
        <w:tabs>
          <w:tab w:val="num" w:pos="283"/>
        </w:tabs>
        <w:ind w:left="283"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8">
    <w:nsid w:val="3CF07F46"/>
    <w:multiLevelType w:val="hybridMultilevel"/>
    <w:tmpl w:val="42B0B25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43B6F1B"/>
    <w:multiLevelType w:val="hybridMultilevel"/>
    <w:tmpl w:val="6C8CD19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353"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1157E0F"/>
    <w:multiLevelType w:val="hybridMultilevel"/>
    <w:tmpl w:val="2FBCBF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7636FAD"/>
    <w:multiLevelType w:val="hybridMultilevel"/>
    <w:tmpl w:val="443C018E"/>
    <w:lvl w:ilvl="0" w:tplc="8FE031B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6"/>
  </w:num>
  <w:num w:numId="17">
    <w:abstractNumId w:val="6"/>
  </w:num>
  <w:num w:numId="18">
    <w:abstractNumId w:val="6"/>
  </w:num>
  <w:num w:numId="19">
    <w:abstractNumId w:val="9"/>
  </w:num>
  <w:num w:numId="20">
    <w:abstractNumId w:val="9"/>
  </w:num>
  <w:num w:numId="21">
    <w:abstractNumId w:val="9"/>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3"/>
  </w:num>
  <w:num w:numId="28">
    <w:abstractNumId w:val="15"/>
  </w:num>
  <w:num w:numId="29">
    <w:abstractNumId w:val="17"/>
  </w:num>
  <w:num w:numId="30">
    <w:abstractNumId w:val="7"/>
  </w:num>
  <w:num w:numId="31">
    <w:abstractNumId w:val="10"/>
  </w:num>
  <w:num w:numId="32">
    <w:abstractNumId w:val="14"/>
  </w:num>
  <w:num w:numId="33">
    <w:abstractNumId w:val="16"/>
  </w:num>
  <w:num w:numId="34">
    <w:abstractNumId w:val="5"/>
  </w:num>
  <w:num w:numId="35">
    <w:abstractNumId w:val="12"/>
  </w:num>
  <w:num w:numId="36">
    <w:abstractNumId w:val="4"/>
  </w:num>
  <w:num w:numId="37">
    <w:abstractNumId w:val="20"/>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8"/>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21"/>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9C"/>
    <w:rsid w:val="00002031"/>
    <w:rsid w:val="00004734"/>
    <w:rsid w:val="00006B22"/>
    <w:rsid w:val="0000761A"/>
    <w:rsid w:val="0001276A"/>
    <w:rsid w:val="000246AE"/>
    <w:rsid w:val="00025C67"/>
    <w:rsid w:val="00033FCC"/>
    <w:rsid w:val="00035106"/>
    <w:rsid w:val="00035A8E"/>
    <w:rsid w:val="00036B9A"/>
    <w:rsid w:val="00040C1C"/>
    <w:rsid w:val="00042563"/>
    <w:rsid w:val="000431E0"/>
    <w:rsid w:val="00044772"/>
    <w:rsid w:val="00054326"/>
    <w:rsid w:val="0005559E"/>
    <w:rsid w:val="000604D6"/>
    <w:rsid w:val="00063060"/>
    <w:rsid w:val="000646F7"/>
    <w:rsid w:val="00067025"/>
    <w:rsid w:val="00072001"/>
    <w:rsid w:val="000726A5"/>
    <w:rsid w:val="000734D8"/>
    <w:rsid w:val="0007476C"/>
    <w:rsid w:val="00077775"/>
    <w:rsid w:val="00087162"/>
    <w:rsid w:val="000901F0"/>
    <w:rsid w:val="00090471"/>
    <w:rsid w:val="000909A2"/>
    <w:rsid w:val="00096AA7"/>
    <w:rsid w:val="000A3AED"/>
    <w:rsid w:val="000A7768"/>
    <w:rsid w:val="000B080A"/>
    <w:rsid w:val="000B3532"/>
    <w:rsid w:val="000B3A75"/>
    <w:rsid w:val="000C690F"/>
    <w:rsid w:val="000D1295"/>
    <w:rsid w:val="000D391B"/>
    <w:rsid w:val="000D3D6D"/>
    <w:rsid w:val="000D4FC7"/>
    <w:rsid w:val="000D5BB9"/>
    <w:rsid w:val="000F4869"/>
    <w:rsid w:val="000F5B42"/>
    <w:rsid w:val="000F6E6F"/>
    <w:rsid w:val="0010601F"/>
    <w:rsid w:val="0010788A"/>
    <w:rsid w:val="001078A8"/>
    <w:rsid w:val="00107A31"/>
    <w:rsid w:val="00110EA5"/>
    <w:rsid w:val="00112F56"/>
    <w:rsid w:val="0011632F"/>
    <w:rsid w:val="001249B8"/>
    <w:rsid w:val="00125318"/>
    <w:rsid w:val="001305A2"/>
    <w:rsid w:val="00131616"/>
    <w:rsid w:val="00131BE0"/>
    <w:rsid w:val="001329F2"/>
    <w:rsid w:val="00133238"/>
    <w:rsid w:val="00140058"/>
    <w:rsid w:val="0014197B"/>
    <w:rsid w:val="001432D7"/>
    <w:rsid w:val="001432F2"/>
    <w:rsid w:val="001447CD"/>
    <w:rsid w:val="00150D96"/>
    <w:rsid w:val="001516B1"/>
    <w:rsid w:val="0015208A"/>
    <w:rsid w:val="00154EBB"/>
    <w:rsid w:val="00155112"/>
    <w:rsid w:val="00156316"/>
    <w:rsid w:val="0015724B"/>
    <w:rsid w:val="00162D14"/>
    <w:rsid w:val="00165389"/>
    <w:rsid w:val="00166E94"/>
    <w:rsid w:val="0017693F"/>
    <w:rsid w:val="0018110E"/>
    <w:rsid w:val="00181684"/>
    <w:rsid w:val="001836B4"/>
    <w:rsid w:val="001843C6"/>
    <w:rsid w:val="001850E0"/>
    <w:rsid w:val="001870F8"/>
    <w:rsid w:val="00192E0E"/>
    <w:rsid w:val="00193AA6"/>
    <w:rsid w:val="001A15B9"/>
    <w:rsid w:val="001A181C"/>
    <w:rsid w:val="001A2158"/>
    <w:rsid w:val="001A34E4"/>
    <w:rsid w:val="001A51DA"/>
    <w:rsid w:val="001A525F"/>
    <w:rsid w:val="001B09F9"/>
    <w:rsid w:val="001B5C90"/>
    <w:rsid w:val="001B6448"/>
    <w:rsid w:val="001B68EF"/>
    <w:rsid w:val="001C32CD"/>
    <w:rsid w:val="001C5E5F"/>
    <w:rsid w:val="001C65A9"/>
    <w:rsid w:val="001D2984"/>
    <w:rsid w:val="001D3688"/>
    <w:rsid w:val="001D5293"/>
    <w:rsid w:val="001D7582"/>
    <w:rsid w:val="001E07CF"/>
    <w:rsid w:val="001E59F1"/>
    <w:rsid w:val="001F0551"/>
    <w:rsid w:val="001F49EB"/>
    <w:rsid w:val="001F6CBA"/>
    <w:rsid w:val="00201D4E"/>
    <w:rsid w:val="00202D1D"/>
    <w:rsid w:val="00202FF5"/>
    <w:rsid w:val="0020355D"/>
    <w:rsid w:val="002076C9"/>
    <w:rsid w:val="00211C26"/>
    <w:rsid w:val="00220B8A"/>
    <w:rsid w:val="002257F3"/>
    <w:rsid w:val="00233456"/>
    <w:rsid w:val="002339A5"/>
    <w:rsid w:val="00241890"/>
    <w:rsid w:val="00245C51"/>
    <w:rsid w:val="0025468F"/>
    <w:rsid w:val="00257848"/>
    <w:rsid w:val="0026102E"/>
    <w:rsid w:val="0027084A"/>
    <w:rsid w:val="00271234"/>
    <w:rsid w:val="002835ED"/>
    <w:rsid w:val="002848DD"/>
    <w:rsid w:val="00286434"/>
    <w:rsid w:val="00286C59"/>
    <w:rsid w:val="00291957"/>
    <w:rsid w:val="002942D1"/>
    <w:rsid w:val="0029501A"/>
    <w:rsid w:val="002B1638"/>
    <w:rsid w:val="002B1D37"/>
    <w:rsid w:val="002B3624"/>
    <w:rsid w:val="002D0C23"/>
    <w:rsid w:val="002D26DD"/>
    <w:rsid w:val="002E254E"/>
    <w:rsid w:val="002E40B3"/>
    <w:rsid w:val="002E48CB"/>
    <w:rsid w:val="002E4C9A"/>
    <w:rsid w:val="002F11F8"/>
    <w:rsid w:val="002F3F56"/>
    <w:rsid w:val="002F44B5"/>
    <w:rsid w:val="00304B22"/>
    <w:rsid w:val="00311AC0"/>
    <w:rsid w:val="00322C41"/>
    <w:rsid w:val="0032583B"/>
    <w:rsid w:val="00325E22"/>
    <w:rsid w:val="00326D97"/>
    <w:rsid w:val="00327883"/>
    <w:rsid w:val="003316FF"/>
    <w:rsid w:val="00333720"/>
    <w:rsid w:val="00335504"/>
    <w:rsid w:val="0034370B"/>
    <w:rsid w:val="00347824"/>
    <w:rsid w:val="00350567"/>
    <w:rsid w:val="003521E8"/>
    <w:rsid w:val="00357DFC"/>
    <w:rsid w:val="00363387"/>
    <w:rsid w:val="00364E60"/>
    <w:rsid w:val="0036600D"/>
    <w:rsid w:val="00366882"/>
    <w:rsid w:val="003728F3"/>
    <w:rsid w:val="0037496E"/>
    <w:rsid w:val="00386150"/>
    <w:rsid w:val="003874CE"/>
    <w:rsid w:val="00390900"/>
    <w:rsid w:val="003A7F6C"/>
    <w:rsid w:val="003B2284"/>
    <w:rsid w:val="003B4D60"/>
    <w:rsid w:val="003B7E39"/>
    <w:rsid w:val="003C58DC"/>
    <w:rsid w:val="003C5C18"/>
    <w:rsid w:val="003C61F0"/>
    <w:rsid w:val="003D1E62"/>
    <w:rsid w:val="003E2486"/>
    <w:rsid w:val="003E26C3"/>
    <w:rsid w:val="003E3208"/>
    <w:rsid w:val="003E3A3E"/>
    <w:rsid w:val="003F0B04"/>
    <w:rsid w:val="003F53E1"/>
    <w:rsid w:val="0040134E"/>
    <w:rsid w:val="00413C78"/>
    <w:rsid w:val="00426093"/>
    <w:rsid w:val="004334C7"/>
    <w:rsid w:val="00440A2D"/>
    <w:rsid w:val="00441B15"/>
    <w:rsid w:val="00455239"/>
    <w:rsid w:val="004564A7"/>
    <w:rsid w:val="004617BF"/>
    <w:rsid w:val="0046222E"/>
    <w:rsid w:val="00463658"/>
    <w:rsid w:val="00470652"/>
    <w:rsid w:val="00470812"/>
    <w:rsid w:val="004722CC"/>
    <w:rsid w:val="00473FF5"/>
    <w:rsid w:val="0047424C"/>
    <w:rsid w:val="004936E4"/>
    <w:rsid w:val="00494E60"/>
    <w:rsid w:val="00497487"/>
    <w:rsid w:val="004A14DF"/>
    <w:rsid w:val="004A7390"/>
    <w:rsid w:val="004B7B76"/>
    <w:rsid w:val="004C239D"/>
    <w:rsid w:val="004C2DCA"/>
    <w:rsid w:val="004C782F"/>
    <w:rsid w:val="004D253D"/>
    <w:rsid w:val="004E581F"/>
    <w:rsid w:val="004F0C4A"/>
    <w:rsid w:val="004F0F38"/>
    <w:rsid w:val="00501921"/>
    <w:rsid w:val="005021FC"/>
    <w:rsid w:val="00505DF4"/>
    <w:rsid w:val="00523C21"/>
    <w:rsid w:val="00525DBA"/>
    <w:rsid w:val="0052776D"/>
    <w:rsid w:val="00530354"/>
    <w:rsid w:val="0053625B"/>
    <w:rsid w:val="005434C6"/>
    <w:rsid w:val="00543B39"/>
    <w:rsid w:val="00546154"/>
    <w:rsid w:val="00550096"/>
    <w:rsid w:val="00555280"/>
    <w:rsid w:val="00557FF9"/>
    <w:rsid w:val="005642A1"/>
    <w:rsid w:val="00571782"/>
    <w:rsid w:val="00576378"/>
    <w:rsid w:val="00577130"/>
    <w:rsid w:val="00577945"/>
    <w:rsid w:val="00577E38"/>
    <w:rsid w:val="00585322"/>
    <w:rsid w:val="005857C6"/>
    <w:rsid w:val="00587986"/>
    <w:rsid w:val="00592F6E"/>
    <w:rsid w:val="00593210"/>
    <w:rsid w:val="00593AD1"/>
    <w:rsid w:val="005A3B19"/>
    <w:rsid w:val="005A4A1E"/>
    <w:rsid w:val="005A68B6"/>
    <w:rsid w:val="005B5D39"/>
    <w:rsid w:val="005C5570"/>
    <w:rsid w:val="005C6003"/>
    <w:rsid w:val="005C779C"/>
    <w:rsid w:val="005C79A4"/>
    <w:rsid w:val="005D45B4"/>
    <w:rsid w:val="005D5442"/>
    <w:rsid w:val="005E3E99"/>
    <w:rsid w:val="005E6202"/>
    <w:rsid w:val="005F71EE"/>
    <w:rsid w:val="00603F32"/>
    <w:rsid w:val="00605AD4"/>
    <w:rsid w:val="00611213"/>
    <w:rsid w:val="00617F96"/>
    <w:rsid w:val="006214F5"/>
    <w:rsid w:val="0062360A"/>
    <w:rsid w:val="0062434D"/>
    <w:rsid w:val="00625A6E"/>
    <w:rsid w:val="00627394"/>
    <w:rsid w:val="006300AA"/>
    <w:rsid w:val="006307ED"/>
    <w:rsid w:val="006309FD"/>
    <w:rsid w:val="00632398"/>
    <w:rsid w:val="00636AE8"/>
    <w:rsid w:val="00640FC3"/>
    <w:rsid w:val="00642020"/>
    <w:rsid w:val="0065337B"/>
    <w:rsid w:val="0065419D"/>
    <w:rsid w:val="006604D8"/>
    <w:rsid w:val="00662926"/>
    <w:rsid w:val="00663030"/>
    <w:rsid w:val="00663348"/>
    <w:rsid w:val="00664A5B"/>
    <w:rsid w:val="00665804"/>
    <w:rsid w:val="00665F88"/>
    <w:rsid w:val="0066627F"/>
    <w:rsid w:val="006744B8"/>
    <w:rsid w:val="006763D2"/>
    <w:rsid w:val="00680C08"/>
    <w:rsid w:val="00680D92"/>
    <w:rsid w:val="006931B1"/>
    <w:rsid w:val="006961EE"/>
    <w:rsid w:val="006A15C0"/>
    <w:rsid w:val="006A23E6"/>
    <w:rsid w:val="006B3937"/>
    <w:rsid w:val="006B5D4C"/>
    <w:rsid w:val="006C2DA2"/>
    <w:rsid w:val="006C3E2A"/>
    <w:rsid w:val="006C642F"/>
    <w:rsid w:val="006C7A7E"/>
    <w:rsid w:val="006D03E5"/>
    <w:rsid w:val="006D5D3E"/>
    <w:rsid w:val="006D60A7"/>
    <w:rsid w:val="006E08B3"/>
    <w:rsid w:val="006F1757"/>
    <w:rsid w:val="006F17AC"/>
    <w:rsid w:val="006F25B8"/>
    <w:rsid w:val="006F3729"/>
    <w:rsid w:val="006F398C"/>
    <w:rsid w:val="006F572E"/>
    <w:rsid w:val="006F603F"/>
    <w:rsid w:val="00704180"/>
    <w:rsid w:val="007046D6"/>
    <w:rsid w:val="007058B7"/>
    <w:rsid w:val="00705DB0"/>
    <w:rsid w:val="00714455"/>
    <w:rsid w:val="0071589A"/>
    <w:rsid w:val="00722B57"/>
    <w:rsid w:val="007247CF"/>
    <w:rsid w:val="007279C4"/>
    <w:rsid w:val="00730F8A"/>
    <w:rsid w:val="00735A24"/>
    <w:rsid w:val="0074253D"/>
    <w:rsid w:val="0074429B"/>
    <w:rsid w:val="0074684D"/>
    <w:rsid w:val="0075059F"/>
    <w:rsid w:val="007615BC"/>
    <w:rsid w:val="00762F05"/>
    <w:rsid w:val="007652FF"/>
    <w:rsid w:val="00770EF1"/>
    <w:rsid w:val="00773EF7"/>
    <w:rsid w:val="00774E1D"/>
    <w:rsid w:val="0077675A"/>
    <w:rsid w:val="00780355"/>
    <w:rsid w:val="007819FD"/>
    <w:rsid w:val="00781ED1"/>
    <w:rsid w:val="00782A26"/>
    <w:rsid w:val="00784B94"/>
    <w:rsid w:val="00785721"/>
    <w:rsid w:val="00793A59"/>
    <w:rsid w:val="00797A6F"/>
    <w:rsid w:val="007A00FD"/>
    <w:rsid w:val="007A4F9F"/>
    <w:rsid w:val="007A6C1D"/>
    <w:rsid w:val="007B2FD0"/>
    <w:rsid w:val="007B6132"/>
    <w:rsid w:val="007B6E9F"/>
    <w:rsid w:val="007C1216"/>
    <w:rsid w:val="007C1AF7"/>
    <w:rsid w:val="007C2E65"/>
    <w:rsid w:val="007C5C01"/>
    <w:rsid w:val="007C655E"/>
    <w:rsid w:val="007D3138"/>
    <w:rsid w:val="007E45CF"/>
    <w:rsid w:val="007F3918"/>
    <w:rsid w:val="007F5E31"/>
    <w:rsid w:val="007F7532"/>
    <w:rsid w:val="00800A35"/>
    <w:rsid w:val="0080490A"/>
    <w:rsid w:val="00805D27"/>
    <w:rsid w:val="00812D9C"/>
    <w:rsid w:val="00821776"/>
    <w:rsid w:val="008319E8"/>
    <w:rsid w:val="008321F5"/>
    <w:rsid w:val="00832369"/>
    <w:rsid w:val="00834660"/>
    <w:rsid w:val="00836BC2"/>
    <w:rsid w:val="00842325"/>
    <w:rsid w:val="008466EB"/>
    <w:rsid w:val="0085156D"/>
    <w:rsid w:val="008516DC"/>
    <w:rsid w:val="0085641B"/>
    <w:rsid w:val="00857136"/>
    <w:rsid w:val="008574CC"/>
    <w:rsid w:val="00857F3C"/>
    <w:rsid w:val="00862C86"/>
    <w:rsid w:val="008725B9"/>
    <w:rsid w:val="008740E8"/>
    <w:rsid w:val="008755B7"/>
    <w:rsid w:val="00875D5F"/>
    <w:rsid w:val="00885B11"/>
    <w:rsid w:val="00886D15"/>
    <w:rsid w:val="00887DD8"/>
    <w:rsid w:val="00896018"/>
    <w:rsid w:val="008960DD"/>
    <w:rsid w:val="0089635C"/>
    <w:rsid w:val="008A2B4B"/>
    <w:rsid w:val="008A2B9D"/>
    <w:rsid w:val="008A3D9F"/>
    <w:rsid w:val="008A5089"/>
    <w:rsid w:val="008A5E0B"/>
    <w:rsid w:val="008A6D59"/>
    <w:rsid w:val="008B4B03"/>
    <w:rsid w:val="008B596F"/>
    <w:rsid w:val="008C159F"/>
    <w:rsid w:val="008C1623"/>
    <w:rsid w:val="008C1850"/>
    <w:rsid w:val="008C51A9"/>
    <w:rsid w:val="008D0214"/>
    <w:rsid w:val="008D77C3"/>
    <w:rsid w:val="008E566A"/>
    <w:rsid w:val="008E7846"/>
    <w:rsid w:val="008F1CCC"/>
    <w:rsid w:val="008F28CB"/>
    <w:rsid w:val="008F2967"/>
    <w:rsid w:val="008F29A0"/>
    <w:rsid w:val="008F6943"/>
    <w:rsid w:val="00902A21"/>
    <w:rsid w:val="00920330"/>
    <w:rsid w:val="009219D7"/>
    <w:rsid w:val="00922D53"/>
    <w:rsid w:val="00923B70"/>
    <w:rsid w:val="0092402D"/>
    <w:rsid w:val="00924482"/>
    <w:rsid w:val="00930237"/>
    <w:rsid w:val="00936442"/>
    <w:rsid w:val="00940A89"/>
    <w:rsid w:val="00942CF8"/>
    <w:rsid w:val="00946EA5"/>
    <w:rsid w:val="00962B66"/>
    <w:rsid w:val="00963C08"/>
    <w:rsid w:val="00967DA5"/>
    <w:rsid w:val="00977313"/>
    <w:rsid w:val="009855C2"/>
    <w:rsid w:val="0098585A"/>
    <w:rsid w:val="00985F2F"/>
    <w:rsid w:val="0099186F"/>
    <w:rsid w:val="00995347"/>
    <w:rsid w:val="009A4CED"/>
    <w:rsid w:val="009A6879"/>
    <w:rsid w:val="009A690D"/>
    <w:rsid w:val="009A6DFA"/>
    <w:rsid w:val="009B0254"/>
    <w:rsid w:val="009B1D12"/>
    <w:rsid w:val="009B416B"/>
    <w:rsid w:val="009B63B8"/>
    <w:rsid w:val="009B7A5A"/>
    <w:rsid w:val="009C4BD5"/>
    <w:rsid w:val="009D7B77"/>
    <w:rsid w:val="009E0BB0"/>
    <w:rsid w:val="009E3FBB"/>
    <w:rsid w:val="009E4B8A"/>
    <w:rsid w:val="009F06FC"/>
    <w:rsid w:val="009F19AD"/>
    <w:rsid w:val="00A102E4"/>
    <w:rsid w:val="00A12C42"/>
    <w:rsid w:val="00A14DF7"/>
    <w:rsid w:val="00A167FA"/>
    <w:rsid w:val="00A25419"/>
    <w:rsid w:val="00A3246D"/>
    <w:rsid w:val="00A35ABE"/>
    <w:rsid w:val="00A36FA7"/>
    <w:rsid w:val="00A37B25"/>
    <w:rsid w:val="00A425B5"/>
    <w:rsid w:val="00A44DDB"/>
    <w:rsid w:val="00A475B7"/>
    <w:rsid w:val="00A47AF7"/>
    <w:rsid w:val="00A47C3E"/>
    <w:rsid w:val="00A50226"/>
    <w:rsid w:val="00A60BAD"/>
    <w:rsid w:val="00A65CA9"/>
    <w:rsid w:val="00A70ACF"/>
    <w:rsid w:val="00A71E3B"/>
    <w:rsid w:val="00A737CC"/>
    <w:rsid w:val="00A84E36"/>
    <w:rsid w:val="00A90D17"/>
    <w:rsid w:val="00A91D0E"/>
    <w:rsid w:val="00A91FF2"/>
    <w:rsid w:val="00A964D1"/>
    <w:rsid w:val="00A96711"/>
    <w:rsid w:val="00A97AC5"/>
    <w:rsid w:val="00AA0ED0"/>
    <w:rsid w:val="00AA11BF"/>
    <w:rsid w:val="00AA1AB5"/>
    <w:rsid w:val="00AA4341"/>
    <w:rsid w:val="00AC12BA"/>
    <w:rsid w:val="00AC15D3"/>
    <w:rsid w:val="00AC2B40"/>
    <w:rsid w:val="00AC2BB2"/>
    <w:rsid w:val="00AC2C3C"/>
    <w:rsid w:val="00AC335C"/>
    <w:rsid w:val="00AC512D"/>
    <w:rsid w:val="00AD0083"/>
    <w:rsid w:val="00AD2BB3"/>
    <w:rsid w:val="00AD3935"/>
    <w:rsid w:val="00AD5428"/>
    <w:rsid w:val="00AE65EB"/>
    <w:rsid w:val="00AE67A7"/>
    <w:rsid w:val="00AF058E"/>
    <w:rsid w:val="00AF1D94"/>
    <w:rsid w:val="00AF458D"/>
    <w:rsid w:val="00AF51A8"/>
    <w:rsid w:val="00AF60C5"/>
    <w:rsid w:val="00B009C6"/>
    <w:rsid w:val="00B01548"/>
    <w:rsid w:val="00B21D29"/>
    <w:rsid w:val="00B25034"/>
    <w:rsid w:val="00B25F0D"/>
    <w:rsid w:val="00B271D4"/>
    <w:rsid w:val="00B33588"/>
    <w:rsid w:val="00B33863"/>
    <w:rsid w:val="00B33AE9"/>
    <w:rsid w:val="00B37527"/>
    <w:rsid w:val="00B37D17"/>
    <w:rsid w:val="00B4175E"/>
    <w:rsid w:val="00B452CE"/>
    <w:rsid w:val="00B46C73"/>
    <w:rsid w:val="00B46F6B"/>
    <w:rsid w:val="00B54C25"/>
    <w:rsid w:val="00B57024"/>
    <w:rsid w:val="00B71130"/>
    <w:rsid w:val="00B76B91"/>
    <w:rsid w:val="00B77EB1"/>
    <w:rsid w:val="00B811C6"/>
    <w:rsid w:val="00B82335"/>
    <w:rsid w:val="00B832DB"/>
    <w:rsid w:val="00B855B0"/>
    <w:rsid w:val="00B92E08"/>
    <w:rsid w:val="00BA3FF6"/>
    <w:rsid w:val="00BA754B"/>
    <w:rsid w:val="00BB3308"/>
    <w:rsid w:val="00BB649B"/>
    <w:rsid w:val="00BC622A"/>
    <w:rsid w:val="00BE0A78"/>
    <w:rsid w:val="00BE0F74"/>
    <w:rsid w:val="00BE5B6B"/>
    <w:rsid w:val="00BE79F0"/>
    <w:rsid w:val="00BF046D"/>
    <w:rsid w:val="00BF1190"/>
    <w:rsid w:val="00BF1A67"/>
    <w:rsid w:val="00BF1A79"/>
    <w:rsid w:val="00BF3EEA"/>
    <w:rsid w:val="00BF5D04"/>
    <w:rsid w:val="00BF676E"/>
    <w:rsid w:val="00C1164D"/>
    <w:rsid w:val="00C16629"/>
    <w:rsid w:val="00C16861"/>
    <w:rsid w:val="00C25CE8"/>
    <w:rsid w:val="00C261A7"/>
    <w:rsid w:val="00C31BF0"/>
    <w:rsid w:val="00C34212"/>
    <w:rsid w:val="00C402D7"/>
    <w:rsid w:val="00C404A6"/>
    <w:rsid w:val="00C40A36"/>
    <w:rsid w:val="00C44419"/>
    <w:rsid w:val="00C45E7B"/>
    <w:rsid w:val="00C471B1"/>
    <w:rsid w:val="00C6316B"/>
    <w:rsid w:val="00C634A9"/>
    <w:rsid w:val="00C64586"/>
    <w:rsid w:val="00C70D53"/>
    <w:rsid w:val="00C73D0B"/>
    <w:rsid w:val="00C7403B"/>
    <w:rsid w:val="00C7611B"/>
    <w:rsid w:val="00C772FF"/>
    <w:rsid w:val="00C80137"/>
    <w:rsid w:val="00C801AF"/>
    <w:rsid w:val="00C80256"/>
    <w:rsid w:val="00C802D1"/>
    <w:rsid w:val="00C843DF"/>
    <w:rsid w:val="00C97058"/>
    <w:rsid w:val="00C9747E"/>
    <w:rsid w:val="00CB6BC0"/>
    <w:rsid w:val="00CB7D86"/>
    <w:rsid w:val="00CC1B7C"/>
    <w:rsid w:val="00CC418A"/>
    <w:rsid w:val="00CC727F"/>
    <w:rsid w:val="00CD54E4"/>
    <w:rsid w:val="00CD641E"/>
    <w:rsid w:val="00CD7A74"/>
    <w:rsid w:val="00CF15C3"/>
    <w:rsid w:val="00CF2B6F"/>
    <w:rsid w:val="00CF589F"/>
    <w:rsid w:val="00CF58B6"/>
    <w:rsid w:val="00D017ED"/>
    <w:rsid w:val="00D040D3"/>
    <w:rsid w:val="00D04C65"/>
    <w:rsid w:val="00D201D2"/>
    <w:rsid w:val="00D224FE"/>
    <w:rsid w:val="00D23139"/>
    <w:rsid w:val="00D30737"/>
    <w:rsid w:val="00D379C9"/>
    <w:rsid w:val="00D422F0"/>
    <w:rsid w:val="00D425BB"/>
    <w:rsid w:val="00D455A5"/>
    <w:rsid w:val="00D463CE"/>
    <w:rsid w:val="00D47AA3"/>
    <w:rsid w:val="00D54D5F"/>
    <w:rsid w:val="00D6493E"/>
    <w:rsid w:val="00D64CFA"/>
    <w:rsid w:val="00D713FD"/>
    <w:rsid w:val="00D7195D"/>
    <w:rsid w:val="00D72F57"/>
    <w:rsid w:val="00D7301E"/>
    <w:rsid w:val="00D83AE1"/>
    <w:rsid w:val="00D855D4"/>
    <w:rsid w:val="00D93466"/>
    <w:rsid w:val="00DA1124"/>
    <w:rsid w:val="00DA5884"/>
    <w:rsid w:val="00DA6CC4"/>
    <w:rsid w:val="00DB4244"/>
    <w:rsid w:val="00DB6124"/>
    <w:rsid w:val="00DB750B"/>
    <w:rsid w:val="00DB75B7"/>
    <w:rsid w:val="00DC25B6"/>
    <w:rsid w:val="00DC5E25"/>
    <w:rsid w:val="00DC6E02"/>
    <w:rsid w:val="00DD432B"/>
    <w:rsid w:val="00DD47A9"/>
    <w:rsid w:val="00DE02AE"/>
    <w:rsid w:val="00DE2760"/>
    <w:rsid w:val="00DE4568"/>
    <w:rsid w:val="00DE57B5"/>
    <w:rsid w:val="00DF1D7F"/>
    <w:rsid w:val="00DF44E3"/>
    <w:rsid w:val="00DF4BE4"/>
    <w:rsid w:val="00DF6714"/>
    <w:rsid w:val="00E00D1E"/>
    <w:rsid w:val="00E02DAC"/>
    <w:rsid w:val="00E02FB4"/>
    <w:rsid w:val="00E03172"/>
    <w:rsid w:val="00E068E9"/>
    <w:rsid w:val="00E131B2"/>
    <w:rsid w:val="00E16BE5"/>
    <w:rsid w:val="00E17938"/>
    <w:rsid w:val="00E20571"/>
    <w:rsid w:val="00E206D7"/>
    <w:rsid w:val="00E235F7"/>
    <w:rsid w:val="00E23659"/>
    <w:rsid w:val="00E239D4"/>
    <w:rsid w:val="00E2588B"/>
    <w:rsid w:val="00E26130"/>
    <w:rsid w:val="00E325E2"/>
    <w:rsid w:val="00E34F5F"/>
    <w:rsid w:val="00E35FD1"/>
    <w:rsid w:val="00E360A2"/>
    <w:rsid w:val="00E40B22"/>
    <w:rsid w:val="00E44ED1"/>
    <w:rsid w:val="00E45619"/>
    <w:rsid w:val="00E4588F"/>
    <w:rsid w:val="00E46DA3"/>
    <w:rsid w:val="00E51BB1"/>
    <w:rsid w:val="00E61A30"/>
    <w:rsid w:val="00E624A5"/>
    <w:rsid w:val="00E7344E"/>
    <w:rsid w:val="00E80544"/>
    <w:rsid w:val="00E94E40"/>
    <w:rsid w:val="00E95863"/>
    <w:rsid w:val="00EA2E25"/>
    <w:rsid w:val="00EB0798"/>
    <w:rsid w:val="00EB40AD"/>
    <w:rsid w:val="00EB586E"/>
    <w:rsid w:val="00EB5FC8"/>
    <w:rsid w:val="00EB6DF4"/>
    <w:rsid w:val="00EC0E8B"/>
    <w:rsid w:val="00EC2690"/>
    <w:rsid w:val="00EC7A85"/>
    <w:rsid w:val="00ED2FF2"/>
    <w:rsid w:val="00ED39A4"/>
    <w:rsid w:val="00ED3CAD"/>
    <w:rsid w:val="00ED5A41"/>
    <w:rsid w:val="00ED7DEF"/>
    <w:rsid w:val="00EE0880"/>
    <w:rsid w:val="00EE1DE8"/>
    <w:rsid w:val="00EE38A2"/>
    <w:rsid w:val="00EE43F2"/>
    <w:rsid w:val="00EF2903"/>
    <w:rsid w:val="00EF72F5"/>
    <w:rsid w:val="00F00AA1"/>
    <w:rsid w:val="00F018FD"/>
    <w:rsid w:val="00F033EC"/>
    <w:rsid w:val="00F04F68"/>
    <w:rsid w:val="00F12670"/>
    <w:rsid w:val="00F14B27"/>
    <w:rsid w:val="00F16A2E"/>
    <w:rsid w:val="00F2434A"/>
    <w:rsid w:val="00F3148D"/>
    <w:rsid w:val="00F325C5"/>
    <w:rsid w:val="00F32FE0"/>
    <w:rsid w:val="00F35298"/>
    <w:rsid w:val="00F47333"/>
    <w:rsid w:val="00F47E37"/>
    <w:rsid w:val="00F516A2"/>
    <w:rsid w:val="00F51FD9"/>
    <w:rsid w:val="00F53C07"/>
    <w:rsid w:val="00F54B65"/>
    <w:rsid w:val="00F6381A"/>
    <w:rsid w:val="00F63C09"/>
    <w:rsid w:val="00F640B6"/>
    <w:rsid w:val="00F644EA"/>
    <w:rsid w:val="00F70BC6"/>
    <w:rsid w:val="00F80E40"/>
    <w:rsid w:val="00F83C2A"/>
    <w:rsid w:val="00F848D9"/>
    <w:rsid w:val="00F85E63"/>
    <w:rsid w:val="00F87F7E"/>
    <w:rsid w:val="00F93E60"/>
    <w:rsid w:val="00F97991"/>
    <w:rsid w:val="00FA1AA0"/>
    <w:rsid w:val="00FA5B82"/>
    <w:rsid w:val="00FA639E"/>
    <w:rsid w:val="00FB13A4"/>
    <w:rsid w:val="00FC236E"/>
    <w:rsid w:val="00FC25E4"/>
    <w:rsid w:val="00FC4EF7"/>
    <w:rsid w:val="00FD0824"/>
    <w:rsid w:val="00FD119B"/>
    <w:rsid w:val="00FE059A"/>
    <w:rsid w:val="00FE1DEE"/>
    <w:rsid w:val="00FE6CFE"/>
    <w:rsid w:val="00FF2126"/>
    <w:rsid w:val="00FF3101"/>
    <w:rsid w:val="00FF4C50"/>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iPriority="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34F5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EndnoteText">
    <w:name w:val="endnote text"/>
    <w:basedOn w:val="Normal"/>
    <w:link w:val="EndnoteTextChar"/>
    <w:uiPriority w:val="99"/>
    <w:semiHidden/>
    <w:unhideWhenUsed/>
    <w:rsid w:val="00F00AA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00AA1"/>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F00AA1"/>
    <w:rPr>
      <w:vertAlign w:val="superscript"/>
    </w:rPr>
  </w:style>
  <w:style w:type="paragraph" w:styleId="NormalWeb">
    <w:name w:val="Normal (Web)"/>
    <w:basedOn w:val="Normal"/>
    <w:unhideWhenUsed/>
    <w:rsid w:val="006B3937"/>
    <w:rPr>
      <w:rFonts w:ascii="Times New Roman" w:hAnsi="Times New Roman"/>
      <w:sz w:val="24"/>
      <w:szCs w:val="24"/>
    </w:rPr>
  </w:style>
  <w:style w:type="paragraph" w:customStyle="1" w:styleId="Bullet1">
    <w:name w:val="Bullet 1"/>
    <w:basedOn w:val="Normal"/>
    <w:rsid w:val="009855C2"/>
    <w:pPr>
      <w:numPr>
        <w:numId w:val="28"/>
      </w:numPr>
      <w:spacing w:after="0" w:line="240" w:lineRule="auto"/>
    </w:pPr>
    <w:rPr>
      <w:rFonts w:eastAsia="Times New Roman"/>
      <w:kern w:val="24"/>
      <w:szCs w:val="24"/>
      <w:lang w:eastAsia="en-AU"/>
    </w:rPr>
  </w:style>
  <w:style w:type="paragraph" w:customStyle="1" w:styleId="Bullet2">
    <w:name w:val="Bullet 2"/>
    <w:basedOn w:val="Bullet1"/>
    <w:rsid w:val="009855C2"/>
    <w:pPr>
      <w:numPr>
        <w:numId w:val="29"/>
      </w:numPr>
    </w:pPr>
  </w:style>
  <w:style w:type="paragraph" w:styleId="ListParagraph">
    <w:name w:val="List Paragraph"/>
    <w:basedOn w:val="Normal"/>
    <w:uiPriority w:val="34"/>
    <w:qFormat/>
    <w:rsid w:val="009855C2"/>
    <w:pPr>
      <w:ind w:left="720"/>
      <w:contextualSpacing/>
    </w:pPr>
  </w:style>
  <w:style w:type="paragraph" w:styleId="HTMLPreformatted">
    <w:name w:val="HTML Preformatted"/>
    <w:basedOn w:val="Normal"/>
    <w:link w:val="HTMLPreformattedChar"/>
    <w:semiHidden/>
    <w:rsid w:val="003B2284"/>
    <w:pPr>
      <w:spacing w:before="0" w:after="0" w:line="240" w:lineRule="auto"/>
    </w:pPr>
    <w:rPr>
      <w:rFonts w:ascii="Courier New" w:eastAsia="Times New Roman" w:hAnsi="Courier New" w:cs="Courier New"/>
      <w:sz w:val="23"/>
      <w:szCs w:val="24"/>
      <w:lang w:eastAsia="en-AU"/>
    </w:rPr>
  </w:style>
  <w:style w:type="character" w:customStyle="1" w:styleId="HTMLPreformattedChar">
    <w:name w:val="HTML Preformatted Char"/>
    <w:basedOn w:val="DefaultParagraphFont"/>
    <w:link w:val="HTMLPreformatted"/>
    <w:semiHidden/>
    <w:rsid w:val="003B2284"/>
    <w:rPr>
      <w:rFonts w:ascii="Courier New" w:eastAsia="Times New Roman" w:hAnsi="Courier New" w:cs="Courier New"/>
      <w:sz w:val="23"/>
      <w:szCs w:val="24"/>
      <w:lang w:eastAsia="en-AU"/>
    </w:rPr>
  </w:style>
  <w:style w:type="paragraph" w:styleId="BodyText">
    <w:name w:val="Body Text"/>
    <w:basedOn w:val="Normal"/>
    <w:link w:val="BodyTextChar"/>
    <w:rsid w:val="001D5293"/>
    <w:pPr>
      <w:spacing w:before="0" w:after="0" w:line="240" w:lineRule="auto"/>
    </w:pPr>
    <w:rPr>
      <w:rFonts w:ascii="Times New Roman" w:eastAsia="Times New Roman" w:hAnsi="Times New Roman"/>
      <w:b/>
      <w:sz w:val="24"/>
      <w:szCs w:val="20"/>
      <w:lang w:eastAsia="en-AU"/>
    </w:rPr>
  </w:style>
  <w:style w:type="character" w:customStyle="1" w:styleId="BodyTextChar">
    <w:name w:val="Body Text Char"/>
    <w:basedOn w:val="DefaultParagraphFont"/>
    <w:link w:val="BodyText"/>
    <w:rsid w:val="001D5293"/>
    <w:rPr>
      <w:rFonts w:ascii="Times New Roman" w:eastAsia="Times New Roman" w:hAnsi="Times New Roman" w:cs="Times New Roman"/>
      <w:b/>
      <w:sz w:val="24"/>
      <w:szCs w:val="20"/>
      <w:lang w:eastAsia="en-AU"/>
    </w:rPr>
  </w:style>
  <w:style w:type="character" w:customStyle="1" w:styleId="TabletextChar">
    <w:name w:val="Table text Char"/>
    <w:basedOn w:val="DefaultParagraphFont"/>
    <w:link w:val="Tabletext"/>
    <w:rsid w:val="00680D92"/>
    <w:rPr>
      <w:rFonts w:ascii="Cambria" w:eastAsia="Cambria" w:hAnsi="Cambria" w:cs="Times New Roman"/>
      <w:sz w:val="19"/>
    </w:rPr>
  </w:style>
  <w:style w:type="paragraph" w:customStyle="1" w:styleId="Standard">
    <w:name w:val="Standard"/>
    <w:basedOn w:val="Normal"/>
    <w:link w:val="StandardChar"/>
    <w:rsid w:val="00EB6DF4"/>
    <w:pPr>
      <w:spacing w:before="0" w:after="240" w:line="240" w:lineRule="auto"/>
    </w:pPr>
    <w:rPr>
      <w:rFonts w:ascii="Times New Roman" w:eastAsia="Times New Roman" w:hAnsi="Times New Roman"/>
      <w:snapToGrid w:val="0"/>
      <w:kern w:val="16"/>
      <w:sz w:val="24"/>
      <w:szCs w:val="24"/>
    </w:rPr>
  </w:style>
  <w:style w:type="character" w:customStyle="1" w:styleId="StandardChar">
    <w:name w:val="Standard Char"/>
    <w:link w:val="Standard"/>
    <w:rsid w:val="00EB6DF4"/>
    <w:rPr>
      <w:rFonts w:ascii="Times New Roman" w:eastAsia="Times New Roman" w:hAnsi="Times New Roman" w:cs="Times New Roman"/>
      <w:snapToGrid w:val="0"/>
      <w:kern w:val="16"/>
      <w:sz w:val="24"/>
      <w:szCs w:val="24"/>
    </w:rPr>
  </w:style>
  <w:style w:type="character" w:styleId="CommentReference">
    <w:name w:val="annotation reference"/>
    <w:basedOn w:val="DefaultParagraphFont"/>
    <w:uiPriority w:val="99"/>
    <w:semiHidden/>
    <w:unhideWhenUsed/>
    <w:rsid w:val="00E94E40"/>
    <w:rPr>
      <w:sz w:val="16"/>
      <w:szCs w:val="16"/>
    </w:rPr>
  </w:style>
  <w:style w:type="paragraph" w:styleId="CommentText">
    <w:name w:val="annotation text"/>
    <w:basedOn w:val="Normal"/>
    <w:link w:val="CommentTextChar"/>
    <w:uiPriority w:val="99"/>
    <w:semiHidden/>
    <w:unhideWhenUsed/>
    <w:rsid w:val="00E94E40"/>
    <w:pPr>
      <w:spacing w:line="240" w:lineRule="auto"/>
    </w:pPr>
    <w:rPr>
      <w:sz w:val="20"/>
      <w:szCs w:val="20"/>
    </w:rPr>
  </w:style>
  <w:style w:type="character" w:customStyle="1" w:styleId="CommentTextChar">
    <w:name w:val="Comment Text Char"/>
    <w:basedOn w:val="DefaultParagraphFont"/>
    <w:link w:val="CommentText"/>
    <w:uiPriority w:val="99"/>
    <w:semiHidden/>
    <w:rsid w:val="00E94E4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94E40"/>
    <w:rPr>
      <w:b/>
      <w:bCs/>
    </w:rPr>
  </w:style>
  <w:style w:type="character" w:customStyle="1" w:styleId="CommentSubjectChar">
    <w:name w:val="Comment Subject Char"/>
    <w:basedOn w:val="CommentTextChar"/>
    <w:link w:val="CommentSubject"/>
    <w:uiPriority w:val="99"/>
    <w:semiHidden/>
    <w:rsid w:val="00E94E40"/>
    <w:rPr>
      <w:rFonts w:ascii="Cambria" w:eastAsia="Cambria" w:hAnsi="Cambria" w:cs="Times New Roman"/>
      <w:b/>
      <w:bCs/>
      <w:sz w:val="20"/>
      <w:szCs w:val="20"/>
    </w:rPr>
  </w:style>
  <w:style w:type="paragraph" w:customStyle="1" w:styleId="Tabletitle0">
    <w:name w:val="Table title"/>
    <w:basedOn w:val="Normal"/>
    <w:next w:val="Normal"/>
    <w:rsid w:val="008466EB"/>
    <w:pPr>
      <w:keepNext/>
      <w:spacing w:after="180"/>
      <w:outlineLvl w:val="4"/>
    </w:pPr>
    <w:rPr>
      <w:rFonts w:cstheme="minorBid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iPriority="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34F5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EndnoteText">
    <w:name w:val="endnote text"/>
    <w:basedOn w:val="Normal"/>
    <w:link w:val="EndnoteTextChar"/>
    <w:uiPriority w:val="99"/>
    <w:semiHidden/>
    <w:unhideWhenUsed/>
    <w:rsid w:val="00F00AA1"/>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00AA1"/>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F00AA1"/>
    <w:rPr>
      <w:vertAlign w:val="superscript"/>
    </w:rPr>
  </w:style>
  <w:style w:type="paragraph" w:styleId="NormalWeb">
    <w:name w:val="Normal (Web)"/>
    <w:basedOn w:val="Normal"/>
    <w:unhideWhenUsed/>
    <w:rsid w:val="006B3937"/>
    <w:rPr>
      <w:rFonts w:ascii="Times New Roman" w:hAnsi="Times New Roman"/>
      <w:sz w:val="24"/>
      <w:szCs w:val="24"/>
    </w:rPr>
  </w:style>
  <w:style w:type="paragraph" w:customStyle="1" w:styleId="Bullet1">
    <w:name w:val="Bullet 1"/>
    <w:basedOn w:val="Normal"/>
    <w:rsid w:val="009855C2"/>
    <w:pPr>
      <w:numPr>
        <w:numId w:val="28"/>
      </w:numPr>
      <w:spacing w:after="0" w:line="240" w:lineRule="auto"/>
    </w:pPr>
    <w:rPr>
      <w:rFonts w:eastAsia="Times New Roman"/>
      <w:kern w:val="24"/>
      <w:szCs w:val="24"/>
      <w:lang w:eastAsia="en-AU"/>
    </w:rPr>
  </w:style>
  <w:style w:type="paragraph" w:customStyle="1" w:styleId="Bullet2">
    <w:name w:val="Bullet 2"/>
    <w:basedOn w:val="Bullet1"/>
    <w:rsid w:val="009855C2"/>
    <w:pPr>
      <w:numPr>
        <w:numId w:val="29"/>
      </w:numPr>
    </w:pPr>
  </w:style>
  <w:style w:type="paragraph" w:styleId="ListParagraph">
    <w:name w:val="List Paragraph"/>
    <w:basedOn w:val="Normal"/>
    <w:uiPriority w:val="34"/>
    <w:qFormat/>
    <w:rsid w:val="009855C2"/>
    <w:pPr>
      <w:ind w:left="720"/>
      <w:contextualSpacing/>
    </w:pPr>
  </w:style>
  <w:style w:type="paragraph" w:styleId="HTMLPreformatted">
    <w:name w:val="HTML Preformatted"/>
    <w:basedOn w:val="Normal"/>
    <w:link w:val="HTMLPreformattedChar"/>
    <w:semiHidden/>
    <w:rsid w:val="003B2284"/>
    <w:pPr>
      <w:spacing w:before="0" w:after="0" w:line="240" w:lineRule="auto"/>
    </w:pPr>
    <w:rPr>
      <w:rFonts w:ascii="Courier New" w:eastAsia="Times New Roman" w:hAnsi="Courier New" w:cs="Courier New"/>
      <w:sz w:val="23"/>
      <w:szCs w:val="24"/>
      <w:lang w:eastAsia="en-AU"/>
    </w:rPr>
  </w:style>
  <w:style w:type="character" w:customStyle="1" w:styleId="HTMLPreformattedChar">
    <w:name w:val="HTML Preformatted Char"/>
    <w:basedOn w:val="DefaultParagraphFont"/>
    <w:link w:val="HTMLPreformatted"/>
    <w:semiHidden/>
    <w:rsid w:val="003B2284"/>
    <w:rPr>
      <w:rFonts w:ascii="Courier New" w:eastAsia="Times New Roman" w:hAnsi="Courier New" w:cs="Courier New"/>
      <w:sz w:val="23"/>
      <w:szCs w:val="24"/>
      <w:lang w:eastAsia="en-AU"/>
    </w:rPr>
  </w:style>
  <w:style w:type="paragraph" w:styleId="BodyText">
    <w:name w:val="Body Text"/>
    <w:basedOn w:val="Normal"/>
    <w:link w:val="BodyTextChar"/>
    <w:rsid w:val="001D5293"/>
    <w:pPr>
      <w:spacing w:before="0" w:after="0" w:line="240" w:lineRule="auto"/>
    </w:pPr>
    <w:rPr>
      <w:rFonts w:ascii="Times New Roman" w:eastAsia="Times New Roman" w:hAnsi="Times New Roman"/>
      <w:b/>
      <w:sz w:val="24"/>
      <w:szCs w:val="20"/>
      <w:lang w:eastAsia="en-AU"/>
    </w:rPr>
  </w:style>
  <w:style w:type="character" w:customStyle="1" w:styleId="BodyTextChar">
    <w:name w:val="Body Text Char"/>
    <w:basedOn w:val="DefaultParagraphFont"/>
    <w:link w:val="BodyText"/>
    <w:rsid w:val="001D5293"/>
    <w:rPr>
      <w:rFonts w:ascii="Times New Roman" w:eastAsia="Times New Roman" w:hAnsi="Times New Roman" w:cs="Times New Roman"/>
      <w:b/>
      <w:sz w:val="24"/>
      <w:szCs w:val="20"/>
      <w:lang w:eastAsia="en-AU"/>
    </w:rPr>
  </w:style>
  <w:style w:type="character" w:customStyle="1" w:styleId="TabletextChar">
    <w:name w:val="Table text Char"/>
    <w:basedOn w:val="DefaultParagraphFont"/>
    <w:link w:val="Tabletext"/>
    <w:rsid w:val="00680D92"/>
    <w:rPr>
      <w:rFonts w:ascii="Cambria" w:eastAsia="Cambria" w:hAnsi="Cambria" w:cs="Times New Roman"/>
      <w:sz w:val="19"/>
    </w:rPr>
  </w:style>
  <w:style w:type="paragraph" w:customStyle="1" w:styleId="Standard">
    <w:name w:val="Standard"/>
    <w:basedOn w:val="Normal"/>
    <w:link w:val="StandardChar"/>
    <w:rsid w:val="00EB6DF4"/>
    <w:pPr>
      <w:spacing w:before="0" w:after="240" w:line="240" w:lineRule="auto"/>
    </w:pPr>
    <w:rPr>
      <w:rFonts w:ascii="Times New Roman" w:eastAsia="Times New Roman" w:hAnsi="Times New Roman"/>
      <w:snapToGrid w:val="0"/>
      <w:kern w:val="16"/>
      <w:sz w:val="24"/>
      <w:szCs w:val="24"/>
    </w:rPr>
  </w:style>
  <w:style w:type="character" w:customStyle="1" w:styleId="StandardChar">
    <w:name w:val="Standard Char"/>
    <w:link w:val="Standard"/>
    <w:rsid w:val="00EB6DF4"/>
    <w:rPr>
      <w:rFonts w:ascii="Times New Roman" w:eastAsia="Times New Roman" w:hAnsi="Times New Roman" w:cs="Times New Roman"/>
      <w:snapToGrid w:val="0"/>
      <w:kern w:val="16"/>
      <w:sz w:val="24"/>
      <w:szCs w:val="24"/>
    </w:rPr>
  </w:style>
  <w:style w:type="character" w:styleId="CommentReference">
    <w:name w:val="annotation reference"/>
    <w:basedOn w:val="DefaultParagraphFont"/>
    <w:uiPriority w:val="99"/>
    <w:semiHidden/>
    <w:unhideWhenUsed/>
    <w:rsid w:val="00E94E40"/>
    <w:rPr>
      <w:sz w:val="16"/>
      <w:szCs w:val="16"/>
    </w:rPr>
  </w:style>
  <w:style w:type="paragraph" w:styleId="CommentText">
    <w:name w:val="annotation text"/>
    <w:basedOn w:val="Normal"/>
    <w:link w:val="CommentTextChar"/>
    <w:uiPriority w:val="99"/>
    <w:semiHidden/>
    <w:unhideWhenUsed/>
    <w:rsid w:val="00E94E40"/>
    <w:pPr>
      <w:spacing w:line="240" w:lineRule="auto"/>
    </w:pPr>
    <w:rPr>
      <w:sz w:val="20"/>
      <w:szCs w:val="20"/>
    </w:rPr>
  </w:style>
  <w:style w:type="character" w:customStyle="1" w:styleId="CommentTextChar">
    <w:name w:val="Comment Text Char"/>
    <w:basedOn w:val="DefaultParagraphFont"/>
    <w:link w:val="CommentText"/>
    <w:uiPriority w:val="99"/>
    <w:semiHidden/>
    <w:rsid w:val="00E94E40"/>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94E40"/>
    <w:rPr>
      <w:b/>
      <w:bCs/>
    </w:rPr>
  </w:style>
  <w:style w:type="character" w:customStyle="1" w:styleId="CommentSubjectChar">
    <w:name w:val="Comment Subject Char"/>
    <w:basedOn w:val="CommentTextChar"/>
    <w:link w:val="CommentSubject"/>
    <w:uiPriority w:val="99"/>
    <w:semiHidden/>
    <w:rsid w:val="00E94E40"/>
    <w:rPr>
      <w:rFonts w:ascii="Cambria" w:eastAsia="Cambria" w:hAnsi="Cambria" w:cs="Times New Roman"/>
      <w:b/>
      <w:bCs/>
      <w:sz w:val="20"/>
      <w:szCs w:val="20"/>
    </w:rPr>
  </w:style>
  <w:style w:type="paragraph" w:customStyle="1" w:styleId="Tabletitle0">
    <w:name w:val="Table title"/>
    <w:basedOn w:val="Normal"/>
    <w:next w:val="Normal"/>
    <w:rsid w:val="008466EB"/>
    <w:pPr>
      <w:keepNext/>
      <w:spacing w:after="180"/>
      <w:outlineLvl w:val="4"/>
    </w:pPr>
    <w:rPr>
      <w:rFonts w:cstheme="min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1664">
      <w:bodyDiv w:val="1"/>
      <w:marLeft w:val="0"/>
      <w:marRight w:val="0"/>
      <w:marTop w:val="0"/>
      <w:marBottom w:val="0"/>
      <w:divBdr>
        <w:top w:val="none" w:sz="0" w:space="0" w:color="auto"/>
        <w:left w:val="none" w:sz="0" w:space="0" w:color="auto"/>
        <w:bottom w:val="none" w:sz="0" w:space="0" w:color="auto"/>
        <w:right w:val="none" w:sz="0" w:space="0" w:color="auto"/>
      </w:divBdr>
    </w:div>
    <w:div w:id="624628810">
      <w:bodyDiv w:val="1"/>
      <w:marLeft w:val="0"/>
      <w:marRight w:val="0"/>
      <w:marTop w:val="0"/>
      <w:marBottom w:val="0"/>
      <w:divBdr>
        <w:top w:val="none" w:sz="0" w:space="0" w:color="auto"/>
        <w:left w:val="none" w:sz="0" w:space="0" w:color="auto"/>
        <w:bottom w:val="none" w:sz="0" w:space="0" w:color="auto"/>
        <w:right w:val="none" w:sz="0" w:space="0" w:color="auto"/>
      </w:divBdr>
    </w:div>
    <w:div w:id="1004240110">
      <w:bodyDiv w:val="1"/>
      <w:marLeft w:val="0"/>
      <w:marRight w:val="0"/>
      <w:marTop w:val="0"/>
      <w:marBottom w:val="0"/>
      <w:divBdr>
        <w:top w:val="none" w:sz="0" w:space="0" w:color="auto"/>
        <w:left w:val="none" w:sz="0" w:space="0" w:color="auto"/>
        <w:bottom w:val="none" w:sz="0" w:space="0" w:color="auto"/>
        <w:right w:val="none" w:sz="0" w:space="0" w:color="auto"/>
      </w:divBdr>
      <w:divsChild>
        <w:div w:id="503083314">
          <w:marLeft w:val="0"/>
          <w:marRight w:val="0"/>
          <w:marTop w:val="0"/>
          <w:marBottom w:val="0"/>
          <w:divBdr>
            <w:top w:val="none" w:sz="0" w:space="0" w:color="auto"/>
            <w:left w:val="none" w:sz="0" w:space="0" w:color="auto"/>
            <w:bottom w:val="none" w:sz="0" w:space="0" w:color="auto"/>
            <w:right w:val="none" w:sz="0" w:space="0" w:color="auto"/>
          </w:divBdr>
          <w:divsChild>
            <w:div w:id="1379207940">
              <w:marLeft w:val="0"/>
              <w:marRight w:val="0"/>
              <w:marTop w:val="0"/>
              <w:marBottom w:val="0"/>
              <w:divBdr>
                <w:top w:val="none" w:sz="0" w:space="0" w:color="auto"/>
                <w:left w:val="none" w:sz="0" w:space="0" w:color="auto"/>
                <w:bottom w:val="none" w:sz="0" w:space="0" w:color="auto"/>
                <w:right w:val="none" w:sz="0" w:space="0" w:color="auto"/>
              </w:divBdr>
              <w:divsChild>
                <w:div w:id="988362084">
                  <w:marLeft w:val="0"/>
                  <w:marRight w:val="0"/>
                  <w:marTop w:val="0"/>
                  <w:marBottom w:val="0"/>
                  <w:divBdr>
                    <w:top w:val="none" w:sz="0" w:space="0" w:color="auto"/>
                    <w:left w:val="none" w:sz="0" w:space="0" w:color="auto"/>
                    <w:bottom w:val="none" w:sz="0" w:space="0" w:color="auto"/>
                    <w:right w:val="none" w:sz="0" w:space="0" w:color="auto"/>
                  </w:divBdr>
                  <w:divsChild>
                    <w:div w:id="1526291847">
                      <w:marLeft w:val="0"/>
                      <w:marRight w:val="0"/>
                      <w:marTop w:val="0"/>
                      <w:marBottom w:val="0"/>
                      <w:divBdr>
                        <w:top w:val="none" w:sz="0" w:space="0" w:color="auto"/>
                        <w:left w:val="none" w:sz="0" w:space="0" w:color="auto"/>
                        <w:bottom w:val="none" w:sz="0" w:space="0" w:color="auto"/>
                        <w:right w:val="none" w:sz="0" w:space="0" w:color="auto"/>
                      </w:divBdr>
                      <w:divsChild>
                        <w:div w:id="952594082">
                          <w:marLeft w:val="0"/>
                          <w:marRight w:val="0"/>
                          <w:marTop w:val="0"/>
                          <w:marBottom w:val="0"/>
                          <w:divBdr>
                            <w:top w:val="none" w:sz="0" w:space="0" w:color="auto"/>
                            <w:left w:val="none" w:sz="0" w:space="0" w:color="auto"/>
                            <w:bottom w:val="none" w:sz="0" w:space="0" w:color="auto"/>
                            <w:right w:val="none" w:sz="0" w:space="0" w:color="auto"/>
                          </w:divBdr>
                          <w:divsChild>
                            <w:div w:id="16007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69222">
      <w:bodyDiv w:val="1"/>
      <w:marLeft w:val="0"/>
      <w:marRight w:val="0"/>
      <w:marTop w:val="0"/>
      <w:marBottom w:val="0"/>
      <w:divBdr>
        <w:top w:val="none" w:sz="0" w:space="0" w:color="auto"/>
        <w:left w:val="none" w:sz="0" w:space="0" w:color="auto"/>
        <w:bottom w:val="none" w:sz="0" w:space="0" w:color="auto"/>
        <w:right w:val="none" w:sz="0" w:space="0" w:color="auto"/>
      </w:divBdr>
      <w:divsChild>
        <w:div w:id="1218280312">
          <w:marLeft w:val="0"/>
          <w:marRight w:val="0"/>
          <w:marTop w:val="0"/>
          <w:marBottom w:val="0"/>
          <w:divBdr>
            <w:top w:val="none" w:sz="0" w:space="0" w:color="auto"/>
            <w:left w:val="none" w:sz="0" w:space="0" w:color="auto"/>
            <w:bottom w:val="none" w:sz="0" w:space="0" w:color="auto"/>
            <w:right w:val="none" w:sz="0" w:space="0" w:color="auto"/>
          </w:divBdr>
          <w:divsChild>
            <w:div w:id="739595979">
              <w:marLeft w:val="0"/>
              <w:marRight w:val="0"/>
              <w:marTop w:val="0"/>
              <w:marBottom w:val="0"/>
              <w:divBdr>
                <w:top w:val="none" w:sz="0" w:space="0" w:color="auto"/>
                <w:left w:val="none" w:sz="0" w:space="0" w:color="auto"/>
                <w:bottom w:val="none" w:sz="0" w:space="0" w:color="auto"/>
                <w:right w:val="none" w:sz="0" w:space="0" w:color="auto"/>
              </w:divBdr>
              <w:divsChild>
                <w:div w:id="1849253922">
                  <w:marLeft w:val="0"/>
                  <w:marRight w:val="0"/>
                  <w:marTop w:val="0"/>
                  <w:marBottom w:val="0"/>
                  <w:divBdr>
                    <w:top w:val="none" w:sz="0" w:space="0" w:color="auto"/>
                    <w:left w:val="none" w:sz="0" w:space="0" w:color="auto"/>
                    <w:bottom w:val="none" w:sz="0" w:space="0" w:color="auto"/>
                    <w:right w:val="none" w:sz="0" w:space="0" w:color="auto"/>
                  </w:divBdr>
                  <w:divsChild>
                    <w:div w:id="945426676">
                      <w:marLeft w:val="0"/>
                      <w:marRight w:val="0"/>
                      <w:marTop w:val="0"/>
                      <w:marBottom w:val="0"/>
                      <w:divBdr>
                        <w:top w:val="none" w:sz="0" w:space="0" w:color="auto"/>
                        <w:left w:val="none" w:sz="0" w:space="0" w:color="auto"/>
                        <w:bottom w:val="none" w:sz="0" w:space="0" w:color="auto"/>
                        <w:right w:val="none" w:sz="0" w:space="0" w:color="auto"/>
                      </w:divBdr>
                      <w:divsChild>
                        <w:div w:id="310987509">
                          <w:marLeft w:val="0"/>
                          <w:marRight w:val="0"/>
                          <w:marTop w:val="0"/>
                          <w:marBottom w:val="0"/>
                          <w:divBdr>
                            <w:top w:val="none" w:sz="0" w:space="0" w:color="auto"/>
                            <w:left w:val="none" w:sz="0" w:space="0" w:color="auto"/>
                            <w:bottom w:val="none" w:sz="0" w:space="0" w:color="auto"/>
                            <w:right w:val="none" w:sz="0" w:space="0" w:color="auto"/>
                          </w:divBdr>
                          <w:divsChild>
                            <w:div w:id="6748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30">
      <w:bodyDiv w:val="1"/>
      <w:marLeft w:val="0"/>
      <w:marRight w:val="0"/>
      <w:marTop w:val="0"/>
      <w:marBottom w:val="0"/>
      <w:divBdr>
        <w:top w:val="none" w:sz="0" w:space="0" w:color="auto"/>
        <w:left w:val="none" w:sz="0" w:space="0" w:color="auto"/>
        <w:bottom w:val="none" w:sz="0" w:space="0" w:color="auto"/>
        <w:right w:val="none" w:sz="0" w:space="0" w:color="auto"/>
      </w:divBdr>
      <w:divsChild>
        <w:div w:id="1350790748">
          <w:marLeft w:val="0"/>
          <w:marRight w:val="0"/>
          <w:marTop w:val="0"/>
          <w:marBottom w:val="0"/>
          <w:divBdr>
            <w:top w:val="none" w:sz="0" w:space="0" w:color="auto"/>
            <w:left w:val="none" w:sz="0" w:space="0" w:color="auto"/>
            <w:bottom w:val="none" w:sz="0" w:space="0" w:color="auto"/>
            <w:right w:val="none" w:sz="0" w:space="0" w:color="auto"/>
          </w:divBdr>
          <w:divsChild>
            <w:div w:id="1227376130">
              <w:marLeft w:val="0"/>
              <w:marRight w:val="0"/>
              <w:marTop w:val="0"/>
              <w:marBottom w:val="0"/>
              <w:divBdr>
                <w:top w:val="none" w:sz="0" w:space="0" w:color="auto"/>
                <w:left w:val="none" w:sz="0" w:space="0" w:color="auto"/>
                <w:bottom w:val="none" w:sz="0" w:space="0" w:color="auto"/>
                <w:right w:val="none" w:sz="0" w:space="0" w:color="auto"/>
              </w:divBdr>
              <w:divsChild>
                <w:div w:id="268591766">
                  <w:marLeft w:val="0"/>
                  <w:marRight w:val="0"/>
                  <w:marTop w:val="0"/>
                  <w:marBottom w:val="0"/>
                  <w:divBdr>
                    <w:top w:val="none" w:sz="0" w:space="0" w:color="auto"/>
                    <w:left w:val="none" w:sz="0" w:space="0" w:color="auto"/>
                    <w:bottom w:val="none" w:sz="0" w:space="0" w:color="auto"/>
                    <w:right w:val="none" w:sz="0" w:space="0" w:color="auto"/>
                  </w:divBdr>
                  <w:divsChild>
                    <w:div w:id="1262374844">
                      <w:marLeft w:val="0"/>
                      <w:marRight w:val="0"/>
                      <w:marTop w:val="0"/>
                      <w:marBottom w:val="0"/>
                      <w:divBdr>
                        <w:top w:val="none" w:sz="0" w:space="0" w:color="auto"/>
                        <w:left w:val="none" w:sz="0" w:space="0" w:color="auto"/>
                        <w:bottom w:val="none" w:sz="0" w:space="0" w:color="auto"/>
                        <w:right w:val="none" w:sz="0" w:space="0" w:color="auto"/>
                      </w:divBdr>
                      <w:divsChild>
                        <w:div w:id="992374280">
                          <w:marLeft w:val="0"/>
                          <w:marRight w:val="0"/>
                          <w:marTop w:val="0"/>
                          <w:marBottom w:val="0"/>
                          <w:divBdr>
                            <w:top w:val="none" w:sz="0" w:space="0" w:color="auto"/>
                            <w:left w:val="none" w:sz="0" w:space="0" w:color="auto"/>
                            <w:bottom w:val="none" w:sz="0" w:space="0" w:color="auto"/>
                            <w:right w:val="none" w:sz="0" w:space="0" w:color="auto"/>
                          </w:divBdr>
                          <w:divsChild>
                            <w:div w:id="14813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601478">
      <w:bodyDiv w:val="1"/>
      <w:marLeft w:val="0"/>
      <w:marRight w:val="0"/>
      <w:marTop w:val="0"/>
      <w:marBottom w:val="0"/>
      <w:divBdr>
        <w:top w:val="none" w:sz="0" w:space="0" w:color="auto"/>
        <w:left w:val="none" w:sz="0" w:space="0" w:color="auto"/>
        <w:bottom w:val="none" w:sz="0" w:space="0" w:color="auto"/>
        <w:right w:val="none" w:sz="0" w:space="0" w:color="auto"/>
      </w:divBdr>
    </w:div>
    <w:div w:id="2027323256">
      <w:bodyDiv w:val="1"/>
      <w:marLeft w:val="0"/>
      <w:marRight w:val="0"/>
      <w:marTop w:val="0"/>
      <w:marBottom w:val="0"/>
      <w:divBdr>
        <w:top w:val="none" w:sz="0" w:space="0" w:color="auto"/>
        <w:left w:val="none" w:sz="0" w:space="0" w:color="auto"/>
        <w:bottom w:val="none" w:sz="0" w:space="0" w:color="auto"/>
        <w:right w:val="none" w:sz="0" w:space="0" w:color="auto"/>
      </w:divBdr>
    </w:div>
    <w:div w:id="2129083230">
      <w:bodyDiv w:val="1"/>
      <w:marLeft w:val="0"/>
      <w:marRight w:val="0"/>
      <w:marTop w:val="0"/>
      <w:marBottom w:val="0"/>
      <w:divBdr>
        <w:top w:val="none" w:sz="0" w:space="0" w:color="auto"/>
        <w:left w:val="none" w:sz="0" w:space="0" w:color="auto"/>
        <w:bottom w:val="none" w:sz="0" w:space="0" w:color="auto"/>
        <w:right w:val="none" w:sz="0" w:space="0" w:color="auto"/>
      </w:divBdr>
      <w:divsChild>
        <w:div w:id="427893422">
          <w:marLeft w:val="0"/>
          <w:marRight w:val="0"/>
          <w:marTop w:val="0"/>
          <w:marBottom w:val="0"/>
          <w:divBdr>
            <w:top w:val="none" w:sz="0" w:space="0" w:color="auto"/>
            <w:left w:val="none" w:sz="0" w:space="0" w:color="auto"/>
            <w:bottom w:val="none" w:sz="0" w:space="0" w:color="auto"/>
            <w:right w:val="none" w:sz="0" w:space="0" w:color="auto"/>
          </w:divBdr>
          <w:divsChild>
            <w:div w:id="1925646083">
              <w:marLeft w:val="0"/>
              <w:marRight w:val="0"/>
              <w:marTop w:val="0"/>
              <w:marBottom w:val="0"/>
              <w:divBdr>
                <w:top w:val="none" w:sz="0" w:space="0" w:color="auto"/>
                <w:left w:val="none" w:sz="0" w:space="0" w:color="auto"/>
                <w:bottom w:val="none" w:sz="0" w:space="0" w:color="auto"/>
                <w:right w:val="none" w:sz="0" w:space="0" w:color="auto"/>
              </w:divBdr>
              <w:divsChild>
                <w:div w:id="903415424">
                  <w:marLeft w:val="0"/>
                  <w:marRight w:val="0"/>
                  <w:marTop w:val="0"/>
                  <w:marBottom w:val="0"/>
                  <w:divBdr>
                    <w:top w:val="none" w:sz="0" w:space="0" w:color="auto"/>
                    <w:left w:val="none" w:sz="0" w:space="0" w:color="auto"/>
                    <w:bottom w:val="none" w:sz="0" w:space="0" w:color="auto"/>
                    <w:right w:val="none" w:sz="0" w:space="0" w:color="auto"/>
                  </w:divBdr>
                  <w:divsChild>
                    <w:div w:id="88041904">
                      <w:marLeft w:val="0"/>
                      <w:marRight w:val="0"/>
                      <w:marTop w:val="0"/>
                      <w:marBottom w:val="0"/>
                      <w:divBdr>
                        <w:top w:val="none" w:sz="0" w:space="0" w:color="auto"/>
                        <w:left w:val="none" w:sz="0" w:space="0" w:color="auto"/>
                        <w:bottom w:val="none" w:sz="0" w:space="0" w:color="auto"/>
                        <w:right w:val="none" w:sz="0" w:space="0" w:color="auto"/>
                      </w:divBdr>
                      <w:divsChild>
                        <w:div w:id="1066295042">
                          <w:marLeft w:val="0"/>
                          <w:marRight w:val="0"/>
                          <w:marTop w:val="0"/>
                          <w:marBottom w:val="0"/>
                          <w:divBdr>
                            <w:top w:val="none" w:sz="0" w:space="0" w:color="auto"/>
                            <w:left w:val="none" w:sz="0" w:space="0" w:color="auto"/>
                            <w:bottom w:val="none" w:sz="0" w:space="0" w:color="auto"/>
                            <w:right w:val="none" w:sz="0" w:space="0" w:color="auto"/>
                          </w:divBdr>
                          <w:divsChild>
                            <w:div w:id="817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yperlink" Target="http://www.tga.gov.au" TargetMode="External"/><Relationship Id="rId28"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s://www.tga.gov.au/product-information-pi" TargetMode="External"/><Relationship Id="rId22" Type="http://schemas.openxmlformats.org/officeDocument/2006/relationships/hyperlink" Target="mailto:info@tga.gov.au" TargetMode="External"/><Relationship Id="rId27" Type="http://schemas.openxmlformats.org/officeDocument/2006/relationships/header" Target="header8.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4756\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23C99-459B-49CA-AFA7-89EC47B9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283</TotalTime>
  <Pages>56</Pages>
  <Words>21592</Words>
  <Characters>123080</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Australian public assessment report for Brimonidine (as tartrate) (</vt:lpstr>
    </vt:vector>
  </TitlesOfParts>
  <Company>Department of Health Therapeutic Goods Administration</Company>
  <LinksUpToDate>false</LinksUpToDate>
  <CharactersWithSpaces>144384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Brimonidine (as tartrate) (Mirvaso)</dc:title>
  <dc:subject>prescription medicine regulation</dc:subject>
  <dc:creator>Therapeutic Goods Administration</dc:creator>
  <cp:keywords>auspar, prescription, medicine, assessment, regulation, australia, brimonidine as tartrate, mirvaso, galderma</cp:keywords>
  <cp:lastModifiedBy>Sheppard, Fran</cp:lastModifiedBy>
  <cp:revision>15</cp:revision>
  <cp:lastPrinted>2010-12-20T22:59:00Z</cp:lastPrinted>
  <dcterms:created xsi:type="dcterms:W3CDTF">2015-01-23T00:41:00Z</dcterms:created>
  <dcterms:modified xsi:type="dcterms:W3CDTF">2015-03-03T03:47:00Z</dcterms:modified>
</cp:coreProperties>
</file>