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CCB3080" w14:textId="77777777" w:rsidTr="00BF1190">
        <w:trPr>
          <w:trHeight w:val="1863"/>
        </w:trPr>
        <w:tc>
          <w:tcPr>
            <w:tcW w:w="3652" w:type="dxa"/>
            <w:tcBorders>
              <w:top w:val="nil"/>
              <w:left w:val="nil"/>
              <w:bottom w:val="nil"/>
              <w:right w:val="nil"/>
            </w:tcBorders>
          </w:tcPr>
          <w:p w14:paraId="42972DF7" w14:textId="776F8513" w:rsidR="008E7846" w:rsidRPr="00096AA7" w:rsidRDefault="00774AD9" w:rsidP="00096AA7">
            <w:pPr>
              <w:rPr>
                <w:rFonts w:ascii="Arial" w:hAnsi="Arial" w:cs="Arial"/>
                <w:b/>
                <w:color w:val="002C47"/>
                <w:sz w:val="36"/>
                <w:szCs w:val="36"/>
              </w:rPr>
            </w:pPr>
            <w:r>
              <w:rPr>
                <w:rFonts w:ascii="Arial" w:hAnsi="Arial" w:cs="Arial"/>
                <w:b/>
                <w:color w:val="002C47"/>
                <w:sz w:val="36"/>
                <w:szCs w:val="36"/>
              </w:rPr>
              <w:t xml:space="preserve">March </w:t>
            </w:r>
            <w:r w:rsidR="001D5925">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552AE5D" w14:textId="77777777" w:rsidTr="0032583B">
        <w:trPr>
          <w:trHeight w:val="868"/>
        </w:trPr>
        <w:tc>
          <w:tcPr>
            <w:tcW w:w="9079" w:type="dxa"/>
          </w:tcPr>
          <w:p w14:paraId="5A107B2F" w14:textId="77777777" w:rsidR="0032583B" w:rsidRPr="00A964D1" w:rsidRDefault="0032583B" w:rsidP="001D5925">
            <w:pPr>
              <w:pStyle w:val="Title"/>
              <w:rPr>
                <w:color w:val="FFFFFF" w:themeColor="background1"/>
              </w:rPr>
            </w:pPr>
            <w:r w:rsidRPr="00A964D1">
              <w:rPr>
                <w:color w:val="FFFFFF" w:themeColor="background1"/>
              </w:rPr>
              <w:t xml:space="preserve">Australian Public Assessment Report for </w:t>
            </w:r>
            <w:r w:rsidR="001D5925">
              <w:rPr>
                <w:color w:val="FFFFFF" w:themeColor="background1"/>
              </w:rPr>
              <w:t>Brigatinib</w:t>
            </w:r>
          </w:p>
        </w:tc>
      </w:tr>
      <w:tr w:rsidR="0032583B" w:rsidRPr="00B64760" w14:paraId="378C7501" w14:textId="77777777" w:rsidTr="0032583B">
        <w:tc>
          <w:tcPr>
            <w:tcW w:w="9079" w:type="dxa"/>
          </w:tcPr>
          <w:p w14:paraId="0FF7FC08" w14:textId="77777777" w:rsidR="0032583B" w:rsidRPr="008E7846" w:rsidRDefault="001D5925" w:rsidP="0032583B">
            <w:pPr>
              <w:pStyle w:val="Subtitle"/>
              <w:rPr>
                <w:color w:val="FFFFFF" w:themeColor="background1"/>
              </w:rPr>
            </w:pPr>
            <w:r>
              <w:rPr>
                <w:color w:val="FFFFFF" w:themeColor="background1"/>
              </w:rPr>
              <w:t>Proprietary Product Name: Alunbrig</w:t>
            </w:r>
          </w:p>
        </w:tc>
      </w:tr>
      <w:tr w:rsidR="0032583B" w:rsidRPr="00B64760" w14:paraId="784B2FFD" w14:textId="77777777" w:rsidTr="0032583B">
        <w:trPr>
          <w:trHeight w:val="486"/>
        </w:trPr>
        <w:tc>
          <w:tcPr>
            <w:tcW w:w="9079" w:type="dxa"/>
          </w:tcPr>
          <w:p w14:paraId="227186C0" w14:textId="39852A57" w:rsidR="0032583B" w:rsidRPr="008E7846" w:rsidRDefault="0032583B" w:rsidP="001D5925">
            <w:pPr>
              <w:pStyle w:val="Subtitle"/>
              <w:rPr>
                <w:color w:val="FFFFFF" w:themeColor="background1"/>
              </w:rPr>
            </w:pPr>
            <w:r w:rsidRPr="008E7846">
              <w:rPr>
                <w:color w:val="FFFFFF" w:themeColor="background1"/>
              </w:rPr>
              <w:t>Sponsor:</w:t>
            </w:r>
            <w:r w:rsidR="001D5925">
              <w:rPr>
                <w:color w:val="FFFFFF" w:themeColor="background1"/>
              </w:rPr>
              <w:t xml:space="preserve"> Taked</w:t>
            </w:r>
            <w:r w:rsidR="005F6488">
              <w:rPr>
                <w:color w:val="FFFFFF" w:themeColor="background1"/>
              </w:rPr>
              <w:t xml:space="preserve">a </w:t>
            </w:r>
            <w:r w:rsidR="00A82B57">
              <w:rPr>
                <w:color w:val="FFFFFF" w:themeColor="background1"/>
              </w:rPr>
              <w:t>Pharmaceuticals</w:t>
            </w:r>
            <w:r w:rsidR="005F6488">
              <w:rPr>
                <w:color w:val="FFFFFF" w:themeColor="background1"/>
              </w:rPr>
              <w:t xml:space="preserve"> Australia Ltd</w:t>
            </w:r>
          </w:p>
        </w:tc>
      </w:tr>
    </w:tbl>
    <w:p w14:paraId="777CFE9C" w14:textId="77777777" w:rsidR="008E7846" w:rsidRPr="0085156D" w:rsidRDefault="008E7846" w:rsidP="0085156D">
      <w:r w:rsidRPr="0085156D">
        <w:br w:type="page"/>
      </w:r>
    </w:p>
    <w:p w14:paraId="114090B3" w14:textId="77777777" w:rsidR="008E7846" w:rsidRPr="001F6CBA" w:rsidRDefault="008E7846" w:rsidP="008E7846">
      <w:pPr>
        <w:pStyle w:val="NonTOCHeading2"/>
      </w:pPr>
      <w:r w:rsidRPr="001F6CBA">
        <w:lastRenderedPageBreak/>
        <w:t>About the Therapeutic Goods Administration (TGA)</w:t>
      </w:r>
    </w:p>
    <w:p w14:paraId="74FBD766"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7C8362FB"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57792BFF"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5E99B65E"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49F62118"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0260739C" w14:textId="77777777" w:rsidR="008E7846" w:rsidRDefault="008E7846" w:rsidP="00875A6B">
      <w:pPr>
        <w:pStyle w:val="NonTOCHeading2"/>
      </w:pPr>
      <w:r>
        <w:t>About AusPARs</w:t>
      </w:r>
    </w:p>
    <w:p w14:paraId="493FCBA3"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2F740D40" w14:textId="77777777" w:rsidR="008E7846" w:rsidRDefault="008E7846" w:rsidP="008E7846">
      <w:pPr>
        <w:pStyle w:val="ListBullet"/>
        <w:numPr>
          <w:ilvl w:val="0"/>
          <w:numId w:val="3"/>
        </w:numPr>
        <w:ind w:left="357" w:hanging="357"/>
      </w:pPr>
      <w:r>
        <w:t>AusPARs are prepared and published by the TGA.</w:t>
      </w:r>
    </w:p>
    <w:p w14:paraId="122D2359"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68B1D1AA"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8C559C7"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1611D3CE" w14:textId="77777777" w:rsidR="00924482" w:rsidRPr="00DF1D7F" w:rsidRDefault="00924482" w:rsidP="00F54B65">
      <w:pPr>
        <w:pStyle w:val="LegalSubheading"/>
        <w:spacing w:before="3120"/>
      </w:pPr>
      <w:r w:rsidRPr="00DF1D7F">
        <w:t>Copyright</w:t>
      </w:r>
    </w:p>
    <w:p w14:paraId="44F73544" w14:textId="77777777" w:rsidR="00924482" w:rsidRDefault="00924482" w:rsidP="00924482">
      <w:pPr>
        <w:pStyle w:val="LegalCopy"/>
      </w:pPr>
      <w:r w:rsidRPr="00191B3B">
        <w:rPr>
          <w:rFonts w:cs="Arial"/>
          <w:lang w:val="en-GB"/>
        </w:rPr>
        <w:t>© Comm</w:t>
      </w:r>
      <w:r w:rsidR="00023EC0">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5AC34AB7"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1164698" w14:textId="77777777" w:rsidR="0089635C" w:rsidRPr="0089635C" w:rsidRDefault="0089635C" w:rsidP="0010788A">
          <w:pPr>
            <w:pStyle w:val="Contents"/>
          </w:pPr>
          <w:r w:rsidRPr="0010788A">
            <w:t>Cont</w:t>
          </w:r>
          <w:bookmarkStart w:id="2" w:name="_GoBack"/>
          <w:bookmarkEnd w:id="2"/>
          <w:r w:rsidRPr="0010788A">
            <w:t>ents</w:t>
          </w:r>
        </w:p>
        <w:p w14:paraId="581A9C5E" w14:textId="0E91A0DD" w:rsidR="00A525C4"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5853837" w:history="1">
            <w:r w:rsidR="00A525C4" w:rsidRPr="00935151">
              <w:rPr>
                <w:rStyle w:val="Hyperlink"/>
                <w:noProof/>
              </w:rPr>
              <w:t>Common abbreviations</w:t>
            </w:r>
            <w:r w:rsidR="00A525C4">
              <w:rPr>
                <w:noProof/>
                <w:webHidden/>
              </w:rPr>
              <w:tab/>
            </w:r>
            <w:r w:rsidR="00A525C4">
              <w:rPr>
                <w:noProof/>
                <w:webHidden/>
              </w:rPr>
              <w:fldChar w:fldCharType="begin"/>
            </w:r>
            <w:r w:rsidR="00A525C4">
              <w:rPr>
                <w:noProof/>
                <w:webHidden/>
              </w:rPr>
              <w:instrText xml:space="preserve"> PAGEREF _Toc35853837 \h </w:instrText>
            </w:r>
            <w:r w:rsidR="00A525C4">
              <w:rPr>
                <w:noProof/>
                <w:webHidden/>
              </w:rPr>
            </w:r>
            <w:r w:rsidR="00A525C4">
              <w:rPr>
                <w:noProof/>
                <w:webHidden/>
              </w:rPr>
              <w:fldChar w:fldCharType="separate"/>
            </w:r>
            <w:r w:rsidR="00A525C4">
              <w:rPr>
                <w:noProof/>
                <w:webHidden/>
              </w:rPr>
              <w:t>4</w:t>
            </w:r>
            <w:r w:rsidR="00A525C4">
              <w:rPr>
                <w:noProof/>
                <w:webHidden/>
              </w:rPr>
              <w:fldChar w:fldCharType="end"/>
            </w:r>
          </w:hyperlink>
        </w:p>
        <w:p w14:paraId="0FEDA6EE" w14:textId="0769E2D8" w:rsidR="00A525C4" w:rsidRDefault="00A525C4">
          <w:pPr>
            <w:pStyle w:val="TOC2"/>
            <w:rPr>
              <w:rFonts w:asciiTheme="minorHAnsi" w:eastAsiaTheme="minorEastAsia" w:hAnsiTheme="minorHAnsi" w:cstheme="minorBidi"/>
              <w:b w:val="0"/>
              <w:noProof/>
              <w:sz w:val="22"/>
              <w:lang w:eastAsia="en-AU"/>
            </w:rPr>
          </w:pPr>
          <w:hyperlink w:anchor="_Toc35853838" w:history="1">
            <w:r w:rsidRPr="00935151">
              <w:rPr>
                <w:rStyle w:val="Hyperlink"/>
                <w:noProof/>
              </w:rPr>
              <w:t>I. Introduction to product submission</w:t>
            </w:r>
            <w:r>
              <w:rPr>
                <w:noProof/>
                <w:webHidden/>
              </w:rPr>
              <w:tab/>
            </w:r>
            <w:r>
              <w:rPr>
                <w:noProof/>
                <w:webHidden/>
              </w:rPr>
              <w:fldChar w:fldCharType="begin"/>
            </w:r>
            <w:r>
              <w:rPr>
                <w:noProof/>
                <w:webHidden/>
              </w:rPr>
              <w:instrText xml:space="preserve"> PAGEREF _Toc35853838 \h </w:instrText>
            </w:r>
            <w:r>
              <w:rPr>
                <w:noProof/>
                <w:webHidden/>
              </w:rPr>
            </w:r>
            <w:r>
              <w:rPr>
                <w:noProof/>
                <w:webHidden/>
              </w:rPr>
              <w:fldChar w:fldCharType="separate"/>
            </w:r>
            <w:r>
              <w:rPr>
                <w:noProof/>
                <w:webHidden/>
              </w:rPr>
              <w:t>7</w:t>
            </w:r>
            <w:r>
              <w:rPr>
                <w:noProof/>
                <w:webHidden/>
              </w:rPr>
              <w:fldChar w:fldCharType="end"/>
            </w:r>
          </w:hyperlink>
        </w:p>
        <w:p w14:paraId="2B29B7B4" w14:textId="0C45F2BE" w:rsidR="00A525C4" w:rsidRDefault="00A525C4">
          <w:pPr>
            <w:pStyle w:val="TOC3"/>
            <w:rPr>
              <w:rFonts w:asciiTheme="minorHAnsi" w:eastAsiaTheme="minorEastAsia" w:hAnsiTheme="minorHAnsi" w:cstheme="minorBidi"/>
              <w:noProof/>
              <w:lang w:eastAsia="en-AU"/>
            </w:rPr>
          </w:pPr>
          <w:hyperlink w:anchor="_Toc35853839" w:history="1">
            <w:r w:rsidRPr="00935151">
              <w:rPr>
                <w:rStyle w:val="Hyperlink"/>
                <w:noProof/>
                <w:lang w:eastAsia="en-AU"/>
              </w:rPr>
              <w:t>Submission details</w:t>
            </w:r>
            <w:r>
              <w:rPr>
                <w:noProof/>
                <w:webHidden/>
              </w:rPr>
              <w:tab/>
            </w:r>
            <w:r>
              <w:rPr>
                <w:noProof/>
                <w:webHidden/>
              </w:rPr>
              <w:fldChar w:fldCharType="begin"/>
            </w:r>
            <w:r>
              <w:rPr>
                <w:noProof/>
                <w:webHidden/>
              </w:rPr>
              <w:instrText xml:space="preserve"> PAGEREF _Toc35853839 \h </w:instrText>
            </w:r>
            <w:r>
              <w:rPr>
                <w:noProof/>
                <w:webHidden/>
              </w:rPr>
            </w:r>
            <w:r>
              <w:rPr>
                <w:noProof/>
                <w:webHidden/>
              </w:rPr>
              <w:fldChar w:fldCharType="separate"/>
            </w:r>
            <w:r>
              <w:rPr>
                <w:noProof/>
                <w:webHidden/>
              </w:rPr>
              <w:t>7</w:t>
            </w:r>
            <w:r>
              <w:rPr>
                <w:noProof/>
                <w:webHidden/>
              </w:rPr>
              <w:fldChar w:fldCharType="end"/>
            </w:r>
          </w:hyperlink>
        </w:p>
        <w:p w14:paraId="7A79338D" w14:textId="7B8C107C" w:rsidR="00A525C4" w:rsidRDefault="00A525C4">
          <w:pPr>
            <w:pStyle w:val="TOC3"/>
            <w:rPr>
              <w:rFonts w:asciiTheme="minorHAnsi" w:eastAsiaTheme="minorEastAsia" w:hAnsiTheme="minorHAnsi" w:cstheme="minorBidi"/>
              <w:noProof/>
              <w:lang w:eastAsia="en-AU"/>
            </w:rPr>
          </w:pPr>
          <w:hyperlink w:anchor="_Toc35853840" w:history="1">
            <w:r w:rsidRPr="00935151">
              <w:rPr>
                <w:rStyle w:val="Hyperlink"/>
                <w:noProof/>
              </w:rPr>
              <w:t>Product background</w:t>
            </w:r>
            <w:r>
              <w:rPr>
                <w:noProof/>
                <w:webHidden/>
              </w:rPr>
              <w:tab/>
            </w:r>
            <w:r>
              <w:rPr>
                <w:noProof/>
                <w:webHidden/>
              </w:rPr>
              <w:fldChar w:fldCharType="begin"/>
            </w:r>
            <w:r>
              <w:rPr>
                <w:noProof/>
                <w:webHidden/>
              </w:rPr>
              <w:instrText xml:space="preserve"> PAGEREF _Toc35853840 \h </w:instrText>
            </w:r>
            <w:r>
              <w:rPr>
                <w:noProof/>
                <w:webHidden/>
              </w:rPr>
            </w:r>
            <w:r>
              <w:rPr>
                <w:noProof/>
                <w:webHidden/>
              </w:rPr>
              <w:fldChar w:fldCharType="separate"/>
            </w:r>
            <w:r>
              <w:rPr>
                <w:noProof/>
                <w:webHidden/>
              </w:rPr>
              <w:t>8</w:t>
            </w:r>
            <w:r>
              <w:rPr>
                <w:noProof/>
                <w:webHidden/>
              </w:rPr>
              <w:fldChar w:fldCharType="end"/>
            </w:r>
          </w:hyperlink>
        </w:p>
        <w:p w14:paraId="16BBAD26" w14:textId="0DCBDC16" w:rsidR="00A525C4" w:rsidRDefault="00A525C4">
          <w:pPr>
            <w:pStyle w:val="TOC3"/>
            <w:rPr>
              <w:rFonts w:asciiTheme="minorHAnsi" w:eastAsiaTheme="minorEastAsia" w:hAnsiTheme="minorHAnsi" w:cstheme="minorBidi"/>
              <w:noProof/>
              <w:lang w:eastAsia="en-AU"/>
            </w:rPr>
          </w:pPr>
          <w:hyperlink w:anchor="_Toc35853841" w:history="1">
            <w:r w:rsidRPr="00935151">
              <w:rPr>
                <w:rStyle w:val="Hyperlink"/>
                <w:noProof/>
              </w:rPr>
              <w:t>Regulatory status</w:t>
            </w:r>
            <w:r>
              <w:rPr>
                <w:noProof/>
                <w:webHidden/>
              </w:rPr>
              <w:tab/>
            </w:r>
            <w:r>
              <w:rPr>
                <w:noProof/>
                <w:webHidden/>
              </w:rPr>
              <w:fldChar w:fldCharType="begin"/>
            </w:r>
            <w:r>
              <w:rPr>
                <w:noProof/>
                <w:webHidden/>
              </w:rPr>
              <w:instrText xml:space="preserve"> PAGEREF _Toc35853841 \h </w:instrText>
            </w:r>
            <w:r>
              <w:rPr>
                <w:noProof/>
                <w:webHidden/>
              </w:rPr>
            </w:r>
            <w:r>
              <w:rPr>
                <w:noProof/>
                <w:webHidden/>
              </w:rPr>
              <w:fldChar w:fldCharType="separate"/>
            </w:r>
            <w:r>
              <w:rPr>
                <w:noProof/>
                <w:webHidden/>
              </w:rPr>
              <w:t>9</w:t>
            </w:r>
            <w:r>
              <w:rPr>
                <w:noProof/>
                <w:webHidden/>
              </w:rPr>
              <w:fldChar w:fldCharType="end"/>
            </w:r>
          </w:hyperlink>
        </w:p>
        <w:p w14:paraId="38EE4746" w14:textId="79979BD1" w:rsidR="00A525C4" w:rsidRDefault="00A525C4">
          <w:pPr>
            <w:pStyle w:val="TOC3"/>
            <w:rPr>
              <w:rFonts w:asciiTheme="minorHAnsi" w:eastAsiaTheme="minorEastAsia" w:hAnsiTheme="minorHAnsi" w:cstheme="minorBidi"/>
              <w:noProof/>
              <w:lang w:eastAsia="en-AU"/>
            </w:rPr>
          </w:pPr>
          <w:hyperlink w:anchor="_Toc35853842" w:history="1">
            <w:r w:rsidRPr="00935151">
              <w:rPr>
                <w:rStyle w:val="Hyperlink"/>
                <w:noProof/>
              </w:rPr>
              <w:t>Product Information</w:t>
            </w:r>
            <w:r>
              <w:rPr>
                <w:noProof/>
                <w:webHidden/>
              </w:rPr>
              <w:tab/>
            </w:r>
            <w:r>
              <w:rPr>
                <w:noProof/>
                <w:webHidden/>
              </w:rPr>
              <w:fldChar w:fldCharType="begin"/>
            </w:r>
            <w:r>
              <w:rPr>
                <w:noProof/>
                <w:webHidden/>
              </w:rPr>
              <w:instrText xml:space="preserve"> PAGEREF _Toc35853842 \h </w:instrText>
            </w:r>
            <w:r>
              <w:rPr>
                <w:noProof/>
                <w:webHidden/>
              </w:rPr>
            </w:r>
            <w:r>
              <w:rPr>
                <w:noProof/>
                <w:webHidden/>
              </w:rPr>
              <w:fldChar w:fldCharType="separate"/>
            </w:r>
            <w:r>
              <w:rPr>
                <w:noProof/>
                <w:webHidden/>
              </w:rPr>
              <w:t>9</w:t>
            </w:r>
            <w:r>
              <w:rPr>
                <w:noProof/>
                <w:webHidden/>
              </w:rPr>
              <w:fldChar w:fldCharType="end"/>
            </w:r>
          </w:hyperlink>
        </w:p>
        <w:p w14:paraId="28311250" w14:textId="3D9904BB" w:rsidR="00A525C4" w:rsidRDefault="00A525C4">
          <w:pPr>
            <w:pStyle w:val="TOC2"/>
            <w:rPr>
              <w:rFonts w:asciiTheme="minorHAnsi" w:eastAsiaTheme="minorEastAsia" w:hAnsiTheme="minorHAnsi" w:cstheme="minorBidi"/>
              <w:b w:val="0"/>
              <w:noProof/>
              <w:sz w:val="22"/>
              <w:lang w:eastAsia="en-AU"/>
            </w:rPr>
          </w:pPr>
          <w:hyperlink w:anchor="_Toc35853843" w:history="1">
            <w:r w:rsidRPr="00935151">
              <w:rPr>
                <w:rStyle w:val="Hyperlink"/>
                <w:noProof/>
              </w:rPr>
              <w:t>II. Registration timeline</w:t>
            </w:r>
            <w:r>
              <w:rPr>
                <w:noProof/>
                <w:webHidden/>
              </w:rPr>
              <w:tab/>
            </w:r>
            <w:r>
              <w:rPr>
                <w:noProof/>
                <w:webHidden/>
              </w:rPr>
              <w:fldChar w:fldCharType="begin"/>
            </w:r>
            <w:r>
              <w:rPr>
                <w:noProof/>
                <w:webHidden/>
              </w:rPr>
              <w:instrText xml:space="preserve"> PAGEREF _Toc35853843 \h </w:instrText>
            </w:r>
            <w:r>
              <w:rPr>
                <w:noProof/>
                <w:webHidden/>
              </w:rPr>
            </w:r>
            <w:r>
              <w:rPr>
                <w:noProof/>
                <w:webHidden/>
              </w:rPr>
              <w:fldChar w:fldCharType="separate"/>
            </w:r>
            <w:r>
              <w:rPr>
                <w:noProof/>
                <w:webHidden/>
              </w:rPr>
              <w:t>9</w:t>
            </w:r>
            <w:r>
              <w:rPr>
                <w:noProof/>
                <w:webHidden/>
              </w:rPr>
              <w:fldChar w:fldCharType="end"/>
            </w:r>
          </w:hyperlink>
        </w:p>
        <w:p w14:paraId="7D983E48" w14:textId="60D48D37" w:rsidR="00A525C4" w:rsidRDefault="00A525C4">
          <w:pPr>
            <w:pStyle w:val="TOC2"/>
            <w:rPr>
              <w:rFonts w:asciiTheme="minorHAnsi" w:eastAsiaTheme="minorEastAsia" w:hAnsiTheme="minorHAnsi" w:cstheme="minorBidi"/>
              <w:b w:val="0"/>
              <w:noProof/>
              <w:sz w:val="22"/>
              <w:lang w:eastAsia="en-AU"/>
            </w:rPr>
          </w:pPr>
          <w:hyperlink w:anchor="_Toc35853844" w:history="1">
            <w:r w:rsidRPr="00935151">
              <w:rPr>
                <w:rStyle w:val="Hyperlink"/>
                <w:noProof/>
              </w:rPr>
              <w:t>III. Submission overview and risk/benefit assessment</w:t>
            </w:r>
            <w:r>
              <w:rPr>
                <w:noProof/>
                <w:webHidden/>
              </w:rPr>
              <w:tab/>
            </w:r>
            <w:r>
              <w:rPr>
                <w:noProof/>
                <w:webHidden/>
              </w:rPr>
              <w:fldChar w:fldCharType="begin"/>
            </w:r>
            <w:r>
              <w:rPr>
                <w:noProof/>
                <w:webHidden/>
              </w:rPr>
              <w:instrText xml:space="preserve"> PAGEREF _Toc35853844 \h </w:instrText>
            </w:r>
            <w:r>
              <w:rPr>
                <w:noProof/>
                <w:webHidden/>
              </w:rPr>
            </w:r>
            <w:r>
              <w:rPr>
                <w:noProof/>
                <w:webHidden/>
              </w:rPr>
              <w:fldChar w:fldCharType="separate"/>
            </w:r>
            <w:r>
              <w:rPr>
                <w:noProof/>
                <w:webHidden/>
              </w:rPr>
              <w:t>10</w:t>
            </w:r>
            <w:r>
              <w:rPr>
                <w:noProof/>
                <w:webHidden/>
              </w:rPr>
              <w:fldChar w:fldCharType="end"/>
            </w:r>
          </w:hyperlink>
        </w:p>
        <w:p w14:paraId="549A4B56" w14:textId="37608755" w:rsidR="00A525C4" w:rsidRDefault="00A525C4">
          <w:pPr>
            <w:pStyle w:val="TOC3"/>
            <w:rPr>
              <w:rFonts w:asciiTheme="minorHAnsi" w:eastAsiaTheme="minorEastAsia" w:hAnsiTheme="minorHAnsi" w:cstheme="minorBidi"/>
              <w:noProof/>
              <w:lang w:eastAsia="en-AU"/>
            </w:rPr>
          </w:pPr>
          <w:hyperlink w:anchor="_Toc35853845" w:history="1">
            <w:r w:rsidRPr="00935151">
              <w:rPr>
                <w:rStyle w:val="Hyperlink"/>
                <w:noProof/>
              </w:rPr>
              <w:t>Quality</w:t>
            </w:r>
            <w:r>
              <w:rPr>
                <w:noProof/>
                <w:webHidden/>
              </w:rPr>
              <w:tab/>
            </w:r>
            <w:r>
              <w:rPr>
                <w:noProof/>
                <w:webHidden/>
              </w:rPr>
              <w:fldChar w:fldCharType="begin"/>
            </w:r>
            <w:r>
              <w:rPr>
                <w:noProof/>
                <w:webHidden/>
              </w:rPr>
              <w:instrText xml:space="preserve"> PAGEREF _Toc35853845 \h </w:instrText>
            </w:r>
            <w:r>
              <w:rPr>
                <w:noProof/>
                <w:webHidden/>
              </w:rPr>
            </w:r>
            <w:r>
              <w:rPr>
                <w:noProof/>
                <w:webHidden/>
              </w:rPr>
              <w:fldChar w:fldCharType="separate"/>
            </w:r>
            <w:r>
              <w:rPr>
                <w:noProof/>
                <w:webHidden/>
              </w:rPr>
              <w:t>10</w:t>
            </w:r>
            <w:r>
              <w:rPr>
                <w:noProof/>
                <w:webHidden/>
              </w:rPr>
              <w:fldChar w:fldCharType="end"/>
            </w:r>
          </w:hyperlink>
        </w:p>
        <w:p w14:paraId="3E4913C2" w14:textId="0CC003F1" w:rsidR="00A525C4" w:rsidRDefault="00A525C4">
          <w:pPr>
            <w:pStyle w:val="TOC3"/>
            <w:rPr>
              <w:rFonts w:asciiTheme="minorHAnsi" w:eastAsiaTheme="minorEastAsia" w:hAnsiTheme="minorHAnsi" w:cstheme="minorBidi"/>
              <w:noProof/>
              <w:lang w:eastAsia="en-AU"/>
            </w:rPr>
          </w:pPr>
          <w:hyperlink w:anchor="_Toc35853846" w:history="1">
            <w:r w:rsidRPr="00935151">
              <w:rPr>
                <w:rStyle w:val="Hyperlink"/>
                <w:noProof/>
              </w:rPr>
              <w:t>Nonclinical</w:t>
            </w:r>
            <w:r>
              <w:rPr>
                <w:noProof/>
                <w:webHidden/>
              </w:rPr>
              <w:tab/>
            </w:r>
            <w:r>
              <w:rPr>
                <w:noProof/>
                <w:webHidden/>
              </w:rPr>
              <w:fldChar w:fldCharType="begin"/>
            </w:r>
            <w:r>
              <w:rPr>
                <w:noProof/>
                <w:webHidden/>
              </w:rPr>
              <w:instrText xml:space="preserve"> PAGEREF _Toc35853846 \h </w:instrText>
            </w:r>
            <w:r>
              <w:rPr>
                <w:noProof/>
                <w:webHidden/>
              </w:rPr>
            </w:r>
            <w:r>
              <w:rPr>
                <w:noProof/>
                <w:webHidden/>
              </w:rPr>
              <w:fldChar w:fldCharType="separate"/>
            </w:r>
            <w:r>
              <w:rPr>
                <w:noProof/>
                <w:webHidden/>
              </w:rPr>
              <w:t>11</w:t>
            </w:r>
            <w:r>
              <w:rPr>
                <w:noProof/>
                <w:webHidden/>
              </w:rPr>
              <w:fldChar w:fldCharType="end"/>
            </w:r>
          </w:hyperlink>
        </w:p>
        <w:p w14:paraId="1487DA70" w14:textId="36D088AF" w:rsidR="00A525C4" w:rsidRDefault="00A525C4">
          <w:pPr>
            <w:pStyle w:val="TOC3"/>
            <w:rPr>
              <w:rFonts w:asciiTheme="minorHAnsi" w:eastAsiaTheme="minorEastAsia" w:hAnsiTheme="minorHAnsi" w:cstheme="minorBidi"/>
              <w:noProof/>
              <w:lang w:eastAsia="en-AU"/>
            </w:rPr>
          </w:pPr>
          <w:hyperlink w:anchor="_Toc35853847" w:history="1">
            <w:r w:rsidRPr="00935151">
              <w:rPr>
                <w:rStyle w:val="Hyperlink"/>
                <w:noProof/>
              </w:rPr>
              <w:t>Clinical</w:t>
            </w:r>
            <w:r>
              <w:rPr>
                <w:noProof/>
                <w:webHidden/>
              </w:rPr>
              <w:tab/>
            </w:r>
            <w:r>
              <w:rPr>
                <w:noProof/>
                <w:webHidden/>
              </w:rPr>
              <w:fldChar w:fldCharType="begin"/>
            </w:r>
            <w:r>
              <w:rPr>
                <w:noProof/>
                <w:webHidden/>
              </w:rPr>
              <w:instrText xml:space="preserve"> PAGEREF _Toc35853847 \h </w:instrText>
            </w:r>
            <w:r>
              <w:rPr>
                <w:noProof/>
                <w:webHidden/>
              </w:rPr>
            </w:r>
            <w:r>
              <w:rPr>
                <w:noProof/>
                <w:webHidden/>
              </w:rPr>
              <w:fldChar w:fldCharType="separate"/>
            </w:r>
            <w:r>
              <w:rPr>
                <w:noProof/>
                <w:webHidden/>
              </w:rPr>
              <w:t>11</w:t>
            </w:r>
            <w:r>
              <w:rPr>
                <w:noProof/>
                <w:webHidden/>
              </w:rPr>
              <w:fldChar w:fldCharType="end"/>
            </w:r>
          </w:hyperlink>
        </w:p>
        <w:p w14:paraId="3AD3AFD0" w14:textId="3CE2D6CB" w:rsidR="00A525C4" w:rsidRDefault="00A525C4">
          <w:pPr>
            <w:pStyle w:val="TOC3"/>
            <w:rPr>
              <w:rFonts w:asciiTheme="minorHAnsi" w:eastAsiaTheme="minorEastAsia" w:hAnsiTheme="minorHAnsi" w:cstheme="minorBidi"/>
              <w:noProof/>
              <w:lang w:eastAsia="en-AU"/>
            </w:rPr>
          </w:pPr>
          <w:hyperlink w:anchor="_Toc35853848" w:history="1">
            <w:r w:rsidRPr="00935151">
              <w:rPr>
                <w:rStyle w:val="Hyperlink"/>
                <w:noProof/>
                <w:lang w:eastAsia="en-AU"/>
              </w:rPr>
              <w:t>Risk management plan</w:t>
            </w:r>
            <w:r>
              <w:rPr>
                <w:noProof/>
                <w:webHidden/>
              </w:rPr>
              <w:tab/>
            </w:r>
            <w:r>
              <w:rPr>
                <w:noProof/>
                <w:webHidden/>
              </w:rPr>
              <w:fldChar w:fldCharType="begin"/>
            </w:r>
            <w:r>
              <w:rPr>
                <w:noProof/>
                <w:webHidden/>
              </w:rPr>
              <w:instrText xml:space="preserve"> PAGEREF _Toc35853848 \h </w:instrText>
            </w:r>
            <w:r>
              <w:rPr>
                <w:noProof/>
                <w:webHidden/>
              </w:rPr>
            </w:r>
            <w:r>
              <w:rPr>
                <w:noProof/>
                <w:webHidden/>
              </w:rPr>
              <w:fldChar w:fldCharType="separate"/>
            </w:r>
            <w:r>
              <w:rPr>
                <w:noProof/>
                <w:webHidden/>
              </w:rPr>
              <w:t>22</w:t>
            </w:r>
            <w:r>
              <w:rPr>
                <w:noProof/>
                <w:webHidden/>
              </w:rPr>
              <w:fldChar w:fldCharType="end"/>
            </w:r>
          </w:hyperlink>
        </w:p>
        <w:p w14:paraId="660C9015" w14:textId="3BE148F6" w:rsidR="00A525C4" w:rsidRDefault="00A525C4">
          <w:pPr>
            <w:pStyle w:val="TOC3"/>
            <w:rPr>
              <w:rFonts w:asciiTheme="minorHAnsi" w:eastAsiaTheme="minorEastAsia" w:hAnsiTheme="minorHAnsi" w:cstheme="minorBidi"/>
              <w:noProof/>
              <w:lang w:eastAsia="en-AU"/>
            </w:rPr>
          </w:pPr>
          <w:hyperlink w:anchor="_Toc35853849" w:history="1">
            <w:r w:rsidRPr="00935151">
              <w:rPr>
                <w:rStyle w:val="Hyperlink"/>
                <w:noProof/>
              </w:rPr>
              <w:t>Risk-benefit analysis</w:t>
            </w:r>
            <w:r>
              <w:rPr>
                <w:noProof/>
                <w:webHidden/>
              </w:rPr>
              <w:tab/>
            </w:r>
            <w:r>
              <w:rPr>
                <w:noProof/>
                <w:webHidden/>
              </w:rPr>
              <w:fldChar w:fldCharType="begin"/>
            </w:r>
            <w:r>
              <w:rPr>
                <w:noProof/>
                <w:webHidden/>
              </w:rPr>
              <w:instrText xml:space="preserve"> PAGEREF _Toc35853849 \h </w:instrText>
            </w:r>
            <w:r>
              <w:rPr>
                <w:noProof/>
                <w:webHidden/>
              </w:rPr>
            </w:r>
            <w:r>
              <w:rPr>
                <w:noProof/>
                <w:webHidden/>
              </w:rPr>
              <w:fldChar w:fldCharType="separate"/>
            </w:r>
            <w:r>
              <w:rPr>
                <w:noProof/>
                <w:webHidden/>
              </w:rPr>
              <w:t>24</w:t>
            </w:r>
            <w:r>
              <w:rPr>
                <w:noProof/>
                <w:webHidden/>
              </w:rPr>
              <w:fldChar w:fldCharType="end"/>
            </w:r>
          </w:hyperlink>
        </w:p>
        <w:p w14:paraId="0B006773" w14:textId="787BD3BD" w:rsidR="00A525C4" w:rsidRDefault="00A525C4">
          <w:pPr>
            <w:pStyle w:val="TOC3"/>
            <w:rPr>
              <w:rFonts w:asciiTheme="minorHAnsi" w:eastAsiaTheme="minorEastAsia" w:hAnsiTheme="minorHAnsi" w:cstheme="minorBidi"/>
              <w:noProof/>
              <w:lang w:eastAsia="en-AU"/>
            </w:rPr>
          </w:pPr>
          <w:hyperlink w:anchor="_Toc35853850" w:history="1">
            <w:r w:rsidRPr="00935151">
              <w:rPr>
                <w:rStyle w:val="Hyperlink"/>
                <w:noProof/>
              </w:rPr>
              <w:t>Outcome</w:t>
            </w:r>
            <w:r>
              <w:rPr>
                <w:noProof/>
                <w:webHidden/>
              </w:rPr>
              <w:tab/>
            </w:r>
            <w:r>
              <w:rPr>
                <w:noProof/>
                <w:webHidden/>
              </w:rPr>
              <w:fldChar w:fldCharType="begin"/>
            </w:r>
            <w:r>
              <w:rPr>
                <w:noProof/>
                <w:webHidden/>
              </w:rPr>
              <w:instrText xml:space="preserve"> PAGEREF _Toc35853850 \h </w:instrText>
            </w:r>
            <w:r>
              <w:rPr>
                <w:noProof/>
                <w:webHidden/>
              </w:rPr>
            </w:r>
            <w:r>
              <w:rPr>
                <w:noProof/>
                <w:webHidden/>
              </w:rPr>
              <w:fldChar w:fldCharType="separate"/>
            </w:r>
            <w:r>
              <w:rPr>
                <w:noProof/>
                <w:webHidden/>
              </w:rPr>
              <w:t>26</w:t>
            </w:r>
            <w:r>
              <w:rPr>
                <w:noProof/>
                <w:webHidden/>
              </w:rPr>
              <w:fldChar w:fldCharType="end"/>
            </w:r>
          </w:hyperlink>
        </w:p>
        <w:p w14:paraId="298D56E2" w14:textId="37C721F3" w:rsidR="00A525C4" w:rsidRDefault="00A525C4">
          <w:pPr>
            <w:pStyle w:val="TOC2"/>
            <w:rPr>
              <w:rFonts w:asciiTheme="minorHAnsi" w:eastAsiaTheme="minorEastAsia" w:hAnsiTheme="minorHAnsi" w:cstheme="minorBidi"/>
              <w:b w:val="0"/>
              <w:noProof/>
              <w:sz w:val="22"/>
              <w:lang w:eastAsia="en-AU"/>
            </w:rPr>
          </w:pPr>
          <w:hyperlink w:anchor="_Toc35853851" w:history="1">
            <w:r w:rsidRPr="00935151">
              <w:rPr>
                <w:rStyle w:val="Hyperlink"/>
                <w:noProof/>
              </w:rPr>
              <w:t>Attachment 1. Product Information</w:t>
            </w:r>
            <w:r>
              <w:rPr>
                <w:noProof/>
                <w:webHidden/>
              </w:rPr>
              <w:tab/>
            </w:r>
            <w:r>
              <w:rPr>
                <w:noProof/>
                <w:webHidden/>
              </w:rPr>
              <w:fldChar w:fldCharType="begin"/>
            </w:r>
            <w:r>
              <w:rPr>
                <w:noProof/>
                <w:webHidden/>
              </w:rPr>
              <w:instrText xml:space="preserve"> PAGEREF _Toc35853851 \h </w:instrText>
            </w:r>
            <w:r>
              <w:rPr>
                <w:noProof/>
                <w:webHidden/>
              </w:rPr>
            </w:r>
            <w:r>
              <w:rPr>
                <w:noProof/>
                <w:webHidden/>
              </w:rPr>
              <w:fldChar w:fldCharType="separate"/>
            </w:r>
            <w:r>
              <w:rPr>
                <w:noProof/>
                <w:webHidden/>
              </w:rPr>
              <w:t>27</w:t>
            </w:r>
            <w:r>
              <w:rPr>
                <w:noProof/>
                <w:webHidden/>
              </w:rPr>
              <w:fldChar w:fldCharType="end"/>
            </w:r>
          </w:hyperlink>
        </w:p>
        <w:p w14:paraId="33B9C182" w14:textId="1387B43F" w:rsidR="003A7F6C" w:rsidRPr="00B811C6" w:rsidRDefault="00960520" w:rsidP="00B811C6">
          <w:pPr>
            <w:pStyle w:val="TOC2"/>
          </w:pPr>
          <w:r>
            <w:fldChar w:fldCharType="end"/>
          </w:r>
        </w:p>
      </w:sdtContent>
    </w:sdt>
    <w:bookmarkStart w:id="3" w:name="_Toc314842482" w:displacedByCustomXml="prev"/>
    <w:p w14:paraId="784163D3" w14:textId="77777777" w:rsidR="00FD119B" w:rsidRDefault="00FD119B">
      <w:pPr>
        <w:spacing w:before="0" w:after="200" w:line="0" w:lineRule="auto"/>
      </w:pPr>
      <w:r>
        <w:br w:type="page"/>
      </w:r>
    </w:p>
    <w:p w14:paraId="7F9FA06A"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35853837"/>
      <w:r>
        <w:lastRenderedPageBreak/>
        <w:t>Common</w:t>
      </w:r>
      <w:r w:rsidR="00FD119B" w:rsidRPr="00FD119B">
        <w:t xml:space="preserve"> abbreviations</w:t>
      </w:r>
      <w:bookmarkEnd w:id="4"/>
      <w:bookmarkEnd w:id="5"/>
      <w:bookmarkEnd w:id="6"/>
      <w:bookmarkEnd w:id="7"/>
      <w:bookmarkEnd w:id="8"/>
    </w:p>
    <w:tbl>
      <w:tblPr>
        <w:tblStyle w:val="TableTGAblue1"/>
        <w:tblW w:w="0" w:type="auto"/>
        <w:tblLook w:val="04A0" w:firstRow="1" w:lastRow="0" w:firstColumn="1" w:lastColumn="0" w:noHBand="0" w:noVBand="1"/>
      </w:tblPr>
      <w:tblGrid>
        <w:gridCol w:w="1890"/>
        <w:gridCol w:w="6830"/>
      </w:tblGrid>
      <w:tr w:rsidR="00023EC0" w:rsidRPr="00023EC0" w14:paraId="19EA4D57" w14:textId="77777777" w:rsidTr="00D37B29">
        <w:trPr>
          <w:cnfStyle w:val="100000000000" w:firstRow="1" w:lastRow="0" w:firstColumn="0" w:lastColumn="0" w:oddVBand="0" w:evenVBand="0" w:oddHBand="0" w:evenHBand="0" w:firstRowFirstColumn="0" w:firstRowLastColumn="0" w:lastRowFirstColumn="0" w:lastRowLastColumn="0"/>
        </w:trPr>
        <w:tc>
          <w:tcPr>
            <w:tcW w:w="1890" w:type="dxa"/>
          </w:tcPr>
          <w:p w14:paraId="29DA11FF" w14:textId="77777777" w:rsidR="00023EC0" w:rsidRPr="00023EC0" w:rsidRDefault="00023EC0" w:rsidP="006B4A8F">
            <w:pPr>
              <w:keepNext w:val="0"/>
              <w:rPr>
                <w:szCs w:val="22"/>
                <w:lang w:eastAsia="en-US"/>
              </w:rPr>
            </w:pPr>
            <w:r w:rsidRPr="00023EC0">
              <w:rPr>
                <w:szCs w:val="22"/>
                <w:lang w:eastAsia="en-US"/>
              </w:rPr>
              <w:t>Abbreviation</w:t>
            </w:r>
          </w:p>
        </w:tc>
        <w:tc>
          <w:tcPr>
            <w:tcW w:w="6830" w:type="dxa"/>
          </w:tcPr>
          <w:p w14:paraId="2DF1377C" w14:textId="77777777" w:rsidR="00023EC0" w:rsidRPr="00023EC0" w:rsidRDefault="00023EC0" w:rsidP="006B4A8F">
            <w:pPr>
              <w:keepNext w:val="0"/>
              <w:rPr>
                <w:szCs w:val="22"/>
                <w:lang w:eastAsia="en-US"/>
              </w:rPr>
            </w:pPr>
            <w:r w:rsidRPr="00023EC0">
              <w:rPr>
                <w:szCs w:val="22"/>
                <w:lang w:eastAsia="en-US"/>
              </w:rPr>
              <w:t>Meaning</w:t>
            </w:r>
          </w:p>
        </w:tc>
      </w:tr>
      <w:tr w:rsidR="00023EC0" w:rsidRPr="00023EC0" w14:paraId="7C0047C7" w14:textId="77777777" w:rsidTr="00D37B29">
        <w:tc>
          <w:tcPr>
            <w:tcW w:w="1890" w:type="dxa"/>
          </w:tcPr>
          <w:p w14:paraId="4CA5CC69" w14:textId="35065BC7" w:rsidR="00023EC0" w:rsidRPr="00023EC0" w:rsidRDefault="003655D2" w:rsidP="003655D2">
            <w:pPr>
              <w:pStyle w:val="Tabletext"/>
              <w:rPr>
                <w:rFonts w:eastAsia="Times New Roman"/>
                <w:sz w:val="22"/>
                <w:szCs w:val="22"/>
              </w:rPr>
            </w:pPr>
            <w:r>
              <w:rPr>
                <w:rFonts w:eastAsia="Times New Roman"/>
                <w:sz w:val="22"/>
                <w:szCs w:val="22"/>
              </w:rPr>
              <w:t xml:space="preserve">90 → </w:t>
            </w:r>
            <w:r w:rsidR="00023EC0" w:rsidRPr="00023EC0">
              <w:rPr>
                <w:rFonts w:eastAsia="Times New Roman"/>
                <w:sz w:val="22"/>
                <w:szCs w:val="22"/>
              </w:rPr>
              <w:t>180</w:t>
            </w:r>
            <w:r w:rsidR="00023EC0">
              <w:rPr>
                <w:rFonts w:eastAsia="Times New Roman"/>
                <w:sz w:val="22"/>
                <w:szCs w:val="22"/>
              </w:rPr>
              <w:t xml:space="preserve"> </w:t>
            </w:r>
            <w:r>
              <w:rPr>
                <w:rFonts w:eastAsia="Times New Roman"/>
                <w:sz w:val="22"/>
                <w:szCs w:val="22"/>
              </w:rPr>
              <w:t>mg</w:t>
            </w:r>
          </w:p>
        </w:tc>
        <w:tc>
          <w:tcPr>
            <w:tcW w:w="6830" w:type="dxa"/>
          </w:tcPr>
          <w:p w14:paraId="0F9FAEC4" w14:textId="365897FB" w:rsidR="00023EC0" w:rsidRPr="00023EC0" w:rsidRDefault="00023EC0" w:rsidP="003655D2">
            <w:pPr>
              <w:pStyle w:val="Tabletext"/>
              <w:rPr>
                <w:rFonts w:eastAsia="Times New Roman"/>
                <w:sz w:val="22"/>
                <w:szCs w:val="22"/>
              </w:rPr>
            </w:pPr>
            <w:r w:rsidRPr="00023EC0">
              <w:rPr>
                <w:rFonts w:eastAsia="Times New Roman"/>
                <w:sz w:val="22"/>
                <w:szCs w:val="22"/>
              </w:rPr>
              <w:t>90</w:t>
            </w:r>
            <w:r>
              <w:rPr>
                <w:rFonts w:eastAsia="Times New Roman"/>
                <w:sz w:val="22"/>
                <w:szCs w:val="22"/>
              </w:rPr>
              <w:t xml:space="preserve"> </w:t>
            </w:r>
            <w:r w:rsidRPr="00023EC0">
              <w:rPr>
                <w:rFonts w:eastAsia="Times New Roman"/>
                <w:sz w:val="22"/>
                <w:szCs w:val="22"/>
              </w:rPr>
              <w:t>mg</w:t>
            </w:r>
            <w:r w:rsidR="00EF302A">
              <w:rPr>
                <w:rFonts w:eastAsia="Times New Roman"/>
                <w:sz w:val="22"/>
                <w:szCs w:val="22"/>
              </w:rPr>
              <w:t xml:space="preserve"> once daily</w:t>
            </w:r>
            <w:r w:rsidRPr="00023EC0">
              <w:rPr>
                <w:rFonts w:eastAsia="Times New Roman"/>
                <w:sz w:val="22"/>
                <w:szCs w:val="22"/>
              </w:rPr>
              <w:t xml:space="preserve"> lead in for 7 days, then 180</w:t>
            </w:r>
            <w:r>
              <w:rPr>
                <w:rFonts w:eastAsia="Times New Roman"/>
                <w:sz w:val="22"/>
                <w:szCs w:val="22"/>
              </w:rPr>
              <w:t xml:space="preserve"> </w:t>
            </w:r>
            <w:r w:rsidRPr="00023EC0">
              <w:rPr>
                <w:rFonts w:eastAsia="Times New Roman"/>
                <w:sz w:val="22"/>
                <w:szCs w:val="22"/>
              </w:rPr>
              <w:t xml:space="preserve">mg </w:t>
            </w:r>
            <w:r w:rsidR="003655D2">
              <w:rPr>
                <w:rFonts w:eastAsia="Times New Roman"/>
                <w:sz w:val="22"/>
                <w:szCs w:val="22"/>
              </w:rPr>
              <w:t>once daily</w:t>
            </w:r>
            <w:r w:rsidRPr="00023EC0">
              <w:rPr>
                <w:rFonts w:eastAsia="Times New Roman"/>
                <w:sz w:val="22"/>
                <w:szCs w:val="22"/>
              </w:rPr>
              <w:t xml:space="preserve"> thereafter (the proposed dosing for brigatinib)</w:t>
            </w:r>
          </w:p>
        </w:tc>
      </w:tr>
      <w:tr w:rsidR="00F168D1" w:rsidRPr="00023EC0" w14:paraId="024628F9" w14:textId="77777777" w:rsidTr="00D37B29">
        <w:tc>
          <w:tcPr>
            <w:tcW w:w="1890" w:type="dxa"/>
          </w:tcPr>
          <w:p w14:paraId="3FDE4CA5" w14:textId="589E7EBF" w:rsidR="00F168D1" w:rsidRDefault="00F168D1" w:rsidP="003655D2">
            <w:pPr>
              <w:pStyle w:val="Tabletext"/>
              <w:rPr>
                <w:rFonts w:eastAsia="Times New Roman"/>
                <w:sz w:val="22"/>
              </w:rPr>
            </w:pPr>
            <w:r>
              <w:rPr>
                <w:rFonts w:eastAsia="Times New Roman"/>
                <w:sz w:val="22"/>
              </w:rPr>
              <w:t>ACM</w:t>
            </w:r>
          </w:p>
        </w:tc>
        <w:tc>
          <w:tcPr>
            <w:tcW w:w="6830" w:type="dxa"/>
          </w:tcPr>
          <w:p w14:paraId="4E2F2909" w14:textId="53713842" w:rsidR="00F168D1" w:rsidRPr="00023EC0" w:rsidRDefault="00F168D1" w:rsidP="003655D2">
            <w:pPr>
              <w:pStyle w:val="Tabletext"/>
              <w:rPr>
                <w:rFonts w:eastAsia="Times New Roman"/>
                <w:sz w:val="22"/>
              </w:rPr>
            </w:pPr>
            <w:r>
              <w:rPr>
                <w:rFonts w:eastAsia="Times New Roman"/>
                <w:sz w:val="22"/>
              </w:rPr>
              <w:t>Advisory Committee on Medicines</w:t>
            </w:r>
          </w:p>
        </w:tc>
      </w:tr>
      <w:tr w:rsidR="00023EC0" w:rsidRPr="00023EC0" w14:paraId="35962E20" w14:textId="77777777" w:rsidTr="00D37B29">
        <w:tc>
          <w:tcPr>
            <w:tcW w:w="1890" w:type="dxa"/>
          </w:tcPr>
          <w:p w14:paraId="4390621B" w14:textId="77777777" w:rsidR="00023EC0" w:rsidRPr="00023EC0" w:rsidRDefault="00023EC0" w:rsidP="006B4A8F">
            <w:pPr>
              <w:pStyle w:val="Tabletext"/>
              <w:rPr>
                <w:rFonts w:eastAsia="Times New Roman"/>
                <w:sz w:val="22"/>
                <w:szCs w:val="22"/>
              </w:rPr>
            </w:pPr>
            <w:r w:rsidRPr="00023EC0">
              <w:rPr>
                <w:rFonts w:eastAsia="Times New Roman"/>
                <w:sz w:val="22"/>
                <w:szCs w:val="22"/>
              </w:rPr>
              <w:t>AE</w:t>
            </w:r>
          </w:p>
        </w:tc>
        <w:tc>
          <w:tcPr>
            <w:tcW w:w="6830" w:type="dxa"/>
          </w:tcPr>
          <w:p w14:paraId="1510839F" w14:textId="77777777" w:rsidR="00023EC0" w:rsidRPr="00023EC0" w:rsidRDefault="006B4A8F" w:rsidP="006B4A8F">
            <w:pPr>
              <w:pStyle w:val="Tabletext"/>
              <w:rPr>
                <w:rFonts w:eastAsia="Times New Roman"/>
                <w:sz w:val="22"/>
                <w:szCs w:val="22"/>
              </w:rPr>
            </w:pPr>
            <w:r>
              <w:rPr>
                <w:rFonts w:eastAsia="Times New Roman"/>
                <w:sz w:val="22"/>
                <w:szCs w:val="22"/>
              </w:rPr>
              <w:t>A</w:t>
            </w:r>
            <w:r w:rsidR="00023EC0" w:rsidRPr="00023EC0">
              <w:rPr>
                <w:rFonts w:eastAsia="Times New Roman"/>
                <w:sz w:val="22"/>
                <w:szCs w:val="22"/>
              </w:rPr>
              <w:t>dverse event</w:t>
            </w:r>
          </w:p>
        </w:tc>
      </w:tr>
      <w:tr w:rsidR="00023EC0" w:rsidRPr="00023EC0" w14:paraId="2D34E5C8" w14:textId="77777777" w:rsidTr="00D37B29">
        <w:tc>
          <w:tcPr>
            <w:tcW w:w="1890" w:type="dxa"/>
          </w:tcPr>
          <w:p w14:paraId="5D74406A" w14:textId="77777777" w:rsidR="00023EC0" w:rsidRPr="00023EC0" w:rsidRDefault="00023EC0" w:rsidP="006B4A8F">
            <w:pPr>
              <w:pStyle w:val="Tabletext"/>
              <w:rPr>
                <w:rFonts w:eastAsia="Times New Roman"/>
                <w:sz w:val="22"/>
                <w:szCs w:val="22"/>
              </w:rPr>
            </w:pPr>
            <w:r w:rsidRPr="00023EC0">
              <w:rPr>
                <w:rFonts w:eastAsia="Times New Roman"/>
                <w:sz w:val="22"/>
                <w:szCs w:val="22"/>
              </w:rPr>
              <w:t>ALK</w:t>
            </w:r>
          </w:p>
        </w:tc>
        <w:tc>
          <w:tcPr>
            <w:tcW w:w="6830" w:type="dxa"/>
          </w:tcPr>
          <w:p w14:paraId="4FD80497" w14:textId="77777777" w:rsidR="00023EC0" w:rsidRPr="00023EC0" w:rsidRDefault="006B4A8F" w:rsidP="006B4A8F">
            <w:pPr>
              <w:pStyle w:val="Tabletext"/>
              <w:rPr>
                <w:rFonts w:eastAsia="Times New Roman"/>
                <w:sz w:val="22"/>
                <w:szCs w:val="22"/>
              </w:rPr>
            </w:pPr>
            <w:r>
              <w:rPr>
                <w:rFonts w:eastAsia="Times New Roman"/>
                <w:sz w:val="22"/>
                <w:szCs w:val="22"/>
              </w:rPr>
              <w:t>A</w:t>
            </w:r>
            <w:r w:rsidR="00023EC0" w:rsidRPr="00023EC0">
              <w:rPr>
                <w:rFonts w:eastAsia="Times New Roman"/>
                <w:sz w:val="22"/>
                <w:szCs w:val="22"/>
              </w:rPr>
              <w:t>naplastic lymphoma kinase</w:t>
            </w:r>
          </w:p>
        </w:tc>
      </w:tr>
      <w:tr w:rsidR="00023EC0" w:rsidRPr="00023EC0" w14:paraId="1EEDACF3" w14:textId="77777777" w:rsidTr="00D37B29">
        <w:tc>
          <w:tcPr>
            <w:tcW w:w="1890" w:type="dxa"/>
          </w:tcPr>
          <w:p w14:paraId="615FE3B9" w14:textId="77777777" w:rsidR="00023EC0" w:rsidRPr="00023EC0" w:rsidRDefault="00023EC0" w:rsidP="006B4A8F">
            <w:pPr>
              <w:pStyle w:val="Tabletext"/>
              <w:rPr>
                <w:rFonts w:eastAsia="Times New Roman"/>
                <w:sz w:val="22"/>
                <w:szCs w:val="22"/>
              </w:rPr>
            </w:pPr>
            <w:r w:rsidRPr="00023EC0">
              <w:rPr>
                <w:rFonts w:eastAsia="Times New Roman"/>
                <w:sz w:val="22"/>
                <w:szCs w:val="22"/>
              </w:rPr>
              <w:t>ALK+</w:t>
            </w:r>
          </w:p>
        </w:tc>
        <w:tc>
          <w:tcPr>
            <w:tcW w:w="6830" w:type="dxa"/>
          </w:tcPr>
          <w:p w14:paraId="36B027A5" w14:textId="77777777" w:rsidR="00023EC0" w:rsidRPr="00023EC0" w:rsidRDefault="006B4A8F" w:rsidP="006B4A8F">
            <w:pPr>
              <w:pStyle w:val="Tabletext"/>
              <w:rPr>
                <w:rFonts w:eastAsia="Times New Roman"/>
                <w:sz w:val="22"/>
                <w:szCs w:val="22"/>
              </w:rPr>
            </w:pPr>
            <w:r>
              <w:rPr>
                <w:rFonts w:eastAsia="Times New Roman"/>
                <w:sz w:val="22"/>
                <w:szCs w:val="22"/>
              </w:rPr>
              <w:t>A</w:t>
            </w:r>
            <w:r w:rsidR="00BE2962">
              <w:rPr>
                <w:rFonts w:eastAsia="Times New Roman"/>
                <w:sz w:val="22"/>
                <w:szCs w:val="22"/>
              </w:rPr>
              <w:t xml:space="preserve">naplastic lymphoma kinase gene rearrangement </w:t>
            </w:r>
            <w:r w:rsidR="00023EC0" w:rsidRPr="00023EC0">
              <w:rPr>
                <w:rFonts w:eastAsia="Times New Roman"/>
                <w:sz w:val="22"/>
                <w:szCs w:val="22"/>
              </w:rPr>
              <w:t>positive</w:t>
            </w:r>
          </w:p>
        </w:tc>
      </w:tr>
      <w:tr w:rsidR="00023EC0" w:rsidRPr="00023EC0" w14:paraId="6CAA8503" w14:textId="77777777" w:rsidTr="00D37B29">
        <w:tc>
          <w:tcPr>
            <w:tcW w:w="1890" w:type="dxa"/>
          </w:tcPr>
          <w:p w14:paraId="5BA74E28" w14:textId="77777777" w:rsidR="00023EC0" w:rsidRPr="00023EC0" w:rsidRDefault="00023EC0" w:rsidP="006B4A8F">
            <w:pPr>
              <w:pStyle w:val="Tabletext"/>
              <w:rPr>
                <w:rFonts w:eastAsia="Times New Roman"/>
                <w:sz w:val="22"/>
                <w:szCs w:val="22"/>
              </w:rPr>
            </w:pPr>
            <w:r w:rsidRPr="00023EC0">
              <w:rPr>
                <w:rFonts w:eastAsia="Times New Roman"/>
                <w:sz w:val="22"/>
                <w:szCs w:val="22"/>
              </w:rPr>
              <w:t>ALT</w:t>
            </w:r>
          </w:p>
        </w:tc>
        <w:tc>
          <w:tcPr>
            <w:tcW w:w="6830" w:type="dxa"/>
          </w:tcPr>
          <w:p w14:paraId="3C6E406E" w14:textId="77777777" w:rsidR="00023EC0" w:rsidRPr="00023EC0" w:rsidRDefault="006B4A8F" w:rsidP="006B4A8F">
            <w:pPr>
              <w:pStyle w:val="Tabletext"/>
              <w:rPr>
                <w:rFonts w:eastAsia="Times New Roman"/>
                <w:sz w:val="22"/>
                <w:szCs w:val="22"/>
              </w:rPr>
            </w:pPr>
            <w:r>
              <w:rPr>
                <w:rFonts w:eastAsia="Times New Roman"/>
                <w:sz w:val="22"/>
                <w:szCs w:val="22"/>
              </w:rPr>
              <w:t>A</w:t>
            </w:r>
            <w:r w:rsidR="00023EC0" w:rsidRPr="00023EC0">
              <w:rPr>
                <w:rFonts w:eastAsia="Times New Roman"/>
                <w:sz w:val="22"/>
                <w:szCs w:val="22"/>
              </w:rPr>
              <w:t>lanine aminotransferase</w:t>
            </w:r>
          </w:p>
        </w:tc>
      </w:tr>
      <w:tr w:rsidR="00F168D1" w:rsidRPr="00023EC0" w14:paraId="20CA0DAF" w14:textId="77777777" w:rsidTr="00D37B29">
        <w:tc>
          <w:tcPr>
            <w:tcW w:w="1890" w:type="dxa"/>
          </w:tcPr>
          <w:p w14:paraId="514EA14F" w14:textId="027BC2D4" w:rsidR="00F168D1" w:rsidRPr="00023EC0" w:rsidRDefault="00F168D1" w:rsidP="006B4A8F">
            <w:pPr>
              <w:pStyle w:val="Tabletext"/>
              <w:rPr>
                <w:rFonts w:eastAsia="Times New Roman"/>
                <w:sz w:val="22"/>
              </w:rPr>
            </w:pPr>
            <w:r>
              <w:rPr>
                <w:rFonts w:eastAsia="Times New Roman"/>
                <w:sz w:val="22"/>
              </w:rPr>
              <w:t>ARTG</w:t>
            </w:r>
          </w:p>
        </w:tc>
        <w:tc>
          <w:tcPr>
            <w:tcW w:w="6830" w:type="dxa"/>
          </w:tcPr>
          <w:p w14:paraId="508F33FB" w14:textId="60EDE0BB" w:rsidR="00F168D1" w:rsidRDefault="00F168D1" w:rsidP="006B4A8F">
            <w:pPr>
              <w:pStyle w:val="Tabletext"/>
              <w:rPr>
                <w:rFonts w:eastAsia="Times New Roman"/>
                <w:sz w:val="22"/>
              </w:rPr>
            </w:pPr>
            <w:r>
              <w:rPr>
                <w:rFonts w:eastAsia="Times New Roman"/>
                <w:sz w:val="22"/>
              </w:rPr>
              <w:t>Australian Register of Therapeutic Goods</w:t>
            </w:r>
          </w:p>
        </w:tc>
      </w:tr>
      <w:tr w:rsidR="00DF5AFE" w:rsidRPr="00023EC0" w14:paraId="387A50EC" w14:textId="77777777" w:rsidTr="00D37B29">
        <w:tc>
          <w:tcPr>
            <w:tcW w:w="1890" w:type="dxa"/>
          </w:tcPr>
          <w:p w14:paraId="522255B8" w14:textId="4CCF60A6" w:rsidR="00DF5AFE" w:rsidRPr="00023EC0" w:rsidRDefault="00DF5AFE" w:rsidP="006B4A8F">
            <w:pPr>
              <w:pStyle w:val="Tabletext"/>
              <w:rPr>
                <w:rFonts w:eastAsia="Times New Roman"/>
                <w:sz w:val="22"/>
              </w:rPr>
            </w:pPr>
            <w:r w:rsidRPr="00DF5AFE">
              <w:rPr>
                <w:rFonts w:eastAsia="Times New Roman"/>
                <w:sz w:val="22"/>
              </w:rPr>
              <w:t>ASA</w:t>
            </w:r>
          </w:p>
        </w:tc>
        <w:tc>
          <w:tcPr>
            <w:tcW w:w="6830" w:type="dxa"/>
          </w:tcPr>
          <w:p w14:paraId="0A3F4658" w14:textId="594D8B73" w:rsidR="00DF5AFE" w:rsidRPr="00023EC0" w:rsidRDefault="00DF5AFE" w:rsidP="00DF5AFE">
            <w:pPr>
              <w:pStyle w:val="Tabletext"/>
              <w:rPr>
                <w:rFonts w:eastAsia="Times New Roman"/>
                <w:sz w:val="22"/>
              </w:rPr>
            </w:pPr>
            <w:r>
              <w:rPr>
                <w:rFonts w:eastAsia="Times New Roman"/>
                <w:sz w:val="22"/>
              </w:rPr>
              <w:t>Australian specific Annex</w:t>
            </w:r>
          </w:p>
        </w:tc>
      </w:tr>
      <w:tr w:rsidR="00023EC0" w:rsidRPr="00023EC0" w14:paraId="6CCFA546" w14:textId="77777777" w:rsidTr="00D37B29">
        <w:tc>
          <w:tcPr>
            <w:tcW w:w="1890" w:type="dxa"/>
          </w:tcPr>
          <w:p w14:paraId="61CE7730" w14:textId="77777777" w:rsidR="00023EC0" w:rsidRPr="00023EC0" w:rsidRDefault="00023EC0" w:rsidP="006B4A8F">
            <w:pPr>
              <w:pStyle w:val="Tabletext"/>
              <w:rPr>
                <w:rFonts w:eastAsia="Times New Roman"/>
                <w:sz w:val="22"/>
                <w:szCs w:val="22"/>
              </w:rPr>
            </w:pPr>
            <w:r w:rsidRPr="00023EC0">
              <w:rPr>
                <w:rFonts w:eastAsia="Times New Roman"/>
                <w:sz w:val="22"/>
                <w:szCs w:val="22"/>
              </w:rPr>
              <w:t>AST</w:t>
            </w:r>
          </w:p>
        </w:tc>
        <w:tc>
          <w:tcPr>
            <w:tcW w:w="6830" w:type="dxa"/>
          </w:tcPr>
          <w:p w14:paraId="48BF453A" w14:textId="1851FC7A" w:rsidR="00023EC0" w:rsidRPr="00023EC0" w:rsidRDefault="00A641D8" w:rsidP="006B4A8F">
            <w:pPr>
              <w:pStyle w:val="Tabletext"/>
              <w:rPr>
                <w:rFonts w:eastAsia="Times New Roman"/>
                <w:sz w:val="22"/>
                <w:szCs w:val="22"/>
              </w:rPr>
            </w:pPr>
            <w:r>
              <w:rPr>
                <w:rFonts w:eastAsia="Times New Roman"/>
                <w:sz w:val="22"/>
                <w:szCs w:val="22"/>
              </w:rPr>
              <w:t>A</w:t>
            </w:r>
            <w:r w:rsidR="00023EC0" w:rsidRPr="00023EC0">
              <w:rPr>
                <w:rFonts w:eastAsia="Times New Roman"/>
                <w:sz w:val="22"/>
                <w:szCs w:val="22"/>
              </w:rPr>
              <w:t>spartate aminotransferase</w:t>
            </w:r>
          </w:p>
        </w:tc>
      </w:tr>
      <w:tr w:rsidR="000F30A1" w:rsidRPr="00023EC0" w14:paraId="49E28CF4" w14:textId="77777777" w:rsidTr="00D37B29">
        <w:tc>
          <w:tcPr>
            <w:tcW w:w="1890" w:type="dxa"/>
          </w:tcPr>
          <w:p w14:paraId="71FFC9CE" w14:textId="77777777" w:rsidR="000F30A1" w:rsidRPr="00023EC0" w:rsidRDefault="000F30A1" w:rsidP="006B4A8F">
            <w:pPr>
              <w:pStyle w:val="Tabletext"/>
              <w:rPr>
                <w:rFonts w:eastAsia="Times New Roman"/>
                <w:sz w:val="22"/>
              </w:rPr>
            </w:pPr>
            <w:r w:rsidRPr="000F30A1">
              <w:rPr>
                <w:rFonts w:eastAsia="Times New Roman"/>
                <w:sz w:val="22"/>
              </w:rPr>
              <w:t>AUC</w:t>
            </w:r>
          </w:p>
        </w:tc>
        <w:tc>
          <w:tcPr>
            <w:tcW w:w="6830" w:type="dxa"/>
          </w:tcPr>
          <w:p w14:paraId="7CEDCD1B" w14:textId="3866F5D8" w:rsidR="000F30A1" w:rsidRPr="00023EC0" w:rsidRDefault="000F30A1" w:rsidP="000F30A1">
            <w:pPr>
              <w:pStyle w:val="Tabletext"/>
              <w:rPr>
                <w:rFonts w:eastAsia="Times New Roman"/>
                <w:sz w:val="22"/>
              </w:rPr>
            </w:pPr>
            <w:r>
              <w:rPr>
                <w:rFonts w:eastAsia="Times New Roman"/>
                <w:sz w:val="22"/>
              </w:rPr>
              <w:t>A</w:t>
            </w:r>
            <w:r w:rsidRPr="000F30A1">
              <w:rPr>
                <w:rFonts w:eastAsia="Times New Roman"/>
                <w:sz w:val="22"/>
              </w:rPr>
              <w:t>rea under the p</w:t>
            </w:r>
            <w:r>
              <w:rPr>
                <w:rFonts w:eastAsia="Times New Roman"/>
                <w:sz w:val="22"/>
              </w:rPr>
              <w:t>lasma concentration</w:t>
            </w:r>
            <w:r w:rsidR="00F168D1">
              <w:rPr>
                <w:rFonts w:eastAsia="Times New Roman"/>
                <w:sz w:val="22"/>
              </w:rPr>
              <w:t>-</w:t>
            </w:r>
            <w:r>
              <w:rPr>
                <w:rFonts w:eastAsia="Times New Roman"/>
                <w:sz w:val="22"/>
              </w:rPr>
              <w:t>time curve</w:t>
            </w:r>
          </w:p>
        </w:tc>
      </w:tr>
      <w:tr w:rsidR="00023EC0" w:rsidRPr="00023EC0" w14:paraId="2C9148D2" w14:textId="77777777" w:rsidTr="00D37B29">
        <w:tc>
          <w:tcPr>
            <w:tcW w:w="1890" w:type="dxa"/>
          </w:tcPr>
          <w:p w14:paraId="418C9877" w14:textId="77777777" w:rsidR="00023EC0" w:rsidRPr="00023EC0" w:rsidRDefault="00023EC0" w:rsidP="006B4A8F">
            <w:pPr>
              <w:pStyle w:val="Tabletext"/>
              <w:rPr>
                <w:rFonts w:eastAsia="Times New Roman"/>
                <w:sz w:val="22"/>
                <w:szCs w:val="22"/>
              </w:rPr>
            </w:pPr>
            <w:r w:rsidRPr="00023EC0">
              <w:rPr>
                <w:rFonts w:eastAsia="Times New Roman"/>
                <w:sz w:val="22"/>
                <w:szCs w:val="22"/>
              </w:rPr>
              <w:t>AUC</w:t>
            </w:r>
            <w:r w:rsidRPr="00023EC0">
              <w:rPr>
                <w:rFonts w:eastAsia="Times New Roman"/>
                <w:sz w:val="22"/>
                <w:szCs w:val="22"/>
                <w:vertAlign w:val="subscript"/>
              </w:rPr>
              <w:t>0-∞</w:t>
            </w:r>
          </w:p>
        </w:tc>
        <w:tc>
          <w:tcPr>
            <w:tcW w:w="6830" w:type="dxa"/>
          </w:tcPr>
          <w:p w14:paraId="49C1D83C" w14:textId="697C1898" w:rsidR="00023EC0" w:rsidRPr="00023EC0" w:rsidRDefault="00D37B29" w:rsidP="006B4A8F">
            <w:pPr>
              <w:pStyle w:val="Tabletext"/>
              <w:rPr>
                <w:rFonts w:eastAsia="Times New Roman"/>
                <w:sz w:val="22"/>
                <w:szCs w:val="22"/>
              </w:rPr>
            </w:pPr>
            <w:r>
              <w:rPr>
                <w:rFonts w:eastAsia="Times New Roman"/>
                <w:sz w:val="22"/>
                <w:szCs w:val="22"/>
              </w:rPr>
              <w:t>A</w:t>
            </w:r>
            <w:r w:rsidR="00023EC0" w:rsidRPr="00023EC0">
              <w:rPr>
                <w:rFonts w:eastAsia="Times New Roman"/>
                <w:sz w:val="22"/>
                <w:szCs w:val="22"/>
              </w:rPr>
              <w:t>rea under the plasma concentration-time curve from time zero</w:t>
            </w:r>
            <w:r w:rsidR="00F168D1">
              <w:rPr>
                <w:rFonts w:eastAsia="Times New Roman"/>
                <w:sz w:val="22"/>
                <w:szCs w:val="22"/>
              </w:rPr>
              <w:t xml:space="preserve"> extrapolated</w:t>
            </w:r>
            <w:r w:rsidR="00023EC0" w:rsidRPr="00023EC0">
              <w:rPr>
                <w:rFonts w:eastAsia="Times New Roman"/>
                <w:sz w:val="22"/>
                <w:szCs w:val="22"/>
              </w:rPr>
              <w:t xml:space="preserve"> to infinity</w:t>
            </w:r>
          </w:p>
        </w:tc>
      </w:tr>
      <w:tr w:rsidR="00023EC0" w:rsidRPr="00023EC0" w14:paraId="3D0DB6AF" w14:textId="77777777" w:rsidTr="00D37B29">
        <w:tc>
          <w:tcPr>
            <w:tcW w:w="1890" w:type="dxa"/>
          </w:tcPr>
          <w:p w14:paraId="70C0601F" w14:textId="77777777" w:rsidR="00023EC0" w:rsidRPr="00023EC0" w:rsidRDefault="00023EC0" w:rsidP="006B4A8F">
            <w:pPr>
              <w:pStyle w:val="Tabletext"/>
              <w:rPr>
                <w:rFonts w:eastAsia="Times New Roman"/>
                <w:sz w:val="22"/>
                <w:szCs w:val="22"/>
              </w:rPr>
            </w:pPr>
            <w:r w:rsidRPr="00023EC0">
              <w:rPr>
                <w:rFonts w:eastAsia="Times New Roman"/>
                <w:sz w:val="22"/>
                <w:szCs w:val="22"/>
              </w:rPr>
              <w:t>CHMP</w:t>
            </w:r>
          </w:p>
        </w:tc>
        <w:tc>
          <w:tcPr>
            <w:tcW w:w="6830" w:type="dxa"/>
          </w:tcPr>
          <w:p w14:paraId="1F348637" w14:textId="77777777" w:rsidR="00023EC0" w:rsidRPr="00023EC0" w:rsidRDefault="00023EC0" w:rsidP="006B4A8F">
            <w:pPr>
              <w:pStyle w:val="Tabletext"/>
              <w:rPr>
                <w:rFonts w:eastAsia="Times New Roman"/>
                <w:sz w:val="22"/>
                <w:szCs w:val="22"/>
              </w:rPr>
            </w:pPr>
            <w:r w:rsidRPr="00023EC0">
              <w:rPr>
                <w:rFonts w:eastAsia="Times New Roman"/>
                <w:sz w:val="22"/>
                <w:szCs w:val="22"/>
              </w:rPr>
              <w:t>Committee for Medicinal Products for Human Use</w:t>
            </w:r>
            <w:r w:rsidR="008A2E25">
              <w:rPr>
                <w:rFonts w:eastAsia="Times New Roman"/>
                <w:sz w:val="22"/>
                <w:szCs w:val="22"/>
              </w:rPr>
              <w:t xml:space="preserve"> (EU)</w:t>
            </w:r>
          </w:p>
        </w:tc>
      </w:tr>
      <w:tr w:rsidR="00023EC0" w:rsidRPr="00023EC0" w14:paraId="13DCDFBF" w14:textId="77777777" w:rsidTr="00D37B29">
        <w:tc>
          <w:tcPr>
            <w:tcW w:w="1890" w:type="dxa"/>
          </w:tcPr>
          <w:p w14:paraId="52263515" w14:textId="77777777" w:rsidR="00023EC0" w:rsidRPr="00023EC0" w:rsidRDefault="00023EC0" w:rsidP="006B4A8F">
            <w:pPr>
              <w:pStyle w:val="Tabletext"/>
              <w:rPr>
                <w:rFonts w:eastAsia="Times New Roman"/>
                <w:sz w:val="22"/>
                <w:szCs w:val="22"/>
              </w:rPr>
            </w:pPr>
            <w:r w:rsidRPr="00023EC0">
              <w:rPr>
                <w:rFonts w:eastAsia="Times New Roman"/>
                <w:sz w:val="22"/>
                <w:szCs w:val="22"/>
              </w:rPr>
              <w:t>CI</w:t>
            </w:r>
          </w:p>
        </w:tc>
        <w:tc>
          <w:tcPr>
            <w:tcW w:w="6830" w:type="dxa"/>
          </w:tcPr>
          <w:p w14:paraId="1ECF5AD8" w14:textId="6FC7A279" w:rsidR="00023EC0" w:rsidRPr="00023EC0" w:rsidRDefault="00AB0211" w:rsidP="006B4A8F">
            <w:pPr>
              <w:pStyle w:val="Tabletext"/>
              <w:rPr>
                <w:rFonts w:eastAsia="Times New Roman"/>
                <w:sz w:val="22"/>
                <w:szCs w:val="22"/>
              </w:rPr>
            </w:pPr>
            <w:r>
              <w:rPr>
                <w:rFonts w:eastAsia="Times New Roman"/>
                <w:sz w:val="22"/>
                <w:szCs w:val="22"/>
              </w:rPr>
              <w:t>C</w:t>
            </w:r>
            <w:r w:rsidR="00023EC0" w:rsidRPr="00023EC0">
              <w:rPr>
                <w:rFonts w:eastAsia="Times New Roman"/>
                <w:sz w:val="22"/>
                <w:szCs w:val="22"/>
              </w:rPr>
              <w:t>onfidence interval</w:t>
            </w:r>
          </w:p>
        </w:tc>
      </w:tr>
      <w:tr w:rsidR="00351BC8" w:rsidRPr="00023EC0" w14:paraId="1D56C1E1" w14:textId="77777777" w:rsidTr="00D37B29">
        <w:tc>
          <w:tcPr>
            <w:tcW w:w="1890" w:type="dxa"/>
          </w:tcPr>
          <w:p w14:paraId="452D915F" w14:textId="0C740D54" w:rsidR="00351BC8" w:rsidRPr="00023EC0" w:rsidRDefault="00351BC8" w:rsidP="006B4A8F">
            <w:pPr>
              <w:pStyle w:val="Tabletext"/>
              <w:rPr>
                <w:rFonts w:eastAsia="Times New Roman"/>
                <w:sz w:val="22"/>
              </w:rPr>
            </w:pPr>
            <w:r w:rsidRPr="00351BC8">
              <w:rPr>
                <w:rFonts w:eastAsia="Times New Roman"/>
                <w:sz w:val="22"/>
              </w:rPr>
              <w:t>CMI</w:t>
            </w:r>
          </w:p>
        </w:tc>
        <w:tc>
          <w:tcPr>
            <w:tcW w:w="6830" w:type="dxa"/>
          </w:tcPr>
          <w:p w14:paraId="002EC561" w14:textId="7F88AB85" w:rsidR="00351BC8" w:rsidRPr="00023EC0" w:rsidRDefault="00351BC8" w:rsidP="00351BC8">
            <w:pPr>
              <w:pStyle w:val="Tabletext"/>
              <w:rPr>
                <w:rFonts w:eastAsia="Times New Roman"/>
                <w:sz w:val="22"/>
              </w:rPr>
            </w:pPr>
            <w:r>
              <w:rPr>
                <w:rFonts w:eastAsia="Times New Roman"/>
                <w:sz w:val="22"/>
              </w:rPr>
              <w:t>Consumer Medicines Information</w:t>
            </w:r>
          </w:p>
        </w:tc>
      </w:tr>
      <w:tr w:rsidR="00023EC0" w:rsidRPr="00023EC0" w14:paraId="2146A02F" w14:textId="77777777" w:rsidTr="00D37B29">
        <w:tc>
          <w:tcPr>
            <w:tcW w:w="1890" w:type="dxa"/>
          </w:tcPr>
          <w:p w14:paraId="1E3E68AD" w14:textId="77777777" w:rsidR="00023EC0" w:rsidRPr="00023EC0" w:rsidRDefault="00023EC0" w:rsidP="006B4A8F">
            <w:pPr>
              <w:pStyle w:val="Tabletext"/>
              <w:rPr>
                <w:rFonts w:eastAsia="Times New Roman"/>
                <w:sz w:val="22"/>
                <w:szCs w:val="22"/>
              </w:rPr>
            </w:pPr>
            <w:r w:rsidRPr="00023EC0">
              <w:rPr>
                <w:rFonts w:eastAsia="Times New Roman"/>
                <w:sz w:val="22"/>
                <w:szCs w:val="22"/>
              </w:rPr>
              <w:t>CNS</w:t>
            </w:r>
          </w:p>
        </w:tc>
        <w:tc>
          <w:tcPr>
            <w:tcW w:w="6830" w:type="dxa"/>
          </w:tcPr>
          <w:p w14:paraId="5B428073" w14:textId="77777777" w:rsidR="00023EC0" w:rsidRPr="00023EC0" w:rsidRDefault="00CB4840" w:rsidP="006B4A8F">
            <w:pPr>
              <w:pStyle w:val="Tabletext"/>
              <w:rPr>
                <w:rFonts w:eastAsia="Times New Roman"/>
                <w:sz w:val="22"/>
                <w:szCs w:val="22"/>
              </w:rPr>
            </w:pPr>
            <w:r>
              <w:rPr>
                <w:rFonts w:eastAsia="Times New Roman"/>
                <w:sz w:val="22"/>
                <w:szCs w:val="22"/>
              </w:rPr>
              <w:t>C</w:t>
            </w:r>
            <w:r w:rsidR="00023EC0" w:rsidRPr="00023EC0">
              <w:rPr>
                <w:rFonts w:eastAsia="Times New Roman"/>
                <w:sz w:val="22"/>
                <w:szCs w:val="22"/>
              </w:rPr>
              <w:t>entral nervous system</w:t>
            </w:r>
          </w:p>
        </w:tc>
      </w:tr>
      <w:tr w:rsidR="00023EC0" w:rsidRPr="00023EC0" w14:paraId="2BB3C447" w14:textId="77777777" w:rsidTr="00D37B29">
        <w:tc>
          <w:tcPr>
            <w:tcW w:w="1890" w:type="dxa"/>
          </w:tcPr>
          <w:p w14:paraId="2D7BEDD6" w14:textId="77777777" w:rsidR="00023EC0" w:rsidRPr="00023EC0" w:rsidRDefault="00023EC0" w:rsidP="006B4A8F">
            <w:pPr>
              <w:pStyle w:val="Tabletext"/>
              <w:rPr>
                <w:rFonts w:eastAsia="Times New Roman"/>
                <w:sz w:val="22"/>
                <w:szCs w:val="22"/>
              </w:rPr>
            </w:pPr>
            <w:r w:rsidRPr="00023EC0">
              <w:rPr>
                <w:rFonts w:eastAsia="Times New Roman"/>
                <w:sz w:val="22"/>
                <w:szCs w:val="22"/>
              </w:rPr>
              <w:t>CPK</w:t>
            </w:r>
          </w:p>
        </w:tc>
        <w:tc>
          <w:tcPr>
            <w:tcW w:w="6830" w:type="dxa"/>
          </w:tcPr>
          <w:p w14:paraId="065FFE84" w14:textId="455C1197" w:rsidR="00023EC0" w:rsidRPr="00023EC0" w:rsidRDefault="00A641D8" w:rsidP="006B4A8F">
            <w:pPr>
              <w:pStyle w:val="Tabletext"/>
              <w:rPr>
                <w:rFonts w:eastAsia="Times New Roman"/>
                <w:sz w:val="22"/>
                <w:szCs w:val="22"/>
              </w:rPr>
            </w:pPr>
            <w:r>
              <w:rPr>
                <w:rFonts w:eastAsia="Times New Roman"/>
                <w:sz w:val="22"/>
                <w:szCs w:val="22"/>
              </w:rPr>
              <w:t>C</w:t>
            </w:r>
            <w:r w:rsidR="00023EC0" w:rsidRPr="00023EC0">
              <w:rPr>
                <w:rFonts w:eastAsia="Times New Roman"/>
                <w:sz w:val="22"/>
                <w:szCs w:val="22"/>
              </w:rPr>
              <w:t>reat</w:t>
            </w:r>
            <w:r>
              <w:rPr>
                <w:rFonts w:eastAsia="Times New Roman"/>
                <w:sz w:val="22"/>
                <w:szCs w:val="22"/>
              </w:rPr>
              <w:t>in</w:t>
            </w:r>
            <w:r w:rsidR="00023EC0" w:rsidRPr="00023EC0">
              <w:rPr>
                <w:rFonts w:eastAsia="Times New Roman"/>
                <w:sz w:val="22"/>
                <w:szCs w:val="22"/>
              </w:rPr>
              <w:t>ine phosphokinase</w:t>
            </w:r>
          </w:p>
        </w:tc>
      </w:tr>
      <w:tr w:rsidR="00023EC0" w:rsidRPr="00023EC0" w14:paraId="32CBDA74" w14:textId="77777777" w:rsidTr="00D37B29">
        <w:tc>
          <w:tcPr>
            <w:tcW w:w="1890" w:type="dxa"/>
          </w:tcPr>
          <w:p w14:paraId="2A7DA5B8" w14:textId="77777777" w:rsidR="00023EC0" w:rsidRPr="00023EC0" w:rsidRDefault="00023EC0" w:rsidP="006B4A8F">
            <w:pPr>
              <w:pStyle w:val="Tabletext"/>
              <w:rPr>
                <w:rFonts w:eastAsia="Times New Roman"/>
                <w:sz w:val="22"/>
                <w:szCs w:val="22"/>
              </w:rPr>
            </w:pPr>
            <w:r w:rsidRPr="00023EC0">
              <w:rPr>
                <w:rFonts w:eastAsia="Times New Roman"/>
                <w:sz w:val="22"/>
                <w:szCs w:val="22"/>
              </w:rPr>
              <w:t>CR</w:t>
            </w:r>
          </w:p>
        </w:tc>
        <w:tc>
          <w:tcPr>
            <w:tcW w:w="6830" w:type="dxa"/>
          </w:tcPr>
          <w:p w14:paraId="314B5A16" w14:textId="7330B1FC" w:rsidR="00023EC0" w:rsidRPr="00023EC0" w:rsidRDefault="00AA3A90" w:rsidP="006B4A8F">
            <w:pPr>
              <w:pStyle w:val="Tabletext"/>
              <w:rPr>
                <w:rFonts w:eastAsia="Times New Roman"/>
                <w:sz w:val="22"/>
                <w:szCs w:val="22"/>
              </w:rPr>
            </w:pPr>
            <w:r>
              <w:rPr>
                <w:rFonts w:eastAsia="Times New Roman"/>
                <w:sz w:val="22"/>
                <w:szCs w:val="22"/>
              </w:rPr>
              <w:t>C</w:t>
            </w:r>
            <w:r w:rsidR="00023EC0" w:rsidRPr="00023EC0">
              <w:rPr>
                <w:rFonts w:eastAsia="Times New Roman"/>
                <w:sz w:val="22"/>
                <w:szCs w:val="22"/>
              </w:rPr>
              <w:t>omplete response</w:t>
            </w:r>
          </w:p>
        </w:tc>
      </w:tr>
      <w:tr w:rsidR="00023EC0" w:rsidRPr="00023EC0" w14:paraId="60DDDB57" w14:textId="77777777" w:rsidTr="00D37B29">
        <w:tc>
          <w:tcPr>
            <w:tcW w:w="1890" w:type="dxa"/>
          </w:tcPr>
          <w:p w14:paraId="61B3A895" w14:textId="77777777" w:rsidR="00023EC0" w:rsidRPr="00023EC0" w:rsidRDefault="00023EC0" w:rsidP="006B4A8F">
            <w:pPr>
              <w:pStyle w:val="Tabletext"/>
              <w:rPr>
                <w:rFonts w:eastAsia="Times New Roman"/>
                <w:sz w:val="22"/>
                <w:szCs w:val="22"/>
              </w:rPr>
            </w:pPr>
            <w:r w:rsidRPr="00023EC0">
              <w:rPr>
                <w:rFonts w:eastAsia="Times New Roman"/>
                <w:sz w:val="22"/>
                <w:szCs w:val="22"/>
              </w:rPr>
              <w:t>CTCAE</w:t>
            </w:r>
          </w:p>
        </w:tc>
        <w:tc>
          <w:tcPr>
            <w:tcW w:w="6830" w:type="dxa"/>
          </w:tcPr>
          <w:p w14:paraId="445736CB" w14:textId="77777777" w:rsidR="00023EC0" w:rsidRPr="00023EC0" w:rsidRDefault="00023EC0" w:rsidP="006B4A8F">
            <w:pPr>
              <w:pStyle w:val="Tabletext"/>
              <w:rPr>
                <w:rFonts w:eastAsia="Times New Roman"/>
                <w:sz w:val="22"/>
                <w:szCs w:val="22"/>
              </w:rPr>
            </w:pPr>
            <w:r w:rsidRPr="00023EC0">
              <w:rPr>
                <w:rFonts w:eastAsia="Times New Roman"/>
                <w:sz w:val="22"/>
                <w:szCs w:val="22"/>
              </w:rPr>
              <w:t>Common Terminology Criteria for Adverse Events</w:t>
            </w:r>
          </w:p>
        </w:tc>
      </w:tr>
      <w:tr w:rsidR="000F30A1" w:rsidRPr="00023EC0" w14:paraId="4C6B90E7" w14:textId="77777777" w:rsidTr="00D37B29">
        <w:tc>
          <w:tcPr>
            <w:tcW w:w="1890" w:type="dxa"/>
          </w:tcPr>
          <w:p w14:paraId="70AFEB91" w14:textId="77777777" w:rsidR="000F30A1" w:rsidRPr="00023EC0" w:rsidRDefault="000F30A1" w:rsidP="006B4A8F">
            <w:pPr>
              <w:pStyle w:val="Tabletext"/>
              <w:rPr>
                <w:rFonts w:eastAsia="Times New Roman"/>
                <w:sz w:val="22"/>
              </w:rPr>
            </w:pPr>
            <w:r w:rsidRPr="000F30A1">
              <w:rPr>
                <w:rFonts w:eastAsia="Times New Roman"/>
                <w:sz w:val="22"/>
              </w:rPr>
              <w:t>CYP</w:t>
            </w:r>
          </w:p>
        </w:tc>
        <w:tc>
          <w:tcPr>
            <w:tcW w:w="6830" w:type="dxa"/>
          </w:tcPr>
          <w:p w14:paraId="27ED0F2A" w14:textId="77777777" w:rsidR="000F30A1" w:rsidRPr="00023EC0" w:rsidRDefault="000F30A1" w:rsidP="000F30A1">
            <w:pPr>
              <w:pStyle w:val="Tabletext"/>
              <w:rPr>
                <w:rFonts w:eastAsia="Times New Roman"/>
                <w:sz w:val="22"/>
              </w:rPr>
            </w:pPr>
            <w:r>
              <w:rPr>
                <w:rFonts w:eastAsia="Times New Roman"/>
                <w:sz w:val="22"/>
              </w:rPr>
              <w:t>Cytochrome P450</w:t>
            </w:r>
          </w:p>
        </w:tc>
      </w:tr>
      <w:tr w:rsidR="00023EC0" w:rsidRPr="00023EC0" w14:paraId="571E23DC" w14:textId="77777777" w:rsidTr="00D37B29">
        <w:tc>
          <w:tcPr>
            <w:tcW w:w="1890" w:type="dxa"/>
          </w:tcPr>
          <w:p w14:paraId="39ACC6AF" w14:textId="77777777" w:rsidR="00023EC0" w:rsidRPr="00023EC0" w:rsidRDefault="00023EC0" w:rsidP="006B4A8F">
            <w:pPr>
              <w:pStyle w:val="Tabletext"/>
              <w:rPr>
                <w:rFonts w:eastAsia="Times New Roman"/>
                <w:sz w:val="22"/>
                <w:szCs w:val="22"/>
              </w:rPr>
            </w:pPr>
            <w:r w:rsidRPr="00023EC0">
              <w:rPr>
                <w:rFonts w:eastAsia="Times New Roman"/>
                <w:sz w:val="22"/>
                <w:szCs w:val="22"/>
              </w:rPr>
              <w:t>DCR</w:t>
            </w:r>
          </w:p>
        </w:tc>
        <w:tc>
          <w:tcPr>
            <w:tcW w:w="6830" w:type="dxa"/>
          </w:tcPr>
          <w:p w14:paraId="344F0922" w14:textId="447524A2" w:rsidR="00023EC0" w:rsidRPr="00023EC0" w:rsidRDefault="00AA3A90" w:rsidP="006B4A8F">
            <w:pPr>
              <w:pStyle w:val="Tabletext"/>
              <w:rPr>
                <w:rFonts w:eastAsia="Times New Roman"/>
                <w:sz w:val="22"/>
                <w:szCs w:val="22"/>
              </w:rPr>
            </w:pPr>
            <w:r>
              <w:rPr>
                <w:rFonts w:eastAsia="Times New Roman"/>
                <w:sz w:val="22"/>
                <w:szCs w:val="22"/>
              </w:rPr>
              <w:t>D</w:t>
            </w:r>
            <w:r w:rsidR="00023EC0" w:rsidRPr="00023EC0">
              <w:rPr>
                <w:rFonts w:eastAsia="Times New Roman"/>
                <w:sz w:val="22"/>
                <w:szCs w:val="22"/>
              </w:rPr>
              <w:t>isease control rate (response is at least stable disease or better)</w:t>
            </w:r>
          </w:p>
        </w:tc>
      </w:tr>
      <w:tr w:rsidR="004649E0" w:rsidRPr="00023EC0" w14:paraId="6410693B" w14:textId="77777777" w:rsidTr="00D37B29">
        <w:tc>
          <w:tcPr>
            <w:tcW w:w="1890" w:type="dxa"/>
          </w:tcPr>
          <w:p w14:paraId="0C55F697" w14:textId="63C3B613" w:rsidR="004649E0" w:rsidRPr="00023EC0" w:rsidRDefault="004649E0" w:rsidP="006B4A8F">
            <w:pPr>
              <w:pStyle w:val="Tabletext"/>
              <w:rPr>
                <w:rFonts w:eastAsia="Times New Roman"/>
                <w:sz w:val="22"/>
              </w:rPr>
            </w:pPr>
            <w:r w:rsidRPr="004649E0">
              <w:rPr>
                <w:rFonts w:eastAsia="Times New Roman"/>
                <w:sz w:val="22"/>
              </w:rPr>
              <w:t>DOR</w:t>
            </w:r>
          </w:p>
        </w:tc>
        <w:tc>
          <w:tcPr>
            <w:tcW w:w="6830" w:type="dxa"/>
          </w:tcPr>
          <w:p w14:paraId="58E1A8AA" w14:textId="3D932EF1" w:rsidR="004649E0" w:rsidRPr="00023EC0" w:rsidRDefault="004649E0" w:rsidP="004649E0">
            <w:pPr>
              <w:pStyle w:val="Tabletext"/>
              <w:rPr>
                <w:rFonts w:eastAsia="Times New Roman"/>
                <w:sz w:val="22"/>
              </w:rPr>
            </w:pPr>
            <w:r>
              <w:rPr>
                <w:rFonts w:eastAsia="Times New Roman"/>
                <w:sz w:val="22"/>
              </w:rPr>
              <w:t>Duration of response</w:t>
            </w:r>
          </w:p>
        </w:tc>
      </w:tr>
      <w:tr w:rsidR="00023EC0" w:rsidRPr="00023EC0" w14:paraId="74533430" w14:textId="77777777" w:rsidTr="00D37B29">
        <w:tc>
          <w:tcPr>
            <w:tcW w:w="1890" w:type="dxa"/>
          </w:tcPr>
          <w:p w14:paraId="5780AE1A" w14:textId="77777777" w:rsidR="00023EC0" w:rsidRPr="00023EC0" w:rsidRDefault="00023EC0" w:rsidP="006B4A8F">
            <w:pPr>
              <w:pStyle w:val="Tabletext"/>
              <w:rPr>
                <w:rFonts w:eastAsia="Times New Roman"/>
                <w:sz w:val="22"/>
                <w:szCs w:val="22"/>
              </w:rPr>
            </w:pPr>
            <w:r w:rsidRPr="00023EC0">
              <w:rPr>
                <w:rFonts w:eastAsia="Times New Roman"/>
                <w:sz w:val="22"/>
                <w:szCs w:val="22"/>
              </w:rPr>
              <w:t>EMA</w:t>
            </w:r>
          </w:p>
        </w:tc>
        <w:tc>
          <w:tcPr>
            <w:tcW w:w="6830" w:type="dxa"/>
          </w:tcPr>
          <w:p w14:paraId="7EA3FDF9" w14:textId="77777777" w:rsidR="00023EC0" w:rsidRPr="00023EC0" w:rsidRDefault="00023EC0" w:rsidP="006B4A8F">
            <w:pPr>
              <w:pStyle w:val="Tabletext"/>
              <w:rPr>
                <w:rFonts w:eastAsia="Times New Roman"/>
                <w:sz w:val="22"/>
                <w:szCs w:val="22"/>
              </w:rPr>
            </w:pPr>
            <w:r w:rsidRPr="00023EC0">
              <w:rPr>
                <w:rFonts w:eastAsia="Times New Roman"/>
                <w:sz w:val="22"/>
                <w:szCs w:val="22"/>
              </w:rPr>
              <w:t>European Medicines Agency</w:t>
            </w:r>
            <w:r w:rsidR="000F30A1">
              <w:rPr>
                <w:rFonts w:eastAsia="Times New Roman"/>
                <w:sz w:val="22"/>
                <w:szCs w:val="22"/>
              </w:rPr>
              <w:t xml:space="preserve"> (EU)</w:t>
            </w:r>
          </w:p>
        </w:tc>
      </w:tr>
      <w:tr w:rsidR="00BE2962" w:rsidRPr="00023EC0" w14:paraId="7EF138BF" w14:textId="77777777" w:rsidTr="00D37B29">
        <w:tc>
          <w:tcPr>
            <w:tcW w:w="1890" w:type="dxa"/>
          </w:tcPr>
          <w:p w14:paraId="370603A8" w14:textId="77777777" w:rsidR="00BE2962" w:rsidRPr="00023EC0" w:rsidRDefault="00BE2962" w:rsidP="006B4A8F">
            <w:pPr>
              <w:pStyle w:val="Tabletext"/>
              <w:rPr>
                <w:rFonts w:eastAsia="Times New Roman"/>
                <w:sz w:val="22"/>
              </w:rPr>
            </w:pPr>
            <w:r w:rsidRPr="00BE2962">
              <w:rPr>
                <w:rFonts w:eastAsia="Times New Roman"/>
                <w:sz w:val="22"/>
              </w:rPr>
              <w:t>EML4</w:t>
            </w:r>
          </w:p>
        </w:tc>
        <w:tc>
          <w:tcPr>
            <w:tcW w:w="6830" w:type="dxa"/>
          </w:tcPr>
          <w:p w14:paraId="7CC7255C" w14:textId="77777777" w:rsidR="00BE2962" w:rsidRPr="00023EC0" w:rsidRDefault="00BE2962" w:rsidP="00BE2962">
            <w:pPr>
              <w:pStyle w:val="Tabletext"/>
              <w:rPr>
                <w:rFonts w:eastAsia="Times New Roman"/>
                <w:sz w:val="22"/>
              </w:rPr>
            </w:pPr>
            <w:r>
              <w:rPr>
                <w:rFonts w:eastAsia="Times New Roman"/>
                <w:sz w:val="22"/>
              </w:rPr>
              <w:t>E</w:t>
            </w:r>
            <w:r w:rsidRPr="00BE2962">
              <w:rPr>
                <w:rFonts w:eastAsia="Times New Roman"/>
                <w:sz w:val="22"/>
              </w:rPr>
              <w:t>chinoderm microtu</w:t>
            </w:r>
            <w:r>
              <w:rPr>
                <w:rFonts w:eastAsia="Times New Roman"/>
                <w:sz w:val="22"/>
              </w:rPr>
              <w:t>bule-associated protein-like 4</w:t>
            </w:r>
          </w:p>
        </w:tc>
      </w:tr>
      <w:tr w:rsidR="00023EC0" w:rsidRPr="00023EC0" w14:paraId="22AC3F4F" w14:textId="77777777" w:rsidTr="00D37B29">
        <w:tc>
          <w:tcPr>
            <w:tcW w:w="1890" w:type="dxa"/>
          </w:tcPr>
          <w:p w14:paraId="071B012F" w14:textId="77777777" w:rsidR="00023EC0" w:rsidRPr="00023EC0" w:rsidRDefault="00023EC0" w:rsidP="006B4A8F">
            <w:pPr>
              <w:pStyle w:val="Tabletext"/>
              <w:rPr>
                <w:rFonts w:eastAsia="Times New Roman"/>
                <w:sz w:val="22"/>
                <w:szCs w:val="22"/>
              </w:rPr>
            </w:pPr>
            <w:r w:rsidRPr="00023EC0">
              <w:rPr>
                <w:rFonts w:eastAsia="Times New Roman"/>
                <w:sz w:val="22"/>
                <w:szCs w:val="22"/>
              </w:rPr>
              <w:t>EOPE</w:t>
            </w:r>
          </w:p>
        </w:tc>
        <w:tc>
          <w:tcPr>
            <w:tcW w:w="6830" w:type="dxa"/>
          </w:tcPr>
          <w:p w14:paraId="32091D0D" w14:textId="328509CE" w:rsidR="00023EC0" w:rsidRPr="00023EC0" w:rsidRDefault="00177144" w:rsidP="006B4A8F">
            <w:pPr>
              <w:pStyle w:val="Tabletext"/>
              <w:rPr>
                <w:rFonts w:eastAsia="Times New Roman"/>
                <w:sz w:val="22"/>
                <w:szCs w:val="22"/>
              </w:rPr>
            </w:pPr>
            <w:r>
              <w:rPr>
                <w:rFonts w:eastAsia="Times New Roman"/>
                <w:sz w:val="22"/>
                <w:szCs w:val="22"/>
              </w:rPr>
              <w:t>E</w:t>
            </w:r>
            <w:r w:rsidR="00023EC0" w:rsidRPr="00023EC0">
              <w:rPr>
                <w:rFonts w:eastAsia="Times New Roman"/>
                <w:sz w:val="22"/>
                <w:szCs w:val="22"/>
              </w:rPr>
              <w:t>arly onset pulmonary events</w:t>
            </w:r>
          </w:p>
        </w:tc>
      </w:tr>
      <w:tr w:rsidR="00023EC0" w:rsidRPr="00023EC0" w14:paraId="188A5B32" w14:textId="77777777" w:rsidTr="00D37B29">
        <w:tc>
          <w:tcPr>
            <w:tcW w:w="1890" w:type="dxa"/>
          </w:tcPr>
          <w:p w14:paraId="45058D65" w14:textId="457DBA49" w:rsidR="00023EC0" w:rsidRPr="00023EC0" w:rsidRDefault="00023EC0" w:rsidP="006B4A8F">
            <w:pPr>
              <w:pStyle w:val="Tabletext"/>
              <w:rPr>
                <w:rFonts w:eastAsia="Times New Roman"/>
                <w:sz w:val="22"/>
                <w:szCs w:val="22"/>
              </w:rPr>
            </w:pPr>
            <w:r w:rsidRPr="00023EC0">
              <w:rPr>
                <w:rFonts w:eastAsia="Times New Roman"/>
                <w:sz w:val="22"/>
                <w:szCs w:val="22"/>
              </w:rPr>
              <w:lastRenderedPageBreak/>
              <w:t xml:space="preserve">EORTC QLQ-C30 </w:t>
            </w:r>
            <w:r w:rsidR="00AB0211">
              <w:rPr>
                <w:rFonts w:eastAsia="Times New Roman"/>
                <w:sz w:val="22"/>
                <w:szCs w:val="22"/>
              </w:rPr>
              <w:t>v3.0</w:t>
            </w:r>
          </w:p>
        </w:tc>
        <w:tc>
          <w:tcPr>
            <w:tcW w:w="6830" w:type="dxa"/>
          </w:tcPr>
          <w:p w14:paraId="010E316A" w14:textId="5B9BD0E4" w:rsidR="00023EC0" w:rsidRPr="00023EC0" w:rsidRDefault="00AB0211" w:rsidP="00AB0211">
            <w:pPr>
              <w:pStyle w:val="Tabletext"/>
              <w:rPr>
                <w:rFonts w:eastAsia="Times New Roman"/>
                <w:sz w:val="22"/>
                <w:szCs w:val="22"/>
              </w:rPr>
            </w:pPr>
            <w:r w:rsidRPr="00AB0211">
              <w:rPr>
                <w:rFonts w:eastAsia="Times New Roman"/>
                <w:sz w:val="22"/>
                <w:szCs w:val="22"/>
              </w:rPr>
              <w:t xml:space="preserve">European Organization for the Research and Treatment of Cancer Quality </w:t>
            </w:r>
            <w:r>
              <w:rPr>
                <w:rFonts w:eastAsia="Times New Roman"/>
                <w:sz w:val="22"/>
                <w:szCs w:val="22"/>
              </w:rPr>
              <w:t>of Life Questionnaire version 3</w:t>
            </w:r>
          </w:p>
        </w:tc>
      </w:tr>
      <w:tr w:rsidR="00EA6557" w:rsidRPr="00023EC0" w14:paraId="7EA2B194" w14:textId="77777777" w:rsidTr="00D37B29">
        <w:tc>
          <w:tcPr>
            <w:tcW w:w="1890" w:type="dxa"/>
          </w:tcPr>
          <w:p w14:paraId="0ED93CAC" w14:textId="77777777" w:rsidR="00EA6557" w:rsidRPr="00023EC0" w:rsidRDefault="00EA6557" w:rsidP="006B4A8F">
            <w:pPr>
              <w:pStyle w:val="Tabletext"/>
              <w:rPr>
                <w:rFonts w:eastAsia="Times New Roman"/>
                <w:sz w:val="22"/>
              </w:rPr>
            </w:pPr>
            <w:r>
              <w:rPr>
                <w:rFonts w:eastAsia="Times New Roman"/>
                <w:sz w:val="22"/>
              </w:rPr>
              <w:t>EU</w:t>
            </w:r>
          </w:p>
        </w:tc>
        <w:tc>
          <w:tcPr>
            <w:tcW w:w="6830" w:type="dxa"/>
          </w:tcPr>
          <w:p w14:paraId="3EF9579B" w14:textId="77777777" w:rsidR="00EA6557" w:rsidRPr="00023EC0" w:rsidRDefault="00EA6557" w:rsidP="006B4A8F">
            <w:pPr>
              <w:pStyle w:val="Tabletext"/>
              <w:rPr>
                <w:rFonts w:eastAsia="Times New Roman"/>
                <w:sz w:val="22"/>
              </w:rPr>
            </w:pPr>
            <w:r>
              <w:rPr>
                <w:rFonts w:eastAsia="Times New Roman"/>
                <w:sz w:val="22"/>
              </w:rPr>
              <w:t>European Union</w:t>
            </w:r>
          </w:p>
        </w:tc>
      </w:tr>
      <w:tr w:rsidR="00DF5AFE" w:rsidRPr="00023EC0" w14:paraId="566C9ACA" w14:textId="77777777" w:rsidTr="00D37B29">
        <w:tc>
          <w:tcPr>
            <w:tcW w:w="1890" w:type="dxa"/>
          </w:tcPr>
          <w:p w14:paraId="1A12A2C5" w14:textId="238B084E" w:rsidR="00DF5AFE" w:rsidRDefault="00DF5AFE" w:rsidP="006B4A8F">
            <w:pPr>
              <w:pStyle w:val="Tabletext"/>
              <w:rPr>
                <w:rFonts w:eastAsia="Times New Roman"/>
                <w:sz w:val="22"/>
              </w:rPr>
            </w:pPr>
            <w:r w:rsidRPr="00DF5AFE">
              <w:rPr>
                <w:rFonts w:eastAsia="Times New Roman"/>
                <w:sz w:val="22"/>
              </w:rPr>
              <w:t>EU-RMP</w:t>
            </w:r>
          </w:p>
        </w:tc>
        <w:tc>
          <w:tcPr>
            <w:tcW w:w="6830" w:type="dxa"/>
          </w:tcPr>
          <w:p w14:paraId="57FB154A" w14:textId="67133321" w:rsidR="00DF5AFE" w:rsidRDefault="00DF5AFE" w:rsidP="00DF5AFE">
            <w:pPr>
              <w:pStyle w:val="Tabletext"/>
              <w:rPr>
                <w:rFonts w:eastAsia="Times New Roman"/>
                <w:sz w:val="22"/>
              </w:rPr>
            </w:pPr>
            <w:r w:rsidRPr="00DF5AFE">
              <w:rPr>
                <w:rFonts w:eastAsia="Times New Roman"/>
                <w:sz w:val="22"/>
              </w:rPr>
              <w:t>Europ</w:t>
            </w:r>
            <w:r>
              <w:rPr>
                <w:rFonts w:eastAsia="Times New Roman"/>
                <w:sz w:val="22"/>
              </w:rPr>
              <w:t>ean Union-risk management plan</w:t>
            </w:r>
          </w:p>
        </w:tc>
      </w:tr>
      <w:tr w:rsidR="00023EC0" w:rsidRPr="00023EC0" w14:paraId="008F50FE" w14:textId="77777777" w:rsidTr="00D37B29">
        <w:tc>
          <w:tcPr>
            <w:tcW w:w="1890" w:type="dxa"/>
          </w:tcPr>
          <w:p w14:paraId="4283823C" w14:textId="77777777" w:rsidR="00023EC0" w:rsidRPr="00023EC0" w:rsidRDefault="00023EC0" w:rsidP="006B4A8F">
            <w:pPr>
              <w:pStyle w:val="Tabletext"/>
              <w:rPr>
                <w:rFonts w:eastAsia="Times New Roman"/>
                <w:sz w:val="22"/>
                <w:szCs w:val="22"/>
              </w:rPr>
            </w:pPr>
            <w:r w:rsidRPr="00023EC0">
              <w:rPr>
                <w:rFonts w:eastAsia="Times New Roman"/>
                <w:sz w:val="22"/>
                <w:szCs w:val="22"/>
              </w:rPr>
              <w:t>FDA</w:t>
            </w:r>
          </w:p>
        </w:tc>
        <w:tc>
          <w:tcPr>
            <w:tcW w:w="6830" w:type="dxa"/>
          </w:tcPr>
          <w:p w14:paraId="4A282138" w14:textId="77777777" w:rsidR="00023EC0" w:rsidRPr="00023EC0" w:rsidRDefault="00023EC0" w:rsidP="006B4A8F">
            <w:pPr>
              <w:pStyle w:val="Tabletext"/>
              <w:rPr>
                <w:rFonts w:eastAsia="Times New Roman"/>
                <w:sz w:val="22"/>
                <w:szCs w:val="22"/>
              </w:rPr>
            </w:pPr>
            <w:r w:rsidRPr="00023EC0">
              <w:rPr>
                <w:rFonts w:eastAsia="Times New Roman"/>
                <w:sz w:val="22"/>
                <w:szCs w:val="22"/>
              </w:rPr>
              <w:t>Food and Drug Administration</w:t>
            </w:r>
            <w:r w:rsidR="00CB4840">
              <w:rPr>
                <w:rFonts w:eastAsia="Times New Roman"/>
                <w:sz w:val="22"/>
                <w:szCs w:val="22"/>
              </w:rPr>
              <w:t xml:space="preserve"> (US)</w:t>
            </w:r>
          </w:p>
        </w:tc>
      </w:tr>
      <w:tr w:rsidR="00023EC0" w:rsidRPr="00023EC0" w14:paraId="7AB25205" w14:textId="77777777" w:rsidTr="00D37B29">
        <w:tc>
          <w:tcPr>
            <w:tcW w:w="1890" w:type="dxa"/>
          </w:tcPr>
          <w:p w14:paraId="1522C61D" w14:textId="77777777" w:rsidR="00023EC0" w:rsidRPr="00023EC0" w:rsidRDefault="00023EC0" w:rsidP="006B4A8F">
            <w:pPr>
              <w:pStyle w:val="Tabletext"/>
              <w:rPr>
                <w:rFonts w:eastAsia="Times New Roman"/>
                <w:sz w:val="22"/>
                <w:szCs w:val="22"/>
              </w:rPr>
            </w:pPr>
            <w:r w:rsidRPr="00023EC0">
              <w:rPr>
                <w:rFonts w:eastAsia="Times New Roman"/>
                <w:sz w:val="22"/>
                <w:szCs w:val="22"/>
              </w:rPr>
              <w:t>FISH</w:t>
            </w:r>
          </w:p>
        </w:tc>
        <w:tc>
          <w:tcPr>
            <w:tcW w:w="6830" w:type="dxa"/>
          </w:tcPr>
          <w:p w14:paraId="721715F5" w14:textId="77777777" w:rsidR="00023EC0" w:rsidRPr="00023EC0" w:rsidRDefault="00597291" w:rsidP="006B4A8F">
            <w:pPr>
              <w:pStyle w:val="Tabletext"/>
              <w:rPr>
                <w:rFonts w:eastAsia="Times New Roman"/>
                <w:sz w:val="22"/>
                <w:szCs w:val="22"/>
              </w:rPr>
            </w:pPr>
            <w:r>
              <w:rPr>
                <w:rFonts w:eastAsia="Times New Roman"/>
                <w:sz w:val="22"/>
                <w:szCs w:val="22"/>
              </w:rPr>
              <w:t>F</w:t>
            </w:r>
            <w:r w:rsidR="00023EC0" w:rsidRPr="00023EC0">
              <w:rPr>
                <w:rFonts w:eastAsia="Times New Roman"/>
                <w:sz w:val="22"/>
                <w:szCs w:val="22"/>
              </w:rPr>
              <w:t>luorescence in situ hybridisation</w:t>
            </w:r>
          </w:p>
        </w:tc>
      </w:tr>
      <w:tr w:rsidR="006547B3" w:rsidRPr="00023EC0" w14:paraId="025F1CEC" w14:textId="77777777" w:rsidTr="00D37B29">
        <w:tc>
          <w:tcPr>
            <w:tcW w:w="1890" w:type="dxa"/>
          </w:tcPr>
          <w:p w14:paraId="40914164" w14:textId="15E52862" w:rsidR="006547B3" w:rsidRPr="00023EC0" w:rsidRDefault="006547B3" w:rsidP="006B4A8F">
            <w:pPr>
              <w:pStyle w:val="Tabletext"/>
              <w:rPr>
                <w:rFonts w:eastAsia="Times New Roman"/>
                <w:sz w:val="22"/>
              </w:rPr>
            </w:pPr>
            <w:r>
              <w:rPr>
                <w:rFonts w:eastAsia="Times New Roman"/>
                <w:sz w:val="22"/>
              </w:rPr>
              <w:t>ICH</w:t>
            </w:r>
          </w:p>
        </w:tc>
        <w:tc>
          <w:tcPr>
            <w:tcW w:w="6830" w:type="dxa"/>
          </w:tcPr>
          <w:p w14:paraId="1F866861" w14:textId="134AF63F" w:rsidR="006547B3" w:rsidRDefault="006547B3" w:rsidP="006B4A8F">
            <w:pPr>
              <w:pStyle w:val="Tabletext"/>
              <w:rPr>
                <w:rFonts w:eastAsia="Times New Roman"/>
                <w:sz w:val="22"/>
              </w:rPr>
            </w:pPr>
            <w:r>
              <w:rPr>
                <w:rFonts w:eastAsia="Times New Roman"/>
                <w:sz w:val="22"/>
              </w:rPr>
              <w:t>International Conference on Harmonisation</w:t>
            </w:r>
          </w:p>
        </w:tc>
      </w:tr>
      <w:tr w:rsidR="000F30A1" w:rsidRPr="00023EC0" w14:paraId="5BDF7EF4" w14:textId="77777777" w:rsidTr="00D37B29">
        <w:tc>
          <w:tcPr>
            <w:tcW w:w="1890" w:type="dxa"/>
          </w:tcPr>
          <w:p w14:paraId="1BC1EDBD" w14:textId="77777777" w:rsidR="000F30A1" w:rsidRPr="00023EC0" w:rsidRDefault="000F30A1" w:rsidP="006B4A8F">
            <w:pPr>
              <w:pStyle w:val="Tabletext"/>
              <w:rPr>
                <w:rFonts w:eastAsia="Times New Roman"/>
                <w:sz w:val="22"/>
              </w:rPr>
            </w:pPr>
            <w:r w:rsidRPr="000F30A1">
              <w:rPr>
                <w:rFonts w:eastAsia="Times New Roman"/>
                <w:sz w:val="22"/>
              </w:rPr>
              <w:t>IGF-1R</w:t>
            </w:r>
          </w:p>
        </w:tc>
        <w:tc>
          <w:tcPr>
            <w:tcW w:w="6830" w:type="dxa"/>
          </w:tcPr>
          <w:p w14:paraId="79CA2AF9" w14:textId="77777777" w:rsidR="000F30A1" w:rsidRPr="00023EC0" w:rsidRDefault="000F30A1" w:rsidP="000F30A1">
            <w:pPr>
              <w:pStyle w:val="Tabletext"/>
              <w:rPr>
                <w:rFonts w:eastAsia="Times New Roman"/>
                <w:sz w:val="22"/>
              </w:rPr>
            </w:pPr>
            <w:r>
              <w:rPr>
                <w:rFonts w:eastAsia="Times New Roman"/>
                <w:sz w:val="22"/>
              </w:rPr>
              <w:t>I</w:t>
            </w:r>
            <w:r w:rsidRPr="000F30A1">
              <w:rPr>
                <w:rFonts w:eastAsia="Times New Roman"/>
                <w:sz w:val="22"/>
              </w:rPr>
              <w:t>nsulin</w:t>
            </w:r>
            <w:r>
              <w:rPr>
                <w:rFonts w:eastAsia="Times New Roman"/>
                <w:sz w:val="22"/>
              </w:rPr>
              <w:t>-like growth factor 1 receptor</w:t>
            </w:r>
          </w:p>
        </w:tc>
      </w:tr>
      <w:tr w:rsidR="00023EC0" w:rsidRPr="00023EC0" w14:paraId="2593AC05" w14:textId="77777777" w:rsidTr="00D37B29">
        <w:tc>
          <w:tcPr>
            <w:tcW w:w="1890" w:type="dxa"/>
          </w:tcPr>
          <w:p w14:paraId="483FC7B3" w14:textId="77777777" w:rsidR="00023EC0" w:rsidRPr="00023EC0" w:rsidRDefault="00023EC0" w:rsidP="006B4A8F">
            <w:pPr>
              <w:pStyle w:val="Tabletext"/>
              <w:rPr>
                <w:rFonts w:eastAsia="Times New Roman"/>
                <w:sz w:val="22"/>
                <w:szCs w:val="22"/>
              </w:rPr>
            </w:pPr>
            <w:r w:rsidRPr="00023EC0">
              <w:rPr>
                <w:rFonts w:eastAsia="Times New Roman"/>
                <w:sz w:val="22"/>
                <w:szCs w:val="22"/>
              </w:rPr>
              <w:t>IRC</w:t>
            </w:r>
          </w:p>
        </w:tc>
        <w:tc>
          <w:tcPr>
            <w:tcW w:w="6830" w:type="dxa"/>
          </w:tcPr>
          <w:p w14:paraId="51DCFAF0" w14:textId="3E3CA256" w:rsidR="00023EC0" w:rsidRPr="00023EC0" w:rsidRDefault="00AA3A90" w:rsidP="006B4A8F">
            <w:pPr>
              <w:pStyle w:val="Tabletext"/>
              <w:rPr>
                <w:rFonts w:eastAsia="Times New Roman"/>
                <w:sz w:val="22"/>
                <w:szCs w:val="22"/>
              </w:rPr>
            </w:pPr>
            <w:r>
              <w:rPr>
                <w:rFonts w:eastAsia="Times New Roman"/>
                <w:sz w:val="22"/>
                <w:szCs w:val="22"/>
              </w:rPr>
              <w:t xml:space="preserve">Independent </w:t>
            </w:r>
            <w:r w:rsidR="00F168D1">
              <w:rPr>
                <w:rFonts w:eastAsia="Times New Roman"/>
                <w:sz w:val="22"/>
                <w:szCs w:val="22"/>
              </w:rPr>
              <w:t>r</w:t>
            </w:r>
            <w:r>
              <w:rPr>
                <w:rFonts w:eastAsia="Times New Roman"/>
                <w:sz w:val="22"/>
                <w:szCs w:val="22"/>
              </w:rPr>
              <w:t xml:space="preserve">eview </w:t>
            </w:r>
            <w:r w:rsidR="00F168D1">
              <w:rPr>
                <w:rFonts w:eastAsia="Times New Roman"/>
                <w:sz w:val="22"/>
                <w:szCs w:val="22"/>
              </w:rPr>
              <w:t>c</w:t>
            </w:r>
            <w:r w:rsidR="00023EC0" w:rsidRPr="00023EC0">
              <w:rPr>
                <w:rFonts w:eastAsia="Times New Roman"/>
                <w:sz w:val="22"/>
                <w:szCs w:val="22"/>
              </w:rPr>
              <w:t>ommittee</w:t>
            </w:r>
          </w:p>
        </w:tc>
      </w:tr>
      <w:tr w:rsidR="00023EC0" w:rsidRPr="00023EC0" w14:paraId="27F77B12" w14:textId="77777777" w:rsidTr="00D37B29">
        <w:tc>
          <w:tcPr>
            <w:tcW w:w="1890" w:type="dxa"/>
          </w:tcPr>
          <w:p w14:paraId="2D3B05B2" w14:textId="77777777" w:rsidR="00023EC0" w:rsidRPr="00023EC0" w:rsidRDefault="00023EC0" w:rsidP="006B4A8F">
            <w:pPr>
              <w:pStyle w:val="Tabletext"/>
              <w:rPr>
                <w:rFonts w:eastAsia="Times New Roman"/>
                <w:sz w:val="22"/>
                <w:szCs w:val="22"/>
              </w:rPr>
            </w:pPr>
            <w:r w:rsidRPr="00023EC0">
              <w:rPr>
                <w:rFonts w:eastAsia="Times New Roman"/>
                <w:sz w:val="22"/>
                <w:szCs w:val="22"/>
              </w:rPr>
              <w:t>ITT</w:t>
            </w:r>
          </w:p>
        </w:tc>
        <w:tc>
          <w:tcPr>
            <w:tcW w:w="6830" w:type="dxa"/>
          </w:tcPr>
          <w:p w14:paraId="4C565B40" w14:textId="259AFDD7" w:rsidR="00023EC0" w:rsidRPr="00023EC0" w:rsidRDefault="00AA3A90" w:rsidP="006B4A8F">
            <w:pPr>
              <w:pStyle w:val="Tabletext"/>
              <w:rPr>
                <w:rFonts w:eastAsia="Times New Roman"/>
                <w:sz w:val="22"/>
                <w:szCs w:val="22"/>
              </w:rPr>
            </w:pPr>
            <w:r>
              <w:rPr>
                <w:rFonts w:eastAsia="Times New Roman"/>
                <w:sz w:val="22"/>
                <w:szCs w:val="22"/>
              </w:rPr>
              <w:t>Intent</w:t>
            </w:r>
            <w:r w:rsidR="00023EC0" w:rsidRPr="00023EC0">
              <w:rPr>
                <w:rFonts w:eastAsia="Times New Roman"/>
                <w:sz w:val="22"/>
                <w:szCs w:val="22"/>
              </w:rPr>
              <w:t xml:space="preserve"> to treat</w:t>
            </w:r>
          </w:p>
        </w:tc>
      </w:tr>
      <w:tr w:rsidR="00023EC0" w:rsidRPr="00023EC0" w14:paraId="55470900" w14:textId="77777777" w:rsidTr="00D37B29">
        <w:tc>
          <w:tcPr>
            <w:tcW w:w="1890" w:type="dxa"/>
          </w:tcPr>
          <w:p w14:paraId="6BF45DDB" w14:textId="77777777" w:rsidR="00023EC0" w:rsidRPr="00023EC0" w:rsidRDefault="00023EC0" w:rsidP="006B4A8F">
            <w:pPr>
              <w:pStyle w:val="Tabletext"/>
              <w:rPr>
                <w:rFonts w:eastAsia="Times New Roman"/>
                <w:sz w:val="22"/>
                <w:szCs w:val="22"/>
              </w:rPr>
            </w:pPr>
            <w:r w:rsidRPr="00023EC0">
              <w:rPr>
                <w:rFonts w:eastAsia="Times New Roman"/>
                <w:sz w:val="22"/>
                <w:szCs w:val="22"/>
              </w:rPr>
              <w:t>NSCLC</w:t>
            </w:r>
          </w:p>
        </w:tc>
        <w:tc>
          <w:tcPr>
            <w:tcW w:w="6830" w:type="dxa"/>
          </w:tcPr>
          <w:p w14:paraId="18C19392" w14:textId="77777777" w:rsidR="00023EC0" w:rsidRPr="00023EC0" w:rsidRDefault="00BE2962" w:rsidP="006B4A8F">
            <w:pPr>
              <w:pStyle w:val="Tabletext"/>
              <w:rPr>
                <w:rFonts w:eastAsia="Times New Roman"/>
                <w:sz w:val="22"/>
                <w:szCs w:val="22"/>
              </w:rPr>
            </w:pPr>
            <w:r>
              <w:rPr>
                <w:rFonts w:eastAsia="Times New Roman"/>
                <w:sz w:val="22"/>
                <w:szCs w:val="22"/>
              </w:rPr>
              <w:t>N</w:t>
            </w:r>
            <w:r w:rsidR="00023EC0" w:rsidRPr="00023EC0">
              <w:rPr>
                <w:rFonts w:eastAsia="Times New Roman"/>
                <w:sz w:val="22"/>
                <w:szCs w:val="22"/>
              </w:rPr>
              <w:t>on-small cell lung cancer</w:t>
            </w:r>
          </w:p>
        </w:tc>
      </w:tr>
      <w:tr w:rsidR="00023EC0" w:rsidRPr="00023EC0" w14:paraId="4483A9AD" w14:textId="77777777" w:rsidTr="00D37B29">
        <w:tc>
          <w:tcPr>
            <w:tcW w:w="1890" w:type="dxa"/>
          </w:tcPr>
          <w:p w14:paraId="21313159" w14:textId="77777777" w:rsidR="00023EC0" w:rsidRPr="00023EC0" w:rsidRDefault="00023EC0" w:rsidP="006B4A8F">
            <w:pPr>
              <w:pStyle w:val="Tabletext"/>
              <w:rPr>
                <w:rFonts w:eastAsia="Times New Roman"/>
                <w:sz w:val="22"/>
                <w:szCs w:val="22"/>
              </w:rPr>
            </w:pPr>
            <w:r w:rsidRPr="00023EC0">
              <w:rPr>
                <w:rFonts w:eastAsia="Times New Roman"/>
                <w:sz w:val="22"/>
                <w:szCs w:val="22"/>
              </w:rPr>
              <w:t>ORR</w:t>
            </w:r>
          </w:p>
        </w:tc>
        <w:tc>
          <w:tcPr>
            <w:tcW w:w="6830" w:type="dxa"/>
          </w:tcPr>
          <w:p w14:paraId="773EEFD5" w14:textId="77777777" w:rsidR="00023EC0" w:rsidRPr="00023EC0" w:rsidRDefault="005600F4" w:rsidP="006B4A8F">
            <w:pPr>
              <w:pStyle w:val="Tabletext"/>
              <w:rPr>
                <w:rFonts w:eastAsia="Times New Roman"/>
                <w:sz w:val="22"/>
                <w:szCs w:val="22"/>
              </w:rPr>
            </w:pPr>
            <w:r>
              <w:rPr>
                <w:rFonts w:eastAsia="Times New Roman"/>
                <w:sz w:val="22"/>
                <w:szCs w:val="22"/>
              </w:rPr>
              <w:t>O</w:t>
            </w:r>
            <w:r w:rsidR="00023EC0" w:rsidRPr="00023EC0">
              <w:rPr>
                <w:rFonts w:eastAsia="Times New Roman"/>
                <w:sz w:val="22"/>
                <w:szCs w:val="22"/>
              </w:rPr>
              <w:t>bjective response rate</w:t>
            </w:r>
          </w:p>
        </w:tc>
      </w:tr>
      <w:tr w:rsidR="00023EC0" w:rsidRPr="00023EC0" w14:paraId="1247F3F1" w14:textId="77777777" w:rsidTr="00D37B29">
        <w:tc>
          <w:tcPr>
            <w:tcW w:w="1890" w:type="dxa"/>
          </w:tcPr>
          <w:p w14:paraId="0A112FE3" w14:textId="77777777" w:rsidR="00023EC0" w:rsidRPr="00023EC0" w:rsidRDefault="00023EC0" w:rsidP="006B4A8F">
            <w:pPr>
              <w:pStyle w:val="Tabletext"/>
              <w:rPr>
                <w:rFonts w:eastAsia="Times New Roman"/>
                <w:sz w:val="22"/>
                <w:szCs w:val="22"/>
              </w:rPr>
            </w:pPr>
            <w:r w:rsidRPr="00023EC0">
              <w:rPr>
                <w:rFonts w:eastAsia="Times New Roman"/>
                <w:sz w:val="22"/>
                <w:szCs w:val="22"/>
              </w:rPr>
              <w:t>OS</w:t>
            </w:r>
          </w:p>
        </w:tc>
        <w:tc>
          <w:tcPr>
            <w:tcW w:w="6830" w:type="dxa"/>
          </w:tcPr>
          <w:p w14:paraId="5066C95E" w14:textId="75DF62FA" w:rsidR="00023EC0" w:rsidRPr="00023EC0" w:rsidRDefault="00AA3A90" w:rsidP="006B4A8F">
            <w:pPr>
              <w:pStyle w:val="Tabletext"/>
              <w:rPr>
                <w:rFonts w:eastAsia="Times New Roman"/>
                <w:sz w:val="22"/>
                <w:szCs w:val="22"/>
              </w:rPr>
            </w:pPr>
            <w:r>
              <w:rPr>
                <w:rFonts w:eastAsia="Times New Roman"/>
                <w:sz w:val="22"/>
                <w:szCs w:val="22"/>
              </w:rPr>
              <w:t>O</w:t>
            </w:r>
            <w:r w:rsidR="00023EC0" w:rsidRPr="00023EC0">
              <w:rPr>
                <w:rFonts w:eastAsia="Times New Roman"/>
                <w:sz w:val="22"/>
                <w:szCs w:val="22"/>
              </w:rPr>
              <w:t>verall survival</w:t>
            </w:r>
          </w:p>
        </w:tc>
      </w:tr>
      <w:tr w:rsidR="00335F3D" w:rsidRPr="00023EC0" w14:paraId="223AE3B4" w14:textId="77777777" w:rsidTr="00D37B29">
        <w:tc>
          <w:tcPr>
            <w:tcW w:w="1890" w:type="dxa"/>
          </w:tcPr>
          <w:p w14:paraId="4E563E69" w14:textId="2F440373" w:rsidR="00335F3D" w:rsidRPr="00023EC0" w:rsidRDefault="00335F3D" w:rsidP="006B4A8F">
            <w:pPr>
              <w:pStyle w:val="Tabletext"/>
              <w:rPr>
                <w:rFonts w:eastAsia="Times New Roman"/>
                <w:sz w:val="22"/>
              </w:rPr>
            </w:pPr>
            <w:r w:rsidRPr="00335F3D">
              <w:rPr>
                <w:rFonts w:eastAsia="Times New Roman"/>
                <w:sz w:val="22"/>
              </w:rPr>
              <w:t>PAC</w:t>
            </w:r>
          </w:p>
        </w:tc>
        <w:tc>
          <w:tcPr>
            <w:tcW w:w="6830" w:type="dxa"/>
          </w:tcPr>
          <w:p w14:paraId="5DA51C48" w14:textId="33C6CB3C" w:rsidR="00335F3D" w:rsidRDefault="00335F3D" w:rsidP="00335F3D">
            <w:pPr>
              <w:pStyle w:val="Tabletext"/>
              <w:rPr>
                <w:rFonts w:eastAsia="Times New Roman"/>
                <w:sz w:val="22"/>
              </w:rPr>
            </w:pPr>
            <w:r w:rsidRPr="00335F3D">
              <w:rPr>
                <w:rFonts w:eastAsia="Times New Roman"/>
                <w:sz w:val="22"/>
              </w:rPr>
              <w:t>Patient Ale</w:t>
            </w:r>
            <w:r>
              <w:rPr>
                <w:rFonts w:eastAsia="Times New Roman"/>
                <w:sz w:val="22"/>
              </w:rPr>
              <w:t>rt Card</w:t>
            </w:r>
          </w:p>
        </w:tc>
      </w:tr>
      <w:tr w:rsidR="00DF5AFE" w:rsidRPr="00023EC0" w14:paraId="0B788D0A" w14:textId="77777777" w:rsidTr="00D37B29">
        <w:tc>
          <w:tcPr>
            <w:tcW w:w="1890" w:type="dxa"/>
          </w:tcPr>
          <w:p w14:paraId="691A7847" w14:textId="63813376" w:rsidR="00DF5AFE" w:rsidRPr="00023EC0" w:rsidRDefault="00DF5AFE" w:rsidP="006B4A8F">
            <w:pPr>
              <w:pStyle w:val="Tabletext"/>
              <w:rPr>
                <w:rFonts w:eastAsia="Times New Roman"/>
                <w:sz w:val="22"/>
              </w:rPr>
            </w:pPr>
            <w:r w:rsidRPr="00DF5AFE">
              <w:rPr>
                <w:rFonts w:eastAsia="Times New Roman"/>
                <w:sz w:val="22"/>
              </w:rPr>
              <w:t>PASS</w:t>
            </w:r>
          </w:p>
        </w:tc>
        <w:tc>
          <w:tcPr>
            <w:tcW w:w="6830" w:type="dxa"/>
          </w:tcPr>
          <w:p w14:paraId="37852F68" w14:textId="5AAFA888" w:rsidR="00DF5AFE" w:rsidRDefault="00DF5AFE" w:rsidP="00DF5AFE">
            <w:pPr>
              <w:pStyle w:val="Tabletext"/>
              <w:rPr>
                <w:rFonts w:eastAsia="Times New Roman"/>
                <w:sz w:val="22"/>
              </w:rPr>
            </w:pPr>
            <w:r>
              <w:rPr>
                <w:rFonts w:eastAsia="Times New Roman"/>
                <w:sz w:val="22"/>
              </w:rPr>
              <w:t>P</w:t>
            </w:r>
            <w:r w:rsidRPr="00DF5AFE">
              <w:rPr>
                <w:rFonts w:eastAsia="Times New Roman"/>
                <w:sz w:val="22"/>
              </w:rPr>
              <w:t>os</w:t>
            </w:r>
            <w:r>
              <w:rPr>
                <w:rFonts w:eastAsia="Times New Roman"/>
                <w:sz w:val="22"/>
              </w:rPr>
              <w:t>t authorisation safety studies</w:t>
            </w:r>
          </w:p>
        </w:tc>
      </w:tr>
      <w:tr w:rsidR="00023EC0" w:rsidRPr="00023EC0" w14:paraId="1AF49D70" w14:textId="77777777" w:rsidTr="00D37B29">
        <w:tc>
          <w:tcPr>
            <w:tcW w:w="1890" w:type="dxa"/>
          </w:tcPr>
          <w:p w14:paraId="79FC34F4" w14:textId="77777777" w:rsidR="00023EC0" w:rsidRPr="00023EC0" w:rsidRDefault="00023EC0" w:rsidP="006B4A8F">
            <w:pPr>
              <w:pStyle w:val="Tabletext"/>
              <w:rPr>
                <w:rFonts w:eastAsia="Times New Roman"/>
                <w:sz w:val="22"/>
                <w:szCs w:val="22"/>
              </w:rPr>
            </w:pPr>
            <w:r w:rsidRPr="00023EC0">
              <w:rPr>
                <w:rFonts w:eastAsia="Times New Roman"/>
                <w:sz w:val="22"/>
                <w:szCs w:val="22"/>
              </w:rPr>
              <w:t>PD</w:t>
            </w:r>
          </w:p>
        </w:tc>
        <w:tc>
          <w:tcPr>
            <w:tcW w:w="6830" w:type="dxa"/>
          </w:tcPr>
          <w:p w14:paraId="5B88676D" w14:textId="77777777" w:rsidR="00023EC0" w:rsidRPr="00023EC0" w:rsidRDefault="00611EB1" w:rsidP="006B4A8F">
            <w:pPr>
              <w:pStyle w:val="Tabletext"/>
              <w:rPr>
                <w:rFonts w:eastAsia="Times New Roman"/>
                <w:sz w:val="22"/>
                <w:szCs w:val="22"/>
              </w:rPr>
            </w:pPr>
            <w:r>
              <w:rPr>
                <w:rFonts w:eastAsia="Times New Roman"/>
                <w:sz w:val="22"/>
                <w:szCs w:val="22"/>
              </w:rPr>
              <w:t>P</w:t>
            </w:r>
            <w:r w:rsidR="00023EC0" w:rsidRPr="00023EC0">
              <w:rPr>
                <w:rFonts w:eastAsia="Times New Roman"/>
                <w:sz w:val="22"/>
                <w:szCs w:val="22"/>
              </w:rPr>
              <w:t>harmacodynamic(s)</w:t>
            </w:r>
          </w:p>
        </w:tc>
      </w:tr>
      <w:tr w:rsidR="00023EC0" w:rsidRPr="00023EC0" w14:paraId="03D847E7" w14:textId="77777777" w:rsidTr="00D37B29">
        <w:tc>
          <w:tcPr>
            <w:tcW w:w="1890" w:type="dxa"/>
          </w:tcPr>
          <w:p w14:paraId="35488730" w14:textId="77777777" w:rsidR="00023EC0" w:rsidRPr="00023EC0" w:rsidRDefault="00023EC0" w:rsidP="006B4A8F">
            <w:pPr>
              <w:pStyle w:val="Tabletext"/>
              <w:rPr>
                <w:rFonts w:eastAsia="Times New Roman"/>
                <w:sz w:val="22"/>
                <w:szCs w:val="22"/>
              </w:rPr>
            </w:pPr>
            <w:r w:rsidRPr="00023EC0">
              <w:rPr>
                <w:rFonts w:eastAsia="Times New Roman"/>
                <w:sz w:val="22"/>
                <w:szCs w:val="22"/>
              </w:rPr>
              <w:t>PFS</w:t>
            </w:r>
          </w:p>
        </w:tc>
        <w:tc>
          <w:tcPr>
            <w:tcW w:w="6830" w:type="dxa"/>
          </w:tcPr>
          <w:p w14:paraId="3A770A70" w14:textId="77777777" w:rsidR="00023EC0" w:rsidRPr="00023EC0" w:rsidRDefault="005600F4" w:rsidP="006B4A8F">
            <w:pPr>
              <w:pStyle w:val="Tabletext"/>
              <w:rPr>
                <w:rFonts w:eastAsia="Times New Roman"/>
                <w:sz w:val="22"/>
                <w:szCs w:val="22"/>
              </w:rPr>
            </w:pPr>
            <w:r>
              <w:rPr>
                <w:rFonts w:eastAsia="Times New Roman"/>
                <w:sz w:val="22"/>
                <w:szCs w:val="22"/>
              </w:rPr>
              <w:t>P</w:t>
            </w:r>
            <w:r w:rsidR="00023EC0" w:rsidRPr="00023EC0">
              <w:rPr>
                <w:rFonts w:eastAsia="Times New Roman"/>
                <w:sz w:val="22"/>
                <w:szCs w:val="22"/>
              </w:rPr>
              <w:t>rogression free survival</w:t>
            </w:r>
          </w:p>
        </w:tc>
      </w:tr>
      <w:tr w:rsidR="00023EC0" w:rsidRPr="00023EC0" w14:paraId="429F235D" w14:textId="77777777" w:rsidTr="00D37B29">
        <w:tc>
          <w:tcPr>
            <w:tcW w:w="1890" w:type="dxa"/>
          </w:tcPr>
          <w:p w14:paraId="1B4B1AE6" w14:textId="77777777" w:rsidR="00023EC0" w:rsidRPr="00023EC0" w:rsidRDefault="00023EC0" w:rsidP="006B4A8F">
            <w:pPr>
              <w:pStyle w:val="Tabletext"/>
              <w:rPr>
                <w:rFonts w:eastAsia="Times New Roman"/>
                <w:sz w:val="22"/>
                <w:szCs w:val="22"/>
              </w:rPr>
            </w:pPr>
            <w:r w:rsidRPr="00023EC0">
              <w:rPr>
                <w:rFonts w:eastAsia="Times New Roman"/>
                <w:sz w:val="22"/>
                <w:szCs w:val="22"/>
              </w:rPr>
              <w:t>PK</w:t>
            </w:r>
          </w:p>
        </w:tc>
        <w:tc>
          <w:tcPr>
            <w:tcW w:w="6830" w:type="dxa"/>
          </w:tcPr>
          <w:p w14:paraId="2B53A2F4" w14:textId="5A9EA88A" w:rsidR="00023EC0" w:rsidRPr="00023EC0" w:rsidRDefault="00AA3A90" w:rsidP="006B4A8F">
            <w:pPr>
              <w:pStyle w:val="Tabletext"/>
              <w:rPr>
                <w:rFonts w:eastAsia="Times New Roman"/>
                <w:sz w:val="22"/>
                <w:szCs w:val="22"/>
              </w:rPr>
            </w:pPr>
            <w:r>
              <w:rPr>
                <w:rFonts w:eastAsia="Times New Roman"/>
                <w:sz w:val="22"/>
                <w:szCs w:val="22"/>
              </w:rPr>
              <w:t>P</w:t>
            </w:r>
            <w:r w:rsidR="00023EC0" w:rsidRPr="00023EC0">
              <w:rPr>
                <w:rFonts w:eastAsia="Times New Roman"/>
                <w:sz w:val="22"/>
                <w:szCs w:val="22"/>
              </w:rPr>
              <w:t>harmacokinetic(s)</w:t>
            </w:r>
          </w:p>
        </w:tc>
      </w:tr>
      <w:tr w:rsidR="00023EC0" w:rsidRPr="00023EC0" w14:paraId="14683075" w14:textId="77777777" w:rsidTr="00D37B29">
        <w:tc>
          <w:tcPr>
            <w:tcW w:w="1890" w:type="dxa"/>
          </w:tcPr>
          <w:p w14:paraId="6E1C6D84" w14:textId="77777777" w:rsidR="00023EC0" w:rsidRPr="00023EC0" w:rsidRDefault="00023EC0" w:rsidP="006B4A8F">
            <w:pPr>
              <w:pStyle w:val="Tabletext"/>
              <w:rPr>
                <w:rFonts w:eastAsia="Times New Roman"/>
                <w:sz w:val="22"/>
                <w:szCs w:val="22"/>
              </w:rPr>
            </w:pPr>
            <w:r w:rsidRPr="00023EC0">
              <w:rPr>
                <w:rFonts w:eastAsia="Times New Roman"/>
                <w:sz w:val="22"/>
                <w:szCs w:val="22"/>
              </w:rPr>
              <w:t>Pop</w:t>
            </w:r>
            <w:r w:rsidR="00611EB1">
              <w:rPr>
                <w:rFonts w:eastAsia="Times New Roman"/>
                <w:sz w:val="22"/>
                <w:szCs w:val="22"/>
              </w:rPr>
              <w:t xml:space="preserve"> </w:t>
            </w:r>
            <w:r w:rsidRPr="00023EC0">
              <w:rPr>
                <w:rFonts w:eastAsia="Times New Roman"/>
                <w:sz w:val="22"/>
                <w:szCs w:val="22"/>
              </w:rPr>
              <w:t>PK</w:t>
            </w:r>
          </w:p>
        </w:tc>
        <w:tc>
          <w:tcPr>
            <w:tcW w:w="6830" w:type="dxa"/>
          </w:tcPr>
          <w:p w14:paraId="53A24CC6" w14:textId="5BBECFB8" w:rsidR="00023EC0" w:rsidRPr="00023EC0" w:rsidRDefault="00611EB1" w:rsidP="006B4A8F">
            <w:pPr>
              <w:pStyle w:val="Tabletext"/>
              <w:rPr>
                <w:rFonts w:eastAsia="Times New Roman"/>
                <w:sz w:val="22"/>
                <w:szCs w:val="22"/>
              </w:rPr>
            </w:pPr>
            <w:r>
              <w:rPr>
                <w:rFonts w:eastAsia="Times New Roman"/>
                <w:sz w:val="22"/>
                <w:szCs w:val="22"/>
              </w:rPr>
              <w:t>P</w:t>
            </w:r>
            <w:r w:rsidR="00023EC0" w:rsidRPr="00023EC0">
              <w:rPr>
                <w:rFonts w:eastAsia="Times New Roman"/>
                <w:sz w:val="22"/>
                <w:szCs w:val="22"/>
              </w:rPr>
              <w:t>opulation pharmacokinetic</w:t>
            </w:r>
            <w:r>
              <w:rPr>
                <w:rFonts w:eastAsia="Times New Roman"/>
                <w:sz w:val="22"/>
                <w:szCs w:val="22"/>
              </w:rPr>
              <w:t>(s)</w:t>
            </w:r>
          </w:p>
        </w:tc>
      </w:tr>
      <w:tr w:rsidR="00023EC0" w:rsidRPr="00023EC0" w14:paraId="2E643444" w14:textId="77777777" w:rsidTr="00D37B29">
        <w:tc>
          <w:tcPr>
            <w:tcW w:w="1890" w:type="dxa"/>
          </w:tcPr>
          <w:p w14:paraId="7C17BAE3" w14:textId="77777777" w:rsidR="00023EC0" w:rsidRPr="00023EC0" w:rsidRDefault="00023EC0" w:rsidP="006B4A8F">
            <w:pPr>
              <w:pStyle w:val="Tabletext"/>
              <w:rPr>
                <w:rFonts w:eastAsia="Times New Roman"/>
                <w:sz w:val="22"/>
                <w:szCs w:val="22"/>
              </w:rPr>
            </w:pPr>
            <w:r w:rsidRPr="00023EC0">
              <w:rPr>
                <w:rFonts w:eastAsia="Times New Roman"/>
                <w:sz w:val="22"/>
                <w:szCs w:val="22"/>
              </w:rPr>
              <w:t>PR</w:t>
            </w:r>
          </w:p>
        </w:tc>
        <w:tc>
          <w:tcPr>
            <w:tcW w:w="6830" w:type="dxa"/>
          </w:tcPr>
          <w:p w14:paraId="3569941F" w14:textId="259C951A" w:rsidR="00023EC0" w:rsidRPr="00023EC0" w:rsidRDefault="00AA3A90" w:rsidP="006B4A8F">
            <w:pPr>
              <w:pStyle w:val="Tabletext"/>
              <w:rPr>
                <w:rFonts w:eastAsia="Times New Roman"/>
                <w:sz w:val="22"/>
                <w:szCs w:val="22"/>
              </w:rPr>
            </w:pPr>
            <w:r>
              <w:rPr>
                <w:rFonts w:eastAsia="Times New Roman"/>
                <w:sz w:val="22"/>
                <w:szCs w:val="22"/>
              </w:rPr>
              <w:t>P</w:t>
            </w:r>
            <w:r w:rsidR="00023EC0" w:rsidRPr="00023EC0">
              <w:rPr>
                <w:rFonts w:eastAsia="Times New Roman"/>
                <w:sz w:val="22"/>
                <w:szCs w:val="22"/>
              </w:rPr>
              <w:t>artial response</w:t>
            </w:r>
          </w:p>
        </w:tc>
      </w:tr>
      <w:tr w:rsidR="00351BC8" w:rsidRPr="00023EC0" w14:paraId="72094F5B" w14:textId="77777777" w:rsidTr="00D37B29">
        <w:tc>
          <w:tcPr>
            <w:tcW w:w="1890" w:type="dxa"/>
          </w:tcPr>
          <w:p w14:paraId="1E271234" w14:textId="28786E54" w:rsidR="00351BC8" w:rsidRPr="00023EC0" w:rsidRDefault="00351BC8" w:rsidP="006B4A8F">
            <w:pPr>
              <w:pStyle w:val="Tabletext"/>
              <w:rPr>
                <w:rFonts w:eastAsia="Times New Roman"/>
                <w:sz w:val="22"/>
              </w:rPr>
            </w:pPr>
            <w:r w:rsidRPr="00351BC8">
              <w:rPr>
                <w:rFonts w:eastAsia="Times New Roman"/>
                <w:sz w:val="22"/>
              </w:rPr>
              <w:t>PSUR</w:t>
            </w:r>
          </w:p>
        </w:tc>
        <w:tc>
          <w:tcPr>
            <w:tcW w:w="6830" w:type="dxa"/>
          </w:tcPr>
          <w:p w14:paraId="5BF21B2C" w14:textId="1FFD406A" w:rsidR="00351BC8" w:rsidRDefault="000E0399" w:rsidP="00351BC8">
            <w:pPr>
              <w:pStyle w:val="Tabletext"/>
              <w:rPr>
                <w:rFonts w:eastAsia="Times New Roman"/>
                <w:sz w:val="22"/>
              </w:rPr>
            </w:pPr>
            <w:r>
              <w:rPr>
                <w:rFonts w:eastAsia="Times New Roman"/>
                <w:sz w:val="22"/>
              </w:rPr>
              <w:t>Periodic safety update report</w:t>
            </w:r>
          </w:p>
        </w:tc>
      </w:tr>
      <w:tr w:rsidR="00023EC0" w:rsidRPr="00023EC0" w14:paraId="0BF6D2F7" w14:textId="77777777" w:rsidTr="00D37B29">
        <w:tc>
          <w:tcPr>
            <w:tcW w:w="1890" w:type="dxa"/>
          </w:tcPr>
          <w:p w14:paraId="5535E7B9" w14:textId="77777777" w:rsidR="00023EC0" w:rsidRPr="00023EC0" w:rsidRDefault="00023EC0" w:rsidP="006B4A8F">
            <w:pPr>
              <w:pStyle w:val="Tabletext"/>
              <w:rPr>
                <w:rFonts w:eastAsia="Times New Roman"/>
                <w:sz w:val="22"/>
                <w:szCs w:val="22"/>
              </w:rPr>
            </w:pPr>
            <w:r w:rsidRPr="00023EC0">
              <w:rPr>
                <w:rFonts w:eastAsia="Times New Roman"/>
                <w:sz w:val="22"/>
                <w:szCs w:val="22"/>
              </w:rPr>
              <w:t>QD</w:t>
            </w:r>
          </w:p>
        </w:tc>
        <w:tc>
          <w:tcPr>
            <w:tcW w:w="6830" w:type="dxa"/>
          </w:tcPr>
          <w:p w14:paraId="100787F1" w14:textId="73D4F543" w:rsidR="00023EC0" w:rsidRPr="00023EC0" w:rsidRDefault="005600F4" w:rsidP="006B4A8F">
            <w:pPr>
              <w:pStyle w:val="Tabletext"/>
              <w:rPr>
                <w:rFonts w:eastAsia="Times New Roman"/>
                <w:sz w:val="22"/>
                <w:szCs w:val="22"/>
              </w:rPr>
            </w:pPr>
            <w:r>
              <w:rPr>
                <w:rFonts w:eastAsia="Times New Roman"/>
                <w:sz w:val="22"/>
                <w:szCs w:val="22"/>
              </w:rPr>
              <w:t>O</w:t>
            </w:r>
            <w:r w:rsidR="00023EC0" w:rsidRPr="00023EC0">
              <w:rPr>
                <w:rFonts w:eastAsia="Times New Roman"/>
                <w:sz w:val="22"/>
                <w:szCs w:val="22"/>
              </w:rPr>
              <w:t>nce daily</w:t>
            </w:r>
            <w:r w:rsidR="00390551">
              <w:rPr>
                <w:rFonts w:eastAsia="Times New Roman"/>
                <w:sz w:val="22"/>
                <w:szCs w:val="22"/>
              </w:rPr>
              <w:t xml:space="preserve"> </w:t>
            </w:r>
            <w:r w:rsidR="00F168D1">
              <w:rPr>
                <w:rFonts w:eastAsia="Times New Roman"/>
                <w:sz w:val="22"/>
                <w:szCs w:val="22"/>
              </w:rPr>
              <w:t>(</w:t>
            </w:r>
            <w:r w:rsidR="00390551">
              <w:rPr>
                <w:rFonts w:eastAsia="Times New Roman"/>
                <w:sz w:val="22"/>
                <w:szCs w:val="22"/>
              </w:rPr>
              <w:t xml:space="preserve">Latin: </w:t>
            </w:r>
            <w:r w:rsidR="00390551" w:rsidRPr="00390551">
              <w:rPr>
                <w:rFonts w:eastAsia="Times New Roman"/>
                <w:i/>
                <w:sz w:val="22"/>
                <w:szCs w:val="22"/>
              </w:rPr>
              <w:t>quaque die</w:t>
            </w:r>
            <w:r w:rsidR="00F168D1">
              <w:rPr>
                <w:rFonts w:eastAsia="Times New Roman"/>
                <w:i/>
                <w:sz w:val="22"/>
                <w:szCs w:val="22"/>
              </w:rPr>
              <w:t>)</w:t>
            </w:r>
          </w:p>
        </w:tc>
      </w:tr>
      <w:tr w:rsidR="00023EC0" w:rsidRPr="00023EC0" w14:paraId="0C981735" w14:textId="77777777" w:rsidTr="00D37B29">
        <w:tc>
          <w:tcPr>
            <w:tcW w:w="1890" w:type="dxa"/>
          </w:tcPr>
          <w:p w14:paraId="1707F9DE" w14:textId="77777777" w:rsidR="00023EC0" w:rsidRPr="00023EC0" w:rsidRDefault="00023EC0" w:rsidP="006B4A8F">
            <w:pPr>
              <w:pStyle w:val="Tabletext"/>
              <w:rPr>
                <w:rFonts w:eastAsia="Times New Roman"/>
                <w:sz w:val="22"/>
                <w:szCs w:val="22"/>
              </w:rPr>
            </w:pPr>
            <w:r w:rsidRPr="00023EC0">
              <w:rPr>
                <w:rFonts w:eastAsia="Times New Roman"/>
                <w:sz w:val="22"/>
                <w:szCs w:val="22"/>
              </w:rPr>
              <w:t>RECIST</w:t>
            </w:r>
          </w:p>
        </w:tc>
        <w:tc>
          <w:tcPr>
            <w:tcW w:w="6830" w:type="dxa"/>
          </w:tcPr>
          <w:p w14:paraId="28096C9A" w14:textId="70C0302E" w:rsidR="00023EC0" w:rsidRPr="00023EC0" w:rsidRDefault="00AA3A90" w:rsidP="006B4A8F">
            <w:pPr>
              <w:pStyle w:val="Tabletext"/>
              <w:rPr>
                <w:rFonts w:eastAsia="Times New Roman"/>
                <w:sz w:val="22"/>
                <w:szCs w:val="22"/>
              </w:rPr>
            </w:pPr>
            <w:r>
              <w:rPr>
                <w:rFonts w:eastAsia="Times New Roman"/>
                <w:sz w:val="22"/>
                <w:szCs w:val="22"/>
              </w:rPr>
              <w:t>R</w:t>
            </w:r>
            <w:r w:rsidR="00023EC0" w:rsidRPr="00023EC0">
              <w:rPr>
                <w:rFonts w:eastAsia="Times New Roman"/>
                <w:sz w:val="22"/>
                <w:szCs w:val="22"/>
              </w:rPr>
              <w:t>esponse evaluation criteria in solid tumours</w:t>
            </w:r>
          </w:p>
        </w:tc>
      </w:tr>
      <w:tr w:rsidR="00F168D1" w:rsidRPr="00023EC0" w14:paraId="15363914" w14:textId="77777777" w:rsidTr="00D37B29">
        <w:tc>
          <w:tcPr>
            <w:tcW w:w="1890" w:type="dxa"/>
          </w:tcPr>
          <w:p w14:paraId="5BEBA04D" w14:textId="5C387839" w:rsidR="00F168D1" w:rsidRPr="00023EC0" w:rsidRDefault="00F168D1" w:rsidP="006B4A8F">
            <w:pPr>
              <w:pStyle w:val="Tabletext"/>
              <w:rPr>
                <w:rFonts w:eastAsia="Times New Roman"/>
                <w:sz w:val="22"/>
              </w:rPr>
            </w:pPr>
            <w:r>
              <w:rPr>
                <w:rFonts w:eastAsia="Times New Roman"/>
                <w:sz w:val="22"/>
              </w:rPr>
              <w:t>RMP</w:t>
            </w:r>
          </w:p>
        </w:tc>
        <w:tc>
          <w:tcPr>
            <w:tcW w:w="6830" w:type="dxa"/>
          </w:tcPr>
          <w:p w14:paraId="7971938B" w14:textId="7D69193D" w:rsidR="00F168D1" w:rsidRDefault="00F168D1" w:rsidP="006B4A8F">
            <w:pPr>
              <w:pStyle w:val="Tabletext"/>
              <w:rPr>
                <w:rFonts w:eastAsia="Times New Roman"/>
                <w:sz w:val="22"/>
              </w:rPr>
            </w:pPr>
            <w:r>
              <w:rPr>
                <w:rFonts w:eastAsia="Times New Roman"/>
                <w:sz w:val="22"/>
              </w:rPr>
              <w:t>Risk management plan</w:t>
            </w:r>
          </w:p>
        </w:tc>
      </w:tr>
      <w:tr w:rsidR="000F30A1" w:rsidRPr="00023EC0" w14:paraId="2088623E" w14:textId="77777777" w:rsidTr="00D37B29">
        <w:tc>
          <w:tcPr>
            <w:tcW w:w="1890" w:type="dxa"/>
          </w:tcPr>
          <w:p w14:paraId="41BEF5C4" w14:textId="77777777" w:rsidR="000F30A1" w:rsidRPr="00023EC0" w:rsidRDefault="000F30A1" w:rsidP="006B4A8F">
            <w:pPr>
              <w:pStyle w:val="Tabletext"/>
              <w:rPr>
                <w:rFonts w:eastAsia="Times New Roman"/>
                <w:sz w:val="22"/>
              </w:rPr>
            </w:pPr>
            <w:r w:rsidRPr="000F30A1">
              <w:rPr>
                <w:rFonts w:eastAsia="Times New Roman"/>
                <w:sz w:val="22"/>
              </w:rPr>
              <w:t>ROS1</w:t>
            </w:r>
          </w:p>
        </w:tc>
        <w:tc>
          <w:tcPr>
            <w:tcW w:w="6830" w:type="dxa"/>
          </w:tcPr>
          <w:p w14:paraId="55E72BCE" w14:textId="77777777" w:rsidR="000F30A1" w:rsidRPr="00023EC0" w:rsidRDefault="000F30A1" w:rsidP="000F30A1">
            <w:pPr>
              <w:pStyle w:val="Tabletext"/>
              <w:rPr>
                <w:rFonts w:eastAsia="Times New Roman"/>
                <w:sz w:val="22"/>
              </w:rPr>
            </w:pPr>
            <w:r>
              <w:rPr>
                <w:rFonts w:eastAsia="Times New Roman"/>
                <w:sz w:val="22"/>
              </w:rPr>
              <w:t>c-ros oncogene 1</w:t>
            </w:r>
          </w:p>
        </w:tc>
      </w:tr>
      <w:tr w:rsidR="00023EC0" w:rsidRPr="00023EC0" w14:paraId="53AEFDEB" w14:textId="77777777" w:rsidTr="00D37B29">
        <w:tc>
          <w:tcPr>
            <w:tcW w:w="1890" w:type="dxa"/>
          </w:tcPr>
          <w:p w14:paraId="35A11CF7" w14:textId="77777777" w:rsidR="00023EC0" w:rsidRPr="00023EC0" w:rsidRDefault="00023EC0" w:rsidP="006B4A8F">
            <w:pPr>
              <w:pStyle w:val="Tabletext"/>
              <w:rPr>
                <w:rFonts w:eastAsia="Times New Roman"/>
                <w:sz w:val="22"/>
                <w:szCs w:val="22"/>
              </w:rPr>
            </w:pPr>
            <w:r w:rsidRPr="00023EC0">
              <w:rPr>
                <w:rFonts w:eastAsia="Times New Roman"/>
                <w:sz w:val="22"/>
                <w:szCs w:val="22"/>
              </w:rPr>
              <w:t>SAE</w:t>
            </w:r>
          </w:p>
        </w:tc>
        <w:tc>
          <w:tcPr>
            <w:tcW w:w="6830" w:type="dxa"/>
          </w:tcPr>
          <w:p w14:paraId="00E105FA" w14:textId="45E626F4" w:rsidR="00023EC0" w:rsidRPr="00023EC0" w:rsidRDefault="00390551" w:rsidP="006B4A8F">
            <w:pPr>
              <w:pStyle w:val="Tabletext"/>
              <w:rPr>
                <w:rFonts w:eastAsia="Times New Roman"/>
                <w:sz w:val="22"/>
                <w:szCs w:val="22"/>
              </w:rPr>
            </w:pPr>
            <w:r>
              <w:rPr>
                <w:rFonts w:eastAsia="Times New Roman"/>
                <w:sz w:val="22"/>
                <w:szCs w:val="22"/>
              </w:rPr>
              <w:t>S</w:t>
            </w:r>
            <w:r w:rsidR="00023EC0" w:rsidRPr="00023EC0">
              <w:rPr>
                <w:rFonts w:eastAsia="Times New Roman"/>
                <w:sz w:val="22"/>
                <w:szCs w:val="22"/>
              </w:rPr>
              <w:t>erious adverse event</w:t>
            </w:r>
          </w:p>
        </w:tc>
      </w:tr>
      <w:tr w:rsidR="00351BC8" w:rsidRPr="00023EC0" w14:paraId="6905384A" w14:textId="77777777" w:rsidTr="00D37B29">
        <w:tc>
          <w:tcPr>
            <w:tcW w:w="1890" w:type="dxa"/>
          </w:tcPr>
          <w:p w14:paraId="222D98A4" w14:textId="147521F6" w:rsidR="00351BC8" w:rsidRPr="00023EC0" w:rsidRDefault="00351BC8" w:rsidP="006B4A8F">
            <w:pPr>
              <w:pStyle w:val="Tabletext"/>
              <w:rPr>
                <w:rFonts w:eastAsia="Times New Roman"/>
                <w:sz w:val="22"/>
              </w:rPr>
            </w:pPr>
            <w:r w:rsidRPr="00351BC8">
              <w:rPr>
                <w:rFonts w:eastAsia="Times New Roman"/>
                <w:sz w:val="22"/>
              </w:rPr>
              <w:lastRenderedPageBreak/>
              <w:t>SmPC</w:t>
            </w:r>
          </w:p>
        </w:tc>
        <w:tc>
          <w:tcPr>
            <w:tcW w:w="6830" w:type="dxa"/>
          </w:tcPr>
          <w:p w14:paraId="4A458B7E" w14:textId="32E66828" w:rsidR="00351BC8" w:rsidRPr="00023EC0" w:rsidRDefault="00351BC8" w:rsidP="00351BC8">
            <w:pPr>
              <w:pStyle w:val="Tabletext"/>
              <w:rPr>
                <w:rFonts w:eastAsia="Times New Roman"/>
                <w:sz w:val="22"/>
              </w:rPr>
            </w:pPr>
            <w:r w:rsidRPr="00351BC8">
              <w:rPr>
                <w:rFonts w:eastAsia="Times New Roman"/>
                <w:sz w:val="22"/>
              </w:rPr>
              <w:t>Summ</w:t>
            </w:r>
            <w:r>
              <w:rPr>
                <w:rFonts w:eastAsia="Times New Roman"/>
                <w:sz w:val="22"/>
              </w:rPr>
              <w:t>ary of Product Characteristics (EU)</w:t>
            </w:r>
          </w:p>
        </w:tc>
      </w:tr>
      <w:tr w:rsidR="00023EC0" w:rsidRPr="00023EC0" w14:paraId="3E14C8F2" w14:textId="77777777" w:rsidTr="00D37B29">
        <w:tc>
          <w:tcPr>
            <w:tcW w:w="1890" w:type="dxa"/>
          </w:tcPr>
          <w:p w14:paraId="35579C41" w14:textId="77777777" w:rsidR="00023EC0" w:rsidRPr="00023EC0" w:rsidRDefault="00023EC0" w:rsidP="006B4A8F">
            <w:pPr>
              <w:pStyle w:val="Tabletext"/>
              <w:rPr>
                <w:rFonts w:eastAsia="Times New Roman"/>
                <w:sz w:val="22"/>
                <w:szCs w:val="22"/>
              </w:rPr>
            </w:pPr>
            <w:r w:rsidRPr="00023EC0">
              <w:rPr>
                <w:rFonts w:eastAsia="Times New Roman"/>
                <w:sz w:val="22"/>
                <w:szCs w:val="22"/>
              </w:rPr>
              <w:t>TGA</w:t>
            </w:r>
          </w:p>
        </w:tc>
        <w:tc>
          <w:tcPr>
            <w:tcW w:w="6830" w:type="dxa"/>
          </w:tcPr>
          <w:p w14:paraId="7D1231FE" w14:textId="77777777" w:rsidR="00023EC0" w:rsidRPr="00023EC0" w:rsidRDefault="00023EC0" w:rsidP="006B4A8F">
            <w:pPr>
              <w:pStyle w:val="Tabletext"/>
              <w:rPr>
                <w:rFonts w:eastAsia="Times New Roman"/>
                <w:sz w:val="22"/>
                <w:szCs w:val="22"/>
              </w:rPr>
            </w:pPr>
            <w:r w:rsidRPr="00023EC0">
              <w:rPr>
                <w:rFonts w:eastAsia="Times New Roman"/>
                <w:sz w:val="22"/>
                <w:szCs w:val="22"/>
              </w:rPr>
              <w:t>Therapeutic Goods Administration</w:t>
            </w:r>
          </w:p>
        </w:tc>
      </w:tr>
      <w:tr w:rsidR="00023EC0" w:rsidRPr="00023EC0" w14:paraId="03C37152" w14:textId="77777777" w:rsidTr="00D37B29">
        <w:tc>
          <w:tcPr>
            <w:tcW w:w="1890" w:type="dxa"/>
          </w:tcPr>
          <w:p w14:paraId="3E6DC681" w14:textId="77777777" w:rsidR="00023EC0" w:rsidRPr="00023EC0" w:rsidRDefault="00023EC0" w:rsidP="006B4A8F">
            <w:pPr>
              <w:pStyle w:val="Tabletext"/>
              <w:rPr>
                <w:rFonts w:eastAsia="Times New Roman"/>
                <w:sz w:val="22"/>
                <w:szCs w:val="22"/>
              </w:rPr>
            </w:pPr>
            <w:r w:rsidRPr="00023EC0">
              <w:rPr>
                <w:rFonts w:eastAsia="Times New Roman"/>
                <w:sz w:val="22"/>
                <w:szCs w:val="22"/>
              </w:rPr>
              <w:t>TKI</w:t>
            </w:r>
          </w:p>
        </w:tc>
        <w:tc>
          <w:tcPr>
            <w:tcW w:w="6830" w:type="dxa"/>
          </w:tcPr>
          <w:p w14:paraId="14650D7F" w14:textId="77777777" w:rsidR="00023EC0" w:rsidRPr="00023EC0" w:rsidRDefault="00CB4840" w:rsidP="006B4A8F">
            <w:pPr>
              <w:pStyle w:val="Tabletext"/>
              <w:rPr>
                <w:rFonts w:eastAsia="Times New Roman"/>
                <w:sz w:val="22"/>
                <w:szCs w:val="22"/>
              </w:rPr>
            </w:pPr>
            <w:r>
              <w:rPr>
                <w:rFonts w:eastAsia="Times New Roman"/>
                <w:sz w:val="22"/>
                <w:szCs w:val="22"/>
              </w:rPr>
              <w:t>T</w:t>
            </w:r>
            <w:r w:rsidR="00023EC0" w:rsidRPr="00023EC0">
              <w:rPr>
                <w:rFonts w:eastAsia="Times New Roman"/>
                <w:sz w:val="22"/>
                <w:szCs w:val="22"/>
              </w:rPr>
              <w:t>yrosine kinase inhibitor</w:t>
            </w:r>
          </w:p>
        </w:tc>
      </w:tr>
      <w:tr w:rsidR="00023EC0" w:rsidRPr="00023EC0" w14:paraId="65F544FB" w14:textId="77777777" w:rsidTr="00D37B29">
        <w:tc>
          <w:tcPr>
            <w:tcW w:w="1890" w:type="dxa"/>
          </w:tcPr>
          <w:p w14:paraId="4D4F8982" w14:textId="77777777" w:rsidR="00023EC0" w:rsidRPr="00023EC0" w:rsidRDefault="00023EC0" w:rsidP="006B4A8F">
            <w:pPr>
              <w:pStyle w:val="Tabletext"/>
              <w:rPr>
                <w:rFonts w:eastAsia="Times New Roman"/>
                <w:sz w:val="22"/>
                <w:szCs w:val="22"/>
              </w:rPr>
            </w:pPr>
            <w:r w:rsidRPr="00023EC0">
              <w:rPr>
                <w:rFonts w:eastAsia="Times New Roman"/>
                <w:sz w:val="22"/>
                <w:szCs w:val="22"/>
              </w:rPr>
              <w:t>ULN</w:t>
            </w:r>
          </w:p>
        </w:tc>
        <w:tc>
          <w:tcPr>
            <w:tcW w:w="6830" w:type="dxa"/>
          </w:tcPr>
          <w:p w14:paraId="7F5B205B" w14:textId="14D7D924" w:rsidR="00023EC0" w:rsidRPr="00023EC0" w:rsidRDefault="00DF5AFE" w:rsidP="006B4A8F">
            <w:pPr>
              <w:pStyle w:val="Tabletext"/>
              <w:rPr>
                <w:rFonts w:eastAsia="Times New Roman"/>
                <w:sz w:val="22"/>
                <w:szCs w:val="22"/>
              </w:rPr>
            </w:pPr>
            <w:r>
              <w:rPr>
                <w:rFonts w:eastAsia="Times New Roman"/>
                <w:sz w:val="22"/>
                <w:szCs w:val="22"/>
              </w:rPr>
              <w:t>U</w:t>
            </w:r>
            <w:r w:rsidR="00023EC0" w:rsidRPr="00023EC0">
              <w:rPr>
                <w:rFonts w:eastAsia="Times New Roman"/>
                <w:sz w:val="22"/>
                <w:szCs w:val="22"/>
              </w:rPr>
              <w:t>pper limit of normal</w:t>
            </w:r>
          </w:p>
        </w:tc>
      </w:tr>
      <w:tr w:rsidR="00EA6557" w:rsidRPr="00023EC0" w14:paraId="2D24EC5B" w14:textId="77777777" w:rsidTr="00D37B29">
        <w:tc>
          <w:tcPr>
            <w:tcW w:w="1890" w:type="dxa"/>
          </w:tcPr>
          <w:p w14:paraId="0D645031" w14:textId="77777777" w:rsidR="00EA6557" w:rsidRPr="00023EC0" w:rsidRDefault="00EA6557" w:rsidP="006B4A8F">
            <w:pPr>
              <w:pStyle w:val="Tabletext"/>
              <w:rPr>
                <w:rFonts w:eastAsia="Times New Roman"/>
                <w:sz w:val="22"/>
              </w:rPr>
            </w:pPr>
            <w:r>
              <w:rPr>
                <w:rFonts w:eastAsia="Times New Roman"/>
                <w:sz w:val="22"/>
              </w:rPr>
              <w:t>US</w:t>
            </w:r>
            <w:r w:rsidR="00CB4840">
              <w:rPr>
                <w:rFonts w:eastAsia="Times New Roman"/>
                <w:sz w:val="22"/>
              </w:rPr>
              <w:t>(</w:t>
            </w:r>
            <w:r>
              <w:rPr>
                <w:rFonts w:eastAsia="Times New Roman"/>
                <w:sz w:val="22"/>
              </w:rPr>
              <w:t>A</w:t>
            </w:r>
            <w:r w:rsidR="00CB4840">
              <w:rPr>
                <w:rFonts w:eastAsia="Times New Roman"/>
                <w:sz w:val="22"/>
              </w:rPr>
              <w:t>)</w:t>
            </w:r>
          </w:p>
        </w:tc>
        <w:tc>
          <w:tcPr>
            <w:tcW w:w="6830" w:type="dxa"/>
          </w:tcPr>
          <w:p w14:paraId="5C6516B4" w14:textId="77777777" w:rsidR="00EA6557" w:rsidRPr="00023EC0" w:rsidRDefault="00EA6557" w:rsidP="006B4A8F">
            <w:pPr>
              <w:pStyle w:val="Tabletext"/>
              <w:rPr>
                <w:rFonts w:eastAsia="Times New Roman"/>
                <w:sz w:val="22"/>
              </w:rPr>
            </w:pPr>
            <w:r>
              <w:rPr>
                <w:rFonts w:eastAsia="Times New Roman"/>
                <w:sz w:val="22"/>
              </w:rPr>
              <w:t xml:space="preserve">United States </w:t>
            </w:r>
            <w:r w:rsidR="00CB4840">
              <w:rPr>
                <w:rFonts w:eastAsia="Times New Roman"/>
                <w:sz w:val="22"/>
              </w:rPr>
              <w:t>(</w:t>
            </w:r>
            <w:r>
              <w:rPr>
                <w:rFonts w:eastAsia="Times New Roman"/>
                <w:sz w:val="22"/>
              </w:rPr>
              <w:t>of America</w:t>
            </w:r>
            <w:r w:rsidR="00CB4840">
              <w:rPr>
                <w:rFonts w:eastAsia="Times New Roman"/>
                <w:sz w:val="22"/>
              </w:rPr>
              <w:t>)</w:t>
            </w:r>
          </w:p>
        </w:tc>
      </w:tr>
    </w:tbl>
    <w:p w14:paraId="77E5484F" w14:textId="77777777" w:rsidR="00FD119B" w:rsidRDefault="00FD119B" w:rsidP="00FD119B"/>
    <w:p w14:paraId="321402A6"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4B66F33" w14:textId="77777777" w:rsidR="008E7846" w:rsidRDefault="00F53C07" w:rsidP="008E7846">
      <w:pPr>
        <w:pStyle w:val="Heading2"/>
      </w:pPr>
      <w:bookmarkStart w:id="9" w:name="_Toc35853838"/>
      <w:r>
        <w:lastRenderedPageBreak/>
        <w:t>I.</w:t>
      </w:r>
      <w:r w:rsidR="008E7846">
        <w:t xml:space="preserve"> Introduction to product submission</w:t>
      </w:r>
      <w:bookmarkEnd w:id="0"/>
      <w:bookmarkEnd w:id="3"/>
      <w:bookmarkEnd w:id="9"/>
    </w:p>
    <w:p w14:paraId="25D4C9A7" w14:textId="77777777" w:rsidR="008E7846" w:rsidRDefault="008E7846" w:rsidP="008E7846">
      <w:pPr>
        <w:pStyle w:val="Heading3"/>
        <w:rPr>
          <w:lang w:eastAsia="en-AU"/>
        </w:rPr>
      </w:pPr>
      <w:bookmarkStart w:id="10" w:name="_Toc247691502"/>
      <w:bookmarkStart w:id="11" w:name="_Toc314842483"/>
      <w:bookmarkStart w:id="12" w:name="_Toc3585383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7BAC7DB3" w14:textId="77777777" w:rsidTr="003735BC">
        <w:tc>
          <w:tcPr>
            <w:tcW w:w="2907" w:type="dxa"/>
          </w:tcPr>
          <w:p w14:paraId="6F48C223"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554CBAF0" w14:textId="77777777" w:rsidR="008E7846" w:rsidRPr="003D1E62" w:rsidRDefault="008E7846" w:rsidP="001D5925">
            <w:r w:rsidRPr="003D1E62">
              <w:t xml:space="preserve">New </w:t>
            </w:r>
            <w:r w:rsidR="001B5C90">
              <w:t>c</w:t>
            </w:r>
            <w:r w:rsidRPr="003D1E62">
              <w:t xml:space="preserve">hemical </w:t>
            </w:r>
            <w:r w:rsidR="001B5C90">
              <w:t>e</w:t>
            </w:r>
            <w:r w:rsidR="001D5925">
              <w:t>ntity</w:t>
            </w:r>
          </w:p>
        </w:tc>
      </w:tr>
      <w:tr w:rsidR="008E7846" w:rsidRPr="003D1E62" w14:paraId="76D2EAA9" w14:textId="77777777" w:rsidTr="003735BC">
        <w:tc>
          <w:tcPr>
            <w:tcW w:w="2907" w:type="dxa"/>
          </w:tcPr>
          <w:p w14:paraId="235F272D" w14:textId="77777777" w:rsidR="008E7846" w:rsidRPr="003D1E62" w:rsidRDefault="008E7846" w:rsidP="003D1E62">
            <w:r w:rsidRPr="003D1E62">
              <w:rPr>
                <w:i/>
              </w:rPr>
              <w:t>Decision</w:t>
            </w:r>
            <w:r w:rsidRPr="003D1E62">
              <w:t>:</w:t>
            </w:r>
          </w:p>
        </w:tc>
        <w:tc>
          <w:tcPr>
            <w:tcW w:w="6307" w:type="dxa"/>
          </w:tcPr>
          <w:p w14:paraId="146EB999" w14:textId="77777777" w:rsidR="008E7846" w:rsidRPr="003D1E62" w:rsidRDefault="00023EC0" w:rsidP="00023EC0">
            <w:r>
              <w:t>Approved</w:t>
            </w:r>
          </w:p>
        </w:tc>
      </w:tr>
      <w:tr w:rsidR="008E7846" w:rsidRPr="003D1E62" w14:paraId="0CE12987" w14:textId="77777777" w:rsidTr="003735BC">
        <w:tc>
          <w:tcPr>
            <w:tcW w:w="2907" w:type="dxa"/>
          </w:tcPr>
          <w:p w14:paraId="14814B8F"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3F3C71A9" w14:textId="77777777" w:rsidR="008E7846" w:rsidRPr="003D1E62" w:rsidRDefault="008A5B71" w:rsidP="001B5C90">
            <w:r>
              <w:t>4 March 2019</w:t>
            </w:r>
          </w:p>
        </w:tc>
      </w:tr>
      <w:tr w:rsidR="00ED2922" w:rsidRPr="003D1E62" w14:paraId="7C0C618D" w14:textId="77777777" w:rsidTr="003735BC">
        <w:tc>
          <w:tcPr>
            <w:tcW w:w="2907" w:type="dxa"/>
          </w:tcPr>
          <w:p w14:paraId="3502DE4F" w14:textId="77777777" w:rsidR="00ED2922" w:rsidRPr="00441C3F" w:rsidRDefault="00ED2922" w:rsidP="001B5C90">
            <w:pPr>
              <w:rPr>
                <w:i/>
              </w:rPr>
            </w:pPr>
            <w:r w:rsidRPr="00441C3F">
              <w:rPr>
                <w:i/>
              </w:rPr>
              <w:t>Date of entry onto ARTG</w:t>
            </w:r>
            <w:r w:rsidR="00500337">
              <w:rPr>
                <w:i/>
              </w:rPr>
              <w:t>:</w:t>
            </w:r>
          </w:p>
        </w:tc>
        <w:tc>
          <w:tcPr>
            <w:tcW w:w="6307" w:type="dxa"/>
          </w:tcPr>
          <w:p w14:paraId="4A17545D" w14:textId="77777777" w:rsidR="00ED2922" w:rsidRPr="00441C3F" w:rsidRDefault="006E4483" w:rsidP="00D153D8">
            <w:pPr>
              <w:rPr>
                <w:i/>
              </w:rPr>
            </w:pPr>
            <w:r>
              <w:t>6 March 2019</w:t>
            </w:r>
          </w:p>
        </w:tc>
      </w:tr>
      <w:tr w:rsidR="00500337" w:rsidRPr="003D1E62" w14:paraId="473B15AA" w14:textId="77777777" w:rsidTr="003735BC">
        <w:tc>
          <w:tcPr>
            <w:tcW w:w="2907" w:type="dxa"/>
          </w:tcPr>
          <w:p w14:paraId="02076266" w14:textId="77777777" w:rsidR="00500337" w:rsidRPr="00441C3F" w:rsidRDefault="00023EC0" w:rsidP="001B5C90">
            <w:pPr>
              <w:rPr>
                <w:i/>
              </w:rPr>
            </w:pPr>
            <w:r>
              <w:rPr>
                <w:i/>
              </w:rPr>
              <w:t>ARTG number</w:t>
            </w:r>
            <w:r w:rsidR="00500337">
              <w:rPr>
                <w:i/>
              </w:rPr>
              <w:t>:</w:t>
            </w:r>
          </w:p>
        </w:tc>
        <w:tc>
          <w:tcPr>
            <w:tcW w:w="6307" w:type="dxa"/>
          </w:tcPr>
          <w:p w14:paraId="7056A66A" w14:textId="77777777" w:rsidR="00500337" w:rsidRPr="00441C3F" w:rsidRDefault="001D5925" w:rsidP="001D5925">
            <w:r>
              <w:t>299962, 299963, 299964, 299965, 299966, 299967, 299968</w:t>
            </w:r>
          </w:p>
        </w:tc>
      </w:tr>
      <w:tr w:rsidR="003735BC" w:rsidRPr="003D1E62" w14:paraId="39011787" w14:textId="77777777" w:rsidTr="003735BC">
        <w:tc>
          <w:tcPr>
            <w:tcW w:w="2907" w:type="dxa"/>
          </w:tcPr>
          <w:p w14:paraId="40BAED8E"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5E382F69" w14:textId="58B6C512" w:rsidR="006E4483" w:rsidRPr="00023EC0" w:rsidRDefault="000E0399" w:rsidP="00023EC0">
            <w:r>
              <w:t>Yes</w:t>
            </w:r>
          </w:p>
          <w:p w14:paraId="2C7FAC48" w14:textId="77777777" w:rsidR="003735BC" w:rsidRPr="00487162" w:rsidRDefault="003735BC" w:rsidP="00023EC0">
            <w:r>
              <w:t xml:space="preserve">This product will remain in the scheme for 5 years, starting on the date the product is first supplied in </w:t>
            </w:r>
            <w:r w:rsidR="00023EC0">
              <w:t>Australia</w:t>
            </w:r>
          </w:p>
        </w:tc>
      </w:tr>
      <w:tr w:rsidR="008E7846" w:rsidRPr="00487162" w14:paraId="187FF630" w14:textId="77777777" w:rsidTr="00BF1190">
        <w:tc>
          <w:tcPr>
            <w:tcW w:w="2907" w:type="dxa"/>
          </w:tcPr>
          <w:p w14:paraId="19823172" w14:textId="77777777" w:rsidR="008E7846" w:rsidRPr="00487162" w:rsidRDefault="00023EC0" w:rsidP="00E45619">
            <w:pPr>
              <w:rPr>
                <w:i/>
              </w:rPr>
            </w:pPr>
            <w:r>
              <w:rPr>
                <w:i/>
              </w:rPr>
              <w:t>Active ingredient</w:t>
            </w:r>
            <w:r w:rsidR="001B5C90">
              <w:rPr>
                <w:i/>
              </w:rPr>
              <w:t>:</w:t>
            </w:r>
          </w:p>
        </w:tc>
        <w:tc>
          <w:tcPr>
            <w:tcW w:w="6307" w:type="dxa"/>
          </w:tcPr>
          <w:p w14:paraId="32AFACAB" w14:textId="77777777" w:rsidR="008E7846" w:rsidRPr="00487162" w:rsidRDefault="001D5925" w:rsidP="00E55CB0">
            <w:r>
              <w:t>Brigatinib</w:t>
            </w:r>
          </w:p>
        </w:tc>
      </w:tr>
      <w:tr w:rsidR="008E7846" w:rsidRPr="00487162" w14:paraId="147C2A04" w14:textId="77777777" w:rsidTr="00BF1190">
        <w:tc>
          <w:tcPr>
            <w:tcW w:w="2907" w:type="dxa"/>
          </w:tcPr>
          <w:p w14:paraId="00144FA8" w14:textId="77777777" w:rsidR="008E7846" w:rsidRPr="00487162" w:rsidRDefault="008E7846" w:rsidP="001B5C90">
            <w:pPr>
              <w:rPr>
                <w:i/>
              </w:rPr>
            </w:pPr>
            <w:r w:rsidRPr="00487162">
              <w:rPr>
                <w:i/>
              </w:rPr>
              <w:t>Product</w:t>
            </w:r>
            <w:r w:rsidR="00023EC0">
              <w:rPr>
                <w:i/>
              </w:rPr>
              <w:t xml:space="preserve"> name</w:t>
            </w:r>
            <w:r w:rsidR="001B5C90">
              <w:rPr>
                <w:i/>
              </w:rPr>
              <w:t>:</w:t>
            </w:r>
          </w:p>
        </w:tc>
        <w:tc>
          <w:tcPr>
            <w:tcW w:w="6307" w:type="dxa"/>
          </w:tcPr>
          <w:p w14:paraId="264086B2" w14:textId="62051F0A" w:rsidR="008E7846" w:rsidRPr="00487162" w:rsidRDefault="001D5925" w:rsidP="00E45619">
            <w:r>
              <w:t>Alunb</w:t>
            </w:r>
            <w:r w:rsidR="000E0399">
              <w:t>r</w:t>
            </w:r>
            <w:r>
              <w:t>ig</w:t>
            </w:r>
          </w:p>
        </w:tc>
      </w:tr>
      <w:tr w:rsidR="008E7846" w:rsidRPr="00487162" w14:paraId="08485395" w14:textId="77777777" w:rsidTr="00BF1190">
        <w:tc>
          <w:tcPr>
            <w:tcW w:w="2907" w:type="dxa"/>
          </w:tcPr>
          <w:p w14:paraId="7A64AA46"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2E542EF" w14:textId="77777777" w:rsidR="008E7846" w:rsidRDefault="001D5925" w:rsidP="00E45619">
            <w:r>
              <w:t>Taked</w:t>
            </w:r>
            <w:r w:rsidR="00023EC0">
              <w:t>a Pharmaceuticals Australia Pty Ltd</w:t>
            </w:r>
          </w:p>
          <w:p w14:paraId="73C93021" w14:textId="3AA13403" w:rsidR="001D5925" w:rsidRPr="00487162" w:rsidRDefault="001D5925" w:rsidP="00A525C4">
            <w:r>
              <w:t>Level 5, Chifley Tower,</w:t>
            </w:r>
            <w:r w:rsidR="00023EC0">
              <w:t xml:space="preserve"> 2 Chifley square</w:t>
            </w:r>
            <w:r w:rsidR="00A525C4">
              <w:t xml:space="preserve"> </w:t>
            </w:r>
            <w:r>
              <w:t>Sydney NSW</w:t>
            </w:r>
          </w:p>
        </w:tc>
      </w:tr>
      <w:tr w:rsidR="008E7846" w:rsidRPr="00487162" w14:paraId="438F5705" w14:textId="77777777" w:rsidTr="00BF1190">
        <w:tc>
          <w:tcPr>
            <w:tcW w:w="2907" w:type="dxa"/>
          </w:tcPr>
          <w:p w14:paraId="59BB3CB1" w14:textId="77777777" w:rsidR="008E7846" w:rsidRPr="00487162" w:rsidRDefault="00023EC0" w:rsidP="00E45619">
            <w:pPr>
              <w:rPr>
                <w:i/>
              </w:rPr>
            </w:pPr>
            <w:r>
              <w:rPr>
                <w:i/>
              </w:rPr>
              <w:t>Dose form</w:t>
            </w:r>
            <w:r w:rsidR="001B5C90">
              <w:rPr>
                <w:i/>
              </w:rPr>
              <w:t>:</w:t>
            </w:r>
          </w:p>
        </w:tc>
        <w:tc>
          <w:tcPr>
            <w:tcW w:w="6307" w:type="dxa"/>
          </w:tcPr>
          <w:p w14:paraId="7F1429AA" w14:textId="77777777" w:rsidR="008E7846" w:rsidRPr="00487162" w:rsidRDefault="001D5925" w:rsidP="00E45619">
            <w:r>
              <w:t>Film coated tablets</w:t>
            </w:r>
          </w:p>
        </w:tc>
      </w:tr>
      <w:tr w:rsidR="008E7846" w:rsidRPr="00487162" w14:paraId="07997ACE" w14:textId="77777777" w:rsidTr="00BF1190">
        <w:tc>
          <w:tcPr>
            <w:tcW w:w="2907" w:type="dxa"/>
          </w:tcPr>
          <w:p w14:paraId="6D0A22D2" w14:textId="77777777" w:rsidR="008E7846" w:rsidRPr="00487162" w:rsidRDefault="00023EC0" w:rsidP="00E45619">
            <w:pPr>
              <w:rPr>
                <w:i/>
              </w:rPr>
            </w:pPr>
            <w:r>
              <w:rPr>
                <w:i/>
              </w:rPr>
              <w:t>Strengths</w:t>
            </w:r>
            <w:r w:rsidR="008E7846" w:rsidRPr="00487162">
              <w:rPr>
                <w:i/>
              </w:rPr>
              <w:t xml:space="preserve">: </w:t>
            </w:r>
          </w:p>
        </w:tc>
        <w:tc>
          <w:tcPr>
            <w:tcW w:w="6307" w:type="dxa"/>
          </w:tcPr>
          <w:p w14:paraId="38E6C17C" w14:textId="77777777" w:rsidR="008E7846" w:rsidRPr="00487162" w:rsidRDefault="001D5925" w:rsidP="00E45619">
            <w:r>
              <w:t>30, 90 and 180 mg</w:t>
            </w:r>
          </w:p>
        </w:tc>
      </w:tr>
      <w:tr w:rsidR="008E7846" w:rsidRPr="00487162" w14:paraId="7197E0CD" w14:textId="77777777" w:rsidTr="00BF1190">
        <w:tc>
          <w:tcPr>
            <w:tcW w:w="2907" w:type="dxa"/>
          </w:tcPr>
          <w:p w14:paraId="2608F2A0" w14:textId="77777777" w:rsidR="008E7846" w:rsidRPr="00487162" w:rsidRDefault="00023EC0" w:rsidP="00E45619">
            <w:pPr>
              <w:rPr>
                <w:i/>
              </w:rPr>
            </w:pPr>
            <w:r>
              <w:rPr>
                <w:i/>
              </w:rPr>
              <w:t>Containers</w:t>
            </w:r>
            <w:r w:rsidR="008E7846" w:rsidRPr="00487162">
              <w:rPr>
                <w:i/>
              </w:rPr>
              <w:t>:</w:t>
            </w:r>
          </w:p>
        </w:tc>
        <w:tc>
          <w:tcPr>
            <w:tcW w:w="6307" w:type="dxa"/>
          </w:tcPr>
          <w:p w14:paraId="4050AA09" w14:textId="77777777" w:rsidR="008E7846" w:rsidRPr="00487162" w:rsidRDefault="001D5925" w:rsidP="00E45619">
            <w:r>
              <w:t>Bottle, blister pack</w:t>
            </w:r>
          </w:p>
        </w:tc>
      </w:tr>
      <w:tr w:rsidR="008E7846" w:rsidRPr="00487162" w14:paraId="1DF0DE12" w14:textId="77777777" w:rsidTr="00BF1190">
        <w:tc>
          <w:tcPr>
            <w:tcW w:w="2907" w:type="dxa"/>
          </w:tcPr>
          <w:p w14:paraId="6A9807E4" w14:textId="77777777" w:rsidR="008E7846" w:rsidRPr="00487162" w:rsidRDefault="00023EC0" w:rsidP="00E45619">
            <w:pPr>
              <w:rPr>
                <w:i/>
              </w:rPr>
            </w:pPr>
            <w:r>
              <w:rPr>
                <w:i/>
              </w:rPr>
              <w:t>Pack sizes</w:t>
            </w:r>
            <w:r w:rsidR="008E7846" w:rsidRPr="00487162">
              <w:rPr>
                <w:i/>
              </w:rPr>
              <w:t>:</w:t>
            </w:r>
          </w:p>
        </w:tc>
        <w:tc>
          <w:tcPr>
            <w:tcW w:w="6307" w:type="dxa"/>
          </w:tcPr>
          <w:p w14:paraId="65739390" w14:textId="5D6874F6" w:rsidR="008E7846" w:rsidRPr="00487162" w:rsidRDefault="006E4483" w:rsidP="00E45619">
            <w:r>
              <w:t xml:space="preserve">7, 21 or 28 tablets in blister </w:t>
            </w:r>
            <w:r w:rsidR="005F6488">
              <w:t>pack</w:t>
            </w:r>
            <w:r w:rsidR="00F168D1">
              <w:t>;</w:t>
            </w:r>
            <w:r w:rsidR="005F6488">
              <w:t xml:space="preserve"> 7 or 30 tablets in bottle</w:t>
            </w:r>
          </w:p>
        </w:tc>
      </w:tr>
      <w:tr w:rsidR="008E7846" w:rsidRPr="00487162" w14:paraId="6CD92172" w14:textId="77777777" w:rsidTr="00BF1190">
        <w:tc>
          <w:tcPr>
            <w:tcW w:w="2907" w:type="dxa"/>
          </w:tcPr>
          <w:p w14:paraId="3C841B73"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31DEC7C" w14:textId="77777777" w:rsidR="001C65A2" w:rsidRPr="001C65A2" w:rsidRDefault="006E4483" w:rsidP="006E4483">
            <w:pPr>
              <w:rPr>
                <w:rFonts w:eastAsia="MS Mincho"/>
                <w:i/>
                <w:lang w:eastAsia="ja-JP"/>
              </w:rPr>
            </w:pPr>
            <w:r w:rsidRPr="001C65A2">
              <w:rPr>
                <w:rFonts w:eastAsia="MS Mincho"/>
                <w:i/>
                <w:lang w:eastAsia="ja-JP"/>
              </w:rPr>
              <w:t>Alunbrig is indicated for the treatment of adult patients with anaplastic lymphoma kinase (ALK)-positive advanced non-small cell lung cancer (NSCLC) prev</w:t>
            </w:r>
            <w:r w:rsidR="00023EC0">
              <w:rPr>
                <w:rFonts w:eastAsia="MS Mincho"/>
                <w:i/>
                <w:lang w:eastAsia="ja-JP"/>
              </w:rPr>
              <w:t>iously treated with crizotinib.</w:t>
            </w:r>
          </w:p>
          <w:p w14:paraId="1E06257E" w14:textId="77777777" w:rsidR="008E7846" w:rsidRPr="00487162" w:rsidRDefault="006E4483" w:rsidP="006E4483">
            <w:pPr>
              <w:rPr>
                <w:rFonts w:eastAsia="MS Mincho"/>
                <w:lang w:eastAsia="ja-JP"/>
              </w:rPr>
            </w:pPr>
            <w:r w:rsidRPr="001C65A2">
              <w:rPr>
                <w:rFonts w:eastAsia="MS Mincho"/>
                <w:i/>
                <w:lang w:eastAsia="ja-JP"/>
              </w:rPr>
              <w:t>The approval of this medicine is based on objective response rate and duration of response in a non-comparative study.</w:t>
            </w:r>
          </w:p>
        </w:tc>
      </w:tr>
      <w:tr w:rsidR="008E7846" w:rsidRPr="00487162" w14:paraId="5744F453" w14:textId="77777777" w:rsidTr="00BF1190">
        <w:tc>
          <w:tcPr>
            <w:tcW w:w="2907" w:type="dxa"/>
          </w:tcPr>
          <w:p w14:paraId="60E507FA" w14:textId="77777777" w:rsidR="008E7846" w:rsidRPr="00487162" w:rsidRDefault="00023EC0" w:rsidP="00E45619">
            <w:pPr>
              <w:rPr>
                <w:i/>
              </w:rPr>
            </w:pPr>
            <w:r>
              <w:rPr>
                <w:i/>
              </w:rPr>
              <w:t>Route</w:t>
            </w:r>
            <w:r w:rsidR="008E7846" w:rsidRPr="00487162">
              <w:rPr>
                <w:i/>
              </w:rPr>
              <w:t xml:space="preserve"> of administration:</w:t>
            </w:r>
          </w:p>
        </w:tc>
        <w:tc>
          <w:tcPr>
            <w:tcW w:w="6307" w:type="dxa"/>
          </w:tcPr>
          <w:p w14:paraId="4D6FDB82" w14:textId="77777777" w:rsidR="008E7846" w:rsidRPr="00487162" w:rsidRDefault="00023EC0" w:rsidP="00E45619">
            <w:r>
              <w:t>O</w:t>
            </w:r>
            <w:r w:rsidR="001D5925">
              <w:t>ral</w:t>
            </w:r>
          </w:p>
        </w:tc>
      </w:tr>
      <w:tr w:rsidR="008E7846" w:rsidRPr="00487162" w14:paraId="0846FF6D" w14:textId="77777777" w:rsidTr="00BF1190">
        <w:tc>
          <w:tcPr>
            <w:tcW w:w="2907" w:type="dxa"/>
          </w:tcPr>
          <w:p w14:paraId="0B5DF5CA" w14:textId="77777777" w:rsidR="008E7846" w:rsidRPr="00487162" w:rsidRDefault="008E7846" w:rsidP="00E45619">
            <w:pPr>
              <w:rPr>
                <w:i/>
              </w:rPr>
            </w:pPr>
            <w:r w:rsidRPr="00487162">
              <w:rPr>
                <w:i/>
              </w:rPr>
              <w:t>Dosage:</w:t>
            </w:r>
          </w:p>
        </w:tc>
        <w:tc>
          <w:tcPr>
            <w:tcW w:w="6307" w:type="dxa"/>
          </w:tcPr>
          <w:p w14:paraId="2EAAED7F" w14:textId="1D6A07D1" w:rsidR="00EA6557" w:rsidRDefault="00EA6557" w:rsidP="00EA6557">
            <w:r>
              <w:t xml:space="preserve">ALK-positive NSCLC status should be known prior to initiation of </w:t>
            </w:r>
            <w:r w:rsidR="000E0399">
              <w:t>Alunbrig</w:t>
            </w:r>
            <w:r>
              <w:t xml:space="preserve"> therapy. A validated ALK assay is necessary for the selection of ALK-positive NSCLC patients.</w:t>
            </w:r>
          </w:p>
          <w:p w14:paraId="6E65F3EE" w14:textId="77777777" w:rsidR="00023EC0" w:rsidRDefault="00EA6557" w:rsidP="00EA6557">
            <w:r>
              <w:t xml:space="preserve">Treatment with </w:t>
            </w:r>
            <w:r w:rsidR="005F6488">
              <w:t>Alunbrig</w:t>
            </w:r>
            <w:r>
              <w:t xml:space="preserve"> should be initiated and supervised by a physician experienced in the use of anticancer medicinal products.</w:t>
            </w:r>
          </w:p>
          <w:p w14:paraId="584BE6A6" w14:textId="77777777" w:rsidR="00EA6557" w:rsidRDefault="00EA6557" w:rsidP="00EA6557">
            <w:r>
              <w:t>The recommended starting dose of Alunbrig is 90 mg once daily for the first 7 days, then 180 mg once daily. Treatment should continue as long as clinical benefit is observed.</w:t>
            </w:r>
          </w:p>
          <w:p w14:paraId="72DC4B70" w14:textId="77777777" w:rsidR="008E7846" w:rsidRPr="00487162" w:rsidRDefault="00023EC0" w:rsidP="00E45619">
            <w:r>
              <w:t>For further information see the Product Information.</w:t>
            </w:r>
          </w:p>
        </w:tc>
      </w:tr>
    </w:tbl>
    <w:p w14:paraId="26C1B644" w14:textId="77777777" w:rsidR="008E7846" w:rsidRDefault="008E7846" w:rsidP="008E7846">
      <w:pPr>
        <w:pStyle w:val="Heading3"/>
      </w:pPr>
      <w:bookmarkStart w:id="13" w:name="_Toc247691503"/>
      <w:bookmarkStart w:id="14" w:name="_Toc314842484"/>
      <w:bookmarkStart w:id="15" w:name="_Toc35853840"/>
      <w:r>
        <w:lastRenderedPageBreak/>
        <w:t>Product background</w:t>
      </w:r>
      <w:bookmarkEnd w:id="13"/>
      <w:bookmarkEnd w:id="14"/>
      <w:bookmarkEnd w:id="15"/>
    </w:p>
    <w:p w14:paraId="707A14FC" w14:textId="77777777" w:rsidR="008E7846" w:rsidRDefault="00940A89" w:rsidP="00940A89">
      <w:r w:rsidRPr="00940A89">
        <w:t xml:space="preserve">This AusPAR describes the application by </w:t>
      </w:r>
      <w:r w:rsidR="00023EC0">
        <w:t>Takeda Pharmaceuticals Australia Pty Ltd</w:t>
      </w:r>
      <w:r w:rsidR="00023EC0" w:rsidRPr="00940A89">
        <w:t xml:space="preserve"> </w:t>
      </w:r>
      <w:r w:rsidR="00023EC0">
        <w:t>(</w:t>
      </w:r>
      <w:r w:rsidRPr="00940A89">
        <w:t>the sponsor</w:t>
      </w:r>
      <w:r w:rsidR="00653148">
        <w:t>)</w:t>
      </w:r>
      <w:r w:rsidRPr="00940A89">
        <w:t xml:space="preserve"> to register </w:t>
      </w:r>
      <w:r w:rsidR="006B4A8F">
        <w:t>Alunbrig (</w:t>
      </w:r>
      <w:r w:rsidR="006E4483">
        <w:t>brigatinib</w:t>
      </w:r>
      <w:r w:rsidR="006B4A8F">
        <w:t>)</w:t>
      </w:r>
      <w:r w:rsidR="00A00E28">
        <w:t xml:space="preserve"> </w:t>
      </w:r>
      <w:r w:rsidR="006B4A8F">
        <w:t>f</w:t>
      </w:r>
      <w:r w:rsidR="006B4A8F" w:rsidRPr="006B4A8F">
        <w:t xml:space="preserve">ilm coated tablets </w:t>
      </w:r>
      <w:r w:rsidR="00A00E28">
        <w:t xml:space="preserve">for the following </w:t>
      </w:r>
      <w:r w:rsidR="006B4A8F">
        <w:t xml:space="preserve">proposed </w:t>
      </w:r>
      <w:r w:rsidR="00A00E28">
        <w:t>indication:</w:t>
      </w:r>
    </w:p>
    <w:p w14:paraId="1683EFED" w14:textId="77777777" w:rsidR="00A00E28" w:rsidRDefault="00A00E28" w:rsidP="00A00E28">
      <w:pPr>
        <w:ind w:left="720"/>
      </w:pPr>
      <w:r w:rsidRPr="0001034C">
        <w:rPr>
          <w:i/>
        </w:rPr>
        <w:t>Alunbrig is indicated for the treatment of adult patients with anaplastic lymphoma kinase (ALK)-positive advanced non-small cell lung cancer (NSCLC) previously treated with crizotinib</w:t>
      </w:r>
      <w:r w:rsidRPr="00A00E28">
        <w:t>.</w:t>
      </w:r>
    </w:p>
    <w:p w14:paraId="5E980B9F" w14:textId="77777777" w:rsidR="006B4A8F" w:rsidRDefault="006B4A8F" w:rsidP="006E4483">
      <w:bookmarkStart w:id="16" w:name="_Toc314842485"/>
      <w:bookmarkStart w:id="17" w:name="_Toc247691504"/>
      <w:r w:rsidRPr="006B4A8F">
        <w:t xml:space="preserve">Most lung cancer is diagnosed at advanced stages with </w:t>
      </w:r>
      <w:r w:rsidR="00240D96">
        <w:t>the majority</w:t>
      </w:r>
      <w:r w:rsidRPr="006B4A8F">
        <w:t xml:space="preserve"> of patients being diagnosed with regional or distant disease. Historically, lung cancers were treated according </w:t>
      </w:r>
      <w:r w:rsidR="00BE2962">
        <w:t>to histology (that is,</w:t>
      </w:r>
      <w:r w:rsidRPr="006B4A8F">
        <w:t xml:space="preserve"> small cell or non-small cell histologies, and histological subtypes such as adenocarcinoma or squamous). More recently, treatments have been developed to target underlying molecular alterations as it has become clear that histologically identical tumours will respond differently when influenced by different oncogenes.</w:t>
      </w:r>
    </w:p>
    <w:p w14:paraId="0A02B944" w14:textId="2C6921F0" w:rsidR="006E4483" w:rsidRPr="006E4483" w:rsidRDefault="00BE2962" w:rsidP="006E4483">
      <w:r>
        <w:rPr>
          <w:rFonts w:eastAsia="Times New Roman"/>
        </w:rPr>
        <w:t>A</w:t>
      </w:r>
      <w:r w:rsidRPr="00023EC0">
        <w:rPr>
          <w:rFonts w:eastAsia="Times New Roman"/>
        </w:rPr>
        <w:t>naplastic lymphoma kinase</w:t>
      </w:r>
      <w:r>
        <w:rPr>
          <w:lang w:eastAsia="ja-JP"/>
        </w:rPr>
        <w:t xml:space="preserve"> (</w:t>
      </w:r>
      <w:r w:rsidR="006B4A8F">
        <w:rPr>
          <w:lang w:eastAsia="ja-JP"/>
        </w:rPr>
        <w:t>ALK</w:t>
      </w:r>
      <w:r>
        <w:rPr>
          <w:lang w:eastAsia="ja-JP"/>
        </w:rPr>
        <w:t>)</w:t>
      </w:r>
      <w:r w:rsidR="006B4A8F">
        <w:rPr>
          <w:lang w:eastAsia="ja-JP"/>
        </w:rPr>
        <w:t xml:space="preserve"> is a </w:t>
      </w:r>
      <w:r w:rsidR="00F168D1">
        <w:rPr>
          <w:lang w:eastAsia="ja-JP"/>
        </w:rPr>
        <w:t xml:space="preserve">protein </w:t>
      </w:r>
      <w:r w:rsidR="006B4A8F">
        <w:rPr>
          <w:lang w:eastAsia="ja-JP"/>
        </w:rPr>
        <w:t xml:space="preserve">tyrosine kinase primarily involved in developmental processes, and is </w:t>
      </w:r>
      <w:r>
        <w:rPr>
          <w:lang w:eastAsia="ja-JP"/>
        </w:rPr>
        <w:t xml:space="preserve">normally </w:t>
      </w:r>
      <w:r w:rsidR="006B4A8F">
        <w:rPr>
          <w:lang w:eastAsia="ja-JP"/>
        </w:rPr>
        <w:t>expressed at low levels in adults.</w:t>
      </w:r>
      <w:r>
        <w:rPr>
          <w:rStyle w:val="FootnoteReference"/>
          <w:lang w:eastAsia="ja-JP"/>
        </w:rPr>
        <w:footnoteReference w:id="1"/>
      </w:r>
      <w:r w:rsidR="006B4A8F">
        <w:rPr>
          <w:lang w:eastAsia="ja-JP"/>
        </w:rPr>
        <w:t xml:space="preserve"> Several genetic rearrangements of </w:t>
      </w:r>
      <w:r w:rsidR="00F168D1">
        <w:rPr>
          <w:lang w:eastAsia="ja-JP"/>
        </w:rPr>
        <w:t xml:space="preserve">the </w:t>
      </w:r>
      <w:r w:rsidR="00F168D1" w:rsidRPr="00C20B81">
        <w:rPr>
          <w:i/>
          <w:iCs/>
          <w:lang w:eastAsia="ja-JP"/>
        </w:rPr>
        <w:t>ALK</w:t>
      </w:r>
      <w:r w:rsidR="00F168D1">
        <w:rPr>
          <w:iCs/>
          <w:lang w:eastAsia="ja-JP"/>
        </w:rPr>
        <w:t xml:space="preserve"> gene</w:t>
      </w:r>
      <w:r w:rsidR="006B4A8F">
        <w:rPr>
          <w:lang w:eastAsia="ja-JP"/>
        </w:rPr>
        <w:t xml:space="preserve"> have been identified in non-small cell lung cancer (NSCLC). In some rearrangements, such as the fusion with echinoderm microtubule-associated protein-like 4 (</w:t>
      </w:r>
      <w:r w:rsidR="006B4A8F" w:rsidRPr="00DB5737">
        <w:rPr>
          <w:i/>
          <w:iCs/>
          <w:lang w:eastAsia="ja-JP"/>
        </w:rPr>
        <w:t>EML4</w:t>
      </w:r>
      <w:r w:rsidR="006B4A8F">
        <w:rPr>
          <w:lang w:eastAsia="ja-JP"/>
        </w:rPr>
        <w:t>) gene, the resulting hybrid protein is ligand independent and the ALK kinase domain is activated. This results in activation of multiple signalling pathways which may drive cell proliferation, survival and metastasis.</w:t>
      </w:r>
      <w:r>
        <w:rPr>
          <w:rStyle w:val="FootnoteReference"/>
          <w:lang w:eastAsia="ja-JP"/>
        </w:rPr>
        <w:footnoteReference w:id="2"/>
      </w:r>
      <w:r w:rsidR="006B4A8F">
        <w:rPr>
          <w:lang w:eastAsia="ja-JP"/>
        </w:rPr>
        <w:t xml:space="preserve"> Activating gene rearrangements in </w:t>
      </w:r>
      <w:r w:rsidR="006B4A8F" w:rsidRPr="00F90CBD">
        <w:rPr>
          <w:i/>
          <w:iCs/>
          <w:lang w:eastAsia="ja-JP"/>
        </w:rPr>
        <w:t>ALK</w:t>
      </w:r>
      <w:r w:rsidR="006B4A8F">
        <w:rPr>
          <w:lang w:eastAsia="ja-JP"/>
        </w:rPr>
        <w:t xml:space="preserve"> have been identified as driver mutations in approximately 2% to 7% of patients with NSCLC.</w:t>
      </w:r>
      <w:r>
        <w:rPr>
          <w:rStyle w:val="FootnoteReference"/>
          <w:lang w:eastAsia="ja-JP"/>
        </w:rPr>
        <w:footnoteReference w:id="3"/>
      </w:r>
      <w:r w:rsidR="00F168D1">
        <w:rPr>
          <w:vertAlign w:val="superscript"/>
          <w:lang w:eastAsia="ja-JP"/>
        </w:rPr>
        <w:t>,</w:t>
      </w:r>
      <w:r>
        <w:rPr>
          <w:rStyle w:val="FootnoteReference"/>
          <w:lang w:eastAsia="ja-JP"/>
        </w:rPr>
        <w:footnoteReference w:id="4"/>
      </w:r>
      <w:r w:rsidR="00F168D1">
        <w:rPr>
          <w:lang w:eastAsia="ja-JP"/>
        </w:rPr>
        <w:t xml:space="preserve"> </w:t>
      </w:r>
      <w:r w:rsidR="006B4A8F">
        <w:rPr>
          <w:lang w:eastAsia="ja-JP"/>
        </w:rPr>
        <w:t xml:space="preserve">Inhibition of the ALK </w:t>
      </w:r>
      <w:r w:rsidR="00CB4840">
        <w:rPr>
          <w:lang w:eastAsia="ja-JP"/>
        </w:rPr>
        <w:t xml:space="preserve">tyrosine kinase </w:t>
      </w:r>
      <w:r w:rsidR="006B4A8F">
        <w:rPr>
          <w:lang w:eastAsia="ja-JP"/>
        </w:rPr>
        <w:t xml:space="preserve">domain is effective in disrupting the signalling pathways in </w:t>
      </w:r>
      <w:r w:rsidR="001068AE">
        <w:rPr>
          <w:lang w:eastAsia="ja-JP"/>
        </w:rPr>
        <w:t>ALK positive (</w:t>
      </w:r>
      <w:r>
        <w:rPr>
          <w:lang w:eastAsia="ja-JP"/>
        </w:rPr>
        <w:t>ALK+</w:t>
      </w:r>
      <w:r w:rsidR="001068AE">
        <w:rPr>
          <w:lang w:eastAsia="ja-JP"/>
        </w:rPr>
        <w:t>)</w:t>
      </w:r>
      <w:r w:rsidR="006B4A8F">
        <w:rPr>
          <w:lang w:eastAsia="ja-JP"/>
        </w:rPr>
        <w:t xml:space="preserve"> NSCLC</w:t>
      </w:r>
      <w:r w:rsidR="001068AE">
        <w:rPr>
          <w:lang w:eastAsia="ja-JP"/>
        </w:rPr>
        <w:t xml:space="preserve"> tumours</w:t>
      </w:r>
      <w:r w:rsidR="006B4A8F">
        <w:rPr>
          <w:lang w:eastAsia="ja-JP"/>
        </w:rPr>
        <w:t>.</w:t>
      </w:r>
    </w:p>
    <w:p w14:paraId="258A2BC3" w14:textId="77777777" w:rsidR="006E4483" w:rsidRDefault="00CB4840" w:rsidP="006E4483">
      <w:r>
        <w:t>At the time the submission discussed in this AusPAR was under consideration, t</w:t>
      </w:r>
      <w:r w:rsidR="006E4483" w:rsidRPr="006E4483">
        <w:t>hre</w:t>
      </w:r>
      <w:r>
        <w:t>e ALK inhibitors were</w:t>
      </w:r>
      <w:r w:rsidR="006E4483" w:rsidRPr="006E4483">
        <w:t xml:space="preserve"> registered in Australia: crizotinib (X</w:t>
      </w:r>
      <w:r w:rsidR="008B337F" w:rsidRPr="006E4483">
        <w:t>alkori</w:t>
      </w:r>
      <w:r w:rsidR="006E4483" w:rsidRPr="006E4483">
        <w:t>) was the first, followed by ceritinib (Z</w:t>
      </w:r>
      <w:r w:rsidR="008B337F" w:rsidRPr="006E4483">
        <w:t>ykadia</w:t>
      </w:r>
      <w:r w:rsidR="006E4483" w:rsidRPr="006E4483">
        <w:t>) and alectinib (A</w:t>
      </w:r>
      <w:r w:rsidR="008B337F" w:rsidRPr="006E4483">
        <w:t>lecensa</w:t>
      </w:r>
      <w:r w:rsidR="006E4483" w:rsidRPr="006E4483">
        <w:t>).</w:t>
      </w:r>
      <w:r w:rsidR="00BC01FB">
        <w:t xml:space="preserve"> </w:t>
      </w:r>
      <w:r w:rsidR="006E4483" w:rsidRPr="006E4483">
        <w:t>Treatment with an ALK inhibitor is recommended in clinical practice guidelines as first line therapy for patients with ALK+ advanced NSCLC.</w:t>
      </w:r>
      <w:r w:rsidR="00BC01FB">
        <w:t xml:space="preserve"> </w:t>
      </w:r>
      <w:r w:rsidR="006E4483" w:rsidRPr="006E4483">
        <w:t>Despite offering substantial benefits for patients with ALK+ NSCLC, use of these targeted therapies can be limited by treatment resistance and safety issues.</w:t>
      </w:r>
      <w:r w:rsidR="00BC01FB">
        <w:t xml:space="preserve"> </w:t>
      </w:r>
      <w:r w:rsidR="006E4483" w:rsidRPr="006E4483">
        <w:t xml:space="preserve">Inadequate </w:t>
      </w:r>
      <w:r>
        <w:t>central nervous system (</w:t>
      </w:r>
      <w:r w:rsidR="006E4483" w:rsidRPr="006E4483">
        <w:t>CNS</w:t>
      </w:r>
      <w:r>
        <w:t>)</w:t>
      </w:r>
      <w:r w:rsidR="006E4483" w:rsidRPr="006E4483">
        <w:t xml:space="preserve"> penetration can also be a factor limiting the efficacy in patients with brain metastases.</w:t>
      </w:r>
      <w:r w:rsidR="00BC01FB">
        <w:t xml:space="preserve"> </w:t>
      </w:r>
      <w:r w:rsidR="006E4483" w:rsidRPr="006E4483">
        <w:t>Treatment is generally continued until there is evidence of disease progression or unacceptable toxicity.</w:t>
      </w:r>
      <w:r w:rsidR="00BC01FB">
        <w:t xml:space="preserve"> </w:t>
      </w:r>
      <w:r w:rsidR="006E4483" w:rsidRPr="006E4483">
        <w:t>Patients who develop treatment resistance may benefit from switching t</w:t>
      </w:r>
      <w:r w:rsidR="006B4A8F">
        <w:t>o an alternative ALK inhibitor.</w:t>
      </w:r>
    </w:p>
    <w:p w14:paraId="40BDAB4F" w14:textId="4AB9CDD0" w:rsidR="006B4A8F" w:rsidRDefault="006B4A8F" w:rsidP="006E4483">
      <w:pPr>
        <w:rPr>
          <w:b/>
          <w:bCs/>
        </w:rPr>
      </w:pPr>
      <w:r w:rsidRPr="006E4483">
        <w:t>Brigatinib is an orally bioavailable, small molecule, selective ALK</w:t>
      </w:r>
      <w:r>
        <w:t xml:space="preserve"> inhibitor, that is </w:t>
      </w:r>
      <w:r>
        <w:rPr>
          <w:lang w:eastAsia="ja-JP"/>
        </w:rPr>
        <w:t>capable of overcoming mechanisms associated with resistance to other ALK inhibitors. Brigatinib has been reported to have action against multiple ALK variants including those most commonly associated with clinical resistance to crizotinib (L1196M and G1296A</w:t>
      </w:r>
      <w:r w:rsidR="001068AE">
        <w:rPr>
          <w:lang w:eastAsia="ja-JP"/>
        </w:rPr>
        <w:t xml:space="preserve"> mutations</w:t>
      </w:r>
      <w:r>
        <w:rPr>
          <w:lang w:eastAsia="ja-JP"/>
        </w:rPr>
        <w:t>)</w:t>
      </w:r>
      <w:r w:rsidR="001068AE">
        <w:rPr>
          <w:lang w:eastAsia="ja-JP"/>
        </w:rPr>
        <w:t>;</w:t>
      </w:r>
      <w:r w:rsidR="00CB4840">
        <w:rPr>
          <w:rStyle w:val="FootnoteReference"/>
          <w:lang w:eastAsia="ja-JP"/>
        </w:rPr>
        <w:footnoteReference w:id="5"/>
      </w:r>
      <w:r>
        <w:rPr>
          <w:lang w:eastAsia="ja-JP"/>
        </w:rPr>
        <w:t xml:space="preserve"> and the only mutation known (to date) to be associated with clinical resistance to all three approved ALK inhibitors (G1202R</w:t>
      </w:r>
      <w:r w:rsidR="001068AE">
        <w:rPr>
          <w:lang w:eastAsia="ja-JP"/>
        </w:rPr>
        <w:t xml:space="preserve"> mutation</w:t>
      </w:r>
      <w:r>
        <w:rPr>
          <w:lang w:eastAsia="ja-JP"/>
        </w:rPr>
        <w:t>).</w:t>
      </w:r>
      <w:r w:rsidR="00CB4840">
        <w:rPr>
          <w:rStyle w:val="FootnoteReference"/>
          <w:lang w:eastAsia="ja-JP"/>
        </w:rPr>
        <w:footnoteReference w:id="6"/>
      </w:r>
    </w:p>
    <w:p w14:paraId="4761DCE0" w14:textId="77777777" w:rsidR="008E7846" w:rsidRPr="003F31A2" w:rsidRDefault="00386150" w:rsidP="006E4483">
      <w:pPr>
        <w:pStyle w:val="Heading3"/>
      </w:pPr>
      <w:bookmarkStart w:id="18" w:name="_Toc35853841"/>
      <w:r>
        <w:lastRenderedPageBreak/>
        <w:t>Regulatory s</w:t>
      </w:r>
      <w:r w:rsidR="008E7846">
        <w:t>tatus</w:t>
      </w:r>
      <w:bookmarkEnd w:id="16"/>
      <w:bookmarkEnd w:id="17"/>
      <w:bookmarkEnd w:id="18"/>
    </w:p>
    <w:p w14:paraId="10635BCA" w14:textId="77777777" w:rsidR="006B4A8F" w:rsidRDefault="006B4A8F" w:rsidP="00940A89">
      <w:bookmarkStart w:id="19" w:name="_Toc247691505"/>
      <w:bookmarkStart w:id="20" w:name="_Toc314842486"/>
      <w:r>
        <w:t>Alunbrig (brigatinib) is a new chemical entity for Australian regulatory purposes.</w:t>
      </w:r>
    </w:p>
    <w:p w14:paraId="4EC502C3" w14:textId="1C5F7BBD" w:rsidR="00A00E28" w:rsidRDefault="00A00E28" w:rsidP="00940A89">
      <w:r w:rsidRPr="00A00E28">
        <w:t xml:space="preserve">Brigatinib was granted orphan drug designation on 28 July 2017 for the treatment of patients with </w:t>
      </w:r>
      <w:r w:rsidR="00CB4840">
        <w:t>ALK</w:t>
      </w:r>
      <w:r w:rsidRPr="00A00E28">
        <w:t xml:space="preserve"> positive </w:t>
      </w:r>
      <w:r w:rsidR="006547B3">
        <w:t>(ALK+) non-small cell lung cancer (</w:t>
      </w:r>
      <w:r w:rsidR="000E0399">
        <w:t>NSCLC</w:t>
      </w:r>
      <w:r w:rsidR="006547B3">
        <w:t>)</w:t>
      </w:r>
      <w:r w:rsidRPr="00A00E28">
        <w:t>.</w:t>
      </w:r>
    </w:p>
    <w:p w14:paraId="7707DD63" w14:textId="77777777" w:rsidR="00940A89" w:rsidRDefault="00940A89" w:rsidP="00A00E28">
      <w:r w:rsidRPr="00940A89">
        <w:t xml:space="preserve">At the time the TGA considered this application, a similar application </w:t>
      </w:r>
      <w:r w:rsidR="00A00E28">
        <w:t xml:space="preserve">had been approved </w:t>
      </w:r>
      <w:r w:rsidR="00EA6557">
        <w:t>the United States of America (USA), European Union (EU) and Canada (indications as below).</w:t>
      </w:r>
    </w:p>
    <w:p w14:paraId="03C5040C" w14:textId="6928C795" w:rsidR="00A00E28" w:rsidRPr="00A00E28" w:rsidRDefault="00A00E28" w:rsidP="00A00E28">
      <w:r w:rsidRPr="00A00E28">
        <w:t>USA:</w:t>
      </w:r>
      <w:r w:rsidR="00BC01FB">
        <w:t xml:space="preserve"> </w:t>
      </w:r>
      <w:r w:rsidR="006547B3">
        <w:t>B</w:t>
      </w:r>
      <w:r w:rsidR="006547B3" w:rsidRPr="00A00E28">
        <w:t xml:space="preserve">rigatinib </w:t>
      </w:r>
      <w:r w:rsidRPr="00A00E28">
        <w:t xml:space="preserve">was granted </w:t>
      </w:r>
      <w:r w:rsidR="006547B3">
        <w:t xml:space="preserve">US Food and Drug Administration (FDA) </w:t>
      </w:r>
      <w:r w:rsidRPr="00A00E28">
        <w:t>accelerated approval on 28 April 2017 for the following indication:</w:t>
      </w:r>
    </w:p>
    <w:p w14:paraId="3838F52F" w14:textId="77777777" w:rsidR="00A00E28" w:rsidRPr="006B4A8F" w:rsidRDefault="00A00E28" w:rsidP="008B337F">
      <w:pPr>
        <w:ind w:left="720"/>
        <w:rPr>
          <w:i/>
        </w:rPr>
      </w:pPr>
      <w:r w:rsidRPr="006B4A8F">
        <w:rPr>
          <w:i/>
        </w:rPr>
        <w:t>A</w:t>
      </w:r>
      <w:r w:rsidR="008B337F" w:rsidRPr="006B4A8F">
        <w:rPr>
          <w:i/>
        </w:rPr>
        <w:t>lunbrig</w:t>
      </w:r>
      <w:r w:rsidRPr="006B4A8F">
        <w:rPr>
          <w:i/>
        </w:rPr>
        <w:t xml:space="preserve"> is indicated for the treatment of patients with anaplastic lymphoma kinase (ALK)-positive metastatic non-small cell lung cancer (NSCLC) who have progressed on or are intolerant to crizotinib. This indication is approved under accelerated approval based on tumo</w:t>
      </w:r>
      <w:r w:rsidR="008B337F" w:rsidRPr="006B4A8F">
        <w:rPr>
          <w:i/>
        </w:rPr>
        <w:t>u</w:t>
      </w:r>
      <w:r w:rsidRPr="006B4A8F">
        <w:rPr>
          <w:i/>
        </w:rPr>
        <w:t>r response rate and duration of response.</w:t>
      </w:r>
      <w:r w:rsidR="00BC01FB" w:rsidRPr="006B4A8F">
        <w:rPr>
          <w:i/>
        </w:rPr>
        <w:t xml:space="preserve"> </w:t>
      </w:r>
      <w:r w:rsidRPr="006B4A8F">
        <w:rPr>
          <w:i/>
        </w:rPr>
        <w:t>Continued approval for this indication may be contingent upon verification and description of clinical benefit in a confirmatory trial.</w:t>
      </w:r>
    </w:p>
    <w:p w14:paraId="7C22E815" w14:textId="0E7E8D46" w:rsidR="00A00E28" w:rsidRPr="00A00E28" w:rsidRDefault="00A00E28" w:rsidP="00A00E28">
      <w:r w:rsidRPr="00A00E28">
        <w:t>EU:</w:t>
      </w:r>
      <w:r w:rsidR="00BC01FB">
        <w:t xml:space="preserve"> </w:t>
      </w:r>
      <w:r w:rsidRPr="00A00E28">
        <w:t>Marketing authorisation was granted</w:t>
      </w:r>
      <w:r w:rsidR="006547B3">
        <w:t xml:space="preserve"> by the European Medicine Agency (EMA)</w:t>
      </w:r>
      <w:r w:rsidRPr="00A00E28">
        <w:t xml:space="preserve"> on 22</w:t>
      </w:r>
      <w:r w:rsidR="006547B3">
        <w:t> </w:t>
      </w:r>
      <w:r w:rsidRPr="00A00E28">
        <w:t>November 2018 for the following indication:</w:t>
      </w:r>
    </w:p>
    <w:p w14:paraId="622E6FED" w14:textId="77777777" w:rsidR="00A00E28" w:rsidRPr="006B4A8F" w:rsidRDefault="00A00E28" w:rsidP="008B337F">
      <w:pPr>
        <w:ind w:left="720"/>
        <w:rPr>
          <w:i/>
        </w:rPr>
      </w:pPr>
      <w:r w:rsidRPr="006B4A8F">
        <w:rPr>
          <w:i/>
        </w:rPr>
        <w:t>Alunbrig is indicated as monotherapy for the treatment of adult patients with anaplastic lymphoma kinase (ALK) positive advanced non-small cell lung cancer (NSCLC) previously treated with crizotinib.</w:t>
      </w:r>
    </w:p>
    <w:p w14:paraId="2A88D282" w14:textId="77777777" w:rsidR="00A00E28" w:rsidRPr="00A00E28" w:rsidRDefault="00A00E28" w:rsidP="00A00E28">
      <w:r w:rsidRPr="00A00E28">
        <w:t>Canada: Brigatinib was approved with a Notice of Compliance with Conditions (NOC/c) on 27 July 2018 for the following indication:</w:t>
      </w:r>
    </w:p>
    <w:p w14:paraId="5E007EEB" w14:textId="77777777" w:rsidR="00A00E28" w:rsidRPr="006B4A8F" w:rsidRDefault="00A00E28" w:rsidP="008B337F">
      <w:pPr>
        <w:ind w:left="720"/>
        <w:rPr>
          <w:b/>
          <w:bCs/>
          <w:i/>
        </w:rPr>
      </w:pPr>
      <w:r w:rsidRPr="006B4A8F">
        <w:rPr>
          <w:i/>
        </w:rPr>
        <w:t>A</w:t>
      </w:r>
      <w:r w:rsidR="008B337F" w:rsidRPr="006B4A8F">
        <w:rPr>
          <w:i/>
        </w:rPr>
        <w:t xml:space="preserve">lunbrig </w:t>
      </w:r>
      <w:r w:rsidRPr="006B4A8F">
        <w:rPr>
          <w:i/>
        </w:rPr>
        <w:t>(brigatinib) is indicated as a monotherapy for the treatment of adult patients with anaplastic lymphoma kinase (ALK)-positive metastatic non–small cell lung cancer (NSCLC) who have progressed on or who were intolerant to an ALK inhibitor (crizotinib).</w:t>
      </w:r>
    </w:p>
    <w:p w14:paraId="5411F854" w14:textId="77777777" w:rsidR="008E7846" w:rsidRDefault="008E7846" w:rsidP="00A00E28">
      <w:pPr>
        <w:pStyle w:val="Heading3"/>
      </w:pPr>
      <w:bookmarkStart w:id="21" w:name="_Toc35853842"/>
      <w:r>
        <w:t>Product Information</w:t>
      </w:r>
      <w:bookmarkEnd w:id="19"/>
      <w:bookmarkEnd w:id="20"/>
      <w:bookmarkEnd w:id="21"/>
    </w:p>
    <w:p w14:paraId="50708B20"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089637F3" w14:textId="77777777" w:rsidR="00500337" w:rsidRDefault="006B4A8F" w:rsidP="00500337">
      <w:pPr>
        <w:pStyle w:val="Heading2"/>
      </w:pPr>
      <w:bookmarkStart w:id="24" w:name="_Toc504480011"/>
      <w:bookmarkStart w:id="25" w:name="_Toc35853843"/>
      <w:r>
        <w:t>II. Registration time</w:t>
      </w:r>
      <w:r w:rsidR="00500337">
        <w:t>line</w:t>
      </w:r>
      <w:bookmarkEnd w:id="24"/>
      <w:bookmarkEnd w:id="25"/>
    </w:p>
    <w:p w14:paraId="05ED1948" w14:textId="42354B42" w:rsidR="006A58A8" w:rsidRDefault="00CB4840" w:rsidP="00A00E28">
      <w:r>
        <w:fldChar w:fldCharType="begin"/>
      </w:r>
      <w:r>
        <w:instrText xml:space="preserve"> REF _Ref33633135 \h </w:instrText>
      </w:r>
      <w:r>
        <w:fldChar w:fldCharType="separate"/>
      </w:r>
      <w:r>
        <w:t xml:space="preserve">Table </w:t>
      </w:r>
      <w:r>
        <w:rPr>
          <w:noProof/>
        </w:rPr>
        <w:t>1</w:t>
      </w:r>
      <w:r>
        <w:fldChar w:fldCharType="end"/>
      </w:r>
      <w:r>
        <w:t xml:space="preserve"> </w:t>
      </w:r>
      <w:r w:rsidR="00500337">
        <w:t>captures the key steps and dates for this application and which are detail</w:t>
      </w:r>
      <w:r w:rsidR="000E0399">
        <w:t>ed and discussed in this AusPAR.</w:t>
      </w:r>
    </w:p>
    <w:p w14:paraId="73EF94E1" w14:textId="60227A7B" w:rsidR="006A58A8" w:rsidRPr="006A58A8" w:rsidRDefault="00CB4840" w:rsidP="00CB4840">
      <w:pPr>
        <w:pStyle w:val="TableTitle"/>
      </w:pPr>
      <w:bookmarkStart w:id="26" w:name="_Ref33633135"/>
      <w:r>
        <w:t xml:space="preserve">Table </w:t>
      </w:r>
      <w:fldSimple w:instr=" SEQ Table \* ARABIC ">
        <w:r w:rsidR="00DF5AFE">
          <w:rPr>
            <w:noProof/>
          </w:rPr>
          <w:t>1</w:t>
        </w:r>
      </w:fldSimple>
      <w:bookmarkEnd w:id="26"/>
      <w:r w:rsidR="00A00E28">
        <w:t>:</w:t>
      </w:r>
      <w:r w:rsidR="006A58A8" w:rsidRPr="006A58A8">
        <w:t xml:space="preserve"> Timeline for Submission PM-201</w:t>
      </w:r>
      <w:r w:rsidR="00A00E28">
        <w:t>8-00586-1-4</w:t>
      </w:r>
    </w:p>
    <w:tbl>
      <w:tblPr>
        <w:tblStyle w:val="TableTGAblue"/>
        <w:tblW w:w="0" w:type="auto"/>
        <w:tblLook w:val="04A0" w:firstRow="1" w:lastRow="0" w:firstColumn="1" w:lastColumn="0" w:noHBand="0" w:noVBand="1"/>
      </w:tblPr>
      <w:tblGrid>
        <w:gridCol w:w="4360"/>
        <w:gridCol w:w="4360"/>
      </w:tblGrid>
      <w:tr w:rsidR="00500337" w14:paraId="1AE10EDA"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492F5EA5" w14:textId="77777777" w:rsidR="00500337" w:rsidRDefault="00500337" w:rsidP="00500337">
            <w:pPr>
              <w:ind w:left="0" w:right="0"/>
            </w:pPr>
            <w:r>
              <w:t>Description</w:t>
            </w:r>
          </w:p>
        </w:tc>
        <w:tc>
          <w:tcPr>
            <w:tcW w:w="4360" w:type="dxa"/>
          </w:tcPr>
          <w:p w14:paraId="394EB0CA" w14:textId="77777777" w:rsidR="00500337" w:rsidRDefault="00500337" w:rsidP="00500337">
            <w:pPr>
              <w:ind w:left="0" w:right="0"/>
            </w:pPr>
            <w:r>
              <w:t>Date</w:t>
            </w:r>
          </w:p>
        </w:tc>
      </w:tr>
      <w:tr w:rsidR="00500337" w14:paraId="57F47EB3" w14:textId="77777777" w:rsidTr="00500337">
        <w:tc>
          <w:tcPr>
            <w:tcW w:w="4360" w:type="dxa"/>
          </w:tcPr>
          <w:p w14:paraId="47037007" w14:textId="77777777" w:rsidR="00500337" w:rsidRDefault="006B4A8F" w:rsidP="006B4A8F">
            <w:pPr>
              <w:ind w:left="0" w:right="0"/>
            </w:pPr>
            <w:r>
              <w:t>Designation (Orphan)</w:t>
            </w:r>
          </w:p>
        </w:tc>
        <w:tc>
          <w:tcPr>
            <w:tcW w:w="4360" w:type="dxa"/>
          </w:tcPr>
          <w:p w14:paraId="69ED842C" w14:textId="77777777" w:rsidR="00500337" w:rsidRDefault="00A00E28" w:rsidP="00500337">
            <w:pPr>
              <w:ind w:left="0" w:right="0"/>
            </w:pPr>
            <w:r>
              <w:t>28 July 2017</w:t>
            </w:r>
          </w:p>
        </w:tc>
      </w:tr>
      <w:tr w:rsidR="00500337" w14:paraId="1561140B" w14:textId="77777777" w:rsidTr="00500337">
        <w:tc>
          <w:tcPr>
            <w:tcW w:w="4360" w:type="dxa"/>
          </w:tcPr>
          <w:p w14:paraId="59AD7663" w14:textId="77777777" w:rsidR="00500337" w:rsidRDefault="00500337" w:rsidP="00500337">
            <w:pPr>
              <w:ind w:left="0" w:right="0"/>
            </w:pPr>
            <w:r>
              <w:t>Submission dossier accepted and first round evaluation commenced</w:t>
            </w:r>
          </w:p>
        </w:tc>
        <w:tc>
          <w:tcPr>
            <w:tcW w:w="4360" w:type="dxa"/>
          </w:tcPr>
          <w:p w14:paraId="6EA39A3D" w14:textId="77777777" w:rsidR="00500337" w:rsidRDefault="00EA6557" w:rsidP="00500337">
            <w:pPr>
              <w:ind w:left="0" w:right="0"/>
            </w:pPr>
            <w:r>
              <w:t>4 April 2018</w:t>
            </w:r>
          </w:p>
        </w:tc>
      </w:tr>
      <w:tr w:rsidR="00500337" w14:paraId="7EF49D21" w14:textId="77777777" w:rsidTr="00500337">
        <w:tc>
          <w:tcPr>
            <w:tcW w:w="4360" w:type="dxa"/>
          </w:tcPr>
          <w:p w14:paraId="484AA377" w14:textId="77777777" w:rsidR="00500337" w:rsidRDefault="00500337" w:rsidP="00500337">
            <w:pPr>
              <w:ind w:left="0" w:right="0"/>
            </w:pPr>
            <w:r>
              <w:t>First round evaluation completed</w:t>
            </w:r>
          </w:p>
        </w:tc>
        <w:tc>
          <w:tcPr>
            <w:tcW w:w="4360" w:type="dxa"/>
          </w:tcPr>
          <w:p w14:paraId="726DF248" w14:textId="77777777" w:rsidR="00500337" w:rsidRDefault="00EA6557" w:rsidP="008A5B71">
            <w:pPr>
              <w:ind w:left="0" w:right="0"/>
            </w:pPr>
            <w:r>
              <w:t>3 September 2018</w:t>
            </w:r>
          </w:p>
        </w:tc>
      </w:tr>
      <w:tr w:rsidR="00500337" w14:paraId="6590CC4C" w14:textId="77777777" w:rsidTr="00500337">
        <w:tc>
          <w:tcPr>
            <w:tcW w:w="4360" w:type="dxa"/>
          </w:tcPr>
          <w:p w14:paraId="093CE743" w14:textId="77777777" w:rsidR="00500337" w:rsidRDefault="00500337" w:rsidP="00500337">
            <w:pPr>
              <w:ind w:left="0" w:right="0"/>
            </w:pPr>
            <w:r>
              <w:lastRenderedPageBreak/>
              <w:t>Sponsor provides responses on questions raised in first round evaluation</w:t>
            </w:r>
          </w:p>
        </w:tc>
        <w:tc>
          <w:tcPr>
            <w:tcW w:w="4360" w:type="dxa"/>
          </w:tcPr>
          <w:p w14:paraId="0080BAF4" w14:textId="77777777" w:rsidR="00500337" w:rsidRDefault="00EA6557" w:rsidP="00500337">
            <w:pPr>
              <w:ind w:left="0" w:right="0"/>
            </w:pPr>
            <w:r>
              <w:t>30 October 2018</w:t>
            </w:r>
          </w:p>
        </w:tc>
      </w:tr>
      <w:tr w:rsidR="00500337" w14:paraId="2DAD9BEA" w14:textId="77777777" w:rsidTr="00500337">
        <w:tc>
          <w:tcPr>
            <w:tcW w:w="4360" w:type="dxa"/>
          </w:tcPr>
          <w:p w14:paraId="7EFA7F82" w14:textId="77777777" w:rsidR="00500337" w:rsidRDefault="00500337" w:rsidP="00500337">
            <w:pPr>
              <w:ind w:left="0" w:right="0"/>
            </w:pPr>
            <w:r>
              <w:t>Second round evaluation completed</w:t>
            </w:r>
          </w:p>
        </w:tc>
        <w:tc>
          <w:tcPr>
            <w:tcW w:w="4360" w:type="dxa"/>
          </w:tcPr>
          <w:p w14:paraId="6AFAAC37" w14:textId="77777777" w:rsidR="00500337" w:rsidRDefault="00EA6557" w:rsidP="00500337">
            <w:pPr>
              <w:ind w:left="0" w:right="0"/>
            </w:pPr>
            <w:r>
              <w:t>21</w:t>
            </w:r>
            <w:r w:rsidR="008A5B71">
              <w:t xml:space="preserve"> December 2018</w:t>
            </w:r>
          </w:p>
        </w:tc>
      </w:tr>
      <w:tr w:rsidR="00500337" w14:paraId="569B6EA4" w14:textId="77777777" w:rsidTr="00500337">
        <w:tc>
          <w:tcPr>
            <w:tcW w:w="4360" w:type="dxa"/>
          </w:tcPr>
          <w:p w14:paraId="78432311" w14:textId="77777777" w:rsidR="00500337" w:rsidRDefault="00500337" w:rsidP="00EA6557">
            <w:pPr>
              <w:ind w:left="0" w:right="0"/>
            </w:pPr>
            <w:r>
              <w:t xml:space="preserve">Delegate’s </w:t>
            </w:r>
            <w:r w:rsidR="00EA6557">
              <w:t>Overall benefit-risk assessment</w:t>
            </w:r>
          </w:p>
        </w:tc>
        <w:tc>
          <w:tcPr>
            <w:tcW w:w="4360" w:type="dxa"/>
          </w:tcPr>
          <w:p w14:paraId="42A532D2" w14:textId="77777777" w:rsidR="00500337" w:rsidRDefault="00EA6557" w:rsidP="00500337">
            <w:pPr>
              <w:ind w:left="0" w:right="0"/>
            </w:pPr>
            <w:r>
              <w:t>21</w:t>
            </w:r>
            <w:r w:rsidR="008A5B71">
              <w:t xml:space="preserve"> December 2018</w:t>
            </w:r>
          </w:p>
        </w:tc>
      </w:tr>
      <w:tr w:rsidR="00500337" w14:paraId="09BB0BC0" w14:textId="77777777" w:rsidTr="00500337">
        <w:tc>
          <w:tcPr>
            <w:tcW w:w="4360" w:type="dxa"/>
          </w:tcPr>
          <w:p w14:paraId="23F066F1" w14:textId="77777777" w:rsidR="00500337" w:rsidRDefault="00500337" w:rsidP="00500337">
            <w:pPr>
              <w:ind w:left="0" w:right="0"/>
            </w:pPr>
            <w:r>
              <w:t>Sponsor’s pre-Advisory Committee response</w:t>
            </w:r>
          </w:p>
        </w:tc>
        <w:tc>
          <w:tcPr>
            <w:tcW w:w="4360" w:type="dxa"/>
          </w:tcPr>
          <w:p w14:paraId="58A9EB77" w14:textId="77777777" w:rsidR="00500337" w:rsidRDefault="00EA6557" w:rsidP="00500337">
            <w:pPr>
              <w:ind w:left="0" w:right="0"/>
            </w:pPr>
            <w:r>
              <w:t>Not applicable</w:t>
            </w:r>
          </w:p>
        </w:tc>
      </w:tr>
      <w:tr w:rsidR="00500337" w14:paraId="346ADBAB" w14:textId="77777777" w:rsidTr="00500337">
        <w:tc>
          <w:tcPr>
            <w:tcW w:w="4360" w:type="dxa"/>
          </w:tcPr>
          <w:p w14:paraId="67BE7E38" w14:textId="77777777" w:rsidR="00500337" w:rsidRDefault="00500337" w:rsidP="00500337">
            <w:pPr>
              <w:ind w:left="0" w:right="0"/>
            </w:pPr>
            <w:r>
              <w:t>Advisory Committee meeting</w:t>
            </w:r>
          </w:p>
        </w:tc>
        <w:tc>
          <w:tcPr>
            <w:tcW w:w="4360" w:type="dxa"/>
          </w:tcPr>
          <w:p w14:paraId="11FD1066" w14:textId="77777777" w:rsidR="00500337" w:rsidRDefault="00EA6557" w:rsidP="00500337">
            <w:pPr>
              <w:ind w:left="0" w:right="0"/>
            </w:pPr>
            <w:r>
              <w:t>Not applicable</w:t>
            </w:r>
          </w:p>
        </w:tc>
      </w:tr>
      <w:tr w:rsidR="00500337" w14:paraId="5A5CC337" w14:textId="77777777" w:rsidTr="00500337">
        <w:tc>
          <w:tcPr>
            <w:tcW w:w="4360" w:type="dxa"/>
          </w:tcPr>
          <w:p w14:paraId="0279F4F5" w14:textId="77777777" w:rsidR="00500337" w:rsidRDefault="00500337" w:rsidP="00500337">
            <w:pPr>
              <w:ind w:left="0" w:right="0"/>
            </w:pPr>
            <w:r>
              <w:t>Registration decision (Outcome)</w:t>
            </w:r>
          </w:p>
        </w:tc>
        <w:tc>
          <w:tcPr>
            <w:tcW w:w="4360" w:type="dxa"/>
          </w:tcPr>
          <w:p w14:paraId="1BB71992" w14:textId="77777777" w:rsidR="00500337" w:rsidRDefault="008A5B71" w:rsidP="00500337">
            <w:pPr>
              <w:ind w:left="0" w:right="0"/>
            </w:pPr>
            <w:r>
              <w:t>4 March 2019</w:t>
            </w:r>
          </w:p>
        </w:tc>
      </w:tr>
      <w:tr w:rsidR="00500337" w14:paraId="0FE81D2A" w14:textId="77777777" w:rsidTr="00500337">
        <w:tc>
          <w:tcPr>
            <w:tcW w:w="4360" w:type="dxa"/>
          </w:tcPr>
          <w:p w14:paraId="33BA0945" w14:textId="0AF806A6" w:rsidR="00500337" w:rsidRDefault="00500337" w:rsidP="00500337">
            <w:pPr>
              <w:ind w:left="0" w:right="0"/>
            </w:pPr>
            <w:r>
              <w:t xml:space="preserve">Completion of administrative activities and registration on </w:t>
            </w:r>
            <w:r w:rsidR="006547B3">
              <w:t xml:space="preserve">the </w:t>
            </w:r>
            <w:r>
              <w:t>ARTG</w:t>
            </w:r>
          </w:p>
        </w:tc>
        <w:tc>
          <w:tcPr>
            <w:tcW w:w="4360" w:type="dxa"/>
          </w:tcPr>
          <w:p w14:paraId="03027250" w14:textId="77777777" w:rsidR="00500337" w:rsidRDefault="008A5B71" w:rsidP="00500337">
            <w:pPr>
              <w:ind w:left="0" w:right="0"/>
            </w:pPr>
            <w:r>
              <w:t>6 March 2019</w:t>
            </w:r>
          </w:p>
        </w:tc>
      </w:tr>
      <w:tr w:rsidR="00500337" w14:paraId="4910FFB0" w14:textId="77777777" w:rsidTr="00500337">
        <w:tc>
          <w:tcPr>
            <w:tcW w:w="4360" w:type="dxa"/>
          </w:tcPr>
          <w:p w14:paraId="56B38D48" w14:textId="77777777" w:rsidR="00500337" w:rsidRDefault="00500337" w:rsidP="00500337">
            <w:pPr>
              <w:ind w:left="0" w:right="0"/>
            </w:pPr>
            <w:r>
              <w:t>Number of working days from submission dossier acceptance to registration decision*</w:t>
            </w:r>
          </w:p>
        </w:tc>
        <w:tc>
          <w:tcPr>
            <w:tcW w:w="4360" w:type="dxa"/>
          </w:tcPr>
          <w:p w14:paraId="413FD667" w14:textId="77777777" w:rsidR="00500337" w:rsidRDefault="00EA6557" w:rsidP="00500337">
            <w:pPr>
              <w:ind w:left="0" w:right="0"/>
            </w:pPr>
            <w:r>
              <w:t>190</w:t>
            </w:r>
          </w:p>
        </w:tc>
      </w:tr>
    </w:tbl>
    <w:p w14:paraId="2C2DEDB6" w14:textId="77777777" w:rsidR="00500337" w:rsidRDefault="00500337" w:rsidP="00EA6557">
      <w:pPr>
        <w:pStyle w:val="TableDescription"/>
      </w:pPr>
      <w:r>
        <w:t>*</w:t>
      </w:r>
      <w:r w:rsidR="006603BC" w:rsidRPr="006603BC">
        <w:t>Statutory timeframe for standard applications is 255 working days</w:t>
      </w:r>
    </w:p>
    <w:p w14:paraId="790532BC" w14:textId="77777777"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35853844"/>
      <w:bookmarkEnd w:id="22"/>
      <w:bookmarkEnd w:id="23"/>
      <w:bookmarkEnd w:id="1"/>
      <w:r>
        <w:t>I</w:t>
      </w:r>
      <w:r w:rsidR="00DA64CB">
        <w:t>I</w:t>
      </w:r>
      <w:r w:rsidR="008E7846">
        <w:t xml:space="preserve">I. </w:t>
      </w:r>
      <w:r w:rsidR="00EA6557">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14:paraId="57784B69"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EA6557">
        <w:t>s.</w:t>
      </w:r>
    </w:p>
    <w:p w14:paraId="3CF1D163" w14:textId="77777777" w:rsidR="008E7846" w:rsidRDefault="008E7846" w:rsidP="008E7846">
      <w:pPr>
        <w:pStyle w:val="Heading3"/>
      </w:pPr>
      <w:bookmarkStart w:id="33" w:name="_Toc314842511"/>
      <w:bookmarkStart w:id="34" w:name="_Toc35853845"/>
      <w:r>
        <w:t>Quality</w:t>
      </w:r>
      <w:bookmarkEnd w:id="32"/>
      <w:bookmarkEnd w:id="33"/>
      <w:bookmarkEnd w:id="34"/>
    </w:p>
    <w:p w14:paraId="23FA9F6E" w14:textId="77777777" w:rsidR="00EC6BF5" w:rsidRDefault="00EC6BF5" w:rsidP="00A00E28">
      <w:r>
        <w:t xml:space="preserve">Brigatinib is a small molecule potent tyrosine kinase inhibitor (TKI) and second generation </w:t>
      </w:r>
      <w:r w:rsidR="00CB4840">
        <w:t>ALK</w:t>
      </w:r>
      <w:r>
        <w:t xml:space="preserve"> inhibitor, structure shown in </w:t>
      </w:r>
      <w:r>
        <w:fldChar w:fldCharType="begin"/>
      </w:r>
      <w:r>
        <w:instrText xml:space="preserve"> REF _Ref33103792 \h </w:instrText>
      </w:r>
      <w:r>
        <w:fldChar w:fldCharType="separate"/>
      </w:r>
      <w:r>
        <w:t xml:space="preserve">Figure </w:t>
      </w:r>
      <w:r>
        <w:rPr>
          <w:noProof/>
        </w:rPr>
        <w:t>1</w:t>
      </w:r>
      <w:r>
        <w:fldChar w:fldCharType="end"/>
      </w:r>
      <w:r>
        <w:t xml:space="preserve">. </w:t>
      </w:r>
      <w:r w:rsidRPr="00EC6BF5">
        <w:t xml:space="preserve">Brigatinib targets </w:t>
      </w:r>
      <w:r w:rsidR="000F30A1">
        <w:t xml:space="preserve">tyrosine kinases </w:t>
      </w:r>
      <w:r w:rsidRPr="00EC6BF5">
        <w:t xml:space="preserve">ALK, </w:t>
      </w:r>
      <w:r w:rsidR="000F30A1" w:rsidRPr="000F30A1">
        <w:t>c-ros oncogene 1</w:t>
      </w:r>
      <w:r w:rsidR="000F30A1">
        <w:t xml:space="preserve"> (</w:t>
      </w:r>
      <w:r w:rsidRPr="00EC6BF5">
        <w:t>ROS1</w:t>
      </w:r>
      <w:r w:rsidR="000F30A1">
        <w:t>)</w:t>
      </w:r>
      <w:r w:rsidRPr="00EC6BF5">
        <w:t>, and insulin-like grow</w:t>
      </w:r>
      <w:r>
        <w:t xml:space="preserve">th factor 1 receptor (IGF-1R). </w:t>
      </w:r>
      <w:r w:rsidRPr="00EC6BF5">
        <w:t>Among these, brigatinib is most active against ALK.</w:t>
      </w:r>
    </w:p>
    <w:p w14:paraId="60C2F7FB" w14:textId="076AB8FC" w:rsidR="00EC6BF5" w:rsidRDefault="00EC6BF5" w:rsidP="00EC6BF5">
      <w:pPr>
        <w:pStyle w:val="FigureTitle"/>
      </w:pPr>
      <w:bookmarkStart w:id="35" w:name="_Ref33103792"/>
      <w:r>
        <w:t xml:space="preserve">Figure </w:t>
      </w:r>
      <w:fldSimple w:instr=" SEQ Figure \* ARABIC ">
        <w:r w:rsidR="003655D2">
          <w:rPr>
            <w:noProof/>
          </w:rPr>
          <w:t>1</w:t>
        </w:r>
      </w:fldSimple>
      <w:bookmarkEnd w:id="35"/>
      <w:r>
        <w:t>: Structure of brigatinib</w:t>
      </w:r>
    </w:p>
    <w:p w14:paraId="32B03ACA" w14:textId="77777777" w:rsidR="00EC6BF5" w:rsidRDefault="00EC6BF5" w:rsidP="00A00E28">
      <w:r>
        <w:rPr>
          <w:noProof/>
          <w:lang w:eastAsia="en-AU"/>
        </w:rPr>
        <w:drawing>
          <wp:inline distT="0" distB="0" distL="0" distR="0" wp14:anchorId="6E61CD54" wp14:editId="390EF4BF">
            <wp:extent cx="1914525" cy="2457450"/>
            <wp:effectExtent l="0" t="0" r="9525" b="0"/>
            <wp:docPr id="30" name="Picture 30" descr="Structure of brigati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914525" cy="2457450"/>
                    </a:xfrm>
                    <a:prstGeom prst="rect">
                      <a:avLst/>
                    </a:prstGeom>
                  </pic:spPr>
                </pic:pic>
              </a:graphicData>
            </a:graphic>
          </wp:inline>
        </w:drawing>
      </w:r>
    </w:p>
    <w:p w14:paraId="2DCC32B9" w14:textId="77777777" w:rsidR="00A00E28" w:rsidRDefault="00931EE1" w:rsidP="000F30A1">
      <w:r>
        <w:lastRenderedPageBreak/>
        <w:t>T</w:t>
      </w:r>
      <w:r w:rsidR="00A00E28">
        <w:t xml:space="preserve">he </w:t>
      </w:r>
      <w:r w:rsidR="00A96618">
        <w:t xml:space="preserve">chemistry evaluator has assessed the </w:t>
      </w:r>
      <w:r w:rsidR="00A00E28">
        <w:t>application and supporting data relating to the composition, development, manufacture, quality control and stability of brigatinib.</w:t>
      </w:r>
      <w:r w:rsidR="00A96618">
        <w:t xml:space="preserve"> The issues raised have been resolved.</w:t>
      </w:r>
    </w:p>
    <w:p w14:paraId="0DC2A6CC" w14:textId="77777777" w:rsidR="00E45619" w:rsidRDefault="00A00E28" w:rsidP="000F30A1">
      <w:r>
        <w:t>The PI and labels are acceptable from a quality perspective.</w:t>
      </w:r>
    </w:p>
    <w:p w14:paraId="7F858D70" w14:textId="77777777" w:rsidR="008E7846" w:rsidRDefault="008E7846" w:rsidP="008E7846">
      <w:pPr>
        <w:pStyle w:val="Heading3"/>
      </w:pPr>
      <w:bookmarkStart w:id="36" w:name="_Toc314842512"/>
      <w:bookmarkStart w:id="37" w:name="_Toc35853846"/>
      <w:r>
        <w:t>Nonclinical</w:t>
      </w:r>
      <w:bookmarkEnd w:id="36"/>
      <w:bookmarkEnd w:id="37"/>
    </w:p>
    <w:p w14:paraId="418FFDC5" w14:textId="77777777" w:rsidR="00EC6BF5" w:rsidRDefault="00EC6BF5" w:rsidP="00A00E28">
      <w:bookmarkStart w:id="38" w:name="_Toc247691530"/>
      <w:bookmarkStart w:id="39" w:name="_Toc314842513"/>
      <w:r>
        <w:t>The following points were summarised from the nonclinical evaluation:</w:t>
      </w:r>
    </w:p>
    <w:p w14:paraId="4C07409D" w14:textId="0718D125" w:rsidR="00A00E28" w:rsidRPr="00A00E28" w:rsidRDefault="00A00E28" w:rsidP="00EC6BF5">
      <w:pPr>
        <w:pStyle w:val="ListBullet"/>
      </w:pPr>
      <w:r w:rsidRPr="00A00E28">
        <w:t xml:space="preserve">The submitted </w:t>
      </w:r>
      <w:r w:rsidR="00EC6BF5">
        <w:t>non</w:t>
      </w:r>
      <w:r w:rsidR="00A96618">
        <w:t>clinical</w:t>
      </w:r>
      <w:r w:rsidRPr="00A00E28">
        <w:t xml:space="preserve"> dossier was in accordance with the </w:t>
      </w:r>
      <w:r w:rsidR="006547B3">
        <w:t>International Conference on Harmonisation (</w:t>
      </w:r>
      <w:r w:rsidRPr="00A00E28">
        <w:t>ICH</w:t>
      </w:r>
      <w:r w:rsidR="006547B3">
        <w:t>)</w:t>
      </w:r>
      <w:r w:rsidRPr="00A00E28">
        <w:t xml:space="preserve"> guideline for the nonclinical assessment of antic</w:t>
      </w:r>
      <w:r w:rsidR="00EC6BF5">
        <w:t>ancer pharmaceuticals (ICH S9).</w:t>
      </w:r>
      <w:r w:rsidR="00EC6BF5">
        <w:rPr>
          <w:rStyle w:val="FootnoteReference"/>
        </w:rPr>
        <w:footnoteReference w:id="7"/>
      </w:r>
    </w:p>
    <w:p w14:paraId="4D469CE7" w14:textId="6B5BB45F" w:rsidR="00A00E28" w:rsidRPr="00A00E28" w:rsidRDefault="00A00E28" w:rsidP="00EC6BF5">
      <w:pPr>
        <w:pStyle w:val="ListBullet"/>
      </w:pPr>
      <w:r w:rsidRPr="00A00E28">
        <w:t>The primary pharmacology studies demonstrated the ALK inhibitory activity of brigatinib against ALK</w:t>
      </w:r>
      <w:r w:rsidR="006547B3">
        <w:t>+</w:t>
      </w:r>
      <w:r w:rsidRPr="00A00E28">
        <w:t xml:space="preserve"> tumours at clinically achievable concentrations.</w:t>
      </w:r>
    </w:p>
    <w:p w14:paraId="28FE29E7" w14:textId="7749FF3C" w:rsidR="00A00E28" w:rsidRPr="00A00E28" w:rsidRDefault="00A00E28" w:rsidP="00EC6BF5">
      <w:pPr>
        <w:pStyle w:val="ListBullet"/>
      </w:pPr>
      <w:r w:rsidRPr="00A00E28">
        <w:t xml:space="preserve">The </w:t>
      </w:r>
      <w:r w:rsidR="00BF5D8D">
        <w:t>pharmacokinetic</w:t>
      </w:r>
      <w:r w:rsidRPr="00A00E28">
        <w:t xml:space="preserve"> </w:t>
      </w:r>
      <w:r w:rsidR="00EF302A">
        <w:t xml:space="preserve">(PK) </w:t>
      </w:r>
      <w:r w:rsidRPr="00A00E28">
        <w:t>profile in animals was qualitatively similar to that of humans.</w:t>
      </w:r>
    </w:p>
    <w:p w14:paraId="399A508B" w14:textId="458EFD95" w:rsidR="00A00E28" w:rsidRPr="00A00E28" w:rsidRDefault="00A00E28" w:rsidP="00EC6BF5">
      <w:pPr>
        <w:pStyle w:val="ListBullet"/>
      </w:pPr>
      <w:r w:rsidRPr="00A00E28">
        <w:t xml:space="preserve">The main targets for toxicity in the animal studies at exposures achieved clinically include the kidneys, heart, liver, </w:t>
      </w:r>
      <w:r w:rsidR="00A96618">
        <w:t>gastrointestinal</w:t>
      </w:r>
      <w:r w:rsidRPr="00A00E28">
        <w:t xml:space="preserve"> tract, haematopoietic and lymphoid organs, pancreas and testes.</w:t>
      </w:r>
      <w:r w:rsidR="00BC01FB">
        <w:t xml:space="preserve"> </w:t>
      </w:r>
      <w:r w:rsidRPr="00A00E28">
        <w:t>Safety pharmacology and toxicity studies indicate brigatinib may exert cardiovascular effects in patients, including bradycardia and hypertension.</w:t>
      </w:r>
      <w:r w:rsidR="00BC01FB">
        <w:t xml:space="preserve"> </w:t>
      </w:r>
      <w:r w:rsidRPr="00A00E28">
        <w:t>Brigatinib is not predicted to prolong the QT interval in patients.</w:t>
      </w:r>
      <w:r w:rsidR="006547B3">
        <w:rPr>
          <w:rStyle w:val="FootnoteReference"/>
        </w:rPr>
        <w:footnoteReference w:id="8"/>
      </w:r>
    </w:p>
    <w:p w14:paraId="7010C53A" w14:textId="7DD2F30A" w:rsidR="00A00E28" w:rsidRDefault="00A00E28" w:rsidP="00EC6BF5">
      <w:pPr>
        <w:pStyle w:val="ListBullet"/>
        <w:rPr>
          <w:b/>
          <w:bCs/>
        </w:rPr>
      </w:pPr>
      <w:r w:rsidRPr="00A00E28">
        <w:t xml:space="preserve">The nonclinical studies predict embryofetal toxicity if administered to pregnant patients at the proposed clinical dose. The sponsor has proposed </w:t>
      </w:r>
      <w:r w:rsidR="006547B3">
        <w:t xml:space="preserve">Australian </w:t>
      </w:r>
      <w:r w:rsidRPr="00A00E28">
        <w:t xml:space="preserve">Pregnancy Category </w:t>
      </w:r>
      <w:r w:rsidRPr="00BF5D8D">
        <w:t>D</w:t>
      </w:r>
      <w:r w:rsidR="00EC6BF5">
        <w:t>;</w:t>
      </w:r>
      <w:r w:rsidR="00BF5D8D">
        <w:rPr>
          <w:rStyle w:val="FootnoteReference"/>
        </w:rPr>
        <w:footnoteReference w:id="9"/>
      </w:r>
      <w:r w:rsidRPr="00BF5D8D">
        <w:t xml:space="preserve"> w</w:t>
      </w:r>
      <w:r w:rsidRPr="00BF5D8D">
        <w:rPr>
          <w:bCs/>
        </w:rPr>
        <w:t>hich is considered appropriate.</w:t>
      </w:r>
    </w:p>
    <w:p w14:paraId="4E6B2F04" w14:textId="2A17CB0D" w:rsidR="00A00E28" w:rsidRDefault="00A00E28" w:rsidP="00EC6BF5">
      <w:pPr>
        <w:pStyle w:val="ListBullet"/>
        <w:rPr>
          <w:b/>
          <w:bCs/>
        </w:rPr>
      </w:pPr>
      <w:r w:rsidRPr="00A00E28">
        <w:t>The evaluator had no objection to the registration of brigatinib for the proposed indication provided key safety concerns are adequately addressed in the risk management plan</w:t>
      </w:r>
      <w:r w:rsidR="00A641D8">
        <w:t xml:space="preserve"> (RMP)</w:t>
      </w:r>
      <w:r w:rsidRPr="00A00E28">
        <w:t>.</w:t>
      </w:r>
      <w:r w:rsidR="00BC01FB">
        <w:t xml:space="preserve"> </w:t>
      </w:r>
      <w:r w:rsidRPr="00A00E28">
        <w:t>The evaluator also recommended changes to the PI</w:t>
      </w:r>
      <w:r w:rsidR="00BF5D8D">
        <w:t>.</w:t>
      </w:r>
    </w:p>
    <w:p w14:paraId="00F78A7E" w14:textId="77777777" w:rsidR="008E7846" w:rsidRDefault="008E7846" w:rsidP="00A00E28">
      <w:pPr>
        <w:pStyle w:val="Heading3"/>
      </w:pPr>
      <w:bookmarkStart w:id="40" w:name="_Toc35853847"/>
      <w:r>
        <w:t>Clinical</w:t>
      </w:r>
      <w:bookmarkEnd w:id="38"/>
      <w:bookmarkEnd w:id="39"/>
      <w:bookmarkEnd w:id="40"/>
    </w:p>
    <w:p w14:paraId="3388B5AD" w14:textId="77777777" w:rsidR="00D37B29" w:rsidRPr="0076488E" w:rsidRDefault="00D37B29" w:rsidP="00D37B29">
      <w:pPr>
        <w:rPr>
          <w:lang w:eastAsia="ja-JP"/>
        </w:rPr>
      </w:pPr>
      <w:r>
        <w:rPr>
          <w:lang w:eastAsia="ja-JP"/>
        </w:rPr>
        <w:t>The clinical dossier contained the following:</w:t>
      </w:r>
    </w:p>
    <w:p w14:paraId="1EAE86A4" w14:textId="77777777" w:rsidR="00D37B29" w:rsidRDefault="00D37B29" w:rsidP="00D37B29">
      <w:pPr>
        <w:pStyle w:val="ListBullet"/>
        <w:rPr>
          <w:lang w:eastAsia="ja-JP"/>
        </w:rPr>
      </w:pPr>
      <w:r>
        <w:rPr>
          <w:lang w:eastAsia="ja-JP"/>
        </w:rPr>
        <w:t xml:space="preserve">Bioequivalence studies comparing 30 mg, </w:t>
      </w:r>
      <w:r w:rsidRPr="00D37B29">
        <w:rPr>
          <w:lang w:eastAsia="ja-JP"/>
        </w:rPr>
        <w:t>90</w:t>
      </w:r>
      <w:r>
        <w:rPr>
          <w:lang w:eastAsia="ja-JP"/>
        </w:rPr>
        <w:t xml:space="preserve"> mg and 180 mg tablets.</w:t>
      </w:r>
    </w:p>
    <w:p w14:paraId="287009EC" w14:textId="77777777" w:rsidR="00D37B29" w:rsidRDefault="00D37B29" w:rsidP="00D37B29">
      <w:pPr>
        <w:pStyle w:val="ListBullet"/>
        <w:rPr>
          <w:lang w:eastAsia="ja-JP"/>
        </w:rPr>
      </w:pPr>
      <w:r>
        <w:rPr>
          <w:lang w:eastAsia="ja-JP"/>
        </w:rPr>
        <w:t>Validation reports for methods of identifying brigatinib in human plasma and urine.</w:t>
      </w:r>
    </w:p>
    <w:p w14:paraId="6D3977BD" w14:textId="77777777" w:rsidR="00D37B29" w:rsidRDefault="00D37B29" w:rsidP="00D37B29">
      <w:pPr>
        <w:pStyle w:val="ListBullet"/>
        <w:rPr>
          <w:lang w:eastAsia="ja-JP"/>
        </w:rPr>
      </w:pPr>
      <w:r>
        <w:rPr>
          <w:lang w:eastAsia="ja-JP"/>
        </w:rPr>
        <w:t>A report of protein binding of brigatinib in human plasma.</w:t>
      </w:r>
    </w:p>
    <w:p w14:paraId="50B37D6A" w14:textId="77777777" w:rsidR="00D37B29" w:rsidRDefault="00D37B29" w:rsidP="00D37B29">
      <w:pPr>
        <w:pStyle w:val="ListBullet"/>
        <w:rPr>
          <w:lang w:eastAsia="ja-JP"/>
        </w:rPr>
      </w:pPr>
      <w:r>
        <w:rPr>
          <w:lang w:eastAsia="ja-JP"/>
        </w:rPr>
        <w:t>Healthy subject pharmacokinetics and tolerability reports.</w:t>
      </w:r>
    </w:p>
    <w:p w14:paraId="10DF3562" w14:textId="77777777" w:rsidR="00D37B29" w:rsidRDefault="00D37B29" w:rsidP="00D37B29">
      <w:pPr>
        <w:pStyle w:val="ListBullet"/>
        <w:rPr>
          <w:lang w:eastAsia="ja-JP"/>
        </w:rPr>
      </w:pPr>
      <w:r>
        <w:rPr>
          <w:lang w:eastAsia="ja-JP"/>
        </w:rPr>
        <w:t>Evaluation of pharmacokinetics and safety of brigatinib in patients with chronic hepatic impairment and chronic renal impairment.</w:t>
      </w:r>
    </w:p>
    <w:p w14:paraId="5E0FBD54" w14:textId="77777777" w:rsidR="00D37B29" w:rsidRDefault="00D37B29" w:rsidP="00D37B29">
      <w:pPr>
        <w:pStyle w:val="ListBullet"/>
        <w:rPr>
          <w:lang w:eastAsia="ja-JP"/>
        </w:rPr>
      </w:pPr>
      <w:r>
        <w:rPr>
          <w:lang w:eastAsia="ja-JP"/>
        </w:rPr>
        <w:t>Intrinsic and extrinsic factor pharmacokinetic (PK) study reports.</w:t>
      </w:r>
    </w:p>
    <w:p w14:paraId="1CDF195B" w14:textId="77777777" w:rsidR="00D37B29" w:rsidRDefault="00D37B29" w:rsidP="00D37B29">
      <w:pPr>
        <w:pStyle w:val="ListBullet"/>
        <w:rPr>
          <w:lang w:eastAsia="ja-JP"/>
        </w:rPr>
      </w:pPr>
      <w:r>
        <w:rPr>
          <w:lang w:eastAsia="ja-JP"/>
        </w:rPr>
        <w:t>Pharmacokinetics associated with co-administration with other drugs or with food.</w:t>
      </w:r>
    </w:p>
    <w:p w14:paraId="35DC89BB" w14:textId="77777777" w:rsidR="00D37B29" w:rsidRDefault="00D37B29" w:rsidP="00D37B29">
      <w:pPr>
        <w:pStyle w:val="ListBullet"/>
        <w:rPr>
          <w:lang w:eastAsia="ja-JP"/>
        </w:rPr>
      </w:pPr>
      <w:r>
        <w:rPr>
          <w:lang w:eastAsia="ja-JP"/>
        </w:rPr>
        <w:lastRenderedPageBreak/>
        <w:t>Population PK study report.</w:t>
      </w:r>
    </w:p>
    <w:p w14:paraId="689CA452" w14:textId="7BD9C0DA" w:rsidR="00D37B29" w:rsidRDefault="00D37B29" w:rsidP="005600F4">
      <w:pPr>
        <w:pStyle w:val="ListBullet"/>
        <w:rPr>
          <w:lang w:eastAsia="ja-JP"/>
        </w:rPr>
      </w:pPr>
      <w:r>
        <w:rPr>
          <w:lang w:eastAsia="ja-JP"/>
        </w:rPr>
        <w:t xml:space="preserve">Clinical study reports (and associated documents) for Studies </w:t>
      </w:r>
      <w:r w:rsidR="005600F4" w:rsidRPr="00BF5D8D">
        <w:t>AP26113-11-101</w:t>
      </w:r>
      <w:r w:rsidR="005600F4">
        <w:t xml:space="preserve"> </w:t>
      </w:r>
      <w:r>
        <w:rPr>
          <w:lang w:eastAsia="ja-JP"/>
        </w:rPr>
        <w:t xml:space="preserve">and </w:t>
      </w:r>
      <w:r w:rsidR="005600F4">
        <w:rPr>
          <w:lang w:eastAsia="ja-JP"/>
        </w:rPr>
        <w:t>AP26113-13-201</w:t>
      </w:r>
      <w:r w:rsidR="00611EB1">
        <w:rPr>
          <w:lang w:eastAsia="ja-JP"/>
        </w:rPr>
        <w:t xml:space="preserve"> (</w:t>
      </w:r>
      <w:r w:rsidR="00EF302A">
        <w:rPr>
          <w:lang w:eastAsia="ja-JP"/>
        </w:rPr>
        <w:t xml:space="preserve">also known as the </w:t>
      </w:r>
      <w:r w:rsidR="00611EB1">
        <w:rPr>
          <w:lang w:eastAsia="ja-JP"/>
        </w:rPr>
        <w:t>ALTA</w:t>
      </w:r>
      <w:r w:rsidR="00EF302A">
        <w:rPr>
          <w:lang w:eastAsia="ja-JP"/>
        </w:rPr>
        <w:t xml:space="preserve"> trial</w:t>
      </w:r>
      <w:r w:rsidR="00611EB1">
        <w:rPr>
          <w:lang w:eastAsia="ja-JP"/>
        </w:rPr>
        <w:t>)</w:t>
      </w:r>
      <w:r>
        <w:rPr>
          <w:lang w:eastAsia="ja-JP"/>
        </w:rPr>
        <w:t>.</w:t>
      </w:r>
    </w:p>
    <w:p w14:paraId="5C58D260" w14:textId="77777777" w:rsidR="00D37B29" w:rsidRDefault="00D37B29" w:rsidP="00D37B29">
      <w:pPr>
        <w:pStyle w:val="ListBullet"/>
        <w:rPr>
          <w:lang w:eastAsia="ja-JP"/>
        </w:rPr>
      </w:pPr>
      <w:r>
        <w:rPr>
          <w:lang w:eastAsia="ja-JP"/>
        </w:rPr>
        <w:t xml:space="preserve">Protocols for Studies </w:t>
      </w:r>
      <w:r w:rsidR="00611EB1">
        <w:rPr>
          <w:lang w:eastAsia="ja-JP"/>
        </w:rPr>
        <w:t>AP26113-</w:t>
      </w:r>
      <w:r>
        <w:rPr>
          <w:lang w:eastAsia="ja-JP"/>
        </w:rPr>
        <w:t xml:space="preserve">16-901 and </w:t>
      </w:r>
      <w:r w:rsidR="00611EB1">
        <w:rPr>
          <w:lang w:eastAsia="ja-JP"/>
        </w:rPr>
        <w:t>AP26113</w:t>
      </w:r>
      <w:r>
        <w:rPr>
          <w:lang w:eastAsia="ja-JP"/>
        </w:rPr>
        <w:t>13-301.</w:t>
      </w:r>
    </w:p>
    <w:p w14:paraId="568B9EFD" w14:textId="0057760E" w:rsidR="00D37B29" w:rsidRDefault="00D37B29" w:rsidP="00D37B29">
      <w:pPr>
        <w:pStyle w:val="ListBullet"/>
        <w:rPr>
          <w:lang w:eastAsia="ja-JP"/>
        </w:rPr>
      </w:pPr>
      <w:r>
        <w:rPr>
          <w:lang w:eastAsia="ja-JP"/>
        </w:rPr>
        <w:t xml:space="preserve">Integrated summaries of efficacy and safety, a pulmonary adverse event review, and a modelled predication of systemic exposure to brigatinib in </w:t>
      </w:r>
      <w:r w:rsidR="00EF302A">
        <w:rPr>
          <w:lang w:eastAsia="ja-JP"/>
        </w:rPr>
        <w:t>cytochrome p450 (</w:t>
      </w:r>
      <w:r>
        <w:rPr>
          <w:lang w:eastAsia="ja-JP"/>
        </w:rPr>
        <w:t>CYP</w:t>
      </w:r>
      <w:r w:rsidR="00EF302A">
        <w:rPr>
          <w:lang w:eastAsia="ja-JP"/>
        </w:rPr>
        <w:t xml:space="preserve">) enzyme </w:t>
      </w:r>
      <w:r>
        <w:rPr>
          <w:lang w:eastAsia="ja-JP"/>
        </w:rPr>
        <w:t>3A4 mediated drug interactions.</w:t>
      </w:r>
    </w:p>
    <w:p w14:paraId="455F4240" w14:textId="77777777" w:rsidR="00D37B29" w:rsidRDefault="00D37B29" w:rsidP="00D37B29">
      <w:pPr>
        <w:rPr>
          <w:lang w:eastAsia="ja-JP"/>
        </w:rPr>
      </w:pPr>
      <w:r>
        <w:rPr>
          <w:lang w:eastAsia="ja-JP"/>
        </w:rPr>
        <w:t>There are two studies addressing the efficacy of brigatinib in patients with ALK rearrangements who are resistant to crizotinib.</w:t>
      </w:r>
    </w:p>
    <w:p w14:paraId="727D7221" w14:textId="08D9708F" w:rsidR="00D37B29" w:rsidRDefault="00D37B29" w:rsidP="00D37B29">
      <w:pPr>
        <w:rPr>
          <w:lang w:eastAsia="ja-JP"/>
        </w:rPr>
      </w:pPr>
      <w:r>
        <w:rPr>
          <w:lang w:eastAsia="ja-JP"/>
        </w:rPr>
        <w:t>The pivotal study for the submission is a Phase II study of brigatinib in patients with ALK+ NSCLC who have been previously treated with crizotinib (Study AP26113-13-201). The study randomised patients to two different dosing regimens of brigatinib (90</w:t>
      </w:r>
      <w:r w:rsidR="005600F4">
        <w:rPr>
          <w:lang w:eastAsia="ja-JP"/>
        </w:rPr>
        <w:t xml:space="preserve"> </w:t>
      </w:r>
      <w:r>
        <w:rPr>
          <w:lang w:eastAsia="ja-JP"/>
        </w:rPr>
        <w:t xml:space="preserve">mg </w:t>
      </w:r>
      <w:r w:rsidR="005600F4">
        <w:rPr>
          <w:lang w:eastAsia="ja-JP"/>
        </w:rPr>
        <w:t>once daily (</w:t>
      </w:r>
      <w:r>
        <w:rPr>
          <w:lang w:eastAsia="ja-JP"/>
        </w:rPr>
        <w:t>QD</w:t>
      </w:r>
      <w:r w:rsidR="005600F4">
        <w:rPr>
          <w:lang w:eastAsia="ja-JP"/>
        </w:rPr>
        <w:t>) versus</w:t>
      </w:r>
      <w:r>
        <w:rPr>
          <w:lang w:eastAsia="ja-JP"/>
        </w:rPr>
        <w:t xml:space="preserve"> 180</w:t>
      </w:r>
      <w:r w:rsidR="005600F4">
        <w:rPr>
          <w:lang w:eastAsia="ja-JP"/>
        </w:rPr>
        <w:t xml:space="preserve"> </w:t>
      </w:r>
      <w:r>
        <w:rPr>
          <w:lang w:eastAsia="ja-JP"/>
        </w:rPr>
        <w:t>mg QD with a 7 day lead-in at 90mg QD</w:t>
      </w:r>
      <w:r w:rsidR="005600F4">
        <w:rPr>
          <w:lang w:eastAsia="ja-JP"/>
        </w:rPr>
        <w:t xml:space="preserve"> (</w:t>
      </w:r>
      <w:r w:rsidR="005600F4" w:rsidRPr="00023EC0">
        <w:rPr>
          <w:rFonts w:eastAsia="Times New Roman"/>
        </w:rPr>
        <w:t>90</w:t>
      </w:r>
      <w:r w:rsidR="005600F4">
        <w:rPr>
          <w:rFonts w:eastAsia="Times New Roman"/>
        </w:rPr>
        <w:t xml:space="preserve"> </w:t>
      </w:r>
      <w:r w:rsidR="003655D2">
        <w:rPr>
          <w:rFonts w:eastAsia="Times New Roman"/>
        </w:rPr>
        <w:t>→</w:t>
      </w:r>
      <w:r w:rsidR="005600F4">
        <w:rPr>
          <w:rFonts w:eastAsia="Times New Roman"/>
        </w:rPr>
        <w:t xml:space="preserve"> </w:t>
      </w:r>
      <w:r w:rsidR="005600F4" w:rsidRPr="00023EC0">
        <w:rPr>
          <w:rFonts w:eastAsia="Times New Roman"/>
        </w:rPr>
        <w:t>180</w:t>
      </w:r>
      <w:r w:rsidR="005600F4">
        <w:rPr>
          <w:rFonts w:eastAsia="Times New Roman"/>
        </w:rPr>
        <w:t xml:space="preserve"> </w:t>
      </w:r>
      <w:r w:rsidR="005600F4" w:rsidRPr="00023EC0">
        <w:rPr>
          <w:rFonts w:eastAsia="Times New Roman"/>
        </w:rPr>
        <w:t>mg QD</w:t>
      </w:r>
      <w:r>
        <w:rPr>
          <w:lang w:eastAsia="ja-JP"/>
        </w:rPr>
        <w:t>). The primary outcome was objective response rate (ORR). Secondary efficacy outcomes included disease control rate, time to/duration of response, progression-free survival</w:t>
      </w:r>
      <w:r w:rsidR="005600F4">
        <w:rPr>
          <w:lang w:eastAsia="ja-JP"/>
        </w:rPr>
        <w:t xml:space="preserve"> (PFS)</w:t>
      </w:r>
      <w:r>
        <w:rPr>
          <w:lang w:eastAsia="ja-JP"/>
        </w:rPr>
        <w:t>, overall survival and time on treatment. Other secondary outcomes included safety and tolerability of brigatinib, the measurement of steady-state plasma levels of brigatinib and health related quality of life. Exploratory outcomes were correlation of brigatinib exposure with both efficacy and safety and correlation of biomarkers with efficacy and safety. A pre-specified subgroup analysis assessed CNS response and PFS in patients with active brain metastases.</w:t>
      </w:r>
    </w:p>
    <w:p w14:paraId="519056DF" w14:textId="77777777" w:rsidR="00D37B29" w:rsidRPr="00D37B29" w:rsidRDefault="00D37B29" w:rsidP="00D37B29">
      <w:r>
        <w:rPr>
          <w:lang w:eastAsia="ja-JP"/>
        </w:rPr>
        <w:t>As supporting evidence, the dossier also contains a</w:t>
      </w:r>
      <w:r w:rsidR="005600F4">
        <w:rPr>
          <w:lang w:eastAsia="ja-JP"/>
        </w:rPr>
        <w:t xml:space="preserve"> Phase I/II</w:t>
      </w:r>
      <w:r>
        <w:rPr>
          <w:lang w:eastAsia="ja-JP"/>
        </w:rPr>
        <w:t xml:space="preserve"> open label study (</w:t>
      </w:r>
      <w:r w:rsidR="005600F4">
        <w:rPr>
          <w:lang w:eastAsia="ja-JP"/>
        </w:rPr>
        <w:t>Study </w:t>
      </w:r>
      <w:r>
        <w:rPr>
          <w:lang w:eastAsia="ja-JP"/>
        </w:rPr>
        <w:t>AP26113-11-101) that reported on 137 patients enrolled in either a dose escalation cohort (n</w:t>
      </w:r>
      <w:r w:rsidR="005600F4">
        <w:rPr>
          <w:lang w:eastAsia="ja-JP"/>
        </w:rPr>
        <w:t xml:space="preserve"> </w:t>
      </w:r>
      <w:r>
        <w:rPr>
          <w:lang w:eastAsia="ja-JP"/>
        </w:rPr>
        <w:t>=</w:t>
      </w:r>
      <w:r w:rsidR="005600F4">
        <w:rPr>
          <w:lang w:eastAsia="ja-JP"/>
        </w:rPr>
        <w:t xml:space="preserve"> </w:t>
      </w:r>
      <w:r>
        <w:rPr>
          <w:lang w:eastAsia="ja-JP"/>
        </w:rPr>
        <w:t>66) or one of 5 expansion cohorts (n</w:t>
      </w:r>
      <w:r w:rsidR="005600F4">
        <w:rPr>
          <w:lang w:eastAsia="ja-JP"/>
        </w:rPr>
        <w:t xml:space="preserve"> </w:t>
      </w:r>
      <w:r>
        <w:rPr>
          <w:lang w:eastAsia="ja-JP"/>
        </w:rPr>
        <w:t>=</w:t>
      </w:r>
      <w:r w:rsidR="005600F4">
        <w:rPr>
          <w:lang w:eastAsia="ja-JP"/>
        </w:rPr>
        <w:t xml:space="preserve"> </w:t>
      </w:r>
      <w:r>
        <w:rPr>
          <w:lang w:eastAsia="ja-JP"/>
        </w:rPr>
        <w:t>71). Patients in the dose escalation cohort could have any malignancy, however, only 9 patients across the entire study had diagnoses other than NSCLC. A total of 79 patients were enrolled with ALK+ NSCLC, of which 71 had prior exposure to crizotinib</w:t>
      </w:r>
      <w:r w:rsidR="005600F4">
        <w:rPr>
          <w:lang w:eastAsia="ja-JP"/>
        </w:rPr>
        <w:t>.</w:t>
      </w:r>
    </w:p>
    <w:p w14:paraId="29617EA8" w14:textId="77777777" w:rsidR="00BF5D8D" w:rsidRPr="00BF5D8D" w:rsidRDefault="00BF5D8D" w:rsidP="00A96618">
      <w:pPr>
        <w:pStyle w:val="Heading4"/>
      </w:pPr>
      <w:bookmarkStart w:id="41" w:name="_Toc314842514"/>
      <w:r w:rsidRPr="00BF5D8D">
        <w:t>Pharmacology</w:t>
      </w:r>
    </w:p>
    <w:p w14:paraId="1C44BE1D" w14:textId="77777777" w:rsidR="00BF5D8D" w:rsidRPr="00BF5D8D" w:rsidRDefault="00BF5D8D" w:rsidP="00A96618">
      <w:pPr>
        <w:pStyle w:val="Heading5"/>
      </w:pPr>
      <w:r w:rsidRPr="00BF5D8D">
        <w:t>Pharmacok</w:t>
      </w:r>
      <w:r w:rsidR="00EC6BF5">
        <w:t>inetics</w:t>
      </w:r>
    </w:p>
    <w:p w14:paraId="143E122A" w14:textId="77777777" w:rsidR="00BF5D8D" w:rsidRPr="00BF5D8D" w:rsidRDefault="00BF5D8D" w:rsidP="00A96618">
      <w:r w:rsidRPr="00BF5D8D">
        <w:t xml:space="preserve">The clinical </w:t>
      </w:r>
      <w:r w:rsidR="005600F4">
        <w:t>PK</w:t>
      </w:r>
      <w:r w:rsidR="000F30A1">
        <w:t xml:space="preserve"> </w:t>
      </w:r>
      <w:r w:rsidRPr="00BF5D8D">
        <w:t xml:space="preserve">of brigatinib were assessed in healthy subjects and cancer patients, with much of the </w:t>
      </w:r>
      <w:r w:rsidR="00781E21">
        <w:t>pharmacokinetics</w:t>
      </w:r>
      <w:r w:rsidRPr="00BF5D8D">
        <w:t xml:space="preserve"> derived from Study AP26113-11-101 which included patients with advanced malignancies, including ALK+ NSCLC.</w:t>
      </w:r>
    </w:p>
    <w:p w14:paraId="2C4B8E81" w14:textId="0D93623F" w:rsidR="00EC6BF5" w:rsidRDefault="00BF5D8D" w:rsidP="00A96618">
      <w:r w:rsidRPr="00BF5D8D">
        <w:t xml:space="preserve">Bioequivalence of the 30 mg, 90 mg and 180 mg tablets was confirmed in two </w:t>
      </w:r>
      <w:r w:rsidR="00781E21">
        <w:t>bioequivalence</w:t>
      </w:r>
      <w:r w:rsidRPr="00BF5D8D">
        <w:t xml:space="preserve"> studies in healthy subjects.</w:t>
      </w:r>
      <w:r w:rsidR="00781E21">
        <w:t xml:space="preserve"> </w:t>
      </w:r>
      <w:r w:rsidRPr="00BF5D8D">
        <w:t xml:space="preserve">Brigatinib exhibits linear </w:t>
      </w:r>
      <w:r w:rsidR="003655D2">
        <w:t>PK</w:t>
      </w:r>
      <w:r w:rsidRPr="00BF5D8D">
        <w:t xml:space="preserve"> in the dose range of 60</w:t>
      </w:r>
      <w:r w:rsidR="008B337F">
        <w:t xml:space="preserve"> </w:t>
      </w:r>
      <w:r w:rsidRPr="00BF5D8D">
        <w:t>mg to 240</w:t>
      </w:r>
      <w:r w:rsidR="008B337F">
        <w:t xml:space="preserve"> </w:t>
      </w:r>
      <w:r w:rsidRPr="00BF5D8D">
        <w:t>mg</w:t>
      </w:r>
      <w:r w:rsidR="00EC6BF5">
        <w:t>.</w:t>
      </w:r>
    </w:p>
    <w:p w14:paraId="69A6BC02" w14:textId="4C197B96" w:rsidR="00BF5D8D" w:rsidRPr="00BF5D8D" w:rsidRDefault="00BF5D8D" w:rsidP="00A96618">
      <w:r w:rsidRPr="00BF5D8D">
        <w:t xml:space="preserve">Administration with food had minimal impact on the </w:t>
      </w:r>
      <w:r w:rsidR="00781E21">
        <w:t>pharmacokinetics</w:t>
      </w:r>
      <w:r w:rsidRPr="00BF5D8D">
        <w:t xml:space="preserve"> of brigatinib.</w:t>
      </w:r>
      <w:r w:rsidR="00BC01FB">
        <w:t xml:space="preserve"> </w:t>
      </w:r>
      <w:r w:rsidRPr="00BF5D8D">
        <w:t xml:space="preserve">In the pivotal food-effect study, </w:t>
      </w:r>
      <w:r w:rsidR="008B337F">
        <w:t>peak plasma levels were</w:t>
      </w:r>
      <w:r w:rsidRPr="00BF5D8D">
        <w:t xml:space="preserve"> reduced by 13% with no effect on </w:t>
      </w:r>
      <w:r w:rsidR="000F30A1">
        <w:t>area under the plasma concentration</w:t>
      </w:r>
      <w:r w:rsidR="00EF302A">
        <w:t>-</w:t>
      </w:r>
      <w:r w:rsidR="008B337F">
        <w:t>time curve (</w:t>
      </w:r>
      <w:r w:rsidRPr="00BF5D8D">
        <w:t>AUC</w:t>
      </w:r>
      <w:r w:rsidR="008B337F">
        <w:t>)</w:t>
      </w:r>
      <w:r w:rsidRPr="00BF5D8D">
        <w:t xml:space="preserve"> in healthy subjects administered brigatinib after a high-fat meal compared to overnight fasting.</w:t>
      </w:r>
      <w:r w:rsidR="00BC01FB">
        <w:t xml:space="preserve"> </w:t>
      </w:r>
      <w:r w:rsidRPr="00BF5D8D">
        <w:t>The food studies support the guidance that brigatinib may be taken with or without food.</w:t>
      </w:r>
    </w:p>
    <w:p w14:paraId="3C878E11" w14:textId="77777777" w:rsidR="00BF5D8D" w:rsidRPr="00BF5D8D" w:rsidRDefault="00BF5D8D" w:rsidP="00A96618">
      <w:r w:rsidRPr="00BF5D8D">
        <w:t xml:space="preserve">CYP2C8 and CYP3A4 appear to be the major cytochrome P450 </w:t>
      </w:r>
      <w:r w:rsidR="000F30A1">
        <w:t xml:space="preserve">(CYP) </w:t>
      </w:r>
      <w:r w:rsidRPr="00BF5D8D">
        <w:t>isozymes responsible for brigatinib metabolism, with minor contribution from CYP3A5.</w:t>
      </w:r>
      <w:r w:rsidR="00BC01FB">
        <w:t xml:space="preserve"> </w:t>
      </w:r>
      <w:r w:rsidRPr="00BF5D8D">
        <w:t>Due to large effects on brigatinib exposure, co-administration with either strong CYP3A inducers or inhibitors should be avoided.</w:t>
      </w:r>
      <w:r w:rsidR="00BC01FB">
        <w:t xml:space="preserve"> </w:t>
      </w:r>
      <w:r w:rsidRPr="00BF5D8D">
        <w:t>No dose adjustment is required during co-administration with strong CYP2C8 inhibitors.</w:t>
      </w:r>
    </w:p>
    <w:p w14:paraId="3761E6E3" w14:textId="49A98CD9" w:rsidR="00EC6BF5" w:rsidRDefault="00BF5D8D" w:rsidP="00A96618">
      <w:r w:rsidRPr="00BF5D8D">
        <w:t>Brigatinib is primarily eliminated (either unchanged or as</w:t>
      </w:r>
      <w:r w:rsidR="00EF302A">
        <w:t xml:space="preserve"> metabolite </w:t>
      </w:r>
      <w:r w:rsidR="00250A88">
        <w:t>AP26123</w:t>
      </w:r>
      <w:r w:rsidRPr="00BF5D8D">
        <w:t>) in faeces (hepatic elimination), with a smaller proportion excreted in urine</w:t>
      </w:r>
      <w:r w:rsidR="00EC6BF5">
        <w:t>.</w:t>
      </w:r>
    </w:p>
    <w:p w14:paraId="41E35B98" w14:textId="1B7A9E4D" w:rsidR="00EC6BF5" w:rsidRDefault="00BF5D8D" w:rsidP="00A96618">
      <w:r w:rsidRPr="00BF5D8D">
        <w:lastRenderedPageBreak/>
        <w:t xml:space="preserve">The </w:t>
      </w:r>
      <w:r w:rsidR="008A2E25">
        <w:t>PK</w:t>
      </w:r>
      <w:r w:rsidRPr="00BF5D8D">
        <w:t xml:space="preserve"> of brigatinib in hepatic impairment was assessed in Study AP26113-15-107, a single</w:t>
      </w:r>
      <w:r w:rsidR="008B337F">
        <w:t xml:space="preserve"> </w:t>
      </w:r>
      <w:r w:rsidRPr="00BF5D8D">
        <w:t>dose study, consistent with the TGA</w:t>
      </w:r>
      <w:r w:rsidR="008B337F">
        <w:t xml:space="preserve"> </w:t>
      </w:r>
      <w:r w:rsidRPr="00BF5D8D">
        <w:t>adopted EMA guideline</w:t>
      </w:r>
      <w:r w:rsidR="008A2E25">
        <w:t>s</w:t>
      </w:r>
      <w:r w:rsidRPr="00BF5D8D">
        <w:t>.</w:t>
      </w:r>
      <w:bookmarkStart w:id="42" w:name="_Ref33687374"/>
      <w:r w:rsidR="008A2E25">
        <w:rPr>
          <w:rStyle w:val="FootnoteReference"/>
        </w:rPr>
        <w:footnoteReference w:id="10"/>
      </w:r>
      <w:bookmarkEnd w:id="42"/>
      <w:r w:rsidR="00BC01FB">
        <w:t xml:space="preserve"> </w:t>
      </w:r>
      <w:r w:rsidRPr="00BF5D8D">
        <w:t>Based on the findings of this study, no change in dosing is proposed for patients with Child-Pugh A or Child-Pugh B hepatic impairment, but a starting dose of 60</w:t>
      </w:r>
      <w:r w:rsidR="008B337F">
        <w:t xml:space="preserve"> </w:t>
      </w:r>
      <w:r w:rsidRPr="00BF5D8D">
        <w:t xml:space="preserve">mg </w:t>
      </w:r>
      <w:r w:rsidR="00781E21">
        <w:t>daily</w:t>
      </w:r>
      <w:r w:rsidRPr="00BF5D8D">
        <w:t xml:space="preserve"> for the first 7 days (instead of 90</w:t>
      </w:r>
      <w:r w:rsidR="008A2E25">
        <w:t> </w:t>
      </w:r>
      <w:r w:rsidRPr="00BF5D8D">
        <w:t xml:space="preserve">mg </w:t>
      </w:r>
      <w:r w:rsidR="00781E21">
        <w:t>daily</w:t>
      </w:r>
      <w:r w:rsidRPr="00BF5D8D">
        <w:t>), increasing to 120</w:t>
      </w:r>
      <w:r w:rsidR="0001034C">
        <w:t xml:space="preserve"> </w:t>
      </w:r>
      <w:r w:rsidRPr="00BF5D8D">
        <w:t xml:space="preserve">mg </w:t>
      </w:r>
      <w:r w:rsidR="00781E21">
        <w:t>daily</w:t>
      </w:r>
      <w:r w:rsidRPr="00BF5D8D">
        <w:t xml:space="preserve"> (instead of 180</w:t>
      </w:r>
      <w:r w:rsidR="008B337F">
        <w:t xml:space="preserve"> </w:t>
      </w:r>
      <w:r w:rsidRPr="00BF5D8D">
        <w:t xml:space="preserve">mg </w:t>
      </w:r>
      <w:r w:rsidR="00781E21">
        <w:t>daily</w:t>
      </w:r>
      <w:r w:rsidRPr="00BF5D8D">
        <w:t>) is proposed for patients with Child-Pugh C hepatic impairment.</w:t>
      </w:r>
      <w:r w:rsidR="008A2E25">
        <w:rPr>
          <w:rStyle w:val="FootnoteReference"/>
        </w:rPr>
        <w:footnoteReference w:id="11"/>
      </w:r>
      <w:r w:rsidR="00BC01FB">
        <w:t xml:space="preserve"> </w:t>
      </w:r>
      <w:r w:rsidRPr="00BF5D8D">
        <w:t xml:space="preserve">This dose adjustment is based on the 37% </w:t>
      </w:r>
      <w:r w:rsidR="00DB407B">
        <w:rPr>
          <w:rFonts w:eastAsia="Times New Roman"/>
        </w:rPr>
        <w:t>a</w:t>
      </w:r>
      <w:r w:rsidR="00DB407B" w:rsidRPr="00023EC0">
        <w:rPr>
          <w:rFonts w:eastAsia="Times New Roman"/>
        </w:rPr>
        <w:t xml:space="preserve">rea </w:t>
      </w:r>
      <w:r w:rsidR="00D37B29" w:rsidRPr="00023EC0">
        <w:rPr>
          <w:rFonts w:eastAsia="Times New Roman"/>
        </w:rPr>
        <w:t xml:space="preserve">under the plasma concentration-time curve from time zero </w:t>
      </w:r>
      <w:r w:rsidR="00DB407B">
        <w:rPr>
          <w:rFonts w:eastAsia="Times New Roman"/>
        </w:rPr>
        <w:t xml:space="preserve">extrapolated </w:t>
      </w:r>
      <w:r w:rsidR="00D37B29" w:rsidRPr="00023EC0">
        <w:rPr>
          <w:rFonts w:eastAsia="Times New Roman"/>
        </w:rPr>
        <w:t>to infinity</w:t>
      </w:r>
      <w:r w:rsidR="00D37B29" w:rsidRPr="00BF5D8D">
        <w:t xml:space="preserve"> </w:t>
      </w:r>
      <w:r w:rsidR="00D37B29">
        <w:t>(AUC</w:t>
      </w:r>
      <w:r w:rsidR="00781E21" w:rsidRPr="00D37B29">
        <w:rPr>
          <w:vertAlign w:val="subscript"/>
        </w:rPr>
        <w:t>0-</w:t>
      </w:r>
      <w:r w:rsidR="00D37B29" w:rsidRPr="00D37B29">
        <w:rPr>
          <w:vertAlign w:val="subscript"/>
        </w:rPr>
        <w:t>∞</w:t>
      </w:r>
      <w:r w:rsidR="00781E21">
        <w:t>)</w:t>
      </w:r>
      <w:r w:rsidRPr="00BF5D8D">
        <w:t xml:space="preserve"> increase in unbound brigatinib in 6 patients with Child-Pugh C hepatic impairment exposed to a single 90</w:t>
      </w:r>
      <w:r w:rsidR="0001034C">
        <w:t xml:space="preserve"> </w:t>
      </w:r>
      <w:r w:rsidRPr="00BF5D8D">
        <w:t>mg dose of brigatinib, compared to 9 healthy matched subjects.</w:t>
      </w:r>
      <w:r w:rsidR="00BC01FB">
        <w:t xml:space="preserve"> </w:t>
      </w:r>
      <w:r w:rsidRPr="00BF5D8D">
        <w:t xml:space="preserve">A warning has been added to the PI that the safety of brigatinib in patients with hepatic impairment has not been studied (patients with hepatic impairment were excluded from </w:t>
      </w:r>
      <w:r w:rsidR="005600F4">
        <w:t>Study AP26113</w:t>
      </w:r>
      <w:r w:rsidR="005600F4">
        <w:noBreakHyphen/>
        <w:t>11</w:t>
      </w:r>
      <w:r w:rsidR="005600F4">
        <w:noBreakHyphen/>
      </w:r>
      <w:r w:rsidRPr="00BF5D8D">
        <w:t xml:space="preserve">101 and </w:t>
      </w:r>
      <w:r w:rsidR="00611EB1">
        <w:rPr>
          <w:lang w:eastAsia="ja-JP"/>
        </w:rPr>
        <w:t>Study AP26113-13-201</w:t>
      </w:r>
      <w:r w:rsidRPr="00BF5D8D">
        <w:t>)</w:t>
      </w:r>
      <w:r w:rsidR="00EC6BF5">
        <w:t>.</w:t>
      </w:r>
    </w:p>
    <w:p w14:paraId="4A3DBAD9" w14:textId="2326F383" w:rsidR="00EC6BF5" w:rsidRDefault="00BF5D8D" w:rsidP="00A96618">
      <w:r w:rsidRPr="00BF5D8D">
        <w:t>No dose reductions are proposed for patients with mild to moderate renal impairment.</w:t>
      </w:r>
      <w:r w:rsidR="00BC01FB">
        <w:t xml:space="preserve"> </w:t>
      </w:r>
      <w:r w:rsidRPr="00BF5D8D">
        <w:t xml:space="preserve"> The pop</w:t>
      </w:r>
      <w:r w:rsidR="00781E21">
        <w:t>ulation pharmacokinetics</w:t>
      </w:r>
      <w:r w:rsidR="00781E21" w:rsidRPr="00BF5D8D">
        <w:t xml:space="preserve"> </w:t>
      </w:r>
      <w:r w:rsidR="00611EB1">
        <w:t>(pop PK)</w:t>
      </w:r>
      <w:r w:rsidRPr="00BF5D8D">
        <w:t>analyses suggest that brigatinib clearance is not substantially different in patients with mild and moderate renal impairment.</w:t>
      </w:r>
      <w:r w:rsidR="00BC01FB">
        <w:t xml:space="preserve"> </w:t>
      </w:r>
      <w:r w:rsidRPr="00BF5D8D">
        <w:t xml:space="preserve">Dose reduction is proposed for patients with severe renal impairment based on extrapolation from the </w:t>
      </w:r>
      <w:r w:rsidR="00EF302A">
        <w:t>PK-based</w:t>
      </w:r>
      <w:r w:rsidR="00EF302A" w:rsidRPr="00BF5D8D">
        <w:t xml:space="preserve"> </w:t>
      </w:r>
      <w:r w:rsidRPr="00BF5D8D">
        <w:t>study, as no patients with severe renal impairment were included in the clinical studies.</w:t>
      </w:r>
      <w:r w:rsidR="00BC01FB">
        <w:t xml:space="preserve"> </w:t>
      </w:r>
      <w:r w:rsidRPr="00BF5D8D">
        <w:t>A warning has been added to the PI that the safety of brigatinib in patients with severe renal impairment has not been studied</w:t>
      </w:r>
      <w:r w:rsidR="00EC6BF5">
        <w:t>.</w:t>
      </w:r>
    </w:p>
    <w:p w14:paraId="3D35EE80" w14:textId="77777777" w:rsidR="00781E21" w:rsidRDefault="00BF5D8D" w:rsidP="00781E21">
      <w:pPr>
        <w:pStyle w:val="Heading5"/>
      </w:pPr>
      <w:r w:rsidRPr="00BF5D8D">
        <w:t xml:space="preserve">Population </w:t>
      </w:r>
      <w:r w:rsidR="00781E21">
        <w:t>pharmacokinetics</w:t>
      </w:r>
      <w:r w:rsidR="00EC6BF5">
        <w:t xml:space="preserve"> data</w:t>
      </w:r>
    </w:p>
    <w:p w14:paraId="590B6BE8" w14:textId="1DCDCD99" w:rsidR="00BF5D8D" w:rsidRPr="00BF5D8D" w:rsidRDefault="00BF5D8D" w:rsidP="00A96618">
      <w:r w:rsidRPr="00BF5D8D">
        <w:t>Pop</w:t>
      </w:r>
      <w:r w:rsidR="00611EB1">
        <w:t xml:space="preserve"> PK </w:t>
      </w:r>
      <w:r w:rsidRPr="00BF5D8D">
        <w:t xml:space="preserve">analyses included data from 443 subjects in five brigatinib studies: </w:t>
      </w:r>
      <w:r w:rsidR="00611EB1">
        <w:t>Study </w:t>
      </w:r>
      <w:r w:rsidRPr="00BF5D8D">
        <w:t>AP26113-11-101 (</w:t>
      </w:r>
      <w:r w:rsidR="00EF302A">
        <w:t xml:space="preserve">in </w:t>
      </w:r>
      <w:r w:rsidRPr="00BF5D8D">
        <w:t xml:space="preserve">patients with advanced malignancies including ALK+ NSCLC), </w:t>
      </w:r>
      <w:r w:rsidR="00611EB1">
        <w:t xml:space="preserve">Study </w:t>
      </w:r>
      <w:r w:rsidRPr="00BF5D8D">
        <w:t>AP26113-13-102 (</w:t>
      </w:r>
      <w:r w:rsidR="00EF302A">
        <w:t xml:space="preserve">in </w:t>
      </w:r>
      <w:r w:rsidRPr="00BF5D8D">
        <w:t xml:space="preserve">healthy subjects), </w:t>
      </w:r>
      <w:r w:rsidR="00611EB1">
        <w:t xml:space="preserve">Study </w:t>
      </w:r>
      <w:r w:rsidRPr="00BF5D8D">
        <w:t>AP26113-13-103 (food effect</w:t>
      </w:r>
      <w:r w:rsidR="00EF302A">
        <w:t xml:space="preserve"> study</w:t>
      </w:r>
      <w:r w:rsidRPr="00BF5D8D">
        <w:t xml:space="preserve"> in healthy subjects), </w:t>
      </w:r>
      <w:r w:rsidR="00611EB1">
        <w:t xml:space="preserve">Study </w:t>
      </w:r>
      <w:r w:rsidRPr="00BF5D8D">
        <w:t>AP26113-15-105 (</w:t>
      </w:r>
      <w:r w:rsidR="00611EB1">
        <w:t>drug-</w:t>
      </w:r>
      <w:r w:rsidR="008B337F">
        <w:t>drug interaction</w:t>
      </w:r>
      <w:r w:rsidR="00EF302A">
        <w:t xml:space="preserve"> study</w:t>
      </w:r>
      <w:r w:rsidRPr="00BF5D8D">
        <w:t xml:space="preserve"> in healthy subjects) and </w:t>
      </w:r>
      <w:r w:rsidR="00611EB1">
        <w:t>Study </w:t>
      </w:r>
      <w:r w:rsidRPr="00BF5D8D">
        <w:t xml:space="preserve">AP26113-13-201 (pivotal Phase </w:t>
      </w:r>
      <w:r w:rsidR="00781E21">
        <w:t>II</w:t>
      </w:r>
      <w:r w:rsidRPr="00BF5D8D">
        <w:t xml:space="preserve"> study in ALK+ NSCLC </w:t>
      </w:r>
      <w:r w:rsidR="00611EB1">
        <w:t xml:space="preserve">patients </w:t>
      </w:r>
      <w:r w:rsidRPr="00BF5D8D">
        <w:t>post</w:t>
      </w:r>
      <w:r w:rsidR="00EF302A">
        <w:noBreakHyphen/>
      </w:r>
      <w:r w:rsidRPr="00BF5D8D">
        <w:t>crizotinib</w:t>
      </w:r>
      <w:r w:rsidR="00EF302A">
        <w:t xml:space="preserve"> therapy</w:t>
      </w:r>
      <w:r w:rsidRPr="00BF5D8D">
        <w:t>).</w:t>
      </w:r>
      <w:r w:rsidR="00BC01FB">
        <w:t xml:space="preserve"> </w:t>
      </w:r>
      <w:r w:rsidRPr="00BF5D8D">
        <w:t xml:space="preserve">The </w:t>
      </w:r>
      <w:r w:rsidR="00611EB1">
        <w:t>TGA pop PK</w:t>
      </w:r>
      <w:r w:rsidR="00781E21" w:rsidRPr="00BF5D8D">
        <w:t xml:space="preserve"> </w:t>
      </w:r>
      <w:r w:rsidRPr="00BF5D8D">
        <w:t xml:space="preserve">Working Group reviewed the findings of the </w:t>
      </w:r>
      <w:r w:rsidR="00EF302A">
        <w:t>US </w:t>
      </w:r>
      <w:r w:rsidR="00611EB1">
        <w:t>Food and Drug Administration (</w:t>
      </w:r>
      <w:r w:rsidRPr="00BF5D8D">
        <w:t>FDA</w:t>
      </w:r>
      <w:r w:rsidR="00611EB1">
        <w:t>)</w:t>
      </w:r>
      <w:r w:rsidRPr="00BF5D8D">
        <w:t xml:space="preserve"> analysis of the </w:t>
      </w:r>
      <w:r w:rsidR="00EF302A">
        <w:t>pop PK</w:t>
      </w:r>
      <w:r w:rsidR="00781E21" w:rsidRPr="00BF5D8D">
        <w:t xml:space="preserve"> </w:t>
      </w:r>
      <w:r w:rsidRPr="00BF5D8D">
        <w:t>model and advised that the modelling was robust and that further independent replication was not necessary.</w:t>
      </w:r>
      <w:r w:rsidR="00BC01FB">
        <w:t xml:space="preserve"> </w:t>
      </w:r>
      <w:r w:rsidRPr="00BF5D8D">
        <w:t xml:space="preserve">The </w:t>
      </w:r>
      <w:r w:rsidR="00EF302A">
        <w:t xml:space="preserve">TGA </w:t>
      </w:r>
      <w:r w:rsidRPr="00BF5D8D">
        <w:t>Working Group agreed with the FDA assessment.</w:t>
      </w:r>
    </w:p>
    <w:p w14:paraId="26378118" w14:textId="77777777" w:rsidR="00BF5D8D" w:rsidRPr="00BF5D8D" w:rsidRDefault="00BF5D8D" w:rsidP="00A96618">
      <w:r w:rsidRPr="00BF5D8D">
        <w:t>None of the covariates (body weight, gend</w:t>
      </w:r>
      <w:r w:rsidR="00781E21">
        <w:t>er, race, age, alanine transferase, albumin, creatinine clearance</w:t>
      </w:r>
      <w:r w:rsidRPr="00BF5D8D">
        <w:t xml:space="preserve">) had a clinically meaningful influence on brigatinib </w:t>
      </w:r>
      <w:r w:rsidR="00611EB1">
        <w:t>PK</w:t>
      </w:r>
      <w:r w:rsidRPr="00BF5D8D">
        <w:t>.</w:t>
      </w:r>
    </w:p>
    <w:p w14:paraId="3A603914" w14:textId="08FB639D" w:rsidR="00BF5D8D" w:rsidRPr="00BF5D8D" w:rsidRDefault="00BF5D8D" w:rsidP="00A96618">
      <w:r w:rsidRPr="00BF5D8D">
        <w:t xml:space="preserve">The </w:t>
      </w:r>
      <w:r w:rsidR="00611EB1">
        <w:t>pop PK</w:t>
      </w:r>
      <w:r w:rsidR="00781E21" w:rsidRPr="00BF5D8D">
        <w:t xml:space="preserve"> </w:t>
      </w:r>
      <w:r w:rsidRPr="00BF5D8D">
        <w:t xml:space="preserve">Working Group supports the proposed posology, but recommends inclusion of a warning in the PI about co-administration of drugs with narrow therapeutic indices which are substrates for either </w:t>
      </w:r>
      <w:r w:rsidR="00611EB1">
        <w:t>P-glycoprotein</w:t>
      </w:r>
      <w:r w:rsidRPr="00F75DF5">
        <w:t xml:space="preserve"> or </w:t>
      </w:r>
      <w:r w:rsidR="00611EB1">
        <w:t>b</w:t>
      </w:r>
      <w:r w:rsidR="00611EB1" w:rsidRPr="00611EB1">
        <w:t xml:space="preserve">reast cancer resistance protein </w:t>
      </w:r>
      <w:r w:rsidR="00611EB1">
        <w:t>(</w:t>
      </w:r>
      <w:r w:rsidR="00250A88">
        <w:t>BCRP</w:t>
      </w:r>
      <w:r w:rsidR="00611EB1">
        <w:t>)</w:t>
      </w:r>
      <w:r w:rsidRPr="00BF5D8D">
        <w:t>.</w:t>
      </w:r>
    </w:p>
    <w:p w14:paraId="187A996C" w14:textId="77777777" w:rsidR="00BF5D8D" w:rsidRPr="00BF5D8D" w:rsidRDefault="00781E21" w:rsidP="00781E21">
      <w:pPr>
        <w:pStyle w:val="Heading5"/>
      </w:pPr>
      <w:r>
        <w:t>Pharmacodynamics</w:t>
      </w:r>
    </w:p>
    <w:p w14:paraId="325C7FF4" w14:textId="77777777" w:rsidR="00BF5D8D" w:rsidRPr="00BF5D8D" w:rsidRDefault="00BF5D8D" w:rsidP="00A96618">
      <w:r w:rsidRPr="00BF5D8D">
        <w:t xml:space="preserve">The </w:t>
      </w:r>
      <w:r w:rsidR="00781E21">
        <w:t>pharmacodynamics</w:t>
      </w:r>
      <w:r w:rsidRPr="00BF5D8D">
        <w:t xml:space="preserve"> </w:t>
      </w:r>
      <w:r w:rsidR="00611EB1">
        <w:t xml:space="preserve">(PD) </w:t>
      </w:r>
      <w:r w:rsidRPr="00BF5D8D">
        <w:t xml:space="preserve">of brigatinib are based largely on </w:t>
      </w:r>
      <w:r w:rsidRPr="00611EB1">
        <w:rPr>
          <w:i/>
        </w:rPr>
        <w:t>in vitro</w:t>
      </w:r>
      <w:r w:rsidRPr="00BF5D8D">
        <w:t xml:space="preserve"> studies.</w:t>
      </w:r>
      <w:r w:rsidR="00BC01FB">
        <w:t xml:space="preserve"> </w:t>
      </w:r>
      <w:r w:rsidR="00611EB1">
        <w:t>In Study </w:t>
      </w:r>
      <w:r w:rsidRPr="00BF5D8D">
        <w:t xml:space="preserve">AP26113-13-201, there was a trend to increasing </w:t>
      </w:r>
      <w:r w:rsidR="00611EB1">
        <w:t>ORR</w:t>
      </w:r>
      <w:r w:rsidR="003541FF">
        <w:t xml:space="preserve"> </w:t>
      </w:r>
      <w:r w:rsidRPr="00BF5D8D">
        <w:t xml:space="preserve">with increasing exposure over the first 3 quartiles but </w:t>
      </w:r>
      <w:r w:rsidR="00611EB1">
        <w:t>this did not continue in the fourth</w:t>
      </w:r>
      <w:r w:rsidRPr="00BF5D8D">
        <w:t xml:space="preserve"> quartile.</w:t>
      </w:r>
      <w:r w:rsidR="00BC01FB">
        <w:t xml:space="preserve"> </w:t>
      </w:r>
      <w:r w:rsidRPr="00BF5D8D">
        <w:t>Based on small numbers, intracranial response appeared to improve with increasing exposure to brigatinib.</w:t>
      </w:r>
      <w:r w:rsidR="00BC01FB">
        <w:t xml:space="preserve"> </w:t>
      </w:r>
      <w:r w:rsidRPr="00BF5D8D">
        <w:t xml:space="preserve">Adverse events </w:t>
      </w:r>
      <w:r w:rsidR="00611EB1">
        <w:t xml:space="preserve">(AEs) </w:t>
      </w:r>
      <w:r w:rsidRPr="00BF5D8D">
        <w:t>and safety related outcomes were not significantly related to increasing brigatinib exposure.</w:t>
      </w:r>
    </w:p>
    <w:p w14:paraId="21A58491" w14:textId="77777777" w:rsidR="00BF5D8D" w:rsidRPr="00BF5D8D" w:rsidRDefault="00BF5D8D" w:rsidP="00781E21">
      <w:pPr>
        <w:pStyle w:val="Heading4"/>
      </w:pPr>
      <w:r w:rsidRPr="00BF5D8D">
        <w:lastRenderedPageBreak/>
        <w:t>Dose finding</w:t>
      </w:r>
    </w:p>
    <w:p w14:paraId="65DB68BE" w14:textId="77777777" w:rsidR="00BF5D8D" w:rsidRPr="00BF5D8D" w:rsidRDefault="00BF5D8D" w:rsidP="002631B6">
      <w:r w:rsidRPr="00BF5D8D">
        <w:t>Study AP26113-11-101 determined 180</w:t>
      </w:r>
      <w:r w:rsidR="00611EB1">
        <w:t xml:space="preserve"> </w:t>
      </w:r>
      <w:r w:rsidRPr="00BF5D8D">
        <w:t xml:space="preserve">mg </w:t>
      </w:r>
      <w:r w:rsidR="00781E21">
        <w:t>daily</w:t>
      </w:r>
      <w:r w:rsidRPr="00BF5D8D">
        <w:t xml:space="preserve"> as being the recommended </w:t>
      </w:r>
      <w:r w:rsidR="00781E21">
        <w:t>P</w:t>
      </w:r>
      <w:r w:rsidRPr="00BF5D8D">
        <w:t xml:space="preserve">hase </w:t>
      </w:r>
      <w:r w:rsidR="00781E21">
        <w:t>II</w:t>
      </w:r>
      <w:r w:rsidRPr="00BF5D8D">
        <w:t xml:space="preserve"> dose, but cases of early onset pulmonary events were identified during clinical development so Study AP26113-13-201 randomised patients into a 90</w:t>
      </w:r>
      <w:r w:rsidR="0001034C">
        <w:t xml:space="preserve"> </w:t>
      </w:r>
      <w:r w:rsidRPr="00BF5D8D">
        <w:t xml:space="preserve">mg </w:t>
      </w:r>
      <w:r w:rsidR="00781E21">
        <w:t>daily</w:t>
      </w:r>
      <w:r w:rsidRPr="00BF5D8D">
        <w:t xml:space="preserve"> arm and a 180</w:t>
      </w:r>
      <w:r w:rsidR="0001034C">
        <w:t xml:space="preserve"> </w:t>
      </w:r>
      <w:r w:rsidRPr="00BF5D8D">
        <w:t xml:space="preserve">mg </w:t>
      </w:r>
      <w:r w:rsidR="00781E21">
        <w:t>daily</w:t>
      </w:r>
      <w:r w:rsidRPr="00BF5D8D">
        <w:t xml:space="preserve"> arm (after a 7</w:t>
      </w:r>
      <w:r w:rsidR="00781E21">
        <w:t xml:space="preserve"> </w:t>
      </w:r>
      <w:r w:rsidRPr="00BF5D8D">
        <w:t>day 90</w:t>
      </w:r>
      <w:r w:rsidR="0001034C">
        <w:t xml:space="preserve"> </w:t>
      </w:r>
      <w:r w:rsidRPr="00BF5D8D">
        <w:t xml:space="preserve">mg </w:t>
      </w:r>
      <w:r w:rsidR="00781E21">
        <w:t>daily</w:t>
      </w:r>
      <w:r w:rsidRPr="00BF5D8D">
        <w:t xml:space="preserve"> lead in).</w:t>
      </w:r>
    </w:p>
    <w:p w14:paraId="2D4E3876" w14:textId="77777777" w:rsidR="00BF5D8D" w:rsidRPr="00BF5D8D" w:rsidRDefault="00BF5D8D" w:rsidP="00781E21">
      <w:pPr>
        <w:pStyle w:val="Heading4"/>
      </w:pPr>
      <w:r w:rsidRPr="00BF5D8D">
        <w:t>Efficacy</w:t>
      </w:r>
    </w:p>
    <w:p w14:paraId="2CD8CEE0" w14:textId="49F617AD" w:rsidR="00BF5D8D" w:rsidRPr="00BF5D8D" w:rsidRDefault="00BF5D8D" w:rsidP="00781E21">
      <w:pPr>
        <w:pStyle w:val="Heading5"/>
      </w:pPr>
      <w:r w:rsidRPr="00BF5D8D">
        <w:t>Study AP26113-11-201 (ALTA</w:t>
      </w:r>
      <w:r w:rsidR="00EF302A">
        <w:t xml:space="preserve"> trial</w:t>
      </w:r>
      <w:r w:rsidRPr="00BF5D8D">
        <w:t>)</w:t>
      </w:r>
    </w:p>
    <w:p w14:paraId="14853035" w14:textId="20819B54" w:rsidR="00BF5D8D" w:rsidRPr="00BF5D8D" w:rsidRDefault="00597291" w:rsidP="00A96618">
      <w:r w:rsidRPr="00597291">
        <w:t>Study AP26113-11-201 (</w:t>
      </w:r>
      <w:r w:rsidR="00EF302A">
        <w:t xml:space="preserve">the </w:t>
      </w:r>
      <w:r w:rsidRPr="00597291">
        <w:t>ALTA</w:t>
      </w:r>
      <w:r w:rsidR="00EF302A">
        <w:t xml:space="preserve"> trial</w:t>
      </w:r>
      <w:r>
        <w:t>)</w:t>
      </w:r>
      <w:r w:rsidR="00BF5D8D" w:rsidRPr="00BF5D8D">
        <w:t xml:space="preserve">, the pivotal study for this submission, was a </w:t>
      </w:r>
      <w:r w:rsidR="00781E21">
        <w:t>P</w:t>
      </w:r>
      <w:r w:rsidR="00BF5D8D" w:rsidRPr="00BF5D8D">
        <w:t>hase</w:t>
      </w:r>
      <w:r w:rsidR="00EF302A">
        <w:t> </w:t>
      </w:r>
      <w:r w:rsidR="00781E21">
        <w:t>II</w:t>
      </w:r>
      <w:r>
        <w:t>, non</w:t>
      </w:r>
      <w:r>
        <w:noBreakHyphen/>
      </w:r>
      <w:r w:rsidR="00BF5D8D" w:rsidRPr="00BF5D8D">
        <w:t>comparative, two-arm, randomised, open</w:t>
      </w:r>
      <w:r w:rsidR="00781E21">
        <w:t xml:space="preserve"> </w:t>
      </w:r>
      <w:r w:rsidR="00BF5D8D" w:rsidRPr="00BF5D8D">
        <w:t>label, multicentre study of brigatinib in patients with ALK+ NSCLC who previously progressed on crizotinib.</w:t>
      </w:r>
      <w:r w:rsidR="00BC01FB">
        <w:t xml:space="preserve"> </w:t>
      </w:r>
      <w:r w:rsidR="00BF5D8D" w:rsidRPr="00BF5D8D">
        <w:t>Patients were randomi</w:t>
      </w:r>
      <w:r w:rsidR="00EF302A">
        <w:t>s</w:t>
      </w:r>
      <w:r w:rsidR="00BF5D8D" w:rsidRPr="00BF5D8D">
        <w:t xml:space="preserve">ed </w:t>
      </w:r>
      <w:r w:rsidR="00EF302A">
        <w:t xml:space="preserve">in a </w:t>
      </w:r>
      <w:r w:rsidR="00BF5D8D" w:rsidRPr="00BF5D8D">
        <w:t xml:space="preserve">1:1 </w:t>
      </w:r>
      <w:r w:rsidR="00EF302A">
        <w:t xml:space="preserve">ratio </w:t>
      </w:r>
      <w:r w:rsidR="00BF5D8D" w:rsidRPr="00BF5D8D">
        <w:t xml:space="preserve">to receive one of </w:t>
      </w:r>
      <w:r w:rsidR="00781E21">
        <w:t>two</w:t>
      </w:r>
      <w:r w:rsidR="00BF5D8D" w:rsidRPr="00BF5D8D">
        <w:t xml:space="preserve"> dose regimen</w:t>
      </w:r>
      <w:r w:rsidR="00781E21">
        <w:t>s of brigatinib, either 90 mg daily</w:t>
      </w:r>
      <w:r>
        <w:t xml:space="preserve"> (Arm </w:t>
      </w:r>
      <w:r w:rsidR="00BF5D8D" w:rsidRPr="00BF5D8D">
        <w:t xml:space="preserve">A) or 90 mg </w:t>
      </w:r>
      <w:r w:rsidR="00781E21">
        <w:t>daily</w:t>
      </w:r>
      <w:r w:rsidR="00BF5D8D" w:rsidRPr="00BF5D8D">
        <w:t xml:space="preserve"> for 7 days followed by 180 mg </w:t>
      </w:r>
      <w:r w:rsidR="00781E21">
        <w:t>daily</w:t>
      </w:r>
      <w:r w:rsidR="00BF5D8D" w:rsidRPr="00BF5D8D">
        <w:t xml:space="preserve"> (Arm B).</w:t>
      </w:r>
      <w:r w:rsidR="00BC01FB">
        <w:t xml:space="preserve"> </w:t>
      </w:r>
      <w:r w:rsidR="00BF5D8D" w:rsidRPr="00BF5D8D">
        <w:t>The study was not designed to compare the two arms statistically.</w:t>
      </w:r>
    </w:p>
    <w:p w14:paraId="54972A02" w14:textId="585B4125" w:rsidR="00EC6BF5" w:rsidRDefault="00BF5D8D" w:rsidP="00A96618">
      <w:r w:rsidRPr="00BF5D8D">
        <w:t>The inclusion and exclusion criteria were appropriate and consistent with the proposed target population.</w:t>
      </w:r>
      <w:r w:rsidR="00BC01FB">
        <w:t xml:space="preserve"> </w:t>
      </w:r>
      <w:r w:rsidRPr="00BF5D8D">
        <w:t>Patients had histologically/cytologically confirmed locally advanced or metastatic ALK+ NSCLC with progressive disease while on crizotinib.</w:t>
      </w:r>
      <w:r w:rsidR="00BC01FB">
        <w:t xml:space="preserve"> </w:t>
      </w:r>
      <w:r w:rsidRPr="00BF5D8D">
        <w:t xml:space="preserve">ALK rearrangement was determined by Vysis ALK Break-Apart fluorescence </w:t>
      </w:r>
      <w:r w:rsidRPr="00C20B81">
        <w:rPr>
          <w:i/>
        </w:rPr>
        <w:t xml:space="preserve">in situ </w:t>
      </w:r>
      <w:r w:rsidR="00DB407B" w:rsidRPr="00BF5D8D">
        <w:t>hybridi</w:t>
      </w:r>
      <w:r w:rsidR="00DB407B">
        <w:t>s</w:t>
      </w:r>
      <w:r w:rsidR="00DB407B" w:rsidRPr="00BF5D8D">
        <w:t xml:space="preserve">ation </w:t>
      </w:r>
      <w:r w:rsidRPr="00BF5D8D">
        <w:t>(FISH) Probe Kit or by a different test with adequate archival</w:t>
      </w:r>
      <w:r w:rsidR="00BC01FB">
        <w:t xml:space="preserve"> </w:t>
      </w:r>
      <w:r w:rsidRPr="00BF5D8D">
        <w:t>tissue available for the Vysis FISH test</w:t>
      </w:r>
      <w:r w:rsidR="00EC6BF5">
        <w:t>.</w:t>
      </w:r>
    </w:p>
    <w:p w14:paraId="463376E0" w14:textId="5190FAEE" w:rsidR="00BF5D8D" w:rsidRPr="00AA3A90" w:rsidRDefault="00BF5D8D" w:rsidP="00A96618">
      <w:r w:rsidRPr="00AA3A90">
        <w:t>222 patients were enrolled in the study between June 2014 and September 2015, with 112</w:t>
      </w:r>
      <w:r w:rsidR="0043552A">
        <w:t xml:space="preserve"> patients </w:t>
      </w:r>
      <w:r w:rsidRPr="00AA3A90">
        <w:t>randomi</w:t>
      </w:r>
      <w:r w:rsidR="0043552A">
        <w:t>s</w:t>
      </w:r>
      <w:r w:rsidRPr="00AA3A90">
        <w:t>ed to Arm A and 110</w:t>
      </w:r>
      <w:r w:rsidR="0043552A">
        <w:t xml:space="preserve"> patients</w:t>
      </w:r>
      <w:r w:rsidRPr="00AA3A90">
        <w:t xml:space="preserve"> to Arm B.</w:t>
      </w:r>
      <w:r w:rsidR="00BC01FB" w:rsidRPr="00AA3A90">
        <w:t xml:space="preserve"> </w:t>
      </w:r>
      <w:r w:rsidRPr="00AA3A90">
        <w:t>Randomi</w:t>
      </w:r>
      <w:r w:rsidR="0043552A">
        <w:t>s</w:t>
      </w:r>
      <w:r w:rsidRPr="00AA3A90">
        <w:t>ation was stratified by brain metastases (present v</w:t>
      </w:r>
      <w:r w:rsidR="00144B98" w:rsidRPr="00AA3A90">
        <w:t>ersu</w:t>
      </w:r>
      <w:r w:rsidRPr="00AA3A90">
        <w:t>s absent) and response to prior crizotinib (complete response or partial response v</w:t>
      </w:r>
      <w:r w:rsidR="00144B98" w:rsidRPr="00AA3A90">
        <w:t>ersu</w:t>
      </w:r>
      <w:r w:rsidRPr="00AA3A90">
        <w:t>s other or unknown).</w:t>
      </w:r>
      <w:r w:rsidR="00BC01FB" w:rsidRPr="00AA3A90">
        <w:t xml:space="preserve"> </w:t>
      </w:r>
      <w:r w:rsidRPr="00AA3A90">
        <w:t xml:space="preserve">The data cut-off date for the </w:t>
      </w:r>
      <w:r w:rsidR="00144B98" w:rsidRPr="00AA3A90">
        <w:t>clinical study report</w:t>
      </w:r>
      <w:r w:rsidRPr="00AA3A90">
        <w:t xml:space="preserve"> was 31 May 2016, with an additional data update report provided through to 21 February 2017.</w:t>
      </w:r>
    </w:p>
    <w:p w14:paraId="3F645BA6" w14:textId="0FB937CE" w:rsidR="00BF5D8D" w:rsidRPr="00BF5D8D" w:rsidRDefault="00AA3A90" w:rsidP="00A96618">
      <w:r>
        <w:t>217 patients (97.7%) had S</w:t>
      </w:r>
      <w:r w:rsidR="00BF5D8D" w:rsidRPr="00AA3A90">
        <w:t xml:space="preserve">tage IV disease </w:t>
      </w:r>
      <w:r>
        <w:t>at B</w:t>
      </w:r>
      <w:r w:rsidR="00BF5D8D" w:rsidRPr="00AA3A90">
        <w:t>aseline.</w:t>
      </w:r>
      <w:r w:rsidR="00BC01FB" w:rsidRPr="00AA3A90">
        <w:t xml:space="preserve"> </w:t>
      </w:r>
      <w:r w:rsidR="00BF5D8D" w:rsidRPr="00AA3A90">
        <w:t xml:space="preserve">Only 5 patients (2.3%), 3 in Arm A and 2 in Arm B, had </w:t>
      </w:r>
      <w:r w:rsidR="0001034C" w:rsidRPr="00AA3A90">
        <w:t>S</w:t>
      </w:r>
      <w:r>
        <w:t>tage III disease at B</w:t>
      </w:r>
      <w:r w:rsidR="00BF5D8D" w:rsidRPr="00AA3A90">
        <w:t>aseline.</w:t>
      </w:r>
      <w:r w:rsidR="00BC01FB" w:rsidRPr="00AA3A90">
        <w:t xml:space="preserve"> </w:t>
      </w:r>
      <w:r w:rsidR="00BF5D8D" w:rsidRPr="00AA3A90">
        <w:t>154 patients (</w:t>
      </w:r>
      <w:r>
        <w:t>69.4%) had brain metastases at B</w:t>
      </w:r>
      <w:r w:rsidR="00BF5D8D" w:rsidRPr="00AA3A90">
        <w:t>aseline.</w:t>
      </w:r>
    </w:p>
    <w:p w14:paraId="081CB4D8" w14:textId="0CF03164" w:rsidR="00EC6BF5" w:rsidRDefault="00BF5D8D" w:rsidP="00A96618">
      <w:r w:rsidRPr="00BF5D8D">
        <w:t xml:space="preserve">The primary endpoint was confirmed </w:t>
      </w:r>
      <w:r w:rsidR="00AA3A90">
        <w:t>ORR</w:t>
      </w:r>
      <w:r w:rsidRPr="00BF5D8D">
        <w:t xml:space="preserve"> as per investigator-assessed </w:t>
      </w:r>
      <w:r w:rsidR="00AA3A90" w:rsidRPr="00AA3A90">
        <w:t xml:space="preserve">Response Evaluation Criteria in Solid Tumors </w:t>
      </w:r>
      <w:r w:rsidR="00AA3A90">
        <w:t>(</w:t>
      </w:r>
      <w:r w:rsidRPr="00BF5D8D">
        <w:t>RECIST</w:t>
      </w:r>
      <w:r w:rsidR="00AA3A90">
        <w:t>)</w:t>
      </w:r>
      <w:r w:rsidRPr="00BF5D8D">
        <w:t xml:space="preserve"> </w:t>
      </w:r>
      <w:r w:rsidR="0043552A">
        <w:t xml:space="preserve">version </w:t>
      </w:r>
      <w:r w:rsidRPr="00BF5D8D">
        <w:t>1.1.</w:t>
      </w:r>
      <w:bookmarkStart w:id="43" w:name="_Ref33685763"/>
      <w:r w:rsidR="00AB0211">
        <w:rPr>
          <w:rStyle w:val="FootnoteReference"/>
        </w:rPr>
        <w:footnoteReference w:id="12"/>
      </w:r>
      <w:bookmarkEnd w:id="43"/>
      <w:r w:rsidR="00BC01FB">
        <w:t xml:space="preserve"> </w:t>
      </w:r>
      <w:r w:rsidR="00AA3A90">
        <w:t>ORR</w:t>
      </w:r>
      <w:r w:rsidRPr="00BF5D8D">
        <w:t xml:space="preserve"> was defined as the proportion of patients who have confirmed </w:t>
      </w:r>
      <w:r w:rsidR="0001034C">
        <w:t>complete response</w:t>
      </w:r>
      <w:r w:rsidRPr="00BF5D8D">
        <w:t xml:space="preserve"> </w:t>
      </w:r>
      <w:r w:rsidR="00AA3A90">
        <w:t xml:space="preserve">(CR) </w:t>
      </w:r>
      <w:r w:rsidRPr="00BF5D8D">
        <w:t xml:space="preserve">or </w:t>
      </w:r>
      <w:r w:rsidR="0001034C">
        <w:t>partial response</w:t>
      </w:r>
      <w:r w:rsidRPr="00BF5D8D">
        <w:t xml:space="preserve"> (</w:t>
      </w:r>
      <w:r w:rsidR="00AA3A90">
        <w:t xml:space="preserve">PR; </w:t>
      </w:r>
      <w:r w:rsidR="003655D2">
        <w:t>confirmed ≥ </w:t>
      </w:r>
      <w:r w:rsidRPr="00BF5D8D">
        <w:t xml:space="preserve">4 weeks after initial response) in the </w:t>
      </w:r>
      <w:r w:rsidR="00AA3A90">
        <w:t>intent to treat (</w:t>
      </w:r>
      <w:r w:rsidRPr="00BF5D8D">
        <w:t>ITT</w:t>
      </w:r>
      <w:r w:rsidR="00AA3A90">
        <w:t>)</w:t>
      </w:r>
      <w:r w:rsidRPr="00BF5D8D">
        <w:t xml:space="preserve"> population.</w:t>
      </w:r>
      <w:r w:rsidR="00BC01FB">
        <w:t xml:space="preserve"> </w:t>
      </w:r>
      <w:r w:rsidRPr="00BF5D8D">
        <w:t xml:space="preserve">Independent </w:t>
      </w:r>
      <w:r w:rsidR="0043552A" w:rsidRPr="00BF5D8D">
        <w:t>review committee</w:t>
      </w:r>
      <w:r w:rsidR="0043552A">
        <w:t xml:space="preserve"> </w:t>
      </w:r>
      <w:r w:rsidR="00AA3A90">
        <w:t>(IRC)</w:t>
      </w:r>
      <w:r w:rsidRPr="00BF5D8D">
        <w:t xml:space="preserve">-assessed confirmed </w:t>
      </w:r>
      <w:r w:rsidR="0001034C">
        <w:t>objective response rate</w:t>
      </w:r>
      <w:r w:rsidRPr="00BF5D8D">
        <w:t xml:space="preserve"> per RECIST </w:t>
      </w:r>
      <w:r w:rsidR="00AA3A90">
        <w:t>v</w:t>
      </w:r>
      <w:r w:rsidRPr="00BF5D8D">
        <w:t>1.1 was a secondary endpoint.</w:t>
      </w:r>
      <w:r w:rsidR="00BC01FB">
        <w:t xml:space="preserve"> </w:t>
      </w:r>
      <w:r w:rsidRPr="00BF5D8D">
        <w:t>Other secondary endpoints included CNS response (</w:t>
      </w:r>
      <w:r w:rsidR="00AA3A90">
        <w:t>ORR</w:t>
      </w:r>
      <w:r w:rsidRPr="00BF5D8D">
        <w:t xml:space="preserve"> and </w:t>
      </w:r>
      <w:r w:rsidR="00AA3A90">
        <w:t>PFS), t</w:t>
      </w:r>
      <w:r w:rsidRPr="00BF5D8D">
        <w:t>ime to response, duration o</w:t>
      </w:r>
      <w:r w:rsidR="00AA3A90">
        <w:t>f response</w:t>
      </w:r>
      <w:r w:rsidR="004649E0">
        <w:t xml:space="preserve"> (DOR)</w:t>
      </w:r>
      <w:r w:rsidR="00AA3A90">
        <w:t>, time on treatment, d</w:t>
      </w:r>
      <w:r w:rsidRPr="00BF5D8D">
        <w:t xml:space="preserve">isease control rate (DCR), </w:t>
      </w:r>
      <w:r w:rsidR="00AA3A90">
        <w:t>PFS, overall survival (OS) and p</w:t>
      </w:r>
      <w:r w:rsidRPr="00BF5D8D">
        <w:t>atient reported symptoms (</w:t>
      </w:r>
      <w:r w:rsidR="00AA3A90" w:rsidRPr="00AA3A90">
        <w:t xml:space="preserve">European Organization for the Research and Treatment of Cancer Quality of Life Questionnaire </w:t>
      </w:r>
      <w:r w:rsidR="00AB0211">
        <w:t>version 3 (</w:t>
      </w:r>
      <w:r w:rsidRPr="00BF5D8D">
        <w:t>EORTC QLQ-C30 v3.0)</w:t>
      </w:r>
      <w:r w:rsidR="00AB0211">
        <w:t>)</w:t>
      </w:r>
      <w:r w:rsidR="00EC6BF5">
        <w:t>.</w:t>
      </w:r>
    </w:p>
    <w:p w14:paraId="50526529" w14:textId="23C667FC" w:rsidR="00BF5D8D" w:rsidRDefault="00BF5D8D" w:rsidP="00A96618">
      <w:pPr>
        <w:rPr>
          <w:b/>
          <w:bCs/>
        </w:rPr>
      </w:pPr>
      <w:r w:rsidRPr="00BF5D8D">
        <w:t xml:space="preserve">The primary outcome, confirmed </w:t>
      </w:r>
      <w:r w:rsidR="00AB0211">
        <w:t>ORR</w:t>
      </w:r>
      <w:r w:rsidRPr="00BF5D8D">
        <w:t xml:space="preserve"> assessed by investigators per RECIST v1.1, was 55.5% in Arm B and 45.5% in Arm A (</w:t>
      </w:r>
      <w:r w:rsidR="00AB0211">
        <w:fldChar w:fldCharType="begin"/>
      </w:r>
      <w:r w:rsidR="00AB0211">
        <w:instrText xml:space="preserve"> REF _Ref529518301 \h </w:instrText>
      </w:r>
      <w:r w:rsidR="00AB0211">
        <w:fldChar w:fldCharType="separate"/>
      </w:r>
      <w:r w:rsidR="00AB0211">
        <w:t xml:space="preserve">Table </w:t>
      </w:r>
      <w:r w:rsidR="00AB0211">
        <w:rPr>
          <w:noProof/>
        </w:rPr>
        <w:t>2</w:t>
      </w:r>
      <w:r w:rsidR="00AB0211">
        <w:fldChar w:fldCharType="end"/>
      </w:r>
      <w:r w:rsidRPr="00BF5D8D">
        <w:t>).</w:t>
      </w:r>
      <w:r w:rsidR="00BC01FB">
        <w:t xml:space="preserve"> </w:t>
      </w:r>
      <w:r w:rsidR="0061561B">
        <w:t>Independent review committee</w:t>
      </w:r>
      <w:r w:rsidRPr="00BF5D8D">
        <w:t xml:space="preserve">-assessed </w:t>
      </w:r>
      <w:r w:rsidR="0061561B">
        <w:t>objective response rate</w:t>
      </w:r>
      <w:r w:rsidRPr="00BF5D8D">
        <w:t>s were 54.5% in Arm B and 50.9% in Arm A.</w:t>
      </w:r>
      <w:r w:rsidR="00BC01FB">
        <w:t xml:space="preserve"> </w:t>
      </w:r>
      <w:r w:rsidRPr="00BF5D8D">
        <w:t>The estimated median duration of response in Arm B was 13.8 months (</w:t>
      </w:r>
      <w:r w:rsidR="00AB0211">
        <w:fldChar w:fldCharType="begin"/>
      </w:r>
      <w:r w:rsidR="00AB0211">
        <w:instrText xml:space="preserve"> REF _Ref33638704 \h </w:instrText>
      </w:r>
      <w:r w:rsidR="00AB0211">
        <w:fldChar w:fldCharType="separate"/>
      </w:r>
      <w:r w:rsidR="00AB0211">
        <w:t xml:space="preserve">Table </w:t>
      </w:r>
      <w:r w:rsidR="00AB0211">
        <w:rPr>
          <w:noProof/>
        </w:rPr>
        <w:t>3</w:t>
      </w:r>
      <w:r w:rsidR="00AB0211">
        <w:fldChar w:fldCharType="end"/>
      </w:r>
      <w:r w:rsidRPr="00BF5D8D">
        <w:t>).</w:t>
      </w:r>
      <w:r w:rsidR="00BC01FB">
        <w:t xml:space="preserve"> </w:t>
      </w:r>
      <w:r w:rsidRPr="00BF5D8D">
        <w:t>Duration of response was similar when measured in patients with IRC</w:t>
      </w:r>
      <w:r w:rsidR="0001034C">
        <w:t xml:space="preserve"> </w:t>
      </w:r>
      <w:r w:rsidRPr="00BF5D8D">
        <w:t>assessed confirmed response.</w:t>
      </w:r>
    </w:p>
    <w:p w14:paraId="03FFB38F" w14:textId="62F19E8A" w:rsidR="00BF5D8D" w:rsidRDefault="00BF5D8D" w:rsidP="00AB0211">
      <w:pPr>
        <w:pStyle w:val="TableTitle"/>
      </w:pPr>
      <w:bookmarkStart w:id="44" w:name="_Ref529518301"/>
      <w:bookmarkStart w:id="45" w:name="_Toc518119979"/>
      <w:r>
        <w:lastRenderedPageBreak/>
        <w:t xml:space="preserve">Table </w:t>
      </w:r>
      <w:fldSimple w:instr=" SEQ Table \* ARABIC ">
        <w:r w:rsidR="00552756">
          <w:rPr>
            <w:noProof/>
          </w:rPr>
          <w:t>2</w:t>
        </w:r>
      </w:fldSimple>
      <w:bookmarkEnd w:id="44"/>
      <w:r w:rsidR="00AB0211">
        <w:rPr>
          <w:noProof/>
        </w:rPr>
        <w:t>:</w:t>
      </w:r>
      <w:r>
        <w:t xml:space="preserve"> Investigator-assessed (primary outcome) and </w:t>
      </w:r>
      <w:r w:rsidR="0043552A">
        <w:t>i</w:t>
      </w:r>
      <w:r w:rsidR="0061561B">
        <w:t>ndependent review committee</w:t>
      </w:r>
      <w:r>
        <w:t xml:space="preserve">-assessed confirmed </w:t>
      </w:r>
      <w:r w:rsidR="0061561B">
        <w:t>objective response rates</w:t>
      </w:r>
      <w:r w:rsidR="00AB0211">
        <w:t xml:space="preserve"> </w:t>
      </w:r>
      <w:r>
        <w:t>(</w:t>
      </w:r>
      <w:r w:rsidR="00AB0211">
        <w:t>intent</w:t>
      </w:r>
      <w:r w:rsidR="0061561B">
        <w:t xml:space="preserve"> to treat</w:t>
      </w:r>
      <w:r w:rsidR="00AB0211">
        <w:t xml:space="preserve"> population), d</w:t>
      </w:r>
      <w:r w:rsidR="0001034C">
        <w:t>ata c</w:t>
      </w:r>
      <w:r>
        <w:t>ut</w:t>
      </w:r>
      <w:r w:rsidR="0001034C">
        <w:t xml:space="preserve"> </w:t>
      </w:r>
      <w:r>
        <w:t>off 21</w:t>
      </w:r>
      <w:r w:rsidR="00AB0211">
        <w:t xml:space="preserve"> </w:t>
      </w:r>
      <w:r>
        <w:t>Feb</w:t>
      </w:r>
      <w:r w:rsidR="00AB0211">
        <w:t xml:space="preserve">ruary </w:t>
      </w:r>
      <w:r>
        <w:t>2017</w:t>
      </w:r>
      <w:bookmarkEnd w:id="45"/>
    </w:p>
    <w:tbl>
      <w:tblPr>
        <w:tblStyle w:val="TableTGAblue"/>
        <w:tblW w:w="0" w:type="auto"/>
        <w:tblInd w:w="392" w:type="dxa"/>
        <w:tblLook w:val="04A0" w:firstRow="1" w:lastRow="0" w:firstColumn="1" w:lastColumn="0" w:noHBand="0" w:noVBand="1"/>
      </w:tblPr>
      <w:tblGrid>
        <w:gridCol w:w="1134"/>
        <w:gridCol w:w="1278"/>
        <w:gridCol w:w="1273"/>
        <w:gridCol w:w="1345"/>
        <w:gridCol w:w="1349"/>
        <w:gridCol w:w="1417"/>
      </w:tblGrid>
      <w:tr w:rsidR="00BF5D8D" w:rsidRPr="00AB0211" w14:paraId="0B525314" w14:textId="77777777" w:rsidTr="00F75DF5">
        <w:trPr>
          <w:cnfStyle w:val="100000000000" w:firstRow="1" w:lastRow="0" w:firstColumn="0" w:lastColumn="0" w:oddVBand="0" w:evenVBand="0" w:oddHBand="0" w:evenHBand="0" w:firstRowFirstColumn="0" w:firstRowLastColumn="0" w:lastRowFirstColumn="0" w:lastRowLastColumn="0"/>
        </w:trPr>
        <w:tc>
          <w:tcPr>
            <w:tcW w:w="2412" w:type="dxa"/>
            <w:gridSpan w:val="2"/>
            <w:noWrap/>
          </w:tcPr>
          <w:p w14:paraId="03982A61" w14:textId="77777777" w:rsidR="00BF5D8D" w:rsidRPr="00AB0211" w:rsidRDefault="00BF5D8D" w:rsidP="00AB0211">
            <w:pPr>
              <w:ind w:left="0" w:right="0"/>
              <w:rPr>
                <w:sz w:val="20"/>
                <w:szCs w:val="20"/>
              </w:rPr>
            </w:pPr>
          </w:p>
        </w:tc>
        <w:tc>
          <w:tcPr>
            <w:tcW w:w="2618" w:type="dxa"/>
            <w:gridSpan w:val="2"/>
            <w:hideMark/>
          </w:tcPr>
          <w:p w14:paraId="7F9E6BE7" w14:textId="77777777" w:rsidR="00BF5D8D" w:rsidRPr="00AB0211" w:rsidRDefault="00BF5D8D" w:rsidP="00AB0211">
            <w:pPr>
              <w:ind w:left="0" w:right="0"/>
              <w:rPr>
                <w:sz w:val="20"/>
                <w:szCs w:val="20"/>
              </w:rPr>
            </w:pPr>
            <w:r w:rsidRPr="00AB0211">
              <w:rPr>
                <w:sz w:val="20"/>
                <w:szCs w:val="20"/>
              </w:rPr>
              <w:t>Investigator-assessed</w:t>
            </w:r>
          </w:p>
        </w:tc>
        <w:tc>
          <w:tcPr>
            <w:tcW w:w="2766" w:type="dxa"/>
            <w:gridSpan w:val="2"/>
            <w:hideMark/>
          </w:tcPr>
          <w:p w14:paraId="7B9E849C" w14:textId="77777777" w:rsidR="00BF5D8D" w:rsidRPr="00AB0211" w:rsidRDefault="0061561B" w:rsidP="00AB0211">
            <w:pPr>
              <w:ind w:left="0" w:right="0"/>
              <w:rPr>
                <w:sz w:val="20"/>
                <w:szCs w:val="20"/>
              </w:rPr>
            </w:pPr>
            <w:r w:rsidRPr="00AB0211">
              <w:rPr>
                <w:sz w:val="20"/>
                <w:szCs w:val="20"/>
              </w:rPr>
              <w:t>Independent review committee</w:t>
            </w:r>
            <w:r w:rsidR="00BF5D8D" w:rsidRPr="00AB0211">
              <w:rPr>
                <w:sz w:val="20"/>
                <w:szCs w:val="20"/>
              </w:rPr>
              <w:t>-assessed</w:t>
            </w:r>
          </w:p>
        </w:tc>
      </w:tr>
      <w:tr w:rsidR="00BF5D8D" w:rsidRPr="00AB0211" w14:paraId="25C49CD8" w14:textId="77777777" w:rsidTr="00F75DF5">
        <w:tc>
          <w:tcPr>
            <w:tcW w:w="241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49EA39" w14:textId="77777777" w:rsidR="00BF5D8D" w:rsidRPr="00AB0211" w:rsidRDefault="00BF5D8D" w:rsidP="00AB0211">
            <w:pPr>
              <w:ind w:left="0" w:right="0"/>
              <w:rPr>
                <w:sz w:val="20"/>
                <w:szCs w:val="20"/>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AB833E" w14:textId="77777777" w:rsidR="00BF5D8D" w:rsidRPr="00C20B81" w:rsidRDefault="00BF5D8D" w:rsidP="00AB0211">
            <w:pPr>
              <w:ind w:left="0" w:right="0"/>
              <w:rPr>
                <w:b/>
                <w:sz w:val="20"/>
                <w:szCs w:val="20"/>
              </w:rPr>
            </w:pPr>
            <w:r w:rsidRPr="00C20B81">
              <w:rPr>
                <w:b/>
                <w:sz w:val="20"/>
                <w:szCs w:val="20"/>
              </w:rPr>
              <w:t>Arm A</w:t>
            </w:r>
          </w:p>
          <w:p w14:paraId="74D6C925" w14:textId="77777777" w:rsidR="00BF5D8D" w:rsidRPr="00AB0211" w:rsidRDefault="00BF5D8D" w:rsidP="00AB0211">
            <w:pPr>
              <w:ind w:left="0" w:right="0"/>
              <w:rPr>
                <w:sz w:val="20"/>
                <w:szCs w:val="20"/>
              </w:rPr>
            </w:pPr>
            <w:r w:rsidRPr="00AB0211">
              <w:rPr>
                <w:sz w:val="20"/>
                <w:szCs w:val="20"/>
              </w:rPr>
              <w:t xml:space="preserve">90mg </w:t>
            </w:r>
            <w:r w:rsidR="0061561B" w:rsidRPr="00AB0211">
              <w:rPr>
                <w:sz w:val="20"/>
                <w:szCs w:val="20"/>
              </w:rPr>
              <w:t>daily</w:t>
            </w:r>
          </w:p>
          <w:p w14:paraId="6EEF98A9" w14:textId="0E9692A5" w:rsidR="00BF5D8D" w:rsidRPr="00AB0211" w:rsidRDefault="00BF5D8D" w:rsidP="00AB0211">
            <w:pPr>
              <w:ind w:left="0" w:right="0"/>
              <w:rPr>
                <w:sz w:val="20"/>
                <w:szCs w:val="20"/>
              </w:rPr>
            </w:pPr>
            <w:r w:rsidRPr="00AB0211">
              <w:rPr>
                <w:sz w:val="20"/>
                <w:szCs w:val="20"/>
              </w:rPr>
              <w:t>(N</w:t>
            </w:r>
            <w:r w:rsidR="00AB0211">
              <w:rPr>
                <w:sz w:val="20"/>
                <w:szCs w:val="20"/>
              </w:rPr>
              <w:t xml:space="preserve"> </w:t>
            </w:r>
            <w:r w:rsidRPr="00AB0211">
              <w:rPr>
                <w:sz w:val="20"/>
                <w:szCs w:val="20"/>
              </w:rPr>
              <w:t>=</w:t>
            </w:r>
            <w:r w:rsidR="00AB0211">
              <w:rPr>
                <w:sz w:val="20"/>
                <w:szCs w:val="20"/>
              </w:rPr>
              <w:t xml:space="preserve"> </w:t>
            </w:r>
            <w:r w:rsidRPr="00AB0211">
              <w:rPr>
                <w:sz w:val="20"/>
                <w:szCs w:val="20"/>
              </w:rPr>
              <w:t>112)</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8C06DEC" w14:textId="77777777" w:rsidR="00BF5D8D" w:rsidRPr="00C20B81" w:rsidRDefault="00BF5D8D" w:rsidP="00AB0211">
            <w:pPr>
              <w:ind w:left="0" w:right="0"/>
              <w:rPr>
                <w:b/>
                <w:sz w:val="20"/>
                <w:szCs w:val="20"/>
              </w:rPr>
            </w:pPr>
            <w:r w:rsidRPr="00C20B81">
              <w:rPr>
                <w:b/>
                <w:sz w:val="20"/>
                <w:szCs w:val="20"/>
              </w:rPr>
              <w:t>Arm B</w:t>
            </w:r>
          </w:p>
          <w:p w14:paraId="0945F18C" w14:textId="77777777" w:rsidR="00BF5D8D" w:rsidRPr="00AB0211" w:rsidRDefault="00BF5D8D" w:rsidP="00AB0211">
            <w:pPr>
              <w:ind w:left="0" w:right="0"/>
              <w:rPr>
                <w:sz w:val="20"/>
                <w:szCs w:val="20"/>
              </w:rPr>
            </w:pPr>
            <w:r w:rsidRPr="00AB0211">
              <w:rPr>
                <w:sz w:val="20"/>
                <w:szCs w:val="20"/>
              </w:rPr>
              <w:t xml:space="preserve">90 - 180 mg </w:t>
            </w:r>
            <w:r w:rsidR="0061561B" w:rsidRPr="00AB0211">
              <w:rPr>
                <w:sz w:val="20"/>
                <w:szCs w:val="20"/>
              </w:rPr>
              <w:t>daily</w:t>
            </w:r>
          </w:p>
          <w:p w14:paraId="5B50303F" w14:textId="2371DC27" w:rsidR="00BF5D8D" w:rsidRPr="00AB0211" w:rsidRDefault="00BF5D8D" w:rsidP="00AB0211">
            <w:pPr>
              <w:ind w:left="0" w:right="0"/>
              <w:rPr>
                <w:sz w:val="20"/>
                <w:szCs w:val="20"/>
              </w:rPr>
            </w:pPr>
            <w:r w:rsidRPr="00AB0211">
              <w:rPr>
                <w:sz w:val="20"/>
                <w:szCs w:val="20"/>
              </w:rPr>
              <w:t>(N</w:t>
            </w:r>
            <w:r w:rsidR="00AB0211">
              <w:rPr>
                <w:sz w:val="20"/>
                <w:szCs w:val="20"/>
              </w:rPr>
              <w:t xml:space="preserve"> </w:t>
            </w:r>
            <w:r w:rsidRPr="00AB0211">
              <w:rPr>
                <w:sz w:val="20"/>
                <w:szCs w:val="20"/>
              </w:rPr>
              <w:t>=</w:t>
            </w:r>
            <w:r w:rsidR="00AB0211">
              <w:rPr>
                <w:sz w:val="20"/>
                <w:szCs w:val="20"/>
              </w:rPr>
              <w:t xml:space="preserve"> </w:t>
            </w:r>
            <w:r w:rsidRPr="00AB0211">
              <w:rPr>
                <w:sz w:val="20"/>
                <w:szCs w:val="20"/>
              </w:rPr>
              <w:t>110)</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E57B70E" w14:textId="77777777" w:rsidR="00BF5D8D" w:rsidRPr="00C20B81" w:rsidRDefault="00BF5D8D" w:rsidP="00AB0211">
            <w:pPr>
              <w:ind w:left="0" w:right="0"/>
              <w:rPr>
                <w:b/>
                <w:sz w:val="20"/>
                <w:szCs w:val="20"/>
              </w:rPr>
            </w:pPr>
            <w:r w:rsidRPr="00C20B81">
              <w:rPr>
                <w:b/>
                <w:sz w:val="20"/>
                <w:szCs w:val="20"/>
              </w:rPr>
              <w:t>Arm A</w:t>
            </w:r>
          </w:p>
          <w:p w14:paraId="76166993" w14:textId="77777777" w:rsidR="00BF5D8D" w:rsidRPr="00AB0211" w:rsidRDefault="00BF5D8D" w:rsidP="00AB0211">
            <w:pPr>
              <w:ind w:left="0" w:right="0"/>
              <w:rPr>
                <w:sz w:val="20"/>
                <w:szCs w:val="20"/>
              </w:rPr>
            </w:pPr>
            <w:r w:rsidRPr="00AB0211">
              <w:rPr>
                <w:sz w:val="20"/>
                <w:szCs w:val="20"/>
              </w:rPr>
              <w:t xml:space="preserve">90 mg </w:t>
            </w:r>
            <w:r w:rsidR="0061561B" w:rsidRPr="00AB0211">
              <w:rPr>
                <w:sz w:val="20"/>
                <w:szCs w:val="20"/>
              </w:rPr>
              <w:t>daily</w:t>
            </w:r>
          </w:p>
          <w:p w14:paraId="54DD3645" w14:textId="4F50B246" w:rsidR="00BF5D8D" w:rsidRPr="00AB0211" w:rsidRDefault="00BF5D8D" w:rsidP="00AB0211">
            <w:pPr>
              <w:ind w:left="0" w:right="0"/>
              <w:rPr>
                <w:sz w:val="20"/>
                <w:szCs w:val="20"/>
              </w:rPr>
            </w:pPr>
            <w:r w:rsidRPr="00AB0211">
              <w:rPr>
                <w:sz w:val="20"/>
                <w:szCs w:val="20"/>
              </w:rPr>
              <w:t>(N</w:t>
            </w:r>
            <w:r w:rsidR="00AB0211">
              <w:rPr>
                <w:sz w:val="20"/>
                <w:szCs w:val="20"/>
              </w:rPr>
              <w:t xml:space="preserve"> </w:t>
            </w:r>
            <w:r w:rsidRPr="00AB0211">
              <w:rPr>
                <w:sz w:val="20"/>
                <w:szCs w:val="20"/>
              </w:rPr>
              <w:t>=</w:t>
            </w:r>
            <w:r w:rsidR="00AB0211">
              <w:rPr>
                <w:sz w:val="20"/>
                <w:szCs w:val="20"/>
              </w:rPr>
              <w:t xml:space="preserve"> </w:t>
            </w:r>
            <w:r w:rsidRPr="00AB0211">
              <w:rPr>
                <w:sz w:val="20"/>
                <w:szCs w:val="20"/>
              </w:rPr>
              <w:t>112)</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77D74C" w14:textId="77777777" w:rsidR="00BF5D8D" w:rsidRPr="00C20B81" w:rsidRDefault="00BF5D8D" w:rsidP="00AB0211">
            <w:pPr>
              <w:ind w:left="0" w:right="0"/>
              <w:rPr>
                <w:b/>
                <w:sz w:val="20"/>
                <w:szCs w:val="20"/>
              </w:rPr>
            </w:pPr>
            <w:r w:rsidRPr="00C20B81">
              <w:rPr>
                <w:b/>
                <w:sz w:val="20"/>
                <w:szCs w:val="20"/>
              </w:rPr>
              <w:t>Arm B</w:t>
            </w:r>
          </w:p>
          <w:p w14:paraId="218B5D79" w14:textId="77777777" w:rsidR="00BF5D8D" w:rsidRPr="00AB0211" w:rsidRDefault="00BF5D8D" w:rsidP="00AB0211">
            <w:pPr>
              <w:ind w:left="0" w:right="0"/>
              <w:rPr>
                <w:sz w:val="20"/>
                <w:szCs w:val="20"/>
              </w:rPr>
            </w:pPr>
            <w:r w:rsidRPr="00AB0211">
              <w:rPr>
                <w:sz w:val="20"/>
                <w:szCs w:val="20"/>
              </w:rPr>
              <w:t xml:space="preserve">90 - 180 mg </w:t>
            </w:r>
            <w:r w:rsidR="0061561B" w:rsidRPr="00AB0211">
              <w:rPr>
                <w:sz w:val="20"/>
                <w:szCs w:val="20"/>
              </w:rPr>
              <w:t>daily</w:t>
            </w:r>
          </w:p>
          <w:p w14:paraId="7A8D9CC8" w14:textId="154C8AF2" w:rsidR="00BF5D8D" w:rsidRPr="00AB0211" w:rsidRDefault="00BF5D8D" w:rsidP="00AB0211">
            <w:pPr>
              <w:ind w:left="0" w:right="0"/>
              <w:rPr>
                <w:sz w:val="20"/>
                <w:szCs w:val="20"/>
              </w:rPr>
            </w:pPr>
            <w:r w:rsidRPr="00AB0211">
              <w:rPr>
                <w:sz w:val="20"/>
                <w:szCs w:val="20"/>
              </w:rPr>
              <w:t>(N</w:t>
            </w:r>
            <w:r w:rsidR="00AB0211">
              <w:rPr>
                <w:sz w:val="20"/>
                <w:szCs w:val="20"/>
              </w:rPr>
              <w:t xml:space="preserve"> </w:t>
            </w:r>
            <w:r w:rsidRPr="00AB0211">
              <w:rPr>
                <w:sz w:val="20"/>
                <w:szCs w:val="20"/>
              </w:rPr>
              <w:t>=</w:t>
            </w:r>
            <w:r w:rsidR="00AB0211">
              <w:rPr>
                <w:sz w:val="20"/>
                <w:szCs w:val="20"/>
              </w:rPr>
              <w:t xml:space="preserve"> </w:t>
            </w:r>
            <w:r w:rsidRPr="00AB0211">
              <w:rPr>
                <w:sz w:val="20"/>
                <w:szCs w:val="20"/>
              </w:rPr>
              <w:t>110)</w:t>
            </w:r>
          </w:p>
        </w:tc>
      </w:tr>
      <w:tr w:rsidR="00BF5D8D" w:rsidRPr="00AB0211" w14:paraId="650A8DC9" w14:textId="77777777" w:rsidTr="00F75DF5">
        <w:tc>
          <w:tcPr>
            <w:tcW w:w="241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2C1CB70" w14:textId="17C5C86C" w:rsidR="00BF5D8D" w:rsidRPr="00AB0211" w:rsidRDefault="00BF5D8D" w:rsidP="00AB0211">
            <w:pPr>
              <w:ind w:left="0" w:right="0"/>
              <w:rPr>
                <w:sz w:val="20"/>
                <w:szCs w:val="20"/>
              </w:rPr>
            </w:pPr>
            <w:r w:rsidRPr="00AB0211">
              <w:rPr>
                <w:sz w:val="20"/>
                <w:szCs w:val="20"/>
              </w:rPr>
              <w:t xml:space="preserve">Confirmed </w:t>
            </w:r>
            <w:r w:rsidR="00AB0211">
              <w:rPr>
                <w:sz w:val="20"/>
                <w:szCs w:val="20"/>
              </w:rPr>
              <w:t>ORR</w:t>
            </w:r>
            <w:r w:rsidRPr="00AB0211">
              <w:rPr>
                <w:sz w:val="20"/>
                <w:szCs w:val="20"/>
              </w:rPr>
              <w:t>, n (%)</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FA6274E" w14:textId="77777777" w:rsidR="00BF5D8D" w:rsidRPr="00AB0211" w:rsidRDefault="00BF5D8D" w:rsidP="00AB0211">
            <w:pPr>
              <w:ind w:left="0" w:right="0"/>
              <w:rPr>
                <w:sz w:val="20"/>
                <w:szCs w:val="20"/>
              </w:rPr>
            </w:pPr>
            <w:r w:rsidRPr="00AB0211">
              <w:rPr>
                <w:sz w:val="20"/>
                <w:szCs w:val="20"/>
              </w:rPr>
              <w:t>51 (45.5)</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43ECE35" w14:textId="77777777" w:rsidR="00BF5D8D" w:rsidRPr="00AB0211" w:rsidRDefault="00BF5D8D" w:rsidP="00AB0211">
            <w:pPr>
              <w:ind w:left="0" w:right="0"/>
              <w:rPr>
                <w:sz w:val="20"/>
                <w:szCs w:val="20"/>
              </w:rPr>
            </w:pPr>
            <w:r w:rsidRPr="00AB0211">
              <w:rPr>
                <w:sz w:val="20"/>
                <w:szCs w:val="20"/>
              </w:rPr>
              <w:t>61 (55.5)</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8797CD3" w14:textId="77777777" w:rsidR="00BF5D8D" w:rsidRPr="00AB0211" w:rsidRDefault="00BF5D8D" w:rsidP="00AB0211">
            <w:pPr>
              <w:ind w:left="0" w:right="0"/>
              <w:rPr>
                <w:sz w:val="20"/>
                <w:szCs w:val="20"/>
              </w:rPr>
            </w:pPr>
            <w:r w:rsidRPr="00AB0211">
              <w:rPr>
                <w:sz w:val="20"/>
                <w:szCs w:val="20"/>
              </w:rPr>
              <w:t>57 (50.9)</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B6A5FB" w14:textId="77777777" w:rsidR="00BF5D8D" w:rsidRPr="00AB0211" w:rsidRDefault="00BF5D8D" w:rsidP="00AB0211">
            <w:pPr>
              <w:ind w:left="0" w:right="0"/>
              <w:rPr>
                <w:sz w:val="20"/>
                <w:szCs w:val="20"/>
              </w:rPr>
            </w:pPr>
            <w:r w:rsidRPr="00AB0211">
              <w:rPr>
                <w:sz w:val="20"/>
                <w:szCs w:val="20"/>
              </w:rPr>
              <w:t>60 (54.5)</w:t>
            </w:r>
          </w:p>
        </w:tc>
      </w:tr>
      <w:tr w:rsidR="00BF5D8D" w:rsidRPr="00AB0211" w14:paraId="080A4AE8" w14:textId="77777777" w:rsidTr="00C20B81">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EE3EAB" w14:textId="77777777" w:rsidR="00BF5D8D" w:rsidRPr="00AB0211" w:rsidRDefault="00BF5D8D" w:rsidP="00AB0211">
            <w:pPr>
              <w:ind w:left="0" w:right="0"/>
              <w:rPr>
                <w:sz w:val="20"/>
                <w:szCs w:val="20"/>
              </w:rPr>
            </w:pPr>
            <w:r w:rsidRPr="00AB0211">
              <w:rPr>
                <w:sz w:val="20"/>
                <w:szCs w:val="20"/>
              </w:rPr>
              <w:t xml:space="preserve">97.5% CI </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EE7207B" w14:textId="77777777" w:rsidR="00BF5D8D" w:rsidRPr="00AB0211" w:rsidRDefault="00BF5D8D" w:rsidP="00AB0211">
            <w:pPr>
              <w:ind w:left="0" w:right="0"/>
              <w:rPr>
                <w:sz w:val="20"/>
                <w:szCs w:val="20"/>
              </w:rPr>
            </w:pPr>
            <w:r w:rsidRPr="00AB0211">
              <w:rPr>
                <w:sz w:val="20"/>
                <w:szCs w:val="20"/>
              </w:rPr>
              <w:t>95% CI</w:t>
            </w:r>
            <w:r w:rsidRPr="00AB0211">
              <w:rPr>
                <w:sz w:val="20"/>
                <w:szCs w:val="20"/>
                <w:vertAlign w:val="superscript"/>
              </w:rPr>
              <w:t>a</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D5D9E9" w14:textId="77777777" w:rsidR="00BF5D8D" w:rsidRPr="00AB0211" w:rsidRDefault="00BF5D8D" w:rsidP="00AB0211">
            <w:pPr>
              <w:ind w:left="0" w:right="0"/>
              <w:rPr>
                <w:sz w:val="20"/>
                <w:szCs w:val="20"/>
              </w:rPr>
            </w:pPr>
            <w:r w:rsidRPr="00AB0211">
              <w:rPr>
                <w:sz w:val="20"/>
                <w:szCs w:val="20"/>
              </w:rPr>
              <w:t>(34.8-56.5)</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15A791" w14:textId="77777777" w:rsidR="00BF5D8D" w:rsidRPr="00AB0211" w:rsidRDefault="00BF5D8D" w:rsidP="00AB0211">
            <w:pPr>
              <w:ind w:left="0" w:right="0"/>
              <w:rPr>
                <w:sz w:val="20"/>
                <w:szCs w:val="20"/>
              </w:rPr>
            </w:pPr>
            <w:r w:rsidRPr="00AB0211">
              <w:rPr>
                <w:sz w:val="20"/>
                <w:szCs w:val="20"/>
              </w:rPr>
              <w:t>(44.3-66.2)</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CA637B" w14:textId="77777777" w:rsidR="00BF5D8D" w:rsidRPr="00AB0211" w:rsidRDefault="00BF5D8D" w:rsidP="00AB0211">
            <w:pPr>
              <w:ind w:left="0" w:right="0"/>
              <w:rPr>
                <w:sz w:val="20"/>
                <w:szCs w:val="20"/>
              </w:rPr>
            </w:pPr>
            <w:r w:rsidRPr="00AB0211">
              <w:rPr>
                <w:sz w:val="20"/>
                <w:szCs w:val="20"/>
              </w:rPr>
              <w:t>(41.3-60.5)</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573EA0" w14:textId="77777777" w:rsidR="00BF5D8D" w:rsidRPr="00AB0211" w:rsidRDefault="00BF5D8D" w:rsidP="00AB0211">
            <w:pPr>
              <w:ind w:left="0" w:right="0"/>
              <w:rPr>
                <w:sz w:val="20"/>
                <w:szCs w:val="20"/>
              </w:rPr>
            </w:pPr>
            <w:r w:rsidRPr="00AB0211">
              <w:rPr>
                <w:sz w:val="20"/>
                <w:szCs w:val="20"/>
              </w:rPr>
              <w:t>(44.8-64.1)</w:t>
            </w:r>
          </w:p>
        </w:tc>
      </w:tr>
      <w:tr w:rsidR="00BF5D8D" w:rsidRPr="00AB0211" w14:paraId="4BF6A252" w14:textId="77777777" w:rsidTr="00F75DF5">
        <w:tc>
          <w:tcPr>
            <w:tcW w:w="241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DE86466" w14:textId="77777777" w:rsidR="00BF5D8D" w:rsidRPr="00AB0211" w:rsidRDefault="00BF5D8D" w:rsidP="00AB0211">
            <w:pPr>
              <w:ind w:left="0" w:right="0"/>
              <w:rPr>
                <w:sz w:val="20"/>
                <w:szCs w:val="20"/>
              </w:rPr>
            </w:pPr>
            <w:r w:rsidRPr="00AB0211">
              <w:rPr>
                <w:sz w:val="20"/>
                <w:szCs w:val="20"/>
              </w:rPr>
              <w:t>Complete Response, n (%)</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6066C9" w14:textId="77777777" w:rsidR="00BF5D8D" w:rsidRPr="00AB0211" w:rsidRDefault="00BF5D8D" w:rsidP="00AB0211">
            <w:pPr>
              <w:ind w:left="0" w:right="0"/>
              <w:rPr>
                <w:sz w:val="20"/>
                <w:szCs w:val="20"/>
              </w:rPr>
            </w:pPr>
            <w:r w:rsidRPr="00AB0211">
              <w:rPr>
                <w:sz w:val="20"/>
                <w:szCs w:val="20"/>
              </w:rPr>
              <w:t>2 (1.8)</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853FCAB" w14:textId="77777777" w:rsidR="00BF5D8D" w:rsidRPr="00AB0211" w:rsidRDefault="00BF5D8D" w:rsidP="00AB0211">
            <w:pPr>
              <w:ind w:left="0" w:right="0"/>
              <w:rPr>
                <w:sz w:val="20"/>
                <w:szCs w:val="20"/>
              </w:rPr>
            </w:pPr>
            <w:r w:rsidRPr="00AB0211">
              <w:rPr>
                <w:sz w:val="20"/>
                <w:szCs w:val="20"/>
              </w:rPr>
              <w:t>5 (4.5)</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9110930" w14:textId="77777777" w:rsidR="00BF5D8D" w:rsidRPr="00AB0211" w:rsidRDefault="00BF5D8D" w:rsidP="00AB0211">
            <w:pPr>
              <w:ind w:left="0" w:right="0"/>
              <w:rPr>
                <w:sz w:val="20"/>
                <w:szCs w:val="20"/>
              </w:rPr>
            </w:pPr>
            <w:r w:rsidRPr="00AB0211">
              <w:rPr>
                <w:sz w:val="20"/>
                <w:szCs w:val="20"/>
              </w:rPr>
              <w:t>6 (5.4)</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9A1A7A" w14:textId="77777777" w:rsidR="00BF5D8D" w:rsidRPr="00AB0211" w:rsidRDefault="00BF5D8D" w:rsidP="00AB0211">
            <w:pPr>
              <w:ind w:left="0" w:right="0"/>
              <w:rPr>
                <w:sz w:val="20"/>
                <w:szCs w:val="20"/>
              </w:rPr>
            </w:pPr>
            <w:r w:rsidRPr="00AB0211">
              <w:rPr>
                <w:sz w:val="20"/>
                <w:szCs w:val="20"/>
              </w:rPr>
              <w:t>6 (5.5)</w:t>
            </w:r>
          </w:p>
        </w:tc>
      </w:tr>
      <w:tr w:rsidR="00BF5D8D" w:rsidRPr="00AB0211" w14:paraId="72E7AD70" w14:textId="77777777" w:rsidTr="00F75DF5">
        <w:tc>
          <w:tcPr>
            <w:tcW w:w="241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BE0220" w14:textId="77777777" w:rsidR="00BF5D8D" w:rsidRPr="00AB0211" w:rsidRDefault="00BF5D8D" w:rsidP="00AB0211">
            <w:pPr>
              <w:ind w:left="0" w:right="0"/>
              <w:rPr>
                <w:sz w:val="20"/>
                <w:szCs w:val="20"/>
              </w:rPr>
            </w:pPr>
            <w:r w:rsidRPr="00AB0211">
              <w:rPr>
                <w:sz w:val="20"/>
                <w:szCs w:val="20"/>
              </w:rPr>
              <w:t>Partial Response, n (%)</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645367" w14:textId="77777777" w:rsidR="00BF5D8D" w:rsidRPr="00AB0211" w:rsidRDefault="00BF5D8D" w:rsidP="00AB0211">
            <w:pPr>
              <w:ind w:left="0" w:right="0"/>
              <w:rPr>
                <w:sz w:val="20"/>
                <w:szCs w:val="20"/>
              </w:rPr>
            </w:pPr>
            <w:r w:rsidRPr="00AB0211">
              <w:rPr>
                <w:sz w:val="20"/>
                <w:szCs w:val="20"/>
              </w:rPr>
              <w:t>49 (43.8)</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E05EB9" w14:textId="77777777" w:rsidR="00BF5D8D" w:rsidRPr="00AB0211" w:rsidRDefault="00BF5D8D" w:rsidP="00AB0211">
            <w:pPr>
              <w:ind w:left="0" w:right="0"/>
              <w:rPr>
                <w:sz w:val="20"/>
                <w:szCs w:val="20"/>
              </w:rPr>
            </w:pPr>
            <w:r w:rsidRPr="00AB0211">
              <w:rPr>
                <w:sz w:val="20"/>
                <w:szCs w:val="20"/>
              </w:rPr>
              <w:t>56 (50.9)</w:t>
            </w:r>
          </w:p>
        </w:tc>
        <w:tc>
          <w:tcPr>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09EC3E9" w14:textId="77777777" w:rsidR="00BF5D8D" w:rsidRPr="00AB0211" w:rsidRDefault="00BF5D8D" w:rsidP="00AB0211">
            <w:pPr>
              <w:ind w:left="0" w:right="0"/>
              <w:rPr>
                <w:sz w:val="20"/>
                <w:szCs w:val="20"/>
              </w:rPr>
            </w:pPr>
            <w:r w:rsidRPr="00AB0211">
              <w:rPr>
                <w:sz w:val="20"/>
                <w:szCs w:val="20"/>
              </w:rPr>
              <w:t>51 (45.5)</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5CEA047" w14:textId="77777777" w:rsidR="00BF5D8D" w:rsidRPr="00AB0211" w:rsidRDefault="00BF5D8D" w:rsidP="00AB0211">
            <w:pPr>
              <w:ind w:left="0" w:right="0"/>
              <w:rPr>
                <w:sz w:val="20"/>
                <w:szCs w:val="20"/>
              </w:rPr>
            </w:pPr>
            <w:r w:rsidRPr="00AB0211">
              <w:rPr>
                <w:sz w:val="20"/>
                <w:szCs w:val="20"/>
              </w:rPr>
              <w:t>54 (49.1)</w:t>
            </w:r>
          </w:p>
        </w:tc>
      </w:tr>
    </w:tbl>
    <w:p w14:paraId="3CF5A63C" w14:textId="1AB0A9C7" w:rsidR="00BF5D8D" w:rsidRDefault="00AB0211" w:rsidP="00AB0211">
      <w:pPr>
        <w:pStyle w:val="TableDescription"/>
      </w:pPr>
      <w:r>
        <w:t>a:</w:t>
      </w:r>
      <w:r w:rsidR="00F75DF5">
        <w:t xml:space="preserve"> </w:t>
      </w:r>
      <w:r w:rsidR="00BF5D8D" w:rsidRPr="00BF5D8D">
        <w:t xml:space="preserve">A 97.5% confidence interval is used for investigator assessed </w:t>
      </w:r>
      <w:r>
        <w:t>ORR</w:t>
      </w:r>
      <w:r w:rsidR="00BF5D8D" w:rsidRPr="00BF5D8D">
        <w:t xml:space="preserve"> and a 95% confidence is used for </w:t>
      </w:r>
      <w:r w:rsidR="0061561B">
        <w:t>Independent review committee</w:t>
      </w:r>
      <w:r w:rsidR="00BF5D8D" w:rsidRPr="00BF5D8D">
        <w:t xml:space="preserve"> assessed </w:t>
      </w:r>
      <w:r>
        <w:t>ORR. CI = confidence interval.</w:t>
      </w:r>
    </w:p>
    <w:p w14:paraId="36F73213" w14:textId="7257AA8D" w:rsidR="00BF5D8D" w:rsidRDefault="00AB0211" w:rsidP="00552756">
      <w:pPr>
        <w:pStyle w:val="TableTitle"/>
      </w:pPr>
      <w:bookmarkStart w:id="46" w:name="_Ref33638704"/>
      <w:r>
        <w:t xml:space="preserve">Table </w:t>
      </w:r>
      <w:fldSimple w:instr=" SEQ Table \* ARABIC ">
        <w:r w:rsidR="00DF5AFE">
          <w:rPr>
            <w:noProof/>
          </w:rPr>
          <w:t>3</w:t>
        </w:r>
      </w:fldSimple>
      <w:bookmarkEnd w:id="46"/>
      <w:r>
        <w:t xml:space="preserve">: </w:t>
      </w:r>
      <w:r w:rsidR="000A1C8A">
        <w:t xml:space="preserve">Kaplan Meier estimates of </w:t>
      </w:r>
      <w:r>
        <w:t>d</w:t>
      </w:r>
      <w:r w:rsidR="00BF5D8D" w:rsidRPr="00BF5D8D">
        <w:t xml:space="preserve">uration of response in patients with an investigator-assessed confirmed </w:t>
      </w:r>
      <w:r w:rsidRPr="00BF5D8D">
        <w:t>response</w:t>
      </w:r>
      <w:r w:rsidR="00BF5D8D" w:rsidRPr="00BF5D8D">
        <w:t xml:space="preserve"> (</w:t>
      </w:r>
      <w:r w:rsidR="0061561B">
        <w:t>data cut off</w:t>
      </w:r>
      <w:r w:rsidR="00BF5D8D" w:rsidRPr="00BF5D8D">
        <w:t xml:space="preserve"> 21</w:t>
      </w:r>
      <w:r>
        <w:t xml:space="preserve"> </w:t>
      </w:r>
      <w:r w:rsidR="00BF5D8D" w:rsidRPr="00BF5D8D">
        <w:t>Feb</w:t>
      </w:r>
      <w:r>
        <w:t xml:space="preserve">ruary </w:t>
      </w:r>
      <w:r w:rsidR="00BF5D8D" w:rsidRPr="00BF5D8D">
        <w:t>2017)</w:t>
      </w:r>
    </w:p>
    <w:tbl>
      <w:tblPr>
        <w:tblStyle w:val="TableTGAblue"/>
        <w:tblW w:w="4714" w:type="pct"/>
        <w:tblInd w:w="250" w:type="dxa"/>
        <w:tblLayout w:type="fixed"/>
        <w:tblLook w:val="01E0" w:firstRow="1" w:lastRow="1" w:firstColumn="1" w:lastColumn="1" w:noHBand="0" w:noVBand="0"/>
      </w:tblPr>
      <w:tblGrid>
        <w:gridCol w:w="2123"/>
        <w:gridCol w:w="2115"/>
        <w:gridCol w:w="2115"/>
        <w:gridCol w:w="1868"/>
      </w:tblGrid>
      <w:tr w:rsidR="00BF5D8D" w:rsidRPr="00AB0211" w14:paraId="2622FA61" w14:textId="77777777" w:rsidTr="000A1C8A">
        <w:trPr>
          <w:cnfStyle w:val="100000000000" w:firstRow="1" w:lastRow="0" w:firstColumn="0" w:lastColumn="0" w:oddVBand="0" w:evenVBand="0" w:oddHBand="0" w:evenHBand="0" w:firstRowFirstColumn="0" w:firstRowLastColumn="0" w:lastRowFirstColumn="0" w:lastRowLastColumn="0"/>
          <w:trHeight w:val="284"/>
        </w:trPr>
        <w:tc>
          <w:tcPr>
            <w:tcW w:w="2123" w:type="dxa"/>
          </w:tcPr>
          <w:p w14:paraId="4448DA6B" w14:textId="77777777" w:rsidR="00BF5D8D" w:rsidRPr="00AB0211" w:rsidRDefault="00BF5D8D" w:rsidP="00552756">
            <w:pPr>
              <w:ind w:left="0" w:right="0"/>
              <w:rPr>
                <w:sz w:val="20"/>
                <w:szCs w:val="20"/>
              </w:rPr>
            </w:pPr>
          </w:p>
        </w:tc>
        <w:tc>
          <w:tcPr>
            <w:tcW w:w="2115" w:type="dxa"/>
            <w:hideMark/>
          </w:tcPr>
          <w:p w14:paraId="39F01AB4" w14:textId="163FE5F5" w:rsidR="00BF5D8D" w:rsidRPr="00AB0211" w:rsidRDefault="00BF5D8D" w:rsidP="00552756">
            <w:pPr>
              <w:ind w:left="0" w:right="0"/>
              <w:rPr>
                <w:sz w:val="20"/>
                <w:szCs w:val="20"/>
              </w:rPr>
            </w:pPr>
            <w:r w:rsidRPr="00AB0211">
              <w:rPr>
                <w:sz w:val="20"/>
                <w:szCs w:val="20"/>
              </w:rPr>
              <w:t>Arm A (90</w:t>
            </w:r>
            <w:r w:rsidR="00AB0211">
              <w:rPr>
                <w:sz w:val="20"/>
                <w:szCs w:val="20"/>
              </w:rPr>
              <w:t xml:space="preserve"> </w:t>
            </w:r>
            <w:r w:rsidRPr="00AB0211">
              <w:rPr>
                <w:sz w:val="20"/>
                <w:szCs w:val="20"/>
              </w:rPr>
              <w:t>mg)</w:t>
            </w:r>
          </w:p>
          <w:p w14:paraId="4B3D5171" w14:textId="4F405E64" w:rsidR="00BF5D8D" w:rsidRPr="00AB0211" w:rsidRDefault="00BF5D8D" w:rsidP="00552756">
            <w:pPr>
              <w:ind w:left="0" w:right="0"/>
              <w:rPr>
                <w:sz w:val="20"/>
                <w:szCs w:val="20"/>
              </w:rPr>
            </w:pPr>
            <w:r w:rsidRPr="00AB0211">
              <w:rPr>
                <w:sz w:val="20"/>
                <w:szCs w:val="20"/>
              </w:rPr>
              <w:t>N</w:t>
            </w:r>
            <w:r w:rsidR="00AB0211">
              <w:rPr>
                <w:sz w:val="20"/>
                <w:szCs w:val="20"/>
              </w:rPr>
              <w:t xml:space="preserve"> </w:t>
            </w:r>
            <w:r w:rsidRPr="00AB0211">
              <w:rPr>
                <w:sz w:val="20"/>
                <w:szCs w:val="20"/>
              </w:rPr>
              <w:t>=</w:t>
            </w:r>
            <w:r w:rsidR="00AB0211">
              <w:rPr>
                <w:sz w:val="20"/>
                <w:szCs w:val="20"/>
              </w:rPr>
              <w:t xml:space="preserve"> </w:t>
            </w:r>
            <w:r w:rsidRPr="00AB0211">
              <w:rPr>
                <w:sz w:val="20"/>
                <w:szCs w:val="20"/>
              </w:rPr>
              <w:t>51</w:t>
            </w:r>
          </w:p>
        </w:tc>
        <w:tc>
          <w:tcPr>
            <w:tcW w:w="2115" w:type="dxa"/>
            <w:hideMark/>
          </w:tcPr>
          <w:p w14:paraId="0A6A4507" w14:textId="7240160E" w:rsidR="00BF5D8D" w:rsidRPr="00AB0211" w:rsidRDefault="00BF5D8D" w:rsidP="00552756">
            <w:pPr>
              <w:ind w:left="0" w:right="0"/>
              <w:rPr>
                <w:sz w:val="20"/>
                <w:szCs w:val="20"/>
              </w:rPr>
            </w:pPr>
            <w:r w:rsidRPr="00AB0211">
              <w:rPr>
                <w:sz w:val="20"/>
                <w:szCs w:val="20"/>
              </w:rPr>
              <w:t>Arm B (90/180</w:t>
            </w:r>
            <w:r w:rsidR="00AB0211">
              <w:rPr>
                <w:sz w:val="20"/>
                <w:szCs w:val="20"/>
              </w:rPr>
              <w:t xml:space="preserve"> </w:t>
            </w:r>
            <w:r w:rsidRPr="00AB0211">
              <w:rPr>
                <w:sz w:val="20"/>
                <w:szCs w:val="20"/>
              </w:rPr>
              <w:t>mg)</w:t>
            </w:r>
          </w:p>
          <w:p w14:paraId="29E6E361" w14:textId="09A94275" w:rsidR="00BF5D8D" w:rsidRPr="00AB0211" w:rsidRDefault="00BF5D8D" w:rsidP="00552756">
            <w:pPr>
              <w:ind w:left="0" w:right="0"/>
              <w:rPr>
                <w:sz w:val="20"/>
                <w:szCs w:val="20"/>
              </w:rPr>
            </w:pPr>
            <w:r w:rsidRPr="00AB0211">
              <w:rPr>
                <w:sz w:val="20"/>
                <w:szCs w:val="20"/>
              </w:rPr>
              <w:t>N</w:t>
            </w:r>
            <w:r w:rsidR="00AB0211">
              <w:rPr>
                <w:sz w:val="20"/>
                <w:szCs w:val="20"/>
              </w:rPr>
              <w:t xml:space="preserve"> </w:t>
            </w:r>
            <w:r w:rsidRPr="00AB0211">
              <w:rPr>
                <w:sz w:val="20"/>
                <w:szCs w:val="20"/>
              </w:rPr>
              <w:t>=</w:t>
            </w:r>
            <w:r w:rsidR="00AB0211">
              <w:rPr>
                <w:sz w:val="20"/>
                <w:szCs w:val="20"/>
              </w:rPr>
              <w:t xml:space="preserve"> </w:t>
            </w:r>
            <w:r w:rsidRPr="00AB0211">
              <w:rPr>
                <w:sz w:val="20"/>
                <w:szCs w:val="20"/>
              </w:rPr>
              <w:t>61</w:t>
            </w:r>
          </w:p>
        </w:tc>
        <w:tc>
          <w:tcPr>
            <w:tcW w:w="1868" w:type="dxa"/>
            <w:hideMark/>
          </w:tcPr>
          <w:p w14:paraId="19ADBECE" w14:textId="77777777" w:rsidR="00BF5D8D" w:rsidRPr="00AB0211" w:rsidRDefault="00BF5D8D" w:rsidP="00552756">
            <w:pPr>
              <w:ind w:left="0" w:right="0"/>
              <w:rPr>
                <w:sz w:val="20"/>
                <w:szCs w:val="20"/>
              </w:rPr>
            </w:pPr>
            <w:r w:rsidRPr="00AB0211">
              <w:rPr>
                <w:sz w:val="20"/>
                <w:szCs w:val="20"/>
              </w:rPr>
              <w:t>Total</w:t>
            </w:r>
          </w:p>
          <w:p w14:paraId="397DB203" w14:textId="0A4F59C3" w:rsidR="00BF5D8D" w:rsidRPr="00AB0211" w:rsidRDefault="00BF5D8D" w:rsidP="00552756">
            <w:pPr>
              <w:ind w:left="0" w:right="0"/>
              <w:rPr>
                <w:sz w:val="20"/>
                <w:szCs w:val="20"/>
              </w:rPr>
            </w:pPr>
            <w:r w:rsidRPr="00AB0211">
              <w:rPr>
                <w:sz w:val="20"/>
                <w:szCs w:val="20"/>
              </w:rPr>
              <w:t>N</w:t>
            </w:r>
            <w:r w:rsidR="00AB0211">
              <w:rPr>
                <w:sz w:val="20"/>
                <w:szCs w:val="20"/>
              </w:rPr>
              <w:t xml:space="preserve"> </w:t>
            </w:r>
            <w:r w:rsidRPr="00AB0211">
              <w:rPr>
                <w:sz w:val="20"/>
                <w:szCs w:val="20"/>
              </w:rPr>
              <w:t>=</w:t>
            </w:r>
            <w:r w:rsidR="00AB0211">
              <w:rPr>
                <w:sz w:val="20"/>
                <w:szCs w:val="20"/>
              </w:rPr>
              <w:t xml:space="preserve"> </w:t>
            </w:r>
            <w:r w:rsidRPr="00AB0211">
              <w:rPr>
                <w:sz w:val="20"/>
                <w:szCs w:val="20"/>
              </w:rPr>
              <w:t>112</w:t>
            </w:r>
          </w:p>
        </w:tc>
      </w:tr>
      <w:tr w:rsidR="00BF5D8D" w:rsidRPr="00AB0211" w14:paraId="1F355D0A" w14:textId="77777777" w:rsidTr="000A1C8A">
        <w:trPr>
          <w:trHeight w:val="284"/>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EC1430" w14:textId="77777777" w:rsidR="00BF5D8D" w:rsidRPr="00AB0211" w:rsidRDefault="00BF5D8D" w:rsidP="00552756">
            <w:pPr>
              <w:keepNext/>
              <w:ind w:left="0" w:right="0"/>
              <w:rPr>
                <w:sz w:val="20"/>
                <w:szCs w:val="20"/>
              </w:rPr>
            </w:pPr>
            <w:r w:rsidRPr="00AB0211">
              <w:rPr>
                <w:sz w:val="20"/>
                <w:szCs w:val="20"/>
              </w:rPr>
              <w:t>Median months (95% CI)</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9CF2AB6" w14:textId="77777777" w:rsidR="00BF5D8D" w:rsidRPr="00AB0211" w:rsidRDefault="00BF5D8D" w:rsidP="00552756">
            <w:pPr>
              <w:keepNext/>
              <w:ind w:left="0" w:right="0"/>
              <w:rPr>
                <w:sz w:val="20"/>
                <w:szCs w:val="20"/>
              </w:rPr>
            </w:pPr>
            <w:r w:rsidRPr="00AB0211">
              <w:rPr>
                <w:sz w:val="20"/>
                <w:szCs w:val="20"/>
              </w:rPr>
              <w:t>12.0 (9.2, 17.7)</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BA66794" w14:textId="77777777" w:rsidR="00BF5D8D" w:rsidRPr="00AB0211" w:rsidRDefault="00BF5D8D" w:rsidP="00552756">
            <w:pPr>
              <w:keepNext/>
              <w:ind w:left="0" w:right="0"/>
              <w:rPr>
                <w:sz w:val="20"/>
                <w:szCs w:val="20"/>
              </w:rPr>
            </w:pPr>
            <w:r w:rsidRPr="00AB0211">
              <w:rPr>
                <w:sz w:val="20"/>
                <w:szCs w:val="20"/>
              </w:rPr>
              <w:t>13.8 (10.2, 17.5)</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9E05BFA" w14:textId="77777777" w:rsidR="00BF5D8D" w:rsidRPr="00AB0211" w:rsidRDefault="00BF5D8D" w:rsidP="00552756">
            <w:pPr>
              <w:keepNext/>
              <w:ind w:left="0" w:right="0"/>
              <w:rPr>
                <w:sz w:val="20"/>
                <w:szCs w:val="20"/>
              </w:rPr>
            </w:pPr>
            <w:r w:rsidRPr="00AB0211">
              <w:rPr>
                <w:sz w:val="20"/>
                <w:szCs w:val="20"/>
              </w:rPr>
              <w:t>13.7 (9.9, 14.8)</w:t>
            </w:r>
          </w:p>
        </w:tc>
      </w:tr>
      <w:tr w:rsidR="00BF5D8D" w:rsidRPr="00AB0211" w14:paraId="7BE87ABC" w14:textId="77777777" w:rsidTr="000A1C8A">
        <w:trPr>
          <w:trHeight w:val="284"/>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3F0C97" w14:textId="77777777" w:rsidR="00BF5D8D" w:rsidRPr="00AB0211" w:rsidRDefault="00BF5D8D" w:rsidP="00552756">
            <w:pPr>
              <w:keepNext/>
              <w:ind w:left="0" w:right="0"/>
              <w:rPr>
                <w:sz w:val="20"/>
                <w:szCs w:val="20"/>
              </w:rPr>
            </w:pPr>
            <w:r w:rsidRPr="00AB0211">
              <w:rPr>
                <w:sz w:val="20"/>
                <w:szCs w:val="20"/>
              </w:rPr>
              <w:t>6 month (95% CI)</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6D2F364" w14:textId="77777777" w:rsidR="00BF5D8D" w:rsidRPr="00AB0211" w:rsidRDefault="00BF5D8D" w:rsidP="00552756">
            <w:pPr>
              <w:keepNext/>
              <w:ind w:left="0" w:right="0"/>
              <w:rPr>
                <w:sz w:val="20"/>
                <w:szCs w:val="20"/>
              </w:rPr>
            </w:pPr>
            <w:r w:rsidRPr="00AB0211">
              <w:rPr>
                <w:sz w:val="20"/>
                <w:szCs w:val="20"/>
              </w:rPr>
              <w:t>71.4% (56.6, 82.0)</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D02ACD" w14:textId="77777777" w:rsidR="00BF5D8D" w:rsidRPr="00AB0211" w:rsidRDefault="00BF5D8D" w:rsidP="00552756">
            <w:pPr>
              <w:keepNext/>
              <w:ind w:left="0" w:right="0"/>
              <w:rPr>
                <w:sz w:val="20"/>
                <w:szCs w:val="20"/>
              </w:rPr>
            </w:pPr>
            <w:r w:rsidRPr="00AB0211">
              <w:rPr>
                <w:sz w:val="20"/>
                <w:szCs w:val="20"/>
              </w:rPr>
              <w:t>84.4% (72.2, 91.6)</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E06F4C1" w14:textId="77777777" w:rsidR="00BF5D8D" w:rsidRPr="00AB0211" w:rsidRDefault="00BF5D8D" w:rsidP="00552756">
            <w:pPr>
              <w:keepNext/>
              <w:ind w:left="0" w:right="0"/>
              <w:rPr>
                <w:sz w:val="20"/>
                <w:szCs w:val="20"/>
              </w:rPr>
            </w:pPr>
            <w:r w:rsidRPr="00AB0211">
              <w:rPr>
                <w:sz w:val="20"/>
                <w:szCs w:val="20"/>
              </w:rPr>
              <w:t>78.4% (69.3, 85.1)</w:t>
            </w:r>
          </w:p>
        </w:tc>
      </w:tr>
      <w:tr w:rsidR="00BF5D8D" w:rsidRPr="00AB0211" w14:paraId="1940676C" w14:textId="77777777" w:rsidTr="000A1C8A">
        <w:trPr>
          <w:trHeight w:val="284"/>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B96A59" w14:textId="77777777" w:rsidR="00BF5D8D" w:rsidRPr="00AB0211" w:rsidRDefault="00BF5D8D" w:rsidP="00552756">
            <w:pPr>
              <w:keepNext/>
              <w:ind w:left="0" w:right="0"/>
              <w:rPr>
                <w:sz w:val="20"/>
                <w:szCs w:val="20"/>
              </w:rPr>
            </w:pPr>
            <w:r w:rsidRPr="00AB0211">
              <w:rPr>
                <w:sz w:val="20"/>
                <w:szCs w:val="20"/>
              </w:rPr>
              <w:t>12 month (95% CI)</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431891D" w14:textId="77777777" w:rsidR="00BF5D8D" w:rsidRPr="00AB0211" w:rsidRDefault="00BF5D8D" w:rsidP="00552756">
            <w:pPr>
              <w:keepNext/>
              <w:ind w:left="0" w:right="0"/>
              <w:rPr>
                <w:sz w:val="20"/>
                <w:szCs w:val="20"/>
              </w:rPr>
            </w:pPr>
            <w:r w:rsidRPr="00AB0211">
              <w:rPr>
                <w:sz w:val="20"/>
                <w:szCs w:val="20"/>
              </w:rPr>
              <w:t>52.1% (37.1, 65.1)</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B65DA86" w14:textId="77777777" w:rsidR="00BF5D8D" w:rsidRPr="00AB0211" w:rsidRDefault="00BF5D8D" w:rsidP="00552756">
            <w:pPr>
              <w:keepNext/>
              <w:ind w:left="0" w:right="0"/>
              <w:rPr>
                <w:sz w:val="20"/>
                <w:szCs w:val="20"/>
              </w:rPr>
            </w:pPr>
            <w:r w:rsidRPr="00AB0211">
              <w:rPr>
                <w:sz w:val="20"/>
                <w:szCs w:val="20"/>
              </w:rPr>
              <w:t>58.5% (44.3, 70.2)</w:t>
            </w:r>
          </w:p>
        </w:tc>
        <w:tc>
          <w:tcPr>
            <w:tcW w:w="186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D7D4157" w14:textId="77777777" w:rsidR="00BF5D8D" w:rsidRPr="00AB0211" w:rsidRDefault="00BF5D8D" w:rsidP="00552756">
            <w:pPr>
              <w:keepNext/>
              <w:ind w:left="0" w:right="0"/>
              <w:rPr>
                <w:sz w:val="20"/>
                <w:szCs w:val="20"/>
              </w:rPr>
            </w:pPr>
            <w:r w:rsidRPr="00AB0211">
              <w:rPr>
                <w:sz w:val="20"/>
                <w:szCs w:val="20"/>
              </w:rPr>
              <w:t>55.5% (45.4, 64.5)</w:t>
            </w:r>
          </w:p>
        </w:tc>
      </w:tr>
    </w:tbl>
    <w:p w14:paraId="56CC5248" w14:textId="5DBD5689" w:rsidR="00EC6BF5" w:rsidRDefault="00BF5D8D" w:rsidP="00AB0211">
      <w:r>
        <w:t xml:space="preserve">Investigator-assessed median </w:t>
      </w:r>
      <w:r w:rsidR="0061561B">
        <w:t>progression free survival</w:t>
      </w:r>
      <w:r>
        <w:t xml:space="preserve"> was 15.6 months (95% CI 11.1</w:t>
      </w:r>
      <w:r w:rsidR="00F75DF5">
        <w:t xml:space="preserve"> to</w:t>
      </w:r>
      <w:r w:rsidR="00AB0211">
        <w:t xml:space="preserve"> 19.4) in Arm B (90 mg to </w:t>
      </w:r>
      <w:r>
        <w:t xml:space="preserve">180 mg </w:t>
      </w:r>
      <w:r w:rsidR="0061561B">
        <w:t>daily</w:t>
      </w:r>
      <w:r>
        <w:t>) and 9.2 months (95% CI 7.4</w:t>
      </w:r>
      <w:r w:rsidR="00F75DF5">
        <w:t xml:space="preserve"> to</w:t>
      </w:r>
      <w:r>
        <w:t xml:space="preserve"> 11.1) in Arm A (90</w:t>
      </w:r>
      <w:r w:rsidR="00F75DF5">
        <w:t> </w:t>
      </w:r>
      <w:r>
        <w:t xml:space="preserve">mg </w:t>
      </w:r>
      <w:r w:rsidR="0061561B">
        <w:t>daily</w:t>
      </w:r>
      <w:r>
        <w:t>), with the hazard ratio between the arms being 0.64 (95% CI 0.45</w:t>
      </w:r>
      <w:r w:rsidR="00F75DF5">
        <w:t xml:space="preserve"> to</w:t>
      </w:r>
      <w:r>
        <w:t xml:space="preserve"> 0.91).</w:t>
      </w:r>
      <w:r w:rsidR="00BC01FB">
        <w:t xml:space="preserve"> </w:t>
      </w:r>
      <w:r>
        <w:t>The appar</w:t>
      </w:r>
      <w:r w:rsidR="0061561B">
        <w:t xml:space="preserve">ent dose-response for median </w:t>
      </w:r>
      <w:r w:rsidR="004649E0">
        <w:t>PFS</w:t>
      </w:r>
      <w:r>
        <w:t xml:space="preserve"> provides support for the proposed dosage regimen (</w:t>
      </w:r>
      <w:r w:rsidR="004649E0">
        <w:fldChar w:fldCharType="begin"/>
      </w:r>
      <w:r w:rsidR="004649E0">
        <w:instrText xml:space="preserve"> REF _Ref33638805 \h </w:instrText>
      </w:r>
      <w:r w:rsidR="004649E0">
        <w:fldChar w:fldCharType="separate"/>
      </w:r>
      <w:r w:rsidR="004649E0">
        <w:t xml:space="preserve">Figure </w:t>
      </w:r>
      <w:r w:rsidR="004649E0">
        <w:rPr>
          <w:noProof/>
        </w:rPr>
        <w:t>2</w:t>
      </w:r>
      <w:r w:rsidR="004649E0">
        <w:fldChar w:fldCharType="end"/>
      </w:r>
      <w:r>
        <w:t>).</w:t>
      </w:r>
      <w:r w:rsidR="00BC01FB">
        <w:t xml:space="preserve"> </w:t>
      </w:r>
      <w:r>
        <w:t xml:space="preserve">Findings for </w:t>
      </w:r>
      <w:r w:rsidR="004649E0">
        <w:t>OS</w:t>
      </w:r>
      <w:r>
        <w:t xml:space="preserve"> were not sufficiently mature to interpret, particularly in the setting of a non-comparative study</w:t>
      </w:r>
      <w:r w:rsidR="00EC6BF5">
        <w:t>.</w:t>
      </w:r>
    </w:p>
    <w:p w14:paraId="777D68E6" w14:textId="3F0A57EF" w:rsidR="00BF5D8D" w:rsidRDefault="004649E0" w:rsidP="004649E0">
      <w:pPr>
        <w:pStyle w:val="FigureTitle"/>
      </w:pPr>
      <w:bookmarkStart w:id="47" w:name="_Ref33638805"/>
      <w:r>
        <w:lastRenderedPageBreak/>
        <w:t xml:space="preserve">Figure </w:t>
      </w:r>
      <w:fldSimple w:instr=" SEQ Figure \* ARABIC ">
        <w:r w:rsidR="003655D2">
          <w:rPr>
            <w:noProof/>
          </w:rPr>
          <w:t>2</w:t>
        </w:r>
      </w:fldSimple>
      <w:bookmarkEnd w:id="47"/>
      <w:r>
        <w:t xml:space="preserve">: </w:t>
      </w:r>
      <w:r w:rsidR="00BF5D8D">
        <w:t>Kaplan-Meier plot of investigator-assessed progression</w:t>
      </w:r>
      <w:r w:rsidR="0061561B">
        <w:t xml:space="preserve"> </w:t>
      </w:r>
      <w:r w:rsidR="00BF5D8D">
        <w:t xml:space="preserve">free survival by treatment arm in the </w:t>
      </w:r>
      <w:r w:rsidR="0061561B">
        <w:t>intention to treat</w:t>
      </w:r>
      <w:r w:rsidR="00BF5D8D">
        <w:t xml:space="preserve"> population (</w:t>
      </w:r>
      <w:r w:rsidR="0061561B">
        <w:t>data cut</w:t>
      </w:r>
      <w:r>
        <w:t>-</w:t>
      </w:r>
      <w:r w:rsidR="0061561B">
        <w:t>off</w:t>
      </w:r>
      <w:r w:rsidR="00BF5D8D">
        <w:t xml:space="preserve"> 21</w:t>
      </w:r>
      <w:r>
        <w:t xml:space="preserve"> </w:t>
      </w:r>
      <w:r w:rsidR="00BF5D8D">
        <w:t>Feb</w:t>
      </w:r>
      <w:r>
        <w:t xml:space="preserve">ruary </w:t>
      </w:r>
      <w:r w:rsidR="00BF5D8D">
        <w:t>2017)</w:t>
      </w:r>
    </w:p>
    <w:p w14:paraId="212E2A1B" w14:textId="77777777" w:rsidR="00BF5D8D" w:rsidRDefault="00BF5D8D" w:rsidP="00BF5D8D">
      <w:r>
        <w:rPr>
          <w:noProof/>
          <w:lang w:eastAsia="en-AU"/>
        </w:rPr>
        <w:drawing>
          <wp:inline distT="0" distB="0" distL="0" distR="0" wp14:anchorId="584F4A1B" wp14:editId="25FA9E59">
            <wp:extent cx="5400040" cy="2731513"/>
            <wp:effectExtent l="0" t="0" r="0" b="0"/>
            <wp:docPr id="9" name="Picture 9" descr="Kaplan-Meier plot of investigator-assessed progression free survival by treatment arm in the intention to treat population (data cut-off 21 February 201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stretch>
                      <a:fillRect/>
                    </a:stretch>
                  </pic:blipFill>
                  <pic:spPr>
                    <a:xfrm>
                      <a:off x="0" y="0"/>
                      <a:ext cx="5400040" cy="2731513"/>
                    </a:xfrm>
                    <a:prstGeom prst="rect">
                      <a:avLst/>
                    </a:prstGeom>
                  </pic:spPr>
                </pic:pic>
              </a:graphicData>
            </a:graphic>
          </wp:inline>
        </w:drawing>
      </w:r>
    </w:p>
    <w:p w14:paraId="03120CAD" w14:textId="3ED2AE11" w:rsidR="00BF5D8D" w:rsidRDefault="00BF5D8D" w:rsidP="00BF5D8D">
      <w:r>
        <w:t xml:space="preserve">Updated data from </w:t>
      </w:r>
      <w:r w:rsidR="004649E0" w:rsidRPr="00597291">
        <w:t>Study AP26113-11-201</w:t>
      </w:r>
      <w:r>
        <w:t xml:space="preserve"> through to 29 September 2017 were provided and are consistent with the data described </w:t>
      </w:r>
      <w:r w:rsidR="0061561B">
        <w:t>above.</w:t>
      </w:r>
      <w:r w:rsidR="00BC01FB">
        <w:t xml:space="preserve"> </w:t>
      </w:r>
      <w:r w:rsidR="004649E0">
        <w:t xml:space="preserve">For the 90 mg to </w:t>
      </w:r>
      <w:r w:rsidR="0061561B">
        <w:t xml:space="preserve">180 mg daily arm, confirmed the </w:t>
      </w:r>
      <w:r w:rsidR="004649E0">
        <w:t>ORR</w:t>
      </w:r>
      <w:r>
        <w:t xml:space="preserve"> was 56.4% (97.5% CI 45.2</w:t>
      </w:r>
      <w:r w:rsidR="00F75DF5">
        <w:t xml:space="preserve"> to</w:t>
      </w:r>
      <w:r>
        <w:t xml:space="preserve"> 67.0), median duration of response was 13.8</w:t>
      </w:r>
      <w:r w:rsidR="0061561B">
        <w:t> </w:t>
      </w:r>
      <w:r>
        <w:t xml:space="preserve">months and median </w:t>
      </w:r>
      <w:r w:rsidR="004649E0">
        <w:t>PFS</w:t>
      </w:r>
      <w:r>
        <w:t xml:space="preserve"> was 15.6 months (95% CI 11.1</w:t>
      </w:r>
      <w:r w:rsidR="00F75DF5">
        <w:t xml:space="preserve"> to</w:t>
      </w:r>
      <w:r>
        <w:t xml:space="preserve"> 21.0).</w:t>
      </w:r>
    </w:p>
    <w:p w14:paraId="667D0B88" w14:textId="512AE668" w:rsidR="00BF5D8D" w:rsidRDefault="00BF5D8D" w:rsidP="00BF5D8D">
      <w:r w:rsidRPr="003655D2">
        <w:t xml:space="preserve">Intracranial </w:t>
      </w:r>
      <w:r w:rsidR="004649E0" w:rsidRPr="003655D2">
        <w:t>ORR</w:t>
      </w:r>
      <w:r w:rsidRPr="003655D2">
        <w:t xml:space="preserve"> for patients with </w:t>
      </w:r>
      <w:r w:rsidR="004649E0" w:rsidRPr="003655D2">
        <w:t>measurable brain metastases at B</w:t>
      </w:r>
      <w:r w:rsidRPr="003655D2">
        <w:t>aseline was 66.7% in Arm B and 50.0% in Arm A (Table 3).</w:t>
      </w:r>
      <w:r w:rsidR="00BC01FB" w:rsidRPr="003655D2">
        <w:t xml:space="preserve"> </w:t>
      </w:r>
      <w:r w:rsidRPr="003655D2">
        <w:t>In patient</w:t>
      </w:r>
      <w:r w:rsidR="004649E0" w:rsidRPr="003655D2">
        <w:t>s with any brain metastases at B</w:t>
      </w:r>
      <w:r w:rsidRPr="003655D2">
        <w:t>aseline, 53.4% in Arm A and 65.6% in Arm B had a response of 12 months or greater.</w:t>
      </w:r>
      <w:r w:rsidR="00BC01FB" w:rsidRPr="003655D2">
        <w:t xml:space="preserve"> </w:t>
      </w:r>
      <w:r w:rsidRPr="003655D2">
        <w:t xml:space="preserve">Median CNS </w:t>
      </w:r>
      <w:r w:rsidR="004649E0" w:rsidRPr="003655D2">
        <w:t>PFS</w:t>
      </w:r>
      <w:r w:rsidRPr="003655D2">
        <w:t xml:space="preserve"> was 12.8 months (95% CI 9.0</w:t>
      </w:r>
      <w:r w:rsidR="00F75DF5" w:rsidRPr="003655D2">
        <w:t xml:space="preserve"> to</w:t>
      </w:r>
      <w:r w:rsidRPr="003655D2">
        <w:t xml:space="preserve"> 18.3) in Arm A and 18.4 months (95% CI 12.6, NA) in Arm B.</w:t>
      </w:r>
    </w:p>
    <w:p w14:paraId="66305392" w14:textId="6B80CD37" w:rsidR="00BF5D8D" w:rsidRDefault="00BF5D8D" w:rsidP="00552756">
      <w:pPr>
        <w:pStyle w:val="TableTitle"/>
      </w:pPr>
      <w:r>
        <w:t xml:space="preserve">Table </w:t>
      </w:r>
      <w:fldSimple w:instr=" SEQ Table \* ARABIC ">
        <w:r w:rsidR="00DF5AFE">
          <w:rPr>
            <w:noProof/>
          </w:rPr>
          <w:t>4</w:t>
        </w:r>
      </w:fldSimple>
      <w:r w:rsidR="004649E0">
        <w:rPr>
          <w:noProof/>
        </w:rPr>
        <w:t>:</w:t>
      </w:r>
      <w:r w:rsidR="00BC01FB">
        <w:t xml:space="preserve"> </w:t>
      </w:r>
      <w:r w:rsidR="0061561B">
        <w:t xml:space="preserve">Independent review committee </w:t>
      </w:r>
      <w:r>
        <w:t xml:space="preserve">assessed intracranial </w:t>
      </w:r>
      <w:r w:rsidR="0061561B">
        <w:t>objective response rates</w:t>
      </w:r>
      <w:r>
        <w:t xml:space="preserve"> by treatment arm (</w:t>
      </w:r>
      <w:r w:rsidR="0061561B">
        <w:t xml:space="preserve">data </w:t>
      </w:r>
      <w:r w:rsidR="004649E0">
        <w:t>cut-off</w:t>
      </w:r>
      <w:r>
        <w:t xml:space="preserve"> 21</w:t>
      </w:r>
      <w:r w:rsidR="004649E0">
        <w:t xml:space="preserve"> </w:t>
      </w:r>
      <w:r>
        <w:t>Feb</w:t>
      </w:r>
      <w:r w:rsidR="004649E0">
        <w:t xml:space="preserve">ruary </w:t>
      </w:r>
      <w:r>
        <w:t>2017)</w:t>
      </w:r>
    </w:p>
    <w:tbl>
      <w:tblPr>
        <w:tblStyle w:val="TableTGAblue"/>
        <w:tblW w:w="8582" w:type="dxa"/>
        <w:jc w:val="center"/>
        <w:tblLayout w:type="fixed"/>
        <w:tblLook w:val="01E0" w:firstRow="1" w:lastRow="1" w:firstColumn="1" w:lastColumn="1" w:noHBand="0" w:noVBand="0"/>
      </w:tblPr>
      <w:tblGrid>
        <w:gridCol w:w="1465"/>
        <w:gridCol w:w="1304"/>
        <w:gridCol w:w="1163"/>
        <w:gridCol w:w="1162"/>
        <w:gridCol w:w="1163"/>
        <w:gridCol w:w="1162"/>
        <w:gridCol w:w="1163"/>
      </w:tblGrid>
      <w:tr w:rsidR="00BF5D8D" w14:paraId="7963BE2C" w14:textId="77777777" w:rsidTr="00A525C4">
        <w:trPr>
          <w:cnfStyle w:val="100000000000" w:firstRow="1" w:lastRow="0" w:firstColumn="0" w:lastColumn="0" w:oddVBand="0" w:evenVBand="0" w:oddHBand="0" w:evenHBand="0" w:firstRowFirstColumn="0" w:firstRowLastColumn="0" w:lastRowFirstColumn="0" w:lastRowLastColumn="0"/>
          <w:trHeight w:hRule="exact" w:val="647"/>
          <w:jc w:val="center"/>
        </w:trPr>
        <w:tc>
          <w:tcPr>
            <w:tcW w:w="1465" w:type="dxa"/>
            <w:vMerge w:val="restart"/>
            <w:shd w:val="clear" w:color="auto" w:fill="0070B5" w:themeFill="accent1" w:themeFillTint="BF"/>
            <w:hideMark/>
          </w:tcPr>
          <w:p w14:paraId="6702FFD9" w14:textId="43958E79" w:rsidR="00BF5D8D" w:rsidRDefault="00BF5D8D" w:rsidP="00552756">
            <w:pPr>
              <w:pStyle w:val="Tabletext"/>
              <w:spacing w:before="0" w:after="0"/>
              <w:ind w:left="0" w:right="0"/>
              <w:rPr>
                <w:b w:val="0"/>
                <w:color w:val="auto"/>
                <w:szCs w:val="22"/>
                <w:lang w:eastAsia="en-US"/>
              </w:rPr>
            </w:pPr>
            <w:r>
              <w:t>Intracranial</w:t>
            </w:r>
            <w:r>
              <w:rPr>
                <w:spacing w:val="-18"/>
              </w:rPr>
              <w:t xml:space="preserve"> </w:t>
            </w:r>
            <w:r w:rsidR="004649E0">
              <w:t>efficacy</w:t>
            </w:r>
            <w:r w:rsidR="004649E0">
              <w:rPr>
                <w:w w:val="99"/>
              </w:rPr>
              <w:t xml:space="preserve"> </w:t>
            </w:r>
            <w:r w:rsidR="004649E0">
              <w:rPr>
                <w:spacing w:val="1"/>
              </w:rPr>
              <w:t>para</w:t>
            </w:r>
            <w:r w:rsidR="004649E0">
              <w:rPr>
                <w:spacing w:val="-7"/>
              </w:rPr>
              <w:t>m</w:t>
            </w:r>
            <w:r w:rsidR="004649E0">
              <w:t>eter</w:t>
            </w:r>
          </w:p>
        </w:tc>
        <w:tc>
          <w:tcPr>
            <w:tcW w:w="3629" w:type="dxa"/>
            <w:gridSpan w:val="3"/>
            <w:shd w:val="clear" w:color="auto" w:fill="0070B5" w:themeFill="accent1" w:themeFillTint="BF"/>
            <w:hideMark/>
          </w:tcPr>
          <w:p w14:paraId="791E12AD" w14:textId="499B402F" w:rsidR="00BF5D8D" w:rsidRDefault="00BF5D8D" w:rsidP="00552756">
            <w:pPr>
              <w:pStyle w:val="Tabletext"/>
              <w:spacing w:before="0" w:after="0"/>
              <w:ind w:left="0" w:right="0"/>
              <w:rPr>
                <w:b w:val="0"/>
                <w:color w:val="auto"/>
                <w:szCs w:val="22"/>
                <w:lang w:eastAsia="en-US"/>
              </w:rPr>
            </w:pPr>
            <w:r>
              <w:rPr>
                <w:spacing w:val="4"/>
              </w:rPr>
              <w:t>M</w:t>
            </w:r>
            <w:r>
              <w:rPr>
                <w:spacing w:val="-3"/>
              </w:rPr>
              <w:t>e</w:t>
            </w:r>
            <w:r>
              <w:t>asurable</w:t>
            </w:r>
            <w:r>
              <w:rPr>
                <w:spacing w:val="-9"/>
              </w:rPr>
              <w:t xml:space="preserve"> </w:t>
            </w:r>
            <w:r w:rsidR="004649E0">
              <w:t>brain</w:t>
            </w:r>
            <w:r w:rsidR="004649E0">
              <w:rPr>
                <w:spacing w:val="-9"/>
              </w:rPr>
              <w:t xml:space="preserve"> </w:t>
            </w:r>
            <w:r w:rsidR="004649E0">
              <w:t>metastases</w:t>
            </w:r>
            <w:r w:rsidR="004649E0">
              <w:rPr>
                <w:spacing w:val="-8"/>
              </w:rPr>
              <w:t xml:space="preserve"> </w:t>
            </w:r>
            <w:r w:rsidR="004649E0">
              <w:t>at Baseline</w:t>
            </w:r>
          </w:p>
        </w:tc>
        <w:tc>
          <w:tcPr>
            <w:tcW w:w="3488" w:type="dxa"/>
            <w:gridSpan w:val="3"/>
            <w:shd w:val="clear" w:color="auto" w:fill="0070B5" w:themeFill="accent1" w:themeFillTint="BF"/>
            <w:hideMark/>
          </w:tcPr>
          <w:p w14:paraId="11BF77CD" w14:textId="44D88B50" w:rsidR="00BF5D8D" w:rsidRDefault="00BF5D8D" w:rsidP="00552756">
            <w:pPr>
              <w:pStyle w:val="Tabletext"/>
              <w:spacing w:before="0" w:after="0"/>
              <w:ind w:left="0" w:right="0"/>
              <w:rPr>
                <w:b w:val="0"/>
                <w:color w:val="auto"/>
                <w:szCs w:val="22"/>
                <w:lang w:eastAsia="en-US"/>
              </w:rPr>
            </w:pPr>
            <w:r>
              <w:t>Only</w:t>
            </w:r>
            <w:r>
              <w:rPr>
                <w:spacing w:val="-12"/>
              </w:rPr>
              <w:t xml:space="preserve"> </w:t>
            </w:r>
            <w:r w:rsidR="004649E0">
              <w:t>no</w:t>
            </w:r>
            <w:r w:rsidR="004649E0">
              <w:rPr>
                <w:spacing w:val="-1"/>
              </w:rPr>
              <w:t>n</w:t>
            </w:r>
            <w:r w:rsidR="004649E0">
              <w:rPr>
                <w:spacing w:val="-2"/>
              </w:rPr>
              <w:t>-</w:t>
            </w:r>
            <w:r w:rsidR="004649E0">
              <w:t>measurable</w:t>
            </w:r>
            <w:r w:rsidR="004649E0">
              <w:rPr>
                <w:spacing w:val="-12"/>
              </w:rPr>
              <w:t xml:space="preserve"> </w:t>
            </w:r>
            <w:r w:rsidR="004649E0">
              <w:t xml:space="preserve">brain </w:t>
            </w:r>
            <w:r w:rsidR="004649E0">
              <w:rPr>
                <w:spacing w:val="4"/>
              </w:rPr>
              <w:t>m</w:t>
            </w:r>
            <w:r w:rsidR="004649E0">
              <w:rPr>
                <w:spacing w:val="-3"/>
              </w:rPr>
              <w:t>e</w:t>
            </w:r>
            <w:r w:rsidR="004649E0">
              <w:t>tastases</w:t>
            </w:r>
            <w:r w:rsidR="004649E0">
              <w:rPr>
                <w:spacing w:val="-10"/>
              </w:rPr>
              <w:t xml:space="preserve"> </w:t>
            </w:r>
            <w:r>
              <w:t>at</w:t>
            </w:r>
            <w:r>
              <w:rPr>
                <w:spacing w:val="-9"/>
              </w:rPr>
              <w:t xml:space="preserve"> </w:t>
            </w:r>
            <w:r>
              <w:t>Baseline</w:t>
            </w:r>
          </w:p>
        </w:tc>
      </w:tr>
      <w:tr w:rsidR="00BF5D8D" w14:paraId="5B9CE4E9" w14:textId="77777777" w:rsidTr="00A525C4">
        <w:trPr>
          <w:cnfStyle w:val="100000000000" w:firstRow="1" w:lastRow="0" w:firstColumn="0" w:lastColumn="0" w:oddVBand="0" w:evenVBand="0" w:oddHBand="0" w:evenHBand="0" w:firstRowFirstColumn="0" w:firstRowLastColumn="0" w:lastRowFirstColumn="0" w:lastRowLastColumn="0"/>
          <w:trHeight w:hRule="exact" w:val="1159"/>
          <w:jc w:val="center"/>
        </w:trPr>
        <w:tc>
          <w:tcPr>
            <w:tcW w:w="1465" w:type="dxa"/>
            <w:vMerge/>
            <w:vAlign w:val="center"/>
            <w:hideMark/>
          </w:tcPr>
          <w:p w14:paraId="0283A1DD" w14:textId="77777777" w:rsidR="00BF5D8D" w:rsidRDefault="00BF5D8D" w:rsidP="00552756">
            <w:pPr>
              <w:spacing w:before="0" w:after="0" w:line="240" w:lineRule="auto"/>
              <w:rPr>
                <w:b w:val="0"/>
                <w:sz w:val="19"/>
                <w:szCs w:val="22"/>
                <w:lang w:eastAsia="en-US"/>
              </w:rPr>
            </w:pPr>
          </w:p>
        </w:tc>
        <w:tc>
          <w:tcPr>
            <w:tcW w:w="1304" w:type="dxa"/>
            <w:tcBorders>
              <w:left w:val="single" w:sz="8" w:space="0" w:color="000000" w:themeColor="text1"/>
              <w:right w:val="single" w:sz="8" w:space="0" w:color="000000" w:themeColor="text1"/>
            </w:tcBorders>
            <w:shd w:val="clear" w:color="auto" w:fill="0070B5" w:themeFill="accent1" w:themeFillTint="BF"/>
            <w:hideMark/>
          </w:tcPr>
          <w:p w14:paraId="0EE542C7" w14:textId="77777777" w:rsidR="00BF5D8D" w:rsidRDefault="00BF5D8D" w:rsidP="00552756">
            <w:pPr>
              <w:pStyle w:val="Tabletext"/>
              <w:spacing w:before="0" w:after="0"/>
              <w:ind w:left="0" w:right="0"/>
              <w:rPr>
                <w:b w:val="0"/>
                <w:w w:val="99"/>
                <w:szCs w:val="22"/>
                <w:lang w:eastAsia="en-US"/>
              </w:rPr>
            </w:pPr>
            <w:r>
              <w:rPr>
                <w:b w:val="0"/>
                <w:spacing w:val="1"/>
              </w:rPr>
              <w:t>Ar</w:t>
            </w:r>
            <w:r>
              <w:rPr>
                <w:b w:val="0"/>
              </w:rPr>
              <w:t>m</w:t>
            </w:r>
            <w:r>
              <w:rPr>
                <w:b w:val="0"/>
                <w:spacing w:val="-9"/>
              </w:rPr>
              <w:t xml:space="preserve"> </w:t>
            </w:r>
            <w:r>
              <w:rPr>
                <w:b w:val="0"/>
              </w:rPr>
              <w:t>A</w:t>
            </w:r>
          </w:p>
          <w:p w14:paraId="0C3F7536" w14:textId="5773B70A" w:rsidR="00BF5D8D" w:rsidRDefault="00BF5D8D" w:rsidP="00552756">
            <w:pPr>
              <w:pStyle w:val="Tabletext"/>
              <w:spacing w:before="0" w:after="0"/>
              <w:ind w:left="0" w:right="0"/>
              <w:rPr>
                <w:b w:val="0"/>
                <w:szCs w:val="22"/>
                <w:lang w:eastAsia="en-US"/>
              </w:rPr>
            </w:pPr>
            <w:r>
              <w:rPr>
                <w:b w:val="0"/>
                <w:spacing w:val="1"/>
              </w:rPr>
              <w:t>9</w:t>
            </w:r>
            <w:r>
              <w:rPr>
                <w:b w:val="0"/>
              </w:rPr>
              <w:t>0</w:t>
            </w:r>
            <w:r>
              <w:rPr>
                <w:b w:val="0"/>
                <w:spacing w:val="-1"/>
              </w:rPr>
              <w:t xml:space="preserve"> </w:t>
            </w:r>
            <w:r>
              <w:rPr>
                <w:b w:val="0"/>
                <w:spacing w:val="-7"/>
              </w:rPr>
              <w:t>m</w:t>
            </w:r>
            <w:r>
              <w:rPr>
                <w:b w:val="0"/>
              </w:rPr>
              <w:t>g</w:t>
            </w:r>
            <w:r>
              <w:rPr>
                <w:b w:val="0"/>
                <w:w w:val="99"/>
              </w:rPr>
              <w:t xml:space="preserve"> </w:t>
            </w:r>
            <w:r w:rsidR="0061561B">
              <w:rPr>
                <w:b w:val="0"/>
                <w:spacing w:val="-2"/>
              </w:rPr>
              <w:t>daily</w:t>
            </w:r>
            <w:r>
              <w:rPr>
                <w:b w:val="0"/>
                <w:spacing w:val="-2"/>
                <w:w w:val="99"/>
              </w:rPr>
              <w:t xml:space="preserve"> (</w:t>
            </w:r>
            <w:r>
              <w:rPr>
                <w:b w:val="0"/>
              </w:rPr>
              <w:t>N</w:t>
            </w:r>
            <w:r w:rsidR="0042150C">
              <w:rPr>
                <w:b w:val="0"/>
              </w:rPr>
              <w:t xml:space="preserve"> </w:t>
            </w:r>
            <w:r>
              <w:rPr>
                <w:b w:val="0"/>
              </w:rPr>
              <w:t>=</w:t>
            </w:r>
            <w:r w:rsidR="0042150C">
              <w:rPr>
                <w:b w:val="0"/>
              </w:rPr>
              <w:t xml:space="preserve"> </w:t>
            </w:r>
            <w:r>
              <w:rPr>
                <w:b w:val="0"/>
              </w:rPr>
              <w:t>26)</w:t>
            </w:r>
          </w:p>
        </w:tc>
        <w:tc>
          <w:tcPr>
            <w:tcW w:w="1163" w:type="dxa"/>
            <w:tcBorders>
              <w:left w:val="single" w:sz="8" w:space="0" w:color="000000" w:themeColor="text1"/>
              <w:right w:val="single" w:sz="8" w:space="0" w:color="000000" w:themeColor="text1"/>
            </w:tcBorders>
            <w:shd w:val="clear" w:color="auto" w:fill="0070B5" w:themeFill="accent1" w:themeFillTint="BF"/>
            <w:hideMark/>
          </w:tcPr>
          <w:p w14:paraId="79804379" w14:textId="77777777" w:rsidR="00BF5D8D" w:rsidRDefault="00BF5D8D" w:rsidP="00552756">
            <w:pPr>
              <w:pStyle w:val="Tabletext"/>
              <w:spacing w:before="0" w:after="0"/>
              <w:ind w:left="0" w:right="0"/>
              <w:rPr>
                <w:b w:val="0"/>
                <w:szCs w:val="22"/>
                <w:lang w:eastAsia="en-US"/>
              </w:rPr>
            </w:pPr>
            <w:r>
              <w:rPr>
                <w:b w:val="0"/>
                <w:spacing w:val="1"/>
              </w:rPr>
              <w:t>Ar</w:t>
            </w:r>
            <w:r>
              <w:rPr>
                <w:b w:val="0"/>
              </w:rPr>
              <w:t>m</w:t>
            </w:r>
            <w:r>
              <w:rPr>
                <w:b w:val="0"/>
                <w:spacing w:val="-11"/>
              </w:rPr>
              <w:t xml:space="preserve"> </w:t>
            </w:r>
            <w:r>
              <w:rPr>
                <w:b w:val="0"/>
              </w:rPr>
              <w:t>B</w:t>
            </w:r>
          </w:p>
          <w:p w14:paraId="48A97543" w14:textId="70AC09FD" w:rsidR="00BF5D8D" w:rsidRDefault="00BF5D8D" w:rsidP="00552756">
            <w:pPr>
              <w:pStyle w:val="Tabletext"/>
              <w:spacing w:before="0" w:after="0"/>
              <w:ind w:left="0" w:right="0"/>
              <w:rPr>
                <w:b w:val="0"/>
                <w:spacing w:val="-2"/>
                <w:szCs w:val="22"/>
                <w:lang w:eastAsia="en-US"/>
              </w:rPr>
            </w:pPr>
            <w:r>
              <w:rPr>
                <w:b w:val="0"/>
                <w:spacing w:val="1"/>
              </w:rPr>
              <w:t>9</w:t>
            </w:r>
            <w:r>
              <w:rPr>
                <w:b w:val="0"/>
              </w:rPr>
              <w:t>0</w:t>
            </w:r>
            <w:r w:rsidR="003655D2">
              <w:rPr>
                <w:b w:val="0"/>
                <w:spacing w:val="-1"/>
              </w:rPr>
              <w:t xml:space="preserve"> </w:t>
            </w:r>
            <w:r w:rsidR="003655D2" w:rsidRPr="003655D2">
              <w:rPr>
                <w:b w:val="0"/>
                <w:spacing w:val="-1"/>
              </w:rPr>
              <w:t>→</w:t>
            </w:r>
            <w:r>
              <w:rPr>
                <w:b w:val="0"/>
                <w:spacing w:val="-1"/>
              </w:rPr>
              <w:t xml:space="preserve"> </w:t>
            </w:r>
            <w:r>
              <w:rPr>
                <w:b w:val="0"/>
              </w:rPr>
              <w:t>180</w:t>
            </w:r>
            <w:r>
              <w:rPr>
                <w:b w:val="0"/>
                <w:spacing w:val="-2"/>
              </w:rPr>
              <w:t xml:space="preserve"> </w:t>
            </w:r>
            <w:r>
              <w:rPr>
                <w:b w:val="0"/>
                <w:spacing w:val="-7"/>
              </w:rPr>
              <w:t>m</w:t>
            </w:r>
            <w:r>
              <w:rPr>
                <w:b w:val="0"/>
              </w:rPr>
              <w:t>g</w:t>
            </w:r>
            <w:r>
              <w:rPr>
                <w:b w:val="0"/>
                <w:w w:val="99"/>
              </w:rPr>
              <w:t xml:space="preserve"> </w:t>
            </w:r>
            <w:r w:rsidR="0061561B">
              <w:rPr>
                <w:b w:val="0"/>
                <w:spacing w:val="-2"/>
              </w:rPr>
              <w:t>daily</w:t>
            </w:r>
          </w:p>
          <w:p w14:paraId="2804725E" w14:textId="7CB23F59" w:rsidR="00BF5D8D" w:rsidRDefault="00BF5D8D" w:rsidP="00552756">
            <w:pPr>
              <w:pStyle w:val="Tabletext"/>
              <w:spacing w:before="0" w:after="0"/>
              <w:ind w:left="0" w:right="0"/>
              <w:rPr>
                <w:b w:val="0"/>
                <w:szCs w:val="22"/>
                <w:lang w:eastAsia="en-US"/>
              </w:rPr>
            </w:pPr>
            <w:r>
              <w:rPr>
                <w:b w:val="0"/>
                <w:spacing w:val="-2"/>
                <w:w w:val="99"/>
              </w:rPr>
              <w:t>(</w:t>
            </w:r>
            <w:r>
              <w:rPr>
                <w:b w:val="0"/>
              </w:rPr>
              <w:t>N</w:t>
            </w:r>
            <w:r w:rsidR="0042150C">
              <w:rPr>
                <w:b w:val="0"/>
              </w:rPr>
              <w:t xml:space="preserve"> </w:t>
            </w:r>
            <w:r>
              <w:rPr>
                <w:b w:val="0"/>
              </w:rPr>
              <w:t>=</w:t>
            </w:r>
            <w:r w:rsidR="0042150C">
              <w:rPr>
                <w:b w:val="0"/>
              </w:rPr>
              <w:t xml:space="preserve"> </w:t>
            </w:r>
            <w:r>
              <w:rPr>
                <w:b w:val="0"/>
              </w:rPr>
              <w:t>18)</w:t>
            </w:r>
          </w:p>
        </w:tc>
        <w:tc>
          <w:tcPr>
            <w:tcW w:w="1162" w:type="dxa"/>
            <w:tcBorders>
              <w:left w:val="single" w:sz="8" w:space="0" w:color="000000" w:themeColor="text1"/>
              <w:right w:val="single" w:sz="8" w:space="0" w:color="000000" w:themeColor="text1"/>
            </w:tcBorders>
            <w:shd w:val="clear" w:color="auto" w:fill="0070B5" w:themeFill="accent1" w:themeFillTint="BF"/>
            <w:hideMark/>
          </w:tcPr>
          <w:p w14:paraId="4DA4509F" w14:textId="77777777" w:rsidR="00BF5D8D" w:rsidRDefault="00BF5D8D" w:rsidP="00552756">
            <w:pPr>
              <w:pStyle w:val="Tabletext"/>
              <w:spacing w:before="0" w:after="0"/>
              <w:ind w:left="0" w:right="0"/>
              <w:rPr>
                <w:b w:val="0"/>
                <w:szCs w:val="22"/>
                <w:lang w:eastAsia="en-US"/>
              </w:rPr>
            </w:pPr>
            <w:r>
              <w:rPr>
                <w:b w:val="0"/>
              </w:rPr>
              <w:t>Total</w:t>
            </w:r>
          </w:p>
          <w:p w14:paraId="33B5C0C0" w14:textId="385F838D" w:rsidR="00BF5D8D" w:rsidRDefault="00BF5D8D" w:rsidP="00552756">
            <w:pPr>
              <w:pStyle w:val="Tabletext"/>
              <w:spacing w:before="0" w:after="0"/>
              <w:ind w:left="0" w:right="0"/>
              <w:rPr>
                <w:b w:val="0"/>
                <w:szCs w:val="22"/>
                <w:lang w:eastAsia="en-US"/>
              </w:rPr>
            </w:pPr>
            <w:r>
              <w:rPr>
                <w:b w:val="0"/>
              </w:rPr>
              <w:t>(N</w:t>
            </w:r>
            <w:r w:rsidR="0042150C">
              <w:rPr>
                <w:b w:val="0"/>
              </w:rPr>
              <w:t xml:space="preserve"> </w:t>
            </w:r>
            <w:r>
              <w:rPr>
                <w:b w:val="0"/>
              </w:rPr>
              <w:t>=</w:t>
            </w:r>
            <w:r w:rsidR="0042150C">
              <w:rPr>
                <w:b w:val="0"/>
              </w:rPr>
              <w:t xml:space="preserve"> </w:t>
            </w:r>
            <w:r>
              <w:rPr>
                <w:b w:val="0"/>
              </w:rPr>
              <w:t>44)</w:t>
            </w:r>
          </w:p>
        </w:tc>
        <w:tc>
          <w:tcPr>
            <w:tcW w:w="1163" w:type="dxa"/>
            <w:tcBorders>
              <w:left w:val="single" w:sz="8" w:space="0" w:color="000000" w:themeColor="text1"/>
              <w:right w:val="single" w:sz="8" w:space="0" w:color="000000" w:themeColor="text1"/>
            </w:tcBorders>
            <w:shd w:val="clear" w:color="auto" w:fill="0070B5" w:themeFill="accent1" w:themeFillTint="BF"/>
            <w:hideMark/>
          </w:tcPr>
          <w:p w14:paraId="5EB0492F" w14:textId="77777777" w:rsidR="00BF5D8D" w:rsidRDefault="00BF5D8D" w:rsidP="00552756">
            <w:pPr>
              <w:pStyle w:val="Tabletext"/>
              <w:spacing w:before="0" w:after="0"/>
              <w:ind w:left="0" w:right="0"/>
              <w:rPr>
                <w:b w:val="0"/>
                <w:w w:val="99"/>
                <w:szCs w:val="22"/>
                <w:lang w:eastAsia="en-US"/>
              </w:rPr>
            </w:pPr>
            <w:r>
              <w:rPr>
                <w:b w:val="0"/>
                <w:spacing w:val="1"/>
              </w:rPr>
              <w:t>Ar</w:t>
            </w:r>
            <w:r>
              <w:rPr>
                <w:b w:val="0"/>
              </w:rPr>
              <w:t>m</w:t>
            </w:r>
            <w:r>
              <w:rPr>
                <w:b w:val="0"/>
                <w:spacing w:val="-9"/>
              </w:rPr>
              <w:t xml:space="preserve"> </w:t>
            </w:r>
            <w:r>
              <w:rPr>
                <w:b w:val="0"/>
              </w:rPr>
              <w:t>A</w:t>
            </w:r>
          </w:p>
          <w:p w14:paraId="2BF47C33" w14:textId="77777777" w:rsidR="00BF5D8D" w:rsidRDefault="00BF5D8D" w:rsidP="00552756">
            <w:pPr>
              <w:pStyle w:val="Tabletext"/>
              <w:spacing w:before="0" w:after="0"/>
              <w:ind w:left="0" w:right="0"/>
              <w:rPr>
                <w:b w:val="0"/>
                <w:spacing w:val="-2"/>
                <w:szCs w:val="22"/>
                <w:lang w:eastAsia="en-US"/>
              </w:rPr>
            </w:pPr>
            <w:r>
              <w:rPr>
                <w:b w:val="0"/>
                <w:spacing w:val="1"/>
              </w:rPr>
              <w:t>9</w:t>
            </w:r>
            <w:r>
              <w:rPr>
                <w:b w:val="0"/>
              </w:rPr>
              <w:t>0</w:t>
            </w:r>
            <w:r>
              <w:rPr>
                <w:b w:val="0"/>
                <w:spacing w:val="-1"/>
              </w:rPr>
              <w:t xml:space="preserve"> </w:t>
            </w:r>
            <w:r>
              <w:rPr>
                <w:b w:val="0"/>
                <w:spacing w:val="-7"/>
              </w:rPr>
              <w:t>m</w:t>
            </w:r>
            <w:r>
              <w:rPr>
                <w:b w:val="0"/>
              </w:rPr>
              <w:t>g</w:t>
            </w:r>
            <w:r>
              <w:rPr>
                <w:b w:val="0"/>
                <w:w w:val="99"/>
              </w:rPr>
              <w:t xml:space="preserve"> </w:t>
            </w:r>
            <w:r w:rsidR="0061561B">
              <w:rPr>
                <w:b w:val="0"/>
                <w:spacing w:val="-2"/>
              </w:rPr>
              <w:t>daily</w:t>
            </w:r>
          </w:p>
          <w:p w14:paraId="5D4D681F" w14:textId="0F75B06C" w:rsidR="00BF5D8D" w:rsidRDefault="00BF5D8D" w:rsidP="00552756">
            <w:pPr>
              <w:pStyle w:val="Tabletext"/>
              <w:spacing w:before="0" w:after="0"/>
              <w:ind w:left="0" w:right="0"/>
              <w:rPr>
                <w:b w:val="0"/>
                <w:szCs w:val="22"/>
                <w:lang w:eastAsia="en-US"/>
              </w:rPr>
            </w:pPr>
            <w:r>
              <w:rPr>
                <w:b w:val="0"/>
                <w:spacing w:val="-2"/>
              </w:rPr>
              <w:t>(</w:t>
            </w:r>
            <w:r>
              <w:rPr>
                <w:b w:val="0"/>
              </w:rPr>
              <w:t>N</w:t>
            </w:r>
            <w:r w:rsidR="0042150C">
              <w:rPr>
                <w:b w:val="0"/>
              </w:rPr>
              <w:t xml:space="preserve"> </w:t>
            </w:r>
            <w:r>
              <w:rPr>
                <w:b w:val="0"/>
              </w:rPr>
              <w:t>=</w:t>
            </w:r>
            <w:r w:rsidR="0042150C">
              <w:rPr>
                <w:b w:val="0"/>
              </w:rPr>
              <w:t xml:space="preserve"> </w:t>
            </w:r>
            <w:r>
              <w:rPr>
                <w:b w:val="0"/>
              </w:rPr>
              <w:t>54)</w:t>
            </w:r>
          </w:p>
        </w:tc>
        <w:tc>
          <w:tcPr>
            <w:tcW w:w="1162" w:type="dxa"/>
            <w:tcBorders>
              <w:left w:val="single" w:sz="8" w:space="0" w:color="000000" w:themeColor="text1"/>
              <w:right w:val="single" w:sz="8" w:space="0" w:color="000000" w:themeColor="text1"/>
            </w:tcBorders>
            <w:shd w:val="clear" w:color="auto" w:fill="0070B5" w:themeFill="accent1" w:themeFillTint="BF"/>
            <w:hideMark/>
          </w:tcPr>
          <w:p w14:paraId="7DA064EB" w14:textId="77777777" w:rsidR="00BF5D8D" w:rsidRDefault="00BF5D8D" w:rsidP="00552756">
            <w:pPr>
              <w:pStyle w:val="Tabletext"/>
              <w:spacing w:before="0" w:after="0"/>
              <w:ind w:left="0" w:right="0"/>
              <w:rPr>
                <w:b w:val="0"/>
                <w:szCs w:val="22"/>
                <w:lang w:eastAsia="en-US"/>
              </w:rPr>
            </w:pPr>
            <w:r>
              <w:rPr>
                <w:b w:val="0"/>
                <w:spacing w:val="1"/>
              </w:rPr>
              <w:t>Ar</w:t>
            </w:r>
            <w:r>
              <w:rPr>
                <w:b w:val="0"/>
              </w:rPr>
              <w:t>m</w:t>
            </w:r>
            <w:r>
              <w:rPr>
                <w:b w:val="0"/>
                <w:spacing w:val="-11"/>
              </w:rPr>
              <w:t xml:space="preserve"> </w:t>
            </w:r>
            <w:r>
              <w:rPr>
                <w:b w:val="0"/>
              </w:rPr>
              <w:t>B</w:t>
            </w:r>
          </w:p>
          <w:p w14:paraId="0D4C8EA6" w14:textId="16260AE8" w:rsidR="00BF5D8D" w:rsidRDefault="00BF5D8D" w:rsidP="00552756">
            <w:pPr>
              <w:pStyle w:val="Tabletext"/>
              <w:spacing w:before="0" w:after="0"/>
              <w:ind w:left="0" w:right="0"/>
              <w:rPr>
                <w:b w:val="0"/>
                <w:szCs w:val="22"/>
                <w:lang w:eastAsia="en-US"/>
              </w:rPr>
            </w:pPr>
            <w:r>
              <w:rPr>
                <w:b w:val="0"/>
                <w:spacing w:val="1"/>
              </w:rPr>
              <w:t>9</w:t>
            </w:r>
            <w:r>
              <w:rPr>
                <w:b w:val="0"/>
              </w:rPr>
              <w:t>0</w:t>
            </w:r>
            <w:r>
              <w:rPr>
                <w:b w:val="0"/>
                <w:spacing w:val="-1"/>
              </w:rPr>
              <w:t xml:space="preserve"> </w:t>
            </w:r>
            <w:r w:rsidR="003655D2" w:rsidRPr="003655D2">
              <w:rPr>
                <w:b w:val="0"/>
                <w:spacing w:val="-1"/>
              </w:rPr>
              <w:t>→</w:t>
            </w:r>
            <w:r>
              <w:rPr>
                <w:b w:val="0"/>
                <w:spacing w:val="-7"/>
              </w:rPr>
              <w:t xml:space="preserve"> </w:t>
            </w:r>
            <w:r>
              <w:rPr>
                <w:b w:val="0"/>
              </w:rPr>
              <w:t>180</w:t>
            </w:r>
            <w:r>
              <w:rPr>
                <w:b w:val="0"/>
                <w:spacing w:val="-2"/>
              </w:rPr>
              <w:t xml:space="preserve"> </w:t>
            </w:r>
            <w:r>
              <w:rPr>
                <w:b w:val="0"/>
                <w:spacing w:val="-7"/>
              </w:rPr>
              <w:t>m</w:t>
            </w:r>
            <w:r>
              <w:rPr>
                <w:b w:val="0"/>
              </w:rPr>
              <w:t>g</w:t>
            </w:r>
            <w:r>
              <w:rPr>
                <w:b w:val="0"/>
                <w:w w:val="99"/>
              </w:rPr>
              <w:t xml:space="preserve"> </w:t>
            </w:r>
            <w:r w:rsidR="0061561B">
              <w:rPr>
                <w:b w:val="0"/>
                <w:spacing w:val="-2"/>
              </w:rPr>
              <w:t>daily</w:t>
            </w:r>
          </w:p>
          <w:p w14:paraId="4D0932C5" w14:textId="078F02D2" w:rsidR="00BF5D8D" w:rsidRDefault="00BF5D8D" w:rsidP="00552756">
            <w:pPr>
              <w:pStyle w:val="Tabletext"/>
              <w:spacing w:before="0" w:after="0"/>
              <w:ind w:left="0" w:right="0"/>
              <w:rPr>
                <w:b w:val="0"/>
                <w:szCs w:val="22"/>
                <w:lang w:eastAsia="en-US"/>
              </w:rPr>
            </w:pPr>
            <w:r>
              <w:rPr>
                <w:b w:val="0"/>
              </w:rPr>
              <w:t>(N</w:t>
            </w:r>
            <w:r w:rsidR="0042150C">
              <w:rPr>
                <w:b w:val="0"/>
              </w:rPr>
              <w:t xml:space="preserve"> </w:t>
            </w:r>
            <w:r>
              <w:rPr>
                <w:b w:val="0"/>
              </w:rPr>
              <w:t>=</w:t>
            </w:r>
            <w:r w:rsidR="0042150C">
              <w:rPr>
                <w:b w:val="0"/>
              </w:rPr>
              <w:t xml:space="preserve"> </w:t>
            </w:r>
            <w:r>
              <w:rPr>
                <w:b w:val="0"/>
              </w:rPr>
              <w:t>55)</w:t>
            </w:r>
          </w:p>
        </w:tc>
        <w:tc>
          <w:tcPr>
            <w:tcW w:w="1163" w:type="dxa"/>
            <w:tcBorders>
              <w:left w:val="single" w:sz="8" w:space="0" w:color="000000" w:themeColor="text1"/>
            </w:tcBorders>
            <w:shd w:val="clear" w:color="auto" w:fill="0070B5" w:themeFill="accent1" w:themeFillTint="BF"/>
            <w:hideMark/>
          </w:tcPr>
          <w:p w14:paraId="74ED9FCE" w14:textId="77777777" w:rsidR="00BF5D8D" w:rsidRDefault="00BF5D8D" w:rsidP="00552756">
            <w:pPr>
              <w:pStyle w:val="Tabletext"/>
              <w:spacing w:before="0" w:after="0"/>
              <w:ind w:left="0" w:right="0"/>
              <w:rPr>
                <w:b w:val="0"/>
                <w:szCs w:val="22"/>
                <w:lang w:eastAsia="en-US"/>
              </w:rPr>
            </w:pPr>
            <w:r>
              <w:rPr>
                <w:b w:val="0"/>
              </w:rPr>
              <w:t>Total</w:t>
            </w:r>
          </w:p>
          <w:p w14:paraId="5B18A5C9" w14:textId="3932FF55" w:rsidR="00BF5D8D" w:rsidRDefault="00BF5D8D" w:rsidP="00552756">
            <w:pPr>
              <w:pStyle w:val="Tabletext"/>
              <w:spacing w:before="0" w:after="0"/>
              <w:ind w:left="0" w:right="0"/>
              <w:rPr>
                <w:b w:val="0"/>
                <w:szCs w:val="22"/>
                <w:lang w:eastAsia="en-US"/>
              </w:rPr>
            </w:pPr>
            <w:r>
              <w:rPr>
                <w:b w:val="0"/>
              </w:rPr>
              <w:t>(N</w:t>
            </w:r>
            <w:r w:rsidR="0042150C">
              <w:rPr>
                <w:b w:val="0"/>
              </w:rPr>
              <w:t xml:space="preserve"> </w:t>
            </w:r>
            <w:r>
              <w:rPr>
                <w:b w:val="0"/>
              </w:rPr>
              <w:t>=</w:t>
            </w:r>
            <w:r w:rsidR="0042150C">
              <w:rPr>
                <w:b w:val="0"/>
              </w:rPr>
              <w:t xml:space="preserve"> </w:t>
            </w:r>
            <w:r>
              <w:rPr>
                <w:b w:val="0"/>
              </w:rPr>
              <w:t>109)</w:t>
            </w:r>
          </w:p>
        </w:tc>
      </w:tr>
      <w:tr w:rsidR="00BF5D8D" w14:paraId="75AC49D2" w14:textId="77777777" w:rsidTr="00F75DF5">
        <w:trPr>
          <w:trHeight w:val="284"/>
          <w:jc w:val="center"/>
        </w:trPr>
        <w:tc>
          <w:tcPr>
            <w:tcW w:w="858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D06B721" w14:textId="63DA4AC1" w:rsidR="00BF5D8D" w:rsidRPr="00A525C4" w:rsidRDefault="00BF5D8D" w:rsidP="00A525C4">
            <w:pPr>
              <w:rPr>
                <w:color w:val="auto"/>
                <w:sz w:val="19"/>
                <w:szCs w:val="19"/>
                <w:lang w:eastAsia="en-US"/>
              </w:rPr>
            </w:pPr>
            <w:r w:rsidRPr="00A525C4">
              <w:rPr>
                <w:sz w:val="19"/>
                <w:szCs w:val="19"/>
              </w:rPr>
              <w:t>Confirmed</w:t>
            </w:r>
            <w:r w:rsidR="0042150C" w:rsidRPr="00A525C4">
              <w:rPr>
                <w:sz w:val="19"/>
                <w:szCs w:val="19"/>
              </w:rPr>
              <w:t xml:space="preserve"> i</w:t>
            </w:r>
            <w:r w:rsidRPr="00A525C4">
              <w:rPr>
                <w:sz w:val="19"/>
                <w:szCs w:val="19"/>
              </w:rPr>
              <w:t>ntracranial</w:t>
            </w:r>
            <w:r w:rsidR="0042150C" w:rsidRPr="00A525C4">
              <w:rPr>
                <w:sz w:val="19"/>
                <w:szCs w:val="19"/>
              </w:rPr>
              <w:t xml:space="preserve"> ORR</w:t>
            </w:r>
            <w:r w:rsidRPr="00A525C4">
              <w:rPr>
                <w:position w:val="8"/>
                <w:sz w:val="19"/>
                <w:szCs w:val="19"/>
              </w:rPr>
              <w:t>a</w:t>
            </w:r>
          </w:p>
        </w:tc>
      </w:tr>
      <w:tr w:rsidR="00BF5D8D" w14:paraId="23EDDAE2" w14:textId="77777777" w:rsidTr="00F75DF5">
        <w:trPr>
          <w:trHeight w:val="284"/>
          <w:jc w:val="center"/>
        </w:trPr>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98FF83" w14:textId="77777777" w:rsidR="00BF5D8D" w:rsidRPr="00A525C4" w:rsidRDefault="00BF5D8D" w:rsidP="00A525C4">
            <w:pPr>
              <w:rPr>
                <w:sz w:val="19"/>
                <w:szCs w:val="19"/>
              </w:rPr>
            </w:pPr>
            <w:r w:rsidRPr="00A525C4">
              <w:rPr>
                <w:sz w:val="19"/>
                <w:szCs w:val="19"/>
              </w:rPr>
              <w:t>n (%)</w:t>
            </w:r>
          </w:p>
        </w:tc>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18F391B" w14:textId="77777777" w:rsidR="00BF5D8D" w:rsidRPr="00A525C4" w:rsidRDefault="00BF5D8D" w:rsidP="00A525C4">
            <w:pPr>
              <w:rPr>
                <w:sz w:val="19"/>
                <w:szCs w:val="19"/>
              </w:rPr>
            </w:pPr>
            <w:r w:rsidRPr="00A525C4">
              <w:rPr>
                <w:sz w:val="19"/>
                <w:szCs w:val="19"/>
              </w:rPr>
              <w:t>13 (50.0)</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8E85AC" w14:textId="77777777" w:rsidR="00BF5D8D" w:rsidRPr="00A525C4" w:rsidRDefault="00BF5D8D" w:rsidP="00A525C4">
            <w:pPr>
              <w:rPr>
                <w:sz w:val="19"/>
                <w:szCs w:val="19"/>
              </w:rPr>
            </w:pPr>
            <w:r w:rsidRPr="00A525C4">
              <w:rPr>
                <w:sz w:val="19"/>
                <w:szCs w:val="19"/>
              </w:rPr>
              <w:t>12 (66.7)</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CAAC831" w14:textId="77777777" w:rsidR="00BF5D8D" w:rsidRPr="00A525C4" w:rsidRDefault="00BF5D8D" w:rsidP="00A525C4">
            <w:pPr>
              <w:rPr>
                <w:sz w:val="19"/>
                <w:szCs w:val="19"/>
              </w:rPr>
            </w:pPr>
            <w:r w:rsidRPr="00A525C4">
              <w:rPr>
                <w:sz w:val="19"/>
                <w:szCs w:val="19"/>
              </w:rPr>
              <w:t>25 (56.8)</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CEB5D4" w14:textId="77777777" w:rsidR="00BF5D8D" w:rsidRPr="00A525C4" w:rsidRDefault="00BF5D8D" w:rsidP="00A525C4">
            <w:pPr>
              <w:rPr>
                <w:sz w:val="19"/>
                <w:szCs w:val="19"/>
              </w:rPr>
            </w:pPr>
            <w:r w:rsidRPr="00A525C4">
              <w:rPr>
                <w:sz w:val="19"/>
                <w:szCs w:val="19"/>
              </w:rPr>
              <w:t>4 (7.4)</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B223812" w14:textId="77777777" w:rsidR="00BF5D8D" w:rsidRPr="00A525C4" w:rsidRDefault="00BF5D8D" w:rsidP="00A525C4">
            <w:pPr>
              <w:rPr>
                <w:sz w:val="19"/>
                <w:szCs w:val="19"/>
              </w:rPr>
            </w:pPr>
            <w:r w:rsidRPr="00A525C4">
              <w:rPr>
                <w:sz w:val="19"/>
                <w:szCs w:val="19"/>
              </w:rPr>
              <w:t>10 (18.2)</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CDCAE7" w14:textId="77777777" w:rsidR="00BF5D8D" w:rsidRPr="00A525C4" w:rsidRDefault="00BF5D8D" w:rsidP="00A525C4">
            <w:pPr>
              <w:rPr>
                <w:sz w:val="19"/>
                <w:szCs w:val="19"/>
              </w:rPr>
            </w:pPr>
            <w:r w:rsidRPr="00A525C4">
              <w:rPr>
                <w:sz w:val="19"/>
                <w:szCs w:val="19"/>
              </w:rPr>
              <w:t>14 (12.8)</w:t>
            </w:r>
          </w:p>
        </w:tc>
      </w:tr>
      <w:tr w:rsidR="00BF5D8D" w14:paraId="563FDE66" w14:textId="77777777" w:rsidTr="00F75DF5">
        <w:trPr>
          <w:trHeight w:val="284"/>
          <w:jc w:val="center"/>
        </w:trPr>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6F2D735" w14:textId="77777777" w:rsidR="00BF5D8D" w:rsidRPr="00A525C4" w:rsidRDefault="00BF5D8D" w:rsidP="00A525C4">
            <w:pPr>
              <w:rPr>
                <w:sz w:val="19"/>
                <w:szCs w:val="19"/>
              </w:rPr>
            </w:pPr>
            <w:r w:rsidRPr="00A525C4">
              <w:rPr>
                <w:sz w:val="19"/>
                <w:szCs w:val="19"/>
              </w:rPr>
              <w:t>95% CI</w:t>
            </w:r>
          </w:p>
        </w:tc>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36F48D" w14:textId="77777777" w:rsidR="00BF5D8D" w:rsidRPr="00A525C4" w:rsidRDefault="00BF5D8D" w:rsidP="00A525C4">
            <w:pPr>
              <w:rPr>
                <w:sz w:val="19"/>
                <w:szCs w:val="19"/>
              </w:rPr>
            </w:pPr>
            <w:r w:rsidRPr="00A525C4">
              <w:rPr>
                <w:sz w:val="19"/>
                <w:szCs w:val="19"/>
              </w:rPr>
              <w:t>29.9, 70.1</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50BF6F" w14:textId="77777777" w:rsidR="00BF5D8D" w:rsidRPr="00A525C4" w:rsidRDefault="00BF5D8D" w:rsidP="00A525C4">
            <w:pPr>
              <w:rPr>
                <w:sz w:val="19"/>
                <w:szCs w:val="19"/>
              </w:rPr>
            </w:pPr>
            <w:r w:rsidRPr="00A525C4">
              <w:rPr>
                <w:sz w:val="19"/>
                <w:szCs w:val="19"/>
              </w:rPr>
              <w:t>41.0, 86.7</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4CCC29D" w14:textId="77777777" w:rsidR="00BF5D8D" w:rsidRPr="00A525C4" w:rsidRDefault="00BF5D8D" w:rsidP="00A525C4">
            <w:pPr>
              <w:rPr>
                <w:sz w:val="19"/>
                <w:szCs w:val="19"/>
              </w:rPr>
            </w:pPr>
            <w:r w:rsidRPr="00A525C4">
              <w:rPr>
                <w:sz w:val="19"/>
                <w:szCs w:val="19"/>
              </w:rPr>
              <w:t>41.0, 71.7</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E52F134" w14:textId="77777777" w:rsidR="00BF5D8D" w:rsidRPr="00A525C4" w:rsidRDefault="00BF5D8D" w:rsidP="00A525C4">
            <w:pPr>
              <w:rPr>
                <w:sz w:val="19"/>
                <w:szCs w:val="19"/>
              </w:rPr>
            </w:pPr>
            <w:r w:rsidRPr="00A525C4">
              <w:rPr>
                <w:sz w:val="19"/>
                <w:szCs w:val="19"/>
              </w:rPr>
              <w:t>2.1, 17.9</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FC2E82" w14:textId="77777777" w:rsidR="00BF5D8D" w:rsidRPr="00A525C4" w:rsidRDefault="00BF5D8D" w:rsidP="00A525C4">
            <w:pPr>
              <w:rPr>
                <w:sz w:val="19"/>
                <w:szCs w:val="19"/>
              </w:rPr>
            </w:pPr>
            <w:r w:rsidRPr="00A525C4">
              <w:rPr>
                <w:sz w:val="19"/>
                <w:szCs w:val="19"/>
              </w:rPr>
              <w:t>9.1, 30.9</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B910A2C" w14:textId="77777777" w:rsidR="00BF5D8D" w:rsidRPr="00A525C4" w:rsidRDefault="00BF5D8D" w:rsidP="00A525C4">
            <w:pPr>
              <w:rPr>
                <w:sz w:val="19"/>
                <w:szCs w:val="19"/>
              </w:rPr>
            </w:pPr>
            <w:r w:rsidRPr="00A525C4">
              <w:rPr>
                <w:sz w:val="19"/>
                <w:szCs w:val="19"/>
              </w:rPr>
              <w:t>7.2, 20.6</w:t>
            </w:r>
          </w:p>
        </w:tc>
      </w:tr>
      <w:tr w:rsidR="00BF5D8D" w14:paraId="2416F880" w14:textId="77777777" w:rsidTr="00F75DF5">
        <w:trPr>
          <w:trHeight w:val="284"/>
          <w:jc w:val="center"/>
        </w:trPr>
        <w:tc>
          <w:tcPr>
            <w:tcW w:w="858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B43D388" w14:textId="1F067E41" w:rsidR="00BF5D8D" w:rsidRPr="00A525C4" w:rsidRDefault="00BF5D8D" w:rsidP="00A525C4">
            <w:pPr>
              <w:rPr>
                <w:sz w:val="19"/>
                <w:szCs w:val="19"/>
              </w:rPr>
            </w:pPr>
            <w:r w:rsidRPr="00A525C4">
              <w:rPr>
                <w:sz w:val="19"/>
                <w:szCs w:val="19"/>
              </w:rPr>
              <w:t xml:space="preserve">Best </w:t>
            </w:r>
            <w:r w:rsidR="0042150C" w:rsidRPr="00A525C4">
              <w:rPr>
                <w:sz w:val="19"/>
                <w:szCs w:val="19"/>
              </w:rPr>
              <w:t>intracranial overall response status</w:t>
            </w:r>
            <w:r w:rsidRPr="00A525C4">
              <w:rPr>
                <w:sz w:val="19"/>
                <w:szCs w:val="19"/>
              </w:rPr>
              <w:t>, n (%)</w:t>
            </w:r>
          </w:p>
        </w:tc>
      </w:tr>
      <w:tr w:rsidR="00BF5D8D" w14:paraId="7C01CFFF" w14:textId="77777777" w:rsidTr="00F75DF5">
        <w:trPr>
          <w:trHeight w:val="284"/>
          <w:jc w:val="center"/>
        </w:trPr>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481627" w14:textId="76013DE2" w:rsidR="00BF5D8D" w:rsidRPr="00A525C4" w:rsidRDefault="00BF5D8D" w:rsidP="00A525C4">
            <w:pPr>
              <w:rPr>
                <w:sz w:val="19"/>
                <w:szCs w:val="19"/>
              </w:rPr>
            </w:pPr>
            <w:r w:rsidRPr="00A525C4">
              <w:rPr>
                <w:sz w:val="19"/>
                <w:szCs w:val="19"/>
              </w:rPr>
              <w:t xml:space="preserve">Confirmed </w:t>
            </w:r>
            <w:r w:rsidR="0042150C" w:rsidRPr="00A525C4">
              <w:rPr>
                <w:sz w:val="19"/>
                <w:szCs w:val="19"/>
              </w:rPr>
              <w:t>CR</w:t>
            </w:r>
          </w:p>
        </w:tc>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8868CDF" w14:textId="77777777" w:rsidR="00BF5D8D" w:rsidRPr="00A525C4" w:rsidRDefault="00BF5D8D" w:rsidP="00A525C4">
            <w:pPr>
              <w:rPr>
                <w:sz w:val="19"/>
                <w:szCs w:val="19"/>
              </w:rPr>
            </w:pPr>
            <w:r w:rsidRPr="00A525C4">
              <w:rPr>
                <w:sz w:val="19"/>
                <w:szCs w:val="19"/>
              </w:rPr>
              <w:t>2 (7.7)</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CD6EB0E" w14:textId="77777777" w:rsidR="00BF5D8D" w:rsidRPr="00A525C4" w:rsidRDefault="00BF5D8D" w:rsidP="00A525C4">
            <w:pPr>
              <w:rPr>
                <w:sz w:val="19"/>
                <w:szCs w:val="19"/>
              </w:rPr>
            </w:pPr>
            <w:r w:rsidRPr="00A525C4">
              <w:rPr>
                <w:sz w:val="19"/>
                <w:szCs w:val="19"/>
              </w:rPr>
              <w:t>0</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C0439B9" w14:textId="77777777" w:rsidR="00BF5D8D" w:rsidRPr="00A525C4" w:rsidRDefault="00BF5D8D" w:rsidP="00A525C4">
            <w:pPr>
              <w:rPr>
                <w:sz w:val="19"/>
                <w:szCs w:val="19"/>
              </w:rPr>
            </w:pPr>
            <w:r w:rsidRPr="00A525C4">
              <w:rPr>
                <w:sz w:val="19"/>
                <w:szCs w:val="19"/>
              </w:rPr>
              <w:t>2 (4.5)</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9274C8A" w14:textId="77777777" w:rsidR="00BF5D8D" w:rsidRPr="00A525C4" w:rsidRDefault="00BF5D8D" w:rsidP="00A525C4">
            <w:pPr>
              <w:rPr>
                <w:sz w:val="19"/>
                <w:szCs w:val="19"/>
              </w:rPr>
            </w:pPr>
            <w:r w:rsidRPr="00A525C4">
              <w:rPr>
                <w:sz w:val="19"/>
                <w:szCs w:val="19"/>
              </w:rPr>
              <w:t>4 (7.4)</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B03E45" w14:textId="77777777" w:rsidR="00BF5D8D" w:rsidRPr="00A525C4" w:rsidRDefault="00BF5D8D" w:rsidP="00A525C4">
            <w:pPr>
              <w:rPr>
                <w:sz w:val="19"/>
                <w:szCs w:val="19"/>
              </w:rPr>
            </w:pPr>
            <w:r w:rsidRPr="00A525C4">
              <w:rPr>
                <w:sz w:val="19"/>
                <w:szCs w:val="19"/>
              </w:rPr>
              <w:t>10 (18.2)</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B51CBBD" w14:textId="77777777" w:rsidR="00BF5D8D" w:rsidRPr="00A525C4" w:rsidRDefault="00BF5D8D" w:rsidP="00A525C4">
            <w:pPr>
              <w:rPr>
                <w:sz w:val="19"/>
                <w:szCs w:val="19"/>
              </w:rPr>
            </w:pPr>
            <w:r w:rsidRPr="00A525C4">
              <w:rPr>
                <w:sz w:val="19"/>
                <w:szCs w:val="19"/>
              </w:rPr>
              <w:t>14 (12.8)</w:t>
            </w:r>
          </w:p>
        </w:tc>
      </w:tr>
      <w:tr w:rsidR="00BF5D8D" w14:paraId="3FC1732F" w14:textId="77777777" w:rsidTr="00F75DF5">
        <w:trPr>
          <w:trHeight w:val="284"/>
          <w:jc w:val="center"/>
        </w:trPr>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956EA2" w14:textId="1C73F721" w:rsidR="00BF5D8D" w:rsidRPr="00A525C4" w:rsidRDefault="00BF5D8D" w:rsidP="00A525C4">
            <w:pPr>
              <w:rPr>
                <w:sz w:val="19"/>
                <w:szCs w:val="19"/>
              </w:rPr>
            </w:pPr>
            <w:r w:rsidRPr="00A525C4">
              <w:rPr>
                <w:sz w:val="19"/>
                <w:szCs w:val="19"/>
              </w:rPr>
              <w:t xml:space="preserve">Confirmed </w:t>
            </w:r>
            <w:r w:rsidR="0042150C" w:rsidRPr="00A525C4">
              <w:rPr>
                <w:sz w:val="19"/>
                <w:szCs w:val="19"/>
              </w:rPr>
              <w:t>PR</w:t>
            </w:r>
          </w:p>
        </w:tc>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BC22693" w14:textId="77777777" w:rsidR="00BF5D8D" w:rsidRPr="00A525C4" w:rsidRDefault="00BF5D8D" w:rsidP="00A525C4">
            <w:pPr>
              <w:rPr>
                <w:sz w:val="19"/>
                <w:szCs w:val="19"/>
              </w:rPr>
            </w:pPr>
            <w:r w:rsidRPr="00A525C4">
              <w:rPr>
                <w:sz w:val="19"/>
                <w:szCs w:val="19"/>
              </w:rPr>
              <w:t>11 (42.3)</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4EBAA2" w14:textId="77777777" w:rsidR="00BF5D8D" w:rsidRPr="00A525C4" w:rsidRDefault="00BF5D8D" w:rsidP="00A525C4">
            <w:pPr>
              <w:rPr>
                <w:sz w:val="19"/>
                <w:szCs w:val="19"/>
              </w:rPr>
            </w:pPr>
            <w:r w:rsidRPr="00A525C4">
              <w:rPr>
                <w:sz w:val="19"/>
                <w:szCs w:val="19"/>
              </w:rPr>
              <w:t>12 (66.7)</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15A9B8A" w14:textId="77777777" w:rsidR="00BF5D8D" w:rsidRPr="00A525C4" w:rsidRDefault="00BF5D8D" w:rsidP="00A525C4">
            <w:pPr>
              <w:rPr>
                <w:sz w:val="19"/>
                <w:szCs w:val="19"/>
              </w:rPr>
            </w:pPr>
            <w:r w:rsidRPr="00A525C4">
              <w:rPr>
                <w:sz w:val="19"/>
                <w:szCs w:val="19"/>
              </w:rPr>
              <w:t>23 (52.3)</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C0DC9EF" w14:textId="77777777" w:rsidR="00BF5D8D" w:rsidRPr="00A525C4" w:rsidRDefault="00BF5D8D" w:rsidP="00A525C4">
            <w:pPr>
              <w:rPr>
                <w:sz w:val="19"/>
                <w:szCs w:val="19"/>
              </w:rPr>
            </w:pPr>
            <w:r w:rsidRPr="00A525C4">
              <w:rPr>
                <w:sz w:val="19"/>
                <w:szCs w:val="19"/>
              </w:rPr>
              <w:t>0</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808B6A2" w14:textId="77777777" w:rsidR="00BF5D8D" w:rsidRPr="00A525C4" w:rsidRDefault="00BF5D8D" w:rsidP="00A525C4">
            <w:pPr>
              <w:rPr>
                <w:sz w:val="19"/>
                <w:szCs w:val="19"/>
              </w:rPr>
            </w:pPr>
            <w:r w:rsidRPr="00A525C4">
              <w:rPr>
                <w:sz w:val="19"/>
                <w:szCs w:val="19"/>
              </w:rPr>
              <w:t>1 (1.8)</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533268" w14:textId="77777777" w:rsidR="00BF5D8D" w:rsidRPr="00A525C4" w:rsidRDefault="00BF5D8D" w:rsidP="00A525C4">
            <w:pPr>
              <w:rPr>
                <w:sz w:val="19"/>
                <w:szCs w:val="19"/>
              </w:rPr>
            </w:pPr>
            <w:r w:rsidRPr="00A525C4">
              <w:rPr>
                <w:sz w:val="19"/>
                <w:szCs w:val="19"/>
              </w:rPr>
              <w:t>1 (0.9)</w:t>
            </w:r>
          </w:p>
        </w:tc>
      </w:tr>
      <w:tr w:rsidR="00BF5D8D" w14:paraId="10C75BCF" w14:textId="77777777" w:rsidTr="00F75DF5">
        <w:trPr>
          <w:trHeight w:val="284"/>
          <w:jc w:val="center"/>
        </w:trPr>
        <w:tc>
          <w:tcPr>
            <w:tcW w:w="858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B6C9CC6" w14:textId="3792C3FD" w:rsidR="00BF5D8D" w:rsidRPr="00A525C4" w:rsidRDefault="00BF5D8D" w:rsidP="00A525C4">
            <w:pPr>
              <w:rPr>
                <w:sz w:val="19"/>
                <w:szCs w:val="19"/>
              </w:rPr>
            </w:pPr>
            <w:r w:rsidRPr="00A525C4">
              <w:rPr>
                <w:sz w:val="19"/>
                <w:szCs w:val="19"/>
              </w:rPr>
              <w:lastRenderedPageBreak/>
              <w:t xml:space="preserve">Intracranial </w:t>
            </w:r>
            <w:r w:rsidR="0042150C" w:rsidRPr="00A525C4">
              <w:rPr>
                <w:sz w:val="19"/>
                <w:szCs w:val="19"/>
              </w:rPr>
              <w:t>disease control rate</w:t>
            </w:r>
          </w:p>
        </w:tc>
      </w:tr>
      <w:tr w:rsidR="00BF5D8D" w14:paraId="195FDDE7" w14:textId="77777777" w:rsidTr="00F75DF5">
        <w:trPr>
          <w:trHeight w:val="284"/>
          <w:jc w:val="center"/>
        </w:trPr>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B19BBB0" w14:textId="77777777" w:rsidR="00BF5D8D" w:rsidRPr="00A525C4" w:rsidRDefault="00BF5D8D" w:rsidP="00A525C4">
            <w:pPr>
              <w:rPr>
                <w:sz w:val="19"/>
                <w:szCs w:val="19"/>
              </w:rPr>
            </w:pPr>
            <w:r w:rsidRPr="00A525C4">
              <w:rPr>
                <w:sz w:val="19"/>
                <w:szCs w:val="19"/>
              </w:rPr>
              <w:t>n (%)</w:t>
            </w:r>
          </w:p>
        </w:tc>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5421E36" w14:textId="77777777" w:rsidR="00BF5D8D" w:rsidRPr="00A525C4" w:rsidRDefault="00BF5D8D" w:rsidP="00A525C4">
            <w:pPr>
              <w:rPr>
                <w:sz w:val="19"/>
                <w:szCs w:val="19"/>
              </w:rPr>
            </w:pPr>
            <w:r w:rsidRPr="00A525C4">
              <w:rPr>
                <w:sz w:val="19"/>
                <w:szCs w:val="19"/>
              </w:rPr>
              <w:t>22 (84.6)</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48DDE33" w14:textId="77777777" w:rsidR="00BF5D8D" w:rsidRPr="00A525C4" w:rsidRDefault="00BF5D8D" w:rsidP="00A525C4">
            <w:pPr>
              <w:rPr>
                <w:sz w:val="19"/>
                <w:szCs w:val="19"/>
              </w:rPr>
            </w:pPr>
            <w:r w:rsidRPr="00A525C4">
              <w:rPr>
                <w:sz w:val="19"/>
                <w:szCs w:val="19"/>
              </w:rPr>
              <w:t>15 (83.3)</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92298A" w14:textId="77777777" w:rsidR="00BF5D8D" w:rsidRPr="00A525C4" w:rsidRDefault="00BF5D8D" w:rsidP="00A525C4">
            <w:pPr>
              <w:rPr>
                <w:sz w:val="19"/>
                <w:szCs w:val="19"/>
              </w:rPr>
            </w:pPr>
            <w:r w:rsidRPr="00A525C4">
              <w:rPr>
                <w:sz w:val="19"/>
                <w:szCs w:val="19"/>
              </w:rPr>
              <w:t>37 (84.1)</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F5052E6" w14:textId="77777777" w:rsidR="00BF5D8D" w:rsidRPr="00A525C4" w:rsidRDefault="00BF5D8D" w:rsidP="00A525C4">
            <w:pPr>
              <w:rPr>
                <w:sz w:val="19"/>
                <w:szCs w:val="19"/>
              </w:rPr>
            </w:pPr>
            <w:r w:rsidRPr="00A525C4">
              <w:rPr>
                <w:sz w:val="19"/>
                <w:szCs w:val="19"/>
              </w:rPr>
              <w:t>40 (74.1)</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7890B23" w14:textId="77777777" w:rsidR="00BF5D8D" w:rsidRPr="00A525C4" w:rsidRDefault="00BF5D8D" w:rsidP="00A525C4">
            <w:pPr>
              <w:rPr>
                <w:sz w:val="19"/>
                <w:szCs w:val="19"/>
              </w:rPr>
            </w:pPr>
            <w:r w:rsidRPr="00A525C4">
              <w:rPr>
                <w:sz w:val="19"/>
                <w:szCs w:val="19"/>
              </w:rPr>
              <w:t>48 (87.3)</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7CFF6E" w14:textId="77777777" w:rsidR="00BF5D8D" w:rsidRPr="00A525C4" w:rsidRDefault="00BF5D8D" w:rsidP="00A525C4">
            <w:pPr>
              <w:rPr>
                <w:sz w:val="19"/>
                <w:szCs w:val="19"/>
              </w:rPr>
            </w:pPr>
            <w:r w:rsidRPr="00A525C4">
              <w:rPr>
                <w:sz w:val="19"/>
                <w:szCs w:val="19"/>
              </w:rPr>
              <w:t>88 (80.7)</w:t>
            </w:r>
          </w:p>
        </w:tc>
      </w:tr>
      <w:tr w:rsidR="00BF5D8D" w14:paraId="0557B3AD" w14:textId="77777777" w:rsidTr="00F75DF5">
        <w:trPr>
          <w:trHeight w:val="284"/>
          <w:jc w:val="center"/>
        </w:trPr>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DD0B093" w14:textId="77777777" w:rsidR="00BF5D8D" w:rsidRPr="00A525C4" w:rsidRDefault="00BF5D8D" w:rsidP="00A525C4">
            <w:pPr>
              <w:rPr>
                <w:sz w:val="19"/>
                <w:szCs w:val="19"/>
              </w:rPr>
            </w:pPr>
            <w:r w:rsidRPr="00A525C4">
              <w:rPr>
                <w:sz w:val="19"/>
                <w:szCs w:val="19"/>
              </w:rPr>
              <w:t>95% CI</w:t>
            </w:r>
          </w:p>
        </w:tc>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A12C016" w14:textId="77777777" w:rsidR="00BF5D8D" w:rsidRPr="00A525C4" w:rsidRDefault="00BF5D8D" w:rsidP="00A525C4">
            <w:pPr>
              <w:rPr>
                <w:sz w:val="19"/>
                <w:szCs w:val="19"/>
              </w:rPr>
            </w:pPr>
            <w:r w:rsidRPr="00A525C4">
              <w:rPr>
                <w:sz w:val="19"/>
                <w:szCs w:val="19"/>
              </w:rPr>
              <w:t>65.1. 95.6</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5FC6CF" w14:textId="77777777" w:rsidR="00BF5D8D" w:rsidRPr="00A525C4" w:rsidRDefault="00BF5D8D" w:rsidP="00A525C4">
            <w:pPr>
              <w:rPr>
                <w:sz w:val="19"/>
                <w:szCs w:val="19"/>
              </w:rPr>
            </w:pPr>
            <w:r w:rsidRPr="00A525C4">
              <w:rPr>
                <w:sz w:val="19"/>
                <w:szCs w:val="19"/>
              </w:rPr>
              <w:t>58.6, 96.4</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5AE397" w14:textId="77777777" w:rsidR="00BF5D8D" w:rsidRPr="00A525C4" w:rsidRDefault="00BF5D8D" w:rsidP="00A525C4">
            <w:pPr>
              <w:rPr>
                <w:sz w:val="19"/>
                <w:szCs w:val="19"/>
              </w:rPr>
            </w:pPr>
            <w:r w:rsidRPr="00A525C4">
              <w:rPr>
                <w:sz w:val="19"/>
                <w:szCs w:val="19"/>
              </w:rPr>
              <w:t>69.9, 93.4</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6DA0360" w14:textId="77777777" w:rsidR="00BF5D8D" w:rsidRPr="00A525C4" w:rsidRDefault="00BF5D8D" w:rsidP="00A525C4">
            <w:pPr>
              <w:rPr>
                <w:sz w:val="19"/>
                <w:szCs w:val="19"/>
              </w:rPr>
            </w:pPr>
            <w:r w:rsidRPr="00A525C4">
              <w:rPr>
                <w:sz w:val="19"/>
                <w:szCs w:val="19"/>
              </w:rPr>
              <w:t>60.3, 85.0</w:t>
            </w:r>
          </w:p>
        </w:tc>
        <w:tc>
          <w:tcPr>
            <w:tcW w:w="11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C06CD1" w14:textId="77777777" w:rsidR="00BF5D8D" w:rsidRPr="00A525C4" w:rsidRDefault="00BF5D8D" w:rsidP="00A525C4">
            <w:pPr>
              <w:rPr>
                <w:sz w:val="19"/>
                <w:szCs w:val="19"/>
              </w:rPr>
            </w:pPr>
            <w:r w:rsidRPr="00A525C4">
              <w:rPr>
                <w:sz w:val="19"/>
                <w:szCs w:val="19"/>
              </w:rPr>
              <w:t>75.5, 94.7</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51B59FB" w14:textId="77777777" w:rsidR="00BF5D8D" w:rsidRPr="00A525C4" w:rsidRDefault="00BF5D8D" w:rsidP="00A525C4">
            <w:pPr>
              <w:rPr>
                <w:sz w:val="19"/>
                <w:szCs w:val="19"/>
              </w:rPr>
            </w:pPr>
            <w:r w:rsidRPr="00A525C4">
              <w:rPr>
                <w:sz w:val="19"/>
                <w:szCs w:val="19"/>
              </w:rPr>
              <w:t>72.1, 87.7</w:t>
            </w:r>
          </w:p>
        </w:tc>
      </w:tr>
    </w:tbl>
    <w:p w14:paraId="4CD163D4" w14:textId="7098E02E" w:rsidR="0042150C" w:rsidRDefault="0042150C" w:rsidP="0042150C">
      <w:pPr>
        <w:pStyle w:val="TableDescription"/>
      </w:pPr>
      <w:r>
        <w:t>a: Confirmed objective response rate is defined as the proportion of patients who achieved confirmed complete response per RECIST v1.1</w:t>
      </w:r>
    </w:p>
    <w:p w14:paraId="10949DE3" w14:textId="684A8A97" w:rsidR="00EC6BF5" w:rsidRDefault="00BF5D8D" w:rsidP="00BF5D8D">
      <w:r>
        <w:t>Outcomes for subgroup analyses of the primary efficacy outcome for Arm B are shown in</w:t>
      </w:r>
      <w:r w:rsidR="003655D2">
        <w:t xml:space="preserve"> </w:t>
      </w:r>
      <w:r w:rsidR="003655D2">
        <w:fldChar w:fldCharType="begin"/>
      </w:r>
      <w:r w:rsidR="003655D2">
        <w:instrText xml:space="preserve"> REF _Ref33685599 \h </w:instrText>
      </w:r>
      <w:r w:rsidR="003655D2">
        <w:fldChar w:fldCharType="separate"/>
      </w:r>
      <w:r w:rsidR="003655D2">
        <w:t xml:space="preserve">Figure </w:t>
      </w:r>
      <w:r w:rsidR="003655D2">
        <w:rPr>
          <w:noProof/>
        </w:rPr>
        <w:t>3</w:t>
      </w:r>
      <w:r w:rsidR="003655D2">
        <w:fldChar w:fldCharType="end"/>
      </w:r>
      <w:r>
        <w:t>.</w:t>
      </w:r>
      <w:r w:rsidR="00BC01FB">
        <w:t xml:space="preserve"> </w:t>
      </w:r>
      <w:r>
        <w:t>Patients who had previously achieved a complete response or a partial response to crizotinib, were more likely to achieve an objective response to brigatinib 180</w:t>
      </w:r>
      <w:r w:rsidR="001D1427">
        <w:t xml:space="preserve"> </w:t>
      </w:r>
      <w:r>
        <w:t xml:space="preserve">mg </w:t>
      </w:r>
      <w:r w:rsidR="0061561B">
        <w:t xml:space="preserve">daily </w:t>
      </w:r>
      <w:r w:rsidR="003655D2">
        <w:t>(65.8% (</w:t>
      </w:r>
      <w:r>
        <w:t>95% CI 53.7</w:t>
      </w:r>
      <w:r w:rsidR="001D1427">
        <w:t xml:space="preserve"> to</w:t>
      </w:r>
      <w:r w:rsidR="003655D2">
        <w:t>76.5%)</w:t>
      </w:r>
      <w:r>
        <w:t>) than those whose best response was stable disease, progression</w:t>
      </w:r>
      <w:r w:rsidR="003655D2">
        <w:t xml:space="preserve"> or unknown (32.4% 95% CI (</w:t>
      </w:r>
      <w:r w:rsidR="001D1427">
        <w:t>18 to</w:t>
      </w:r>
      <w:r w:rsidR="003655D2">
        <w:t>49.8%)</w:t>
      </w:r>
      <w:r>
        <w:t>).</w:t>
      </w:r>
      <w:r w:rsidR="00BC01FB">
        <w:t xml:space="preserve"> </w:t>
      </w:r>
      <w:r>
        <w:t>Patients in Arm B with brain metastases at study entry were numerically more likely to achieve an objective response (58.1%) compared to those without brain metastases (47.2%).</w:t>
      </w:r>
      <w:r w:rsidR="00BC01FB">
        <w:t xml:space="preserve"> </w:t>
      </w:r>
      <w:r>
        <w:t xml:space="preserve">In contrast, patients with brain metastases at study entry who were treated with brigatinib 90 mg </w:t>
      </w:r>
      <w:r w:rsidR="0061561B">
        <w:t>daily</w:t>
      </w:r>
      <w:r>
        <w:t xml:space="preserve"> (Arm A) were numerically less likely to achieve an objective response (38.8%) compared to those without brain metastases (59.4%)</w:t>
      </w:r>
      <w:r w:rsidR="00EC6BF5">
        <w:t>.</w:t>
      </w:r>
    </w:p>
    <w:p w14:paraId="3079BD1F" w14:textId="5DBCF3F8" w:rsidR="00BF5D8D" w:rsidRDefault="003655D2" w:rsidP="003655D2">
      <w:pPr>
        <w:pStyle w:val="FigureTitle"/>
      </w:pPr>
      <w:bookmarkStart w:id="48" w:name="_Ref33685599"/>
      <w:r>
        <w:t xml:space="preserve">Figure </w:t>
      </w:r>
      <w:fldSimple w:instr=" SEQ Figure \* ARABIC ">
        <w:r>
          <w:rPr>
            <w:noProof/>
          </w:rPr>
          <w:t>3</w:t>
        </w:r>
      </w:fldSimple>
      <w:bookmarkEnd w:id="48"/>
      <w:r>
        <w:t xml:space="preserve">: </w:t>
      </w:r>
      <w:r w:rsidR="00BF5D8D">
        <w:t xml:space="preserve">Forest </w:t>
      </w:r>
      <w:r w:rsidR="0043552A">
        <w:t>p</w:t>
      </w:r>
      <w:r w:rsidR="00BF5D8D">
        <w:t xml:space="preserve">lot </w:t>
      </w:r>
      <w:r>
        <w:t>of investigator-assessed confirmed objective systemic response (Arm B: 90</w:t>
      </w:r>
      <w:r w:rsidR="0043552A">
        <w:rPr>
          <w:rFonts w:eastAsia="Times New Roman"/>
        </w:rPr>
        <w:t>/</w:t>
      </w:r>
      <w:r w:rsidR="00BF5D8D">
        <w:t>180</w:t>
      </w:r>
      <w:r>
        <w:t xml:space="preserve"> </w:t>
      </w:r>
      <w:r w:rsidR="00BF5D8D">
        <w:t xml:space="preserve">mg </w:t>
      </w:r>
      <w:r w:rsidR="0061561B">
        <w:t>daily</w:t>
      </w:r>
      <w:r w:rsidR="00BF5D8D">
        <w:t xml:space="preserve">) in the </w:t>
      </w:r>
      <w:r>
        <w:t>intent</w:t>
      </w:r>
      <w:r w:rsidR="0061561B">
        <w:t xml:space="preserve"> to treat</w:t>
      </w:r>
      <w:r w:rsidR="00BF5D8D">
        <w:t xml:space="preserve"> population (</w:t>
      </w:r>
      <w:r w:rsidR="0061561B">
        <w:t xml:space="preserve">data </w:t>
      </w:r>
      <w:r>
        <w:t>cut-off</w:t>
      </w:r>
      <w:r w:rsidR="00BF5D8D">
        <w:t xml:space="preserve"> 31</w:t>
      </w:r>
      <w:r>
        <w:t xml:space="preserve"> </w:t>
      </w:r>
      <w:r w:rsidR="00BF5D8D">
        <w:t>May</w:t>
      </w:r>
      <w:r>
        <w:t xml:space="preserve"> </w:t>
      </w:r>
      <w:r w:rsidR="00BF5D8D">
        <w:t>2016)</w:t>
      </w:r>
    </w:p>
    <w:p w14:paraId="495915D1" w14:textId="77777777" w:rsidR="00BF5D8D" w:rsidRDefault="00BF5D8D" w:rsidP="00BF5D8D">
      <w:r>
        <w:rPr>
          <w:noProof/>
          <w:lang w:eastAsia="en-AU"/>
        </w:rPr>
        <w:drawing>
          <wp:inline distT="0" distB="0" distL="0" distR="0" wp14:anchorId="099FAC2B" wp14:editId="23E11348">
            <wp:extent cx="5225415" cy="3076575"/>
            <wp:effectExtent l="0" t="0" r="0" b="9525"/>
            <wp:docPr id="5" name="Picture 5" descr="Forest Plot of investigator-assessed confirmed objective systemic response (Arm B: 90/180 mg daily) in the intent to treat population (data cut-off 31 May 201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a:stretch>
                      <a:fillRect/>
                    </a:stretch>
                  </pic:blipFill>
                  <pic:spPr>
                    <a:xfrm>
                      <a:off x="0" y="0"/>
                      <a:ext cx="5225415" cy="3076575"/>
                    </a:xfrm>
                    <a:prstGeom prst="rect">
                      <a:avLst/>
                    </a:prstGeom>
                  </pic:spPr>
                </pic:pic>
              </a:graphicData>
            </a:graphic>
          </wp:inline>
        </w:drawing>
      </w:r>
    </w:p>
    <w:p w14:paraId="2A09710E" w14:textId="1D898ED4" w:rsidR="0043552A" w:rsidRDefault="0043552A" w:rsidP="00C20B81">
      <w:pPr>
        <w:pStyle w:val="FigureDescription"/>
      </w:pPr>
      <w:r>
        <w:t>Arm B (90/180 mg); patients were treated with 90 mg brigatinib once daily (QD) for 7 days, increased to 180 mg brigatinib QD thereafter.</w:t>
      </w:r>
    </w:p>
    <w:p w14:paraId="79A6DEAB" w14:textId="5F0F2E7E" w:rsidR="00BF5D8D" w:rsidRDefault="00BF5D8D" w:rsidP="00BF5D8D">
      <w:r>
        <w:lastRenderedPageBreak/>
        <w:t>The submission included matching adjusted indirect comparisons of ceritinib and alectinib studies.</w:t>
      </w:r>
      <w:r w:rsidR="00BC01FB">
        <w:t xml:space="preserve"> </w:t>
      </w:r>
      <w:r>
        <w:t xml:space="preserve">Further matching adjusted indirect comparisons using alternative censoring rules for </w:t>
      </w:r>
      <w:r w:rsidR="003655D2">
        <w:t>PFS</w:t>
      </w:r>
      <w:r>
        <w:t xml:space="preserve"> were provided.</w:t>
      </w:r>
      <w:r w:rsidR="00BC01FB">
        <w:t xml:space="preserve"> </w:t>
      </w:r>
      <w:r>
        <w:t>These comparisons suggest that brigatinib is not inferior to ceritinib and alectinib, but they do not provide robust evidence of the comparative efficacy of brigatinib.</w:t>
      </w:r>
    </w:p>
    <w:p w14:paraId="11B94DF8" w14:textId="1203696B" w:rsidR="000A1C8A" w:rsidRDefault="00BF5D8D" w:rsidP="00BF5D8D">
      <w:r>
        <w:t xml:space="preserve">The submission did not provide direct comparative data, other than top-line results from the first planned interim analysis of the </w:t>
      </w:r>
      <w:r w:rsidR="003541FF">
        <w:t>P</w:t>
      </w:r>
      <w:r>
        <w:t xml:space="preserve">hase </w:t>
      </w:r>
      <w:r w:rsidR="003541FF">
        <w:t>III</w:t>
      </w:r>
      <w:r w:rsidR="0043552A">
        <w:t xml:space="preserve"> </w:t>
      </w:r>
      <w:r>
        <w:t>ALTA-1L</w:t>
      </w:r>
      <w:r w:rsidR="0043552A">
        <w:t xml:space="preserve"> clinical trial</w:t>
      </w:r>
      <w:r>
        <w:t>.</w:t>
      </w:r>
      <w:r w:rsidR="00BC01FB">
        <w:t xml:space="preserve"> </w:t>
      </w:r>
      <w:r>
        <w:t xml:space="preserve">The interim findings from ALTA-1L </w:t>
      </w:r>
      <w:r w:rsidR="0043552A">
        <w:t xml:space="preserve">trial </w:t>
      </w:r>
      <w:r>
        <w:t xml:space="preserve">were published in the </w:t>
      </w:r>
      <w:r w:rsidR="003541FF">
        <w:t>New England Journal of Medicine</w:t>
      </w:r>
      <w:r w:rsidR="003655D2">
        <w:t xml:space="preserve"> on 22</w:t>
      </w:r>
      <w:r w:rsidR="0043552A">
        <w:t> </w:t>
      </w:r>
      <w:r w:rsidR="003655D2">
        <w:t>November 2018:</w:t>
      </w:r>
      <w:r w:rsidR="003655D2">
        <w:rPr>
          <w:rStyle w:val="FootnoteReference"/>
        </w:rPr>
        <w:footnoteReference w:id="13"/>
      </w:r>
    </w:p>
    <w:p w14:paraId="0CF0E2B6" w14:textId="40C029AE" w:rsidR="00BF5D8D" w:rsidRDefault="003655D2" w:rsidP="003655D2">
      <w:pPr>
        <w:ind w:left="720"/>
      </w:pPr>
      <w:r>
        <w:t>‘</w:t>
      </w:r>
      <w:r w:rsidR="00BF5D8D">
        <w:t>A total of 275 patients underwent randomization; 137 were assigned to brigatinib and 138 to crizotinib. At the first interim analysis (99 events), the median follow-up was 11.0</w:t>
      </w:r>
      <w:r w:rsidR="000A1C8A">
        <w:t> </w:t>
      </w:r>
      <w:r w:rsidR="00BF5D8D">
        <w:t>months in the brigatinib group and 9.3 months in the crizotinib group. The rate of progression</w:t>
      </w:r>
      <w:r w:rsidR="003541FF">
        <w:t xml:space="preserve"> </w:t>
      </w:r>
      <w:r w:rsidR="00BF5D8D">
        <w:t>free survival was higher with brigatinib than with crizotinib (estimated 12</w:t>
      </w:r>
      <w:r w:rsidR="003541FF">
        <w:t> </w:t>
      </w:r>
      <w:r w:rsidR="00BF5D8D">
        <w:t>month progression</w:t>
      </w:r>
      <w:r w:rsidR="003541FF">
        <w:t xml:space="preserve"> </w:t>
      </w:r>
      <w:r>
        <w:t>free survival, 67% (95% confidence interval (CI)</w:t>
      </w:r>
      <w:r w:rsidR="00BF5D8D">
        <w:t>, 56 to 75</w:t>
      </w:r>
      <w:r w:rsidR="000A1C8A">
        <w:t>%</w:t>
      </w:r>
      <w:r>
        <w:t>)</w:t>
      </w:r>
      <w:r w:rsidR="00BF5D8D">
        <w:t xml:space="preserve"> v</w:t>
      </w:r>
      <w:r w:rsidR="003541FF">
        <w:t>ersus</w:t>
      </w:r>
      <w:r>
        <w:t xml:space="preserve"> 43% (</w:t>
      </w:r>
      <w:r w:rsidR="00BF5D8D">
        <w:t>95% CI, 32 to 53</w:t>
      </w:r>
      <w:r w:rsidR="000A1C8A">
        <w:t>%</w:t>
      </w:r>
      <w:r>
        <w:t>)</w:t>
      </w:r>
      <w:r w:rsidR="00BF5D8D">
        <w:t>; hazard ratio for dise</w:t>
      </w:r>
      <w:r>
        <w:t>ase progression or death, 0.49 (95% CI, 0.33 to 0.74)</w:t>
      </w:r>
      <w:r w:rsidR="00BF5D8D">
        <w:t xml:space="preserve">; </w:t>
      </w:r>
      <w:r w:rsidR="003541FF">
        <w:t xml:space="preserve">p </w:t>
      </w:r>
      <w:r w:rsidR="00BF5D8D">
        <w:t>&lt;</w:t>
      </w:r>
      <w:r w:rsidR="003541FF">
        <w:t xml:space="preserve"> </w:t>
      </w:r>
      <w:r w:rsidR="00BF5D8D">
        <w:t>0.001 by the log-rank test). The confirmed objective response rate was 71% (95% CI, 62 to 78</w:t>
      </w:r>
      <w:r w:rsidR="000A1C8A">
        <w:t>%</w:t>
      </w:r>
      <w:r w:rsidR="00BF5D8D">
        <w:t>) with brigatinib and 60% (95% CI, 51 to 68</w:t>
      </w:r>
      <w:r w:rsidR="000A1C8A">
        <w:t>%</w:t>
      </w:r>
      <w:r w:rsidR="00BF5D8D">
        <w:t>) with crizotinib; the confirmed rate of intracranial response among patients with measurable lesions was 78% (95% CI, 52 to 94</w:t>
      </w:r>
      <w:r w:rsidR="000A1C8A">
        <w:t>%</w:t>
      </w:r>
      <w:r w:rsidR="00BF5D8D">
        <w:t>) and 29% (95% CI, 11 to 52</w:t>
      </w:r>
      <w:r w:rsidR="000A1C8A">
        <w:t>%</w:t>
      </w:r>
      <w:r w:rsidR="00BF5D8D">
        <w:t xml:space="preserve">), respectively. No </w:t>
      </w:r>
      <w:r>
        <w:t>new safety concerns were noted.’</w:t>
      </w:r>
    </w:p>
    <w:p w14:paraId="10361BC3" w14:textId="20238A3D" w:rsidR="00BF5D8D" w:rsidRDefault="003655D2" w:rsidP="003541FF">
      <w:pPr>
        <w:pStyle w:val="Heading5"/>
      </w:pPr>
      <w:r>
        <w:t>Study AP26113-11-101</w:t>
      </w:r>
    </w:p>
    <w:p w14:paraId="06D3D1CC" w14:textId="77777777" w:rsidR="00BF5D8D" w:rsidRDefault="00BF5D8D" w:rsidP="00BF5D8D">
      <w:r>
        <w:t xml:space="preserve">This was a Phase </w:t>
      </w:r>
      <w:r w:rsidR="003541FF">
        <w:t>I/II</w:t>
      </w:r>
      <w:r>
        <w:t xml:space="preserve"> single arm, open</w:t>
      </w:r>
      <w:r w:rsidR="003541FF">
        <w:t xml:space="preserve"> </w:t>
      </w:r>
      <w:r>
        <w:t>label, multi</w:t>
      </w:r>
      <w:r w:rsidR="003541FF">
        <w:t xml:space="preserve">centre, dose </w:t>
      </w:r>
      <w:r>
        <w:t xml:space="preserve">finding and cohort expansion study to evaluate the safety, tolerability, </w:t>
      </w:r>
      <w:r w:rsidR="003541FF">
        <w:t>pharmacokinetics</w:t>
      </w:r>
      <w:r>
        <w:t xml:space="preserve"> and preliminary anti-tumour activity of brigatinib.</w:t>
      </w:r>
      <w:r w:rsidR="00BC01FB">
        <w:t xml:space="preserve"> </w:t>
      </w:r>
      <w:r>
        <w:t>The study enrolled 137 patients, of which 79 had ALK+ NSCLC (71 of these patients had received prior crizotinib).</w:t>
      </w:r>
      <w:r w:rsidR="00BC01FB">
        <w:t xml:space="preserve"> </w:t>
      </w:r>
      <w:r>
        <w:t xml:space="preserve">Patients were allocated to </w:t>
      </w:r>
      <w:r w:rsidR="003541FF">
        <w:t>six</w:t>
      </w:r>
      <w:r>
        <w:t xml:space="preserve"> cohorts that differed by dosing.</w:t>
      </w:r>
      <w:r w:rsidR="00BC01FB">
        <w:t xml:space="preserve"> </w:t>
      </w:r>
      <w:r>
        <w:t>The small numbers and different dosing cohorts limit the conclusions that can be drawn from this study regarding efficacy.</w:t>
      </w:r>
    </w:p>
    <w:p w14:paraId="07243D4E" w14:textId="51A8B540" w:rsidR="00BF5D8D" w:rsidRDefault="00BF5D8D" w:rsidP="005A1E48">
      <w:r>
        <w:t xml:space="preserve">In the cohort expansion part of the study, the primary endpoint was the </w:t>
      </w:r>
      <w:r w:rsidR="005A1E48">
        <w:t>ORR</w:t>
      </w:r>
      <w:r>
        <w:t xml:space="preserve"> (using RECIST v1.1)</w:t>
      </w:r>
      <w:r w:rsidR="0043552A">
        <w:t>;</w:t>
      </w:r>
      <w:r w:rsidR="005A1E48">
        <w:fldChar w:fldCharType="begin"/>
      </w:r>
      <w:r w:rsidR="005A1E48">
        <w:instrText xml:space="preserve"> NOTEREF _Ref33685763 \f \h </w:instrText>
      </w:r>
      <w:r w:rsidR="005A1E48">
        <w:fldChar w:fldCharType="separate"/>
      </w:r>
      <w:r w:rsidR="005A1E48" w:rsidRPr="005A1E48">
        <w:rPr>
          <w:rStyle w:val="FootnoteReference"/>
        </w:rPr>
        <w:t>11</w:t>
      </w:r>
      <w:r w:rsidR="005A1E48">
        <w:fldChar w:fldCharType="end"/>
      </w:r>
      <w:r>
        <w:t xml:space="preserve"> except for Cohort 5, for which the primary endpoint was the intracranial response rate (using RECIST v1.1).</w:t>
      </w:r>
      <w:r w:rsidR="00BC01FB">
        <w:t xml:space="preserve"> </w:t>
      </w:r>
      <w:r w:rsidR="001D1427">
        <w:t>The c</w:t>
      </w:r>
      <w:r>
        <w:t xml:space="preserve">onfirmed </w:t>
      </w:r>
      <w:r w:rsidR="005A1E48">
        <w:t xml:space="preserve">ORR in the 90 </w:t>
      </w:r>
      <w:r>
        <w:t>→</w:t>
      </w:r>
      <w:r w:rsidR="005A1E48">
        <w:t xml:space="preserve"> </w:t>
      </w:r>
      <w:r>
        <w:t xml:space="preserve">180 mg </w:t>
      </w:r>
      <w:r w:rsidR="003541FF">
        <w:t>daily</w:t>
      </w:r>
      <w:r>
        <w:t xml:space="preserve"> dose group wa</w:t>
      </w:r>
      <w:r w:rsidR="005A1E48">
        <w:t xml:space="preserve">s 76% (19 out of </w:t>
      </w:r>
      <w:r w:rsidR="003541FF">
        <w:t>25).</w:t>
      </w:r>
      <w:r w:rsidR="00BC01FB">
        <w:t xml:space="preserve"> </w:t>
      </w:r>
      <w:r w:rsidR="003541FF">
        <w:t>Intracranial objective response rate</w:t>
      </w:r>
      <w:r w:rsidR="005A1E48">
        <w:t xml:space="preserve"> was 66.7% (10 out of 15) and 41.9% (13 out of </w:t>
      </w:r>
      <w:r>
        <w:t>31) in patients with measurable and non-measurable brain metastases, respectively.</w:t>
      </w:r>
      <w:r w:rsidR="00BC01FB">
        <w:t xml:space="preserve"> </w:t>
      </w:r>
      <w:r>
        <w:t xml:space="preserve">These results are broadly consistent with the efficacy findings in the </w:t>
      </w:r>
      <w:r w:rsidR="005A1E48">
        <w:t>Study AP26113-13-201 (</w:t>
      </w:r>
      <w:r w:rsidR="0043552A">
        <w:t xml:space="preserve">the </w:t>
      </w:r>
      <w:r>
        <w:t>ALTA</w:t>
      </w:r>
      <w:r w:rsidR="0043552A">
        <w:t xml:space="preserve"> trial</w:t>
      </w:r>
      <w:r w:rsidR="005A1E48">
        <w:t>)</w:t>
      </w:r>
      <w:r>
        <w:t>.</w:t>
      </w:r>
    </w:p>
    <w:p w14:paraId="145083AC" w14:textId="77777777" w:rsidR="00BF5D8D" w:rsidRDefault="00BF5D8D" w:rsidP="003541FF">
      <w:pPr>
        <w:pStyle w:val="Heading4"/>
      </w:pPr>
      <w:r>
        <w:t>Safety</w:t>
      </w:r>
    </w:p>
    <w:p w14:paraId="6FD82902" w14:textId="55FDEBEA" w:rsidR="00EC6BF5" w:rsidRDefault="00BF5D8D" w:rsidP="00BF5D8D">
      <w:r>
        <w:t>The evaluation of safety for this submission is based primarily on Studies</w:t>
      </w:r>
      <w:r w:rsidR="0043552A">
        <w:t> </w:t>
      </w:r>
      <w:r>
        <w:t>AP26113</w:t>
      </w:r>
      <w:r w:rsidR="0043552A">
        <w:noBreakHyphen/>
      </w:r>
      <w:r>
        <w:t>11</w:t>
      </w:r>
      <w:r w:rsidR="0043552A">
        <w:noBreakHyphen/>
      </w:r>
      <w:r>
        <w:t>101 and AP26113-13-201 (</w:t>
      </w:r>
      <w:r w:rsidR="0043552A">
        <w:t xml:space="preserve">the </w:t>
      </w:r>
      <w:r>
        <w:t>ALTA</w:t>
      </w:r>
      <w:r w:rsidR="0043552A">
        <w:t xml:space="preserve"> trial</w:t>
      </w:r>
      <w:r>
        <w:t>)</w:t>
      </w:r>
      <w:r w:rsidR="00EC6BF5">
        <w:t>.</w:t>
      </w:r>
    </w:p>
    <w:p w14:paraId="52AA3586" w14:textId="3E2E228F" w:rsidR="00EC6BF5" w:rsidRDefault="00BF5D8D" w:rsidP="00BF5D8D">
      <w:r>
        <w:t xml:space="preserve">In </w:t>
      </w:r>
      <w:r w:rsidR="0043552A">
        <w:t xml:space="preserve">Study </w:t>
      </w:r>
      <w:r>
        <w:t xml:space="preserve">AP26113-11-101, 137 patients, including 79 patients with ALK+ NSCLC, received brigatinib in dosages ranging from 30 mg to 300 mg </w:t>
      </w:r>
      <w:r w:rsidR="00FB3B17">
        <w:t>daily</w:t>
      </w:r>
      <w:r>
        <w:t xml:space="preserve"> (14 patients with ALK+ NSCLC received 90 mg </w:t>
      </w:r>
      <w:r w:rsidR="00FB3B17">
        <w:t>daily</w:t>
      </w:r>
      <w:r w:rsidR="005A1E48">
        <w:t xml:space="preserve"> and 28 received 90 </w:t>
      </w:r>
      <w:r>
        <w:t>→</w:t>
      </w:r>
      <w:r w:rsidR="005A1E48">
        <w:t xml:space="preserve"> </w:t>
      </w:r>
      <w:r>
        <w:t>180 mg).</w:t>
      </w:r>
      <w:r w:rsidR="00BC01FB">
        <w:t xml:space="preserve"> </w:t>
      </w:r>
      <w:r>
        <w:t xml:space="preserve">In </w:t>
      </w:r>
      <w:r w:rsidR="005A1E48">
        <w:t>Study AP26113-13-201</w:t>
      </w:r>
      <w:r>
        <w:t>, 219 patients with ALK+ NSCLC were treated with brigatinib; 109 received 90</w:t>
      </w:r>
      <w:r w:rsidR="00BC01FB">
        <w:t xml:space="preserve"> mg daily</w:t>
      </w:r>
      <w:r w:rsidR="005A1E48">
        <w:t xml:space="preserve"> and 110 received 90 </w:t>
      </w:r>
      <w:r>
        <w:t>→</w:t>
      </w:r>
      <w:r w:rsidR="005A1E48">
        <w:t xml:space="preserve"> </w:t>
      </w:r>
      <w:r>
        <w:t>180 mg.</w:t>
      </w:r>
      <w:r w:rsidR="00BC01FB">
        <w:t xml:space="preserve"> </w:t>
      </w:r>
      <w:r>
        <w:t xml:space="preserve">Median follow up for both arms of </w:t>
      </w:r>
      <w:r w:rsidR="005A1E48">
        <w:t>Study AP26113-13-201</w:t>
      </w:r>
      <w:r>
        <w:t xml:space="preserve"> was 17.9 months, with median exposure for th</w:t>
      </w:r>
      <w:r w:rsidR="005A1E48">
        <w:t xml:space="preserve">e 90 </w:t>
      </w:r>
      <w:r>
        <w:t>→</w:t>
      </w:r>
      <w:r w:rsidR="005A1E48">
        <w:t xml:space="preserve"> </w:t>
      </w:r>
      <w:r>
        <w:t xml:space="preserve">180 mg </w:t>
      </w:r>
      <w:r w:rsidR="00FB3B17">
        <w:t>daily</w:t>
      </w:r>
      <w:r w:rsidR="005A1E48">
        <w:t xml:space="preserve"> arm of more than 17 </w:t>
      </w:r>
      <w:r>
        <w:t>months</w:t>
      </w:r>
      <w:r w:rsidR="00EC6BF5">
        <w:t>.</w:t>
      </w:r>
    </w:p>
    <w:p w14:paraId="66D442FF" w14:textId="77777777" w:rsidR="00BF5D8D" w:rsidRDefault="00BF5D8D" w:rsidP="00BF5D8D">
      <w:r>
        <w:lastRenderedPageBreak/>
        <w:t xml:space="preserve">In addition, the submission provided safety data for 208 healthy subjects in </w:t>
      </w:r>
      <w:r w:rsidR="00FB3B17">
        <w:t>seven</w:t>
      </w:r>
      <w:r>
        <w:t xml:space="preserve"> pharmacology studies who received brigatinib 90</w:t>
      </w:r>
      <w:r w:rsidR="001D1427">
        <w:t xml:space="preserve"> </w:t>
      </w:r>
      <w:r>
        <w:t>mg, 120</w:t>
      </w:r>
      <w:r w:rsidR="001D1427">
        <w:t xml:space="preserve"> </w:t>
      </w:r>
      <w:r>
        <w:t>mg or 180</w:t>
      </w:r>
      <w:r w:rsidR="001D1427">
        <w:t xml:space="preserve"> </w:t>
      </w:r>
      <w:r>
        <w:t>mg.</w:t>
      </w:r>
      <w:r w:rsidR="00BC01FB">
        <w:t xml:space="preserve"> </w:t>
      </w:r>
      <w:r w:rsidR="00FB3B17">
        <w:t>Serious adverse event (</w:t>
      </w:r>
      <w:r>
        <w:t>SAE</w:t>
      </w:r>
      <w:r w:rsidR="00FB3B17">
        <w:t>)</w:t>
      </w:r>
      <w:r>
        <w:t xml:space="preserve"> data from the ongoing Phase </w:t>
      </w:r>
      <w:r w:rsidR="00FB3B17">
        <w:t>III</w:t>
      </w:r>
      <w:r>
        <w:t xml:space="preserve"> Study AP26113-13-301 and from Expanded Access Programs in Europe and USA were also provided.</w:t>
      </w:r>
    </w:p>
    <w:p w14:paraId="781B315C" w14:textId="6D7EF620" w:rsidR="00BF5D8D" w:rsidRDefault="00BF5D8D" w:rsidP="00BF5D8D">
      <w:r>
        <w:t xml:space="preserve">A summary of AEs in </w:t>
      </w:r>
      <w:r w:rsidR="005A1E48">
        <w:t xml:space="preserve">Studies </w:t>
      </w:r>
      <w:r>
        <w:t xml:space="preserve">AP26113-11-101 and </w:t>
      </w:r>
      <w:r w:rsidR="005A1E48">
        <w:t>AP26113-13-201</w:t>
      </w:r>
      <w:r>
        <w:t xml:space="preserve"> is provided in</w:t>
      </w:r>
      <w:r w:rsidR="00177144">
        <w:t xml:space="preserve"> </w:t>
      </w:r>
      <w:r w:rsidR="00177144">
        <w:fldChar w:fldCharType="begin"/>
      </w:r>
      <w:r w:rsidR="00177144">
        <w:instrText xml:space="preserve"> REF _Ref33686042 \h </w:instrText>
      </w:r>
      <w:r w:rsidR="00177144">
        <w:fldChar w:fldCharType="separate"/>
      </w:r>
      <w:r w:rsidR="00177144">
        <w:t>Table</w:t>
      </w:r>
      <w:r w:rsidR="0043552A">
        <w:t> </w:t>
      </w:r>
      <w:r w:rsidR="00177144">
        <w:rPr>
          <w:noProof/>
        </w:rPr>
        <w:t>5</w:t>
      </w:r>
      <w:r w:rsidR="00177144">
        <w:fldChar w:fldCharType="end"/>
      </w:r>
      <w:r>
        <w:t>.</w:t>
      </w:r>
      <w:r w:rsidR="00BC01FB">
        <w:t xml:space="preserve"> </w:t>
      </w:r>
      <w:r>
        <w:t>Almost all patients receiving brigatinib experienced at least one adverse event.</w:t>
      </w:r>
      <w:r w:rsidR="00BC01FB">
        <w:t xml:space="preserve"> </w:t>
      </w:r>
      <w:r>
        <w:t>Patient</w:t>
      </w:r>
      <w:r w:rsidR="00177144">
        <w:t xml:space="preserve">s receiving brigatinib 90 </w:t>
      </w:r>
      <w:r>
        <w:t>→</w:t>
      </w:r>
      <w:r w:rsidR="00177144">
        <w:t xml:space="preserve"> </w:t>
      </w:r>
      <w:r>
        <w:t xml:space="preserve">180 mg </w:t>
      </w:r>
      <w:r w:rsidR="00FB3B17">
        <w:t>daily</w:t>
      </w:r>
      <w:r>
        <w:t xml:space="preserve"> were more likely to experience </w:t>
      </w:r>
      <w:r w:rsidR="0043552A">
        <w:t>AEs</w:t>
      </w:r>
      <w:r>
        <w:t xml:space="preserve"> of</w:t>
      </w:r>
      <w:r w:rsidR="00BC01FB">
        <w:t xml:space="preserve"> Grade</w:t>
      </w:r>
      <w:r>
        <w:t xml:space="preserve"> 3 or greater.</w:t>
      </w:r>
      <w:r w:rsidR="00BC01FB">
        <w:t xml:space="preserve"> </w:t>
      </w:r>
      <w:r>
        <w:t>Adverse events leading to discontinuation w</w:t>
      </w:r>
      <w:r w:rsidR="00177144">
        <w:t xml:space="preserve">ere higher with 90 </w:t>
      </w:r>
      <w:r w:rsidR="00FB3B17">
        <w:t>→</w:t>
      </w:r>
      <w:r w:rsidR="00177144">
        <w:t xml:space="preserve"> </w:t>
      </w:r>
      <w:r w:rsidR="00FB3B17">
        <w:t>180 mg daily</w:t>
      </w:r>
      <w:r>
        <w:t xml:space="preserve"> dosing than 90</w:t>
      </w:r>
      <w:r w:rsidR="001D1427">
        <w:t xml:space="preserve"> </w:t>
      </w:r>
      <w:r>
        <w:t xml:space="preserve">mg </w:t>
      </w:r>
      <w:r w:rsidR="00FB3B17">
        <w:t>daily</w:t>
      </w:r>
      <w:r>
        <w:t xml:space="preserve"> dosing.</w:t>
      </w:r>
    </w:p>
    <w:p w14:paraId="464198DF" w14:textId="64FB695D" w:rsidR="00BF5D8D" w:rsidRDefault="00BF5D8D" w:rsidP="00BF5D8D">
      <w:r>
        <w:t xml:space="preserve">Overall rates of SAEs were similar across the two arms of </w:t>
      </w:r>
      <w:r w:rsidR="0043552A">
        <w:t xml:space="preserve">the </w:t>
      </w:r>
      <w:r>
        <w:t>ALTA</w:t>
      </w:r>
      <w:r w:rsidR="0043552A">
        <w:t xml:space="preserve"> trial</w:t>
      </w:r>
      <w:r>
        <w:t>, but there were higher rates of pneumon</w:t>
      </w:r>
      <w:r w:rsidR="00177144">
        <w:t xml:space="preserve">ia and pneumonitis in the 90 </w:t>
      </w:r>
      <w:r>
        <w:t>→</w:t>
      </w:r>
      <w:r w:rsidR="00177144">
        <w:t xml:space="preserve"> </w:t>
      </w:r>
      <w:r>
        <w:t xml:space="preserve">180 mg </w:t>
      </w:r>
      <w:r w:rsidR="00FB3B17">
        <w:t>daily</w:t>
      </w:r>
      <w:r>
        <w:t xml:space="preserve"> arm compared to the 90</w:t>
      </w:r>
      <w:r w:rsidR="00FB3B17">
        <w:t> </w:t>
      </w:r>
      <w:r>
        <w:t xml:space="preserve">mg </w:t>
      </w:r>
      <w:r w:rsidR="00FB3B17">
        <w:t>daily</w:t>
      </w:r>
      <w:r>
        <w:t xml:space="preserve"> arm, which were offset by a higher rate of neoplasm progression in the 90</w:t>
      </w:r>
      <w:r w:rsidR="0043552A">
        <w:t> </w:t>
      </w:r>
      <w:r>
        <w:t xml:space="preserve">mg </w:t>
      </w:r>
      <w:r w:rsidR="00FB3B17">
        <w:t>daily</w:t>
      </w:r>
      <w:r>
        <w:t xml:space="preserve"> arm (</w:t>
      </w:r>
      <w:r w:rsidR="00177144">
        <w:fldChar w:fldCharType="begin"/>
      </w:r>
      <w:r w:rsidR="00177144">
        <w:instrText xml:space="preserve"> REF _Ref33686073 \h </w:instrText>
      </w:r>
      <w:r w:rsidR="00177144">
        <w:fldChar w:fldCharType="separate"/>
      </w:r>
      <w:r w:rsidR="00177144">
        <w:t xml:space="preserve">Table </w:t>
      </w:r>
      <w:r w:rsidR="00177144">
        <w:rPr>
          <w:noProof/>
        </w:rPr>
        <w:t>6</w:t>
      </w:r>
      <w:r w:rsidR="00177144">
        <w:fldChar w:fldCharType="end"/>
      </w:r>
      <w:r>
        <w:t>).</w:t>
      </w:r>
      <w:r w:rsidR="00BC01FB">
        <w:t xml:space="preserve"> </w:t>
      </w:r>
      <w:r>
        <w:t xml:space="preserve">The higher rates of pneumonia and pneumonitis are notable because early onset pulmonary events (EOPE) were identified during early clinical development, leading to the two-arm design of the Phase </w:t>
      </w:r>
      <w:r w:rsidR="00FB3B17">
        <w:t>II</w:t>
      </w:r>
      <w:r>
        <w:t xml:space="preserve"> ALTA </w:t>
      </w:r>
      <w:r w:rsidR="00D109BF">
        <w:t xml:space="preserve">trial </w:t>
      </w:r>
      <w:r>
        <w:t xml:space="preserve">(Arm A 90 mg </w:t>
      </w:r>
      <w:r w:rsidR="00FB3B17">
        <w:t>daily</w:t>
      </w:r>
      <w:r>
        <w:t>; Arm B 90</w:t>
      </w:r>
      <w:r w:rsidR="00FB3B17">
        <w:t> </w:t>
      </w:r>
      <w:r>
        <w:t>→</w:t>
      </w:r>
      <w:r w:rsidR="00177144">
        <w:t> </w:t>
      </w:r>
      <w:r>
        <w:t>180 mg).</w:t>
      </w:r>
    </w:p>
    <w:p w14:paraId="5D9285FE" w14:textId="3989F85E" w:rsidR="00BF5D8D" w:rsidRDefault="005A1E48" w:rsidP="00D109BF">
      <w:pPr>
        <w:pStyle w:val="TableTitle"/>
      </w:pPr>
      <w:bookmarkStart w:id="49" w:name="_Ref33686042"/>
      <w:r>
        <w:t xml:space="preserve">Table </w:t>
      </w:r>
      <w:fldSimple w:instr=" SEQ Table \* ARABIC ">
        <w:r w:rsidR="00DF5AFE">
          <w:rPr>
            <w:noProof/>
          </w:rPr>
          <w:t>5</w:t>
        </w:r>
      </w:fldSimple>
      <w:bookmarkEnd w:id="49"/>
      <w:r>
        <w:t xml:space="preserve">: </w:t>
      </w:r>
      <w:r w:rsidR="00BF5D8D">
        <w:t>Overvi</w:t>
      </w:r>
      <w:r>
        <w:t>ew of adverse events in Stud</w:t>
      </w:r>
      <w:r w:rsidR="00D109BF">
        <w:t>y</w:t>
      </w:r>
      <w:r w:rsidR="00BF5D8D">
        <w:t xml:space="preserve"> AP26113-11</w:t>
      </w:r>
      <w:r>
        <w:t>-101 and Study</w:t>
      </w:r>
      <w:r w:rsidR="00D109BF">
        <w:t> </w:t>
      </w:r>
      <w:r>
        <w:t>AP26113-13-201, safety population,</w:t>
      </w:r>
      <w:r w:rsidR="00BF5D8D">
        <w:t xml:space="preserve"> </w:t>
      </w:r>
      <w:r w:rsidR="00FB3B17">
        <w:t xml:space="preserve">data </w:t>
      </w:r>
      <w:r>
        <w:t>cut-off</w:t>
      </w:r>
      <w:r w:rsidR="00BF5D8D">
        <w:t xml:space="preserve"> 31 May 2016</w:t>
      </w:r>
    </w:p>
    <w:tbl>
      <w:tblPr>
        <w:tblStyle w:val="TableTGAblue"/>
        <w:tblW w:w="8505" w:type="dxa"/>
        <w:tblInd w:w="250" w:type="dxa"/>
        <w:tblLayout w:type="fixed"/>
        <w:tblLook w:val="01E0" w:firstRow="1" w:lastRow="1" w:firstColumn="1" w:lastColumn="1" w:noHBand="0" w:noVBand="0"/>
      </w:tblPr>
      <w:tblGrid>
        <w:gridCol w:w="1701"/>
        <w:gridCol w:w="1418"/>
        <w:gridCol w:w="1275"/>
        <w:gridCol w:w="993"/>
        <w:gridCol w:w="992"/>
        <w:gridCol w:w="1134"/>
        <w:gridCol w:w="992"/>
      </w:tblGrid>
      <w:tr w:rsidR="00177144" w:rsidRPr="00177144" w14:paraId="160E95B2" w14:textId="77777777" w:rsidTr="00C20B81">
        <w:trPr>
          <w:cnfStyle w:val="100000000000" w:firstRow="1" w:lastRow="0" w:firstColumn="0" w:lastColumn="0" w:oddVBand="0" w:evenVBand="0" w:oddHBand="0" w:evenHBand="0" w:firstRowFirstColumn="0" w:firstRowLastColumn="0" w:lastRowFirstColumn="0" w:lastRowLastColumn="0"/>
          <w:cantSplit/>
          <w:trHeight w:val="284"/>
        </w:trPr>
        <w:tc>
          <w:tcPr>
            <w:tcW w:w="1701" w:type="dxa"/>
            <w:vMerge w:val="restart"/>
            <w:tcBorders>
              <w:right w:val="single" w:sz="4" w:space="0" w:color="000000" w:themeColor="text1"/>
            </w:tcBorders>
            <w:shd w:val="clear" w:color="auto" w:fill="0070B5" w:themeFill="accent1" w:themeFillTint="BF"/>
          </w:tcPr>
          <w:p w14:paraId="592B3917" w14:textId="77777777" w:rsidR="00BF5D8D" w:rsidRPr="00177144" w:rsidRDefault="00BF5D8D" w:rsidP="00D109BF">
            <w:pPr>
              <w:ind w:left="0" w:right="0"/>
              <w:rPr>
                <w:sz w:val="20"/>
                <w:szCs w:val="20"/>
              </w:rPr>
            </w:pPr>
          </w:p>
        </w:tc>
        <w:tc>
          <w:tcPr>
            <w:tcW w:w="3686" w:type="dxa"/>
            <w:gridSpan w:val="3"/>
            <w:tcBorders>
              <w:left w:val="single" w:sz="4" w:space="0" w:color="000000" w:themeColor="text1"/>
              <w:right w:val="single" w:sz="4" w:space="0" w:color="000000" w:themeColor="text1"/>
            </w:tcBorders>
            <w:shd w:val="clear" w:color="auto" w:fill="0070B5" w:themeFill="accent1" w:themeFillTint="BF"/>
            <w:hideMark/>
          </w:tcPr>
          <w:p w14:paraId="6A39FCB2" w14:textId="77777777" w:rsidR="00BF5D8D" w:rsidRPr="00177144" w:rsidRDefault="00BF5D8D" w:rsidP="00D109BF">
            <w:pPr>
              <w:ind w:left="0" w:right="0"/>
              <w:rPr>
                <w:sz w:val="20"/>
                <w:szCs w:val="20"/>
              </w:rPr>
            </w:pPr>
            <w:r w:rsidRPr="00177144">
              <w:rPr>
                <w:sz w:val="20"/>
                <w:szCs w:val="20"/>
              </w:rPr>
              <w:t>Study AP26113-11-101</w:t>
            </w:r>
          </w:p>
        </w:tc>
        <w:tc>
          <w:tcPr>
            <w:tcW w:w="3118" w:type="dxa"/>
            <w:gridSpan w:val="3"/>
            <w:tcBorders>
              <w:left w:val="single" w:sz="4" w:space="0" w:color="000000" w:themeColor="text1"/>
            </w:tcBorders>
            <w:shd w:val="clear" w:color="auto" w:fill="0070B5" w:themeFill="accent1" w:themeFillTint="BF"/>
            <w:hideMark/>
          </w:tcPr>
          <w:p w14:paraId="4DA03498" w14:textId="77777777" w:rsidR="00BF5D8D" w:rsidRPr="00177144" w:rsidRDefault="00BF5D8D" w:rsidP="00C20B81">
            <w:pPr>
              <w:ind w:left="0" w:right="0"/>
              <w:rPr>
                <w:b w:val="0"/>
                <w:color w:val="auto"/>
                <w:sz w:val="20"/>
                <w:szCs w:val="20"/>
                <w:lang w:eastAsia="en-US"/>
              </w:rPr>
            </w:pPr>
            <w:r w:rsidRPr="00177144">
              <w:rPr>
                <w:sz w:val="20"/>
                <w:szCs w:val="20"/>
              </w:rPr>
              <w:t>Study AP26113-13-201</w:t>
            </w:r>
          </w:p>
        </w:tc>
      </w:tr>
      <w:tr w:rsidR="00177144" w:rsidRPr="00177144" w14:paraId="67C11FA1" w14:textId="77777777" w:rsidTr="00177144">
        <w:trPr>
          <w:cantSplit/>
          <w:trHeight w:val="284"/>
        </w:trPr>
        <w:tc>
          <w:tcPr>
            <w:tcW w:w="1701" w:type="dxa"/>
            <w:vMerge/>
            <w:vAlign w:val="center"/>
            <w:hideMark/>
          </w:tcPr>
          <w:p w14:paraId="48918569" w14:textId="77777777" w:rsidR="00BF5D8D" w:rsidRPr="00177144" w:rsidRDefault="00BF5D8D" w:rsidP="00C20B81">
            <w:pPr>
              <w:keepNext/>
              <w:ind w:left="0" w:right="0"/>
              <w:rPr>
                <w:color w:val="auto"/>
                <w:sz w:val="20"/>
                <w:szCs w:val="20"/>
                <w:lang w:eastAsia="en-US"/>
              </w:rPr>
            </w:pPr>
          </w:p>
        </w:tc>
        <w:tc>
          <w:tcPr>
            <w:tcW w:w="1418" w:type="dxa"/>
            <w:tcBorders>
              <w:left w:val="single" w:sz="8" w:space="0" w:color="000000" w:themeColor="text1"/>
              <w:right w:val="single" w:sz="8" w:space="0" w:color="000000" w:themeColor="text1"/>
            </w:tcBorders>
            <w:shd w:val="clear" w:color="auto" w:fill="0070B5" w:themeFill="accent1" w:themeFillTint="BF"/>
            <w:hideMark/>
          </w:tcPr>
          <w:p w14:paraId="11B7EC62" w14:textId="77777777" w:rsidR="00BF5D8D" w:rsidRPr="00C20B81" w:rsidRDefault="00BF5D8D" w:rsidP="00C20B81">
            <w:pPr>
              <w:keepNext/>
              <w:ind w:left="0" w:right="0"/>
              <w:rPr>
                <w:color w:val="FFFFFF" w:themeColor="background1"/>
                <w:sz w:val="20"/>
                <w:szCs w:val="20"/>
              </w:rPr>
            </w:pPr>
            <w:r w:rsidRPr="00C20B81">
              <w:rPr>
                <w:color w:val="FFFFFF" w:themeColor="background1"/>
                <w:sz w:val="20"/>
                <w:szCs w:val="20"/>
              </w:rPr>
              <w:t>ALK+ NSCLC</w:t>
            </w:r>
          </w:p>
          <w:p w14:paraId="57F419E8" w14:textId="511547BF" w:rsidR="00BF5D8D" w:rsidRPr="00C20B81" w:rsidRDefault="00FB3B17" w:rsidP="00C20B81">
            <w:pPr>
              <w:keepNext/>
              <w:ind w:left="0" w:right="0"/>
              <w:rPr>
                <w:color w:val="FFFFFF" w:themeColor="background1"/>
                <w:sz w:val="20"/>
                <w:szCs w:val="20"/>
              </w:rPr>
            </w:pPr>
            <w:r w:rsidRPr="00C20B81">
              <w:rPr>
                <w:color w:val="FFFFFF" w:themeColor="background1"/>
                <w:sz w:val="20"/>
                <w:szCs w:val="20"/>
              </w:rPr>
              <w:t>90 mg daily</w:t>
            </w:r>
            <w:r w:rsidR="00BF5D8D" w:rsidRPr="00C20B81">
              <w:rPr>
                <w:color w:val="FFFFFF" w:themeColor="background1"/>
                <w:sz w:val="20"/>
                <w:szCs w:val="20"/>
              </w:rPr>
              <w:t xml:space="preserve"> (N</w:t>
            </w:r>
            <w:r w:rsidR="005A1E48" w:rsidRPr="00C20B81">
              <w:rPr>
                <w:color w:val="FFFFFF" w:themeColor="background1"/>
                <w:sz w:val="20"/>
                <w:szCs w:val="20"/>
              </w:rPr>
              <w:t xml:space="preserve"> </w:t>
            </w:r>
            <w:r w:rsidR="00BF5D8D" w:rsidRPr="00C20B81">
              <w:rPr>
                <w:color w:val="FFFFFF" w:themeColor="background1"/>
                <w:sz w:val="20"/>
                <w:szCs w:val="20"/>
              </w:rPr>
              <w:t>=</w:t>
            </w:r>
            <w:r w:rsidR="005A1E48" w:rsidRPr="00C20B81">
              <w:rPr>
                <w:color w:val="FFFFFF" w:themeColor="background1"/>
                <w:sz w:val="20"/>
                <w:szCs w:val="20"/>
              </w:rPr>
              <w:t xml:space="preserve"> </w:t>
            </w:r>
            <w:r w:rsidR="00BF5D8D" w:rsidRPr="00C20B81">
              <w:rPr>
                <w:color w:val="FFFFFF" w:themeColor="background1"/>
                <w:sz w:val="20"/>
                <w:szCs w:val="20"/>
              </w:rPr>
              <w:t>14)</w:t>
            </w:r>
          </w:p>
        </w:tc>
        <w:tc>
          <w:tcPr>
            <w:tcW w:w="1275" w:type="dxa"/>
            <w:tcBorders>
              <w:left w:val="single" w:sz="8" w:space="0" w:color="000000" w:themeColor="text1"/>
              <w:right w:val="single" w:sz="8" w:space="0" w:color="000000" w:themeColor="text1"/>
            </w:tcBorders>
            <w:shd w:val="clear" w:color="auto" w:fill="0070B5" w:themeFill="accent1" w:themeFillTint="BF"/>
            <w:hideMark/>
          </w:tcPr>
          <w:p w14:paraId="4A92BCDC" w14:textId="77777777" w:rsidR="00BF5D8D" w:rsidRPr="00C20B81" w:rsidRDefault="00BF5D8D" w:rsidP="00C20B81">
            <w:pPr>
              <w:keepNext/>
              <w:ind w:left="0" w:right="0"/>
              <w:rPr>
                <w:color w:val="FFFFFF" w:themeColor="background1"/>
                <w:sz w:val="20"/>
                <w:szCs w:val="20"/>
              </w:rPr>
            </w:pPr>
            <w:r w:rsidRPr="00C20B81">
              <w:rPr>
                <w:color w:val="FFFFFF" w:themeColor="background1"/>
                <w:sz w:val="20"/>
                <w:szCs w:val="20"/>
              </w:rPr>
              <w:t>ALK+ NSCLC</w:t>
            </w:r>
          </w:p>
          <w:p w14:paraId="7A642D1E" w14:textId="77777777" w:rsidR="00BF5D8D" w:rsidRPr="00C20B81" w:rsidRDefault="00BF5D8D" w:rsidP="00C20B81">
            <w:pPr>
              <w:keepNext/>
              <w:ind w:left="0" w:right="0"/>
              <w:rPr>
                <w:color w:val="FFFFFF" w:themeColor="background1"/>
                <w:sz w:val="20"/>
                <w:szCs w:val="20"/>
              </w:rPr>
            </w:pPr>
            <w:r w:rsidRPr="00C20B81">
              <w:rPr>
                <w:color w:val="FFFFFF" w:themeColor="background1"/>
                <w:sz w:val="20"/>
                <w:szCs w:val="20"/>
              </w:rPr>
              <w:t xml:space="preserve">90 → 180 mg </w:t>
            </w:r>
            <w:r w:rsidR="00FB3B17" w:rsidRPr="00C20B81">
              <w:rPr>
                <w:color w:val="FFFFFF" w:themeColor="background1"/>
                <w:sz w:val="20"/>
                <w:szCs w:val="20"/>
              </w:rPr>
              <w:t>daily</w:t>
            </w:r>
          </w:p>
          <w:p w14:paraId="7023D8FF" w14:textId="3DA98EAF" w:rsidR="00BF5D8D" w:rsidRPr="00C20B81" w:rsidRDefault="00BF5D8D" w:rsidP="00C20B81">
            <w:pPr>
              <w:keepNext/>
              <w:ind w:left="0" w:right="0"/>
              <w:rPr>
                <w:color w:val="FFFFFF" w:themeColor="background1"/>
                <w:sz w:val="20"/>
                <w:szCs w:val="20"/>
              </w:rPr>
            </w:pPr>
            <w:r w:rsidRPr="00C20B81">
              <w:rPr>
                <w:color w:val="FFFFFF" w:themeColor="background1"/>
                <w:sz w:val="20"/>
                <w:szCs w:val="20"/>
              </w:rPr>
              <w:t>(N</w:t>
            </w:r>
            <w:r w:rsidR="005A1E48" w:rsidRPr="00C20B81">
              <w:rPr>
                <w:color w:val="FFFFFF" w:themeColor="background1"/>
                <w:sz w:val="20"/>
                <w:szCs w:val="20"/>
              </w:rPr>
              <w:t xml:space="preserve"> </w:t>
            </w:r>
            <w:r w:rsidRPr="00C20B81">
              <w:rPr>
                <w:color w:val="FFFFFF" w:themeColor="background1"/>
                <w:sz w:val="20"/>
                <w:szCs w:val="20"/>
              </w:rPr>
              <w:t>=</w:t>
            </w:r>
            <w:r w:rsidR="005A1E48" w:rsidRPr="00C20B81">
              <w:rPr>
                <w:color w:val="FFFFFF" w:themeColor="background1"/>
                <w:sz w:val="20"/>
                <w:szCs w:val="20"/>
              </w:rPr>
              <w:t xml:space="preserve"> </w:t>
            </w:r>
            <w:r w:rsidRPr="00C20B81">
              <w:rPr>
                <w:color w:val="FFFFFF" w:themeColor="background1"/>
                <w:sz w:val="20"/>
                <w:szCs w:val="20"/>
              </w:rPr>
              <w:t>28)</w:t>
            </w:r>
          </w:p>
        </w:tc>
        <w:tc>
          <w:tcPr>
            <w:tcW w:w="993" w:type="dxa"/>
            <w:tcBorders>
              <w:left w:val="single" w:sz="8" w:space="0" w:color="000000" w:themeColor="text1"/>
              <w:right w:val="single" w:sz="8" w:space="0" w:color="000000" w:themeColor="text1"/>
            </w:tcBorders>
            <w:shd w:val="clear" w:color="auto" w:fill="0070B5" w:themeFill="accent1" w:themeFillTint="BF"/>
            <w:hideMark/>
          </w:tcPr>
          <w:p w14:paraId="2A48ADA4" w14:textId="0715333F" w:rsidR="00BF5D8D" w:rsidRPr="00C20B81" w:rsidRDefault="008B3DA6" w:rsidP="00C20B81">
            <w:pPr>
              <w:keepNext/>
              <w:ind w:left="0" w:right="0"/>
              <w:rPr>
                <w:color w:val="FFFFFF" w:themeColor="background1"/>
                <w:sz w:val="20"/>
                <w:szCs w:val="20"/>
              </w:rPr>
            </w:pPr>
            <w:r w:rsidRPr="00C20B81">
              <w:rPr>
                <w:color w:val="FFFFFF" w:themeColor="background1"/>
                <w:sz w:val="20"/>
                <w:szCs w:val="20"/>
              </w:rPr>
              <w:t>All p</w:t>
            </w:r>
            <w:r w:rsidR="00BF5D8D" w:rsidRPr="00C20B81">
              <w:rPr>
                <w:color w:val="FFFFFF" w:themeColor="background1"/>
                <w:sz w:val="20"/>
                <w:szCs w:val="20"/>
              </w:rPr>
              <w:t>atients</w:t>
            </w:r>
          </w:p>
          <w:p w14:paraId="413A41EC" w14:textId="3B5D09B1" w:rsidR="00BF5D8D" w:rsidRPr="00C20B81" w:rsidRDefault="00BF5D8D" w:rsidP="00C20B81">
            <w:pPr>
              <w:keepNext/>
              <w:ind w:left="0" w:right="0"/>
              <w:rPr>
                <w:color w:val="FFFFFF" w:themeColor="background1"/>
                <w:sz w:val="20"/>
                <w:szCs w:val="20"/>
              </w:rPr>
            </w:pPr>
            <w:r w:rsidRPr="00C20B81">
              <w:rPr>
                <w:color w:val="FFFFFF" w:themeColor="background1"/>
                <w:sz w:val="20"/>
                <w:szCs w:val="20"/>
              </w:rPr>
              <w:t>(N=</w:t>
            </w:r>
            <w:r w:rsidR="005A1E48" w:rsidRPr="00C20B81">
              <w:rPr>
                <w:color w:val="FFFFFF" w:themeColor="background1"/>
                <w:sz w:val="20"/>
                <w:szCs w:val="20"/>
              </w:rPr>
              <w:t xml:space="preserve"> </w:t>
            </w:r>
            <w:r w:rsidRPr="00C20B81">
              <w:rPr>
                <w:color w:val="FFFFFF" w:themeColor="background1"/>
                <w:sz w:val="20"/>
                <w:szCs w:val="20"/>
              </w:rPr>
              <w:t>137)</w:t>
            </w:r>
          </w:p>
        </w:tc>
        <w:tc>
          <w:tcPr>
            <w:tcW w:w="992" w:type="dxa"/>
            <w:tcBorders>
              <w:left w:val="single" w:sz="8" w:space="0" w:color="000000" w:themeColor="text1"/>
              <w:right w:val="single" w:sz="8" w:space="0" w:color="000000" w:themeColor="text1"/>
            </w:tcBorders>
            <w:shd w:val="clear" w:color="auto" w:fill="0070B5" w:themeFill="accent1" w:themeFillTint="BF"/>
            <w:hideMark/>
          </w:tcPr>
          <w:p w14:paraId="72FFD04D" w14:textId="77777777" w:rsidR="00FB3B17" w:rsidRPr="00C20B81" w:rsidRDefault="00BF5D8D" w:rsidP="00C20B81">
            <w:pPr>
              <w:keepNext/>
              <w:ind w:left="0" w:right="0"/>
              <w:rPr>
                <w:color w:val="FFFFFF" w:themeColor="background1"/>
                <w:sz w:val="20"/>
                <w:szCs w:val="20"/>
              </w:rPr>
            </w:pPr>
            <w:r w:rsidRPr="00C20B81">
              <w:rPr>
                <w:color w:val="FFFFFF" w:themeColor="background1"/>
                <w:sz w:val="20"/>
                <w:szCs w:val="20"/>
              </w:rPr>
              <w:t xml:space="preserve">Arm A </w:t>
            </w:r>
          </w:p>
          <w:p w14:paraId="5AE70472" w14:textId="0295B8AC" w:rsidR="00BF5D8D" w:rsidRPr="00C20B81" w:rsidRDefault="00BF5D8D" w:rsidP="00C20B81">
            <w:pPr>
              <w:keepNext/>
              <w:ind w:left="0" w:right="0"/>
              <w:rPr>
                <w:color w:val="FFFFFF" w:themeColor="background1"/>
                <w:sz w:val="20"/>
                <w:szCs w:val="20"/>
              </w:rPr>
            </w:pPr>
            <w:r w:rsidRPr="00C20B81">
              <w:rPr>
                <w:color w:val="FFFFFF" w:themeColor="background1"/>
                <w:sz w:val="20"/>
                <w:szCs w:val="20"/>
              </w:rPr>
              <w:t xml:space="preserve">90 mg </w:t>
            </w:r>
            <w:r w:rsidR="00FB3B17" w:rsidRPr="00C20B81">
              <w:rPr>
                <w:color w:val="FFFFFF" w:themeColor="background1"/>
                <w:sz w:val="20"/>
                <w:szCs w:val="20"/>
              </w:rPr>
              <w:t>daily</w:t>
            </w:r>
            <w:r w:rsidRPr="00C20B81">
              <w:rPr>
                <w:color w:val="FFFFFF" w:themeColor="background1"/>
                <w:sz w:val="20"/>
                <w:szCs w:val="20"/>
              </w:rPr>
              <w:t xml:space="preserve"> (N</w:t>
            </w:r>
            <w:r w:rsidR="005A1E48" w:rsidRPr="00C20B81">
              <w:rPr>
                <w:color w:val="FFFFFF" w:themeColor="background1"/>
                <w:sz w:val="20"/>
                <w:szCs w:val="20"/>
              </w:rPr>
              <w:t xml:space="preserve"> </w:t>
            </w:r>
            <w:r w:rsidRPr="00C20B81">
              <w:rPr>
                <w:color w:val="FFFFFF" w:themeColor="background1"/>
                <w:sz w:val="20"/>
                <w:szCs w:val="20"/>
              </w:rPr>
              <w:t>=</w:t>
            </w:r>
            <w:r w:rsidR="005A1E48" w:rsidRPr="00C20B81">
              <w:rPr>
                <w:color w:val="FFFFFF" w:themeColor="background1"/>
                <w:sz w:val="20"/>
                <w:szCs w:val="20"/>
              </w:rPr>
              <w:t xml:space="preserve"> </w:t>
            </w:r>
            <w:r w:rsidRPr="00C20B81">
              <w:rPr>
                <w:color w:val="FFFFFF" w:themeColor="background1"/>
                <w:sz w:val="20"/>
                <w:szCs w:val="20"/>
              </w:rPr>
              <w:t>109)</w:t>
            </w:r>
          </w:p>
        </w:tc>
        <w:tc>
          <w:tcPr>
            <w:tcW w:w="1134" w:type="dxa"/>
            <w:tcBorders>
              <w:left w:val="single" w:sz="8" w:space="0" w:color="000000" w:themeColor="text1"/>
              <w:right w:val="single" w:sz="8" w:space="0" w:color="000000" w:themeColor="text1"/>
            </w:tcBorders>
            <w:shd w:val="clear" w:color="auto" w:fill="0070B5" w:themeFill="accent1" w:themeFillTint="BF"/>
            <w:hideMark/>
          </w:tcPr>
          <w:p w14:paraId="6BA26799" w14:textId="77777777" w:rsidR="00FB3B17" w:rsidRPr="00C20B81" w:rsidRDefault="00BF5D8D" w:rsidP="00C20B81">
            <w:pPr>
              <w:keepNext/>
              <w:ind w:left="0" w:right="0"/>
              <w:rPr>
                <w:color w:val="FFFFFF" w:themeColor="background1"/>
                <w:sz w:val="20"/>
                <w:szCs w:val="20"/>
              </w:rPr>
            </w:pPr>
            <w:r w:rsidRPr="00C20B81">
              <w:rPr>
                <w:color w:val="FFFFFF" w:themeColor="background1"/>
                <w:sz w:val="20"/>
                <w:szCs w:val="20"/>
              </w:rPr>
              <w:t xml:space="preserve">Arm B </w:t>
            </w:r>
          </w:p>
          <w:p w14:paraId="506D3EC9" w14:textId="59CD02A9" w:rsidR="00BF5D8D" w:rsidRPr="00C20B81" w:rsidRDefault="00BF5D8D" w:rsidP="00C20B81">
            <w:pPr>
              <w:keepNext/>
              <w:ind w:left="0" w:right="0"/>
              <w:rPr>
                <w:color w:val="FFFFFF" w:themeColor="background1"/>
                <w:sz w:val="20"/>
                <w:szCs w:val="20"/>
              </w:rPr>
            </w:pPr>
            <w:r w:rsidRPr="00C20B81">
              <w:rPr>
                <w:color w:val="FFFFFF" w:themeColor="background1"/>
                <w:sz w:val="20"/>
                <w:szCs w:val="20"/>
              </w:rPr>
              <w:t xml:space="preserve">90 </w:t>
            </w:r>
            <w:r w:rsidR="00FB3B17" w:rsidRPr="00C20B81">
              <w:rPr>
                <w:color w:val="FFFFFF" w:themeColor="background1"/>
                <w:sz w:val="20"/>
                <w:szCs w:val="20"/>
              </w:rPr>
              <w:t xml:space="preserve">→ 180 </w:t>
            </w:r>
            <w:r w:rsidRPr="00C20B81">
              <w:rPr>
                <w:color w:val="FFFFFF" w:themeColor="background1"/>
                <w:sz w:val="20"/>
                <w:szCs w:val="20"/>
              </w:rPr>
              <w:t>mg</w:t>
            </w:r>
            <w:r w:rsidR="00BC01FB" w:rsidRPr="00C20B81">
              <w:rPr>
                <w:color w:val="FFFFFF" w:themeColor="background1"/>
                <w:sz w:val="20"/>
                <w:szCs w:val="20"/>
              </w:rPr>
              <w:t xml:space="preserve"> </w:t>
            </w:r>
            <w:r w:rsidR="00FB3B17" w:rsidRPr="00C20B81">
              <w:rPr>
                <w:color w:val="FFFFFF" w:themeColor="background1"/>
                <w:sz w:val="20"/>
                <w:szCs w:val="20"/>
              </w:rPr>
              <w:t>daily</w:t>
            </w:r>
            <w:r w:rsidRPr="00C20B81">
              <w:rPr>
                <w:color w:val="FFFFFF" w:themeColor="background1"/>
                <w:sz w:val="20"/>
                <w:szCs w:val="20"/>
              </w:rPr>
              <w:t xml:space="preserve"> (N</w:t>
            </w:r>
            <w:r w:rsidR="005A1E48" w:rsidRPr="00C20B81">
              <w:rPr>
                <w:color w:val="FFFFFF" w:themeColor="background1"/>
                <w:sz w:val="20"/>
                <w:szCs w:val="20"/>
              </w:rPr>
              <w:t xml:space="preserve"> </w:t>
            </w:r>
            <w:r w:rsidRPr="00C20B81">
              <w:rPr>
                <w:color w:val="FFFFFF" w:themeColor="background1"/>
                <w:sz w:val="20"/>
                <w:szCs w:val="20"/>
              </w:rPr>
              <w:t>=</w:t>
            </w:r>
            <w:r w:rsidR="005A1E48" w:rsidRPr="00C20B81">
              <w:rPr>
                <w:color w:val="FFFFFF" w:themeColor="background1"/>
                <w:sz w:val="20"/>
                <w:szCs w:val="20"/>
              </w:rPr>
              <w:t xml:space="preserve"> </w:t>
            </w:r>
            <w:r w:rsidRPr="00C20B81">
              <w:rPr>
                <w:color w:val="FFFFFF" w:themeColor="background1"/>
                <w:sz w:val="20"/>
                <w:szCs w:val="20"/>
              </w:rPr>
              <w:t>110)</w:t>
            </w:r>
          </w:p>
        </w:tc>
        <w:tc>
          <w:tcPr>
            <w:tcW w:w="992" w:type="dxa"/>
            <w:tcBorders>
              <w:left w:val="single" w:sz="8" w:space="0" w:color="000000" w:themeColor="text1"/>
            </w:tcBorders>
            <w:shd w:val="clear" w:color="auto" w:fill="0070B5" w:themeFill="accent1" w:themeFillTint="BF"/>
            <w:hideMark/>
          </w:tcPr>
          <w:p w14:paraId="0A0E7592" w14:textId="5CF0AFC9" w:rsidR="00BF5D8D" w:rsidRPr="00C20B81" w:rsidRDefault="005A1E48" w:rsidP="00C20B81">
            <w:pPr>
              <w:keepNext/>
              <w:ind w:left="0" w:right="0"/>
              <w:rPr>
                <w:color w:val="FFFFFF" w:themeColor="background1"/>
                <w:sz w:val="20"/>
                <w:szCs w:val="20"/>
              </w:rPr>
            </w:pPr>
            <w:r w:rsidRPr="00C20B81">
              <w:rPr>
                <w:color w:val="FFFFFF" w:themeColor="background1"/>
                <w:sz w:val="20"/>
                <w:szCs w:val="20"/>
              </w:rPr>
              <w:t>All p</w:t>
            </w:r>
            <w:r w:rsidR="00BF5D8D" w:rsidRPr="00C20B81">
              <w:rPr>
                <w:color w:val="FFFFFF" w:themeColor="background1"/>
                <w:sz w:val="20"/>
                <w:szCs w:val="20"/>
              </w:rPr>
              <w:t>atients (N</w:t>
            </w:r>
            <w:r w:rsidRPr="00C20B81">
              <w:rPr>
                <w:color w:val="FFFFFF" w:themeColor="background1"/>
                <w:sz w:val="20"/>
                <w:szCs w:val="20"/>
              </w:rPr>
              <w:t xml:space="preserve"> </w:t>
            </w:r>
            <w:r w:rsidR="00BF5D8D" w:rsidRPr="00C20B81">
              <w:rPr>
                <w:color w:val="FFFFFF" w:themeColor="background1"/>
                <w:sz w:val="20"/>
                <w:szCs w:val="20"/>
              </w:rPr>
              <w:t>=</w:t>
            </w:r>
            <w:r w:rsidRPr="00C20B81">
              <w:rPr>
                <w:color w:val="FFFFFF" w:themeColor="background1"/>
                <w:sz w:val="20"/>
                <w:szCs w:val="20"/>
              </w:rPr>
              <w:t xml:space="preserve"> </w:t>
            </w:r>
            <w:r w:rsidR="00BF5D8D" w:rsidRPr="00C20B81">
              <w:rPr>
                <w:color w:val="FFFFFF" w:themeColor="background1"/>
                <w:sz w:val="20"/>
                <w:szCs w:val="20"/>
              </w:rPr>
              <w:t>219)</w:t>
            </w:r>
          </w:p>
        </w:tc>
      </w:tr>
      <w:tr w:rsidR="00BF5D8D" w:rsidRPr="005A1E48" w14:paraId="6881DB38"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6E7492A" w14:textId="1AB8F3E9" w:rsidR="00BF5D8D" w:rsidRPr="005A1E48" w:rsidRDefault="00BF5D8D" w:rsidP="00C20B81">
            <w:pPr>
              <w:keepNext/>
              <w:ind w:left="0" w:right="0"/>
              <w:rPr>
                <w:color w:val="auto"/>
                <w:sz w:val="20"/>
                <w:szCs w:val="20"/>
                <w:lang w:eastAsia="en-US"/>
              </w:rPr>
            </w:pPr>
            <w:r w:rsidRPr="005A1E48">
              <w:rPr>
                <w:sz w:val="20"/>
                <w:szCs w:val="20"/>
              </w:rPr>
              <w:t xml:space="preserve">Any </w:t>
            </w:r>
            <w:r w:rsidR="00177144">
              <w:rPr>
                <w:sz w:val="20"/>
                <w:szCs w:val="20"/>
              </w:rPr>
              <w:t>t</w:t>
            </w:r>
            <w:r w:rsidR="00FB3B17" w:rsidRPr="005A1E48">
              <w:rPr>
                <w:sz w:val="20"/>
                <w:szCs w:val="20"/>
              </w:rPr>
              <w:t>reatment emergent AE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1EEBCC2" w14:textId="77777777" w:rsidR="00BF5D8D" w:rsidRPr="005A1E48" w:rsidRDefault="00BF5D8D" w:rsidP="00C20B81">
            <w:pPr>
              <w:keepNext/>
              <w:ind w:left="0" w:right="0"/>
              <w:rPr>
                <w:color w:val="auto"/>
                <w:sz w:val="20"/>
                <w:szCs w:val="20"/>
                <w:lang w:eastAsia="en-US"/>
              </w:rPr>
            </w:pPr>
            <w:r w:rsidRPr="005A1E48">
              <w:rPr>
                <w:sz w:val="20"/>
                <w:szCs w:val="20"/>
              </w:rPr>
              <w:t>14 (100.0)</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CC128D" w14:textId="77777777" w:rsidR="00BF5D8D" w:rsidRPr="005A1E48" w:rsidRDefault="00BF5D8D" w:rsidP="00C20B81">
            <w:pPr>
              <w:keepNext/>
              <w:ind w:left="0" w:right="0"/>
              <w:rPr>
                <w:color w:val="auto"/>
                <w:sz w:val="20"/>
                <w:szCs w:val="20"/>
                <w:lang w:eastAsia="en-US"/>
              </w:rPr>
            </w:pPr>
            <w:r w:rsidRPr="005A1E48">
              <w:rPr>
                <w:sz w:val="20"/>
                <w:szCs w:val="20"/>
              </w:rPr>
              <w:t>27 (96.4)</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5F08E47" w14:textId="77777777" w:rsidR="00BF5D8D" w:rsidRPr="005A1E48" w:rsidRDefault="00BF5D8D" w:rsidP="00C20B81">
            <w:pPr>
              <w:keepNext/>
              <w:ind w:left="0" w:right="0"/>
              <w:rPr>
                <w:color w:val="auto"/>
                <w:sz w:val="20"/>
                <w:szCs w:val="20"/>
                <w:lang w:eastAsia="en-US"/>
              </w:rPr>
            </w:pPr>
            <w:r w:rsidRPr="005A1E48">
              <w:rPr>
                <w:sz w:val="20"/>
                <w:szCs w:val="20"/>
              </w:rPr>
              <w:t>136 (99.3)</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88F1895" w14:textId="77777777" w:rsidR="00BF5D8D" w:rsidRPr="005A1E48" w:rsidRDefault="00BF5D8D" w:rsidP="00C20B81">
            <w:pPr>
              <w:keepNext/>
              <w:ind w:left="0" w:right="0"/>
              <w:rPr>
                <w:color w:val="auto"/>
                <w:sz w:val="20"/>
                <w:szCs w:val="20"/>
                <w:lang w:eastAsia="en-US"/>
              </w:rPr>
            </w:pPr>
            <w:r w:rsidRPr="005A1E48">
              <w:rPr>
                <w:sz w:val="20"/>
                <w:szCs w:val="20"/>
              </w:rPr>
              <w:t>108 (99.1)</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4AEB6FC" w14:textId="77777777" w:rsidR="00BF5D8D" w:rsidRPr="005A1E48" w:rsidRDefault="00BF5D8D" w:rsidP="00C20B81">
            <w:pPr>
              <w:keepNext/>
              <w:ind w:left="0" w:right="0"/>
              <w:rPr>
                <w:color w:val="auto"/>
                <w:sz w:val="20"/>
                <w:szCs w:val="20"/>
                <w:lang w:eastAsia="en-US"/>
              </w:rPr>
            </w:pPr>
            <w:r w:rsidRPr="005A1E48">
              <w:rPr>
                <w:sz w:val="20"/>
                <w:szCs w:val="20"/>
              </w:rPr>
              <w:t>110 (100.0)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AEDDDA" w14:textId="77777777" w:rsidR="00BF5D8D" w:rsidRPr="005A1E48" w:rsidRDefault="00BF5D8D" w:rsidP="00C20B81">
            <w:pPr>
              <w:keepNext/>
              <w:ind w:left="0" w:right="0"/>
              <w:rPr>
                <w:color w:val="auto"/>
                <w:sz w:val="20"/>
                <w:szCs w:val="20"/>
                <w:lang w:eastAsia="en-US"/>
              </w:rPr>
            </w:pPr>
            <w:r w:rsidRPr="005A1E48">
              <w:rPr>
                <w:sz w:val="20"/>
                <w:szCs w:val="20"/>
              </w:rPr>
              <w:t>218 (99.5)</w:t>
            </w:r>
          </w:p>
        </w:tc>
      </w:tr>
      <w:tr w:rsidR="00BF5D8D" w:rsidRPr="005A1E48" w14:paraId="773470CB"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8C3EA41" w14:textId="77777777" w:rsidR="00BF5D8D" w:rsidRPr="005A1E48" w:rsidRDefault="00BF5D8D" w:rsidP="005A1E48">
            <w:pPr>
              <w:ind w:left="0" w:right="0"/>
              <w:rPr>
                <w:sz w:val="20"/>
                <w:szCs w:val="20"/>
              </w:rPr>
            </w:pPr>
            <w:r w:rsidRPr="005A1E48">
              <w:rPr>
                <w:sz w:val="20"/>
                <w:szCs w:val="20"/>
              </w:rPr>
              <w:t>Treatment-related AE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FEA391" w14:textId="77777777" w:rsidR="00BF5D8D" w:rsidRPr="005A1E48" w:rsidRDefault="00BF5D8D" w:rsidP="005A1E48">
            <w:pPr>
              <w:ind w:left="0" w:right="0"/>
              <w:rPr>
                <w:sz w:val="20"/>
                <w:szCs w:val="20"/>
              </w:rPr>
            </w:pPr>
            <w:r w:rsidRPr="005A1E48">
              <w:rPr>
                <w:sz w:val="20"/>
                <w:szCs w:val="20"/>
              </w:rPr>
              <w:t>13 (92.9)</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9D5D75B" w14:textId="77777777" w:rsidR="00BF5D8D" w:rsidRPr="005A1E48" w:rsidRDefault="00BF5D8D" w:rsidP="005A1E48">
            <w:pPr>
              <w:ind w:left="0" w:right="0"/>
              <w:rPr>
                <w:sz w:val="20"/>
                <w:szCs w:val="20"/>
              </w:rPr>
            </w:pPr>
            <w:r w:rsidRPr="005A1E48">
              <w:rPr>
                <w:sz w:val="20"/>
                <w:szCs w:val="20"/>
              </w:rPr>
              <w:t>27 (96.4)</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B38444" w14:textId="77777777" w:rsidR="00BF5D8D" w:rsidRPr="005A1E48" w:rsidRDefault="00BF5D8D" w:rsidP="005A1E48">
            <w:pPr>
              <w:ind w:left="0" w:right="0"/>
              <w:rPr>
                <w:sz w:val="20"/>
                <w:szCs w:val="20"/>
              </w:rPr>
            </w:pPr>
            <w:r w:rsidRPr="005A1E48">
              <w:rPr>
                <w:sz w:val="20"/>
                <w:szCs w:val="20"/>
              </w:rPr>
              <w:t>126 (92.0)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0E6061D" w14:textId="77777777" w:rsidR="00BF5D8D" w:rsidRPr="005A1E48" w:rsidRDefault="00BF5D8D" w:rsidP="005A1E48">
            <w:pPr>
              <w:ind w:left="0" w:right="0"/>
              <w:rPr>
                <w:sz w:val="20"/>
                <w:szCs w:val="20"/>
              </w:rPr>
            </w:pPr>
            <w:r w:rsidRPr="005A1E48">
              <w:rPr>
                <w:sz w:val="20"/>
                <w:szCs w:val="20"/>
              </w:rPr>
              <w:t>85 (78.0)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853F1B" w14:textId="77777777" w:rsidR="00BF5D8D" w:rsidRPr="005A1E48" w:rsidRDefault="00BF5D8D" w:rsidP="005A1E48">
            <w:pPr>
              <w:ind w:left="0" w:right="0"/>
              <w:rPr>
                <w:sz w:val="20"/>
                <w:szCs w:val="20"/>
              </w:rPr>
            </w:pPr>
            <w:r w:rsidRPr="005A1E48">
              <w:rPr>
                <w:sz w:val="20"/>
                <w:szCs w:val="20"/>
              </w:rPr>
              <w:t>101 (91.8)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9D2CDF9" w14:textId="77777777" w:rsidR="00BF5D8D" w:rsidRPr="005A1E48" w:rsidRDefault="00BF5D8D" w:rsidP="005A1E48">
            <w:pPr>
              <w:ind w:left="0" w:right="0"/>
              <w:rPr>
                <w:sz w:val="20"/>
                <w:szCs w:val="20"/>
              </w:rPr>
            </w:pPr>
            <w:r w:rsidRPr="005A1E48">
              <w:rPr>
                <w:sz w:val="20"/>
                <w:szCs w:val="20"/>
              </w:rPr>
              <w:t>186 (84.9)</w:t>
            </w:r>
          </w:p>
        </w:tc>
      </w:tr>
      <w:tr w:rsidR="00BF5D8D" w:rsidRPr="005A1E48" w14:paraId="24C493A3" w14:textId="77777777" w:rsidTr="000A1C8A">
        <w:trPr>
          <w:cantSplit/>
          <w:trHeight w:val="1033"/>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D80373" w14:textId="77777777" w:rsidR="00BF5D8D" w:rsidRPr="005A1E48" w:rsidRDefault="00FB3B17" w:rsidP="005A1E48">
            <w:pPr>
              <w:ind w:left="0" w:right="0"/>
              <w:rPr>
                <w:sz w:val="20"/>
                <w:szCs w:val="20"/>
              </w:rPr>
            </w:pPr>
            <w:r w:rsidRPr="005A1E48">
              <w:rPr>
                <w:sz w:val="20"/>
                <w:szCs w:val="20"/>
              </w:rPr>
              <w:t xml:space="preserve">Treatment emergent </w:t>
            </w:r>
            <w:r w:rsidR="00BF5D8D" w:rsidRPr="005A1E48">
              <w:rPr>
                <w:sz w:val="20"/>
                <w:szCs w:val="20"/>
              </w:rPr>
              <w:t>AE Grade ≥</w:t>
            </w:r>
            <w:r w:rsidR="000A1C8A" w:rsidRPr="005A1E48">
              <w:rPr>
                <w:sz w:val="20"/>
                <w:szCs w:val="20"/>
              </w:rPr>
              <w:t xml:space="preserve"> </w:t>
            </w:r>
            <w:r w:rsidR="00BF5D8D" w:rsidRPr="005A1E48">
              <w:rPr>
                <w:sz w:val="20"/>
                <w:szCs w:val="20"/>
              </w:rPr>
              <w:t>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09153D" w14:textId="77777777" w:rsidR="00BF5D8D" w:rsidRPr="005A1E48" w:rsidRDefault="00BF5D8D" w:rsidP="005A1E48">
            <w:pPr>
              <w:ind w:left="0" w:right="0"/>
              <w:rPr>
                <w:sz w:val="20"/>
                <w:szCs w:val="20"/>
              </w:rPr>
            </w:pPr>
            <w:r w:rsidRPr="005A1E48">
              <w:rPr>
                <w:sz w:val="20"/>
                <w:szCs w:val="20"/>
              </w:rPr>
              <w:t>8 (57.1)</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280A36C" w14:textId="77777777" w:rsidR="00BF5D8D" w:rsidRPr="005A1E48" w:rsidRDefault="00BF5D8D" w:rsidP="005A1E48">
            <w:pPr>
              <w:ind w:left="0" w:right="0"/>
              <w:rPr>
                <w:sz w:val="20"/>
                <w:szCs w:val="20"/>
              </w:rPr>
            </w:pPr>
            <w:r w:rsidRPr="005A1E48">
              <w:rPr>
                <w:sz w:val="20"/>
                <w:szCs w:val="20"/>
              </w:rPr>
              <w:t>20 (71.4)</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0A2D0A" w14:textId="77777777" w:rsidR="00BF5D8D" w:rsidRPr="005A1E48" w:rsidRDefault="00BF5D8D" w:rsidP="005A1E48">
            <w:pPr>
              <w:ind w:left="0" w:right="0"/>
              <w:rPr>
                <w:sz w:val="20"/>
                <w:szCs w:val="20"/>
              </w:rPr>
            </w:pPr>
            <w:r w:rsidRPr="005A1E48">
              <w:rPr>
                <w:sz w:val="20"/>
                <w:szCs w:val="20"/>
              </w:rPr>
              <w:t>94 (68.6)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D6ECB6D" w14:textId="77777777" w:rsidR="00BF5D8D" w:rsidRPr="005A1E48" w:rsidRDefault="00BF5D8D" w:rsidP="005A1E48">
            <w:pPr>
              <w:ind w:left="0" w:right="0"/>
              <w:rPr>
                <w:sz w:val="20"/>
                <w:szCs w:val="20"/>
              </w:rPr>
            </w:pPr>
            <w:r w:rsidRPr="005A1E48">
              <w:rPr>
                <w:sz w:val="20"/>
                <w:szCs w:val="20"/>
              </w:rPr>
              <w:t>53 (48.6)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7ED290" w14:textId="77777777" w:rsidR="00BF5D8D" w:rsidRPr="005A1E48" w:rsidRDefault="00BF5D8D" w:rsidP="005A1E48">
            <w:pPr>
              <w:ind w:left="0" w:right="0"/>
              <w:rPr>
                <w:sz w:val="20"/>
                <w:szCs w:val="20"/>
              </w:rPr>
            </w:pPr>
            <w:r w:rsidRPr="005A1E48">
              <w:rPr>
                <w:sz w:val="20"/>
                <w:szCs w:val="20"/>
              </w:rPr>
              <w:t>60 (54.5)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260C079" w14:textId="77777777" w:rsidR="00BF5D8D" w:rsidRPr="005A1E48" w:rsidRDefault="00BF5D8D" w:rsidP="005A1E48">
            <w:pPr>
              <w:ind w:left="0" w:right="0"/>
              <w:rPr>
                <w:sz w:val="20"/>
                <w:szCs w:val="20"/>
              </w:rPr>
            </w:pPr>
            <w:r w:rsidRPr="005A1E48">
              <w:rPr>
                <w:sz w:val="20"/>
                <w:szCs w:val="20"/>
              </w:rPr>
              <w:t>113 (51.6)</w:t>
            </w:r>
          </w:p>
        </w:tc>
      </w:tr>
      <w:tr w:rsidR="00BF5D8D" w:rsidRPr="005A1E48" w14:paraId="6430AFDD"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60981A" w14:textId="234147E8" w:rsidR="00BF5D8D" w:rsidRPr="005A1E48" w:rsidRDefault="00BF5D8D" w:rsidP="005A1E48">
            <w:pPr>
              <w:ind w:left="0" w:right="0"/>
              <w:rPr>
                <w:sz w:val="20"/>
                <w:szCs w:val="20"/>
              </w:rPr>
            </w:pPr>
            <w:r w:rsidRPr="005A1E48">
              <w:rPr>
                <w:sz w:val="20"/>
                <w:szCs w:val="20"/>
              </w:rPr>
              <w:t>Treatment-related AE Grade ≥</w:t>
            </w:r>
            <w:r w:rsidR="00177144">
              <w:rPr>
                <w:sz w:val="20"/>
                <w:szCs w:val="20"/>
              </w:rPr>
              <w:t xml:space="preserve"> </w:t>
            </w:r>
            <w:r w:rsidRPr="005A1E48">
              <w:rPr>
                <w:sz w:val="20"/>
                <w:szCs w:val="20"/>
              </w:rPr>
              <w:t>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8B7E6A7" w14:textId="77777777" w:rsidR="00BF5D8D" w:rsidRPr="005A1E48" w:rsidRDefault="00BF5D8D" w:rsidP="005A1E48">
            <w:pPr>
              <w:ind w:left="0" w:right="0"/>
              <w:rPr>
                <w:sz w:val="20"/>
                <w:szCs w:val="20"/>
              </w:rPr>
            </w:pPr>
            <w:r w:rsidRPr="005A1E48">
              <w:rPr>
                <w:sz w:val="20"/>
                <w:szCs w:val="20"/>
              </w:rPr>
              <w:t>5 (35.7)</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21859E7" w14:textId="77777777" w:rsidR="00BF5D8D" w:rsidRPr="005A1E48" w:rsidRDefault="00BF5D8D" w:rsidP="005A1E48">
            <w:pPr>
              <w:ind w:left="0" w:right="0"/>
              <w:rPr>
                <w:sz w:val="20"/>
                <w:szCs w:val="20"/>
              </w:rPr>
            </w:pPr>
            <w:r w:rsidRPr="005A1E48">
              <w:rPr>
                <w:sz w:val="20"/>
                <w:szCs w:val="20"/>
              </w:rPr>
              <w:t>18 (64.3)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B3DC676" w14:textId="77777777" w:rsidR="00BF5D8D" w:rsidRPr="005A1E48" w:rsidRDefault="00BF5D8D" w:rsidP="005A1E48">
            <w:pPr>
              <w:ind w:left="0" w:right="0"/>
              <w:rPr>
                <w:sz w:val="20"/>
                <w:szCs w:val="20"/>
              </w:rPr>
            </w:pPr>
            <w:r w:rsidRPr="005A1E48">
              <w:rPr>
                <w:sz w:val="20"/>
                <w:szCs w:val="20"/>
              </w:rPr>
              <w:t>58 (42.3)</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BF38B03" w14:textId="77777777" w:rsidR="00BF5D8D" w:rsidRPr="005A1E48" w:rsidRDefault="00BF5D8D" w:rsidP="005A1E48">
            <w:pPr>
              <w:ind w:left="0" w:right="0"/>
              <w:rPr>
                <w:sz w:val="20"/>
                <w:szCs w:val="20"/>
              </w:rPr>
            </w:pPr>
            <w:r w:rsidRPr="005A1E48">
              <w:rPr>
                <w:sz w:val="20"/>
                <w:szCs w:val="20"/>
              </w:rPr>
              <w:t>22 (20.2)</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928CC88" w14:textId="77777777" w:rsidR="00BF5D8D" w:rsidRPr="005A1E48" w:rsidRDefault="00BF5D8D" w:rsidP="005A1E48">
            <w:pPr>
              <w:ind w:left="0" w:right="0"/>
              <w:rPr>
                <w:sz w:val="20"/>
                <w:szCs w:val="20"/>
              </w:rPr>
            </w:pPr>
            <w:r w:rsidRPr="005A1E48">
              <w:rPr>
                <w:sz w:val="20"/>
                <w:szCs w:val="20"/>
              </w:rPr>
              <w:t>38 (34.5)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3B3A18" w14:textId="77777777" w:rsidR="00BF5D8D" w:rsidRPr="005A1E48" w:rsidRDefault="00BF5D8D" w:rsidP="005A1E48">
            <w:pPr>
              <w:ind w:left="0" w:right="0"/>
              <w:rPr>
                <w:sz w:val="20"/>
                <w:szCs w:val="20"/>
              </w:rPr>
            </w:pPr>
            <w:r w:rsidRPr="005A1E48">
              <w:rPr>
                <w:sz w:val="20"/>
                <w:szCs w:val="20"/>
              </w:rPr>
              <w:t>60 (27.4)</w:t>
            </w:r>
          </w:p>
        </w:tc>
      </w:tr>
      <w:tr w:rsidR="00BF5D8D" w:rsidRPr="005A1E48" w14:paraId="1A8D25CC"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AD7A8F2" w14:textId="77777777" w:rsidR="00BF5D8D" w:rsidRPr="005A1E48" w:rsidRDefault="00BF5D8D" w:rsidP="005A1E48">
            <w:pPr>
              <w:ind w:left="0" w:right="0"/>
              <w:rPr>
                <w:sz w:val="20"/>
                <w:szCs w:val="20"/>
              </w:rPr>
            </w:pPr>
            <w:r w:rsidRPr="005A1E48">
              <w:rPr>
                <w:sz w:val="20"/>
                <w:szCs w:val="20"/>
              </w:rPr>
              <w:t>SAE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E7928D2" w14:textId="77777777" w:rsidR="00BF5D8D" w:rsidRPr="005A1E48" w:rsidRDefault="00BF5D8D" w:rsidP="005A1E48">
            <w:pPr>
              <w:ind w:left="0" w:right="0"/>
              <w:rPr>
                <w:sz w:val="20"/>
                <w:szCs w:val="20"/>
              </w:rPr>
            </w:pPr>
            <w:r w:rsidRPr="005A1E48">
              <w:rPr>
                <w:sz w:val="20"/>
                <w:szCs w:val="20"/>
              </w:rPr>
              <w:t>6 (42.9)</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920097D" w14:textId="77777777" w:rsidR="00BF5D8D" w:rsidRPr="005A1E48" w:rsidRDefault="00BF5D8D" w:rsidP="005A1E48">
            <w:pPr>
              <w:ind w:left="0" w:right="0"/>
              <w:rPr>
                <w:sz w:val="20"/>
                <w:szCs w:val="20"/>
              </w:rPr>
            </w:pPr>
            <w:r w:rsidRPr="005A1E48">
              <w:rPr>
                <w:sz w:val="20"/>
                <w:szCs w:val="20"/>
              </w:rPr>
              <w:t>10 (35.7)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D18A401" w14:textId="77777777" w:rsidR="00BF5D8D" w:rsidRPr="005A1E48" w:rsidRDefault="00BF5D8D" w:rsidP="005A1E48">
            <w:pPr>
              <w:ind w:left="0" w:right="0"/>
              <w:rPr>
                <w:sz w:val="20"/>
                <w:szCs w:val="20"/>
              </w:rPr>
            </w:pPr>
            <w:r w:rsidRPr="005A1E48">
              <w:rPr>
                <w:sz w:val="20"/>
                <w:szCs w:val="20"/>
              </w:rPr>
              <w:t>68 (49.6)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558788E" w14:textId="77777777" w:rsidR="00BF5D8D" w:rsidRPr="005A1E48" w:rsidRDefault="00BF5D8D" w:rsidP="005A1E48">
            <w:pPr>
              <w:ind w:left="0" w:right="0"/>
              <w:rPr>
                <w:sz w:val="20"/>
                <w:szCs w:val="20"/>
              </w:rPr>
            </w:pPr>
            <w:r w:rsidRPr="005A1E48">
              <w:rPr>
                <w:sz w:val="20"/>
                <w:szCs w:val="20"/>
              </w:rPr>
              <w:t>43 (39.4)</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E15B048" w14:textId="77777777" w:rsidR="00BF5D8D" w:rsidRPr="005A1E48" w:rsidRDefault="00BF5D8D" w:rsidP="005A1E48">
            <w:pPr>
              <w:ind w:left="0" w:right="0"/>
              <w:rPr>
                <w:sz w:val="20"/>
                <w:szCs w:val="20"/>
              </w:rPr>
            </w:pPr>
            <w:r w:rsidRPr="005A1E48">
              <w:rPr>
                <w:sz w:val="20"/>
                <w:szCs w:val="20"/>
              </w:rPr>
              <w:t>48 (43.6)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18AC0C" w14:textId="77777777" w:rsidR="00BF5D8D" w:rsidRPr="005A1E48" w:rsidRDefault="00BF5D8D" w:rsidP="005A1E48">
            <w:pPr>
              <w:ind w:left="0" w:right="0"/>
              <w:rPr>
                <w:sz w:val="20"/>
                <w:szCs w:val="20"/>
              </w:rPr>
            </w:pPr>
            <w:r w:rsidRPr="005A1E48">
              <w:rPr>
                <w:sz w:val="20"/>
                <w:szCs w:val="20"/>
              </w:rPr>
              <w:t>91 (41.6)</w:t>
            </w:r>
          </w:p>
        </w:tc>
      </w:tr>
      <w:tr w:rsidR="00BF5D8D" w:rsidRPr="005A1E48" w14:paraId="345B38BA"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EFC9FE" w14:textId="77777777" w:rsidR="00BF5D8D" w:rsidRPr="005A1E48" w:rsidRDefault="00BF5D8D" w:rsidP="005A1E48">
            <w:pPr>
              <w:ind w:left="0" w:right="0"/>
              <w:rPr>
                <w:sz w:val="20"/>
                <w:szCs w:val="20"/>
              </w:rPr>
            </w:pPr>
            <w:r w:rsidRPr="005A1E48">
              <w:rPr>
                <w:sz w:val="20"/>
                <w:szCs w:val="20"/>
              </w:rPr>
              <w:t>Treatment-related SAE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24E8AC" w14:textId="77777777" w:rsidR="00BF5D8D" w:rsidRPr="005A1E48" w:rsidRDefault="00BF5D8D" w:rsidP="005A1E48">
            <w:pPr>
              <w:ind w:left="0" w:right="0"/>
              <w:rPr>
                <w:sz w:val="20"/>
                <w:szCs w:val="20"/>
              </w:rPr>
            </w:pPr>
            <w:r w:rsidRPr="005A1E48">
              <w:rPr>
                <w:sz w:val="20"/>
                <w:szCs w:val="20"/>
              </w:rPr>
              <w:t>2 (14.3)</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FEC854" w14:textId="77777777" w:rsidR="00BF5D8D" w:rsidRPr="005A1E48" w:rsidRDefault="00BF5D8D" w:rsidP="005A1E48">
            <w:pPr>
              <w:ind w:left="0" w:right="0"/>
              <w:rPr>
                <w:sz w:val="20"/>
                <w:szCs w:val="20"/>
              </w:rPr>
            </w:pPr>
            <w:r w:rsidRPr="005A1E48">
              <w:rPr>
                <w:sz w:val="20"/>
                <w:szCs w:val="20"/>
              </w:rPr>
              <w:t>4 (14.3)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58210B" w14:textId="77777777" w:rsidR="00BF5D8D" w:rsidRPr="005A1E48" w:rsidRDefault="00BF5D8D" w:rsidP="005A1E48">
            <w:pPr>
              <w:ind w:left="0" w:right="0"/>
              <w:rPr>
                <w:sz w:val="20"/>
                <w:szCs w:val="20"/>
              </w:rPr>
            </w:pPr>
            <w:r w:rsidRPr="005A1E48">
              <w:rPr>
                <w:sz w:val="20"/>
                <w:szCs w:val="20"/>
              </w:rPr>
              <w:t>25 (18.2)</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F89DBA" w14:textId="77777777" w:rsidR="00BF5D8D" w:rsidRPr="005A1E48" w:rsidRDefault="00BF5D8D" w:rsidP="005A1E48">
            <w:pPr>
              <w:ind w:left="0" w:right="0"/>
              <w:rPr>
                <w:sz w:val="20"/>
                <w:szCs w:val="20"/>
              </w:rPr>
            </w:pPr>
            <w:r w:rsidRPr="005A1E48">
              <w:rPr>
                <w:sz w:val="20"/>
                <w:szCs w:val="20"/>
              </w:rPr>
              <w:t>8 (7.3)</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BC7D6CA" w14:textId="77777777" w:rsidR="00BF5D8D" w:rsidRPr="005A1E48" w:rsidRDefault="00BF5D8D" w:rsidP="005A1E48">
            <w:pPr>
              <w:ind w:left="0" w:right="0"/>
              <w:rPr>
                <w:sz w:val="20"/>
                <w:szCs w:val="20"/>
              </w:rPr>
            </w:pPr>
            <w:r w:rsidRPr="005A1E48">
              <w:rPr>
                <w:sz w:val="20"/>
                <w:szCs w:val="20"/>
              </w:rPr>
              <w:t>19 (17.3)</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7E4A3" w14:textId="77777777" w:rsidR="00BF5D8D" w:rsidRPr="005A1E48" w:rsidRDefault="00BF5D8D" w:rsidP="005A1E48">
            <w:pPr>
              <w:ind w:left="0" w:right="0"/>
              <w:rPr>
                <w:sz w:val="20"/>
                <w:szCs w:val="20"/>
              </w:rPr>
            </w:pPr>
            <w:r w:rsidRPr="005A1E48">
              <w:rPr>
                <w:sz w:val="20"/>
                <w:szCs w:val="20"/>
              </w:rPr>
              <w:t>27 (12.3)</w:t>
            </w:r>
          </w:p>
        </w:tc>
      </w:tr>
      <w:tr w:rsidR="00BF5D8D" w:rsidRPr="005A1E48" w14:paraId="4ECBBD17"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9C069F" w14:textId="3E761192" w:rsidR="00BF5D8D" w:rsidRPr="005A1E48" w:rsidRDefault="00BF5D8D" w:rsidP="005A1E48">
            <w:pPr>
              <w:ind w:left="0" w:right="0"/>
              <w:rPr>
                <w:sz w:val="20"/>
                <w:szCs w:val="20"/>
              </w:rPr>
            </w:pPr>
            <w:r w:rsidRPr="005A1E48">
              <w:rPr>
                <w:sz w:val="20"/>
                <w:szCs w:val="20"/>
              </w:rPr>
              <w:t>SAE Grade ≥</w:t>
            </w:r>
            <w:r w:rsidR="00177144">
              <w:rPr>
                <w:sz w:val="20"/>
                <w:szCs w:val="20"/>
              </w:rPr>
              <w:t xml:space="preserve"> </w:t>
            </w:r>
            <w:r w:rsidRPr="005A1E48">
              <w:rPr>
                <w:sz w:val="20"/>
                <w:szCs w:val="20"/>
              </w:rPr>
              <w:t>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B6CD71" w14:textId="77777777" w:rsidR="00BF5D8D" w:rsidRPr="005A1E48" w:rsidRDefault="00BF5D8D" w:rsidP="005A1E48">
            <w:pPr>
              <w:ind w:left="0" w:right="0"/>
              <w:rPr>
                <w:sz w:val="20"/>
                <w:szCs w:val="20"/>
              </w:rPr>
            </w:pPr>
            <w:r w:rsidRPr="005A1E48">
              <w:rPr>
                <w:sz w:val="20"/>
                <w:szCs w:val="20"/>
              </w:rPr>
              <w:t>6 (42.9)</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5F42D10" w14:textId="77777777" w:rsidR="00BF5D8D" w:rsidRPr="005A1E48" w:rsidRDefault="00BF5D8D" w:rsidP="005A1E48">
            <w:pPr>
              <w:ind w:left="0" w:right="0"/>
              <w:rPr>
                <w:sz w:val="20"/>
                <w:szCs w:val="20"/>
              </w:rPr>
            </w:pPr>
            <w:r w:rsidRPr="005A1E48">
              <w:rPr>
                <w:sz w:val="20"/>
                <w:szCs w:val="20"/>
              </w:rPr>
              <w:t>9 (32.1)</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3717D75" w14:textId="77777777" w:rsidR="00BF5D8D" w:rsidRPr="005A1E48" w:rsidRDefault="00BF5D8D" w:rsidP="005A1E48">
            <w:pPr>
              <w:ind w:left="0" w:right="0"/>
              <w:rPr>
                <w:sz w:val="20"/>
                <w:szCs w:val="20"/>
              </w:rPr>
            </w:pPr>
            <w:r w:rsidRPr="005A1E48">
              <w:rPr>
                <w:sz w:val="20"/>
                <w:szCs w:val="20"/>
              </w:rPr>
              <w:t>60 (43.8)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E69F49" w14:textId="77777777" w:rsidR="00BF5D8D" w:rsidRPr="005A1E48" w:rsidRDefault="00BF5D8D" w:rsidP="005A1E48">
            <w:pPr>
              <w:ind w:left="0" w:right="0"/>
              <w:rPr>
                <w:sz w:val="20"/>
                <w:szCs w:val="20"/>
              </w:rPr>
            </w:pPr>
            <w:r w:rsidRPr="005A1E48">
              <w:rPr>
                <w:sz w:val="20"/>
                <w:szCs w:val="20"/>
              </w:rPr>
              <w:t>31 (28.4)</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798CAF" w14:textId="77777777" w:rsidR="00BF5D8D" w:rsidRPr="005A1E48" w:rsidRDefault="00BF5D8D" w:rsidP="005A1E48">
            <w:pPr>
              <w:ind w:left="0" w:right="0"/>
              <w:rPr>
                <w:sz w:val="20"/>
                <w:szCs w:val="20"/>
              </w:rPr>
            </w:pPr>
            <w:r w:rsidRPr="005A1E48">
              <w:rPr>
                <w:sz w:val="20"/>
                <w:szCs w:val="20"/>
              </w:rPr>
              <w:t>37 (33.6)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16F543" w14:textId="77777777" w:rsidR="00BF5D8D" w:rsidRPr="005A1E48" w:rsidRDefault="00BF5D8D" w:rsidP="005A1E48">
            <w:pPr>
              <w:ind w:left="0" w:right="0"/>
              <w:rPr>
                <w:sz w:val="20"/>
                <w:szCs w:val="20"/>
              </w:rPr>
            </w:pPr>
            <w:r w:rsidRPr="005A1E48">
              <w:rPr>
                <w:sz w:val="20"/>
                <w:szCs w:val="20"/>
              </w:rPr>
              <w:t>68 (31.1)</w:t>
            </w:r>
          </w:p>
        </w:tc>
      </w:tr>
      <w:tr w:rsidR="00BF5D8D" w:rsidRPr="005A1E48" w14:paraId="6B4AFE54"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220C92" w14:textId="2F89BD5C" w:rsidR="00BF5D8D" w:rsidRPr="005A1E48" w:rsidRDefault="00177144" w:rsidP="005A1E48">
            <w:pPr>
              <w:ind w:left="0" w:right="0"/>
              <w:rPr>
                <w:sz w:val="20"/>
                <w:szCs w:val="20"/>
              </w:rPr>
            </w:pPr>
            <w:r>
              <w:rPr>
                <w:sz w:val="20"/>
                <w:szCs w:val="20"/>
              </w:rPr>
              <w:t>Treatment- r</w:t>
            </w:r>
            <w:r w:rsidR="00BF5D8D" w:rsidRPr="005A1E48">
              <w:rPr>
                <w:sz w:val="20"/>
                <w:szCs w:val="20"/>
              </w:rPr>
              <w:t>elated SAE Grade ≥</w:t>
            </w:r>
            <w:r>
              <w:rPr>
                <w:sz w:val="20"/>
                <w:szCs w:val="20"/>
              </w:rPr>
              <w:t xml:space="preserve"> </w:t>
            </w:r>
            <w:r w:rsidR="00BF5D8D" w:rsidRPr="005A1E48">
              <w:rPr>
                <w:sz w:val="20"/>
                <w:szCs w:val="20"/>
              </w:rPr>
              <w:t>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49287D" w14:textId="77777777" w:rsidR="00BF5D8D" w:rsidRPr="005A1E48" w:rsidRDefault="00BF5D8D" w:rsidP="005A1E48">
            <w:pPr>
              <w:ind w:left="0" w:right="0"/>
              <w:rPr>
                <w:sz w:val="20"/>
                <w:szCs w:val="20"/>
              </w:rPr>
            </w:pPr>
            <w:r w:rsidRPr="005A1E48">
              <w:rPr>
                <w:sz w:val="20"/>
                <w:szCs w:val="20"/>
              </w:rPr>
              <w:t>2 (14.3)</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A3092B" w14:textId="77777777" w:rsidR="00BF5D8D" w:rsidRPr="005A1E48" w:rsidRDefault="00BF5D8D" w:rsidP="005A1E48">
            <w:pPr>
              <w:ind w:left="0" w:right="0"/>
              <w:rPr>
                <w:sz w:val="20"/>
                <w:szCs w:val="20"/>
              </w:rPr>
            </w:pPr>
            <w:r w:rsidRPr="005A1E48">
              <w:rPr>
                <w:sz w:val="20"/>
                <w:szCs w:val="20"/>
              </w:rPr>
              <w:t>3 (10.7)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0A39495" w14:textId="77777777" w:rsidR="00BF5D8D" w:rsidRPr="005A1E48" w:rsidRDefault="00BF5D8D" w:rsidP="005A1E48">
            <w:pPr>
              <w:ind w:left="0" w:right="0"/>
              <w:rPr>
                <w:sz w:val="20"/>
                <w:szCs w:val="20"/>
              </w:rPr>
            </w:pPr>
            <w:r w:rsidRPr="005A1E48">
              <w:rPr>
                <w:sz w:val="20"/>
                <w:szCs w:val="20"/>
              </w:rPr>
              <w:t>20 (14.6)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87E96E" w14:textId="77777777" w:rsidR="00BF5D8D" w:rsidRPr="005A1E48" w:rsidRDefault="00BF5D8D" w:rsidP="005A1E48">
            <w:pPr>
              <w:ind w:left="0" w:right="0"/>
              <w:rPr>
                <w:sz w:val="20"/>
                <w:szCs w:val="20"/>
              </w:rPr>
            </w:pPr>
            <w:r w:rsidRPr="005A1E48">
              <w:rPr>
                <w:sz w:val="20"/>
                <w:szCs w:val="20"/>
              </w:rPr>
              <w:t>6 (5.5)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F12D783" w14:textId="77777777" w:rsidR="00BF5D8D" w:rsidRPr="005A1E48" w:rsidRDefault="00BF5D8D" w:rsidP="005A1E48">
            <w:pPr>
              <w:ind w:left="0" w:right="0"/>
              <w:rPr>
                <w:sz w:val="20"/>
                <w:szCs w:val="20"/>
              </w:rPr>
            </w:pPr>
            <w:r w:rsidRPr="005A1E48">
              <w:rPr>
                <w:sz w:val="20"/>
                <w:szCs w:val="20"/>
              </w:rPr>
              <w:t>12 (10.9)</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E2790E" w14:textId="77777777" w:rsidR="00BF5D8D" w:rsidRPr="005A1E48" w:rsidRDefault="00BF5D8D" w:rsidP="005A1E48">
            <w:pPr>
              <w:ind w:left="0" w:right="0"/>
              <w:rPr>
                <w:sz w:val="20"/>
                <w:szCs w:val="20"/>
              </w:rPr>
            </w:pPr>
            <w:r w:rsidRPr="005A1E48">
              <w:rPr>
                <w:sz w:val="20"/>
                <w:szCs w:val="20"/>
              </w:rPr>
              <w:t>18 (8.2)</w:t>
            </w:r>
          </w:p>
        </w:tc>
      </w:tr>
      <w:tr w:rsidR="00BF5D8D" w:rsidRPr="005A1E48" w14:paraId="5FD0BE2E"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70BBA1A" w14:textId="0F25326C" w:rsidR="00BF5D8D" w:rsidRPr="005A1E48" w:rsidRDefault="00FB3B17" w:rsidP="005A1E48">
            <w:pPr>
              <w:ind w:left="0" w:right="0"/>
              <w:rPr>
                <w:sz w:val="20"/>
                <w:szCs w:val="20"/>
              </w:rPr>
            </w:pPr>
            <w:r w:rsidRPr="005A1E48">
              <w:rPr>
                <w:sz w:val="20"/>
                <w:szCs w:val="20"/>
              </w:rPr>
              <w:lastRenderedPageBreak/>
              <w:t xml:space="preserve">Treatment emergent </w:t>
            </w:r>
            <w:r w:rsidR="00BF5D8D" w:rsidRPr="005A1E48">
              <w:rPr>
                <w:sz w:val="20"/>
                <w:szCs w:val="20"/>
              </w:rPr>
              <w:t xml:space="preserve">AE </w:t>
            </w:r>
            <w:r w:rsidR="00177144" w:rsidRPr="005A1E48">
              <w:rPr>
                <w:sz w:val="20"/>
                <w:szCs w:val="20"/>
              </w:rPr>
              <w:t>leading to dose reduction, dose interruption, or dose discontinuation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7EF4C57" w14:textId="77777777" w:rsidR="00BF5D8D" w:rsidRPr="005A1E48" w:rsidRDefault="00BF5D8D" w:rsidP="005A1E48">
            <w:pPr>
              <w:ind w:left="0" w:right="0"/>
              <w:rPr>
                <w:sz w:val="20"/>
                <w:szCs w:val="20"/>
              </w:rPr>
            </w:pPr>
            <w:r w:rsidRPr="005A1E48">
              <w:rPr>
                <w:sz w:val="20"/>
                <w:szCs w:val="20"/>
              </w:rPr>
              <w:t>6 (42.9)</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25077BB" w14:textId="77777777" w:rsidR="00BF5D8D" w:rsidRPr="005A1E48" w:rsidRDefault="00BF5D8D" w:rsidP="005A1E48">
            <w:pPr>
              <w:ind w:left="0" w:right="0"/>
              <w:rPr>
                <w:sz w:val="20"/>
                <w:szCs w:val="20"/>
              </w:rPr>
            </w:pPr>
            <w:r w:rsidRPr="005A1E48">
              <w:rPr>
                <w:sz w:val="20"/>
                <w:szCs w:val="20"/>
              </w:rPr>
              <w:t>17 (60.7)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40DF768" w14:textId="77777777" w:rsidR="00BF5D8D" w:rsidRPr="005A1E48" w:rsidRDefault="00BF5D8D" w:rsidP="005A1E48">
            <w:pPr>
              <w:ind w:left="0" w:right="0"/>
              <w:rPr>
                <w:sz w:val="20"/>
                <w:szCs w:val="20"/>
              </w:rPr>
            </w:pPr>
            <w:r w:rsidRPr="005A1E48">
              <w:rPr>
                <w:sz w:val="20"/>
                <w:szCs w:val="20"/>
              </w:rPr>
              <w:t>75 (54.7)</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6D92CA5" w14:textId="77777777" w:rsidR="00BF5D8D" w:rsidRPr="005A1E48" w:rsidRDefault="00BF5D8D" w:rsidP="005A1E48">
            <w:pPr>
              <w:ind w:left="0" w:right="0"/>
              <w:rPr>
                <w:sz w:val="20"/>
                <w:szCs w:val="20"/>
              </w:rPr>
            </w:pPr>
            <w:r w:rsidRPr="005A1E48">
              <w:rPr>
                <w:sz w:val="20"/>
                <w:szCs w:val="20"/>
              </w:rPr>
              <w:t>43 (39.4)</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9283F2" w14:textId="77777777" w:rsidR="00BF5D8D" w:rsidRPr="005A1E48" w:rsidRDefault="00BF5D8D" w:rsidP="005A1E48">
            <w:pPr>
              <w:ind w:left="0" w:right="0"/>
              <w:rPr>
                <w:sz w:val="20"/>
                <w:szCs w:val="20"/>
              </w:rPr>
            </w:pPr>
            <w:r w:rsidRPr="005A1E48">
              <w:rPr>
                <w:sz w:val="20"/>
                <w:szCs w:val="20"/>
              </w:rPr>
              <w:t>59 (53.6)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3DC91C3" w14:textId="77777777" w:rsidR="00BF5D8D" w:rsidRPr="005A1E48" w:rsidRDefault="00BF5D8D" w:rsidP="005A1E48">
            <w:pPr>
              <w:ind w:left="0" w:right="0"/>
              <w:rPr>
                <w:sz w:val="20"/>
                <w:szCs w:val="20"/>
              </w:rPr>
            </w:pPr>
            <w:r w:rsidRPr="005A1E48">
              <w:rPr>
                <w:sz w:val="20"/>
                <w:szCs w:val="20"/>
              </w:rPr>
              <w:t>102 (46.6)</w:t>
            </w:r>
          </w:p>
        </w:tc>
      </w:tr>
      <w:tr w:rsidR="00BF5D8D" w:rsidRPr="005A1E48" w14:paraId="7CD700AD"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61CCA78" w14:textId="77777777" w:rsidR="00BF5D8D" w:rsidRPr="005A1E48" w:rsidRDefault="00FB3B17" w:rsidP="005A1E48">
            <w:pPr>
              <w:ind w:left="0" w:right="0"/>
              <w:rPr>
                <w:sz w:val="20"/>
                <w:szCs w:val="20"/>
              </w:rPr>
            </w:pPr>
            <w:r w:rsidRPr="005A1E48">
              <w:rPr>
                <w:sz w:val="20"/>
                <w:szCs w:val="20"/>
              </w:rPr>
              <w:t xml:space="preserve">Treatment emergent </w:t>
            </w:r>
            <w:r w:rsidR="00BF5D8D" w:rsidRPr="005A1E48">
              <w:rPr>
                <w:sz w:val="20"/>
                <w:szCs w:val="20"/>
              </w:rPr>
              <w:t>AE leading to dose interruption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903CAD" w14:textId="77777777" w:rsidR="00BF5D8D" w:rsidRPr="005A1E48" w:rsidRDefault="00BF5D8D" w:rsidP="005A1E48">
            <w:pPr>
              <w:ind w:left="0" w:right="0"/>
              <w:rPr>
                <w:sz w:val="20"/>
                <w:szCs w:val="20"/>
              </w:rPr>
            </w:pPr>
            <w:r w:rsidRPr="005A1E48">
              <w:rPr>
                <w:sz w:val="20"/>
                <w:szCs w:val="20"/>
              </w:rPr>
              <w:t>6 (42.9)</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D74A5F2" w14:textId="77777777" w:rsidR="00BF5D8D" w:rsidRPr="005A1E48" w:rsidRDefault="00BF5D8D" w:rsidP="005A1E48">
            <w:pPr>
              <w:ind w:left="0" w:right="0"/>
              <w:rPr>
                <w:sz w:val="20"/>
                <w:szCs w:val="20"/>
              </w:rPr>
            </w:pPr>
            <w:r w:rsidRPr="005A1E48">
              <w:rPr>
                <w:sz w:val="20"/>
                <w:szCs w:val="20"/>
              </w:rPr>
              <w:t>16 (57.1)</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F0EFA5F" w14:textId="77777777" w:rsidR="00BF5D8D" w:rsidRPr="005A1E48" w:rsidRDefault="00BF5D8D" w:rsidP="005A1E48">
            <w:pPr>
              <w:ind w:left="0" w:right="0"/>
              <w:rPr>
                <w:sz w:val="20"/>
                <w:szCs w:val="20"/>
              </w:rPr>
            </w:pPr>
            <w:r w:rsidRPr="005A1E48">
              <w:rPr>
                <w:sz w:val="20"/>
                <w:szCs w:val="20"/>
              </w:rPr>
              <w:t>68 (49.6)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CA7F6F7" w14:textId="77777777" w:rsidR="00BF5D8D" w:rsidRPr="005A1E48" w:rsidRDefault="00BF5D8D" w:rsidP="005A1E48">
            <w:pPr>
              <w:ind w:left="0" w:right="0"/>
              <w:rPr>
                <w:sz w:val="20"/>
                <w:szCs w:val="20"/>
              </w:rPr>
            </w:pPr>
            <w:r w:rsidRPr="005A1E48">
              <w:rPr>
                <w:sz w:val="20"/>
                <w:szCs w:val="20"/>
              </w:rPr>
              <w:t>42 (38.5)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2BA1D4C" w14:textId="77777777" w:rsidR="00BF5D8D" w:rsidRPr="005A1E48" w:rsidRDefault="00BF5D8D" w:rsidP="005A1E48">
            <w:pPr>
              <w:ind w:left="0" w:right="0"/>
              <w:rPr>
                <w:sz w:val="20"/>
                <w:szCs w:val="20"/>
              </w:rPr>
            </w:pPr>
            <w:r w:rsidRPr="005A1E48">
              <w:rPr>
                <w:sz w:val="20"/>
                <w:szCs w:val="20"/>
              </w:rPr>
              <w:t>54 (49.1)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02D5F5" w14:textId="77777777" w:rsidR="00BF5D8D" w:rsidRPr="005A1E48" w:rsidRDefault="00BF5D8D" w:rsidP="005A1E48">
            <w:pPr>
              <w:ind w:left="0" w:right="0"/>
              <w:rPr>
                <w:sz w:val="20"/>
                <w:szCs w:val="20"/>
              </w:rPr>
            </w:pPr>
            <w:r w:rsidRPr="005A1E48">
              <w:rPr>
                <w:sz w:val="20"/>
                <w:szCs w:val="20"/>
              </w:rPr>
              <w:t>96 (43.8)</w:t>
            </w:r>
          </w:p>
        </w:tc>
      </w:tr>
      <w:tr w:rsidR="00BF5D8D" w:rsidRPr="005A1E48" w14:paraId="296926BB"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F41E39B" w14:textId="77777777" w:rsidR="00BF5D8D" w:rsidRPr="005A1E48" w:rsidRDefault="00FB3B17" w:rsidP="005A1E48">
            <w:pPr>
              <w:ind w:left="0" w:right="0"/>
              <w:rPr>
                <w:sz w:val="20"/>
                <w:szCs w:val="20"/>
              </w:rPr>
            </w:pPr>
            <w:r w:rsidRPr="005A1E48">
              <w:rPr>
                <w:sz w:val="20"/>
                <w:szCs w:val="20"/>
              </w:rPr>
              <w:t xml:space="preserve">Treatment emergent </w:t>
            </w:r>
            <w:r w:rsidR="00BF5D8D" w:rsidRPr="005A1E48">
              <w:rPr>
                <w:sz w:val="20"/>
                <w:szCs w:val="20"/>
              </w:rPr>
              <w:t>AE leading to dose reduction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C5ADC3" w14:textId="77777777" w:rsidR="00BF5D8D" w:rsidRPr="005A1E48" w:rsidRDefault="00BF5D8D" w:rsidP="005A1E48">
            <w:pPr>
              <w:ind w:left="0" w:right="0"/>
              <w:rPr>
                <w:sz w:val="20"/>
                <w:szCs w:val="20"/>
              </w:rPr>
            </w:pPr>
            <w:r w:rsidRPr="005A1E48">
              <w:rPr>
                <w:sz w:val="20"/>
                <w:szCs w:val="20"/>
              </w:rPr>
              <w:t>0</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3A806BB" w14:textId="77777777" w:rsidR="00BF5D8D" w:rsidRPr="005A1E48" w:rsidRDefault="00BF5D8D" w:rsidP="005A1E48">
            <w:pPr>
              <w:ind w:left="0" w:right="0"/>
              <w:rPr>
                <w:sz w:val="20"/>
                <w:szCs w:val="20"/>
              </w:rPr>
            </w:pPr>
            <w:r w:rsidRPr="005A1E48">
              <w:rPr>
                <w:sz w:val="20"/>
                <w:szCs w:val="20"/>
              </w:rPr>
              <w:t>6 (21.4)</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016F533" w14:textId="77777777" w:rsidR="00BF5D8D" w:rsidRPr="005A1E48" w:rsidRDefault="00BF5D8D" w:rsidP="005A1E48">
            <w:pPr>
              <w:ind w:left="0" w:right="0"/>
              <w:rPr>
                <w:sz w:val="20"/>
                <w:szCs w:val="20"/>
              </w:rPr>
            </w:pPr>
            <w:r w:rsidRPr="005A1E48">
              <w:rPr>
                <w:sz w:val="20"/>
                <w:szCs w:val="20"/>
              </w:rPr>
              <w:t>18 (13.1)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BC96106" w14:textId="77777777" w:rsidR="00BF5D8D" w:rsidRPr="005A1E48" w:rsidRDefault="00BF5D8D" w:rsidP="005A1E48">
            <w:pPr>
              <w:ind w:left="0" w:right="0"/>
              <w:rPr>
                <w:sz w:val="20"/>
                <w:szCs w:val="20"/>
              </w:rPr>
            </w:pPr>
            <w:r w:rsidRPr="005A1E48">
              <w:rPr>
                <w:sz w:val="20"/>
                <w:szCs w:val="20"/>
              </w:rPr>
              <w:t>9 (8.3)</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9BDF33" w14:textId="77777777" w:rsidR="00BF5D8D" w:rsidRPr="005A1E48" w:rsidRDefault="00BF5D8D" w:rsidP="005A1E48">
            <w:pPr>
              <w:ind w:left="0" w:right="0"/>
              <w:rPr>
                <w:sz w:val="20"/>
                <w:szCs w:val="20"/>
              </w:rPr>
            </w:pPr>
            <w:r w:rsidRPr="005A1E48">
              <w:rPr>
                <w:sz w:val="20"/>
                <w:szCs w:val="20"/>
              </w:rPr>
              <w:t>25 (22.7)</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1CE7B9E" w14:textId="77777777" w:rsidR="00BF5D8D" w:rsidRPr="005A1E48" w:rsidRDefault="00BF5D8D" w:rsidP="005A1E48">
            <w:pPr>
              <w:ind w:left="0" w:right="0"/>
              <w:rPr>
                <w:sz w:val="20"/>
                <w:szCs w:val="20"/>
              </w:rPr>
            </w:pPr>
            <w:r w:rsidRPr="005A1E48">
              <w:rPr>
                <w:sz w:val="20"/>
                <w:szCs w:val="20"/>
              </w:rPr>
              <w:t>34 (15.5)</w:t>
            </w:r>
          </w:p>
        </w:tc>
      </w:tr>
      <w:tr w:rsidR="00BF5D8D" w:rsidRPr="005A1E48" w14:paraId="4A1088B6" w14:textId="77777777" w:rsidTr="000A1C8A">
        <w:trPr>
          <w:cantSplit/>
          <w:trHeight w:val="284"/>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1FF8E9A" w14:textId="77777777" w:rsidR="00BF5D8D" w:rsidRPr="005A1E48" w:rsidRDefault="00FB3B17" w:rsidP="005A1E48">
            <w:pPr>
              <w:ind w:left="0" w:right="0"/>
              <w:rPr>
                <w:sz w:val="20"/>
                <w:szCs w:val="20"/>
              </w:rPr>
            </w:pPr>
            <w:r w:rsidRPr="005A1E48">
              <w:rPr>
                <w:sz w:val="20"/>
                <w:szCs w:val="20"/>
              </w:rPr>
              <w:t xml:space="preserve">Treatment emergent </w:t>
            </w:r>
            <w:r w:rsidR="00BF5D8D" w:rsidRPr="005A1E48">
              <w:rPr>
                <w:sz w:val="20"/>
                <w:szCs w:val="20"/>
              </w:rPr>
              <w:t>AE leading to dose discontinuation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40E8C68" w14:textId="77777777" w:rsidR="00BF5D8D" w:rsidRPr="005A1E48" w:rsidRDefault="00BF5D8D" w:rsidP="005A1E48">
            <w:pPr>
              <w:ind w:left="0" w:right="0"/>
              <w:rPr>
                <w:sz w:val="20"/>
                <w:szCs w:val="20"/>
              </w:rPr>
            </w:pPr>
            <w:r w:rsidRPr="005A1E48">
              <w:rPr>
                <w:sz w:val="20"/>
                <w:szCs w:val="20"/>
              </w:rPr>
              <w:t>1 (7.1)</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D2D18D2" w14:textId="77777777" w:rsidR="00BF5D8D" w:rsidRPr="005A1E48" w:rsidRDefault="00BF5D8D" w:rsidP="005A1E48">
            <w:pPr>
              <w:ind w:left="0" w:right="0"/>
              <w:rPr>
                <w:sz w:val="20"/>
                <w:szCs w:val="20"/>
              </w:rPr>
            </w:pPr>
            <w:r w:rsidRPr="005A1E48">
              <w:rPr>
                <w:sz w:val="20"/>
                <w:szCs w:val="20"/>
              </w:rPr>
              <w:t>4 (14.3)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61DFC1F" w14:textId="77777777" w:rsidR="00BF5D8D" w:rsidRPr="005A1E48" w:rsidRDefault="00BF5D8D" w:rsidP="005A1E48">
            <w:pPr>
              <w:ind w:left="0" w:right="0"/>
              <w:rPr>
                <w:sz w:val="20"/>
                <w:szCs w:val="20"/>
              </w:rPr>
            </w:pPr>
            <w:r w:rsidRPr="005A1E48">
              <w:rPr>
                <w:sz w:val="20"/>
                <w:szCs w:val="20"/>
              </w:rPr>
              <w:t>15 (10.9)</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5DDDD8" w14:textId="77777777" w:rsidR="00BF5D8D" w:rsidRPr="005A1E48" w:rsidRDefault="00BF5D8D" w:rsidP="005A1E48">
            <w:pPr>
              <w:ind w:left="0" w:right="0"/>
              <w:rPr>
                <w:sz w:val="20"/>
                <w:szCs w:val="20"/>
              </w:rPr>
            </w:pPr>
            <w:r w:rsidRPr="005A1E48">
              <w:rPr>
                <w:sz w:val="20"/>
                <w:szCs w:val="20"/>
              </w:rPr>
              <w:t>3 (2.8)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714843A" w14:textId="77777777" w:rsidR="00BF5D8D" w:rsidRPr="005A1E48" w:rsidRDefault="00BF5D8D" w:rsidP="005A1E48">
            <w:pPr>
              <w:ind w:left="0" w:right="0"/>
              <w:rPr>
                <w:sz w:val="20"/>
                <w:szCs w:val="20"/>
              </w:rPr>
            </w:pPr>
            <w:r w:rsidRPr="005A1E48">
              <w:rPr>
                <w:sz w:val="20"/>
                <w:szCs w:val="20"/>
              </w:rPr>
              <w:t>11 (10.0)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921A053" w14:textId="77777777" w:rsidR="00BF5D8D" w:rsidRPr="005A1E48" w:rsidRDefault="00BF5D8D" w:rsidP="005A1E48">
            <w:pPr>
              <w:ind w:left="0" w:right="0"/>
              <w:rPr>
                <w:sz w:val="20"/>
                <w:szCs w:val="20"/>
              </w:rPr>
            </w:pPr>
            <w:r w:rsidRPr="005A1E48">
              <w:rPr>
                <w:sz w:val="20"/>
                <w:szCs w:val="20"/>
              </w:rPr>
              <w:t>14 (6.4)</w:t>
            </w:r>
          </w:p>
        </w:tc>
      </w:tr>
    </w:tbl>
    <w:p w14:paraId="775991EB" w14:textId="3FCAC7B4" w:rsidR="00BF5D8D" w:rsidRDefault="00177144" w:rsidP="00177144">
      <w:pPr>
        <w:pStyle w:val="TableTitle"/>
      </w:pPr>
      <w:bookmarkStart w:id="50" w:name="_Ref33686073"/>
      <w:r>
        <w:t xml:space="preserve">Table </w:t>
      </w:r>
      <w:fldSimple w:instr=" SEQ Table \* ARABIC ">
        <w:r w:rsidR="00DF5AFE">
          <w:rPr>
            <w:noProof/>
          </w:rPr>
          <w:t>6</w:t>
        </w:r>
      </w:fldSimple>
      <w:bookmarkEnd w:id="50"/>
      <w:r>
        <w:t xml:space="preserve">: </w:t>
      </w:r>
      <w:r w:rsidR="00BF5D8D" w:rsidRPr="00BF5D8D">
        <w:t>Treatment emergent serious adverse events (in ≥</w:t>
      </w:r>
      <w:r>
        <w:t xml:space="preserve"> </w:t>
      </w:r>
      <w:r w:rsidR="00BF5D8D" w:rsidRPr="00BF5D8D">
        <w:t>2% of total study population) in Study AP26113-13-201 by treatment arm (</w:t>
      </w:r>
      <w:r w:rsidR="00FB3B17">
        <w:t xml:space="preserve">data </w:t>
      </w:r>
      <w:r>
        <w:t>cut-off</w:t>
      </w:r>
      <w:r w:rsidR="00BF5D8D" w:rsidRPr="00BF5D8D">
        <w:t xml:space="preserve"> 21</w:t>
      </w:r>
      <w:r w:rsidR="00D109BF">
        <w:t> </w:t>
      </w:r>
      <w:r w:rsidR="00BF5D8D" w:rsidRPr="00BF5D8D">
        <w:t>February</w:t>
      </w:r>
      <w:r w:rsidR="00D109BF">
        <w:t> </w:t>
      </w:r>
      <w:r w:rsidR="00BF5D8D" w:rsidRPr="00BF5D8D">
        <w:t>2017)</w:t>
      </w:r>
    </w:p>
    <w:tbl>
      <w:tblPr>
        <w:tblStyle w:val="TableTGAblue"/>
        <w:tblW w:w="0" w:type="auto"/>
        <w:tblLook w:val="04A0" w:firstRow="1" w:lastRow="0" w:firstColumn="1" w:lastColumn="0" w:noHBand="0" w:noVBand="1"/>
      </w:tblPr>
      <w:tblGrid>
        <w:gridCol w:w="3227"/>
        <w:gridCol w:w="1707"/>
        <w:gridCol w:w="1978"/>
        <w:gridCol w:w="1808"/>
      </w:tblGrid>
      <w:tr w:rsidR="00BF5D8D" w:rsidRPr="00177144" w14:paraId="1EEBC0F1" w14:textId="77777777" w:rsidTr="00BF5D8D">
        <w:trPr>
          <w:cnfStyle w:val="100000000000" w:firstRow="1" w:lastRow="0" w:firstColumn="0" w:lastColumn="0" w:oddVBand="0" w:evenVBand="0" w:oddHBand="0" w:evenHBand="0" w:firstRowFirstColumn="0" w:firstRowLastColumn="0" w:lastRowFirstColumn="0" w:lastRowLastColumn="0"/>
        </w:trPr>
        <w:tc>
          <w:tcPr>
            <w:tcW w:w="3227" w:type="dxa"/>
            <w:hideMark/>
          </w:tcPr>
          <w:p w14:paraId="423FE27A" w14:textId="39D574C9" w:rsidR="00BF5D8D" w:rsidRPr="00177144" w:rsidRDefault="00BF5D8D" w:rsidP="00177144">
            <w:pPr>
              <w:ind w:left="0" w:right="0"/>
              <w:rPr>
                <w:sz w:val="20"/>
                <w:szCs w:val="20"/>
              </w:rPr>
            </w:pPr>
            <w:r w:rsidRPr="00177144">
              <w:rPr>
                <w:sz w:val="20"/>
                <w:szCs w:val="20"/>
              </w:rPr>
              <w:t xml:space="preserve">Preferred </w:t>
            </w:r>
            <w:r w:rsidR="00D109BF">
              <w:rPr>
                <w:sz w:val="20"/>
                <w:szCs w:val="20"/>
              </w:rPr>
              <w:t>T</w:t>
            </w:r>
            <w:r w:rsidRPr="00177144">
              <w:rPr>
                <w:sz w:val="20"/>
                <w:szCs w:val="20"/>
              </w:rPr>
              <w:t>erm</w:t>
            </w:r>
          </w:p>
        </w:tc>
        <w:tc>
          <w:tcPr>
            <w:tcW w:w="1707" w:type="dxa"/>
            <w:hideMark/>
          </w:tcPr>
          <w:p w14:paraId="27E030C6" w14:textId="77777777" w:rsidR="00BF5D8D" w:rsidRPr="00177144" w:rsidRDefault="00BF5D8D" w:rsidP="00177144">
            <w:pPr>
              <w:ind w:left="0" w:right="0"/>
              <w:rPr>
                <w:sz w:val="20"/>
                <w:szCs w:val="20"/>
              </w:rPr>
            </w:pPr>
            <w:r w:rsidRPr="00177144">
              <w:rPr>
                <w:sz w:val="20"/>
                <w:szCs w:val="20"/>
              </w:rPr>
              <w:t>Arm A</w:t>
            </w:r>
          </w:p>
          <w:p w14:paraId="5EBBD639" w14:textId="77777777" w:rsidR="00BF5D8D" w:rsidRPr="00177144" w:rsidRDefault="00BF5D8D" w:rsidP="00177144">
            <w:pPr>
              <w:ind w:left="0" w:right="0"/>
              <w:rPr>
                <w:sz w:val="20"/>
                <w:szCs w:val="20"/>
              </w:rPr>
            </w:pPr>
            <w:r w:rsidRPr="00177144">
              <w:rPr>
                <w:sz w:val="20"/>
                <w:szCs w:val="20"/>
              </w:rPr>
              <w:t>90</w:t>
            </w:r>
            <w:r w:rsidR="00FB3B17" w:rsidRPr="00177144">
              <w:rPr>
                <w:sz w:val="20"/>
                <w:szCs w:val="20"/>
              </w:rPr>
              <w:t xml:space="preserve"> </w:t>
            </w:r>
            <w:r w:rsidRPr="00177144">
              <w:rPr>
                <w:sz w:val="20"/>
                <w:szCs w:val="20"/>
              </w:rPr>
              <w:t>mg</w:t>
            </w:r>
            <w:r w:rsidR="00BC01FB" w:rsidRPr="00177144">
              <w:rPr>
                <w:sz w:val="20"/>
                <w:szCs w:val="20"/>
              </w:rPr>
              <w:t xml:space="preserve"> </w:t>
            </w:r>
            <w:r w:rsidR="00FB3B17" w:rsidRPr="00177144">
              <w:rPr>
                <w:sz w:val="20"/>
                <w:szCs w:val="20"/>
              </w:rPr>
              <w:t>daily</w:t>
            </w:r>
          </w:p>
          <w:p w14:paraId="67162EAF" w14:textId="5306FE20" w:rsidR="00BF5D8D" w:rsidRPr="00177144" w:rsidRDefault="00BF5D8D" w:rsidP="00177144">
            <w:pPr>
              <w:ind w:left="0" w:right="0"/>
              <w:rPr>
                <w:sz w:val="20"/>
                <w:szCs w:val="20"/>
              </w:rPr>
            </w:pPr>
            <w:r w:rsidRPr="00177144">
              <w:rPr>
                <w:sz w:val="20"/>
                <w:szCs w:val="20"/>
              </w:rPr>
              <w:t>N</w:t>
            </w:r>
            <w:r w:rsidR="00177144">
              <w:rPr>
                <w:sz w:val="20"/>
                <w:szCs w:val="20"/>
              </w:rPr>
              <w:t xml:space="preserve"> </w:t>
            </w:r>
            <w:r w:rsidRPr="00177144">
              <w:rPr>
                <w:sz w:val="20"/>
                <w:szCs w:val="20"/>
              </w:rPr>
              <w:t>=</w:t>
            </w:r>
            <w:r w:rsidR="00177144">
              <w:rPr>
                <w:sz w:val="20"/>
                <w:szCs w:val="20"/>
              </w:rPr>
              <w:t xml:space="preserve"> </w:t>
            </w:r>
            <w:r w:rsidRPr="00177144">
              <w:rPr>
                <w:sz w:val="20"/>
                <w:szCs w:val="20"/>
              </w:rPr>
              <w:t>109</w:t>
            </w:r>
          </w:p>
        </w:tc>
        <w:tc>
          <w:tcPr>
            <w:tcW w:w="1978" w:type="dxa"/>
            <w:hideMark/>
          </w:tcPr>
          <w:p w14:paraId="5909D194" w14:textId="77777777" w:rsidR="00BF5D8D" w:rsidRPr="00177144" w:rsidRDefault="00BF5D8D" w:rsidP="00177144">
            <w:pPr>
              <w:ind w:left="0" w:right="0"/>
              <w:rPr>
                <w:sz w:val="20"/>
                <w:szCs w:val="20"/>
              </w:rPr>
            </w:pPr>
            <w:r w:rsidRPr="00177144">
              <w:rPr>
                <w:sz w:val="20"/>
                <w:szCs w:val="20"/>
              </w:rPr>
              <w:t>Arm B</w:t>
            </w:r>
          </w:p>
          <w:p w14:paraId="68BA0B15" w14:textId="7711773A" w:rsidR="00BF5D8D" w:rsidRPr="00177144" w:rsidRDefault="00177144" w:rsidP="00177144">
            <w:pPr>
              <w:ind w:left="0" w:right="0"/>
              <w:rPr>
                <w:sz w:val="20"/>
                <w:szCs w:val="20"/>
              </w:rPr>
            </w:pPr>
            <w:r>
              <w:rPr>
                <w:sz w:val="20"/>
                <w:szCs w:val="20"/>
              </w:rPr>
              <w:t xml:space="preserve">90 </w:t>
            </w:r>
            <w:r>
              <w:rPr>
                <w:rFonts w:eastAsia="Times New Roman"/>
              </w:rPr>
              <w:t>→</w:t>
            </w:r>
            <w:r w:rsidR="00BF5D8D" w:rsidRPr="00177144">
              <w:rPr>
                <w:sz w:val="20"/>
                <w:szCs w:val="20"/>
              </w:rPr>
              <w:t xml:space="preserve"> 180</w:t>
            </w:r>
            <w:r w:rsidR="00FB3B17" w:rsidRPr="00177144">
              <w:rPr>
                <w:sz w:val="20"/>
                <w:szCs w:val="20"/>
              </w:rPr>
              <w:t xml:space="preserve"> </w:t>
            </w:r>
            <w:r w:rsidR="00BF5D8D" w:rsidRPr="00177144">
              <w:rPr>
                <w:sz w:val="20"/>
                <w:szCs w:val="20"/>
              </w:rPr>
              <w:t xml:space="preserve">mg </w:t>
            </w:r>
            <w:r w:rsidR="00FB3B17" w:rsidRPr="00177144">
              <w:rPr>
                <w:sz w:val="20"/>
                <w:szCs w:val="20"/>
              </w:rPr>
              <w:t>daily</w:t>
            </w:r>
          </w:p>
          <w:p w14:paraId="4448092F" w14:textId="7A46CAE0" w:rsidR="00BF5D8D" w:rsidRPr="00177144" w:rsidRDefault="00BF5D8D" w:rsidP="00177144">
            <w:pPr>
              <w:ind w:left="0" w:right="0"/>
              <w:rPr>
                <w:sz w:val="20"/>
                <w:szCs w:val="20"/>
              </w:rPr>
            </w:pPr>
            <w:r w:rsidRPr="00177144">
              <w:rPr>
                <w:sz w:val="20"/>
                <w:szCs w:val="20"/>
              </w:rPr>
              <w:t>N</w:t>
            </w:r>
            <w:r w:rsidR="00177144">
              <w:rPr>
                <w:sz w:val="20"/>
                <w:szCs w:val="20"/>
              </w:rPr>
              <w:t xml:space="preserve"> </w:t>
            </w:r>
            <w:r w:rsidRPr="00177144">
              <w:rPr>
                <w:sz w:val="20"/>
                <w:szCs w:val="20"/>
              </w:rPr>
              <w:t>=</w:t>
            </w:r>
            <w:r w:rsidR="00177144">
              <w:rPr>
                <w:sz w:val="20"/>
                <w:szCs w:val="20"/>
              </w:rPr>
              <w:t xml:space="preserve"> </w:t>
            </w:r>
            <w:r w:rsidRPr="00177144">
              <w:rPr>
                <w:sz w:val="20"/>
                <w:szCs w:val="20"/>
              </w:rPr>
              <w:t>110</w:t>
            </w:r>
          </w:p>
        </w:tc>
        <w:tc>
          <w:tcPr>
            <w:tcW w:w="1808" w:type="dxa"/>
            <w:hideMark/>
          </w:tcPr>
          <w:p w14:paraId="1A9520C6" w14:textId="77777777" w:rsidR="00BF5D8D" w:rsidRPr="00177144" w:rsidRDefault="00BF5D8D" w:rsidP="00177144">
            <w:pPr>
              <w:ind w:left="0" w:right="0"/>
              <w:rPr>
                <w:sz w:val="20"/>
                <w:szCs w:val="20"/>
              </w:rPr>
            </w:pPr>
            <w:r w:rsidRPr="00177144">
              <w:rPr>
                <w:sz w:val="20"/>
                <w:szCs w:val="20"/>
              </w:rPr>
              <w:t>Total</w:t>
            </w:r>
          </w:p>
          <w:p w14:paraId="66171775" w14:textId="262F6938" w:rsidR="00BF5D8D" w:rsidRPr="00177144" w:rsidRDefault="00BF5D8D" w:rsidP="00177144">
            <w:pPr>
              <w:ind w:left="0" w:right="0"/>
              <w:rPr>
                <w:sz w:val="20"/>
                <w:szCs w:val="20"/>
              </w:rPr>
            </w:pPr>
            <w:r w:rsidRPr="00177144">
              <w:rPr>
                <w:sz w:val="20"/>
                <w:szCs w:val="20"/>
              </w:rPr>
              <w:t>N</w:t>
            </w:r>
            <w:r w:rsidR="00177144">
              <w:rPr>
                <w:sz w:val="20"/>
                <w:szCs w:val="20"/>
              </w:rPr>
              <w:t xml:space="preserve"> </w:t>
            </w:r>
            <w:r w:rsidRPr="00177144">
              <w:rPr>
                <w:sz w:val="20"/>
                <w:szCs w:val="20"/>
              </w:rPr>
              <w:t>=</w:t>
            </w:r>
            <w:r w:rsidR="00177144">
              <w:rPr>
                <w:sz w:val="20"/>
                <w:szCs w:val="20"/>
              </w:rPr>
              <w:t xml:space="preserve"> </w:t>
            </w:r>
            <w:r w:rsidRPr="00177144">
              <w:rPr>
                <w:sz w:val="20"/>
                <w:szCs w:val="20"/>
              </w:rPr>
              <w:t>219</w:t>
            </w:r>
          </w:p>
        </w:tc>
      </w:tr>
      <w:tr w:rsidR="00BF5D8D" w:rsidRPr="00177144" w14:paraId="39A36AFC" w14:textId="77777777" w:rsidTr="00BF5D8D">
        <w:tc>
          <w:tcPr>
            <w:tcW w:w="322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555A46F" w14:textId="77777777" w:rsidR="00BF5D8D" w:rsidRPr="00177144" w:rsidRDefault="00BF5D8D" w:rsidP="00177144">
            <w:pPr>
              <w:ind w:left="0" w:right="0"/>
              <w:rPr>
                <w:sz w:val="20"/>
                <w:szCs w:val="20"/>
              </w:rPr>
            </w:pPr>
            <w:r w:rsidRPr="00177144">
              <w:rPr>
                <w:sz w:val="20"/>
                <w:szCs w:val="20"/>
              </w:rPr>
              <w:t>Subjects with at least 1 event, n (%)</w:t>
            </w:r>
          </w:p>
        </w:tc>
        <w:tc>
          <w:tcPr>
            <w:tcW w:w="17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19209B8" w14:textId="77777777" w:rsidR="00BF5D8D" w:rsidRPr="00177144" w:rsidRDefault="00BF5D8D" w:rsidP="00177144">
            <w:pPr>
              <w:ind w:left="0" w:right="0"/>
              <w:rPr>
                <w:sz w:val="20"/>
                <w:szCs w:val="20"/>
              </w:rPr>
            </w:pPr>
            <w:r w:rsidRPr="00177144">
              <w:rPr>
                <w:sz w:val="20"/>
                <w:szCs w:val="20"/>
              </w:rPr>
              <w:t>52 (47.7)</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A8BB80D" w14:textId="77777777" w:rsidR="00BF5D8D" w:rsidRPr="00177144" w:rsidRDefault="00BF5D8D" w:rsidP="00177144">
            <w:pPr>
              <w:ind w:left="0" w:right="0"/>
              <w:rPr>
                <w:sz w:val="20"/>
                <w:szCs w:val="20"/>
              </w:rPr>
            </w:pPr>
            <w:r w:rsidRPr="00177144">
              <w:rPr>
                <w:sz w:val="20"/>
                <w:szCs w:val="20"/>
              </w:rPr>
              <w:t>56 (50.9)</w:t>
            </w:r>
          </w:p>
        </w:tc>
        <w:tc>
          <w:tcPr>
            <w:tcW w:w="180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D20AD42" w14:textId="77777777" w:rsidR="00BF5D8D" w:rsidRPr="00177144" w:rsidRDefault="00BF5D8D" w:rsidP="00177144">
            <w:pPr>
              <w:ind w:left="0" w:right="0"/>
              <w:rPr>
                <w:sz w:val="20"/>
                <w:szCs w:val="20"/>
              </w:rPr>
            </w:pPr>
            <w:r w:rsidRPr="00177144">
              <w:rPr>
                <w:sz w:val="20"/>
                <w:szCs w:val="20"/>
              </w:rPr>
              <w:t>108 (49.3)</w:t>
            </w:r>
          </w:p>
        </w:tc>
      </w:tr>
      <w:tr w:rsidR="00BF5D8D" w:rsidRPr="00177144" w14:paraId="7DF20C18" w14:textId="77777777" w:rsidTr="00BF5D8D">
        <w:tc>
          <w:tcPr>
            <w:tcW w:w="322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D4C0D41" w14:textId="1658B27E" w:rsidR="00BF5D8D" w:rsidRPr="00177144" w:rsidRDefault="00177144" w:rsidP="00177144">
            <w:pPr>
              <w:ind w:left="0" w:right="0"/>
              <w:rPr>
                <w:sz w:val="20"/>
                <w:szCs w:val="20"/>
              </w:rPr>
            </w:pPr>
            <w:r>
              <w:rPr>
                <w:sz w:val="20"/>
                <w:szCs w:val="20"/>
              </w:rPr>
              <w:t>Neoplasm p</w:t>
            </w:r>
            <w:r w:rsidR="00BF5D8D" w:rsidRPr="00177144">
              <w:rPr>
                <w:sz w:val="20"/>
                <w:szCs w:val="20"/>
              </w:rPr>
              <w:t>rogression</w:t>
            </w:r>
          </w:p>
        </w:tc>
        <w:tc>
          <w:tcPr>
            <w:tcW w:w="17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A549EE" w14:textId="77777777" w:rsidR="00BF5D8D" w:rsidRPr="00177144" w:rsidRDefault="00BF5D8D" w:rsidP="00177144">
            <w:pPr>
              <w:ind w:left="0" w:right="0"/>
              <w:rPr>
                <w:sz w:val="20"/>
                <w:szCs w:val="20"/>
              </w:rPr>
            </w:pPr>
            <w:r w:rsidRPr="00177144">
              <w:rPr>
                <w:sz w:val="20"/>
                <w:szCs w:val="20"/>
              </w:rPr>
              <w:t>18 (16.5)</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5122F10" w14:textId="77777777" w:rsidR="00BF5D8D" w:rsidRPr="00177144" w:rsidRDefault="00BF5D8D" w:rsidP="00177144">
            <w:pPr>
              <w:ind w:left="0" w:right="0"/>
              <w:rPr>
                <w:sz w:val="20"/>
                <w:szCs w:val="20"/>
              </w:rPr>
            </w:pPr>
            <w:r w:rsidRPr="00177144">
              <w:rPr>
                <w:sz w:val="20"/>
                <w:szCs w:val="20"/>
              </w:rPr>
              <w:t>8 (7.3)</w:t>
            </w:r>
          </w:p>
        </w:tc>
        <w:tc>
          <w:tcPr>
            <w:tcW w:w="180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5A45F8A" w14:textId="77777777" w:rsidR="00BF5D8D" w:rsidRPr="00177144" w:rsidRDefault="00BF5D8D" w:rsidP="00177144">
            <w:pPr>
              <w:ind w:left="0" w:right="0"/>
              <w:rPr>
                <w:sz w:val="20"/>
                <w:szCs w:val="20"/>
              </w:rPr>
            </w:pPr>
            <w:r w:rsidRPr="00177144">
              <w:rPr>
                <w:sz w:val="20"/>
                <w:szCs w:val="20"/>
              </w:rPr>
              <w:t>26 (11.9)</w:t>
            </w:r>
          </w:p>
        </w:tc>
      </w:tr>
      <w:tr w:rsidR="00BF5D8D" w:rsidRPr="00177144" w14:paraId="26073553" w14:textId="77777777" w:rsidTr="00BF5D8D">
        <w:tc>
          <w:tcPr>
            <w:tcW w:w="322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9C6E230" w14:textId="77777777" w:rsidR="00BF5D8D" w:rsidRPr="00177144" w:rsidRDefault="00BF5D8D" w:rsidP="00177144">
            <w:pPr>
              <w:ind w:left="0" w:right="0"/>
              <w:rPr>
                <w:sz w:val="20"/>
                <w:szCs w:val="20"/>
              </w:rPr>
            </w:pPr>
            <w:r w:rsidRPr="00177144">
              <w:rPr>
                <w:sz w:val="20"/>
                <w:szCs w:val="20"/>
              </w:rPr>
              <w:t>Pneumonia</w:t>
            </w:r>
          </w:p>
        </w:tc>
        <w:tc>
          <w:tcPr>
            <w:tcW w:w="17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E033CF" w14:textId="77777777" w:rsidR="00BF5D8D" w:rsidRPr="00177144" w:rsidRDefault="00BF5D8D" w:rsidP="00177144">
            <w:pPr>
              <w:ind w:left="0" w:right="0"/>
              <w:rPr>
                <w:sz w:val="20"/>
                <w:szCs w:val="20"/>
              </w:rPr>
            </w:pPr>
            <w:r w:rsidRPr="00177144">
              <w:rPr>
                <w:sz w:val="20"/>
                <w:szCs w:val="20"/>
              </w:rPr>
              <w:t>4 (3.7)</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D308D60" w14:textId="77777777" w:rsidR="00BF5D8D" w:rsidRPr="00177144" w:rsidRDefault="00BF5D8D" w:rsidP="00177144">
            <w:pPr>
              <w:ind w:left="0" w:right="0"/>
              <w:rPr>
                <w:sz w:val="20"/>
                <w:szCs w:val="20"/>
              </w:rPr>
            </w:pPr>
            <w:r w:rsidRPr="00177144">
              <w:rPr>
                <w:sz w:val="20"/>
                <w:szCs w:val="20"/>
              </w:rPr>
              <w:t>9 (8.2)</w:t>
            </w:r>
          </w:p>
        </w:tc>
        <w:tc>
          <w:tcPr>
            <w:tcW w:w="180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AC7B68" w14:textId="77777777" w:rsidR="00BF5D8D" w:rsidRPr="00177144" w:rsidRDefault="00BF5D8D" w:rsidP="00177144">
            <w:pPr>
              <w:ind w:left="0" w:right="0"/>
              <w:rPr>
                <w:sz w:val="20"/>
                <w:szCs w:val="20"/>
              </w:rPr>
            </w:pPr>
            <w:r w:rsidRPr="00177144">
              <w:rPr>
                <w:sz w:val="20"/>
                <w:szCs w:val="20"/>
              </w:rPr>
              <w:t>13 (5.9)</w:t>
            </w:r>
          </w:p>
        </w:tc>
      </w:tr>
      <w:tr w:rsidR="00BF5D8D" w:rsidRPr="00177144" w14:paraId="2C8E22BA" w14:textId="77777777" w:rsidTr="00BF5D8D">
        <w:tc>
          <w:tcPr>
            <w:tcW w:w="322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95843F" w14:textId="77777777" w:rsidR="00BF5D8D" w:rsidRPr="00177144" w:rsidRDefault="00BF5D8D" w:rsidP="00177144">
            <w:pPr>
              <w:ind w:left="0" w:right="0"/>
              <w:rPr>
                <w:sz w:val="20"/>
                <w:szCs w:val="20"/>
              </w:rPr>
            </w:pPr>
            <w:r w:rsidRPr="00177144">
              <w:rPr>
                <w:sz w:val="20"/>
                <w:szCs w:val="20"/>
              </w:rPr>
              <w:t>Pneumonitis</w:t>
            </w:r>
          </w:p>
        </w:tc>
        <w:tc>
          <w:tcPr>
            <w:tcW w:w="17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BFF4F95" w14:textId="77777777" w:rsidR="00BF5D8D" w:rsidRPr="00177144" w:rsidRDefault="00BF5D8D" w:rsidP="00177144">
            <w:pPr>
              <w:ind w:left="0" w:right="0"/>
              <w:rPr>
                <w:sz w:val="20"/>
                <w:szCs w:val="20"/>
              </w:rPr>
            </w:pPr>
            <w:r w:rsidRPr="00177144">
              <w:rPr>
                <w:sz w:val="20"/>
                <w:szCs w:val="20"/>
              </w:rPr>
              <w:t>2 (1.8)</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9CFA25" w14:textId="77777777" w:rsidR="00BF5D8D" w:rsidRPr="00177144" w:rsidRDefault="00BF5D8D" w:rsidP="00177144">
            <w:pPr>
              <w:ind w:left="0" w:right="0"/>
              <w:rPr>
                <w:sz w:val="20"/>
                <w:szCs w:val="20"/>
              </w:rPr>
            </w:pPr>
            <w:r w:rsidRPr="00177144">
              <w:rPr>
                <w:sz w:val="20"/>
                <w:szCs w:val="20"/>
              </w:rPr>
              <w:t>9 (8.2)</w:t>
            </w:r>
          </w:p>
        </w:tc>
        <w:tc>
          <w:tcPr>
            <w:tcW w:w="180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353062" w14:textId="77777777" w:rsidR="00BF5D8D" w:rsidRPr="00177144" w:rsidRDefault="00BF5D8D" w:rsidP="00177144">
            <w:pPr>
              <w:ind w:left="0" w:right="0"/>
              <w:rPr>
                <w:sz w:val="20"/>
                <w:szCs w:val="20"/>
              </w:rPr>
            </w:pPr>
            <w:r w:rsidRPr="00177144">
              <w:rPr>
                <w:sz w:val="20"/>
                <w:szCs w:val="20"/>
              </w:rPr>
              <w:t>11 (5.0)</w:t>
            </w:r>
          </w:p>
        </w:tc>
      </w:tr>
      <w:tr w:rsidR="00BF5D8D" w:rsidRPr="00177144" w14:paraId="7D248ECD" w14:textId="77777777" w:rsidTr="00BF5D8D">
        <w:tc>
          <w:tcPr>
            <w:tcW w:w="322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D70E9D" w14:textId="014B8ED3" w:rsidR="00BF5D8D" w:rsidRPr="00177144" w:rsidRDefault="00BF5D8D" w:rsidP="00177144">
            <w:pPr>
              <w:ind w:left="0" w:right="0"/>
              <w:rPr>
                <w:sz w:val="20"/>
                <w:szCs w:val="20"/>
              </w:rPr>
            </w:pPr>
            <w:r w:rsidRPr="00177144">
              <w:rPr>
                <w:sz w:val="20"/>
                <w:szCs w:val="20"/>
              </w:rPr>
              <w:t xml:space="preserve">Malignant </w:t>
            </w:r>
            <w:r w:rsidR="00177144" w:rsidRPr="00177144">
              <w:rPr>
                <w:sz w:val="20"/>
                <w:szCs w:val="20"/>
              </w:rPr>
              <w:t>pleural effusion</w:t>
            </w:r>
          </w:p>
        </w:tc>
        <w:tc>
          <w:tcPr>
            <w:tcW w:w="17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C587D18" w14:textId="77777777" w:rsidR="00BF5D8D" w:rsidRPr="00177144" w:rsidRDefault="00BF5D8D" w:rsidP="00177144">
            <w:pPr>
              <w:ind w:left="0" w:right="0"/>
              <w:rPr>
                <w:sz w:val="20"/>
                <w:szCs w:val="20"/>
              </w:rPr>
            </w:pPr>
            <w:r w:rsidRPr="00177144">
              <w:rPr>
                <w:sz w:val="20"/>
                <w:szCs w:val="20"/>
              </w:rPr>
              <w:t>4 (3.7)</w:t>
            </w:r>
          </w:p>
        </w:tc>
        <w:tc>
          <w:tcPr>
            <w:tcW w:w="19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C3D64F" w14:textId="77777777" w:rsidR="00BF5D8D" w:rsidRPr="00177144" w:rsidRDefault="00BF5D8D" w:rsidP="00177144">
            <w:pPr>
              <w:ind w:left="0" w:right="0"/>
              <w:rPr>
                <w:sz w:val="20"/>
                <w:szCs w:val="20"/>
              </w:rPr>
            </w:pPr>
            <w:r w:rsidRPr="00177144">
              <w:rPr>
                <w:sz w:val="20"/>
                <w:szCs w:val="20"/>
              </w:rPr>
              <w:t>4 (3.6)</w:t>
            </w:r>
          </w:p>
        </w:tc>
        <w:tc>
          <w:tcPr>
            <w:tcW w:w="180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90197AC" w14:textId="77777777" w:rsidR="00BF5D8D" w:rsidRPr="00177144" w:rsidRDefault="00BF5D8D" w:rsidP="00177144">
            <w:pPr>
              <w:ind w:left="0" w:right="0"/>
              <w:rPr>
                <w:sz w:val="20"/>
                <w:szCs w:val="20"/>
              </w:rPr>
            </w:pPr>
            <w:r w:rsidRPr="00177144">
              <w:rPr>
                <w:sz w:val="20"/>
                <w:szCs w:val="20"/>
              </w:rPr>
              <w:t>8 (3.7)</w:t>
            </w:r>
          </w:p>
        </w:tc>
      </w:tr>
    </w:tbl>
    <w:p w14:paraId="7E874F32" w14:textId="01535959" w:rsidR="00931717" w:rsidRDefault="00931717" w:rsidP="00931717">
      <w:r>
        <w:t>In the integrated summary of safety, deaths were more common in patients receiving 90</w:t>
      </w:r>
      <w:r w:rsidR="00FB3B17">
        <w:t> </w:t>
      </w:r>
      <w:r>
        <w:t xml:space="preserve">mg </w:t>
      </w:r>
      <w:r w:rsidR="00FB3B17">
        <w:t>daily</w:t>
      </w:r>
      <w:r w:rsidR="00177144">
        <w:t xml:space="preserve"> than 90 </w:t>
      </w:r>
      <w:r>
        <w:t>→</w:t>
      </w:r>
      <w:r w:rsidR="00177144">
        <w:t xml:space="preserve"> </w:t>
      </w:r>
      <w:r>
        <w:t xml:space="preserve">180 mg </w:t>
      </w:r>
      <w:r w:rsidR="00FB3B17">
        <w:t>daily</w:t>
      </w:r>
      <w:r>
        <w:t>.</w:t>
      </w:r>
      <w:r w:rsidR="00BC01FB">
        <w:t xml:space="preserve"> </w:t>
      </w:r>
      <w:r>
        <w:t>The majority of deaths in both dosage groups were due to neoplasm progression.</w:t>
      </w:r>
      <w:r w:rsidR="00BC01FB">
        <w:t xml:space="preserve"> </w:t>
      </w:r>
      <w:r>
        <w:t>There was no signal to indicate a relationship between brigatinib treatment and death due to a particular cause; in particular, there was no signal for pulmonary-related deaths in either group.</w:t>
      </w:r>
    </w:p>
    <w:p w14:paraId="27F633C4" w14:textId="1619DF2F" w:rsidR="00931717" w:rsidRDefault="00177144" w:rsidP="00931717">
      <w:r>
        <w:t>AEs</w:t>
      </w:r>
      <w:r w:rsidR="00931717">
        <w:t xml:space="preserve"> leading to discontinuations occurred in 10.9% of patients in Study AP26113-11-101 and 6.4% of patients in </w:t>
      </w:r>
      <w:r>
        <w:t>Study AP26113-13-201</w:t>
      </w:r>
      <w:r w:rsidR="00931717">
        <w:t>. Discontinuations were more common in patient</w:t>
      </w:r>
      <w:r>
        <w:t xml:space="preserve">s receiving the 90 </w:t>
      </w:r>
      <w:r w:rsidR="00FB3B17">
        <w:t>→</w:t>
      </w:r>
      <w:r>
        <w:t xml:space="preserve"> </w:t>
      </w:r>
      <w:r w:rsidR="00FB3B17">
        <w:t>180 mg daily</w:t>
      </w:r>
      <w:r w:rsidR="00931717">
        <w:t xml:space="preserve"> dose compared with the 90</w:t>
      </w:r>
      <w:r w:rsidR="000A1C8A">
        <w:t xml:space="preserve"> </w:t>
      </w:r>
      <w:r w:rsidR="00931717">
        <w:t xml:space="preserve">mg </w:t>
      </w:r>
      <w:r w:rsidR="00FB3B17">
        <w:t>daily</w:t>
      </w:r>
      <w:r w:rsidR="00931717">
        <w:t xml:space="preserve"> dose, but absolute numbers are small (</w:t>
      </w:r>
      <w:r>
        <w:fldChar w:fldCharType="begin"/>
      </w:r>
      <w:r>
        <w:instrText xml:space="preserve"> REF _Ref33686042 \h </w:instrText>
      </w:r>
      <w:r>
        <w:fldChar w:fldCharType="separate"/>
      </w:r>
      <w:r w:rsidR="00552756">
        <w:t xml:space="preserve">Table </w:t>
      </w:r>
      <w:r w:rsidR="00552756">
        <w:rPr>
          <w:noProof/>
        </w:rPr>
        <w:t>5</w:t>
      </w:r>
      <w:r>
        <w:fldChar w:fldCharType="end"/>
      </w:r>
      <w:r w:rsidR="00931717">
        <w:t>).</w:t>
      </w:r>
    </w:p>
    <w:p w14:paraId="2B2CB0C2" w14:textId="74F0A632" w:rsidR="00931717" w:rsidRDefault="00931717" w:rsidP="00931717">
      <w:r>
        <w:lastRenderedPageBreak/>
        <w:t xml:space="preserve">Four cases of definite </w:t>
      </w:r>
      <w:r w:rsidR="00FB3B17">
        <w:t>early onset pulmonary events</w:t>
      </w:r>
      <w:r>
        <w:t xml:space="preserve"> and 10 cases of possible </w:t>
      </w:r>
      <w:r w:rsidR="00FB3B17">
        <w:t>early onset pulmonary events</w:t>
      </w:r>
      <w:r>
        <w:t xml:space="preserve"> were identified in </w:t>
      </w:r>
      <w:r w:rsidR="00177144">
        <w:t xml:space="preserve">Study AP26113-13-201 (14 out of </w:t>
      </w:r>
      <w:r>
        <w:t>219, 6.4%).</w:t>
      </w:r>
      <w:r w:rsidR="00BC01FB">
        <w:t xml:space="preserve"> </w:t>
      </w:r>
      <w:r>
        <w:t>All occurred at the 90</w:t>
      </w:r>
      <w:r w:rsidR="00FB3B17">
        <w:t xml:space="preserve"> </w:t>
      </w:r>
      <w:r>
        <w:t xml:space="preserve">mg </w:t>
      </w:r>
      <w:r w:rsidR="00FB3B17">
        <w:t>daily</w:t>
      </w:r>
      <w:r>
        <w:t xml:space="preserve"> dose (</w:t>
      </w:r>
      <w:r w:rsidR="00FB3B17">
        <w:t>that is,</w:t>
      </w:r>
      <w:r>
        <w:t xml:space="preserve"> none were identified following escalation to 180</w:t>
      </w:r>
      <w:r w:rsidR="00177144">
        <w:t> </w:t>
      </w:r>
      <w:r>
        <w:t xml:space="preserve">mg </w:t>
      </w:r>
      <w:r w:rsidR="00FB3B17">
        <w:t>daily</w:t>
      </w:r>
      <w:r>
        <w:t>).</w:t>
      </w:r>
      <w:r w:rsidR="00BC01FB">
        <w:t xml:space="preserve"> </w:t>
      </w:r>
      <w:r>
        <w:t>Six were Grade 3 or 4, and one was Grade 5. Seven patients discontinued brigatinib and 6 had dose interruption.</w:t>
      </w:r>
      <w:r w:rsidR="00BC01FB">
        <w:t xml:space="preserve"> </w:t>
      </w:r>
      <w:r>
        <w:t xml:space="preserve">There was one death which was assessed by the investigator as not related to brigatinib, however the event met the definition of possible </w:t>
      </w:r>
      <w:r w:rsidR="00FB3B17">
        <w:t>early onset pulmonary events</w:t>
      </w:r>
      <w:r>
        <w:t>.</w:t>
      </w:r>
      <w:r w:rsidR="00BC01FB">
        <w:t xml:space="preserve"> </w:t>
      </w:r>
      <w:r>
        <w:t xml:space="preserve">In Study AP26113-11-101, 6 patients had definite </w:t>
      </w:r>
      <w:r w:rsidR="00BC01FB">
        <w:t>early onset pulmonary eventss</w:t>
      </w:r>
      <w:r>
        <w:t xml:space="preserve"> and 5 patients had possible </w:t>
      </w:r>
      <w:r w:rsidR="00177144">
        <w:t xml:space="preserve">early onset pulmonary events (11 out of </w:t>
      </w:r>
      <w:r>
        <w:t>137, 8.0%).</w:t>
      </w:r>
      <w:r w:rsidR="00BC01FB">
        <w:t xml:space="preserve"> </w:t>
      </w:r>
      <w:r>
        <w:t xml:space="preserve">Two </w:t>
      </w:r>
      <w:r w:rsidR="00BC01FB">
        <w:t xml:space="preserve">early onset pulmonary events </w:t>
      </w:r>
      <w:r>
        <w:t>s were fatal, and all but one event was Grade 3 or higher.</w:t>
      </w:r>
      <w:r w:rsidR="00BC01FB">
        <w:t xml:space="preserve"> </w:t>
      </w:r>
      <w:r>
        <w:t xml:space="preserve">The risk of </w:t>
      </w:r>
      <w:r w:rsidR="00BC01FB">
        <w:t>early onset pulmonary events</w:t>
      </w:r>
      <w:r>
        <w:t xml:space="preserve"> appears higher in patients aged ≥ 65 years.</w:t>
      </w:r>
    </w:p>
    <w:p w14:paraId="6C85D20C" w14:textId="671B0A42" w:rsidR="00931717" w:rsidRDefault="00931717" w:rsidP="00931717">
      <w:r>
        <w:t>Treatment-emergent bradycardia adve</w:t>
      </w:r>
      <w:r w:rsidR="00177144">
        <w:t>rse events occurred in 4.2% (15 out of 356) patients in Studies</w:t>
      </w:r>
      <w:r>
        <w:t xml:space="preserve"> AP26113-11-101 and </w:t>
      </w:r>
      <w:r w:rsidR="00177144">
        <w:t>AP26113-13-201</w:t>
      </w:r>
      <w:r>
        <w:t xml:space="preserve"> combined, and was observed in similar proportions in the 90</w:t>
      </w:r>
      <w:r w:rsidR="00177144">
        <w:t xml:space="preserve"> mg daily and 90 </w:t>
      </w:r>
      <w:r w:rsidR="00BC01FB">
        <w:t>→</w:t>
      </w:r>
      <w:r w:rsidR="00177144">
        <w:t xml:space="preserve"> </w:t>
      </w:r>
      <w:r w:rsidR="00BC01FB">
        <w:t>180 mg daily</w:t>
      </w:r>
      <w:r>
        <w:t xml:space="preserve"> dose groups.</w:t>
      </w:r>
      <w:r w:rsidR="00BC01FB">
        <w:t xml:space="preserve"> </w:t>
      </w:r>
      <w:r>
        <w:t>Bradycardia was consider</w:t>
      </w:r>
      <w:r w:rsidR="00177144">
        <w:t xml:space="preserve">ed treatment related in 2.2% (8 out of </w:t>
      </w:r>
      <w:r>
        <w:t>356), but did not lead to treatment interruption, dose reduction or discontinuation.</w:t>
      </w:r>
    </w:p>
    <w:p w14:paraId="64D812D0" w14:textId="00A731A8" w:rsidR="00931717" w:rsidRDefault="00931717" w:rsidP="00931717">
      <w:r>
        <w:t>Treatment emergent hypertension adver</w:t>
      </w:r>
      <w:r w:rsidR="00177144">
        <w:t>se events occurred in 17.4% (62 out of 356) patients across Studies</w:t>
      </w:r>
      <w:r>
        <w:t xml:space="preserve"> AP26113-11</w:t>
      </w:r>
      <w:r w:rsidR="00177144">
        <w:t xml:space="preserve">-101 and </w:t>
      </w:r>
      <w:r>
        <w:t xml:space="preserve">AP26113-13-201, and occurred more </w:t>
      </w:r>
      <w:r w:rsidR="00177144">
        <w:t xml:space="preserve">commonly in the 90 </w:t>
      </w:r>
      <w:r w:rsidR="00BC01FB">
        <w:t>→</w:t>
      </w:r>
      <w:r w:rsidR="00177144">
        <w:t xml:space="preserve"> </w:t>
      </w:r>
      <w:r w:rsidR="00BC01FB">
        <w:t>180 mg daily</w:t>
      </w:r>
      <w:r>
        <w:t xml:space="preserve"> dose groups (22.5%) compared with the 90</w:t>
      </w:r>
      <w:r w:rsidR="00BC01FB">
        <w:t xml:space="preserve"> </w:t>
      </w:r>
      <w:r>
        <w:t xml:space="preserve">mg </w:t>
      </w:r>
      <w:r w:rsidR="00BC01FB">
        <w:t>daily</w:t>
      </w:r>
      <w:r>
        <w:t xml:space="preserve"> dose groups (13.8%). Grade 3 or greater hypertens</w:t>
      </w:r>
      <w:r w:rsidR="00177144">
        <w:t xml:space="preserve">ion events occurred in 7.2% (10 out of 138) of patients in the 90 </w:t>
      </w:r>
      <w:r>
        <w:t>→</w:t>
      </w:r>
      <w:r w:rsidR="00177144">
        <w:t xml:space="preserve"> </w:t>
      </w:r>
      <w:r>
        <w:t xml:space="preserve">180 mg </w:t>
      </w:r>
      <w:r w:rsidR="00BC01FB">
        <w:t>daily</w:t>
      </w:r>
      <w:r w:rsidR="00177144">
        <w:t xml:space="preserve"> dose groups and 4.9% (6 out of </w:t>
      </w:r>
      <w:r>
        <w:t>123) of patients in the 90</w:t>
      </w:r>
      <w:r w:rsidR="00BC01FB">
        <w:t> </w:t>
      </w:r>
      <w:r>
        <w:t xml:space="preserve">mg </w:t>
      </w:r>
      <w:r w:rsidR="00BC01FB">
        <w:t>daily</w:t>
      </w:r>
      <w:r>
        <w:t xml:space="preserve"> dose groups.</w:t>
      </w:r>
      <w:r w:rsidR="00BC01FB">
        <w:t xml:space="preserve"> </w:t>
      </w:r>
      <w:r>
        <w:t>No patients discontinued due to a hypertension event.</w:t>
      </w:r>
    </w:p>
    <w:p w14:paraId="5056AA86" w14:textId="0BEC910A" w:rsidR="00931717" w:rsidRDefault="00931717" w:rsidP="00931717">
      <w:r>
        <w:t>Treatment emergent gastrointestinal advers</w:t>
      </w:r>
      <w:r w:rsidR="00177144">
        <w:t xml:space="preserve">e events occurred in 74.4% (265 out of 356) of patients across Studies AP26113-11-101 and </w:t>
      </w:r>
      <w:r>
        <w:t>AP26113-13-201. Grade 3 or greater events occ</w:t>
      </w:r>
      <w:r w:rsidR="00177144">
        <w:t xml:space="preserve">urred in 3.9% (14 out of </w:t>
      </w:r>
      <w:r>
        <w:t>356) patients overall, most commonly nausea (1.1%), diarrhoea (0.8%) and vomiting (0.6%).</w:t>
      </w:r>
      <w:r w:rsidR="00BC01FB">
        <w:t xml:space="preserve"> </w:t>
      </w:r>
      <w:r>
        <w:t>No patients discontinued due to gastrointestinal adverse events.</w:t>
      </w:r>
    </w:p>
    <w:p w14:paraId="27D8C547" w14:textId="43437B97" w:rsidR="00931717" w:rsidRDefault="00931717" w:rsidP="00931717">
      <w:r>
        <w:t>Blood creat</w:t>
      </w:r>
      <w:r w:rsidR="00177144">
        <w:t>in</w:t>
      </w:r>
      <w:r>
        <w:t>ine phosphokinase (</w:t>
      </w:r>
      <w:r w:rsidR="00A641D8">
        <w:t xml:space="preserve">CPK) was increased in 39.3% (86 out of </w:t>
      </w:r>
      <w:r>
        <w:t>219) of patients in Study AP26113-13-201, and occurr</w:t>
      </w:r>
      <w:r w:rsidR="00A641D8">
        <w:t xml:space="preserve">ed more frequently in the 90 </w:t>
      </w:r>
      <w:r>
        <w:t>→</w:t>
      </w:r>
      <w:r w:rsidR="00A641D8">
        <w:t xml:space="preserve"> </w:t>
      </w:r>
      <w:r>
        <w:t xml:space="preserve">180 mg </w:t>
      </w:r>
      <w:r w:rsidR="00BC01FB">
        <w:t>daily</w:t>
      </w:r>
      <w:r>
        <w:t xml:space="preserve"> dose group (49.1%) compared with the 90</w:t>
      </w:r>
      <w:r w:rsidR="00BC01FB">
        <w:t xml:space="preserve"> mg daily</w:t>
      </w:r>
      <w:r>
        <w:t xml:space="preserve"> dose group (29.4%). Increases to Grade 3 or 4 in patients with less than Grade 3 </w:t>
      </w:r>
      <w:r w:rsidR="00A641D8">
        <w:t>CPK at B</w:t>
      </w:r>
      <w:r>
        <w:t xml:space="preserve">aseline occurred in </w:t>
      </w:r>
      <w:r w:rsidR="00A641D8">
        <w:t xml:space="preserve">11.8% of patients in the 90 </w:t>
      </w:r>
      <w:r>
        <w:t>→</w:t>
      </w:r>
      <w:r w:rsidR="00A641D8">
        <w:t xml:space="preserve"> </w:t>
      </w:r>
      <w:r>
        <w:t>180</w:t>
      </w:r>
      <w:r w:rsidR="00BC01FB">
        <w:t xml:space="preserve"> mg daily</w:t>
      </w:r>
      <w:r>
        <w:t xml:space="preserve"> dose group, and 2.8% in the 90</w:t>
      </w:r>
      <w:r w:rsidR="00BC01FB">
        <w:t xml:space="preserve"> mg daily</w:t>
      </w:r>
      <w:r>
        <w:t xml:space="preserve"> dose group.</w:t>
      </w:r>
      <w:r w:rsidR="00BC01FB">
        <w:t xml:space="preserve"> </w:t>
      </w:r>
      <w:r w:rsidR="00A641D8">
        <w:t>An important potential risk of ‘</w:t>
      </w:r>
      <w:r>
        <w:t>Myopathy, including rh</w:t>
      </w:r>
      <w:r w:rsidR="00A641D8">
        <w:t>abdomyolysis and cardiomyopathy’</w:t>
      </w:r>
      <w:r>
        <w:t xml:space="preserve"> has been included in the </w:t>
      </w:r>
      <w:r w:rsidR="00D109BF">
        <w:t>risk management plan (</w:t>
      </w:r>
      <w:r>
        <w:t>RMP</w:t>
      </w:r>
      <w:r w:rsidR="00D109BF">
        <w:t>)</w:t>
      </w:r>
      <w:r>
        <w:t xml:space="preserve"> safety specification.</w:t>
      </w:r>
    </w:p>
    <w:p w14:paraId="4214EC2A" w14:textId="50071EA8" w:rsidR="00931717" w:rsidRDefault="00931717" w:rsidP="00931717">
      <w:r>
        <w:t>Treatment emergent clinical pancreatitis adverse events occurred in 2 patients in Study</w:t>
      </w:r>
      <w:r w:rsidR="00D109BF">
        <w:t> </w:t>
      </w:r>
      <w:r>
        <w:t xml:space="preserve">AP26113-11-101 (both were SAEs) and none in </w:t>
      </w:r>
      <w:r w:rsidR="00A641D8">
        <w:t>Study AP26113-13-201</w:t>
      </w:r>
      <w:r>
        <w:t>.</w:t>
      </w:r>
      <w:r w:rsidR="00BC01FB">
        <w:t xml:space="preserve"> </w:t>
      </w:r>
      <w:r>
        <w:t>Treatment emergent chemical pancreatitis adver</w:t>
      </w:r>
      <w:r w:rsidR="00A641D8">
        <w:t xml:space="preserve">se events occurred in 21.6% (77 out of </w:t>
      </w:r>
      <w:r>
        <w:t>356) of patients across both studies. Events were more common</w:t>
      </w:r>
      <w:r w:rsidR="00A641D8">
        <w:t xml:space="preserve"> in the 90 </w:t>
      </w:r>
      <w:r>
        <w:t>→</w:t>
      </w:r>
      <w:r w:rsidR="00A641D8">
        <w:t xml:space="preserve"> </w:t>
      </w:r>
      <w:r>
        <w:t>180</w:t>
      </w:r>
      <w:r w:rsidR="00BC01FB">
        <w:t xml:space="preserve"> mg daily</w:t>
      </w:r>
      <w:r>
        <w:t xml:space="preserve"> dose groups (26.8%) compared with the 90</w:t>
      </w:r>
      <w:r w:rsidR="00BC01FB">
        <w:t xml:space="preserve"> mg daily</w:t>
      </w:r>
      <w:r>
        <w:t xml:space="preserve"> dose groups (14.6%).</w:t>
      </w:r>
    </w:p>
    <w:p w14:paraId="37B4EA04" w14:textId="10F22DC3" w:rsidR="00931717" w:rsidRDefault="00931717" w:rsidP="00931717">
      <w:r>
        <w:t>Treatment emergent vision impairme</w:t>
      </w:r>
      <w:r w:rsidR="00A641D8">
        <w:t>nt events occurred in 16.6% (59 out of 356) of patients across Studies</w:t>
      </w:r>
      <w:r>
        <w:t xml:space="preserve"> AP26113-11-101 and </w:t>
      </w:r>
      <w:r w:rsidR="00A641D8">
        <w:t>AP26113-13-201</w:t>
      </w:r>
      <w:r>
        <w:t>, but only 4.5% were considered to be treatment related.</w:t>
      </w:r>
      <w:r w:rsidR="00BC01FB">
        <w:t xml:space="preserve"> </w:t>
      </w:r>
      <w:r>
        <w:t>The most common reported event</w:t>
      </w:r>
      <w:r w:rsidR="00A641D8">
        <w:t xml:space="preserve">s were vision blurred (5.3%, 19 out of </w:t>
      </w:r>
      <w:r>
        <w:t>356) and diplop</w:t>
      </w:r>
      <w:r w:rsidR="00A641D8">
        <w:t xml:space="preserve">ia (2.2%, 8 out of </w:t>
      </w:r>
      <w:r w:rsidR="00BC01FB">
        <w:t>356) but none were G</w:t>
      </w:r>
      <w:r>
        <w:t>rade 3 or higher.</w:t>
      </w:r>
      <w:r w:rsidR="00BC01FB">
        <w:t xml:space="preserve"> </w:t>
      </w:r>
      <w:r>
        <w:t>One Grade 3 event (macular oedema) was assessed as treatment-related.</w:t>
      </w:r>
    </w:p>
    <w:p w14:paraId="32825E5E" w14:textId="2A75DDBF" w:rsidR="00931717" w:rsidRDefault="00931717" w:rsidP="00931717">
      <w:r>
        <w:t>Insulin was evaluated because there was preclinical evidence of brigatinib inhibition of the insulin-like growth factor receptor which may lead to insulin resistance and elevated blood glucose level.</w:t>
      </w:r>
      <w:r w:rsidR="00BC01FB">
        <w:t xml:space="preserve"> </w:t>
      </w:r>
      <w:r>
        <w:t>Grade 3 or greater treatment emergent increased insulin or hyperglycaemia events occurred in 0.6</w:t>
      </w:r>
      <w:r w:rsidR="00A641D8">
        <w:t>% (2 out of 356) of patients across Studies</w:t>
      </w:r>
      <w:r w:rsidR="00D109BF">
        <w:t> </w:t>
      </w:r>
      <w:r>
        <w:t xml:space="preserve">AP26113-11-101 and </w:t>
      </w:r>
      <w:r w:rsidR="00A641D8">
        <w:t>AP26113-13-201</w:t>
      </w:r>
      <w:r>
        <w:t>.</w:t>
      </w:r>
      <w:r w:rsidR="00BC01FB">
        <w:t xml:space="preserve"> </w:t>
      </w:r>
      <w:r>
        <w:t>Hyperglycaemia of any</w:t>
      </w:r>
      <w:r w:rsidR="00BC01FB">
        <w:t xml:space="preserve"> </w:t>
      </w:r>
      <w:r w:rsidR="00D109BF">
        <w:t>g</w:t>
      </w:r>
      <w:r w:rsidR="00BC01FB">
        <w:t>rade</w:t>
      </w:r>
      <w:r>
        <w:t xml:space="preserve"> was observed in 3.4% of patients across both studies.</w:t>
      </w:r>
    </w:p>
    <w:p w14:paraId="4E6AF77E" w14:textId="1063C1E2" w:rsidR="00931717" w:rsidRDefault="00931717" w:rsidP="00931717">
      <w:r>
        <w:lastRenderedPageBreak/>
        <w:t>Treatment emergent peripheral ne</w:t>
      </w:r>
      <w:r w:rsidR="00A641D8">
        <w:t>uropathy occurred in 28.7% (102 out of 357) of patients across Studies</w:t>
      </w:r>
      <w:r>
        <w:t xml:space="preserve"> AP26113-11-101 and </w:t>
      </w:r>
      <w:r w:rsidR="00A641D8">
        <w:t>AP26113-13-201</w:t>
      </w:r>
      <w:r>
        <w:t>. The rate was higher in patient</w:t>
      </w:r>
      <w:r w:rsidR="00A641D8">
        <w:t xml:space="preserve">s in the 90 </w:t>
      </w:r>
      <w:r>
        <w:t>→</w:t>
      </w:r>
      <w:r w:rsidR="00A641D8">
        <w:t xml:space="preserve"> </w:t>
      </w:r>
      <w:r>
        <w:t xml:space="preserve">180 mg </w:t>
      </w:r>
      <w:r w:rsidR="00BC01FB">
        <w:t>daily</w:t>
      </w:r>
      <w:r>
        <w:t xml:space="preserve"> dose group (33.3%) compared with the 90</w:t>
      </w:r>
      <w:r w:rsidR="00BC01FB">
        <w:t xml:space="preserve"> mg daily</w:t>
      </w:r>
      <w:r>
        <w:t xml:space="preserve"> dose group (24.4%).</w:t>
      </w:r>
    </w:p>
    <w:p w14:paraId="78A57137" w14:textId="2B9055C2" w:rsidR="00931717" w:rsidRDefault="00931717" w:rsidP="00931717">
      <w:r>
        <w:t xml:space="preserve">Increases in </w:t>
      </w:r>
      <w:r w:rsidR="00A641D8">
        <w:t>a</w:t>
      </w:r>
      <w:r w:rsidR="00A641D8" w:rsidRPr="00A641D8">
        <w:t xml:space="preserve">lanine aminotransferase </w:t>
      </w:r>
      <w:r w:rsidR="00A641D8">
        <w:t>(</w:t>
      </w:r>
      <w:r>
        <w:t>ALT</w:t>
      </w:r>
      <w:r w:rsidR="00A641D8">
        <w:t>)</w:t>
      </w:r>
      <w:r>
        <w:t xml:space="preserve"> and </w:t>
      </w:r>
      <w:r w:rsidR="00A641D8">
        <w:rPr>
          <w:rFonts w:eastAsia="Times New Roman"/>
        </w:rPr>
        <w:t>a</w:t>
      </w:r>
      <w:r w:rsidR="00A641D8" w:rsidRPr="00023EC0">
        <w:rPr>
          <w:rFonts w:eastAsia="Times New Roman"/>
        </w:rPr>
        <w:t>spartate aminotransferase</w:t>
      </w:r>
      <w:r w:rsidR="00A641D8">
        <w:t xml:space="preserve"> (</w:t>
      </w:r>
      <w:r>
        <w:t>AST</w:t>
      </w:r>
      <w:r w:rsidR="00A641D8">
        <w:t>)</w:t>
      </w:r>
      <w:r>
        <w:t xml:space="preserve"> were common, occurring in 40% and 53% of patients, respectively, in </w:t>
      </w:r>
      <w:r w:rsidR="00A641D8">
        <w:t>Study AP26113-13-201</w:t>
      </w:r>
      <w:r>
        <w:t>.</w:t>
      </w:r>
      <w:r w:rsidR="00BC01FB">
        <w:t xml:space="preserve"> </w:t>
      </w:r>
      <w:r>
        <w:t>Events were sl</w:t>
      </w:r>
      <w:r w:rsidR="00A641D8">
        <w:t xml:space="preserve">ightly more common in the 90 </w:t>
      </w:r>
      <w:r>
        <w:t>→</w:t>
      </w:r>
      <w:r w:rsidR="00A641D8">
        <w:t xml:space="preserve"> </w:t>
      </w:r>
      <w:r>
        <w:t xml:space="preserve">180 mg </w:t>
      </w:r>
      <w:r w:rsidR="00BC01FB">
        <w:t>daily</w:t>
      </w:r>
      <w:r>
        <w:t xml:space="preserve"> dose group than the 90</w:t>
      </w:r>
      <w:r w:rsidR="00BC01FB">
        <w:t xml:space="preserve"> </w:t>
      </w:r>
      <w:r>
        <w:t xml:space="preserve">mg </w:t>
      </w:r>
      <w:r w:rsidR="00BC01FB">
        <w:t>daily</w:t>
      </w:r>
      <w:r>
        <w:t xml:space="preserve"> dose group.</w:t>
      </w:r>
      <w:r w:rsidR="00BC01FB">
        <w:t xml:space="preserve"> </w:t>
      </w:r>
      <w:r>
        <w:t xml:space="preserve">The proportion of patients moving from a baseline </w:t>
      </w:r>
      <w:r w:rsidR="00E563FE">
        <w:t xml:space="preserve">Common </w:t>
      </w:r>
      <w:r w:rsidR="00A641D8">
        <w:t>Terminology Criteria for Adverse Events</w:t>
      </w:r>
      <w:r w:rsidR="00E563FE">
        <w:t xml:space="preserve"> (</w:t>
      </w:r>
      <w:r w:rsidRPr="00E563FE">
        <w:t>CTCAE</w:t>
      </w:r>
      <w:r w:rsidR="00E563FE">
        <w:t>)</w:t>
      </w:r>
      <w:r>
        <w:t xml:space="preserve"> Grade </w:t>
      </w:r>
      <w:r w:rsidR="00CE73B7">
        <w:t xml:space="preserve">of </w:t>
      </w:r>
      <w:r>
        <w:t>&lt;</w:t>
      </w:r>
      <w:r w:rsidR="00BC01FB">
        <w:t xml:space="preserve"> </w:t>
      </w:r>
      <w:r>
        <w:t>3 to CTCAE Grade 3 or greater was low. Hepatic events resulted in dose reductions in 0.6% of patients and no patients discontinued.</w:t>
      </w:r>
      <w:r w:rsidR="00BC01FB">
        <w:t xml:space="preserve"> </w:t>
      </w:r>
      <w:r>
        <w:t>No Hy’s law cases were observed.</w:t>
      </w:r>
      <w:r w:rsidR="003655D2">
        <w:rPr>
          <w:rStyle w:val="FootnoteReference"/>
        </w:rPr>
        <w:footnoteReference w:id="14"/>
      </w:r>
    </w:p>
    <w:p w14:paraId="7DF54004" w14:textId="489623C5" w:rsidR="00BF5D8D" w:rsidRPr="00BF5D8D" w:rsidRDefault="00BC01FB" w:rsidP="00931717">
      <w:r>
        <w:t>T</w:t>
      </w:r>
      <w:r w:rsidR="00931717">
        <w:t xml:space="preserve">he sponsor provided updated safety data from </w:t>
      </w:r>
      <w:r w:rsidR="00CE73B7">
        <w:t>Study AP26113-13-201</w:t>
      </w:r>
      <w:r w:rsidR="00931717">
        <w:t xml:space="preserve"> (data </w:t>
      </w:r>
      <w:r w:rsidR="00CE73B7">
        <w:t>cut-off</w:t>
      </w:r>
      <w:r w:rsidR="00931717">
        <w:t xml:space="preserve"> 29</w:t>
      </w:r>
      <w:r w:rsidR="00D109BF">
        <w:t> </w:t>
      </w:r>
      <w:r w:rsidR="00931717">
        <w:t xml:space="preserve">September 2017, median duration of exposure 522 days in Arm B) as well as new safety data from the first interim analysis of </w:t>
      </w:r>
      <w:r w:rsidR="00D109BF">
        <w:t xml:space="preserve">the </w:t>
      </w:r>
      <w:r w:rsidR="00931717">
        <w:t xml:space="preserve">ALTA-1L </w:t>
      </w:r>
      <w:r w:rsidR="00D109BF">
        <w:t xml:space="preserve">trial </w:t>
      </w:r>
      <w:r w:rsidR="00931717">
        <w:t>and reported safety data for approximately 1,156 patients treated outside of the clinical development program.</w:t>
      </w:r>
      <w:r>
        <w:t xml:space="preserve"> </w:t>
      </w:r>
      <w:r w:rsidR="00931717">
        <w:t>The safety profile of brigatinib is largely unchanged based on these additional safety data.</w:t>
      </w:r>
      <w:r>
        <w:t xml:space="preserve"> </w:t>
      </w:r>
      <w:r w:rsidR="00D109BF">
        <w:t xml:space="preserve">The </w:t>
      </w:r>
      <w:r w:rsidR="00931717">
        <w:t xml:space="preserve">ALTA-1L </w:t>
      </w:r>
      <w:r w:rsidR="00D109BF">
        <w:t xml:space="preserve">trial </w:t>
      </w:r>
      <w:r w:rsidR="00931717">
        <w:t>has not been fully evaluated in this submission but the inter</w:t>
      </w:r>
      <w:r w:rsidR="00CE73B7">
        <w:t>im safety data indicate fewer gastrointestinal</w:t>
      </w:r>
      <w:r w:rsidR="00931717">
        <w:t xml:space="preserve"> toxicity events and SAEs compared to crizotinib but more elevated </w:t>
      </w:r>
      <w:r w:rsidR="00CE73B7">
        <w:t>CPK</w:t>
      </w:r>
      <w:r w:rsidR="00931717">
        <w:t xml:space="preserve"> and hypertension events.</w:t>
      </w:r>
    </w:p>
    <w:p w14:paraId="44A5CF2A" w14:textId="77777777" w:rsidR="008E7846" w:rsidRDefault="00386150" w:rsidP="007B6132">
      <w:pPr>
        <w:pStyle w:val="Heading3"/>
        <w:rPr>
          <w:lang w:eastAsia="en-AU"/>
        </w:rPr>
      </w:pPr>
      <w:bookmarkStart w:id="51" w:name="_Toc35853848"/>
      <w:r>
        <w:rPr>
          <w:lang w:eastAsia="en-AU"/>
        </w:rPr>
        <w:t>Risk m</w:t>
      </w:r>
      <w:r w:rsidR="008E7846">
        <w:rPr>
          <w:lang w:eastAsia="en-AU"/>
        </w:rPr>
        <w:t xml:space="preserve">anagement </w:t>
      </w:r>
      <w:r>
        <w:rPr>
          <w:lang w:eastAsia="en-AU"/>
        </w:rPr>
        <w:t>p</w:t>
      </w:r>
      <w:r w:rsidR="008E7846">
        <w:rPr>
          <w:lang w:eastAsia="en-AU"/>
        </w:rPr>
        <w:t>lan</w:t>
      </w:r>
      <w:bookmarkEnd w:id="41"/>
      <w:bookmarkEnd w:id="51"/>
    </w:p>
    <w:p w14:paraId="285C6DAA" w14:textId="449459D2" w:rsidR="00DF5AFE" w:rsidRDefault="00DF5AFE" w:rsidP="00931717">
      <w:r>
        <w:t>European Union-risk management plan (</w:t>
      </w:r>
      <w:r w:rsidR="00931717">
        <w:t>EU-RMP</w:t>
      </w:r>
      <w:r>
        <w:t>)</w:t>
      </w:r>
      <w:r w:rsidR="00931717">
        <w:t xml:space="preserve"> version 4.1 (dated 8 December 2</w:t>
      </w:r>
      <w:r w:rsidR="00BC01FB">
        <w:t>017; data lock point</w:t>
      </w:r>
      <w:r w:rsidR="00931717">
        <w:t xml:space="preserve"> </w:t>
      </w:r>
      <w:r>
        <w:t xml:space="preserve">(DLP) </w:t>
      </w:r>
      <w:r w:rsidR="00931717">
        <w:t xml:space="preserve">31 May 2016) and </w:t>
      </w:r>
      <w:r>
        <w:t>Australian specific A</w:t>
      </w:r>
      <w:r w:rsidR="00BC01FB">
        <w:t>nnex</w:t>
      </w:r>
      <w:r w:rsidR="00931717">
        <w:t xml:space="preserve"> </w:t>
      </w:r>
      <w:r>
        <w:t xml:space="preserve">(ASA) </w:t>
      </w:r>
      <w:r w:rsidR="00931717">
        <w:t>version 1.0 (dated February 2018) were submitted in support of this application.</w:t>
      </w:r>
      <w:r w:rsidR="00BC01FB">
        <w:t xml:space="preserve"> </w:t>
      </w:r>
      <w:r w:rsidR="00931717">
        <w:t xml:space="preserve">EU-RMP version 4.3 (dated 19 June 2018; </w:t>
      </w:r>
      <w:r>
        <w:t>DLP</w:t>
      </w:r>
      <w:r w:rsidR="00931717">
        <w:t xml:space="preserve"> 31 May 2016) and </w:t>
      </w:r>
      <w:r>
        <w:t>ASA</w:t>
      </w:r>
      <w:r w:rsidR="00931717">
        <w:t xml:space="preserve"> version 2.0 (dated October 2018) were subsequently submitted</w:t>
      </w:r>
      <w:r w:rsidR="00EC6BF5">
        <w:t>.</w:t>
      </w:r>
    </w:p>
    <w:p w14:paraId="1B75387D" w14:textId="59BDC369" w:rsidR="00DF5AFE" w:rsidRDefault="00DF5AFE" w:rsidP="00931717">
      <w:r w:rsidRPr="00846E75">
        <w:t>The proposed summary of safety concerns and their associated risk monitoring and mitigation strategies are summarised below</w:t>
      </w:r>
      <w:r>
        <w:t xml:space="preserve"> in </w:t>
      </w:r>
      <w:r>
        <w:fldChar w:fldCharType="begin"/>
      </w:r>
      <w:r>
        <w:instrText xml:space="preserve"> REF _Ref33686911 \h </w:instrText>
      </w:r>
      <w:r>
        <w:fldChar w:fldCharType="separate"/>
      </w:r>
      <w:r>
        <w:t xml:space="preserve">Table </w:t>
      </w:r>
      <w:r>
        <w:rPr>
          <w:noProof/>
        </w:rPr>
        <w:t>7</w:t>
      </w:r>
      <w:r>
        <w:fldChar w:fldCharType="end"/>
      </w:r>
      <w:r>
        <w:t>.</w:t>
      </w:r>
      <w:r>
        <w:rPr>
          <w:rStyle w:val="FootnoteReference"/>
          <w:lang w:eastAsia="en-AU"/>
        </w:rPr>
        <w:footnoteReference w:id="15"/>
      </w:r>
    </w:p>
    <w:p w14:paraId="0B9670F6" w14:textId="29B40D9B" w:rsidR="008E7846" w:rsidRDefault="00DF5AFE" w:rsidP="00DF5AFE">
      <w:pPr>
        <w:pStyle w:val="TableTitle"/>
      </w:pPr>
      <w:bookmarkStart w:id="52" w:name="_Ref33686911"/>
      <w:r>
        <w:t xml:space="preserve">Table </w:t>
      </w:r>
      <w:fldSimple w:instr=" SEQ Table \* ARABIC ">
        <w:r>
          <w:rPr>
            <w:noProof/>
          </w:rPr>
          <w:t>7</w:t>
        </w:r>
      </w:fldSimple>
      <w:bookmarkEnd w:id="52"/>
      <w:r>
        <w:t xml:space="preserve">: </w:t>
      </w:r>
      <w:r w:rsidR="00931717">
        <w:t xml:space="preserve">Summary of </w:t>
      </w:r>
      <w:r>
        <w:t xml:space="preserve">safety concerns </w:t>
      </w:r>
      <w:r w:rsidR="00931717">
        <w:t>and associated risk monitoring and mitigation strategies</w:t>
      </w:r>
    </w:p>
    <w:tbl>
      <w:tblPr>
        <w:tblStyle w:val="TableTGAblue"/>
        <w:tblW w:w="5000" w:type="pct"/>
        <w:tblLook w:val="04A0" w:firstRow="1" w:lastRow="0" w:firstColumn="1" w:lastColumn="0" w:noHBand="0" w:noVBand="1"/>
      </w:tblPr>
      <w:tblGrid>
        <w:gridCol w:w="1372"/>
        <w:gridCol w:w="3179"/>
        <w:gridCol w:w="1029"/>
        <w:gridCol w:w="1138"/>
        <w:gridCol w:w="890"/>
        <w:gridCol w:w="1112"/>
      </w:tblGrid>
      <w:tr w:rsidR="00931717" w:rsidRPr="00DF5AFE" w14:paraId="0E32F6F0" w14:textId="77777777" w:rsidTr="00DF5AFE">
        <w:trPr>
          <w:cnfStyle w:val="100000000000" w:firstRow="1" w:lastRow="0" w:firstColumn="0" w:lastColumn="0" w:oddVBand="0" w:evenVBand="0" w:oddHBand="0" w:evenHBand="0" w:firstRowFirstColumn="0" w:firstRowLastColumn="0" w:lastRowFirstColumn="0" w:lastRowLastColumn="0"/>
          <w:trHeight w:val="131"/>
        </w:trPr>
        <w:tc>
          <w:tcPr>
            <w:tcW w:w="2621" w:type="pct"/>
            <w:gridSpan w:val="2"/>
            <w:vMerge w:val="restart"/>
            <w:hideMark/>
          </w:tcPr>
          <w:p w14:paraId="25784963" w14:textId="77777777" w:rsidR="00931717" w:rsidRPr="00DF5AFE" w:rsidRDefault="00931717" w:rsidP="00DF5AFE">
            <w:pPr>
              <w:ind w:left="0" w:right="0"/>
              <w:rPr>
                <w:sz w:val="20"/>
                <w:szCs w:val="20"/>
              </w:rPr>
            </w:pPr>
            <w:r w:rsidRPr="00DF5AFE">
              <w:rPr>
                <w:sz w:val="20"/>
                <w:szCs w:val="20"/>
              </w:rPr>
              <w:t>Summary of safety concerns</w:t>
            </w:r>
          </w:p>
        </w:tc>
        <w:tc>
          <w:tcPr>
            <w:tcW w:w="1254" w:type="pct"/>
            <w:gridSpan w:val="2"/>
            <w:hideMark/>
          </w:tcPr>
          <w:p w14:paraId="12A42167" w14:textId="77777777" w:rsidR="00931717" w:rsidRPr="00DF5AFE" w:rsidRDefault="00931717" w:rsidP="00DF5AFE">
            <w:pPr>
              <w:ind w:left="0" w:right="0"/>
              <w:rPr>
                <w:sz w:val="20"/>
                <w:szCs w:val="20"/>
              </w:rPr>
            </w:pPr>
            <w:r w:rsidRPr="00DF5AFE">
              <w:rPr>
                <w:sz w:val="20"/>
                <w:szCs w:val="20"/>
              </w:rPr>
              <w:t>Pharmacovigilance</w:t>
            </w:r>
          </w:p>
        </w:tc>
        <w:tc>
          <w:tcPr>
            <w:tcW w:w="1125" w:type="pct"/>
            <w:gridSpan w:val="2"/>
            <w:hideMark/>
          </w:tcPr>
          <w:p w14:paraId="3DA21601" w14:textId="77777777" w:rsidR="00931717" w:rsidRPr="00DF5AFE" w:rsidRDefault="00931717" w:rsidP="00DF5AFE">
            <w:pPr>
              <w:ind w:left="0" w:right="0"/>
              <w:rPr>
                <w:sz w:val="20"/>
                <w:szCs w:val="20"/>
              </w:rPr>
            </w:pPr>
            <w:r w:rsidRPr="00DF5AFE">
              <w:rPr>
                <w:sz w:val="20"/>
                <w:szCs w:val="20"/>
              </w:rPr>
              <w:t>Risk Minimisation</w:t>
            </w:r>
          </w:p>
        </w:tc>
      </w:tr>
      <w:tr w:rsidR="00931717" w:rsidRPr="00DF5AFE" w14:paraId="5B7F4C6A" w14:textId="77777777" w:rsidTr="00DF5AFE">
        <w:trPr>
          <w:trHeight w:val="150"/>
        </w:trPr>
        <w:tc>
          <w:tcPr>
            <w:tcW w:w="2621" w:type="pct"/>
            <w:gridSpan w:val="2"/>
            <w:vMerge/>
            <w:hideMark/>
          </w:tcPr>
          <w:p w14:paraId="54380F1B" w14:textId="77777777" w:rsidR="00931717" w:rsidRPr="00DF5AFE" w:rsidRDefault="00931717" w:rsidP="00DF5AFE">
            <w:pPr>
              <w:ind w:left="0" w:right="0"/>
              <w:rPr>
                <w:sz w:val="20"/>
                <w:szCs w:val="20"/>
              </w:rPr>
            </w:pPr>
          </w:p>
        </w:tc>
        <w:tc>
          <w:tcPr>
            <w:tcW w:w="596" w:type="pct"/>
            <w:hideMark/>
          </w:tcPr>
          <w:p w14:paraId="05A86850" w14:textId="77777777" w:rsidR="00931717" w:rsidRPr="00DF5AFE" w:rsidRDefault="00931717" w:rsidP="00DF5AFE">
            <w:pPr>
              <w:ind w:left="0" w:right="0"/>
              <w:rPr>
                <w:sz w:val="20"/>
                <w:szCs w:val="20"/>
              </w:rPr>
            </w:pPr>
            <w:r w:rsidRPr="00DF5AFE">
              <w:rPr>
                <w:sz w:val="20"/>
                <w:szCs w:val="20"/>
              </w:rPr>
              <w:t>Routine</w:t>
            </w:r>
          </w:p>
        </w:tc>
        <w:tc>
          <w:tcPr>
            <w:tcW w:w="658" w:type="pct"/>
            <w:hideMark/>
          </w:tcPr>
          <w:p w14:paraId="28B66EF3" w14:textId="77777777" w:rsidR="00931717" w:rsidRPr="00DF5AFE" w:rsidRDefault="00931717" w:rsidP="00DF5AFE">
            <w:pPr>
              <w:ind w:left="0" w:right="0"/>
              <w:rPr>
                <w:sz w:val="20"/>
                <w:szCs w:val="20"/>
              </w:rPr>
            </w:pPr>
            <w:r w:rsidRPr="00DF5AFE">
              <w:rPr>
                <w:sz w:val="20"/>
                <w:szCs w:val="20"/>
              </w:rPr>
              <w:t>Additional</w:t>
            </w:r>
          </w:p>
        </w:tc>
        <w:tc>
          <w:tcPr>
            <w:tcW w:w="495" w:type="pct"/>
            <w:hideMark/>
          </w:tcPr>
          <w:p w14:paraId="79CB285B" w14:textId="77777777" w:rsidR="00931717" w:rsidRPr="00DF5AFE" w:rsidRDefault="00931717" w:rsidP="00DF5AFE">
            <w:pPr>
              <w:ind w:left="0" w:right="0"/>
              <w:rPr>
                <w:sz w:val="20"/>
                <w:szCs w:val="20"/>
              </w:rPr>
            </w:pPr>
            <w:r w:rsidRPr="00DF5AFE">
              <w:rPr>
                <w:sz w:val="20"/>
                <w:szCs w:val="20"/>
              </w:rPr>
              <w:t>Routine</w:t>
            </w:r>
          </w:p>
        </w:tc>
        <w:tc>
          <w:tcPr>
            <w:tcW w:w="630" w:type="pct"/>
            <w:hideMark/>
          </w:tcPr>
          <w:p w14:paraId="01D8213A" w14:textId="77777777" w:rsidR="00931717" w:rsidRPr="00DF5AFE" w:rsidRDefault="00931717" w:rsidP="00DF5AFE">
            <w:pPr>
              <w:ind w:left="0" w:right="0"/>
              <w:rPr>
                <w:sz w:val="20"/>
                <w:szCs w:val="20"/>
              </w:rPr>
            </w:pPr>
            <w:r w:rsidRPr="00DF5AFE">
              <w:rPr>
                <w:sz w:val="20"/>
                <w:szCs w:val="20"/>
              </w:rPr>
              <w:t>Additional</w:t>
            </w:r>
          </w:p>
        </w:tc>
      </w:tr>
      <w:tr w:rsidR="00931717" w:rsidRPr="00DF5AFE" w14:paraId="7FDB21D9" w14:textId="77777777" w:rsidTr="00DF5AFE">
        <w:trPr>
          <w:trHeight w:val="137"/>
        </w:trPr>
        <w:tc>
          <w:tcPr>
            <w:tcW w:w="793" w:type="pct"/>
            <w:vMerge w:val="restart"/>
            <w:hideMark/>
          </w:tcPr>
          <w:p w14:paraId="3DA36E01" w14:textId="77777777" w:rsidR="00931717" w:rsidRPr="00DF5AFE" w:rsidRDefault="00931717" w:rsidP="00DF5AFE">
            <w:pPr>
              <w:ind w:left="0" w:right="0"/>
              <w:rPr>
                <w:b/>
                <w:sz w:val="20"/>
                <w:szCs w:val="20"/>
              </w:rPr>
            </w:pPr>
            <w:r w:rsidRPr="00DF5AFE">
              <w:rPr>
                <w:b/>
                <w:sz w:val="20"/>
                <w:szCs w:val="20"/>
              </w:rPr>
              <w:t>Important identified risks</w:t>
            </w:r>
          </w:p>
        </w:tc>
        <w:tc>
          <w:tcPr>
            <w:tcW w:w="1829" w:type="pct"/>
            <w:hideMark/>
          </w:tcPr>
          <w:p w14:paraId="41BFF1A2" w14:textId="77777777" w:rsidR="00931717" w:rsidRPr="00DF5AFE" w:rsidRDefault="00931717" w:rsidP="00DF5AFE">
            <w:pPr>
              <w:ind w:left="0" w:right="0"/>
              <w:rPr>
                <w:sz w:val="20"/>
                <w:szCs w:val="20"/>
              </w:rPr>
            </w:pPr>
            <w:r w:rsidRPr="00DF5AFE">
              <w:rPr>
                <w:sz w:val="20"/>
                <w:szCs w:val="20"/>
              </w:rPr>
              <w:t>Pulmonary toxicity (including early onset pulmonary events and later onset pneumonitis)</w:t>
            </w:r>
          </w:p>
        </w:tc>
        <w:tc>
          <w:tcPr>
            <w:tcW w:w="596" w:type="pct"/>
            <w:hideMark/>
          </w:tcPr>
          <w:p w14:paraId="7BA5A273"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1C560460" w14:textId="77777777" w:rsidR="00931717" w:rsidRPr="00DF5AFE" w:rsidRDefault="00931717" w:rsidP="00DF5AFE">
            <w:pPr>
              <w:ind w:left="0" w:right="0"/>
              <w:rPr>
                <w:sz w:val="20"/>
                <w:szCs w:val="20"/>
              </w:rPr>
            </w:pPr>
            <w:r w:rsidRPr="00DF5AFE">
              <w:rPr>
                <w:sz w:val="20"/>
                <w:szCs w:val="20"/>
              </w:rPr>
              <w:sym w:font="Wingdings" w:char="F0FC"/>
            </w:r>
          </w:p>
        </w:tc>
        <w:tc>
          <w:tcPr>
            <w:tcW w:w="495" w:type="pct"/>
            <w:hideMark/>
          </w:tcPr>
          <w:p w14:paraId="2AF28E40"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3647E9A5" w14:textId="77777777" w:rsidR="00931717" w:rsidRPr="00DF5AFE" w:rsidRDefault="00931717" w:rsidP="00DF5AFE">
            <w:pPr>
              <w:ind w:left="0" w:right="0"/>
              <w:rPr>
                <w:sz w:val="20"/>
                <w:szCs w:val="20"/>
              </w:rPr>
            </w:pPr>
            <w:r w:rsidRPr="00DF5AFE">
              <w:rPr>
                <w:sz w:val="20"/>
                <w:szCs w:val="20"/>
              </w:rPr>
              <w:sym w:font="Wingdings" w:char="F0FC"/>
            </w:r>
            <w:r w:rsidRPr="00DF5AFE">
              <w:rPr>
                <w:sz w:val="20"/>
                <w:szCs w:val="20"/>
              </w:rPr>
              <w:t>*</w:t>
            </w:r>
          </w:p>
        </w:tc>
      </w:tr>
      <w:tr w:rsidR="00931717" w:rsidRPr="00DF5AFE" w14:paraId="30B4DB58" w14:textId="77777777" w:rsidTr="00DF5AFE">
        <w:trPr>
          <w:trHeight w:val="126"/>
        </w:trPr>
        <w:tc>
          <w:tcPr>
            <w:tcW w:w="793" w:type="pct"/>
            <w:vMerge/>
            <w:hideMark/>
          </w:tcPr>
          <w:p w14:paraId="14AE89E8" w14:textId="77777777" w:rsidR="00931717" w:rsidRPr="00DF5AFE" w:rsidRDefault="00931717" w:rsidP="00DF5AFE">
            <w:pPr>
              <w:ind w:left="0" w:right="0"/>
              <w:rPr>
                <w:b/>
                <w:sz w:val="20"/>
                <w:szCs w:val="20"/>
              </w:rPr>
            </w:pPr>
          </w:p>
        </w:tc>
        <w:tc>
          <w:tcPr>
            <w:tcW w:w="1829" w:type="pct"/>
            <w:hideMark/>
          </w:tcPr>
          <w:p w14:paraId="06ED375E" w14:textId="77777777" w:rsidR="00931717" w:rsidRPr="00DF5AFE" w:rsidRDefault="00931717" w:rsidP="00DF5AFE">
            <w:pPr>
              <w:ind w:left="0" w:right="0"/>
              <w:rPr>
                <w:sz w:val="20"/>
                <w:szCs w:val="20"/>
              </w:rPr>
            </w:pPr>
            <w:r w:rsidRPr="00DF5AFE">
              <w:rPr>
                <w:sz w:val="20"/>
                <w:szCs w:val="20"/>
              </w:rPr>
              <w:t>Hypertension</w:t>
            </w:r>
          </w:p>
        </w:tc>
        <w:tc>
          <w:tcPr>
            <w:tcW w:w="596" w:type="pct"/>
            <w:hideMark/>
          </w:tcPr>
          <w:p w14:paraId="5571B975"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06E4B312" w14:textId="77777777" w:rsidR="00931717" w:rsidRPr="00DF5AFE" w:rsidRDefault="00931717" w:rsidP="00DF5AFE">
            <w:pPr>
              <w:ind w:left="0" w:right="0"/>
              <w:rPr>
                <w:sz w:val="20"/>
                <w:szCs w:val="20"/>
              </w:rPr>
            </w:pPr>
            <w:r w:rsidRPr="00DF5AFE">
              <w:rPr>
                <w:sz w:val="20"/>
                <w:szCs w:val="20"/>
              </w:rPr>
              <w:t>–</w:t>
            </w:r>
          </w:p>
        </w:tc>
        <w:tc>
          <w:tcPr>
            <w:tcW w:w="495" w:type="pct"/>
            <w:hideMark/>
          </w:tcPr>
          <w:p w14:paraId="0EB66CCB"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07786484" w14:textId="77777777" w:rsidR="00931717" w:rsidRPr="00DF5AFE" w:rsidRDefault="00931717" w:rsidP="00DF5AFE">
            <w:pPr>
              <w:ind w:left="0" w:right="0"/>
              <w:rPr>
                <w:sz w:val="20"/>
                <w:szCs w:val="20"/>
              </w:rPr>
            </w:pPr>
            <w:r w:rsidRPr="00DF5AFE">
              <w:rPr>
                <w:sz w:val="20"/>
                <w:szCs w:val="20"/>
              </w:rPr>
              <w:sym w:font="Wingdings" w:char="F0FC"/>
            </w:r>
            <w:r w:rsidRPr="00DF5AFE">
              <w:rPr>
                <w:sz w:val="20"/>
                <w:szCs w:val="20"/>
              </w:rPr>
              <w:t>*</w:t>
            </w:r>
          </w:p>
        </w:tc>
      </w:tr>
      <w:tr w:rsidR="00931717" w:rsidRPr="00DF5AFE" w14:paraId="1BD0DA68" w14:textId="77777777" w:rsidTr="00DF5AFE">
        <w:trPr>
          <w:trHeight w:val="150"/>
        </w:trPr>
        <w:tc>
          <w:tcPr>
            <w:tcW w:w="793" w:type="pct"/>
            <w:vMerge/>
            <w:hideMark/>
          </w:tcPr>
          <w:p w14:paraId="254F8C12" w14:textId="77777777" w:rsidR="00931717" w:rsidRPr="00DF5AFE" w:rsidRDefault="00931717" w:rsidP="00DF5AFE">
            <w:pPr>
              <w:ind w:left="0" w:right="0"/>
              <w:rPr>
                <w:b/>
                <w:sz w:val="20"/>
                <w:szCs w:val="20"/>
              </w:rPr>
            </w:pPr>
          </w:p>
        </w:tc>
        <w:tc>
          <w:tcPr>
            <w:tcW w:w="1829" w:type="pct"/>
            <w:hideMark/>
          </w:tcPr>
          <w:p w14:paraId="77BD64DA" w14:textId="77777777" w:rsidR="00931717" w:rsidRPr="00DF5AFE" w:rsidRDefault="00931717" w:rsidP="00DF5AFE">
            <w:pPr>
              <w:ind w:left="0" w:right="0"/>
              <w:rPr>
                <w:sz w:val="20"/>
                <w:szCs w:val="20"/>
              </w:rPr>
            </w:pPr>
            <w:r w:rsidRPr="00DF5AFE">
              <w:rPr>
                <w:sz w:val="20"/>
                <w:szCs w:val="20"/>
              </w:rPr>
              <w:t>Bradycardia</w:t>
            </w:r>
          </w:p>
        </w:tc>
        <w:tc>
          <w:tcPr>
            <w:tcW w:w="596" w:type="pct"/>
            <w:hideMark/>
          </w:tcPr>
          <w:p w14:paraId="37D308FD"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360CAD40" w14:textId="77777777" w:rsidR="00931717" w:rsidRPr="00DF5AFE" w:rsidRDefault="00931717" w:rsidP="00DF5AFE">
            <w:pPr>
              <w:ind w:left="0" w:right="0"/>
              <w:rPr>
                <w:sz w:val="20"/>
                <w:szCs w:val="20"/>
              </w:rPr>
            </w:pPr>
            <w:r w:rsidRPr="00DF5AFE">
              <w:rPr>
                <w:sz w:val="20"/>
                <w:szCs w:val="20"/>
              </w:rPr>
              <w:t>–</w:t>
            </w:r>
          </w:p>
        </w:tc>
        <w:tc>
          <w:tcPr>
            <w:tcW w:w="495" w:type="pct"/>
            <w:hideMark/>
          </w:tcPr>
          <w:p w14:paraId="1F5F33D6"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22546C70" w14:textId="77777777" w:rsidR="00931717" w:rsidRPr="00DF5AFE" w:rsidRDefault="00931717" w:rsidP="00DF5AFE">
            <w:pPr>
              <w:ind w:left="0" w:right="0"/>
              <w:rPr>
                <w:sz w:val="20"/>
                <w:szCs w:val="20"/>
              </w:rPr>
            </w:pPr>
            <w:r w:rsidRPr="00DF5AFE">
              <w:rPr>
                <w:sz w:val="20"/>
                <w:szCs w:val="20"/>
              </w:rPr>
              <w:sym w:font="Wingdings" w:char="F0FC"/>
            </w:r>
            <w:r w:rsidRPr="00DF5AFE">
              <w:rPr>
                <w:sz w:val="20"/>
                <w:szCs w:val="20"/>
              </w:rPr>
              <w:t>*</w:t>
            </w:r>
          </w:p>
        </w:tc>
      </w:tr>
      <w:tr w:rsidR="00931717" w:rsidRPr="00DF5AFE" w14:paraId="22280031" w14:textId="77777777" w:rsidTr="00DF5AFE">
        <w:trPr>
          <w:trHeight w:val="187"/>
        </w:trPr>
        <w:tc>
          <w:tcPr>
            <w:tcW w:w="793" w:type="pct"/>
            <w:vMerge/>
            <w:hideMark/>
          </w:tcPr>
          <w:p w14:paraId="365799D4" w14:textId="77777777" w:rsidR="00931717" w:rsidRPr="00DF5AFE" w:rsidRDefault="00931717" w:rsidP="00DF5AFE">
            <w:pPr>
              <w:ind w:left="0" w:right="0"/>
              <w:rPr>
                <w:b/>
                <w:sz w:val="20"/>
                <w:szCs w:val="20"/>
              </w:rPr>
            </w:pPr>
          </w:p>
        </w:tc>
        <w:tc>
          <w:tcPr>
            <w:tcW w:w="1829" w:type="pct"/>
            <w:hideMark/>
          </w:tcPr>
          <w:p w14:paraId="16FAD116" w14:textId="325C7FCC" w:rsidR="00931717" w:rsidRPr="00DF5AFE" w:rsidRDefault="00931717" w:rsidP="00DF5AFE">
            <w:pPr>
              <w:ind w:left="0" w:right="0"/>
              <w:rPr>
                <w:sz w:val="20"/>
                <w:szCs w:val="20"/>
              </w:rPr>
            </w:pPr>
            <w:r w:rsidRPr="00DF5AFE">
              <w:rPr>
                <w:sz w:val="20"/>
                <w:szCs w:val="20"/>
              </w:rPr>
              <w:t xml:space="preserve">Drug-drug interaction with strong </w:t>
            </w:r>
            <w:r w:rsidR="00DF5AFE">
              <w:rPr>
                <w:sz w:val="20"/>
                <w:szCs w:val="20"/>
              </w:rPr>
              <w:t xml:space="preserve">CYP3A inhibitors and strong and </w:t>
            </w:r>
            <w:r w:rsidRPr="00DF5AFE">
              <w:rPr>
                <w:sz w:val="20"/>
                <w:szCs w:val="20"/>
              </w:rPr>
              <w:t>moderate CYP3A inducers</w:t>
            </w:r>
          </w:p>
        </w:tc>
        <w:tc>
          <w:tcPr>
            <w:tcW w:w="596" w:type="pct"/>
            <w:hideMark/>
          </w:tcPr>
          <w:p w14:paraId="2F34069F"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79EEBC21" w14:textId="77777777" w:rsidR="00931717" w:rsidRPr="00DF5AFE" w:rsidRDefault="00931717" w:rsidP="00DF5AFE">
            <w:pPr>
              <w:ind w:left="0" w:right="0"/>
              <w:rPr>
                <w:sz w:val="20"/>
                <w:szCs w:val="20"/>
              </w:rPr>
            </w:pPr>
            <w:r w:rsidRPr="00DF5AFE">
              <w:rPr>
                <w:sz w:val="20"/>
                <w:szCs w:val="20"/>
              </w:rPr>
              <w:t>–</w:t>
            </w:r>
          </w:p>
        </w:tc>
        <w:tc>
          <w:tcPr>
            <w:tcW w:w="495" w:type="pct"/>
            <w:hideMark/>
          </w:tcPr>
          <w:p w14:paraId="56B42AEF"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58DFF0DC" w14:textId="77777777" w:rsidR="00931717" w:rsidRPr="00DF5AFE" w:rsidRDefault="00931717" w:rsidP="00DF5AFE">
            <w:pPr>
              <w:ind w:left="0" w:right="0"/>
              <w:rPr>
                <w:sz w:val="20"/>
                <w:szCs w:val="20"/>
              </w:rPr>
            </w:pPr>
            <w:r w:rsidRPr="00DF5AFE">
              <w:rPr>
                <w:sz w:val="20"/>
                <w:szCs w:val="20"/>
              </w:rPr>
              <w:t>–</w:t>
            </w:r>
          </w:p>
        </w:tc>
      </w:tr>
      <w:tr w:rsidR="00931717" w:rsidRPr="00DF5AFE" w14:paraId="73FD2FE2" w14:textId="77777777" w:rsidTr="00DF5AFE">
        <w:trPr>
          <w:trHeight w:val="159"/>
        </w:trPr>
        <w:tc>
          <w:tcPr>
            <w:tcW w:w="793" w:type="pct"/>
            <w:vMerge w:val="restart"/>
            <w:hideMark/>
          </w:tcPr>
          <w:p w14:paraId="739C0A3A" w14:textId="77777777" w:rsidR="00931717" w:rsidRPr="00DF5AFE" w:rsidRDefault="00931717" w:rsidP="00DF5AFE">
            <w:pPr>
              <w:ind w:left="0" w:right="0"/>
              <w:rPr>
                <w:b/>
                <w:sz w:val="20"/>
                <w:szCs w:val="20"/>
              </w:rPr>
            </w:pPr>
            <w:r w:rsidRPr="00DF5AFE">
              <w:rPr>
                <w:b/>
                <w:sz w:val="20"/>
                <w:szCs w:val="20"/>
              </w:rPr>
              <w:t>Important potential risks</w:t>
            </w:r>
          </w:p>
        </w:tc>
        <w:tc>
          <w:tcPr>
            <w:tcW w:w="1829" w:type="pct"/>
            <w:hideMark/>
          </w:tcPr>
          <w:p w14:paraId="44413647" w14:textId="77777777" w:rsidR="00931717" w:rsidRPr="00DF5AFE" w:rsidRDefault="00931717" w:rsidP="00DF5AFE">
            <w:pPr>
              <w:ind w:left="0" w:right="0"/>
              <w:rPr>
                <w:sz w:val="20"/>
                <w:szCs w:val="20"/>
              </w:rPr>
            </w:pPr>
            <w:r w:rsidRPr="00DF5AFE">
              <w:rPr>
                <w:sz w:val="20"/>
                <w:szCs w:val="20"/>
              </w:rPr>
              <w:t>Hepatotoxicity</w:t>
            </w:r>
          </w:p>
        </w:tc>
        <w:tc>
          <w:tcPr>
            <w:tcW w:w="596" w:type="pct"/>
            <w:hideMark/>
          </w:tcPr>
          <w:p w14:paraId="14CC0827"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72618925" w14:textId="77777777" w:rsidR="00931717" w:rsidRPr="00DF5AFE" w:rsidRDefault="00931717" w:rsidP="00DF5AFE">
            <w:pPr>
              <w:ind w:left="0" w:right="0"/>
              <w:rPr>
                <w:sz w:val="20"/>
                <w:szCs w:val="20"/>
              </w:rPr>
            </w:pPr>
            <w:r w:rsidRPr="00DF5AFE">
              <w:rPr>
                <w:sz w:val="20"/>
                <w:szCs w:val="20"/>
              </w:rPr>
              <w:t>–</w:t>
            </w:r>
          </w:p>
        </w:tc>
        <w:tc>
          <w:tcPr>
            <w:tcW w:w="495" w:type="pct"/>
            <w:hideMark/>
          </w:tcPr>
          <w:p w14:paraId="22D74D80"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38C4E11F" w14:textId="77777777" w:rsidR="00931717" w:rsidRPr="00DF5AFE" w:rsidRDefault="00931717" w:rsidP="00DF5AFE">
            <w:pPr>
              <w:ind w:left="0" w:right="0"/>
              <w:rPr>
                <w:sz w:val="20"/>
                <w:szCs w:val="20"/>
              </w:rPr>
            </w:pPr>
            <w:r w:rsidRPr="00DF5AFE">
              <w:rPr>
                <w:sz w:val="20"/>
                <w:szCs w:val="20"/>
              </w:rPr>
              <w:t>–</w:t>
            </w:r>
          </w:p>
        </w:tc>
      </w:tr>
      <w:tr w:rsidR="00931717" w:rsidRPr="00DF5AFE" w14:paraId="3E4BAA20" w14:textId="77777777" w:rsidTr="00DF5AFE">
        <w:trPr>
          <w:trHeight w:val="70"/>
        </w:trPr>
        <w:tc>
          <w:tcPr>
            <w:tcW w:w="793" w:type="pct"/>
            <w:vMerge/>
            <w:hideMark/>
          </w:tcPr>
          <w:p w14:paraId="5322F832" w14:textId="77777777" w:rsidR="00931717" w:rsidRPr="00DF5AFE" w:rsidRDefault="00931717" w:rsidP="00DF5AFE">
            <w:pPr>
              <w:ind w:left="0" w:right="0"/>
              <w:rPr>
                <w:b/>
                <w:sz w:val="20"/>
                <w:szCs w:val="20"/>
              </w:rPr>
            </w:pPr>
          </w:p>
        </w:tc>
        <w:tc>
          <w:tcPr>
            <w:tcW w:w="1829" w:type="pct"/>
            <w:hideMark/>
          </w:tcPr>
          <w:p w14:paraId="7F98832E" w14:textId="77777777" w:rsidR="00931717" w:rsidRPr="00DF5AFE" w:rsidRDefault="00931717" w:rsidP="00DF5AFE">
            <w:pPr>
              <w:ind w:left="0" w:right="0"/>
              <w:rPr>
                <w:color w:val="00B050"/>
                <w:sz w:val="20"/>
                <w:szCs w:val="20"/>
              </w:rPr>
            </w:pPr>
            <w:r w:rsidRPr="00DF5AFE">
              <w:rPr>
                <w:sz w:val="20"/>
                <w:szCs w:val="20"/>
              </w:rPr>
              <w:t>Myopathy, including rhabdomyolysis and cardiomyopathy</w:t>
            </w:r>
          </w:p>
        </w:tc>
        <w:tc>
          <w:tcPr>
            <w:tcW w:w="596" w:type="pct"/>
            <w:hideMark/>
          </w:tcPr>
          <w:p w14:paraId="18ED86EE"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6B5E1ED1" w14:textId="77777777" w:rsidR="00931717" w:rsidRPr="00DF5AFE" w:rsidRDefault="00931717" w:rsidP="00DF5AFE">
            <w:pPr>
              <w:ind w:left="0" w:right="0"/>
              <w:rPr>
                <w:sz w:val="20"/>
                <w:szCs w:val="20"/>
              </w:rPr>
            </w:pPr>
            <w:r w:rsidRPr="00DF5AFE">
              <w:rPr>
                <w:sz w:val="20"/>
                <w:szCs w:val="20"/>
              </w:rPr>
              <w:t>–</w:t>
            </w:r>
          </w:p>
        </w:tc>
        <w:tc>
          <w:tcPr>
            <w:tcW w:w="495" w:type="pct"/>
            <w:hideMark/>
          </w:tcPr>
          <w:p w14:paraId="14D12746"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36DC58E9" w14:textId="77777777" w:rsidR="00931717" w:rsidRPr="00DF5AFE" w:rsidRDefault="00931717" w:rsidP="00DF5AFE">
            <w:pPr>
              <w:ind w:left="0" w:right="0"/>
              <w:rPr>
                <w:sz w:val="20"/>
                <w:szCs w:val="20"/>
              </w:rPr>
            </w:pPr>
            <w:r w:rsidRPr="00DF5AFE">
              <w:rPr>
                <w:sz w:val="20"/>
                <w:szCs w:val="20"/>
              </w:rPr>
              <w:t>–</w:t>
            </w:r>
          </w:p>
        </w:tc>
      </w:tr>
      <w:tr w:rsidR="00931717" w:rsidRPr="00DF5AFE" w14:paraId="1950696C" w14:textId="77777777" w:rsidTr="00DF5AFE">
        <w:trPr>
          <w:trHeight w:val="106"/>
        </w:trPr>
        <w:tc>
          <w:tcPr>
            <w:tcW w:w="793" w:type="pct"/>
            <w:vMerge/>
            <w:hideMark/>
          </w:tcPr>
          <w:p w14:paraId="77CA7267" w14:textId="77777777" w:rsidR="00931717" w:rsidRPr="00DF5AFE" w:rsidRDefault="00931717" w:rsidP="00DF5AFE">
            <w:pPr>
              <w:ind w:left="0" w:right="0"/>
              <w:rPr>
                <w:b/>
                <w:sz w:val="20"/>
                <w:szCs w:val="20"/>
              </w:rPr>
            </w:pPr>
          </w:p>
        </w:tc>
        <w:tc>
          <w:tcPr>
            <w:tcW w:w="1829" w:type="pct"/>
            <w:hideMark/>
          </w:tcPr>
          <w:p w14:paraId="2C93BF06" w14:textId="77777777" w:rsidR="00931717" w:rsidRPr="00DF5AFE" w:rsidRDefault="00931717" w:rsidP="00DF5AFE">
            <w:pPr>
              <w:ind w:left="0" w:right="0"/>
              <w:rPr>
                <w:color w:val="00B050"/>
                <w:sz w:val="20"/>
                <w:szCs w:val="20"/>
              </w:rPr>
            </w:pPr>
            <w:r w:rsidRPr="00DF5AFE">
              <w:rPr>
                <w:sz w:val="20"/>
                <w:szCs w:val="20"/>
              </w:rPr>
              <w:t>Pancreatitis</w:t>
            </w:r>
          </w:p>
        </w:tc>
        <w:tc>
          <w:tcPr>
            <w:tcW w:w="596" w:type="pct"/>
            <w:hideMark/>
          </w:tcPr>
          <w:p w14:paraId="3B140858"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0A90F688" w14:textId="77777777" w:rsidR="00931717" w:rsidRPr="00DF5AFE" w:rsidRDefault="00931717" w:rsidP="00DF5AFE">
            <w:pPr>
              <w:ind w:left="0" w:right="0"/>
              <w:rPr>
                <w:sz w:val="20"/>
                <w:szCs w:val="20"/>
              </w:rPr>
            </w:pPr>
            <w:r w:rsidRPr="00DF5AFE">
              <w:rPr>
                <w:sz w:val="20"/>
                <w:szCs w:val="20"/>
              </w:rPr>
              <w:t>–</w:t>
            </w:r>
          </w:p>
        </w:tc>
        <w:tc>
          <w:tcPr>
            <w:tcW w:w="495" w:type="pct"/>
            <w:hideMark/>
          </w:tcPr>
          <w:p w14:paraId="764E7BB8"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3BED4A83" w14:textId="77777777" w:rsidR="00931717" w:rsidRPr="00DF5AFE" w:rsidRDefault="00931717" w:rsidP="00DF5AFE">
            <w:pPr>
              <w:ind w:left="0" w:right="0"/>
              <w:rPr>
                <w:sz w:val="20"/>
                <w:szCs w:val="20"/>
              </w:rPr>
            </w:pPr>
            <w:r w:rsidRPr="00DF5AFE">
              <w:rPr>
                <w:sz w:val="20"/>
                <w:szCs w:val="20"/>
              </w:rPr>
              <w:t>–</w:t>
            </w:r>
          </w:p>
        </w:tc>
      </w:tr>
      <w:tr w:rsidR="00931717" w:rsidRPr="00DF5AFE" w14:paraId="792E9CDE" w14:textId="77777777" w:rsidTr="00DF5AFE">
        <w:trPr>
          <w:trHeight w:val="170"/>
        </w:trPr>
        <w:tc>
          <w:tcPr>
            <w:tcW w:w="793" w:type="pct"/>
            <w:vMerge/>
            <w:hideMark/>
          </w:tcPr>
          <w:p w14:paraId="3CE901F1" w14:textId="77777777" w:rsidR="00931717" w:rsidRPr="00DF5AFE" w:rsidRDefault="00931717" w:rsidP="00DF5AFE">
            <w:pPr>
              <w:ind w:left="0" w:right="0"/>
              <w:rPr>
                <w:b/>
                <w:sz w:val="20"/>
                <w:szCs w:val="20"/>
              </w:rPr>
            </w:pPr>
          </w:p>
        </w:tc>
        <w:tc>
          <w:tcPr>
            <w:tcW w:w="1829" w:type="pct"/>
            <w:hideMark/>
          </w:tcPr>
          <w:p w14:paraId="51FC4CBF" w14:textId="77777777" w:rsidR="00931717" w:rsidRPr="00DF5AFE" w:rsidRDefault="00931717" w:rsidP="00DF5AFE">
            <w:pPr>
              <w:ind w:left="0" w:right="0"/>
              <w:rPr>
                <w:color w:val="00B050"/>
                <w:sz w:val="20"/>
                <w:szCs w:val="20"/>
              </w:rPr>
            </w:pPr>
            <w:r w:rsidRPr="00DF5AFE">
              <w:rPr>
                <w:sz w:val="20"/>
                <w:szCs w:val="20"/>
              </w:rPr>
              <w:t>Retinal degeneration, macular degeneration</w:t>
            </w:r>
          </w:p>
        </w:tc>
        <w:tc>
          <w:tcPr>
            <w:tcW w:w="596" w:type="pct"/>
            <w:hideMark/>
          </w:tcPr>
          <w:p w14:paraId="57191F31"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79CE728A" w14:textId="77777777" w:rsidR="00931717" w:rsidRPr="00DF5AFE" w:rsidRDefault="00931717" w:rsidP="00DF5AFE">
            <w:pPr>
              <w:ind w:left="0" w:right="0"/>
              <w:rPr>
                <w:sz w:val="20"/>
                <w:szCs w:val="20"/>
              </w:rPr>
            </w:pPr>
            <w:r w:rsidRPr="00DF5AFE">
              <w:rPr>
                <w:sz w:val="20"/>
                <w:szCs w:val="20"/>
              </w:rPr>
              <w:t>–</w:t>
            </w:r>
          </w:p>
        </w:tc>
        <w:tc>
          <w:tcPr>
            <w:tcW w:w="495" w:type="pct"/>
            <w:hideMark/>
          </w:tcPr>
          <w:p w14:paraId="000D0CE0"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0FB3A0DB" w14:textId="77777777" w:rsidR="00931717" w:rsidRPr="00DF5AFE" w:rsidRDefault="00931717" w:rsidP="00DF5AFE">
            <w:pPr>
              <w:ind w:left="0" w:right="0"/>
              <w:rPr>
                <w:sz w:val="20"/>
                <w:szCs w:val="20"/>
              </w:rPr>
            </w:pPr>
            <w:r w:rsidRPr="00DF5AFE">
              <w:rPr>
                <w:sz w:val="20"/>
                <w:szCs w:val="20"/>
              </w:rPr>
              <w:t>–</w:t>
            </w:r>
          </w:p>
        </w:tc>
      </w:tr>
      <w:tr w:rsidR="00931717" w:rsidRPr="00DF5AFE" w14:paraId="0DBD9EC4" w14:textId="77777777" w:rsidTr="00DF5AFE">
        <w:trPr>
          <w:trHeight w:val="112"/>
        </w:trPr>
        <w:tc>
          <w:tcPr>
            <w:tcW w:w="793" w:type="pct"/>
            <w:vMerge/>
            <w:hideMark/>
          </w:tcPr>
          <w:p w14:paraId="0C44D7B2" w14:textId="77777777" w:rsidR="00931717" w:rsidRPr="00DF5AFE" w:rsidRDefault="00931717" w:rsidP="00DF5AFE">
            <w:pPr>
              <w:ind w:left="0" w:right="0"/>
              <w:rPr>
                <w:b/>
                <w:sz w:val="20"/>
                <w:szCs w:val="20"/>
              </w:rPr>
            </w:pPr>
          </w:p>
        </w:tc>
        <w:tc>
          <w:tcPr>
            <w:tcW w:w="1829" w:type="pct"/>
            <w:hideMark/>
          </w:tcPr>
          <w:p w14:paraId="4813906B" w14:textId="3BF81713" w:rsidR="00931717" w:rsidRPr="00DF5AFE" w:rsidRDefault="00931717" w:rsidP="00DF5AFE">
            <w:pPr>
              <w:ind w:left="0" w:right="0"/>
              <w:rPr>
                <w:sz w:val="20"/>
                <w:szCs w:val="20"/>
              </w:rPr>
            </w:pPr>
            <w:r w:rsidRPr="00DF5AFE">
              <w:rPr>
                <w:sz w:val="20"/>
                <w:szCs w:val="20"/>
              </w:rPr>
              <w:t>Embryofetal and developmental toxicity</w:t>
            </w:r>
          </w:p>
        </w:tc>
        <w:tc>
          <w:tcPr>
            <w:tcW w:w="596" w:type="pct"/>
            <w:hideMark/>
          </w:tcPr>
          <w:p w14:paraId="31984106"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39034917" w14:textId="77777777" w:rsidR="00931717" w:rsidRPr="00DF5AFE" w:rsidRDefault="00931717" w:rsidP="00DF5AFE">
            <w:pPr>
              <w:ind w:left="0" w:right="0"/>
              <w:rPr>
                <w:sz w:val="20"/>
                <w:szCs w:val="20"/>
              </w:rPr>
            </w:pPr>
            <w:r w:rsidRPr="00DF5AFE">
              <w:rPr>
                <w:sz w:val="20"/>
                <w:szCs w:val="20"/>
              </w:rPr>
              <w:t>–</w:t>
            </w:r>
          </w:p>
        </w:tc>
        <w:tc>
          <w:tcPr>
            <w:tcW w:w="495" w:type="pct"/>
            <w:hideMark/>
          </w:tcPr>
          <w:p w14:paraId="4E17BCE3"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7FB63FE1" w14:textId="77777777" w:rsidR="00931717" w:rsidRPr="00DF5AFE" w:rsidRDefault="00931717" w:rsidP="00DF5AFE">
            <w:pPr>
              <w:ind w:left="0" w:right="0"/>
              <w:rPr>
                <w:sz w:val="20"/>
                <w:szCs w:val="20"/>
              </w:rPr>
            </w:pPr>
            <w:r w:rsidRPr="00DF5AFE">
              <w:rPr>
                <w:sz w:val="20"/>
                <w:szCs w:val="20"/>
              </w:rPr>
              <w:t>–</w:t>
            </w:r>
          </w:p>
        </w:tc>
      </w:tr>
      <w:tr w:rsidR="00931717" w:rsidRPr="00DF5AFE" w14:paraId="7917358F" w14:textId="77777777" w:rsidTr="00DF5AFE">
        <w:trPr>
          <w:trHeight w:val="178"/>
        </w:trPr>
        <w:tc>
          <w:tcPr>
            <w:tcW w:w="793" w:type="pct"/>
            <w:vMerge w:val="restart"/>
            <w:hideMark/>
          </w:tcPr>
          <w:p w14:paraId="3E807AC7" w14:textId="77777777" w:rsidR="00931717" w:rsidRPr="00DF5AFE" w:rsidRDefault="00931717" w:rsidP="00DF5AFE">
            <w:pPr>
              <w:ind w:left="0" w:right="0"/>
              <w:rPr>
                <w:b/>
                <w:sz w:val="20"/>
                <w:szCs w:val="20"/>
              </w:rPr>
            </w:pPr>
            <w:r w:rsidRPr="00DF5AFE">
              <w:rPr>
                <w:b/>
                <w:sz w:val="20"/>
                <w:szCs w:val="20"/>
              </w:rPr>
              <w:t>Missing information</w:t>
            </w:r>
          </w:p>
        </w:tc>
        <w:tc>
          <w:tcPr>
            <w:tcW w:w="1829" w:type="pct"/>
            <w:hideMark/>
          </w:tcPr>
          <w:p w14:paraId="61F2F943" w14:textId="77777777" w:rsidR="00931717" w:rsidRPr="00DF5AFE" w:rsidRDefault="00931717" w:rsidP="00DF5AFE">
            <w:pPr>
              <w:ind w:left="0" w:right="0"/>
              <w:rPr>
                <w:sz w:val="20"/>
                <w:szCs w:val="20"/>
              </w:rPr>
            </w:pPr>
            <w:r w:rsidRPr="00DF5AFE">
              <w:rPr>
                <w:sz w:val="20"/>
                <w:szCs w:val="20"/>
              </w:rPr>
              <w:t>Effects on male and/or female fertility</w:t>
            </w:r>
          </w:p>
        </w:tc>
        <w:tc>
          <w:tcPr>
            <w:tcW w:w="596" w:type="pct"/>
            <w:hideMark/>
          </w:tcPr>
          <w:p w14:paraId="4151586E"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68BA4CAD" w14:textId="77777777" w:rsidR="00931717" w:rsidRPr="00DF5AFE" w:rsidRDefault="00931717" w:rsidP="00DF5AFE">
            <w:pPr>
              <w:ind w:left="0" w:right="0"/>
              <w:rPr>
                <w:sz w:val="20"/>
                <w:szCs w:val="20"/>
              </w:rPr>
            </w:pPr>
            <w:r w:rsidRPr="00DF5AFE">
              <w:rPr>
                <w:sz w:val="20"/>
                <w:szCs w:val="20"/>
              </w:rPr>
              <w:t>–</w:t>
            </w:r>
          </w:p>
        </w:tc>
        <w:tc>
          <w:tcPr>
            <w:tcW w:w="495" w:type="pct"/>
            <w:hideMark/>
          </w:tcPr>
          <w:p w14:paraId="4E1C6515"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325EC779" w14:textId="77777777" w:rsidR="00931717" w:rsidRPr="00DF5AFE" w:rsidRDefault="00931717" w:rsidP="00DF5AFE">
            <w:pPr>
              <w:ind w:left="0" w:right="0"/>
              <w:rPr>
                <w:sz w:val="20"/>
                <w:szCs w:val="20"/>
              </w:rPr>
            </w:pPr>
            <w:r w:rsidRPr="00DF5AFE">
              <w:rPr>
                <w:sz w:val="20"/>
                <w:szCs w:val="20"/>
              </w:rPr>
              <w:t>–</w:t>
            </w:r>
          </w:p>
        </w:tc>
      </w:tr>
      <w:tr w:rsidR="00931717" w:rsidRPr="00DF5AFE" w14:paraId="199C93E7" w14:textId="77777777" w:rsidTr="00DF5AFE">
        <w:trPr>
          <w:trHeight w:val="103"/>
        </w:trPr>
        <w:tc>
          <w:tcPr>
            <w:tcW w:w="793" w:type="pct"/>
            <w:vMerge/>
            <w:hideMark/>
          </w:tcPr>
          <w:p w14:paraId="0A6EAF88" w14:textId="77777777" w:rsidR="00931717" w:rsidRPr="00DF5AFE" w:rsidRDefault="00931717" w:rsidP="00DF5AFE">
            <w:pPr>
              <w:ind w:left="0" w:right="0"/>
              <w:rPr>
                <w:b/>
                <w:sz w:val="20"/>
                <w:szCs w:val="20"/>
              </w:rPr>
            </w:pPr>
          </w:p>
        </w:tc>
        <w:tc>
          <w:tcPr>
            <w:tcW w:w="1829" w:type="pct"/>
            <w:hideMark/>
          </w:tcPr>
          <w:p w14:paraId="53509C31" w14:textId="77777777" w:rsidR="00931717" w:rsidRPr="00DF5AFE" w:rsidRDefault="00931717" w:rsidP="00DF5AFE">
            <w:pPr>
              <w:ind w:left="0" w:right="0"/>
              <w:rPr>
                <w:sz w:val="20"/>
                <w:szCs w:val="20"/>
              </w:rPr>
            </w:pPr>
            <w:r w:rsidRPr="00DF5AFE">
              <w:rPr>
                <w:sz w:val="20"/>
                <w:szCs w:val="20"/>
              </w:rPr>
              <w:t>Long term safety</w:t>
            </w:r>
          </w:p>
        </w:tc>
        <w:tc>
          <w:tcPr>
            <w:tcW w:w="596" w:type="pct"/>
            <w:hideMark/>
          </w:tcPr>
          <w:p w14:paraId="5684EEF2"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44CFB060" w14:textId="77777777" w:rsidR="00931717" w:rsidRPr="00DF5AFE" w:rsidRDefault="00931717" w:rsidP="00DF5AFE">
            <w:pPr>
              <w:ind w:left="0" w:right="0"/>
              <w:rPr>
                <w:sz w:val="20"/>
                <w:szCs w:val="20"/>
              </w:rPr>
            </w:pPr>
            <w:r w:rsidRPr="00DF5AFE">
              <w:rPr>
                <w:sz w:val="20"/>
                <w:szCs w:val="20"/>
              </w:rPr>
              <w:sym w:font="Wingdings" w:char="F0FC"/>
            </w:r>
          </w:p>
        </w:tc>
        <w:tc>
          <w:tcPr>
            <w:tcW w:w="495" w:type="pct"/>
            <w:hideMark/>
          </w:tcPr>
          <w:p w14:paraId="6EAE3361" w14:textId="77777777" w:rsidR="00931717" w:rsidRPr="00DF5AFE" w:rsidRDefault="00931717" w:rsidP="00DF5AFE">
            <w:pPr>
              <w:ind w:left="0" w:right="0"/>
              <w:rPr>
                <w:sz w:val="20"/>
                <w:szCs w:val="20"/>
              </w:rPr>
            </w:pPr>
            <w:r w:rsidRPr="00DF5AFE">
              <w:rPr>
                <w:sz w:val="20"/>
                <w:szCs w:val="20"/>
              </w:rPr>
              <w:t>–</w:t>
            </w:r>
          </w:p>
        </w:tc>
        <w:tc>
          <w:tcPr>
            <w:tcW w:w="630" w:type="pct"/>
            <w:hideMark/>
          </w:tcPr>
          <w:p w14:paraId="2BF60EA5" w14:textId="77777777" w:rsidR="00931717" w:rsidRPr="00DF5AFE" w:rsidRDefault="00931717" w:rsidP="00DF5AFE">
            <w:pPr>
              <w:ind w:left="0" w:right="0"/>
              <w:rPr>
                <w:sz w:val="20"/>
                <w:szCs w:val="20"/>
              </w:rPr>
            </w:pPr>
            <w:r w:rsidRPr="00DF5AFE">
              <w:rPr>
                <w:sz w:val="20"/>
                <w:szCs w:val="20"/>
              </w:rPr>
              <w:t>–</w:t>
            </w:r>
          </w:p>
        </w:tc>
      </w:tr>
      <w:tr w:rsidR="00931717" w:rsidRPr="00DF5AFE" w14:paraId="1A4D9545" w14:textId="77777777" w:rsidTr="00DF5AFE">
        <w:trPr>
          <w:trHeight w:val="140"/>
        </w:trPr>
        <w:tc>
          <w:tcPr>
            <w:tcW w:w="793" w:type="pct"/>
            <w:vMerge/>
            <w:hideMark/>
          </w:tcPr>
          <w:p w14:paraId="26E2D518" w14:textId="77777777" w:rsidR="00931717" w:rsidRPr="00DF5AFE" w:rsidRDefault="00931717" w:rsidP="00DF5AFE">
            <w:pPr>
              <w:ind w:left="0" w:right="0"/>
              <w:rPr>
                <w:b/>
                <w:sz w:val="20"/>
                <w:szCs w:val="20"/>
              </w:rPr>
            </w:pPr>
          </w:p>
        </w:tc>
        <w:tc>
          <w:tcPr>
            <w:tcW w:w="1829" w:type="pct"/>
            <w:hideMark/>
          </w:tcPr>
          <w:p w14:paraId="6715BAD4" w14:textId="77777777" w:rsidR="00931717" w:rsidRPr="00DF5AFE" w:rsidRDefault="00931717" w:rsidP="00DF5AFE">
            <w:pPr>
              <w:ind w:left="0" w:right="0"/>
              <w:rPr>
                <w:sz w:val="20"/>
                <w:szCs w:val="20"/>
              </w:rPr>
            </w:pPr>
            <w:r w:rsidRPr="00DF5AFE">
              <w:rPr>
                <w:sz w:val="20"/>
                <w:szCs w:val="20"/>
              </w:rPr>
              <w:t>Drug-drug interaction with CYP3A4 substrates</w:t>
            </w:r>
          </w:p>
        </w:tc>
        <w:tc>
          <w:tcPr>
            <w:tcW w:w="596" w:type="pct"/>
            <w:hideMark/>
          </w:tcPr>
          <w:p w14:paraId="47AD514C" w14:textId="77777777" w:rsidR="00931717" w:rsidRPr="00DF5AFE" w:rsidRDefault="00931717" w:rsidP="00DF5AFE">
            <w:pPr>
              <w:ind w:left="0" w:right="0"/>
              <w:rPr>
                <w:sz w:val="20"/>
                <w:szCs w:val="20"/>
              </w:rPr>
            </w:pPr>
            <w:r w:rsidRPr="00DF5AFE">
              <w:rPr>
                <w:sz w:val="20"/>
                <w:szCs w:val="20"/>
              </w:rPr>
              <w:sym w:font="Wingdings" w:char="F0FC"/>
            </w:r>
          </w:p>
        </w:tc>
        <w:tc>
          <w:tcPr>
            <w:tcW w:w="658" w:type="pct"/>
            <w:hideMark/>
          </w:tcPr>
          <w:p w14:paraId="5F14BB3B" w14:textId="77777777" w:rsidR="00931717" w:rsidRPr="00DF5AFE" w:rsidRDefault="00931717" w:rsidP="00DF5AFE">
            <w:pPr>
              <w:ind w:left="0" w:right="0"/>
              <w:rPr>
                <w:sz w:val="20"/>
                <w:szCs w:val="20"/>
              </w:rPr>
            </w:pPr>
            <w:r w:rsidRPr="00DF5AFE">
              <w:rPr>
                <w:sz w:val="20"/>
                <w:szCs w:val="20"/>
              </w:rPr>
              <w:t>–</w:t>
            </w:r>
          </w:p>
        </w:tc>
        <w:tc>
          <w:tcPr>
            <w:tcW w:w="495" w:type="pct"/>
            <w:hideMark/>
          </w:tcPr>
          <w:p w14:paraId="395FB27B" w14:textId="77777777" w:rsidR="00931717" w:rsidRPr="00DF5AFE" w:rsidRDefault="00931717" w:rsidP="00DF5AFE">
            <w:pPr>
              <w:ind w:left="0" w:right="0"/>
              <w:rPr>
                <w:sz w:val="20"/>
                <w:szCs w:val="20"/>
              </w:rPr>
            </w:pPr>
            <w:r w:rsidRPr="00DF5AFE">
              <w:rPr>
                <w:sz w:val="20"/>
                <w:szCs w:val="20"/>
              </w:rPr>
              <w:sym w:font="Wingdings" w:char="F0FC"/>
            </w:r>
          </w:p>
        </w:tc>
        <w:tc>
          <w:tcPr>
            <w:tcW w:w="630" w:type="pct"/>
            <w:hideMark/>
          </w:tcPr>
          <w:p w14:paraId="274EEFAD" w14:textId="77777777" w:rsidR="00931717" w:rsidRPr="00DF5AFE" w:rsidRDefault="00931717" w:rsidP="00DF5AFE">
            <w:pPr>
              <w:ind w:left="0" w:right="0"/>
              <w:rPr>
                <w:sz w:val="20"/>
                <w:szCs w:val="20"/>
              </w:rPr>
            </w:pPr>
            <w:r w:rsidRPr="00DF5AFE">
              <w:rPr>
                <w:sz w:val="20"/>
                <w:szCs w:val="20"/>
              </w:rPr>
              <w:t>–</w:t>
            </w:r>
          </w:p>
        </w:tc>
      </w:tr>
    </w:tbl>
    <w:p w14:paraId="2D642E3E" w14:textId="4C65BA75" w:rsidR="00931717" w:rsidRDefault="00931717" w:rsidP="00DF5AFE">
      <w:pPr>
        <w:pStyle w:val="TableDescription"/>
      </w:pPr>
      <w:r>
        <w:t>*Additional risk minimis</w:t>
      </w:r>
      <w:r w:rsidR="00DF5AFE">
        <w:t xml:space="preserve">ation activity in the EU Only; </w:t>
      </w:r>
      <w:r>
        <w:t>Patient Alert Card (PAC).</w:t>
      </w:r>
    </w:p>
    <w:p w14:paraId="774EC082" w14:textId="536A3F9F" w:rsidR="00931717" w:rsidRDefault="00931717" w:rsidP="00931717">
      <w:r>
        <w:t xml:space="preserve">EU </w:t>
      </w:r>
      <w:r w:rsidR="00DF5AFE">
        <w:t>p</w:t>
      </w:r>
      <w:r w:rsidR="00E563FE">
        <w:t>ost authorisation safety studies</w:t>
      </w:r>
      <w:r>
        <w:t xml:space="preserve"> (</w:t>
      </w:r>
      <w:r w:rsidR="00DF5AFE">
        <w:t xml:space="preserve">PASS; </w:t>
      </w:r>
      <w:r>
        <w:t>incorporating th</w:t>
      </w:r>
      <w:r w:rsidR="00DF5AFE">
        <w:t>e US and</w:t>
      </w:r>
      <w:r>
        <w:t xml:space="preserve"> EU studies) is listed as additional pharmacovigilance.</w:t>
      </w:r>
      <w:r w:rsidR="00BC01FB">
        <w:t xml:space="preserve"> </w:t>
      </w:r>
      <w:r>
        <w:t xml:space="preserve">The objectives of </w:t>
      </w:r>
      <w:r w:rsidR="00E563FE">
        <w:t xml:space="preserve">EU </w:t>
      </w:r>
      <w:r w:rsidR="00DF5AFE">
        <w:t>PASS</w:t>
      </w:r>
      <w:r w:rsidR="00E563FE">
        <w:t xml:space="preserve"> </w:t>
      </w:r>
      <w:r>
        <w:t xml:space="preserve">are to describe the occurrence, clinical management and outcomes of </w:t>
      </w:r>
      <w:r w:rsidR="00BC01FB">
        <w:t>early onset pulmonary events</w:t>
      </w:r>
      <w:r>
        <w:t xml:space="preserve"> and assess patient receipt and use of the </w:t>
      </w:r>
      <w:r w:rsidR="00335F3D">
        <w:t>PAC</w:t>
      </w:r>
      <w:r>
        <w:t>.</w:t>
      </w:r>
      <w:r w:rsidR="00BC01FB">
        <w:t xml:space="preserve"> </w:t>
      </w:r>
      <w:r>
        <w:t>No additional risk minimisation activities are planned in Australia.</w:t>
      </w:r>
    </w:p>
    <w:p w14:paraId="233C4014" w14:textId="2A8B7D1B" w:rsidR="00931717" w:rsidRDefault="00931717" w:rsidP="00931717">
      <w:r>
        <w:t>The RMP evaluator has recommended the following conditions of registration:</w:t>
      </w:r>
    </w:p>
    <w:p w14:paraId="5972F4B0" w14:textId="60988AF5" w:rsidR="00931717" w:rsidRDefault="00931717" w:rsidP="00351BC8">
      <w:pPr>
        <w:pStyle w:val="ListBullet"/>
      </w:pPr>
      <w:r>
        <w:t>The A</w:t>
      </w:r>
      <w:r w:rsidR="00BC01FB">
        <w:t>lunbrig</w:t>
      </w:r>
      <w:r>
        <w:t xml:space="preserve"> (brigatinib) EU-</w:t>
      </w:r>
      <w:r w:rsidR="00351BC8">
        <w:t>RMP</w:t>
      </w:r>
      <w:r>
        <w:t xml:space="preserve"> (version 4.3, dated 19 June 2018, </w:t>
      </w:r>
      <w:r w:rsidR="00351BC8">
        <w:t>DLP</w:t>
      </w:r>
      <w:r w:rsidR="00D109BF">
        <w:t> </w:t>
      </w:r>
      <w:r>
        <w:t>31</w:t>
      </w:r>
      <w:r w:rsidR="00D109BF">
        <w:t> </w:t>
      </w:r>
      <w:r>
        <w:t>May</w:t>
      </w:r>
      <w:r w:rsidR="00D109BF">
        <w:t> </w:t>
      </w:r>
      <w:r>
        <w:t xml:space="preserve">2016), with </w:t>
      </w:r>
      <w:r w:rsidR="00351BC8">
        <w:t>ASA</w:t>
      </w:r>
      <w:r>
        <w:t xml:space="preserve"> (October 2018), included with submission</w:t>
      </w:r>
      <w:r w:rsidR="00D109BF">
        <w:t> </w:t>
      </w:r>
      <w:r>
        <w:t>PM</w:t>
      </w:r>
      <w:r w:rsidR="00D109BF">
        <w:noBreakHyphen/>
      </w:r>
      <w:r>
        <w:t>2018</w:t>
      </w:r>
      <w:r w:rsidR="00D109BF">
        <w:noBreakHyphen/>
      </w:r>
      <w:r>
        <w:t>00586</w:t>
      </w:r>
      <w:r w:rsidR="00D109BF">
        <w:noBreakHyphen/>
      </w:r>
      <w:r>
        <w:t>1</w:t>
      </w:r>
      <w:r w:rsidR="00D109BF">
        <w:noBreakHyphen/>
      </w:r>
      <w:r>
        <w:t>4, and any subsequent revisions, as agreed with the TGA will be implemented in Australia.</w:t>
      </w:r>
    </w:p>
    <w:p w14:paraId="2A21F156" w14:textId="77777777" w:rsidR="00EC6BF5" w:rsidRDefault="00931717" w:rsidP="00351BC8">
      <w:pPr>
        <w:pStyle w:val="ListBullet"/>
      </w:pPr>
      <w:r>
        <w:t>An obligatory component of risk management plans is routine pharmacovigilance. Routine pharmacovigilance includes the submission of periodic safety update reports (PSURs)</w:t>
      </w:r>
      <w:r w:rsidR="00EC6BF5">
        <w:t>.</w:t>
      </w:r>
    </w:p>
    <w:p w14:paraId="73342B35" w14:textId="77777777" w:rsidR="00EC6BF5" w:rsidRDefault="00931717" w:rsidP="00351BC8">
      <w:pPr>
        <w:pStyle w:val="ListBullet"/>
      </w:pPr>
      <w:r>
        <w:t>Reports are to be provided in line with the current published list of EU reference dates and frequency of submission of PSURs until the period covered by such reports is not less than three years from the date of this approval letter</w:t>
      </w:r>
      <w:r w:rsidR="00EC6BF5">
        <w:t>.</w:t>
      </w:r>
    </w:p>
    <w:p w14:paraId="336A8E96" w14:textId="077595AA" w:rsidR="00931717" w:rsidRDefault="00931717" w:rsidP="00351BC8">
      <w:pPr>
        <w:pStyle w:val="ListBullet"/>
      </w:pPr>
      <w:r>
        <w:t>The reports are to at least meet the requirements for PSURs as described in the European M</w:t>
      </w:r>
      <w:r w:rsidR="00351BC8">
        <w:t>edicines Agency’s Guideline on Good Pharmacovigilance P</w:t>
      </w:r>
      <w:r>
        <w:t xml:space="preserve">ractices (GVP) Module VII-periodic safety update report (Rev 1), Part VII.B Structures and processes. </w:t>
      </w:r>
      <w:r>
        <w:lastRenderedPageBreak/>
        <w:t>Note that submission of a PSUR does not constitute an application to vary the registration.</w:t>
      </w:r>
    </w:p>
    <w:p w14:paraId="19ECCD90" w14:textId="0463F026" w:rsidR="00931717" w:rsidRDefault="00931717" w:rsidP="00351BC8">
      <w:pPr>
        <w:pStyle w:val="ListBullet"/>
      </w:pPr>
      <w:r>
        <w:t>A</w:t>
      </w:r>
      <w:r w:rsidR="00BC01FB">
        <w:t>lunbrig</w:t>
      </w:r>
      <w:r>
        <w:t xml:space="preserve"> (brigatinib) is to be included in the Black Triangle Scheme. The PI and </w:t>
      </w:r>
      <w:r w:rsidR="00351BC8">
        <w:t>Consumer Medicines Information (</w:t>
      </w:r>
      <w:r>
        <w:t>CMI</w:t>
      </w:r>
      <w:r w:rsidR="00351BC8">
        <w:t>)</w:t>
      </w:r>
      <w:r>
        <w:t xml:space="preserve"> for A</w:t>
      </w:r>
      <w:r w:rsidR="00BC01FB">
        <w:t>lunbrig</w:t>
      </w:r>
      <w:r>
        <w:t xml:space="preserve"> must include the black triangle symbol and mandatory accompanying text for five years, which starts from the date that the sponsor notifies the TGA of supply of the product.</w:t>
      </w:r>
    </w:p>
    <w:p w14:paraId="2C96C237" w14:textId="77777777" w:rsidR="008E7846" w:rsidRDefault="00AA0ED0" w:rsidP="008E7846">
      <w:pPr>
        <w:pStyle w:val="Heading3"/>
      </w:pPr>
      <w:bookmarkStart w:id="53" w:name="_Toc247691531"/>
      <w:bookmarkStart w:id="54" w:name="_Toc314842515"/>
      <w:bookmarkStart w:id="55" w:name="_Toc196046505"/>
      <w:bookmarkStart w:id="56" w:name="_Toc196046949"/>
      <w:bookmarkStart w:id="57" w:name="_Toc35853849"/>
      <w:r>
        <w:t>Risk-benefit a</w:t>
      </w:r>
      <w:r w:rsidR="008E7846">
        <w:t>nalysis</w:t>
      </w:r>
      <w:bookmarkEnd w:id="53"/>
      <w:bookmarkEnd w:id="54"/>
      <w:bookmarkEnd w:id="57"/>
    </w:p>
    <w:p w14:paraId="2EA57499" w14:textId="72744FDB" w:rsidR="00D23139" w:rsidRDefault="00351BC8" w:rsidP="00D23139">
      <w:pPr>
        <w:pStyle w:val="Heading4"/>
      </w:pPr>
      <w:r>
        <w:t>Delegate’s considerations</w:t>
      </w:r>
    </w:p>
    <w:p w14:paraId="1C76E967" w14:textId="77777777" w:rsidR="00931717" w:rsidRDefault="00931717" w:rsidP="00BC01FB">
      <w:pPr>
        <w:pStyle w:val="Heading5"/>
      </w:pPr>
      <w:r>
        <w:t>Pharmacology</w:t>
      </w:r>
    </w:p>
    <w:p w14:paraId="18E4C367" w14:textId="094ABE02" w:rsidR="00EC6BF5" w:rsidRDefault="00931717" w:rsidP="00931717">
      <w:r>
        <w:t xml:space="preserve">The </w:t>
      </w:r>
      <w:r w:rsidR="00351BC8">
        <w:t>PK</w:t>
      </w:r>
      <w:r>
        <w:t xml:space="preserve"> of brigatinib in hepatic impairment was assessed in a single</w:t>
      </w:r>
      <w:r w:rsidR="00031146">
        <w:t xml:space="preserve"> dose pharmacokinetic</w:t>
      </w:r>
      <w:r>
        <w:t xml:space="preserve"> study, consistent with the TGA-adopted EMA guideline.</w:t>
      </w:r>
      <w:r w:rsidR="00351BC8">
        <w:fldChar w:fldCharType="begin"/>
      </w:r>
      <w:r w:rsidR="00351BC8">
        <w:instrText xml:space="preserve"> NOTEREF _Ref33687374 \f \h </w:instrText>
      </w:r>
      <w:r w:rsidR="00351BC8">
        <w:fldChar w:fldCharType="separate"/>
      </w:r>
      <w:r w:rsidR="00351BC8" w:rsidRPr="00351BC8">
        <w:rPr>
          <w:rStyle w:val="FootnoteReference"/>
        </w:rPr>
        <w:t>9</w:t>
      </w:r>
      <w:r w:rsidR="00351BC8">
        <w:fldChar w:fldCharType="end"/>
      </w:r>
      <w:r w:rsidR="00BC01FB">
        <w:t xml:space="preserve"> </w:t>
      </w:r>
      <w:r>
        <w:t>Total brigatinib exposure was reduced in patients with hepatic impairment but there was a 37% increase in unbound brigatinib in patients with Child-Pugh C hepatic impairment.</w:t>
      </w:r>
      <w:r w:rsidR="00BC01FB">
        <w:t xml:space="preserve"> </w:t>
      </w:r>
      <w:r>
        <w:t>Based on this finding, dosage reduction is proposed for patients with Child-Pugh C hepatic impairment.</w:t>
      </w:r>
      <w:r w:rsidR="00BC01FB">
        <w:t xml:space="preserve"> </w:t>
      </w:r>
      <w:r>
        <w:t>The proposed dosage reduction is considered acceptable based on the available data</w:t>
      </w:r>
      <w:r w:rsidR="00EC6BF5">
        <w:t>.</w:t>
      </w:r>
    </w:p>
    <w:p w14:paraId="1B28F5A0" w14:textId="77777777" w:rsidR="00931717" w:rsidRDefault="00931717" w:rsidP="00031146">
      <w:pPr>
        <w:pStyle w:val="Heading5"/>
      </w:pPr>
      <w:r>
        <w:t>Efficacy</w:t>
      </w:r>
    </w:p>
    <w:p w14:paraId="0D63BF3D" w14:textId="45D7F5AC" w:rsidR="00EC6BF5" w:rsidRDefault="00931717" w:rsidP="00931717">
      <w:r>
        <w:t>Evidence for efficacy is based p</w:t>
      </w:r>
      <w:r w:rsidR="00351BC8">
        <w:t>rimarily on the findings of Study AP26113-13-201 (</w:t>
      </w:r>
      <w:r w:rsidR="00D109BF">
        <w:t xml:space="preserve">the </w:t>
      </w:r>
      <w:r w:rsidR="00351BC8">
        <w:t>ALTA</w:t>
      </w:r>
      <w:r w:rsidR="00D109BF">
        <w:t xml:space="preserve"> trial</w:t>
      </w:r>
      <w:r w:rsidR="00351BC8">
        <w:t xml:space="preserve">) </w:t>
      </w:r>
      <w:r>
        <w:t xml:space="preserve">which demonstrated a confirmed </w:t>
      </w:r>
      <w:r w:rsidR="00031146">
        <w:t>objective response rate</w:t>
      </w:r>
      <w:r>
        <w:t xml:space="preserve"> of 55.5% for the proposed 9</w:t>
      </w:r>
      <w:r w:rsidR="00351BC8">
        <w:t>0 </w:t>
      </w:r>
      <w:r>
        <w:t>→</w:t>
      </w:r>
      <w:r w:rsidR="00351BC8">
        <w:t> </w:t>
      </w:r>
      <w:r>
        <w:t>180</w:t>
      </w:r>
      <w:r w:rsidR="00031146">
        <w:t> </w:t>
      </w:r>
      <w:r w:rsidR="00BC01FB">
        <w:t>mg daily</w:t>
      </w:r>
      <w:r>
        <w:t xml:space="preserve"> dosage, with a median duration of response of 13.8 months.</w:t>
      </w:r>
      <w:r w:rsidR="00BC01FB">
        <w:t xml:space="preserve"> </w:t>
      </w:r>
      <w:r>
        <w:t>This response is clinically meaningful and durable</w:t>
      </w:r>
      <w:r w:rsidR="00EC6BF5">
        <w:t>.</w:t>
      </w:r>
    </w:p>
    <w:p w14:paraId="46AC3EE8" w14:textId="132C886D" w:rsidR="00931717" w:rsidRDefault="00931717" w:rsidP="00931717">
      <w:r>
        <w:t>Promising response rates were observed in patients with and without brain metastases at baseline.</w:t>
      </w:r>
      <w:r w:rsidR="00BC01FB">
        <w:t xml:space="preserve"> </w:t>
      </w:r>
      <w:r w:rsidR="00351BC8">
        <w:t>For the 90</w:t>
      </w:r>
      <w:r>
        <w:t xml:space="preserve"> →</w:t>
      </w:r>
      <w:r w:rsidR="00351BC8">
        <w:t xml:space="preserve"> </w:t>
      </w:r>
      <w:r>
        <w:t>180</w:t>
      </w:r>
      <w:r w:rsidR="00BC01FB">
        <w:t xml:space="preserve"> mg daily</w:t>
      </w:r>
      <w:r>
        <w:t xml:space="preserve"> dosage, pat</w:t>
      </w:r>
      <w:r w:rsidR="00351BC8">
        <w:t>ients with brain metastases at B</w:t>
      </w:r>
      <w:r>
        <w:t>aseline were numerically more likely to achieve an objective response to brigatinib compared to those without brain metastases.</w:t>
      </w:r>
    </w:p>
    <w:p w14:paraId="58F62984" w14:textId="7C12384B" w:rsidR="00931717" w:rsidRDefault="00931717" w:rsidP="00931717">
      <w:r>
        <w:t xml:space="preserve">The </w:t>
      </w:r>
      <w:r w:rsidR="00031146">
        <w:t>P</w:t>
      </w:r>
      <w:r>
        <w:t xml:space="preserve">hase </w:t>
      </w:r>
      <w:r w:rsidR="00031146">
        <w:t>I/II</w:t>
      </w:r>
      <w:r w:rsidR="00351BC8">
        <w:t xml:space="preserve"> S</w:t>
      </w:r>
      <w:r>
        <w:t xml:space="preserve">tudy AP26113-11-101, reported similar response rates for patients receiving the dose proposed for registration, providing support for the efficacy outcomes observed in </w:t>
      </w:r>
      <w:r w:rsidR="00351BC8">
        <w:t>Study AP26113-13-201</w:t>
      </w:r>
      <w:r>
        <w:t>.</w:t>
      </w:r>
    </w:p>
    <w:p w14:paraId="76A3819E" w14:textId="46E7DF5D" w:rsidR="00EC6BF5" w:rsidRDefault="00931717" w:rsidP="00931717">
      <w:r>
        <w:t>The submission lacks direct comparative data.</w:t>
      </w:r>
      <w:r w:rsidR="00BC01FB">
        <w:t xml:space="preserve"> </w:t>
      </w:r>
      <w:r>
        <w:t>There are limitations to the conclusions that can be drawn from the matching adjusted indirect comparisons with ceritinib and alectinib studies. The indirect comparisons are supportive of the efficacy of brigatinib but do not provide robust comparative data.</w:t>
      </w:r>
      <w:r w:rsidR="00BC01FB">
        <w:t xml:space="preserve"> </w:t>
      </w:r>
      <w:r>
        <w:t xml:space="preserve">Top-line results from the first planned interim analysis of the </w:t>
      </w:r>
      <w:r w:rsidR="00031146">
        <w:t>P</w:t>
      </w:r>
      <w:r>
        <w:t xml:space="preserve">hase </w:t>
      </w:r>
      <w:r w:rsidR="00031146">
        <w:t>III</w:t>
      </w:r>
      <w:r w:rsidR="00351BC8">
        <w:t xml:space="preserve"> </w:t>
      </w:r>
      <w:r>
        <w:t xml:space="preserve">ALTA-1L </w:t>
      </w:r>
      <w:r w:rsidR="00D109BF">
        <w:t xml:space="preserve">trial </w:t>
      </w:r>
      <w:r>
        <w:t>were provided.</w:t>
      </w:r>
      <w:r w:rsidR="00BC01FB">
        <w:t xml:space="preserve"> </w:t>
      </w:r>
      <w:r>
        <w:t xml:space="preserve">The full study report for </w:t>
      </w:r>
      <w:r w:rsidR="00D109BF">
        <w:t xml:space="preserve">the </w:t>
      </w:r>
      <w:r w:rsidR="0014036C">
        <w:t>ALTA</w:t>
      </w:r>
      <w:r w:rsidR="0014036C">
        <w:noBreakHyphen/>
      </w:r>
      <w:r>
        <w:t xml:space="preserve">1L </w:t>
      </w:r>
      <w:r w:rsidR="00D109BF">
        <w:t xml:space="preserve">trial </w:t>
      </w:r>
      <w:r>
        <w:t xml:space="preserve">has not been submitted for evaluation so, for the purpose of this submission, the top-line results from </w:t>
      </w:r>
      <w:r w:rsidR="00D109BF">
        <w:t>the ALTA</w:t>
      </w:r>
      <w:r>
        <w:t>-1L</w:t>
      </w:r>
      <w:r w:rsidR="00D109BF">
        <w:t xml:space="preserve"> trial</w:t>
      </w:r>
      <w:r>
        <w:t xml:space="preserve"> are considered supportive of </w:t>
      </w:r>
      <w:r w:rsidR="0014036C">
        <w:t>Study AP26113</w:t>
      </w:r>
      <w:r w:rsidR="0014036C">
        <w:noBreakHyphen/>
      </w:r>
      <w:r w:rsidR="00351BC8">
        <w:t>13-201 (</w:t>
      </w:r>
      <w:r>
        <w:t>ALTA</w:t>
      </w:r>
      <w:r w:rsidR="00D109BF">
        <w:t xml:space="preserve"> trial</w:t>
      </w:r>
      <w:r w:rsidR="00351BC8">
        <w:t>)</w:t>
      </w:r>
      <w:r w:rsidR="00EC6BF5">
        <w:t>.</w:t>
      </w:r>
    </w:p>
    <w:p w14:paraId="79B09457" w14:textId="77777777" w:rsidR="00931717" w:rsidRDefault="00931717" w:rsidP="00031146">
      <w:pPr>
        <w:pStyle w:val="Heading5"/>
      </w:pPr>
      <w:r>
        <w:t>Safety</w:t>
      </w:r>
    </w:p>
    <w:p w14:paraId="0637B6E2" w14:textId="77777777" w:rsidR="00EC6BF5" w:rsidRDefault="00931717" w:rsidP="00931717">
      <w:r>
        <w:t>The safety database for brigatinib is limited in terms of patient numbers and duration, but is considered adequate in the context of the disease morbidity and mortality</w:t>
      </w:r>
      <w:r w:rsidR="00EC6BF5">
        <w:t>.</w:t>
      </w:r>
    </w:p>
    <w:p w14:paraId="226FB786" w14:textId="2D8A11E7" w:rsidR="00931717" w:rsidRDefault="00931717" w:rsidP="00931717">
      <w:r>
        <w:t xml:space="preserve">Overall, brigatinib appears to be reasonably tolerated, with a discontinuation rate of 6.4% across the whole safety </w:t>
      </w:r>
      <w:r w:rsidR="00351BC8">
        <w:t xml:space="preserve">population and 10% in the 90 </w:t>
      </w:r>
      <w:r>
        <w:t>→</w:t>
      </w:r>
      <w:r w:rsidR="00351BC8">
        <w:t xml:space="preserve"> </w:t>
      </w:r>
      <w:r>
        <w:t>180</w:t>
      </w:r>
      <w:r w:rsidR="00BC01FB">
        <w:t xml:space="preserve"> mg daily</w:t>
      </w:r>
      <w:r>
        <w:t xml:space="preserve"> dose group of </w:t>
      </w:r>
      <w:r w:rsidR="00351BC8">
        <w:t>Study</w:t>
      </w:r>
      <w:r w:rsidR="00D109BF">
        <w:t> </w:t>
      </w:r>
      <w:r w:rsidR="00351BC8">
        <w:t>AP26113-13-201 (</w:t>
      </w:r>
      <w:r>
        <w:t>ALTA</w:t>
      </w:r>
      <w:r w:rsidR="00D109BF">
        <w:t xml:space="preserve"> trial</w:t>
      </w:r>
      <w:r w:rsidR="00351BC8">
        <w:t>)</w:t>
      </w:r>
      <w:r>
        <w:t>.</w:t>
      </w:r>
    </w:p>
    <w:p w14:paraId="32E044BB" w14:textId="685EF104" w:rsidR="00EC6BF5" w:rsidRDefault="00931717" w:rsidP="00931717">
      <w:r>
        <w:t xml:space="preserve">Early onset pulmonary events are a notable concern, occurring in 6% of patients in </w:t>
      </w:r>
      <w:r w:rsidR="0014036C">
        <w:t>Study </w:t>
      </w:r>
      <w:r w:rsidR="00351BC8">
        <w:t>AP26113-13-201</w:t>
      </w:r>
      <w:r>
        <w:t>.</w:t>
      </w:r>
      <w:r w:rsidR="00BC01FB">
        <w:t xml:space="preserve"> </w:t>
      </w:r>
      <w:r>
        <w:t>All of these events occurred at the 90</w:t>
      </w:r>
      <w:r w:rsidR="00BC01FB">
        <w:t xml:space="preserve"> mg daily</w:t>
      </w:r>
      <w:r>
        <w:t xml:space="preserve"> dosage, providing some</w:t>
      </w:r>
      <w:r w:rsidR="00351BC8">
        <w:t xml:space="preserve"> support for the proposed 90 </w:t>
      </w:r>
      <w:r>
        <w:t>→</w:t>
      </w:r>
      <w:r w:rsidR="00351BC8">
        <w:t xml:space="preserve"> </w:t>
      </w:r>
      <w:r>
        <w:t>180</w:t>
      </w:r>
      <w:r w:rsidR="00BC01FB">
        <w:t xml:space="preserve"> mg daily</w:t>
      </w:r>
      <w:r>
        <w:t xml:space="preserve"> dosing regimen.</w:t>
      </w:r>
      <w:r w:rsidR="00BC01FB">
        <w:t xml:space="preserve"> </w:t>
      </w:r>
      <w:r>
        <w:t xml:space="preserve">The risk of </w:t>
      </w:r>
      <w:r w:rsidR="005F4507">
        <w:t>early onset pulmonary events</w:t>
      </w:r>
      <w:r>
        <w:t xml:space="preserve"> appears to be higher in patients aged ≥ 65 years</w:t>
      </w:r>
      <w:r w:rsidR="00EC6BF5">
        <w:t>.</w:t>
      </w:r>
    </w:p>
    <w:p w14:paraId="60B9847C" w14:textId="7FE60B5A" w:rsidR="00931717" w:rsidRDefault="00931717" w:rsidP="00931717">
      <w:r>
        <w:lastRenderedPageBreak/>
        <w:t xml:space="preserve">Other notable safety issues including hypertension, bradycardia, vision disturbance, elevated </w:t>
      </w:r>
      <w:r w:rsidR="00351BC8">
        <w:t>CPK</w:t>
      </w:r>
      <w:r>
        <w:t>, peripheral neuropathy and elevated pancreatic enzym</w:t>
      </w:r>
      <w:r w:rsidR="00351BC8">
        <w:t>es have been addressed in S</w:t>
      </w:r>
      <w:r>
        <w:t>ection 4.4 of the draft PI.</w:t>
      </w:r>
      <w:r w:rsidR="00BC01FB">
        <w:t xml:space="preserve"> </w:t>
      </w:r>
      <w:r>
        <w:t>Elevations of hepatic enzymes were common, with the majority below CTCAE Grade 3.</w:t>
      </w:r>
      <w:r w:rsidR="00BC01FB">
        <w:t xml:space="preserve"> </w:t>
      </w:r>
      <w:r>
        <w:t xml:space="preserve">Elevation of hepatic enzymes has been included in the </w:t>
      </w:r>
      <w:r w:rsidR="00D109BF">
        <w:t>EU’s</w:t>
      </w:r>
      <w:r w:rsidR="00351BC8">
        <w:t xml:space="preserve"> Summary of Product Characteristics (</w:t>
      </w:r>
      <w:r>
        <w:t>SmPC</w:t>
      </w:r>
      <w:r w:rsidR="00351BC8">
        <w:t>)</w:t>
      </w:r>
      <w:r>
        <w:t xml:space="preserve"> on the basis that safety data for brigatinib are limited and hepatotoxicity is a known safety concern with other ALK inhibitors.</w:t>
      </w:r>
      <w:r w:rsidR="00BC01FB">
        <w:t xml:space="preserve"> </w:t>
      </w:r>
      <w:r w:rsidR="005F4507">
        <w:t>Similar guidance regarding e</w:t>
      </w:r>
      <w:r>
        <w:t>levation of hepatic enzymes should be added to the Australian PI.</w:t>
      </w:r>
    </w:p>
    <w:p w14:paraId="481C7EFC" w14:textId="0FD8C763" w:rsidR="00931717" w:rsidRDefault="00931717" w:rsidP="00931717">
      <w:r>
        <w:t xml:space="preserve">Brigatinib can cause serious/severe toxicities and there are residual uncertainties relating to the limited safety dataset, but these risks are considered acceptable given the nature of the disease and the durable responses observed in </w:t>
      </w:r>
      <w:r w:rsidR="00351BC8">
        <w:t>Study AP26113-13-201</w:t>
      </w:r>
      <w:r>
        <w:t>.</w:t>
      </w:r>
      <w:r w:rsidR="00BC01FB">
        <w:t xml:space="preserve"> </w:t>
      </w:r>
      <w:r w:rsidR="00351BC8">
        <w:t>Treatment</w:t>
      </w:r>
      <w:r w:rsidR="00351BC8">
        <w:noBreakHyphen/>
      </w:r>
      <w:r>
        <w:t>related toxicities are generally manageable with supportive care and/or dose adjustments.</w:t>
      </w:r>
    </w:p>
    <w:p w14:paraId="08405FA5" w14:textId="77777777" w:rsidR="00931717" w:rsidRDefault="00931717" w:rsidP="00931717">
      <w:r>
        <w:t>The limited size and duration of the safety database means that uncommon or rare events may not have been identified.</w:t>
      </w:r>
      <w:r w:rsidR="00BC01FB">
        <w:t xml:space="preserve"> </w:t>
      </w:r>
      <w:r>
        <w:t xml:space="preserve">The ongoing Phase </w:t>
      </w:r>
      <w:r w:rsidR="005F4507">
        <w:t>III</w:t>
      </w:r>
      <w:r>
        <w:t xml:space="preserve"> study will further inform the safety profile of brigatinib.</w:t>
      </w:r>
    </w:p>
    <w:p w14:paraId="28A1E51B" w14:textId="77777777" w:rsidR="00931717" w:rsidRDefault="00931717" w:rsidP="00031146">
      <w:pPr>
        <w:pStyle w:val="Heading5"/>
      </w:pPr>
      <w:r>
        <w:t>Dosing</w:t>
      </w:r>
    </w:p>
    <w:p w14:paraId="65DEFE12" w14:textId="191C0DE2" w:rsidR="00EC6BF5" w:rsidRDefault="00931717" w:rsidP="00931717">
      <w:r>
        <w:t xml:space="preserve">Clinical findings from </w:t>
      </w:r>
      <w:r w:rsidR="00351BC8">
        <w:t>Study AP26113-13-201 (</w:t>
      </w:r>
      <w:r w:rsidR="00D109BF">
        <w:t xml:space="preserve">the </w:t>
      </w:r>
      <w:r w:rsidR="00351BC8">
        <w:t>ALTA</w:t>
      </w:r>
      <w:r w:rsidR="00D109BF">
        <w:t xml:space="preserve"> trial</w:t>
      </w:r>
      <w:r w:rsidR="00351BC8">
        <w:t>)</w:t>
      </w:r>
      <w:r>
        <w:t xml:space="preserve"> </w:t>
      </w:r>
      <w:r w:rsidR="00351BC8">
        <w:t>support the proposed 90</w:t>
      </w:r>
      <w:r w:rsidR="00D109BF">
        <w:t> </w:t>
      </w:r>
      <w:r>
        <w:t>→</w:t>
      </w:r>
      <w:r w:rsidR="00D109BF">
        <w:t> </w:t>
      </w:r>
      <w:r>
        <w:t>180</w:t>
      </w:r>
      <w:r w:rsidR="00BC01FB">
        <w:t xml:space="preserve"> mg daily</w:t>
      </w:r>
      <w:r>
        <w:t xml:space="preserve"> dosage</w:t>
      </w:r>
      <w:r w:rsidR="00D109BF">
        <w:t xml:space="preserve"> regimen</w:t>
      </w:r>
      <w:r>
        <w:t>.</w:t>
      </w:r>
      <w:r w:rsidR="00BC01FB">
        <w:t xml:space="preserve"> </w:t>
      </w:r>
      <w:r w:rsidR="00031146">
        <w:t xml:space="preserve">The </w:t>
      </w:r>
      <w:r w:rsidR="00351BC8">
        <w:t>ORR</w:t>
      </w:r>
      <w:r w:rsidR="00031146">
        <w:t xml:space="preserve"> </w:t>
      </w:r>
      <w:r>
        <w:t>was numericall</w:t>
      </w:r>
      <w:r w:rsidR="00351BC8">
        <w:t>y higher for the proposed 90</w:t>
      </w:r>
      <w:r w:rsidR="00D109BF">
        <w:t> </w:t>
      </w:r>
      <w:r>
        <w:t>→</w:t>
      </w:r>
      <w:r w:rsidR="00D109BF">
        <w:t> </w:t>
      </w:r>
      <w:r>
        <w:t>180</w:t>
      </w:r>
      <w:r w:rsidR="00BC01FB">
        <w:t xml:space="preserve"> mg daily</w:t>
      </w:r>
      <w:r>
        <w:t xml:space="preserve"> dosing regimen compared to 90 mg </w:t>
      </w:r>
      <w:r w:rsidR="00351BC8">
        <w:t>QD</w:t>
      </w:r>
      <w:r>
        <w:t>.</w:t>
      </w:r>
      <w:r w:rsidR="00BC01FB">
        <w:t xml:space="preserve"> </w:t>
      </w:r>
      <w:r>
        <w:t xml:space="preserve">Intracranial </w:t>
      </w:r>
      <w:r w:rsidR="00351BC8">
        <w:t>ORR</w:t>
      </w:r>
      <w:r>
        <w:t xml:space="preserve"> data and </w:t>
      </w:r>
      <w:r w:rsidR="00031146">
        <w:t>progression free survival</w:t>
      </w:r>
      <w:r>
        <w:t xml:space="preserve"> data from </w:t>
      </w:r>
      <w:r w:rsidR="00C37DF6">
        <w:t>Study AP26113-13-201</w:t>
      </w:r>
      <w:r>
        <w:t xml:space="preserve"> we</w:t>
      </w:r>
      <w:r w:rsidR="00C37DF6">
        <w:t>re also supportive of the 90</w:t>
      </w:r>
      <w:r w:rsidR="00D109BF">
        <w:t> </w:t>
      </w:r>
      <w:r>
        <w:t>→</w:t>
      </w:r>
      <w:r w:rsidR="00D109BF">
        <w:t> </w:t>
      </w:r>
      <w:r>
        <w:t>180 mg dosage</w:t>
      </w:r>
      <w:r w:rsidR="00C37DF6">
        <w:t xml:space="preserve"> regimen</w:t>
      </w:r>
      <w:r w:rsidR="00EC6BF5">
        <w:t>.</w:t>
      </w:r>
    </w:p>
    <w:p w14:paraId="36C5DA65" w14:textId="161946EA" w:rsidR="00931717" w:rsidRDefault="00C37DF6" w:rsidP="00931717">
      <w:r>
        <w:t xml:space="preserve">The 90 </w:t>
      </w:r>
      <w:r w:rsidR="00931717">
        <w:t>→</w:t>
      </w:r>
      <w:r>
        <w:t xml:space="preserve"> </w:t>
      </w:r>
      <w:r w:rsidR="00931717">
        <w:t>180</w:t>
      </w:r>
      <w:r w:rsidR="00BC01FB">
        <w:t xml:space="preserve"> mg daily</w:t>
      </w:r>
      <w:r w:rsidR="00931717">
        <w:t xml:space="preserve"> dosage was proposed in response to the identified risk of </w:t>
      </w:r>
      <w:r w:rsidR="00031146">
        <w:t>early onset pulmonary event</w:t>
      </w:r>
      <w:r w:rsidR="00931717">
        <w:t>s.</w:t>
      </w:r>
      <w:r w:rsidR="00BC01FB">
        <w:t xml:space="preserve"> </w:t>
      </w:r>
      <w:r>
        <w:t>Study AP26113-13-201</w:t>
      </w:r>
      <w:r w:rsidR="00931717">
        <w:t xml:space="preserve"> did not show an increased risk of </w:t>
      </w:r>
      <w:r w:rsidR="00031146">
        <w:t>early onset pulmonary events</w:t>
      </w:r>
      <w:r w:rsidR="00931717">
        <w:t xml:space="preserve"> when progressing from 90 mg to 180</w:t>
      </w:r>
      <w:r w:rsidR="00BC01FB">
        <w:t xml:space="preserve"> mg daily</w:t>
      </w:r>
      <w:r w:rsidR="00931717">
        <w:t>.</w:t>
      </w:r>
      <w:r w:rsidR="00BC01FB">
        <w:t xml:space="preserve"> </w:t>
      </w:r>
      <w:r w:rsidR="00931717">
        <w:t xml:space="preserve">The higher dosage was associated with a higher rate of treatment discontinuations and </w:t>
      </w:r>
      <w:r w:rsidR="00031146">
        <w:t xml:space="preserve">treatment emergent </w:t>
      </w:r>
      <w:r w:rsidR="00931717">
        <w:t xml:space="preserve">AEs of Grade 3 or higher, but this is considered acceptable in the context of the seriousness of the disease and the response rates demonstrated in </w:t>
      </w:r>
      <w:r>
        <w:t>Study</w:t>
      </w:r>
      <w:r w:rsidR="00D109BF">
        <w:t> </w:t>
      </w:r>
      <w:r>
        <w:t>AP26113</w:t>
      </w:r>
      <w:r w:rsidR="00D109BF">
        <w:noBreakHyphen/>
      </w:r>
      <w:r>
        <w:t>13</w:t>
      </w:r>
      <w:r w:rsidR="00D109BF">
        <w:noBreakHyphen/>
      </w:r>
      <w:r>
        <w:t>201</w:t>
      </w:r>
      <w:r w:rsidR="00931717">
        <w:t>.</w:t>
      </w:r>
    </w:p>
    <w:p w14:paraId="5F583712" w14:textId="77777777" w:rsidR="00931717" w:rsidRDefault="00931717" w:rsidP="00031146">
      <w:pPr>
        <w:pStyle w:val="Heading5"/>
      </w:pPr>
      <w:r>
        <w:t>Deficiencies of the data</w:t>
      </w:r>
    </w:p>
    <w:p w14:paraId="56459A55" w14:textId="2876D856" w:rsidR="00931717" w:rsidRDefault="00931717" w:rsidP="00931717">
      <w:r>
        <w:t>The lack of direct comparative data limits the conclusions that can be drawn regarding the efficacy and safety of brigatinib.</w:t>
      </w:r>
      <w:r w:rsidR="00BC01FB">
        <w:t xml:space="preserve"> </w:t>
      </w:r>
      <w:r>
        <w:t xml:space="preserve">Preliminary results from the </w:t>
      </w:r>
      <w:r w:rsidR="00031146">
        <w:t>P</w:t>
      </w:r>
      <w:r>
        <w:t xml:space="preserve">hase </w:t>
      </w:r>
      <w:r w:rsidR="00031146">
        <w:t>III</w:t>
      </w:r>
      <w:r w:rsidR="00D109BF">
        <w:t xml:space="preserve"> </w:t>
      </w:r>
      <w:r>
        <w:t>ALTA</w:t>
      </w:r>
      <w:r w:rsidR="00D109BF">
        <w:noBreakHyphen/>
      </w:r>
      <w:r>
        <w:t>1L</w:t>
      </w:r>
      <w:r w:rsidR="00D109BF">
        <w:t> trial</w:t>
      </w:r>
      <w:r>
        <w:t xml:space="preserve"> (</w:t>
      </w:r>
      <w:r w:rsidR="00C37DF6">
        <w:t xml:space="preserve">Study </w:t>
      </w:r>
      <w:r>
        <w:t>AP26113-13-301) comparing brigatinib to crizotinib in patients with ALK</w:t>
      </w:r>
      <w:r w:rsidR="00BC2126">
        <w:t>+</w:t>
      </w:r>
      <w:r>
        <w:t xml:space="preserve"> NSCLC are promising but the clinical study report has not yet been evaluated.</w:t>
      </w:r>
      <w:r w:rsidR="00BC01FB">
        <w:t xml:space="preserve"> </w:t>
      </w:r>
      <w:r>
        <w:t>The results of this study will further inform the efficacy and safety of brigatinib.</w:t>
      </w:r>
      <w:r w:rsidR="00BC01FB">
        <w:t xml:space="preserve"> </w:t>
      </w:r>
      <w:r>
        <w:t xml:space="preserve">The primary outcome is </w:t>
      </w:r>
      <w:r w:rsidR="00031146">
        <w:t>progression free survival</w:t>
      </w:r>
      <w:r>
        <w:t xml:space="preserve"> assessed by blinded </w:t>
      </w:r>
      <w:r w:rsidR="00C37DF6">
        <w:t>ICR</w:t>
      </w:r>
      <w:r>
        <w:t>.</w:t>
      </w:r>
      <w:r w:rsidR="00BC01FB">
        <w:t xml:space="preserve"> </w:t>
      </w:r>
      <w:r>
        <w:t>The planned primary completion date is mid-2019.</w:t>
      </w:r>
    </w:p>
    <w:p w14:paraId="473EA531" w14:textId="2816DE2B" w:rsidR="00931717" w:rsidRDefault="00931717" w:rsidP="00931717">
      <w:r>
        <w:t xml:space="preserve">The majority of patients in </w:t>
      </w:r>
      <w:r w:rsidR="00C37DF6">
        <w:t>Study AP26113-13-201</w:t>
      </w:r>
      <w:r>
        <w:t xml:space="preserve"> had </w:t>
      </w:r>
      <w:r w:rsidR="00031146">
        <w:t>S</w:t>
      </w:r>
      <w:r>
        <w:t>tage IV disease (97.7% overall</w:t>
      </w:r>
      <w:r w:rsidR="00031146">
        <w:t>, 98.2% in Arm B), so data for S</w:t>
      </w:r>
      <w:r>
        <w:t>tage III disease are very limited.</w:t>
      </w:r>
    </w:p>
    <w:p w14:paraId="49541B5F" w14:textId="77777777" w:rsidR="00EC6BF5" w:rsidRDefault="00931717" w:rsidP="00931717">
      <w:r>
        <w:t>There are no efficacy or safety data in patients with hepatic impairment or severe renal impairment</w:t>
      </w:r>
      <w:r w:rsidR="00EC6BF5">
        <w:t>.</w:t>
      </w:r>
    </w:p>
    <w:p w14:paraId="3AAAEBCC" w14:textId="77777777" w:rsidR="00931717" w:rsidRDefault="00931717" w:rsidP="00031146">
      <w:pPr>
        <w:pStyle w:val="Heading5"/>
      </w:pPr>
      <w:r>
        <w:t>Conclusion</w:t>
      </w:r>
    </w:p>
    <w:p w14:paraId="4A24B43F" w14:textId="0A83616D" w:rsidR="00EC6BF5" w:rsidRDefault="00931717" w:rsidP="00931717">
      <w:r>
        <w:t xml:space="preserve">With regard to clinical data, </w:t>
      </w:r>
      <w:r w:rsidR="00C37DF6">
        <w:t>Study AP26113-13-201</w:t>
      </w:r>
      <w:r>
        <w:t xml:space="preserve"> demonstrated clinically meaningful and durable tumour responses in patients with advanced (predomina</w:t>
      </w:r>
      <w:r w:rsidR="00C37DF6">
        <w:t>ntly S</w:t>
      </w:r>
      <w:r>
        <w:t>tage IV) ALK+ NSCLC previously treated with crizotinib.</w:t>
      </w:r>
      <w:r w:rsidR="00BC01FB">
        <w:t xml:space="preserve"> </w:t>
      </w:r>
      <w:r>
        <w:t>Intracranial responses were also promising.</w:t>
      </w:r>
      <w:r w:rsidR="00BC01FB">
        <w:t xml:space="preserve"> </w:t>
      </w:r>
      <w:r>
        <w:t xml:space="preserve">There is some residual uncertainty regarding the clinical benefit of brigatinib relative to approved therapies for advanced ALK+ NSCLC due to a lack of direct comparative data; however, considering the nature of the disease and the supportive evidence from the </w:t>
      </w:r>
      <w:r>
        <w:lastRenderedPageBreak/>
        <w:t xml:space="preserve">indirect comparisons and the preliminary results from the </w:t>
      </w:r>
      <w:r w:rsidR="00031146">
        <w:t>P</w:t>
      </w:r>
      <w:r>
        <w:t xml:space="preserve">hase </w:t>
      </w:r>
      <w:r w:rsidR="00031146">
        <w:t>III</w:t>
      </w:r>
      <w:r>
        <w:t xml:space="preserve"> study, the response rates observed in </w:t>
      </w:r>
      <w:r w:rsidR="00C37DF6">
        <w:t>Study AP26113-13-201</w:t>
      </w:r>
      <w:r>
        <w:t xml:space="preserve"> are considered likely to predict clinical benefit</w:t>
      </w:r>
      <w:r w:rsidR="00EC6BF5">
        <w:t>.</w:t>
      </w:r>
    </w:p>
    <w:p w14:paraId="7D23A522" w14:textId="77777777" w:rsidR="00EC6BF5" w:rsidRDefault="00931717" w:rsidP="00931717">
      <w:r>
        <w:t>There are substantial safety risks with brigatinib treatment, but these can generally be managed with appropriate clinical monitoring, supportive treatment and/or dose modifications</w:t>
      </w:r>
      <w:r w:rsidR="00EC6BF5">
        <w:t>.</w:t>
      </w:r>
    </w:p>
    <w:p w14:paraId="5B82F7CB" w14:textId="77777777" w:rsidR="00D23139" w:rsidRDefault="00D23139" w:rsidP="00D23139">
      <w:pPr>
        <w:pStyle w:val="Heading4"/>
      </w:pPr>
      <w:r w:rsidRPr="00D23139">
        <w:t>Proposed action</w:t>
      </w:r>
    </w:p>
    <w:p w14:paraId="4A691D0F" w14:textId="569BB887" w:rsidR="00931717" w:rsidRDefault="00931717" w:rsidP="00931717">
      <w:r>
        <w:t>In assessing this application for registration, it is relevant to note that provisional registration was not available at the time that the application for registration was submitted.</w:t>
      </w:r>
      <w:r w:rsidR="00BC01FB">
        <w:t xml:space="preserve"> </w:t>
      </w:r>
      <w:r>
        <w:t xml:space="preserve">It is also noted that the Phase </w:t>
      </w:r>
      <w:r w:rsidR="00031146">
        <w:t>III</w:t>
      </w:r>
      <w:r w:rsidR="00C37DF6">
        <w:t xml:space="preserve"> </w:t>
      </w:r>
      <w:r>
        <w:t>ALTA-1L</w:t>
      </w:r>
      <w:r w:rsidR="00754B87">
        <w:t xml:space="preserve"> trial</w:t>
      </w:r>
      <w:r>
        <w:t xml:space="preserve"> is in progress and will provide further data on the efficacy and safety of brigatinib.</w:t>
      </w:r>
    </w:p>
    <w:p w14:paraId="3D8C9B05" w14:textId="50771F01" w:rsidR="00EC6BF5" w:rsidRDefault="00931717" w:rsidP="00931717">
      <w:r>
        <w:t xml:space="preserve">The benefit-risk of brigatinib is considered favourable based on the durable </w:t>
      </w:r>
      <w:r w:rsidR="004349D5">
        <w:t>ORR</w:t>
      </w:r>
      <w:r w:rsidR="00031146">
        <w:t xml:space="preserve"> rate</w:t>
      </w:r>
      <w:r>
        <w:t xml:space="preserve"> in </w:t>
      </w:r>
      <w:r w:rsidR="004349D5">
        <w:t>Study AP26113-13-201 (</w:t>
      </w:r>
      <w:r>
        <w:t>ALTA</w:t>
      </w:r>
      <w:r w:rsidR="00754B87">
        <w:t xml:space="preserve"> trial</w:t>
      </w:r>
      <w:r w:rsidR="004349D5">
        <w:t>)</w:t>
      </w:r>
      <w:r>
        <w:t xml:space="preserve"> and the observed safety profile.</w:t>
      </w:r>
      <w:r w:rsidR="00BC01FB">
        <w:t xml:space="preserve"> </w:t>
      </w:r>
      <w:r>
        <w:t xml:space="preserve">The proposed indication should specify that the decision to register this medicine has been made on the basis of </w:t>
      </w:r>
      <w:r w:rsidR="004349D5">
        <w:t>ORR</w:t>
      </w:r>
      <w:r>
        <w:t xml:space="preserve"> and duration of response in a non-comparative study, and that the sponsor is required to submit further clinical data to confirm the efficacy and safety of brigatinib.</w:t>
      </w:r>
      <w:r w:rsidR="00BC01FB">
        <w:t xml:space="preserve"> </w:t>
      </w:r>
      <w:r>
        <w:t xml:space="preserve">These changes are necessary because the assessment of efficacy in this submission is based primarily on tumour response in a non-comparative study, with supportive evidence from indirect comparisons and preliminary results from the </w:t>
      </w:r>
      <w:r w:rsidR="00031146">
        <w:t>P</w:t>
      </w:r>
      <w:r>
        <w:t xml:space="preserve">hase </w:t>
      </w:r>
      <w:r w:rsidR="00031146">
        <w:t>III</w:t>
      </w:r>
      <w:r>
        <w:t xml:space="preserve"> study</w:t>
      </w:r>
      <w:r w:rsidR="00EC6BF5">
        <w:t>.</w:t>
      </w:r>
    </w:p>
    <w:p w14:paraId="5623EF19" w14:textId="77777777" w:rsidR="00D23139" w:rsidRDefault="00A22D57" w:rsidP="00D23139">
      <w:pPr>
        <w:pStyle w:val="Heading4"/>
      </w:pPr>
      <w:r>
        <w:t>Request for AC</w:t>
      </w:r>
      <w:r w:rsidR="00D23139" w:rsidRPr="00D23139">
        <w:t>M advice</w:t>
      </w:r>
    </w:p>
    <w:p w14:paraId="3B987B95" w14:textId="1DD32C95" w:rsidR="00456765" w:rsidRPr="00456765" w:rsidRDefault="00931717" w:rsidP="00456765">
      <w:r>
        <w:t xml:space="preserve">At this stage, there are no outstanding questions requiring expert advice, so </w:t>
      </w:r>
      <w:r w:rsidR="004349D5">
        <w:t>the Delegate does</w:t>
      </w:r>
      <w:r>
        <w:t xml:space="preserve"> not propose to seek advice from </w:t>
      </w:r>
      <w:r w:rsidR="00754B87">
        <w:t>Advisory Committee on Medicines (</w:t>
      </w:r>
      <w:r>
        <w:t>ACM</w:t>
      </w:r>
      <w:r w:rsidR="00754B87">
        <w:t>)</w:t>
      </w:r>
      <w:r>
        <w:t>.</w:t>
      </w:r>
    </w:p>
    <w:p w14:paraId="63C9D360" w14:textId="77777777" w:rsidR="008E7846" w:rsidRDefault="008E7846" w:rsidP="008E7846">
      <w:pPr>
        <w:pStyle w:val="Heading4"/>
      </w:pPr>
      <w:r>
        <w:t>Advisory Committee Considerations</w:t>
      </w:r>
      <w:r w:rsidR="00456765">
        <w:rPr>
          <w:rStyle w:val="FootnoteReference"/>
        </w:rPr>
        <w:footnoteReference w:id="16"/>
      </w:r>
    </w:p>
    <w:p w14:paraId="50BEF852" w14:textId="7E2EED6A" w:rsidR="00456765" w:rsidRPr="00A322B3" w:rsidRDefault="00456765" w:rsidP="008E7846">
      <w:r>
        <w:rPr>
          <w:bCs/>
        </w:rPr>
        <w:t>The Delegate did not refer this application to the ACM for advice.</w:t>
      </w:r>
    </w:p>
    <w:p w14:paraId="49493196" w14:textId="77777777" w:rsidR="008E7846" w:rsidRPr="002E238E" w:rsidRDefault="008E7846" w:rsidP="008E7846">
      <w:pPr>
        <w:pStyle w:val="Heading3"/>
      </w:pPr>
      <w:bookmarkStart w:id="58" w:name="_Toc247691532"/>
      <w:bookmarkStart w:id="59" w:name="_Toc314842516"/>
      <w:bookmarkStart w:id="60" w:name="_Toc35853850"/>
      <w:bookmarkEnd w:id="30"/>
      <w:bookmarkEnd w:id="55"/>
      <w:bookmarkEnd w:id="56"/>
      <w:r>
        <w:t>Outcome</w:t>
      </w:r>
      <w:bookmarkEnd w:id="58"/>
      <w:bookmarkEnd w:id="59"/>
      <w:bookmarkEnd w:id="60"/>
    </w:p>
    <w:p w14:paraId="1800327E" w14:textId="071FE1F5" w:rsidR="00D23139" w:rsidRPr="00D23139" w:rsidRDefault="00D23139" w:rsidP="00D23139">
      <w:bookmarkStart w:id="61" w:name="_Toc247691533"/>
      <w:bookmarkStart w:id="62" w:name="_Toc314842517"/>
      <w:r w:rsidRPr="00D23139">
        <w:t xml:space="preserve">Based on a review of quality, safety and efficacy, </w:t>
      </w:r>
      <w:r w:rsidR="00754B87">
        <w:t xml:space="preserve">the </w:t>
      </w:r>
      <w:r w:rsidRPr="00D23139">
        <w:t xml:space="preserve">TGA approved the registration of </w:t>
      </w:r>
      <w:r w:rsidR="001C65A2">
        <w:t xml:space="preserve">Alunbrig </w:t>
      </w:r>
      <w:r w:rsidR="004349D5">
        <w:t>(</w:t>
      </w:r>
      <w:r w:rsidR="001C65A2">
        <w:t>brigatinib</w:t>
      </w:r>
      <w:r w:rsidR="004349D5">
        <w:t>)</w:t>
      </w:r>
      <w:r w:rsidR="001C65A2">
        <w:t xml:space="preserve"> film coated tablets</w:t>
      </w:r>
      <w:r w:rsidRPr="00D23139">
        <w:t xml:space="preserve"> </w:t>
      </w:r>
      <w:r w:rsidR="001C65A2">
        <w:t>30 mg, 90 mg or 180 mg</w:t>
      </w:r>
      <w:r w:rsidRPr="00D23139">
        <w:t>, indicated for:</w:t>
      </w:r>
    </w:p>
    <w:p w14:paraId="5A9DCDEF" w14:textId="77777777" w:rsidR="00EC6BF5" w:rsidRDefault="00931EE1" w:rsidP="00931EE1">
      <w:pPr>
        <w:ind w:left="720"/>
        <w:rPr>
          <w:rFonts w:eastAsia="MS Mincho"/>
          <w:i/>
          <w:lang w:eastAsia="ja-JP"/>
        </w:rPr>
      </w:pPr>
      <w:r w:rsidRPr="00931EE1">
        <w:rPr>
          <w:rFonts w:eastAsia="MS Mincho"/>
          <w:i/>
          <w:lang w:eastAsia="ja-JP"/>
        </w:rPr>
        <w:t>Alunbrig is indicated for the treatment of adult patients with anaplastic lymphoma kinase (ALK)-positive advanced non-small cell lung cancer (NSCLC) previously treated with crizotinib</w:t>
      </w:r>
      <w:r w:rsidR="00EC6BF5">
        <w:rPr>
          <w:rFonts w:eastAsia="MS Mincho"/>
          <w:i/>
          <w:lang w:eastAsia="ja-JP"/>
        </w:rPr>
        <w:t>.</w:t>
      </w:r>
    </w:p>
    <w:p w14:paraId="72F23292" w14:textId="77777777" w:rsidR="00D23139" w:rsidRPr="00931EE1" w:rsidRDefault="00931EE1" w:rsidP="00931EE1">
      <w:pPr>
        <w:ind w:left="720"/>
        <w:rPr>
          <w:i/>
        </w:rPr>
      </w:pPr>
      <w:r w:rsidRPr="00931EE1">
        <w:rPr>
          <w:rFonts w:eastAsia="MS Mincho"/>
          <w:i/>
          <w:lang w:eastAsia="ja-JP"/>
        </w:rPr>
        <w:t>The approval of this medicine is based on objective response rate and duration of response in a non-comparative study.</w:t>
      </w:r>
    </w:p>
    <w:p w14:paraId="508B08B1" w14:textId="77777777" w:rsidR="00D23139" w:rsidRPr="00D23139" w:rsidRDefault="00D23139" w:rsidP="00D23139">
      <w:pPr>
        <w:pStyle w:val="Heading4"/>
      </w:pPr>
      <w:r w:rsidRPr="00D23139">
        <w:lastRenderedPageBreak/>
        <w:t>Specific conditions of registration applying to these goods</w:t>
      </w:r>
    </w:p>
    <w:p w14:paraId="229CD015" w14:textId="101DA430" w:rsidR="004349D5" w:rsidRDefault="004349D5" w:rsidP="004349D5">
      <w:pPr>
        <w:pStyle w:val="ListBullet"/>
      </w:pPr>
      <w:r>
        <w:t>Alunbrig (brigatinib) is to be included in the Black Triangle Scheme. The PI and CMI for Alunbrig must include the black triangle symbol and mandatory accompanying text for five years, which starts from the date that the sponsor notifies the TGA of supply of the product.</w:t>
      </w:r>
    </w:p>
    <w:p w14:paraId="4C0760B0" w14:textId="0FE745A4" w:rsidR="004349D5" w:rsidRDefault="004349D5" w:rsidP="004349D5">
      <w:pPr>
        <w:pStyle w:val="ListBullet"/>
      </w:pPr>
      <w:r>
        <w:t>The Alunbrig (brigatinib) EU-RMP (version 4.3, dated 19 June 2018, DLP 31 May 2016), with ASA (October 2018), included with submission PM-2018-00586-1-4, and any subsequent revisions, as agreed with the TGA will be implemented in Australia.</w:t>
      </w:r>
    </w:p>
    <w:p w14:paraId="547E2826" w14:textId="3DC8F356" w:rsidR="004349D5" w:rsidRDefault="004349D5" w:rsidP="004349D5">
      <w:pPr>
        <w:pStyle w:val="ListBullet"/>
        <w:numPr>
          <w:ilvl w:val="0"/>
          <w:numId w:val="0"/>
        </w:numPr>
        <w:ind w:left="360"/>
      </w:pPr>
      <w:r>
        <w:t>An obligatory component of risk management plans is routine pharmacovigilance. Routine pharmacovigilance includes the submission of periodic safety update reports (PSURs). Reports are to be provided in line with the current published list of EU reference dates and frequency of submission of PSURs until the period covered by such reports is not less than three years from the date of the approval letter.</w:t>
      </w:r>
    </w:p>
    <w:p w14:paraId="612C06A1" w14:textId="1FE2382D" w:rsidR="004349D5" w:rsidRDefault="004349D5" w:rsidP="004349D5">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00D95FAC" w14:textId="0A235A70" w:rsidR="00874DC3" w:rsidRPr="00874DC3" w:rsidRDefault="00874DC3" w:rsidP="004349D5">
      <w:pPr>
        <w:pStyle w:val="ListBullet"/>
      </w:pPr>
      <w:r w:rsidRPr="00874DC3">
        <w:t xml:space="preserve">Submit the clinical study report for the </w:t>
      </w:r>
      <w:r>
        <w:t>P</w:t>
      </w:r>
      <w:r w:rsidRPr="00874DC3">
        <w:t xml:space="preserve">hase </w:t>
      </w:r>
      <w:r>
        <w:t>III</w:t>
      </w:r>
      <w:r w:rsidR="004349D5">
        <w:t xml:space="preserve"> S</w:t>
      </w:r>
      <w:r w:rsidRPr="00874DC3">
        <w:t>tudy ALTA-1L when available.</w:t>
      </w:r>
    </w:p>
    <w:p w14:paraId="2E37F625" w14:textId="72C351C5" w:rsidR="00874DC3" w:rsidRPr="00874DC3" w:rsidRDefault="00874DC3" w:rsidP="004349D5">
      <w:pPr>
        <w:pStyle w:val="ListBullet"/>
      </w:pPr>
      <w:r w:rsidRPr="00874DC3">
        <w:t xml:space="preserve">Batches of brigatinib drug substance which are used to make batches of </w:t>
      </w:r>
      <w:r w:rsidR="004349D5" w:rsidRPr="00874DC3">
        <w:t>Alunbrig</w:t>
      </w:r>
      <w:r w:rsidRPr="00874DC3">
        <w:t xml:space="preserve"> tablets</w:t>
      </w:r>
      <w:r>
        <w:t xml:space="preserve"> </w:t>
      </w:r>
      <w:r w:rsidRPr="00874DC3">
        <w:t>supplied in Australia must meet a limit for Residue on Ignition of not more than 0.15% w/w.</w:t>
      </w:r>
    </w:p>
    <w:p w14:paraId="33EAA6CF" w14:textId="71387C9E" w:rsidR="00EC6BF5" w:rsidRDefault="00874DC3" w:rsidP="004349D5">
      <w:pPr>
        <w:pStyle w:val="ListBullet"/>
        <w:numPr>
          <w:ilvl w:val="0"/>
          <w:numId w:val="0"/>
        </w:numPr>
        <w:ind w:left="360"/>
      </w:pPr>
      <w:r w:rsidRPr="00874DC3">
        <w:t xml:space="preserve">Batches of brigatinib drug substance which are used to make batches of </w:t>
      </w:r>
      <w:r w:rsidR="004349D5" w:rsidRPr="00874DC3">
        <w:t>Alunbrig</w:t>
      </w:r>
      <w:r w:rsidRPr="00874DC3">
        <w:t xml:space="preserve"> tablets</w:t>
      </w:r>
      <w:r>
        <w:t xml:space="preserve"> </w:t>
      </w:r>
      <w:r w:rsidRPr="00874DC3">
        <w:t>supplied in Australia must have an assay in the range 98.0 to 102.0% w/w (anhydrous and</w:t>
      </w:r>
      <w:r>
        <w:t xml:space="preserve"> </w:t>
      </w:r>
      <w:r w:rsidRPr="00874DC3">
        <w:t>solvent free)</w:t>
      </w:r>
      <w:r w:rsidR="00EC6BF5">
        <w:t>.</w:t>
      </w:r>
    </w:p>
    <w:p w14:paraId="4C0E2F79" w14:textId="77777777" w:rsidR="008E7846" w:rsidRDefault="00A80B5B" w:rsidP="00874DC3">
      <w:pPr>
        <w:pStyle w:val="Heading2"/>
      </w:pPr>
      <w:bookmarkStart w:id="63" w:name="_Toc35853851"/>
      <w:r>
        <w:t xml:space="preserve">Attachment 1. </w:t>
      </w:r>
      <w:r w:rsidR="008E7846">
        <w:t xml:space="preserve">Product </w:t>
      </w:r>
      <w:r w:rsidR="00AA0ED0">
        <w:t>I</w:t>
      </w:r>
      <w:r w:rsidR="008E7846">
        <w:t>nformation</w:t>
      </w:r>
      <w:bookmarkEnd w:id="61"/>
      <w:bookmarkEnd w:id="62"/>
      <w:bookmarkEnd w:id="63"/>
    </w:p>
    <w:p w14:paraId="5740161A" w14:textId="32A81622" w:rsidR="00EC6BF5" w:rsidRDefault="006136D7" w:rsidP="00C80137">
      <w:r w:rsidRPr="002B3624">
        <w:t xml:space="preserve">The </w:t>
      </w:r>
      <w:r>
        <w:t>PI</w:t>
      </w:r>
      <w:r w:rsidRPr="002B3624">
        <w:t xml:space="preserve"> for </w:t>
      </w:r>
      <w:r w:rsidR="004349D5">
        <w:t>Alunbrig</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0" w:history="1">
        <w:r w:rsidR="007C6B9B" w:rsidRPr="007C6B9B">
          <w:rPr>
            <w:rStyle w:val="Hyperlink"/>
          </w:rPr>
          <w:t>https://www.tga.gov.au/product-information-pi</w:t>
        </w:r>
      </w:hyperlink>
      <w:r w:rsidR="007C6B9B" w:rsidRPr="007C6B9B">
        <w:t>&gt;</w:t>
      </w:r>
      <w:r w:rsidR="00EC6BF5">
        <w:t>.</w:t>
      </w:r>
    </w:p>
    <w:p w14:paraId="509CBD35" w14:textId="77777777" w:rsidR="00291957" w:rsidRDefault="00291957" w:rsidP="000A1C8A">
      <w:pPr>
        <w:autoSpaceDE w:val="0"/>
        <w:autoSpaceDN w:val="0"/>
        <w:adjustRightInd w:val="0"/>
        <w:spacing w:after="0"/>
        <w:rPr>
          <w:lang w:eastAsia="ja-JP"/>
        </w:rPr>
      </w:pPr>
    </w:p>
    <w:p w14:paraId="28138B53" w14:textId="77777777" w:rsidR="00C80137" w:rsidRPr="001D043B" w:rsidRDefault="00C80137" w:rsidP="003A7F6C">
      <w:pPr>
        <w:pStyle w:val="TableTitle"/>
        <w:sectPr w:rsidR="00C80137"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48FCA5D3" w14:textId="77777777" w:rsidTr="00A05FA4">
        <w:trPr>
          <w:trHeight w:hRule="exact" w:val="704"/>
        </w:trPr>
        <w:tc>
          <w:tcPr>
            <w:tcW w:w="9175" w:type="dxa"/>
          </w:tcPr>
          <w:p w14:paraId="10D4A64E" w14:textId="77777777" w:rsidR="001C32CD" w:rsidRPr="00487162" w:rsidRDefault="001C32CD" w:rsidP="00A05FA4">
            <w:pPr>
              <w:pStyle w:val="TGASignoff"/>
            </w:pPr>
            <w:r w:rsidRPr="00487162">
              <w:lastRenderedPageBreak/>
              <w:t>Therapeutic Goods Administration</w:t>
            </w:r>
          </w:p>
        </w:tc>
      </w:tr>
      <w:tr w:rsidR="001C32CD" w:rsidRPr="004C239D" w14:paraId="5FA58E79" w14:textId="77777777" w:rsidTr="00A05FA4">
        <w:trPr>
          <w:trHeight w:val="1221"/>
        </w:trPr>
        <w:tc>
          <w:tcPr>
            <w:tcW w:w="9175" w:type="dxa"/>
            <w:tcMar>
              <w:top w:w="28" w:type="dxa"/>
            </w:tcMar>
          </w:tcPr>
          <w:p w14:paraId="1F725EEE" w14:textId="77777777" w:rsidR="001C32CD" w:rsidRPr="00487162" w:rsidRDefault="001C32CD" w:rsidP="00A05FA4">
            <w:pPr>
              <w:pStyle w:val="Address"/>
            </w:pPr>
            <w:r w:rsidRPr="00487162">
              <w:t>PO Box 100 Woden ACT 2606 Australia</w:t>
            </w:r>
          </w:p>
          <w:p w14:paraId="01B08AAF" w14:textId="77777777" w:rsidR="001C32CD" w:rsidRPr="00487162" w:rsidRDefault="001C32CD" w:rsidP="00A05FA4">
            <w:pPr>
              <w:pStyle w:val="Address"/>
            </w:pPr>
            <w:r w:rsidRPr="00487162">
              <w:t xml:space="preserve">Email: </w:t>
            </w:r>
            <w:hyperlink r:id="rId25" w:history="1">
              <w:r w:rsidRPr="004C239D">
                <w:rPr>
                  <w:rStyle w:val="Hyperlink"/>
                </w:rPr>
                <w:t>info@tga.gov.au</w:t>
              </w:r>
            </w:hyperlink>
            <w:r w:rsidR="00BC01FB">
              <w:t xml:space="preserve"> </w:t>
            </w:r>
            <w:r w:rsidRPr="00487162">
              <w:t>Phone: 1800 020 653</w:t>
            </w:r>
            <w:r w:rsidR="00BC01FB">
              <w:t xml:space="preserve"> </w:t>
            </w:r>
            <w:r w:rsidRPr="00487162">
              <w:t>Fax: 02 6232 8605</w:t>
            </w:r>
          </w:p>
          <w:p w14:paraId="6CC51438" w14:textId="77777777" w:rsidR="001C32CD" w:rsidRPr="004C239D" w:rsidRDefault="00776F02" w:rsidP="00A05FA4">
            <w:pPr>
              <w:pStyle w:val="Address"/>
              <w:spacing w:line="260" w:lineRule="atLeast"/>
              <w:rPr>
                <w:b/>
                <w:color w:val="0000FF"/>
                <w:u w:val="single"/>
              </w:rPr>
            </w:pPr>
            <w:hyperlink r:id="rId26" w:history="1">
              <w:r w:rsidR="007C6B9B" w:rsidRPr="007C6B9B">
                <w:rPr>
                  <w:rStyle w:val="Hyperlink"/>
                  <w:b/>
                </w:rPr>
                <w:t>https://www.tga.gov.au</w:t>
              </w:r>
            </w:hyperlink>
          </w:p>
        </w:tc>
      </w:tr>
    </w:tbl>
    <w:p w14:paraId="6D57988A" w14:textId="77777777"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24C242" w16cid:durableId="220B503C"/>
  <w16cid:commentId w16cid:paraId="77A7684A" w16cid:durableId="220B4F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61CBD" w14:textId="77777777" w:rsidR="00776F02" w:rsidRDefault="00776F02" w:rsidP="00C40A36">
      <w:pPr>
        <w:spacing w:after="0"/>
      </w:pPr>
      <w:r>
        <w:separator/>
      </w:r>
    </w:p>
  </w:endnote>
  <w:endnote w:type="continuationSeparator" w:id="0">
    <w:p w14:paraId="503397D7" w14:textId="77777777" w:rsidR="00776F02" w:rsidRDefault="00776F0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DD2E" w14:textId="77777777" w:rsidR="00776F02" w:rsidRDefault="00776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76F02" w:rsidRPr="00487162" w14:paraId="6AD38ED5" w14:textId="77777777" w:rsidTr="00DB750B">
      <w:trPr>
        <w:trHeight w:val="269"/>
      </w:trPr>
      <w:tc>
        <w:tcPr>
          <w:tcW w:w="7371" w:type="dxa"/>
          <w:tcMar>
            <w:top w:w="142" w:type="dxa"/>
            <w:bottom w:w="0" w:type="dxa"/>
          </w:tcMar>
        </w:tcPr>
        <w:p w14:paraId="3927C875" w14:textId="05DE32A0" w:rsidR="00776F02" w:rsidRPr="00487162" w:rsidRDefault="00776F02" w:rsidP="00C20B81">
          <w:pPr>
            <w:pStyle w:val="Footer"/>
            <w:tabs>
              <w:tab w:val="right" w:pos="7230"/>
            </w:tabs>
          </w:pPr>
          <w:r w:rsidRPr="00487162">
            <w:t>AusPA</w:t>
          </w:r>
          <w:r>
            <w:t xml:space="preserve">R - </w:t>
          </w:r>
          <w:r w:rsidRPr="00023EC0">
            <w:t>ALUNBRIG - brigatinib - Takeda Pharmaceuticals Australia Pty Ltd - PM-20</w:t>
          </w:r>
          <w:r>
            <w:t>18-00586</w:t>
          </w:r>
          <w:r w:rsidRPr="00023EC0">
            <w:t>-1-4</w:t>
          </w:r>
          <w:r>
            <w:br/>
            <w:t>FINAL 12 March 2020</w:t>
          </w:r>
        </w:p>
      </w:tc>
      <w:tc>
        <w:tcPr>
          <w:tcW w:w="1490" w:type="dxa"/>
          <w:tcMar>
            <w:top w:w="142" w:type="dxa"/>
            <w:bottom w:w="0" w:type="dxa"/>
          </w:tcMar>
        </w:tcPr>
        <w:p w14:paraId="4641F151" w14:textId="5A495995" w:rsidR="00776F02" w:rsidRPr="00487162" w:rsidRDefault="00776F02" w:rsidP="00DB750B">
          <w:pPr>
            <w:pStyle w:val="Footer"/>
            <w:jc w:val="right"/>
          </w:pPr>
          <w:r w:rsidRPr="00487162">
            <w:t xml:space="preserve">Page </w:t>
          </w:r>
          <w:r>
            <w:fldChar w:fldCharType="begin"/>
          </w:r>
          <w:r>
            <w:instrText xml:space="preserve"> PAGE  \* Arabic </w:instrText>
          </w:r>
          <w:r>
            <w:fldChar w:fldCharType="separate"/>
          </w:r>
          <w:r w:rsidR="00A525C4">
            <w:rPr>
              <w:noProof/>
            </w:rPr>
            <w:t>3</w:t>
          </w:r>
          <w:r>
            <w:fldChar w:fldCharType="end"/>
          </w:r>
          <w:r w:rsidRPr="00487162">
            <w:t xml:space="preserve"> of </w:t>
          </w:r>
          <w:fldSimple w:instr=" NUMPAGES  \* Arabic ">
            <w:r w:rsidR="00A525C4">
              <w:rPr>
                <w:noProof/>
              </w:rPr>
              <w:t>28</w:t>
            </w:r>
          </w:fldSimple>
        </w:p>
      </w:tc>
    </w:tr>
  </w:tbl>
  <w:p w14:paraId="511B7C7C" w14:textId="77777777" w:rsidR="00776F02" w:rsidRDefault="00776F02"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D3EAC" w14:textId="77777777" w:rsidR="00776F02" w:rsidRDefault="00776F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76F02" w:rsidRPr="00487162" w14:paraId="26BC665A" w14:textId="77777777" w:rsidTr="00E45619">
      <w:trPr>
        <w:trHeight w:val="269"/>
      </w:trPr>
      <w:tc>
        <w:tcPr>
          <w:tcW w:w="4519" w:type="dxa"/>
          <w:tcBorders>
            <w:top w:val="single" w:sz="4" w:space="0" w:color="auto"/>
          </w:tcBorders>
          <w:tcMar>
            <w:top w:w="142" w:type="dxa"/>
            <w:bottom w:w="0" w:type="dxa"/>
          </w:tcMar>
        </w:tcPr>
        <w:p w14:paraId="7EEC0C50" w14:textId="77777777" w:rsidR="00776F02" w:rsidRPr="00487162" w:rsidRDefault="00776F02" w:rsidP="00FE1DEE">
          <w:pPr>
            <w:pStyle w:val="Footer"/>
          </w:pPr>
          <w:r w:rsidRPr="00487162">
            <w:t>Document title, Part #, Section # - Section title</w:t>
          </w:r>
        </w:p>
        <w:p w14:paraId="40A1663A" w14:textId="77777777" w:rsidR="00776F02" w:rsidRPr="00487162" w:rsidRDefault="00776F02" w:rsidP="00FE1DEE">
          <w:pPr>
            <w:pStyle w:val="Footer"/>
          </w:pPr>
          <w:r w:rsidRPr="00487162">
            <w:t>V1.0 October 2010</w:t>
          </w:r>
        </w:p>
      </w:tc>
      <w:tc>
        <w:tcPr>
          <w:tcW w:w="4342" w:type="dxa"/>
          <w:tcBorders>
            <w:top w:val="single" w:sz="4" w:space="0" w:color="auto"/>
          </w:tcBorders>
          <w:tcMar>
            <w:top w:w="142" w:type="dxa"/>
            <w:bottom w:w="0" w:type="dxa"/>
          </w:tcMar>
        </w:tcPr>
        <w:p w14:paraId="0ADBA101" w14:textId="77777777" w:rsidR="00776F02" w:rsidRPr="00487162" w:rsidRDefault="00776F0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24AF4D02" w14:textId="77777777" w:rsidR="00776F02" w:rsidRDefault="00776F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8C954" w14:textId="77777777" w:rsidR="00776F02" w:rsidRPr="001C32CD" w:rsidRDefault="00776F02"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76F02" w14:paraId="450057EC" w14:textId="77777777" w:rsidTr="0010601F">
      <w:trPr>
        <w:trHeight w:val="108"/>
      </w:trPr>
      <w:tc>
        <w:tcPr>
          <w:tcW w:w="8875" w:type="dxa"/>
          <w:gridSpan w:val="2"/>
          <w:tcBorders>
            <w:bottom w:val="single" w:sz="4" w:space="0" w:color="auto"/>
          </w:tcBorders>
          <w:tcMar>
            <w:right w:w="284" w:type="dxa"/>
          </w:tcMar>
        </w:tcPr>
        <w:p w14:paraId="08DF7E47" w14:textId="77777777" w:rsidR="00776F02" w:rsidRDefault="00776F02" w:rsidP="006E08B3">
          <w:pPr>
            <w:pStyle w:val="Heading3"/>
          </w:pPr>
          <w:r>
            <w:t>Copyright</w:t>
          </w:r>
        </w:p>
        <w:p w14:paraId="00FC1541" w14:textId="77777777" w:rsidR="00776F02" w:rsidRDefault="00776F02" w:rsidP="006E08B3">
          <w:r>
            <w:rPr>
              <w:rFonts w:cs="Arial"/>
            </w:rPr>
            <w:t>©</w:t>
          </w:r>
          <w:r>
            <w:t xml:space="preserve"> Commonwealth of Australia [add year]</w:t>
          </w:r>
        </w:p>
        <w:p w14:paraId="61C81F93" w14:textId="77777777" w:rsidR="00776F02" w:rsidRDefault="00776F02" w:rsidP="006E08B3"/>
        <w:p w14:paraId="557036C0" w14:textId="77777777" w:rsidR="00776F02" w:rsidRDefault="00776F0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CF13BB7" w14:textId="77777777" w:rsidR="00776F02" w:rsidRDefault="00776F02" w:rsidP="006E08B3"/>
        <w:p w14:paraId="5D8CBEC2" w14:textId="77777777" w:rsidR="00776F02" w:rsidRDefault="00776F02" w:rsidP="006E08B3">
          <w:pPr>
            <w:pStyle w:val="Heading3"/>
          </w:pPr>
          <w:r>
            <w:t>Confidentiality</w:t>
          </w:r>
        </w:p>
        <w:p w14:paraId="7B7F0C2A" w14:textId="77777777" w:rsidR="00776F02" w:rsidRDefault="00776F0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402927B" w14:textId="77777777" w:rsidR="00776F02" w:rsidRDefault="00776F02" w:rsidP="006E08B3"/>
        <w:p w14:paraId="01BA4FD4" w14:textId="77777777" w:rsidR="00776F02" w:rsidRDefault="00776F02" w:rsidP="006E08B3">
          <w:r>
            <w:t>For submission made by individuals, all personal details, other than your name, will be removed from your submission before it is published on the TGA’s Internet site.</w:t>
          </w:r>
        </w:p>
        <w:p w14:paraId="63953501" w14:textId="77777777" w:rsidR="00776F02" w:rsidRDefault="00776F02" w:rsidP="006E08B3"/>
        <w:p w14:paraId="6E1F6205" w14:textId="77777777" w:rsidR="00776F02" w:rsidRDefault="00776F02" w:rsidP="006E08B3">
          <w:r>
            <w:t>In addition, a list of parties making submissions will be published. If you do not wish to be identified with your submission you must specifically request this in the space provided ib the submission coversheet.</w:t>
          </w:r>
        </w:p>
      </w:tc>
    </w:tr>
    <w:tr w:rsidR="00776F02" w14:paraId="1EAA91BA" w14:textId="77777777" w:rsidTr="0010601F">
      <w:trPr>
        <w:trHeight w:val="417"/>
      </w:trPr>
      <w:tc>
        <w:tcPr>
          <w:tcW w:w="4519" w:type="dxa"/>
          <w:tcBorders>
            <w:top w:val="single" w:sz="4" w:space="0" w:color="auto"/>
          </w:tcBorders>
          <w:tcMar>
            <w:top w:w="142" w:type="dxa"/>
            <w:bottom w:w="0" w:type="dxa"/>
          </w:tcMar>
        </w:tcPr>
        <w:p w14:paraId="3939C72F" w14:textId="77777777" w:rsidR="00776F02" w:rsidRDefault="00776F02" w:rsidP="006E08B3">
          <w:r>
            <w:t>Document title, Part #, Section # - Section title</w:t>
          </w:r>
        </w:p>
        <w:p w14:paraId="789B36BB" w14:textId="77777777" w:rsidR="00776F02" w:rsidRDefault="00776F02" w:rsidP="006E08B3">
          <w:r>
            <w:t>V1.0 October 2010</w:t>
          </w:r>
        </w:p>
      </w:tc>
      <w:tc>
        <w:tcPr>
          <w:tcW w:w="4356" w:type="dxa"/>
          <w:tcBorders>
            <w:top w:val="single" w:sz="4" w:space="0" w:color="auto"/>
          </w:tcBorders>
          <w:tcMar>
            <w:top w:w="142" w:type="dxa"/>
            <w:bottom w:w="0" w:type="dxa"/>
          </w:tcMar>
        </w:tcPr>
        <w:p w14:paraId="758F89E8" w14:textId="77777777" w:rsidR="00776F02" w:rsidRDefault="00776F0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10A55D92" w14:textId="77777777" w:rsidR="00776F02" w:rsidRDefault="00776F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3EB65" w14:textId="77777777" w:rsidR="00776F02" w:rsidRDefault="00776F02" w:rsidP="00C40A36">
      <w:pPr>
        <w:spacing w:after="0"/>
      </w:pPr>
      <w:r>
        <w:separator/>
      </w:r>
    </w:p>
  </w:footnote>
  <w:footnote w:type="continuationSeparator" w:id="0">
    <w:p w14:paraId="0A4D8783" w14:textId="77777777" w:rsidR="00776F02" w:rsidRDefault="00776F02" w:rsidP="00C40A36">
      <w:pPr>
        <w:spacing w:after="0"/>
      </w:pPr>
      <w:r>
        <w:continuationSeparator/>
      </w:r>
    </w:p>
  </w:footnote>
  <w:footnote w:id="1">
    <w:p w14:paraId="2E624618" w14:textId="77777777" w:rsidR="00776F02" w:rsidRDefault="00776F02">
      <w:pPr>
        <w:pStyle w:val="FootnoteText"/>
      </w:pPr>
      <w:r>
        <w:rPr>
          <w:rStyle w:val="FootnoteReference"/>
        </w:rPr>
        <w:footnoteRef/>
      </w:r>
      <w:r>
        <w:t xml:space="preserve"> </w:t>
      </w:r>
      <w:r w:rsidRPr="00673637">
        <w:t>Camidge</w:t>
      </w:r>
      <w:r>
        <w:t>,</w:t>
      </w:r>
      <w:r w:rsidRPr="00673637">
        <w:t xml:space="preserve"> D</w:t>
      </w:r>
      <w:r>
        <w:t>.R. and</w:t>
      </w:r>
      <w:r w:rsidRPr="00673637">
        <w:t xml:space="preserve"> Doebele</w:t>
      </w:r>
      <w:r>
        <w:t>,</w:t>
      </w:r>
      <w:r w:rsidRPr="00673637">
        <w:t xml:space="preserve"> R</w:t>
      </w:r>
      <w:r>
        <w:t>.</w:t>
      </w:r>
      <w:r w:rsidRPr="00673637">
        <w:t>C.</w:t>
      </w:r>
      <w:r>
        <w:t xml:space="preserve"> (2012).</w:t>
      </w:r>
      <w:r w:rsidRPr="00673637">
        <w:t xml:space="preserve"> Treating ALK-positive lung cancer--early successes and future challenge</w:t>
      </w:r>
      <w:r>
        <w:t xml:space="preserve">s. </w:t>
      </w:r>
      <w:r w:rsidRPr="00BE2962">
        <w:rPr>
          <w:i/>
        </w:rPr>
        <w:t>Nat Rev Clin Oncol</w:t>
      </w:r>
      <w:r>
        <w:t>. 2012; 9</w:t>
      </w:r>
      <w:r w:rsidRPr="00673637">
        <w:t>:</w:t>
      </w:r>
      <w:r>
        <w:t xml:space="preserve"> </w:t>
      </w:r>
      <w:r w:rsidRPr="00673637">
        <w:t>268-</w:t>
      </w:r>
      <w:r>
        <w:t>2</w:t>
      </w:r>
      <w:r w:rsidRPr="00673637">
        <w:t>77</w:t>
      </w:r>
      <w:r>
        <w:t>.</w:t>
      </w:r>
    </w:p>
  </w:footnote>
  <w:footnote w:id="2">
    <w:p w14:paraId="0B27D852" w14:textId="77777777" w:rsidR="00776F02" w:rsidRPr="00176A9C" w:rsidRDefault="00776F02">
      <w:pPr>
        <w:pStyle w:val="FootnoteText"/>
        <w:rPr>
          <w:lang w:val="fr-FR"/>
        </w:rPr>
      </w:pPr>
      <w:r>
        <w:rPr>
          <w:rStyle w:val="FootnoteReference"/>
        </w:rPr>
        <w:footnoteRef/>
      </w:r>
      <w:r>
        <w:t xml:space="preserve"> </w:t>
      </w:r>
      <w:r w:rsidRPr="00673637">
        <w:t>Hallberg</w:t>
      </w:r>
      <w:r>
        <w:t>, B. and</w:t>
      </w:r>
      <w:r w:rsidRPr="00673637">
        <w:t xml:space="preserve"> Palmer</w:t>
      </w:r>
      <w:r>
        <w:t>,</w:t>
      </w:r>
      <w:r w:rsidRPr="00673637">
        <w:t xml:space="preserve"> R</w:t>
      </w:r>
      <w:r>
        <w:t>.</w:t>
      </w:r>
      <w:r w:rsidRPr="00673637">
        <w:t>H.</w:t>
      </w:r>
      <w:r>
        <w:t xml:space="preserve"> (2016).</w:t>
      </w:r>
      <w:r w:rsidRPr="00673637">
        <w:t xml:space="preserve"> The role of the ALK receptor in cancer biology. </w:t>
      </w:r>
      <w:r w:rsidRPr="00176A9C">
        <w:rPr>
          <w:i/>
          <w:lang w:val="fr-FR"/>
        </w:rPr>
        <w:t>Ann Oncol</w:t>
      </w:r>
      <w:r w:rsidRPr="00176A9C">
        <w:rPr>
          <w:lang w:val="fr-FR"/>
        </w:rPr>
        <w:t>. 2016; 27 Suppl 3:iii4-iii15.</w:t>
      </w:r>
    </w:p>
  </w:footnote>
  <w:footnote w:id="3">
    <w:p w14:paraId="12A26DDA" w14:textId="77777777" w:rsidR="00776F02" w:rsidRDefault="00776F02">
      <w:pPr>
        <w:pStyle w:val="FootnoteText"/>
      </w:pPr>
      <w:r>
        <w:rPr>
          <w:rStyle w:val="FootnoteReference"/>
        </w:rPr>
        <w:footnoteRef/>
      </w:r>
      <w:r w:rsidRPr="00176A9C">
        <w:rPr>
          <w:lang w:val="fr-FR"/>
        </w:rPr>
        <w:t xml:space="preserve"> Kwak, E.L. et al. </w:t>
      </w:r>
      <w:r>
        <w:t xml:space="preserve">(2010). </w:t>
      </w:r>
      <w:r w:rsidRPr="00673637">
        <w:t xml:space="preserve">Anaplastic lymphoma kinase inhibition in non-small-cell lung cancer. </w:t>
      </w:r>
      <w:r w:rsidRPr="00BE2962">
        <w:rPr>
          <w:i/>
        </w:rPr>
        <w:t>N Engl J Med</w:t>
      </w:r>
      <w:r w:rsidRPr="00673637">
        <w:t>. 2010;</w:t>
      </w:r>
      <w:r>
        <w:t xml:space="preserve"> 363</w:t>
      </w:r>
      <w:r w:rsidRPr="00673637">
        <w:t>:</w:t>
      </w:r>
      <w:r>
        <w:t xml:space="preserve"> </w:t>
      </w:r>
      <w:r w:rsidRPr="00673637">
        <w:t>1693-</w:t>
      </w:r>
      <w:r>
        <w:t>1</w:t>
      </w:r>
      <w:r w:rsidRPr="00673637">
        <w:t>703.</w:t>
      </w:r>
    </w:p>
  </w:footnote>
  <w:footnote w:id="4">
    <w:p w14:paraId="7C5CF02D" w14:textId="77777777" w:rsidR="00776F02" w:rsidRDefault="00776F02">
      <w:pPr>
        <w:pStyle w:val="FootnoteText"/>
      </w:pPr>
      <w:r>
        <w:rPr>
          <w:rStyle w:val="FootnoteReference"/>
        </w:rPr>
        <w:footnoteRef/>
      </w:r>
      <w:r>
        <w:t xml:space="preserve"> </w:t>
      </w:r>
      <w:r w:rsidRPr="00673637">
        <w:t>Wong</w:t>
      </w:r>
      <w:r>
        <w:t>,</w:t>
      </w:r>
      <w:r w:rsidRPr="00673637">
        <w:t xml:space="preserve"> D</w:t>
      </w:r>
      <w:r>
        <w:t>.W.</w:t>
      </w:r>
      <w:r w:rsidRPr="00673637">
        <w:t xml:space="preserve"> et al. </w:t>
      </w:r>
      <w:r>
        <w:t xml:space="preserve">(2009). </w:t>
      </w:r>
      <w:r w:rsidRPr="00673637">
        <w:t>The EML4-ALK fusion gene is involved in various histologic types of lung cancers from nonsmokers with wild-type EGFR and KRAS. Cancer. 2009;115(8):1723-33.</w:t>
      </w:r>
    </w:p>
  </w:footnote>
  <w:footnote w:id="5">
    <w:p w14:paraId="1476E018" w14:textId="77777777" w:rsidR="00776F02" w:rsidRDefault="00776F02">
      <w:pPr>
        <w:pStyle w:val="FootnoteText"/>
      </w:pPr>
      <w:r>
        <w:rPr>
          <w:rStyle w:val="FootnoteReference"/>
        </w:rPr>
        <w:footnoteRef/>
      </w:r>
      <w:r>
        <w:t xml:space="preserve"> </w:t>
      </w:r>
      <w:r w:rsidRPr="00673637">
        <w:t>Katayama</w:t>
      </w:r>
      <w:r>
        <w:t>, R.,</w:t>
      </w:r>
      <w:r w:rsidRPr="00673637">
        <w:t xml:space="preserve"> Lovly</w:t>
      </w:r>
      <w:r>
        <w:t>,</w:t>
      </w:r>
      <w:r w:rsidRPr="00673637">
        <w:t xml:space="preserve"> C</w:t>
      </w:r>
      <w:r>
        <w:t>.</w:t>
      </w:r>
      <w:r w:rsidRPr="00673637">
        <w:t>M</w:t>
      </w:r>
      <w:r>
        <w:t>.</w:t>
      </w:r>
      <w:r w:rsidRPr="00673637">
        <w:t xml:space="preserve">, </w:t>
      </w:r>
      <w:r>
        <w:t xml:space="preserve">and </w:t>
      </w:r>
      <w:r w:rsidRPr="00673637">
        <w:t>Shaw</w:t>
      </w:r>
      <w:r>
        <w:t>,</w:t>
      </w:r>
      <w:r w:rsidRPr="00673637">
        <w:t xml:space="preserve"> A</w:t>
      </w:r>
      <w:r>
        <w:t>.</w:t>
      </w:r>
      <w:r w:rsidRPr="00673637">
        <w:t>T.</w:t>
      </w:r>
      <w:r>
        <w:t xml:space="preserve"> (2015).</w:t>
      </w:r>
      <w:r w:rsidRPr="00673637">
        <w:t xml:space="preserve"> Therapeutic targeting of anaplastic lymphoma kinase in lung cancer: a paradigm for precision cancer medicine. </w:t>
      </w:r>
      <w:r w:rsidRPr="00CB4840">
        <w:rPr>
          <w:i/>
        </w:rPr>
        <w:t>Clin Cancer Res</w:t>
      </w:r>
      <w:r w:rsidRPr="00673637">
        <w:t>. 2015;</w:t>
      </w:r>
      <w:r>
        <w:t xml:space="preserve"> 21</w:t>
      </w:r>
      <w:r w:rsidRPr="00673637">
        <w:t>:</w:t>
      </w:r>
      <w:r>
        <w:t xml:space="preserve"> </w:t>
      </w:r>
      <w:r w:rsidRPr="00673637">
        <w:t>2227-</w:t>
      </w:r>
      <w:r>
        <w:t>22</w:t>
      </w:r>
      <w:r w:rsidRPr="00673637">
        <w:t>35</w:t>
      </w:r>
      <w:r>
        <w:t>.</w:t>
      </w:r>
    </w:p>
  </w:footnote>
  <w:footnote w:id="6">
    <w:p w14:paraId="2F7FA201" w14:textId="77777777" w:rsidR="00776F02" w:rsidRDefault="00776F02">
      <w:pPr>
        <w:pStyle w:val="FootnoteText"/>
      </w:pPr>
      <w:r>
        <w:rPr>
          <w:rStyle w:val="FootnoteReference"/>
        </w:rPr>
        <w:footnoteRef/>
      </w:r>
      <w:r>
        <w:t xml:space="preserve"> Fontana, D. et al (2015)</w:t>
      </w:r>
      <w:r w:rsidRPr="00673637">
        <w:t xml:space="preserve">. Activity of second-generation ALK inhibitors against crizotinib-resistant mutants in an NPM-ALK model compared to EML4-ALK. </w:t>
      </w:r>
      <w:r w:rsidRPr="00CB4840">
        <w:rPr>
          <w:i/>
        </w:rPr>
        <w:t>Cancer Med</w:t>
      </w:r>
      <w:r w:rsidRPr="00673637">
        <w:t>. 2015;</w:t>
      </w:r>
      <w:r>
        <w:t xml:space="preserve"> 4</w:t>
      </w:r>
      <w:r w:rsidRPr="00673637">
        <w:t>:</w:t>
      </w:r>
      <w:r>
        <w:t xml:space="preserve"> </w:t>
      </w:r>
      <w:r w:rsidRPr="00673637">
        <w:t>953-</w:t>
      </w:r>
      <w:r>
        <w:t>9</w:t>
      </w:r>
      <w:r w:rsidRPr="00673637">
        <w:t>65</w:t>
      </w:r>
      <w:r>
        <w:t>.</w:t>
      </w:r>
    </w:p>
  </w:footnote>
  <w:footnote w:id="7">
    <w:p w14:paraId="4E76DD6C" w14:textId="167320E2" w:rsidR="00776F02" w:rsidRDefault="00776F02" w:rsidP="002631B6">
      <w:pPr>
        <w:pStyle w:val="FootnoteText"/>
      </w:pPr>
      <w:r>
        <w:rPr>
          <w:rStyle w:val="FootnoteReference"/>
        </w:rPr>
        <w:footnoteRef/>
      </w:r>
      <w:r>
        <w:t xml:space="preserve"> European Medicines Agency (EMA), </w:t>
      </w:r>
      <w:r w:rsidRPr="00C631EA">
        <w:t xml:space="preserve">Committee for Medicinal Products for Human Use </w:t>
      </w:r>
      <w:r>
        <w:t xml:space="preserve">(CHMP), Note For Guidance On Nonclinical Evaluation For Anticancer Pharmaceuticals, </w:t>
      </w:r>
      <w:r w:rsidRPr="002631B6">
        <w:t>EMEA/CHMP/ICH/646107/2008</w:t>
      </w:r>
      <w:r>
        <w:t>, December 2008.</w:t>
      </w:r>
    </w:p>
  </w:footnote>
  <w:footnote w:id="8">
    <w:p w14:paraId="19A31DA4" w14:textId="3CBE9AEB" w:rsidR="00776F02" w:rsidRPr="00C20B81" w:rsidRDefault="00776F02">
      <w:pPr>
        <w:pStyle w:val="FootnoteText"/>
        <w:rPr>
          <w:lang w:val="en-GB"/>
        </w:rPr>
      </w:pPr>
      <w:r>
        <w:rPr>
          <w:rStyle w:val="FootnoteReference"/>
        </w:rPr>
        <w:footnoteRef/>
      </w:r>
      <w:r>
        <w:t xml:space="preserve"> </w:t>
      </w:r>
      <w:r w:rsidRPr="0050504B">
        <w:t>The QT interval is the time taken from the start of the QRS wave complex to the end of the corresponding T wave on an electrocardiograph and approximates from the start of cardiac ventricular contraction to the end of cardiac ventricular relaxation.</w:t>
      </w:r>
      <w:r>
        <w:t xml:space="preserve"> The QTc is the QT interval corrected for heart rate.</w:t>
      </w:r>
    </w:p>
  </w:footnote>
  <w:footnote w:id="9">
    <w:p w14:paraId="41196900" w14:textId="77777777" w:rsidR="00776F02" w:rsidRDefault="00776F02" w:rsidP="00BF5D8D">
      <w:pPr>
        <w:pStyle w:val="FootnoteText"/>
      </w:pPr>
      <w:r>
        <w:rPr>
          <w:rStyle w:val="FootnoteReference"/>
        </w:rPr>
        <w:footnoteRef/>
      </w:r>
      <w:r>
        <w:t xml:space="preserve"> Australian Pregnancy Category D: Drugs which have caused, are suspected to have caused or may be expected to cause, an increased incidence of human foetal malformations or irreversible damage. These drugs may also have adverse pharmacological effects. Accompanying texts should be consulted for further details.</w:t>
      </w:r>
    </w:p>
  </w:footnote>
  <w:footnote w:id="10">
    <w:p w14:paraId="06DE0D01" w14:textId="77777777" w:rsidR="00776F02" w:rsidRDefault="00776F02" w:rsidP="008A2E25">
      <w:pPr>
        <w:pStyle w:val="FootnoteText"/>
      </w:pPr>
      <w:r>
        <w:rPr>
          <w:rStyle w:val="FootnoteReference"/>
        </w:rPr>
        <w:footnoteRef/>
      </w:r>
      <w:r>
        <w:t xml:space="preserve"> EMA, Committee for Medicinal Products for Human Use (CHMP), Guideline on the evaluation of the pharmacokinetics of medicinal products in patients with impaired hepatic function, </w:t>
      </w:r>
      <w:r w:rsidRPr="008A2E25">
        <w:t>CPMP/EWP/2339/02</w:t>
      </w:r>
      <w:r>
        <w:t>, February 2005.</w:t>
      </w:r>
    </w:p>
  </w:footnote>
  <w:footnote w:id="11">
    <w:p w14:paraId="0FA59757" w14:textId="5013455F" w:rsidR="00776F02" w:rsidRDefault="00776F02">
      <w:pPr>
        <w:pStyle w:val="FootnoteText"/>
      </w:pPr>
      <w:r>
        <w:rPr>
          <w:rStyle w:val="FootnoteReference"/>
        </w:rPr>
        <w:footnoteRef/>
      </w:r>
      <w:r>
        <w:t xml:space="preserve"> The Child-Pugh score is a system for assessing the prognosis for chronic liver disease and is based on 5 clinical measures. Class A: 5 to 6 points, least severe liver disease, one to five year survival rate of 95%. Class B: 7 to 9 points, moderately severe liver disease, one to five year survival of 75%. Class C: 10 to 15 points, most severe liver disease, 1 to 5 year survival rate 50%.</w:t>
      </w:r>
    </w:p>
  </w:footnote>
  <w:footnote w:id="12">
    <w:p w14:paraId="104BCFFB" w14:textId="5BE53487" w:rsidR="00776F02" w:rsidRDefault="00776F02">
      <w:pPr>
        <w:pStyle w:val="FootnoteText"/>
      </w:pPr>
      <w:r>
        <w:rPr>
          <w:rStyle w:val="FootnoteReference"/>
        </w:rPr>
        <w:footnoteRef/>
      </w:r>
      <w:r w:rsidRPr="00176A9C">
        <w:rPr>
          <w:lang w:val="fr-FR"/>
        </w:rPr>
        <w:t xml:space="preserve"> Eisenhauer, E.A. et al. et al (2009). </w:t>
      </w:r>
      <w:r>
        <w:t xml:space="preserve">New response evaluation criteria in solid tumours: Revised RECIST guideline (version 1.1) </w:t>
      </w:r>
      <w:r w:rsidRPr="00AB0211">
        <w:rPr>
          <w:i/>
        </w:rPr>
        <w:t>Eur J Cancer</w:t>
      </w:r>
      <w:r>
        <w:t>, 2009, 45</w:t>
      </w:r>
      <w:r w:rsidRPr="00AB0211">
        <w:t>:</w:t>
      </w:r>
      <w:r>
        <w:t xml:space="preserve"> </w:t>
      </w:r>
      <w:r w:rsidRPr="00AB0211">
        <w:t>228-</w:t>
      </w:r>
      <w:r>
        <w:t>2</w:t>
      </w:r>
      <w:r w:rsidRPr="00AB0211">
        <w:t>47</w:t>
      </w:r>
    </w:p>
  </w:footnote>
  <w:footnote w:id="13">
    <w:p w14:paraId="1A7E2E77" w14:textId="0D1D1DC5" w:rsidR="00776F02" w:rsidRDefault="00776F02" w:rsidP="003655D2">
      <w:pPr>
        <w:pStyle w:val="FootnoteText"/>
      </w:pPr>
      <w:r>
        <w:rPr>
          <w:rStyle w:val="FootnoteReference"/>
        </w:rPr>
        <w:footnoteRef/>
      </w:r>
      <w:r w:rsidRPr="00176A9C">
        <w:rPr>
          <w:lang w:val="fr-FR"/>
        </w:rPr>
        <w:t xml:space="preserve"> Camidge, D.R. et al. </w:t>
      </w:r>
      <w:r>
        <w:t xml:space="preserve">(2018). Brigatinib versus Crizotinib in ALK-Positive Non–Small-Cell Lung Cancer. </w:t>
      </w:r>
      <w:r w:rsidRPr="003655D2">
        <w:rPr>
          <w:i/>
        </w:rPr>
        <w:t>N Engl J Med</w:t>
      </w:r>
      <w:r>
        <w:t>,</w:t>
      </w:r>
      <w:r w:rsidRPr="003655D2">
        <w:t xml:space="preserve"> 2018; 379:</w:t>
      </w:r>
      <w:r>
        <w:t xml:space="preserve"> </w:t>
      </w:r>
      <w:r w:rsidRPr="003655D2">
        <w:t>2027-2039</w:t>
      </w:r>
      <w:r>
        <w:t>.</w:t>
      </w:r>
    </w:p>
  </w:footnote>
  <w:footnote w:id="14">
    <w:p w14:paraId="0604D578" w14:textId="3149F06B" w:rsidR="00776F02" w:rsidRDefault="00776F02">
      <w:pPr>
        <w:pStyle w:val="FootnoteText"/>
      </w:pPr>
      <w:r>
        <w:rPr>
          <w:rStyle w:val="FootnoteReference"/>
        </w:rPr>
        <w:footnoteRef/>
      </w:r>
      <w:r>
        <w:t xml:space="preserve"> Hy’s Law: Evidence of hepatocellular injury with ALT and/or AST &gt; 3 x the upper limit of normal (ULN) and total bilirubin &gt; 2 x ULN, and no other reason to explain rise in aminotransferases and total bilirubin.</w:t>
      </w:r>
    </w:p>
  </w:footnote>
  <w:footnote w:id="15">
    <w:p w14:paraId="2641346A" w14:textId="77777777" w:rsidR="00776F02" w:rsidRDefault="00776F02" w:rsidP="00DF5AFE">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2E8491BD" w14:textId="77777777" w:rsidR="00776F02" w:rsidRDefault="00776F02" w:rsidP="00DF5AFE">
      <w:pPr>
        <w:pStyle w:val="FootnoteText"/>
      </w:pPr>
      <w:r w:rsidRPr="00F12492">
        <w:rPr>
          <w:i/>
        </w:rPr>
        <w:t>Routine pharmacovigilance</w:t>
      </w:r>
      <w:r>
        <w:t xml:space="preserve"> practices involve the following activities:</w:t>
      </w:r>
    </w:p>
    <w:p w14:paraId="2ED7C139" w14:textId="77777777" w:rsidR="00776F02" w:rsidRDefault="00776F02" w:rsidP="00DF5AFE">
      <w:pPr>
        <w:pStyle w:val="FootnoteText"/>
        <w:numPr>
          <w:ilvl w:val="0"/>
          <w:numId w:val="28"/>
        </w:numPr>
      </w:pPr>
      <w:r>
        <w:t>All suspected adverse reactions that are reported to the personnel of the company are collected and collated in an accessible manner;</w:t>
      </w:r>
    </w:p>
    <w:p w14:paraId="261C7F13" w14:textId="77777777" w:rsidR="00776F02" w:rsidRDefault="00776F02" w:rsidP="00DF5AFE">
      <w:pPr>
        <w:pStyle w:val="FootnoteText"/>
        <w:numPr>
          <w:ilvl w:val="0"/>
          <w:numId w:val="28"/>
        </w:numPr>
      </w:pPr>
      <w:r>
        <w:t>Reporting to regulatory authorities;</w:t>
      </w:r>
    </w:p>
    <w:p w14:paraId="2E43CDCD" w14:textId="28ACBBEE" w:rsidR="00776F02" w:rsidRDefault="00776F02" w:rsidP="00DF5AFE">
      <w:pPr>
        <w:pStyle w:val="FootnoteText"/>
        <w:numPr>
          <w:ilvl w:val="0"/>
          <w:numId w:val="28"/>
        </w:numPr>
      </w:pPr>
      <w:r>
        <w:t>Continuous monitoring of the safety profiles of approved products including signal detection and updating of labelling;</w:t>
      </w:r>
    </w:p>
    <w:p w14:paraId="7A3AF967" w14:textId="77777777" w:rsidR="00776F02" w:rsidRDefault="00776F02" w:rsidP="00DF5AFE">
      <w:pPr>
        <w:pStyle w:val="FootnoteText"/>
        <w:numPr>
          <w:ilvl w:val="0"/>
          <w:numId w:val="28"/>
        </w:numPr>
      </w:pPr>
      <w:r>
        <w:t>Submission of PSURs;</w:t>
      </w:r>
    </w:p>
    <w:p w14:paraId="437ECCA5" w14:textId="77777777" w:rsidR="00776F02" w:rsidRPr="00F12492" w:rsidRDefault="00776F02" w:rsidP="00DF5AFE">
      <w:pPr>
        <w:pStyle w:val="FootnoteText"/>
        <w:numPr>
          <w:ilvl w:val="0"/>
          <w:numId w:val="28"/>
        </w:numPr>
        <w:rPr>
          <w:lang w:val="en-US"/>
        </w:rPr>
      </w:pPr>
      <w:r>
        <w:t>Meeting other local regulatory agency requirements.</w:t>
      </w:r>
    </w:p>
  </w:footnote>
  <w:footnote w:id="16">
    <w:p w14:paraId="00A82B5E" w14:textId="77777777" w:rsidR="00776F02" w:rsidRDefault="00776F02"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4E94786F" w14:textId="77777777" w:rsidR="00776F02" w:rsidRPr="00456765" w:rsidRDefault="00776F02"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32B0" w14:textId="77777777" w:rsidR="00776F02" w:rsidRDefault="00776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0E4A" w14:textId="77777777" w:rsidR="00776F02" w:rsidRDefault="00776F02"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0B2C" w14:textId="77777777" w:rsidR="00776F02" w:rsidRDefault="00776F02">
    <w:pPr>
      <w:rPr>
        <w:noProof/>
        <w:lang w:eastAsia="en-AU"/>
      </w:rPr>
    </w:pPr>
    <w:r w:rsidRPr="00347824">
      <w:rPr>
        <w:noProof/>
        <w:lang w:eastAsia="en-AU"/>
      </w:rPr>
      <w:drawing>
        <wp:anchor distT="0" distB="0" distL="114300" distR="114300" simplePos="0" relativeHeight="251659264" behindDoc="1" locked="0" layoutInCell="1" allowOverlap="1" wp14:anchorId="30C84BBA" wp14:editId="0F0DE3E2">
          <wp:simplePos x="0" y="0"/>
          <wp:positionH relativeFrom="column">
            <wp:posOffset>-1089660</wp:posOffset>
          </wp:positionH>
          <wp:positionV relativeFrom="paragraph">
            <wp:posOffset>-585470</wp:posOffset>
          </wp:positionV>
          <wp:extent cx="7572375" cy="10706100"/>
          <wp:effectExtent l="19050" t="0" r="0" b="0"/>
          <wp:wrapNone/>
          <wp:docPr id="1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0C3479D" w14:textId="77777777" w:rsidR="00776F02" w:rsidRDefault="00776F02" w:rsidP="00593AD1">
    <w:pPr>
      <w:pStyle w:val="HeaderNoLine"/>
    </w:pPr>
    <w:r>
      <w:rPr>
        <w:noProof/>
        <w:lang w:eastAsia="en-AU"/>
      </w:rPr>
      <w:drawing>
        <wp:inline distT="0" distB="0" distL="0" distR="0" wp14:anchorId="22EC0941" wp14:editId="542BC646">
          <wp:extent cx="5400675" cy="7639050"/>
          <wp:effectExtent l="0" t="0" r="9525" b="0"/>
          <wp:docPr id="12" name="Picture 1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969AD" w14:textId="77777777" w:rsidR="00776F02" w:rsidRDefault="00776F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9B03" w14:textId="77777777" w:rsidR="00776F02" w:rsidRDefault="00776F02">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EA7E7" w14:textId="77777777" w:rsidR="00776F02" w:rsidRDefault="00776F02">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BFC7" w14:textId="77777777" w:rsidR="00776F02" w:rsidRDefault="00776F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3378D" w14:textId="77777777" w:rsidR="00776F02" w:rsidRDefault="00776F02"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1FCF8" w14:textId="77777777" w:rsidR="00776F02" w:rsidRDefault="00776F02" w:rsidP="006E08B3">
    <w:r>
      <w:t>Therapeutic Goods Administration</w:t>
    </w:r>
  </w:p>
  <w:p w14:paraId="7492B671" w14:textId="77777777" w:rsidR="00776F02" w:rsidRDefault="00776F02"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495042A"/>
    <w:multiLevelType w:val="hybridMultilevel"/>
    <w:tmpl w:val="BDFAD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CE088424"/>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0C2F3B"/>
    <w:multiLevelType w:val="hybridMultilevel"/>
    <w:tmpl w:val="5E1CD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7"/>
  </w:num>
  <w:num w:numId="28">
    <w:abstractNumId w:val="9"/>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25"/>
    <w:rsid w:val="00002031"/>
    <w:rsid w:val="00004734"/>
    <w:rsid w:val="00006B22"/>
    <w:rsid w:val="0001034C"/>
    <w:rsid w:val="0001276A"/>
    <w:rsid w:val="00023EC0"/>
    <w:rsid w:val="000246AE"/>
    <w:rsid w:val="00025C67"/>
    <w:rsid w:val="00031146"/>
    <w:rsid w:val="00044772"/>
    <w:rsid w:val="0004541C"/>
    <w:rsid w:val="0005559E"/>
    <w:rsid w:val="000604D6"/>
    <w:rsid w:val="000734D8"/>
    <w:rsid w:val="00077775"/>
    <w:rsid w:val="00090471"/>
    <w:rsid w:val="00096AA7"/>
    <w:rsid w:val="000A1C8A"/>
    <w:rsid w:val="000A3AED"/>
    <w:rsid w:val="000B3532"/>
    <w:rsid w:val="000B3A75"/>
    <w:rsid w:val="000C00C2"/>
    <w:rsid w:val="000C690F"/>
    <w:rsid w:val="000D1295"/>
    <w:rsid w:val="000D391B"/>
    <w:rsid w:val="000D3D6D"/>
    <w:rsid w:val="000D4FC7"/>
    <w:rsid w:val="000E0399"/>
    <w:rsid w:val="000E6196"/>
    <w:rsid w:val="000F30A1"/>
    <w:rsid w:val="000F4869"/>
    <w:rsid w:val="000F5B42"/>
    <w:rsid w:val="000F6E6F"/>
    <w:rsid w:val="0010601F"/>
    <w:rsid w:val="001068AE"/>
    <w:rsid w:val="0010788A"/>
    <w:rsid w:val="00107A31"/>
    <w:rsid w:val="00110EA5"/>
    <w:rsid w:val="00112F56"/>
    <w:rsid w:val="00124ACD"/>
    <w:rsid w:val="00125318"/>
    <w:rsid w:val="001305A2"/>
    <w:rsid w:val="00133238"/>
    <w:rsid w:val="00133A1B"/>
    <w:rsid w:val="0014036C"/>
    <w:rsid w:val="0014197B"/>
    <w:rsid w:val="001447CD"/>
    <w:rsid w:val="00144B98"/>
    <w:rsid w:val="001516B1"/>
    <w:rsid w:val="00154EBB"/>
    <w:rsid w:val="00156316"/>
    <w:rsid w:val="00161181"/>
    <w:rsid w:val="00162D14"/>
    <w:rsid w:val="00163780"/>
    <w:rsid w:val="00165389"/>
    <w:rsid w:val="0017693F"/>
    <w:rsid w:val="00176A9C"/>
    <w:rsid w:val="00177144"/>
    <w:rsid w:val="0018110E"/>
    <w:rsid w:val="00181684"/>
    <w:rsid w:val="001843C6"/>
    <w:rsid w:val="001850E0"/>
    <w:rsid w:val="001A03AF"/>
    <w:rsid w:val="001A2158"/>
    <w:rsid w:val="001A525F"/>
    <w:rsid w:val="001B09F9"/>
    <w:rsid w:val="001B5C90"/>
    <w:rsid w:val="001B6448"/>
    <w:rsid w:val="001C32CD"/>
    <w:rsid w:val="001C65A2"/>
    <w:rsid w:val="001D1427"/>
    <w:rsid w:val="001D2984"/>
    <w:rsid w:val="001D5925"/>
    <w:rsid w:val="001E07CF"/>
    <w:rsid w:val="001E59F1"/>
    <w:rsid w:val="001F2CEE"/>
    <w:rsid w:val="001F49EB"/>
    <w:rsid w:val="001F6CBA"/>
    <w:rsid w:val="00201D4E"/>
    <w:rsid w:val="002076C9"/>
    <w:rsid w:val="00220B8A"/>
    <w:rsid w:val="002257F3"/>
    <w:rsid w:val="00233456"/>
    <w:rsid w:val="002339A5"/>
    <w:rsid w:val="00240D96"/>
    <w:rsid w:val="00250A88"/>
    <w:rsid w:val="00257848"/>
    <w:rsid w:val="002578E8"/>
    <w:rsid w:val="002631B6"/>
    <w:rsid w:val="0027084A"/>
    <w:rsid w:val="00280265"/>
    <w:rsid w:val="00286434"/>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11AC0"/>
    <w:rsid w:val="003176FC"/>
    <w:rsid w:val="0032583B"/>
    <w:rsid w:val="00327883"/>
    <w:rsid w:val="00335504"/>
    <w:rsid w:val="00335F3D"/>
    <w:rsid w:val="00340C18"/>
    <w:rsid w:val="003442FD"/>
    <w:rsid w:val="00347824"/>
    <w:rsid w:val="00350567"/>
    <w:rsid w:val="00351BC8"/>
    <w:rsid w:val="003521E8"/>
    <w:rsid w:val="003541FF"/>
    <w:rsid w:val="003655D2"/>
    <w:rsid w:val="00370CE3"/>
    <w:rsid w:val="003728F3"/>
    <w:rsid w:val="003735BC"/>
    <w:rsid w:val="0037496E"/>
    <w:rsid w:val="00383221"/>
    <w:rsid w:val="00386150"/>
    <w:rsid w:val="003874CE"/>
    <w:rsid w:val="00390551"/>
    <w:rsid w:val="00390900"/>
    <w:rsid w:val="003A7F6C"/>
    <w:rsid w:val="003B4D60"/>
    <w:rsid w:val="003B7E39"/>
    <w:rsid w:val="003C58DC"/>
    <w:rsid w:val="003D1E62"/>
    <w:rsid w:val="003E0B99"/>
    <w:rsid w:val="003E2486"/>
    <w:rsid w:val="003E3208"/>
    <w:rsid w:val="003F0B04"/>
    <w:rsid w:val="0040134E"/>
    <w:rsid w:val="0042150C"/>
    <w:rsid w:val="004334C7"/>
    <w:rsid w:val="004349D5"/>
    <w:rsid w:val="0043552A"/>
    <w:rsid w:val="00440A2D"/>
    <w:rsid w:val="00441C3F"/>
    <w:rsid w:val="00444D1A"/>
    <w:rsid w:val="0045186A"/>
    <w:rsid w:val="004564A7"/>
    <w:rsid w:val="00456765"/>
    <w:rsid w:val="004617BF"/>
    <w:rsid w:val="00463658"/>
    <w:rsid w:val="004637A0"/>
    <w:rsid w:val="004649E0"/>
    <w:rsid w:val="004722CC"/>
    <w:rsid w:val="00490483"/>
    <w:rsid w:val="004936E4"/>
    <w:rsid w:val="00494E60"/>
    <w:rsid w:val="00497487"/>
    <w:rsid w:val="004A2771"/>
    <w:rsid w:val="004A6189"/>
    <w:rsid w:val="004A7390"/>
    <w:rsid w:val="004B7B76"/>
    <w:rsid w:val="004C239D"/>
    <w:rsid w:val="004C2DCA"/>
    <w:rsid w:val="004C61D2"/>
    <w:rsid w:val="004F0C4A"/>
    <w:rsid w:val="004F0F38"/>
    <w:rsid w:val="004F47D6"/>
    <w:rsid w:val="00500337"/>
    <w:rsid w:val="00501921"/>
    <w:rsid w:val="00530354"/>
    <w:rsid w:val="0053625B"/>
    <w:rsid w:val="005434C6"/>
    <w:rsid w:val="00543B39"/>
    <w:rsid w:val="00546154"/>
    <w:rsid w:val="00550096"/>
    <w:rsid w:val="00552756"/>
    <w:rsid w:val="00555280"/>
    <w:rsid w:val="00557FF9"/>
    <w:rsid w:val="005600F4"/>
    <w:rsid w:val="00562327"/>
    <w:rsid w:val="005711D5"/>
    <w:rsid w:val="00576378"/>
    <w:rsid w:val="00577130"/>
    <w:rsid w:val="00577945"/>
    <w:rsid w:val="00577E38"/>
    <w:rsid w:val="00585322"/>
    <w:rsid w:val="005857C6"/>
    <w:rsid w:val="00592F6E"/>
    <w:rsid w:val="00593AD1"/>
    <w:rsid w:val="00597291"/>
    <w:rsid w:val="005A1E48"/>
    <w:rsid w:val="005A68B6"/>
    <w:rsid w:val="005C5570"/>
    <w:rsid w:val="005C79A4"/>
    <w:rsid w:val="005D5442"/>
    <w:rsid w:val="005F4507"/>
    <w:rsid w:val="005F6488"/>
    <w:rsid w:val="00603F32"/>
    <w:rsid w:val="00605AD4"/>
    <w:rsid w:val="00611EB1"/>
    <w:rsid w:val="006136D7"/>
    <w:rsid w:val="0061561B"/>
    <w:rsid w:val="00625A6E"/>
    <w:rsid w:val="00632398"/>
    <w:rsid w:val="00640FC3"/>
    <w:rsid w:val="00642020"/>
    <w:rsid w:val="006430EE"/>
    <w:rsid w:val="00653148"/>
    <w:rsid w:val="0065337B"/>
    <w:rsid w:val="0065419D"/>
    <w:rsid w:val="006547B3"/>
    <w:rsid w:val="006603BC"/>
    <w:rsid w:val="006604D8"/>
    <w:rsid w:val="00664A5B"/>
    <w:rsid w:val="0066735C"/>
    <w:rsid w:val="006763D2"/>
    <w:rsid w:val="00680C08"/>
    <w:rsid w:val="006916A0"/>
    <w:rsid w:val="006931B1"/>
    <w:rsid w:val="006A15C0"/>
    <w:rsid w:val="006A426B"/>
    <w:rsid w:val="006A58A8"/>
    <w:rsid w:val="006B4A8F"/>
    <w:rsid w:val="006C3E2A"/>
    <w:rsid w:val="006C642F"/>
    <w:rsid w:val="006D03E5"/>
    <w:rsid w:val="006D5D3E"/>
    <w:rsid w:val="006E08B3"/>
    <w:rsid w:val="006E4483"/>
    <w:rsid w:val="006F17AC"/>
    <w:rsid w:val="006F25B8"/>
    <w:rsid w:val="006F572E"/>
    <w:rsid w:val="007046D6"/>
    <w:rsid w:val="00705DB0"/>
    <w:rsid w:val="00722B57"/>
    <w:rsid w:val="00730F8A"/>
    <w:rsid w:val="00735A8C"/>
    <w:rsid w:val="0074253D"/>
    <w:rsid w:val="0074429B"/>
    <w:rsid w:val="00754B87"/>
    <w:rsid w:val="007615BC"/>
    <w:rsid w:val="00762F05"/>
    <w:rsid w:val="007652FF"/>
    <w:rsid w:val="00770CAC"/>
    <w:rsid w:val="00770EF1"/>
    <w:rsid w:val="00773EF7"/>
    <w:rsid w:val="00774AD9"/>
    <w:rsid w:val="00774E1D"/>
    <w:rsid w:val="007765D8"/>
    <w:rsid w:val="0077675A"/>
    <w:rsid w:val="00776F02"/>
    <w:rsid w:val="00780355"/>
    <w:rsid w:val="007819FD"/>
    <w:rsid w:val="00781E21"/>
    <w:rsid w:val="00785717"/>
    <w:rsid w:val="00785721"/>
    <w:rsid w:val="007906E3"/>
    <w:rsid w:val="00793A59"/>
    <w:rsid w:val="007A46F5"/>
    <w:rsid w:val="007A6505"/>
    <w:rsid w:val="007B6132"/>
    <w:rsid w:val="007B6E9F"/>
    <w:rsid w:val="007C1216"/>
    <w:rsid w:val="007C1AF7"/>
    <w:rsid w:val="007C6B9B"/>
    <w:rsid w:val="00805D27"/>
    <w:rsid w:val="00806DCB"/>
    <w:rsid w:val="00821776"/>
    <w:rsid w:val="008321F5"/>
    <w:rsid w:val="00832369"/>
    <w:rsid w:val="00834660"/>
    <w:rsid w:val="00836BC2"/>
    <w:rsid w:val="0085156D"/>
    <w:rsid w:val="00852B28"/>
    <w:rsid w:val="0085641B"/>
    <w:rsid w:val="00857136"/>
    <w:rsid w:val="00874DC3"/>
    <w:rsid w:val="00875A6B"/>
    <w:rsid w:val="00885B11"/>
    <w:rsid w:val="00886D15"/>
    <w:rsid w:val="00887DD8"/>
    <w:rsid w:val="00891BA9"/>
    <w:rsid w:val="00896018"/>
    <w:rsid w:val="008960DD"/>
    <w:rsid w:val="0089635C"/>
    <w:rsid w:val="008A2B9D"/>
    <w:rsid w:val="008A2E25"/>
    <w:rsid w:val="008A3D9F"/>
    <w:rsid w:val="008A5B71"/>
    <w:rsid w:val="008A5E0B"/>
    <w:rsid w:val="008A6D59"/>
    <w:rsid w:val="008B337F"/>
    <w:rsid w:val="008B3DA6"/>
    <w:rsid w:val="008B4B03"/>
    <w:rsid w:val="008B596F"/>
    <w:rsid w:val="008C159F"/>
    <w:rsid w:val="008C1623"/>
    <w:rsid w:val="008C1850"/>
    <w:rsid w:val="008C51A9"/>
    <w:rsid w:val="008E7846"/>
    <w:rsid w:val="008F02E5"/>
    <w:rsid w:val="008F1CCC"/>
    <w:rsid w:val="008F2967"/>
    <w:rsid w:val="008F6943"/>
    <w:rsid w:val="00902A21"/>
    <w:rsid w:val="0091523F"/>
    <w:rsid w:val="00920330"/>
    <w:rsid w:val="009219D7"/>
    <w:rsid w:val="00922D53"/>
    <w:rsid w:val="00923B70"/>
    <w:rsid w:val="00924482"/>
    <w:rsid w:val="00930237"/>
    <w:rsid w:val="00931717"/>
    <w:rsid w:val="00931EE1"/>
    <w:rsid w:val="00937C17"/>
    <w:rsid w:val="00940A89"/>
    <w:rsid w:val="00941F77"/>
    <w:rsid w:val="00946EA5"/>
    <w:rsid w:val="00960520"/>
    <w:rsid w:val="00963C08"/>
    <w:rsid w:val="009752A5"/>
    <w:rsid w:val="0098585A"/>
    <w:rsid w:val="009A4CED"/>
    <w:rsid w:val="009A690D"/>
    <w:rsid w:val="009B1D12"/>
    <w:rsid w:val="009B416B"/>
    <w:rsid w:val="009C4BD5"/>
    <w:rsid w:val="009D7B77"/>
    <w:rsid w:val="009E0BB0"/>
    <w:rsid w:val="009E3FBB"/>
    <w:rsid w:val="009F7353"/>
    <w:rsid w:val="00A00E28"/>
    <w:rsid w:val="00A04F85"/>
    <w:rsid w:val="00A05FA4"/>
    <w:rsid w:val="00A102E4"/>
    <w:rsid w:val="00A1219C"/>
    <w:rsid w:val="00A12C42"/>
    <w:rsid w:val="00A14DF7"/>
    <w:rsid w:val="00A22D57"/>
    <w:rsid w:val="00A3246D"/>
    <w:rsid w:val="00A35DA0"/>
    <w:rsid w:val="00A36FA7"/>
    <w:rsid w:val="00A44DDB"/>
    <w:rsid w:val="00A475B7"/>
    <w:rsid w:val="00A47AF7"/>
    <w:rsid w:val="00A47C3E"/>
    <w:rsid w:val="00A50226"/>
    <w:rsid w:val="00A525C4"/>
    <w:rsid w:val="00A60BAD"/>
    <w:rsid w:val="00A641D8"/>
    <w:rsid w:val="00A77F87"/>
    <w:rsid w:val="00A80B5B"/>
    <w:rsid w:val="00A82B57"/>
    <w:rsid w:val="00A84E36"/>
    <w:rsid w:val="00A964D1"/>
    <w:rsid w:val="00A96618"/>
    <w:rsid w:val="00AA0ED0"/>
    <w:rsid w:val="00AA3A90"/>
    <w:rsid w:val="00AB0211"/>
    <w:rsid w:val="00AC2B40"/>
    <w:rsid w:val="00AC2BB2"/>
    <w:rsid w:val="00AC2C3C"/>
    <w:rsid w:val="00AC512D"/>
    <w:rsid w:val="00AD0083"/>
    <w:rsid w:val="00AD3935"/>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7076B"/>
    <w:rsid w:val="00B76B91"/>
    <w:rsid w:val="00B77EB1"/>
    <w:rsid w:val="00B811C6"/>
    <w:rsid w:val="00B855B0"/>
    <w:rsid w:val="00B92E08"/>
    <w:rsid w:val="00BC01FB"/>
    <w:rsid w:val="00BC2126"/>
    <w:rsid w:val="00BC622A"/>
    <w:rsid w:val="00BE0A78"/>
    <w:rsid w:val="00BE2962"/>
    <w:rsid w:val="00BE79F0"/>
    <w:rsid w:val="00BF046D"/>
    <w:rsid w:val="00BF1190"/>
    <w:rsid w:val="00BF3774"/>
    <w:rsid w:val="00BF5D04"/>
    <w:rsid w:val="00BF5D8D"/>
    <w:rsid w:val="00C009AA"/>
    <w:rsid w:val="00C1164D"/>
    <w:rsid w:val="00C16861"/>
    <w:rsid w:val="00C20B81"/>
    <w:rsid w:val="00C346AB"/>
    <w:rsid w:val="00C37DF6"/>
    <w:rsid w:val="00C404A6"/>
    <w:rsid w:val="00C40A36"/>
    <w:rsid w:val="00C44419"/>
    <w:rsid w:val="00C45E7B"/>
    <w:rsid w:val="00C471B1"/>
    <w:rsid w:val="00C52E24"/>
    <w:rsid w:val="00C6316B"/>
    <w:rsid w:val="00C631EA"/>
    <w:rsid w:val="00C634A9"/>
    <w:rsid w:val="00C64586"/>
    <w:rsid w:val="00C70D53"/>
    <w:rsid w:val="00C73D0B"/>
    <w:rsid w:val="00C74F5C"/>
    <w:rsid w:val="00C772FF"/>
    <w:rsid w:val="00C80137"/>
    <w:rsid w:val="00C801AF"/>
    <w:rsid w:val="00C80256"/>
    <w:rsid w:val="00C94CD4"/>
    <w:rsid w:val="00C9747E"/>
    <w:rsid w:val="00CB4840"/>
    <w:rsid w:val="00CB6BC0"/>
    <w:rsid w:val="00CC1B7C"/>
    <w:rsid w:val="00CC727F"/>
    <w:rsid w:val="00CE73B7"/>
    <w:rsid w:val="00CF15C3"/>
    <w:rsid w:val="00CF2B6F"/>
    <w:rsid w:val="00CF2F3E"/>
    <w:rsid w:val="00CF58B6"/>
    <w:rsid w:val="00D0062D"/>
    <w:rsid w:val="00D017ED"/>
    <w:rsid w:val="00D040D3"/>
    <w:rsid w:val="00D04C65"/>
    <w:rsid w:val="00D109BF"/>
    <w:rsid w:val="00D153D8"/>
    <w:rsid w:val="00D201D2"/>
    <w:rsid w:val="00D224FE"/>
    <w:rsid w:val="00D23139"/>
    <w:rsid w:val="00D37B29"/>
    <w:rsid w:val="00D425BB"/>
    <w:rsid w:val="00D453FA"/>
    <w:rsid w:val="00D6493E"/>
    <w:rsid w:val="00D7195D"/>
    <w:rsid w:val="00D7301E"/>
    <w:rsid w:val="00D83AE1"/>
    <w:rsid w:val="00D855D4"/>
    <w:rsid w:val="00D902C9"/>
    <w:rsid w:val="00D93466"/>
    <w:rsid w:val="00DA1124"/>
    <w:rsid w:val="00DA64CB"/>
    <w:rsid w:val="00DB06B8"/>
    <w:rsid w:val="00DB407B"/>
    <w:rsid w:val="00DB6124"/>
    <w:rsid w:val="00DB750B"/>
    <w:rsid w:val="00DB75B7"/>
    <w:rsid w:val="00DC0A2F"/>
    <w:rsid w:val="00DC1948"/>
    <w:rsid w:val="00DC6E02"/>
    <w:rsid w:val="00DD28CD"/>
    <w:rsid w:val="00DE02AE"/>
    <w:rsid w:val="00DE39D1"/>
    <w:rsid w:val="00DF1D7F"/>
    <w:rsid w:val="00DF4BE4"/>
    <w:rsid w:val="00DF5AFE"/>
    <w:rsid w:val="00E02382"/>
    <w:rsid w:val="00E02FB4"/>
    <w:rsid w:val="00E13FC7"/>
    <w:rsid w:val="00E20571"/>
    <w:rsid w:val="00E235F7"/>
    <w:rsid w:val="00E23659"/>
    <w:rsid w:val="00E239D4"/>
    <w:rsid w:val="00E26130"/>
    <w:rsid w:val="00E40B22"/>
    <w:rsid w:val="00E44ED1"/>
    <w:rsid w:val="00E45619"/>
    <w:rsid w:val="00E4588F"/>
    <w:rsid w:val="00E46DA3"/>
    <w:rsid w:val="00E51BB1"/>
    <w:rsid w:val="00E55CB0"/>
    <w:rsid w:val="00E563FE"/>
    <w:rsid w:val="00E624A5"/>
    <w:rsid w:val="00E64BA4"/>
    <w:rsid w:val="00E7344E"/>
    <w:rsid w:val="00E82665"/>
    <w:rsid w:val="00EA6557"/>
    <w:rsid w:val="00EB0798"/>
    <w:rsid w:val="00EB40AD"/>
    <w:rsid w:val="00EB4B99"/>
    <w:rsid w:val="00EB586E"/>
    <w:rsid w:val="00EB5FC8"/>
    <w:rsid w:val="00EC463D"/>
    <w:rsid w:val="00EC6BF5"/>
    <w:rsid w:val="00EC7A85"/>
    <w:rsid w:val="00ED2922"/>
    <w:rsid w:val="00ED3CAD"/>
    <w:rsid w:val="00ED5A41"/>
    <w:rsid w:val="00EE1DE8"/>
    <w:rsid w:val="00EE27C2"/>
    <w:rsid w:val="00EF302A"/>
    <w:rsid w:val="00EF4BAD"/>
    <w:rsid w:val="00EF59DC"/>
    <w:rsid w:val="00F033EC"/>
    <w:rsid w:val="00F04F68"/>
    <w:rsid w:val="00F12216"/>
    <w:rsid w:val="00F12670"/>
    <w:rsid w:val="00F14B27"/>
    <w:rsid w:val="00F168D1"/>
    <w:rsid w:val="00F3148D"/>
    <w:rsid w:val="00F325C5"/>
    <w:rsid w:val="00F32FE0"/>
    <w:rsid w:val="00F35298"/>
    <w:rsid w:val="00F47333"/>
    <w:rsid w:val="00F47E37"/>
    <w:rsid w:val="00F53C07"/>
    <w:rsid w:val="00F54B65"/>
    <w:rsid w:val="00F640B6"/>
    <w:rsid w:val="00F66DF2"/>
    <w:rsid w:val="00F75DF5"/>
    <w:rsid w:val="00F80E40"/>
    <w:rsid w:val="00F848D9"/>
    <w:rsid w:val="00FA5069"/>
    <w:rsid w:val="00FA5B82"/>
    <w:rsid w:val="00FA639E"/>
    <w:rsid w:val="00FB3B17"/>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357E57"/>
  <w15:docId w15:val="{474C00B3-6041-4A16-9200-6FDDAC77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776F02"/>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TabletextChar">
    <w:name w:val="Table text Char"/>
    <w:basedOn w:val="DefaultParagraphFont"/>
    <w:link w:val="Tabletext"/>
    <w:locked/>
    <w:rsid w:val="00BF5D8D"/>
    <w:rPr>
      <w:rFonts w:ascii="Cambria" w:eastAsia="Cambria" w:hAnsi="Cambria" w:cs="Times New Roman"/>
      <w:sz w:val="19"/>
    </w:rPr>
  </w:style>
  <w:style w:type="character" w:customStyle="1" w:styleId="SummaryofsafetyconcernsChar">
    <w:name w:val="Summary of safety concerns Char"/>
    <w:basedOn w:val="TabletextChar"/>
    <w:link w:val="Summaryofsafetyconcerns"/>
    <w:locked/>
    <w:rsid w:val="00931717"/>
    <w:rPr>
      <w:rFonts w:ascii="Cambria" w:eastAsia="Times New Roman" w:hAnsi="Cambria" w:cs="Times New Roman"/>
      <w:b/>
      <w:kern w:val="16"/>
      <w:sz w:val="20"/>
      <w:szCs w:val="24"/>
    </w:rPr>
  </w:style>
  <w:style w:type="paragraph" w:customStyle="1" w:styleId="Summaryofsafetyconcerns">
    <w:name w:val="Summary of safety concerns"/>
    <w:basedOn w:val="Tabletext"/>
    <w:link w:val="SummaryofsafetyconcernsChar"/>
    <w:qFormat/>
    <w:rsid w:val="00931717"/>
    <w:pPr>
      <w:snapToGrid w:val="0"/>
      <w:spacing w:before="20" w:after="20" w:line="252" w:lineRule="auto"/>
    </w:pPr>
    <w:rPr>
      <w:rFonts w:eastAsia="Times New Roman"/>
      <w:b/>
      <w:kern w:val="16"/>
      <w:sz w:val="20"/>
      <w:szCs w:val="24"/>
    </w:rPr>
  </w:style>
  <w:style w:type="paragraph" w:styleId="ListParagraph">
    <w:name w:val="List Paragraph"/>
    <w:basedOn w:val="Normal"/>
    <w:link w:val="ListParagraphChar"/>
    <w:uiPriority w:val="1"/>
    <w:qFormat/>
    <w:rsid w:val="00874DC3"/>
    <w:pPr>
      <w:ind w:left="720"/>
      <w:contextualSpacing/>
    </w:pPr>
  </w:style>
  <w:style w:type="table" w:customStyle="1" w:styleId="TableTGAblue1">
    <w:name w:val="Table TGA blue1"/>
    <w:basedOn w:val="TableNormal"/>
    <w:uiPriority w:val="99"/>
    <w:qFormat/>
    <w:rsid w:val="00023EC0"/>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ListParagraphChar">
    <w:name w:val="List Paragraph Char"/>
    <w:basedOn w:val="DefaultParagraphFont"/>
    <w:link w:val="ListParagraph"/>
    <w:uiPriority w:val="1"/>
    <w:rsid w:val="00D37B29"/>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6523">
      <w:bodyDiv w:val="1"/>
      <w:marLeft w:val="0"/>
      <w:marRight w:val="0"/>
      <w:marTop w:val="0"/>
      <w:marBottom w:val="0"/>
      <w:divBdr>
        <w:top w:val="none" w:sz="0" w:space="0" w:color="auto"/>
        <w:left w:val="none" w:sz="0" w:space="0" w:color="auto"/>
        <w:bottom w:val="none" w:sz="0" w:space="0" w:color="auto"/>
        <w:right w:val="none" w:sz="0" w:space="0" w:color="auto"/>
      </w:divBdr>
    </w:div>
    <w:div w:id="524296906">
      <w:bodyDiv w:val="1"/>
      <w:marLeft w:val="0"/>
      <w:marRight w:val="0"/>
      <w:marTop w:val="0"/>
      <w:marBottom w:val="0"/>
      <w:divBdr>
        <w:top w:val="none" w:sz="0" w:space="0" w:color="auto"/>
        <w:left w:val="none" w:sz="0" w:space="0" w:color="auto"/>
        <w:bottom w:val="none" w:sz="0" w:space="0" w:color="auto"/>
        <w:right w:val="none" w:sz="0" w:space="0" w:color="auto"/>
      </w:divBdr>
    </w:div>
    <w:div w:id="706101275">
      <w:bodyDiv w:val="1"/>
      <w:marLeft w:val="0"/>
      <w:marRight w:val="0"/>
      <w:marTop w:val="0"/>
      <w:marBottom w:val="0"/>
      <w:divBdr>
        <w:top w:val="none" w:sz="0" w:space="0" w:color="auto"/>
        <w:left w:val="none" w:sz="0" w:space="0" w:color="auto"/>
        <w:bottom w:val="none" w:sz="0" w:space="0" w:color="auto"/>
        <w:right w:val="none" w:sz="0" w:space="0" w:color="auto"/>
      </w:divBdr>
    </w:div>
    <w:div w:id="917667535">
      <w:bodyDiv w:val="1"/>
      <w:marLeft w:val="0"/>
      <w:marRight w:val="0"/>
      <w:marTop w:val="0"/>
      <w:marBottom w:val="0"/>
      <w:divBdr>
        <w:top w:val="none" w:sz="0" w:space="0" w:color="auto"/>
        <w:left w:val="none" w:sz="0" w:space="0" w:color="auto"/>
        <w:bottom w:val="none" w:sz="0" w:space="0" w:color="auto"/>
        <w:right w:val="none" w:sz="0" w:space="0" w:color="auto"/>
      </w:divBdr>
      <w:divsChild>
        <w:div w:id="1435979035">
          <w:marLeft w:val="0"/>
          <w:marRight w:val="0"/>
          <w:marTop w:val="100"/>
          <w:marBottom w:val="100"/>
          <w:divBdr>
            <w:top w:val="none" w:sz="0" w:space="0" w:color="auto"/>
            <w:left w:val="none" w:sz="0" w:space="0" w:color="auto"/>
            <w:bottom w:val="none" w:sz="0" w:space="0" w:color="auto"/>
            <w:right w:val="none" w:sz="0" w:space="0" w:color="auto"/>
          </w:divBdr>
          <w:divsChild>
            <w:div w:id="1396659845">
              <w:marLeft w:val="0"/>
              <w:marRight w:val="0"/>
              <w:marTop w:val="0"/>
              <w:marBottom w:val="0"/>
              <w:divBdr>
                <w:top w:val="none" w:sz="0" w:space="0" w:color="auto"/>
                <w:left w:val="none" w:sz="0" w:space="0" w:color="auto"/>
                <w:bottom w:val="none" w:sz="0" w:space="0" w:color="auto"/>
                <w:right w:val="none" w:sz="0" w:space="0" w:color="auto"/>
              </w:divBdr>
              <w:divsChild>
                <w:div w:id="1822769779">
                  <w:marLeft w:val="0"/>
                  <w:marRight w:val="0"/>
                  <w:marTop w:val="0"/>
                  <w:marBottom w:val="0"/>
                  <w:divBdr>
                    <w:top w:val="none" w:sz="0" w:space="0" w:color="auto"/>
                    <w:left w:val="none" w:sz="0" w:space="0" w:color="auto"/>
                    <w:bottom w:val="none" w:sz="0" w:space="0" w:color="auto"/>
                    <w:right w:val="none" w:sz="0" w:space="0" w:color="auto"/>
                  </w:divBdr>
                  <w:divsChild>
                    <w:div w:id="860440497">
                      <w:marLeft w:val="0"/>
                      <w:marRight w:val="0"/>
                      <w:marTop w:val="0"/>
                      <w:marBottom w:val="0"/>
                      <w:divBdr>
                        <w:top w:val="none" w:sz="0" w:space="0" w:color="auto"/>
                        <w:left w:val="none" w:sz="0" w:space="0" w:color="auto"/>
                        <w:bottom w:val="none" w:sz="0" w:space="0" w:color="auto"/>
                        <w:right w:val="none" w:sz="0" w:space="0" w:color="auto"/>
                      </w:divBdr>
                      <w:divsChild>
                        <w:div w:id="321812820">
                          <w:marLeft w:val="0"/>
                          <w:marRight w:val="0"/>
                          <w:marTop w:val="0"/>
                          <w:marBottom w:val="0"/>
                          <w:divBdr>
                            <w:top w:val="none" w:sz="0" w:space="0" w:color="auto"/>
                            <w:left w:val="none" w:sz="0" w:space="0" w:color="auto"/>
                            <w:bottom w:val="none" w:sz="0" w:space="0" w:color="auto"/>
                            <w:right w:val="none" w:sz="0" w:space="0" w:color="auto"/>
                          </w:divBdr>
                          <w:divsChild>
                            <w:div w:id="325400303">
                              <w:marLeft w:val="0"/>
                              <w:marRight w:val="0"/>
                              <w:marTop w:val="0"/>
                              <w:marBottom w:val="0"/>
                              <w:divBdr>
                                <w:top w:val="none" w:sz="0" w:space="0" w:color="auto"/>
                                <w:left w:val="none" w:sz="0" w:space="0" w:color="auto"/>
                                <w:bottom w:val="none" w:sz="0" w:space="0" w:color="auto"/>
                                <w:right w:val="none" w:sz="0" w:space="0" w:color="auto"/>
                              </w:divBdr>
                              <w:divsChild>
                                <w:div w:id="10360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716718">
      <w:bodyDiv w:val="1"/>
      <w:marLeft w:val="0"/>
      <w:marRight w:val="0"/>
      <w:marTop w:val="0"/>
      <w:marBottom w:val="0"/>
      <w:divBdr>
        <w:top w:val="none" w:sz="0" w:space="0" w:color="auto"/>
        <w:left w:val="none" w:sz="0" w:space="0" w:color="auto"/>
        <w:bottom w:val="none" w:sz="0" w:space="0" w:color="auto"/>
        <w:right w:val="none" w:sz="0" w:space="0" w:color="auto"/>
      </w:divBdr>
    </w:div>
    <w:div w:id="1193491783">
      <w:bodyDiv w:val="1"/>
      <w:marLeft w:val="0"/>
      <w:marRight w:val="0"/>
      <w:marTop w:val="0"/>
      <w:marBottom w:val="0"/>
      <w:divBdr>
        <w:top w:val="none" w:sz="0" w:space="0" w:color="auto"/>
        <w:left w:val="none" w:sz="0" w:space="0" w:color="auto"/>
        <w:bottom w:val="none" w:sz="0" w:space="0" w:color="auto"/>
        <w:right w:val="none" w:sz="0" w:space="0" w:color="auto"/>
      </w:divBdr>
    </w:div>
    <w:div w:id="1197812078">
      <w:bodyDiv w:val="1"/>
      <w:marLeft w:val="0"/>
      <w:marRight w:val="0"/>
      <w:marTop w:val="0"/>
      <w:marBottom w:val="0"/>
      <w:divBdr>
        <w:top w:val="none" w:sz="0" w:space="0" w:color="auto"/>
        <w:left w:val="none" w:sz="0" w:space="0" w:color="auto"/>
        <w:bottom w:val="none" w:sz="0" w:space="0" w:color="auto"/>
        <w:right w:val="none" w:sz="0" w:space="0" w:color="auto"/>
      </w:divBdr>
    </w:div>
    <w:div w:id="1234855497">
      <w:bodyDiv w:val="1"/>
      <w:marLeft w:val="0"/>
      <w:marRight w:val="0"/>
      <w:marTop w:val="0"/>
      <w:marBottom w:val="0"/>
      <w:divBdr>
        <w:top w:val="none" w:sz="0" w:space="0" w:color="auto"/>
        <w:left w:val="none" w:sz="0" w:space="0" w:color="auto"/>
        <w:bottom w:val="none" w:sz="0" w:space="0" w:color="auto"/>
        <w:right w:val="none" w:sz="0" w:space="0" w:color="auto"/>
      </w:divBdr>
    </w:div>
    <w:div w:id="1451589182">
      <w:bodyDiv w:val="1"/>
      <w:marLeft w:val="0"/>
      <w:marRight w:val="0"/>
      <w:marTop w:val="0"/>
      <w:marBottom w:val="0"/>
      <w:divBdr>
        <w:top w:val="none" w:sz="0" w:space="0" w:color="auto"/>
        <w:left w:val="none" w:sz="0" w:space="0" w:color="auto"/>
        <w:bottom w:val="none" w:sz="0" w:space="0" w:color="auto"/>
        <w:right w:val="none" w:sz="0" w:space="0" w:color="auto"/>
      </w:divBdr>
    </w:div>
    <w:div w:id="1519195323">
      <w:bodyDiv w:val="1"/>
      <w:marLeft w:val="0"/>
      <w:marRight w:val="0"/>
      <w:marTop w:val="0"/>
      <w:marBottom w:val="0"/>
      <w:divBdr>
        <w:top w:val="none" w:sz="0" w:space="0" w:color="auto"/>
        <w:left w:val="none" w:sz="0" w:space="0" w:color="auto"/>
        <w:bottom w:val="none" w:sz="0" w:space="0" w:color="auto"/>
        <w:right w:val="none" w:sz="0" w:space="0" w:color="auto"/>
      </w:divBdr>
    </w:div>
    <w:div w:id="189329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eader" Target="header4.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yperlink" Target="https://www.tga.gov.au/product-information-pi"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F9D55-D1D7-41AF-B387-F4CB0FC9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8719</Words>
  <Characters>49704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Australian public assessment report for Brigatinib</vt:lpstr>
    </vt:vector>
  </TitlesOfParts>
  <Company>Department of Health Therapeutic Goods Administration</Company>
  <LinksUpToDate>false</LinksUpToDate>
  <CharactersWithSpaces>58307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Brigatinib</dc:title>
  <dc:subject>prescription medicines</dc:subject>
  <dc:creator>Therapeutic Goods Administration</dc:creator>
  <cp:lastPrinted>2019-08-14T04:30:00Z</cp:lastPrinted>
  <dcterms:created xsi:type="dcterms:W3CDTF">2020-03-23T00:04:00Z</dcterms:created>
  <dcterms:modified xsi:type="dcterms:W3CDTF">2020-03-23T00:04:00Z</dcterms:modified>
</cp:coreProperties>
</file>