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C7A37CF" w14:textId="77777777" w:rsidTr="00BF1190">
        <w:trPr>
          <w:trHeight w:val="1863"/>
        </w:trPr>
        <w:tc>
          <w:tcPr>
            <w:tcW w:w="3652" w:type="dxa"/>
            <w:tcBorders>
              <w:top w:val="nil"/>
              <w:left w:val="nil"/>
              <w:bottom w:val="nil"/>
              <w:right w:val="nil"/>
            </w:tcBorders>
          </w:tcPr>
          <w:p w14:paraId="447EB889" w14:textId="10006EB4" w:rsidR="008E7846" w:rsidRPr="00096AA7" w:rsidRDefault="00633522" w:rsidP="00096AA7">
            <w:pPr>
              <w:rPr>
                <w:rFonts w:ascii="Arial" w:hAnsi="Arial" w:cs="Arial"/>
                <w:b/>
                <w:color w:val="002C47"/>
                <w:sz w:val="36"/>
                <w:szCs w:val="36"/>
              </w:rPr>
            </w:pPr>
            <w:r>
              <w:rPr>
                <w:rFonts w:ascii="Arial" w:hAnsi="Arial" w:cs="Arial"/>
                <w:b/>
                <w:color w:val="002C47"/>
                <w:sz w:val="36"/>
                <w:szCs w:val="36"/>
              </w:rPr>
              <w:t xml:space="preserve">September </w:t>
            </w:r>
            <w:r w:rsidR="005D41A2">
              <w:rPr>
                <w:rFonts w:ascii="Arial" w:hAnsi="Arial" w:cs="Arial"/>
                <w:b/>
                <w:color w:val="002C47"/>
                <w:sz w:val="36"/>
                <w:szCs w:val="36"/>
              </w:rPr>
              <w:t>2017</w:t>
            </w:r>
          </w:p>
        </w:tc>
      </w:tr>
    </w:tbl>
    <w:tbl>
      <w:tblPr>
        <w:tblpPr w:leftFromText="180" w:rightFromText="180" w:vertAnchor="page" w:tblpY="3316"/>
        <w:tblW w:w="9563" w:type="dxa"/>
        <w:tblLayout w:type="fixed"/>
        <w:tblLook w:val="04A0" w:firstRow="1" w:lastRow="0" w:firstColumn="1" w:lastColumn="0" w:noHBand="0" w:noVBand="1"/>
      </w:tblPr>
      <w:tblGrid>
        <w:gridCol w:w="9563"/>
      </w:tblGrid>
      <w:tr w:rsidR="0032583B" w:rsidRPr="00A964D1" w14:paraId="4F1E06FB" w14:textId="77777777" w:rsidTr="005D41A2">
        <w:trPr>
          <w:trHeight w:val="842"/>
        </w:trPr>
        <w:tc>
          <w:tcPr>
            <w:tcW w:w="9563" w:type="dxa"/>
          </w:tcPr>
          <w:p w14:paraId="07BBEA74" w14:textId="77777777" w:rsidR="0032583B" w:rsidRPr="00A964D1" w:rsidRDefault="0032583B" w:rsidP="00A964D1">
            <w:pPr>
              <w:pStyle w:val="Title"/>
              <w:rPr>
                <w:color w:val="FFFFFF" w:themeColor="background1"/>
              </w:rPr>
            </w:pPr>
            <w:r w:rsidRPr="00A964D1">
              <w:rPr>
                <w:color w:val="FFFFFF" w:themeColor="background1"/>
              </w:rPr>
              <w:t>Australian P</w:t>
            </w:r>
            <w:r w:rsidR="005D41A2">
              <w:rPr>
                <w:color w:val="FFFFFF" w:themeColor="background1"/>
              </w:rPr>
              <w:t>ublic Assessment Report for Brentuximab vedotin</w:t>
            </w:r>
          </w:p>
        </w:tc>
      </w:tr>
      <w:tr w:rsidR="0032583B" w:rsidRPr="00B64760" w14:paraId="3FB6EA34" w14:textId="77777777" w:rsidTr="005D41A2">
        <w:trPr>
          <w:trHeight w:val="917"/>
        </w:trPr>
        <w:tc>
          <w:tcPr>
            <w:tcW w:w="9563" w:type="dxa"/>
          </w:tcPr>
          <w:p w14:paraId="4DFEB6C8" w14:textId="77777777" w:rsidR="0032583B" w:rsidRPr="008E7846" w:rsidRDefault="005D41A2" w:rsidP="005D41A2">
            <w:pPr>
              <w:pStyle w:val="Subtitle"/>
              <w:ind w:left="0"/>
              <w:rPr>
                <w:color w:val="FFFFFF" w:themeColor="background1"/>
              </w:rPr>
            </w:pPr>
            <w:r>
              <w:rPr>
                <w:color w:val="FFFFFF" w:themeColor="background1"/>
              </w:rPr>
              <w:t>Proprietary Product Name: Adcetris</w:t>
            </w:r>
          </w:p>
        </w:tc>
      </w:tr>
      <w:tr w:rsidR="0032583B" w:rsidRPr="00B64760" w14:paraId="26AB64C6" w14:textId="77777777" w:rsidTr="005D41A2">
        <w:trPr>
          <w:trHeight w:val="471"/>
        </w:trPr>
        <w:tc>
          <w:tcPr>
            <w:tcW w:w="9563" w:type="dxa"/>
          </w:tcPr>
          <w:p w14:paraId="674394AB" w14:textId="77777777" w:rsidR="0032583B" w:rsidRPr="008E7846" w:rsidRDefault="0032583B" w:rsidP="005D41A2">
            <w:pPr>
              <w:pStyle w:val="Subtitle"/>
              <w:ind w:left="0"/>
              <w:rPr>
                <w:color w:val="FFFFFF" w:themeColor="background1"/>
              </w:rPr>
            </w:pPr>
            <w:r w:rsidRPr="008E7846">
              <w:rPr>
                <w:color w:val="FFFFFF" w:themeColor="background1"/>
              </w:rPr>
              <w:t>Sponsor:</w:t>
            </w:r>
            <w:r w:rsidR="005D41A2">
              <w:rPr>
                <w:color w:val="FFFFFF" w:themeColor="background1"/>
              </w:rPr>
              <w:t xml:space="preserve"> Takeda Pharmaceuticals Australia Pty Ltd</w:t>
            </w:r>
          </w:p>
        </w:tc>
      </w:tr>
    </w:tbl>
    <w:p w14:paraId="1845D50D" w14:textId="77777777" w:rsidR="008E7846" w:rsidRPr="0085156D" w:rsidRDefault="008E7846" w:rsidP="0085156D">
      <w:r w:rsidRPr="0085156D">
        <w:br w:type="page"/>
      </w:r>
    </w:p>
    <w:p w14:paraId="4A0B1463" w14:textId="77777777" w:rsidR="008E7846" w:rsidRPr="001F6CBA" w:rsidRDefault="008E7846" w:rsidP="008E7846">
      <w:pPr>
        <w:pStyle w:val="NonTOCHeading2"/>
      </w:pPr>
      <w:r w:rsidRPr="001F6CBA">
        <w:lastRenderedPageBreak/>
        <w:t>About the Therapeutic Goods Administration (TGA)</w:t>
      </w:r>
    </w:p>
    <w:p w14:paraId="2619EA7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B43A7AC"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D845B4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9AEC547"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0D312D5"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5C862748" w14:textId="77777777" w:rsidR="008E7846" w:rsidRDefault="008E7846" w:rsidP="00875A6B">
      <w:pPr>
        <w:pStyle w:val="NonTOCHeading2"/>
      </w:pPr>
      <w:r>
        <w:t>About AusPARs</w:t>
      </w:r>
    </w:p>
    <w:p w14:paraId="219DCDF3"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DF2A01F" w14:textId="77777777" w:rsidR="008E7846" w:rsidRDefault="008E7846" w:rsidP="008E7846">
      <w:pPr>
        <w:pStyle w:val="ListBullet"/>
        <w:numPr>
          <w:ilvl w:val="0"/>
          <w:numId w:val="3"/>
        </w:numPr>
        <w:ind w:left="357" w:hanging="357"/>
      </w:pPr>
      <w:r>
        <w:t>AusPARs are prepared and published by the TGA.</w:t>
      </w:r>
    </w:p>
    <w:p w14:paraId="1FF58B9F"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29FA1BBE"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B071EB6"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B323263" w14:textId="77777777" w:rsidR="00924482" w:rsidRPr="00DF1D7F" w:rsidRDefault="00924482" w:rsidP="00F54B65">
      <w:pPr>
        <w:pStyle w:val="LegalSubheading"/>
        <w:spacing w:before="3120"/>
      </w:pPr>
      <w:bookmarkStart w:id="0" w:name="_GoBack"/>
      <w:r w:rsidRPr="00DF1D7F">
        <w:t>Copyright</w:t>
      </w:r>
    </w:p>
    <w:bookmarkEnd w:id="0"/>
    <w:p w14:paraId="2FC3ECFD" w14:textId="2ABA1DCD" w:rsidR="00924482" w:rsidRDefault="00924482" w:rsidP="00924482">
      <w:pPr>
        <w:pStyle w:val="LegalCopy"/>
      </w:pPr>
      <w:r w:rsidRPr="00191B3B">
        <w:rPr>
          <w:rFonts w:cs="Arial"/>
          <w:lang w:val="en-GB"/>
        </w:rPr>
        <w:t>© Comm</w:t>
      </w:r>
      <w:r>
        <w:rPr>
          <w:rFonts w:cs="Arial"/>
          <w:lang w:val="en-GB"/>
        </w:rPr>
        <w:t>onwealth of Australia 201</w:t>
      </w:r>
      <w:r w:rsidR="009701A0">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0A676467"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B8389A0" w14:textId="77777777" w:rsidR="0089635C" w:rsidRPr="0089635C" w:rsidRDefault="0089635C" w:rsidP="0010788A">
          <w:pPr>
            <w:pStyle w:val="Contents"/>
          </w:pPr>
          <w:r w:rsidRPr="0010788A">
            <w:t>Contents</w:t>
          </w:r>
        </w:p>
        <w:p w14:paraId="568F4543" w14:textId="77777777" w:rsidR="006D27F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5400768" w:history="1">
            <w:r w:rsidR="006D27FB" w:rsidRPr="000B74F8">
              <w:rPr>
                <w:rStyle w:val="Hyperlink"/>
                <w:noProof/>
              </w:rPr>
              <w:t>Common abbreviations</w:t>
            </w:r>
            <w:r w:rsidR="006D27FB">
              <w:rPr>
                <w:noProof/>
                <w:webHidden/>
              </w:rPr>
              <w:tab/>
            </w:r>
            <w:r w:rsidR="006D27FB">
              <w:rPr>
                <w:noProof/>
                <w:webHidden/>
              </w:rPr>
              <w:fldChar w:fldCharType="begin"/>
            </w:r>
            <w:r w:rsidR="006D27FB">
              <w:rPr>
                <w:noProof/>
                <w:webHidden/>
              </w:rPr>
              <w:instrText xml:space="preserve"> PAGEREF _Toc495400768 \h </w:instrText>
            </w:r>
            <w:r w:rsidR="006D27FB">
              <w:rPr>
                <w:noProof/>
                <w:webHidden/>
              </w:rPr>
            </w:r>
            <w:r w:rsidR="006D27FB">
              <w:rPr>
                <w:noProof/>
                <w:webHidden/>
              </w:rPr>
              <w:fldChar w:fldCharType="separate"/>
            </w:r>
            <w:r w:rsidR="006D27FB">
              <w:rPr>
                <w:noProof/>
                <w:webHidden/>
              </w:rPr>
              <w:t>4</w:t>
            </w:r>
            <w:r w:rsidR="006D27FB">
              <w:rPr>
                <w:noProof/>
                <w:webHidden/>
              </w:rPr>
              <w:fldChar w:fldCharType="end"/>
            </w:r>
          </w:hyperlink>
        </w:p>
        <w:p w14:paraId="5160F999" w14:textId="77777777" w:rsidR="006D27FB" w:rsidRDefault="006D27FB">
          <w:pPr>
            <w:pStyle w:val="TOC2"/>
            <w:rPr>
              <w:rFonts w:asciiTheme="minorHAnsi" w:eastAsiaTheme="minorEastAsia" w:hAnsiTheme="minorHAnsi" w:cstheme="minorBidi"/>
              <w:b w:val="0"/>
              <w:noProof/>
              <w:sz w:val="22"/>
              <w:lang w:eastAsia="en-AU"/>
            </w:rPr>
          </w:pPr>
          <w:hyperlink w:anchor="_Toc495400769" w:history="1">
            <w:r w:rsidRPr="000B74F8">
              <w:rPr>
                <w:rStyle w:val="Hyperlink"/>
                <w:noProof/>
              </w:rPr>
              <w:t>I. Introduction to product submission</w:t>
            </w:r>
            <w:r>
              <w:rPr>
                <w:noProof/>
                <w:webHidden/>
              </w:rPr>
              <w:tab/>
            </w:r>
            <w:r>
              <w:rPr>
                <w:noProof/>
                <w:webHidden/>
              </w:rPr>
              <w:fldChar w:fldCharType="begin"/>
            </w:r>
            <w:r>
              <w:rPr>
                <w:noProof/>
                <w:webHidden/>
              </w:rPr>
              <w:instrText xml:space="preserve"> PAGEREF _Toc495400769 \h </w:instrText>
            </w:r>
            <w:r>
              <w:rPr>
                <w:noProof/>
                <w:webHidden/>
              </w:rPr>
            </w:r>
            <w:r>
              <w:rPr>
                <w:noProof/>
                <w:webHidden/>
              </w:rPr>
              <w:fldChar w:fldCharType="separate"/>
            </w:r>
            <w:r>
              <w:rPr>
                <w:noProof/>
                <w:webHidden/>
              </w:rPr>
              <w:t>8</w:t>
            </w:r>
            <w:r>
              <w:rPr>
                <w:noProof/>
                <w:webHidden/>
              </w:rPr>
              <w:fldChar w:fldCharType="end"/>
            </w:r>
          </w:hyperlink>
        </w:p>
        <w:p w14:paraId="10544FC1" w14:textId="77777777" w:rsidR="006D27FB" w:rsidRDefault="006D27FB">
          <w:pPr>
            <w:pStyle w:val="TOC3"/>
            <w:rPr>
              <w:rFonts w:asciiTheme="minorHAnsi" w:eastAsiaTheme="minorEastAsia" w:hAnsiTheme="minorHAnsi" w:cstheme="minorBidi"/>
              <w:noProof/>
              <w:lang w:eastAsia="en-AU"/>
            </w:rPr>
          </w:pPr>
          <w:hyperlink w:anchor="_Toc495400770" w:history="1">
            <w:r w:rsidRPr="000B74F8">
              <w:rPr>
                <w:rStyle w:val="Hyperlink"/>
                <w:noProof/>
                <w:lang w:eastAsia="en-AU"/>
              </w:rPr>
              <w:t>Submission details</w:t>
            </w:r>
            <w:r>
              <w:rPr>
                <w:noProof/>
                <w:webHidden/>
              </w:rPr>
              <w:tab/>
            </w:r>
            <w:r>
              <w:rPr>
                <w:noProof/>
                <w:webHidden/>
              </w:rPr>
              <w:fldChar w:fldCharType="begin"/>
            </w:r>
            <w:r>
              <w:rPr>
                <w:noProof/>
                <w:webHidden/>
              </w:rPr>
              <w:instrText xml:space="preserve"> PAGEREF _Toc495400770 \h </w:instrText>
            </w:r>
            <w:r>
              <w:rPr>
                <w:noProof/>
                <w:webHidden/>
              </w:rPr>
            </w:r>
            <w:r>
              <w:rPr>
                <w:noProof/>
                <w:webHidden/>
              </w:rPr>
              <w:fldChar w:fldCharType="separate"/>
            </w:r>
            <w:r>
              <w:rPr>
                <w:noProof/>
                <w:webHidden/>
              </w:rPr>
              <w:t>8</w:t>
            </w:r>
            <w:r>
              <w:rPr>
                <w:noProof/>
                <w:webHidden/>
              </w:rPr>
              <w:fldChar w:fldCharType="end"/>
            </w:r>
          </w:hyperlink>
        </w:p>
        <w:p w14:paraId="0D846B8B" w14:textId="77777777" w:rsidR="006D27FB" w:rsidRDefault="006D27FB">
          <w:pPr>
            <w:pStyle w:val="TOC3"/>
            <w:rPr>
              <w:rFonts w:asciiTheme="minorHAnsi" w:eastAsiaTheme="minorEastAsia" w:hAnsiTheme="minorHAnsi" w:cstheme="minorBidi"/>
              <w:noProof/>
              <w:lang w:eastAsia="en-AU"/>
            </w:rPr>
          </w:pPr>
          <w:hyperlink w:anchor="_Toc495400771" w:history="1">
            <w:r w:rsidRPr="000B74F8">
              <w:rPr>
                <w:rStyle w:val="Hyperlink"/>
                <w:noProof/>
              </w:rPr>
              <w:t>Product background</w:t>
            </w:r>
            <w:r>
              <w:rPr>
                <w:noProof/>
                <w:webHidden/>
              </w:rPr>
              <w:tab/>
            </w:r>
            <w:r>
              <w:rPr>
                <w:noProof/>
                <w:webHidden/>
              </w:rPr>
              <w:fldChar w:fldCharType="begin"/>
            </w:r>
            <w:r>
              <w:rPr>
                <w:noProof/>
                <w:webHidden/>
              </w:rPr>
              <w:instrText xml:space="preserve"> PAGEREF _Toc495400771 \h </w:instrText>
            </w:r>
            <w:r>
              <w:rPr>
                <w:noProof/>
                <w:webHidden/>
              </w:rPr>
            </w:r>
            <w:r>
              <w:rPr>
                <w:noProof/>
                <w:webHidden/>
              </w:rPr>
              <w:fldChar w:fldCharType="separate"/>
            </w:r>
            <w:r>
              <w:rPr>
                <w:noProof/>
                <w:webHidden/>
              </w:rPr>
              <w:t>8</w:t>
            </w:r>
            <w:r>
              <w:rPr>
                <w:noProof/>
                <w:webHidden/>
              </w:rPr>
              <w:fldChar w:fldCharType="end"/>
            </w:r>
          </w:hyperlink>
        </w:p>
        <w:p w14:paraId="2C1E7177" w14:textId="77777777" w:rsidR="006D27FB" w:rsidRDefault="006D27FB">
          <w:pPr>
            <w:pStyle w:val="TOC3"/>
            <w:rPr>
              <w:rFonts w:asciiTheme="minorHAnsi" w:eastAsiaTheme="minorEastAsia" w:hAnsiTheme="minorHAnsi" w:cstheme="minorBidi"/>
              <w:noProof/>
              <w:lang w:eastAsia="en-AU"/>
            </w:rPr>
          </w:pPr>
          <w:hyperlink w:anchor="_Toc495400772" w:history="1">
            <w:r w:rsidRPr="000B74F8">
              <w:rPr>
                <w:rStyle w:val="Hyperlink"/>
                <w:noProof/>
              </w:rPr>
              <w:t>Regulatory status</w:t>
            </w:r>
            <w:r>
              <w:rPr>
                <w:noProof/>
                <w:webHidden/>
              </w:rPr>
              <w:tab/>
            </w:r>
            <w:r>
              <w:rPr>
                <w:noProof/>
                <w:webHidden/>
              </w:rPr>
              <w:fldChar w:fldCharType="begin"/>
            </w:r>
            <w:r>
              <w:rPr>
                <w:noProof/>
                <w:webHidden/>
              </w:rPr>
              <w:instrText xml:space="preserve"> PAGEREF _Toc495400772 \h </w:instrText>
            </w:r>
            <w:r>
              <w:rPr>
                <w:noProof/>
                <w:webHidden/>
              </w:rPr>
            </w:r>
            <w:r>
              <w:rPr>
                <w:noProof/>
                <w:webHidden/>
              </w:rPr>
              <w:fldChar w:fldCharType="separate"/>
            </w:r>
            <w:r>
              <w:rPr>
                <w:noProof/>
                <w:webHidden/>
              </w:rPr>
              <w:t>10</w:t>
            </w:r>
            <w:r>
              <w:rPr>
                <w:noProof/>
                <w:webHidden/>
              </w:rPr>
              <w:fldChar w:fldCharType="end"/>
            </w:r>
          </w:hyperlink>
        </w:p>
        <w:p w14:paraId="26F39E06" w14:textId="77777777" w:rsidR="006D27FB" w:rsidRDefault="006D27FB">
          <w:pPr>
            <w:pStyle w:val="TOC3"/>
            <w:rPr>
              <w:rFonts w:asciiTheme="minorHAnsi" w:eastAsiaTheme="minorEastAsia" w:hAnsiTheme="minorHAnsi" w:cstheme="minorBidi"/>
              <w:noProof/>
              <w:lang w:eastAsia="en-AU"/>
            </w:rPr>
          </w:pPr>
          <w:hyperlink w:anchor="_Toc495400773" w:history="1">
            <w:r w:rsidRPr="000B74F8">
              <w:rPr>
                <w:rStyle w:val="Hyperlink"/>
                <w:noProof/>
              </w:rPr>
              <w:t>Product Information</w:t>
            </w:r>
            <w:r>
              <w:rPr>
                <w:noProof/>
                <w:webHidden/>
              </w:rPr>
              <w:tab/>
            </w:r>
            <w:r>
              <w:rPr>
                <w:noProof/>
                <w:webHidden/>
              </w:rPr>
              <w:fldChar w:fldCharType="begin"/>
            </w:r>
            <w:r>
              <w:rPr>
                <w:noProof/>
                <w:webHidden/>
              </w:rPr>
              <w:instrText xml:space="preserve"> PAGEREF _Toc495400773 \h </w:instrText>
            </w:r>
            <w:r>
              <w:rPr>
                <w:noProof/>
                <w:webHidden/>
              </w:rPr>
            </w:r>
            <w:r>
              <w:rPr>
                <w:noProof/>
                <w:webHidden/>
              </w:rPr>
              <w:fldChar w:fldCharType="separate"/>
            </w:r>
            <w:r>
              <w:rPr>
                <w:noProof/>
                <w:webHidden/>
              </w:rPr>
              <w:t>10</w:t>
            </w:r>
            <w:r>
              <w:rPr>
                <w:noProof/>
                <w:webHidden/>
              </w:rPr>
              <w:fldChar w:fldCharType="end"/>
            </w:r>
          </w:hyperlink>
        </w:p>
        <w:p w14:paraId="6B022411" w14:textId="77777777" w:rsidR="006D27FB" w:rsidRDefault="006D27FB">
          <w:pPr>
            <w:pStyle w:val="TOC2"/>
            <w:rPr>
              <w:rFonts w:asciiTheme="minorHAnsi" w:eastAsiaTheme="minorEastAsia" w:hAnsiTheme="minorHAnsi" w:cstheme="minorBidi"/>
              <w:b w:val="0"/>
              <w:noProof/>
              <w:sz w:val="22"/>
              <w:lang w:eastAsia="en-AU"/>
            </w:rPr>
          </w:pPr>
          <w:hyperlink w:anchor="_Toc495400774" w:history="1">
            <w:r w:rsidRPr="000B74F8">
              <w:rPr>
                <w:rStyle w:val="Hyperlink"/>
                <w:noProof/>
              </w:rPr>
              <w:t>II. Quality findings</w:t>
            </w:r>
            <w:r>
              <w:rPr>
                <w:noProof/>
                <w:webHidden/>
              </w:rPr>
              <w:tab/>
            </w:r>
            <w:r>
              <w:rPr>
                <w:noProof/>
                <w:webHidden/>
              </w:rPr>
              <w:fldChar w:fldCharType="begin"/>
            </w:r>
            <w:r>
              <w:rPr>
                <w:noProof/>
                <w:webHidden/>
              </w:rPr>
              <w:instrText xml:space="preserve"> PAGEREF _Toc495400774 \h </w:instrText>
            </w:r>
            <w:r>
              <w:rPr>
                <w:noProof/>
                <w:webHidden/>
              </w:rPr>
            </w:r>
            <w:r>
              <w:rPr>
                <w:noProof/>
                <w:webHidden/>
              </w:rPr>
              <w:fldChar w:fldCharType="separate"/>
            </w:r>
            <w:r>
              <w:rPr>
                <w:noProof/>
                <w:webHidden/>
              </w:rPr>
              <w:t>10</w:t>
            </w:r>
            <w:r>
              <w:rPr>
                <w:noProof/>
                <w:webHidden/>
              </w:rPr>
              <w:fldChar w:fldCharType="end"/>
            </w:r>
          </w:hyperlink>
        </w:p>
        <w:p w14:paraId="4C2EA2DA" w14:textId="77777777" w:rsidR="006D27FB" w:rsidRDefault="006D27FB">
          <w:pPr>
            <w:pStyle w:val="TOC2"/>
            <w:rPr>
              <w:rFonts w:asciiTheme="minorHAnsi" w:eastAsiaTheme="minorEastAsia" w:hAnsiTheme="minorHAnsi" w:cstheme="minorBidi"/>
              <w:b w:val="0"/>
              <w:noProof/>
              <w:sz w:val="22"/>
              <w:lang w:eastAsia="en-AU"/>
            </w:rPr>
          </w:pPr>
          <w:hyperlink w:anchor="_Toc495400775" w:history="1">
            <w:r w:rsidRPr="000B74F8">
              <w:rPr>
                <w:rStyle w:val="Hyperlink"/>
                <w:noProof/>
              </w:rPr>
              <w:t>III. Nonclinical findings</w:t>
            </w:r>
            <w:r>
              <w:rPr>
                <w:noProof/>
                <w:webHidden/>
              </w:rPr>
              <w:tab/>
            </w:r>
            <w:r>
              <w:rPr>
                <w:noProof/>
                <w:webHidden/>
              </w:rPr>
              <w:fldChar w:fldCharType="begin"/>
            </w:r>
            <w:r>
              <w:rPr>
                <w:noProof/>
                <w:webHidden/>
              </w:rPr>
              <w:instrText xml:space="preserve"> PAGEREF _Toc495400775 \h </w:instrText>
            </w:r>
            <w:r>
              <w:rPr>
                <w:noProof/>
                <w:webHidden/>
              </w:rPr>
            </w:r>
            <w:r>
              <w:rPr>
                <w:noProof/>
                <w:webHidden/>
              </w:rPr>
              <w:fldChar w:fldCharType="separate"/>
            </w:r>
            <w:r>
              <w:rPr>
                <w:noProof/>
                <w:webHidden/>
              </w:rPr>
              <w:t>10</w:t>
            </w:r>
            <w:r>
              <w:rPr>
                <w:noProof/>
                <w:webHidden/>
              </w:rPr>
              <w:fldChar w:fldCharType="end"/>
            </w:r>
          </w:hyperlink>
        </w:p>
        <w:p w14:paraId="342A56A5" w14:textId="77777777" w:rsidR="006D27FB" w:rsidRDefault="006D27FB">
          <w:pPr>
            <w:pStyle w:val="TOC2"/>
            <w:rPr>
              <w:rFonts w:asciiTheme="minorHAnsi" w:eastAsiaTheme="minorEastAsia" w:hAnsiTheme="minorHAnsi" w:cstheme="minorBidi"/>
              <w:b w:val="0"/>
              <w:noProof/>
              <w:sz w:val="22"/>
              <w:lang w:eastAsia="en-AU"/>
            </w:rPr>
          </w:pPr>
          <w:hyperlink w:anchor="_Toc495400776" w:history="1">
            <w:r w:rsidRPr="000B74F8">
              <w:rPr>
                <w:rStyle w:val="Hyperlink"/>
                <w:noProof/>
              </w:rPr>
              <w:t>IV. Clinical findings</w:t>
            </w:r>
            <w:r>
              <w:rPr>
                <w:noProof/>
                <w:webHidden/>
              </w:rPr>
              <w:tab/>
            </w:r>
            <w:r>
              <w:rPr>
                <w:noProof/>
                <w:webHidden/>
              </w:rPr>
              <w:fldChar w:fldCharType="begin"/>
            </w:r>
            <w:r>
              <w:rPr>
                <w:noProof/>
                <w:webHidden/>
              </w:rPr>
              <w:instrText xml:space="preserve"> PAGEREF _Toc495400776 \h </w:instrText>
            </w:r>
            <w:r>
              <w:rPr>
                <w:noProof/>
                <w:webHidden/>
              </w:rPr>
            </w:r>
            <w:r>
              <w:rPr>
                <w:noProof/>
                <w:webHidden/>
              </w:rPr>
              <w:fldChar w:fldCharType="separate"/>
            </w:r>
            <w:r>
              <w:rPr>
                <w:noProof/>
                <w:webHidden/>
              </w:rPr>
              <w:t>10</w:t>
            </w:r>
            <w:r>
              <w:rPr>
                <w:noProof/>
                <w:webHidden/>
              </w:rPr>
              <w:fldChar w:fldCharType="end"/>
            </w:r>
          </w:hyperlink>
        </w:p>
        <w:p w14:paraId="574ABC6D" w14:textId="77777777" w:rsidR="006D27FB" w:rsidRDefault="006D27FB">
          <w:pPr>
            <w:pStyle w:val="TOC3"/>
            <w:rPr>
              <w:rFonts w:asciiTheme="minorHAnsi" w:eastAsiaTheme="minorEastAsia" w:hAnsiTheme="minorHAnsi" w:cstheme="minorBidi"/>
              <w:noProof/>
              <w:lang w:eastAsia="en-AU"/>
            </w:rPr>
          </w:pPr>
          <w:hyperlink w:anchor="_Toc495400777" w:history="1">
            <w:r w:rsidRPr="000B74F8">
              <w:rPr>
                <w:rStyle w:val="Hyperlink"/>
                <w:noProof/>
              </w:rPr>
              <w:t>Introduction</w:t>
            </w:r>
            <w:r>
              <w:rPr>
                <w:noProof/>
                <w:webHidden/>
              </w:rPr>
              <w:tab/>
            </w:r>
            <w:r>
              <w:rPr>
                <w:noProof/>
                <w:webHidden/>
              </w:rPr>
              <w:fldChar w:fldCharType="begin"/>
            </w:r>
            <w:r>
              <w:rPr>
                <w:noProof/>
                <w:webHidden/>
              </w:rPr>
              <w:instrText xml:space="preserve"> PAGEREF _Toc495400777 \h </w:instrText>
            </w:r>
            <w:r>
              <w:rPr>
                <w:noProof/>
                <w:webHidden/>
              </w:rPr>
            </w:r>
            <w:r>
              <w:rPr>
                <w:noProof/>
                <w:webHidden/>
              </w:rPr>
              <w:fldChar w:fldCharType="separate"/>
            </w:r>
            <w:r>
              <w:rPr>
                <w:noProof/>
                <w:webHidden/>
              </w:rPr>
              <w:t>11</w:t>
            </w:r>
            <w:r>
              <w:rPr>
                <w:noProof/>
                <w:webHidden/>
              </w:rPr>
              <w:fldChar w:fldCharType="end"/>
            </w:r>
          </w:hyperlink>
        </w:p>
        <w:p w14:paraId="692B7C2F" w14:textId="77777777" w:rsidR="006D27FB" w:rsidRDefault="006D27FB">
          <w:pPr>
            <w:pStyle w:val="TOC3"/>
            <w:rPr>
              <w:rFonts w:asciiTheme="minorHAnsi" w:eastAsiaTheme="minorEastAsia" w:hAnsiTheme="minorHAnsi" w:cstheme="minorBidi"/>
              <w:noProof/>
              <w:lang w:eastAsia="en-AU"/>
            </w:rPr>
          </w:pPr>
          <w:hyperlink w:anchor="_Toc495400778" w:history="1">
            <w:r w:rsidRPr="000B74F8">
              <w:rPr>
                <w:rStyle w:val="Hyperlink"/>
                <w:noProof/>
              </w:rPr>
              <w:t>Pharmacokinetics</w:t>
            </w:r>
            <w:r>
              <w:rPr>
                <w:noProof/>
                <w:webHidden/>
              </w:rPr>
              <w:tab/>
            </w:r>
            <w:r>
              <w:rPr>
                <w:noProof/>
                <w:webHidden/>
              </w:rPr>
              <w:fldChar w:fldCharType="begin"/>
            </w:r>
            <w:r>
              <w:rPr>
                <w:noProof/>
                <w:webHidden/>
              </w:rPr>
              <w:instrText xml:space="preserve"> PAGEREF _Toc495400778 \h </w:instrText>
            </w:r>
            <w:r>
              <w:rPr>
                <w:noProof/>
                <w:webHidden/>
              </w:rPr>
            </w:r>
            <w:r>
              <w:rPr>
                <w:noProof/>
                <w:webHidden/>
              </w:rPr>
              <w:fldChar w:fldCharType="separate"/>
            </w:r>
            <w:r>
              <w:rPr>
                <w:noProof/>
                <w:webHidden/>
              </w:rPr>
              <w:t>16</w:t>
            </w:r>
            <w:r>
              <w:rPr>
                <w:noProof/>
                <w:webHidden/>
              </w:rPr>
              <w:fldChar w:fldCharType="end"/>
            </w:r>
          </w:hyperlink>
        </w:p>
        <w:p w14:paraId="44480811" w14:textId="77777777" w:rsidR="006D27FB" w:rsidRDefault="006D27FB">
          <w:pPr>
            <w:pStyle w:val="TOC3"/>
            <w:rPr>
              <w:rFonts w:asciiTheme="minorHAnsi" w:eastAsiaTheme="minorEastAsia" w:hAnsiTheme="minorHAnsi" w:cstheme="minorBidi"/>
              <w:noProof/>
              <w:lang w:eastAsia="en-AU"/>
            </w:rPr>
          </w:pPr>
          <w:hyperlink w:anchor="_Toc495400779" w:history="1">
            <w:r w:rsidRPr="000B74F8">
              <w:rPr>
                <w:rStyle w:val="Hyperlink"/>
                <w:noProof/>
              </w:rPr>
              <w:t>Pharmacodynamics</w:t>
            </w:r>
            <w:r>
              <w:rPr>
                <w:noProof/>
                <w:webHidden/>
              </w:rPr>
              <w:tab/>
            </w:r>
            <w:r>
              <w:rPr>
                <w:noProof/>
                <w:webHidden/>
              </w:rPr>
              <w:fldChar w:fldCharType="begin"/>
            </w:r>
            <w:r>
              <w:rPr>
                <w:noProof/>
                <w:webHidden/>
              </w:rPr>
              <w:instrText xml:space="preserve"> PAGEREF _Toc495400779 \h </w:instrText>
            </w:r>
            <w:r>
              <w:rPr>
                <w:noProof/>
                <w:webHidden/>
              </w:rPr>
            </w:r>
            <w:r>
              <w:rPr>
                <w:noProof/>
                <w:webHidden/>
              </w:rPr>
              <w:fldChar w:fldCharType="separate"/>
            </w:r>
            <w:r>
              <w:rPr>
                <w:noProof/>
                <w:webHidden/>
              </w:rPr>
              <w:t>18</w:t>
            </w:r>
            <w:r>
              <w:rPr>
                <w:noProof/>
                <w:webHidden/>
              </w:rPr>
              <w:fldChar w:fldCharType="end"/>
            </w:r>
          </w:hyperlink>
        </w:p>
        <w:p w14:paraId="1A6A4AB8" w14:textId="77777777" w:rsidR="006D27FB" w:rsidRDefault="006D27FB">
          <w:pPr>
            <w:pStyle w:val="TOC3"/>
            <w:rPr>
              <w:rFonts w:asciiTheme="minorHAnsi" w:eastAsiaTheme="minorEastAsia" w:hAnsiTheme="minorHAnsi" w:cstheme="minorBidi"/>
              <w:noProof/>
              <w:lang w:eastAsia="en-AU"/>
            </w:rPr>
          </w:pPr>
          <w:hyperlink w:anchor="_Toc495400780" w:history="1">
            <w:r w:rsidRPr="000B74F8">
              <w:rPr>
                <w:rStyle w:val="Hyperlink"/>
                <w:noProof/>
              </w:rPr>
              <w:t>Dosage selection for the pivotal studies</w:t>
            </w:r>
            <w:r>
              <w:rPr>
                <w:noProof/>
                <w:webHidden/>
              </w:rPr>
              <w:tab/>
            </w:r>
            <w:r>
              <w:rPr>
                <w:noProof/>
                <w:webHidden/>
              </w:rPr>
              <w:fldChar w:fldCharType="begin"/>
            </w:r>
            <w:r>
              <w:rPr>
                <w:noProof/>
                <w:webHidden/>
              </w:rPr>
              <w:instrText xml:space="preserve"> PAGEREF _Toc495400780 \h </w:instrText>
            </w:r>
            <w:r>
              <w:rPr>
                <w:noProof/>
                <w:webHidden/>
              </w:rPr>
            </w:r>
            <w:r>
              <w:rPr>
                <w:noProof/>
                <w:webHidden/>
              </w:rPr>
              <w:fldChar w:fldCharType="separate"/>
            </w:r>
            <w:r>
              <w:rPr>
                <w:noProof/>
                <w:webHidden/>
              </w:rPr>
              <w:t>19</w:t>
            </w:r>
            <w:r>
              <w:rPr>
                <w:noProof/>
                <w:webHidden/>
              </w:rPr>
              <w:fldChar w:fldCharType="end"/>
            </w:r>
          </w:hyperlink>
        </w:p>
        <w:p w14:paraId="7AC146D0" w14:textId="77777777" w:rsidR="006D27FB" w:rsidRDefault="006D27FB">
          <w:pPr>
            <w:pStyle w:val="TOC3"/>
            <w:rPr>
              <w:rFonts w:asciiTheme="minorHAnsi" w:eastAsiaTheme="minorEastAsia" w:hAnsiTheme="minorHAnsi" w:cstheme="minorBidi"/>
              <w:noProof/>
              <w:lang w:eastAsia="en-AU"/>
            </w:rPr>
          </w:pPr>
          <w:hyperlink w:anchor="_Toc495400781" w:history="1">
            <w:r w:rsidRPr="000B74F8">
              <w:rPr>
                <w:rStyle w:val="Hyperlink"/>
                <w:noProof/>
              </w:rPr>
              <w:t>Efficacy</w:t>
            </w:r>
            <w:r>
              <w:rPr>
                <w:noProof/>
                <w:webHidden/>
              </w:rPr>
              <w:tab/>
            </w:r>
            <w:r>
              <w:rPr>
                <w:noProof/>
                <w:webHidden/>
              </w:rPr>
              <w:fldChar w:fldCharType="begin"/>
            </w:r>
            <w:r>
              <w:rPr>
                <w:noProof/>
                <w:webHidden/>
              </w:rPr>
              <w:instrText xml:space="preserve"> PAGEREF _Toc495400781 \h </w:instrText>
            </w:r>
            <w:r>
              <w:rPr>
                <w:noProof/>
                <w:webHidden/>
              </w:rPr>
            </w:r>
            <w:r>
              <w:rPr>
                <w:noProof/>
                <w:webHidden/>
              </w:rPr>
              <w:fldChar w:fldCharType="separate"/>
            </w:r>
            <w:r>
              <w:rPr>
                <w:noProof/>
                <w:webHidden/>
              </w:rPr>
              <w:t>19</w:t>
            </w:r>
            <w:r>
              <w:rPr>
                <w:noProof/>
                <w:webHidden/>
              </w:rPr>
              <w:fldChar w:fldCharType="end"/>
            </w:r>
          </w:hyperlink>
        </w:p>
        <w:p w14:paraId="63C68ED3" w14:textId="77777777" w:rsidR="006D27FB" w:rsidRDefault="006D27FB">
          <w:pPr>
            <w:pStyle w:val="TOC3"/>
            <w:rPr>
              <w:rFonts w:asciiTheme="minorHAnsi" w:eastAsiaTheme="minorEastAsia" w:hAnsiTheme="minorHAnsi" w:cstheme="minorBidi"/>
              <w:noProof/>
              <w:lang w:eastAsia="en-AU"/>
            </w:rPr>
          </w:pPr>
          <w:hyperlink w:anchor="_Toc495400782" w:history="1">
            <w:r w:rsidRPr="000B74F8">
              <w:rPr>
                <w:rStyle w:val="Hyperlink"/>
                <w:noProof/>
              </w:rPr>
              <w:t>Safety</w:t>
            </w:r>
            <w:r>
              <w:rPr>
                <w:noProof/>
                <w:webHidden/>
              </w:rPr>
              <w:tab/>
            </w:r>
            <w:r>
              <w:rPr>
                <w:noProof/>
                <w:webHidden/>
              </w:rPr>
              <w:fldChar w:fldCharType="begin"/>
            </w:r>
            <w:r>
              <w:rPr>
                <w:noProof/>
                <w:webHidden/>
              </w:rPr>
              <w:instrText xml:space="preserve"> PAGEREF _Toc495400782 \h </w:instrText>
            </w:r>
            <w:r>
              <w:rPr>
                <w:noProof/>
                <w:webHidden/>
              </w:rPr>
            </w:r>
            <w:r>
              <w:rPr>
                <w:noProof/>
                <w:webHidden/>
              </w:rPr>
              <w:fldChar w:fldCharType="separate"/>
            </w:r>
            <w:r>
              <w:rPr>
                <w:noProof/>
                <w:webHidden/>
              </w:rPr>
              <w:t>20</w:t>
            </w:r>
            <w:r>
              <w:rPr>
                <w:noProof/>
                <w:webHidden/>
              </w:rPr>
              <w:fldChar w:fldCharType="end"/>
            </w:r>
          </w:hyperlink>
        </w:p>
        <w:p w14:paraId="536218D5" w14:textId="77777777" w:rsidR="006D27FB" w:rsidRDefault="006D27FB">
          <w:pPr>
            <w:pStyle w:val="TOC3"/>
            <w:rPr>
              <w:rFonts w:asciiTheme="minorHAnsi" w:eastAsiaTheme="minorEastAsia" w:hAnsiTheme="minorHAnsi" w:cstheme="minorBidi"/>
              <w:noProof/>
              <w:lang w:eastAsia="en-AU"/>
            </w:rPr>
          </w:pPr>
          <w:hyperlink w:anchor="_Toc495400783" w:history="1">
            <w:r w:rsidRPr="000B74F8">
              <w:rPr>
                <w:rStyle w:val="Hyperlink"/>
                <w:noProof/>
              </w:rPr>
              <w:t>First round benefit-risk assessment</w:t>
            </w:r>
            <w:r>
              <w:rPr>
                <w:noProof/>
                <w:webHidden/>
              </w:rPr>
              <w:tab/>
            </w:r>
            <w:r>
              <w:rPr>
                <w:noProof/>
                <w:webHidden/>
              </w:rPr>
              <w:fldChar w:fldCharType="begin"/>
            </w:r>
            <w:r>
              <w:rPr>
                <w:noProof/>
                <w:webHidden/>
              </w:rPr>
              <w:instrText xml:space="preserve"> PAGEREF _Toc495400783 \h </w:instrText>
            </w:r>
            <w:r>
              <w:rPr>
                <w:noProof/>
                <w:webHidden/>
              </w:rPr>
            </w:r>
            <w:r>
              <w:rPr>
                <w:noProof/>
                <w:webHidden/>
              </w:rPr>
              <w:fldChar w:fldCharType="separate"/>
            </w:r>
            <w:r>
              <w:rPr>
                <w:noProof/>
                <w:webHidden/>
              </w:rPr>
              <w:t>24</w:t>
            </w:r>
            <w:r>
              <w:rPr>
                <w:noProof/>
                <w:webHidden/>
              </w:rPr>
              <w:fldChar w:fldCharType="end"/>
            </w:r>
          </w:hyperlink>
        </w:p>
        <w:p w14:paraId="755F7798" w14:textId="77777777" w:rsidR="006D27FB" w:rsidRDefault="006D27FB">
          <w:pPr>
            <w:pStyle w:val="TOC3"/>
            <w:rPr>
              <w:rFonts w:asciiTheme="minorHAnsi" w:eastAsiaTheme="minorEastAsia" w:hAnsiTheme="minorHAnsi" w:cstheme="minorBidi"/>
              <w:noProof/>
              <w:lang w:eastAsia="en-AU"/>
            </w:rPr>
          </w:pPr>
          <w:hyperlink w:anchor="_Toc495400784" w:history="1">
            <w:r w:rsidRPr="000B74F8">
              <w:rPr>
                <w:rStyle w:val="Hyperlink"/>
                <w:noProof/>
              </w:rPr>
              <w:t>First round recommendation regarding authorisation</w:t>
            </w:r>
            <w:r>
              <w:rPr>
                <w:noProof/>
                <w:webHidden/>
              </w:rPr>
              <w:tab/>
            </w:r>
            <w:r>
              <w:rPr>
                <w:noProof/>
                <w:webHidden/>
              </w:rPr>
              <w:fldChar w:fldCharType="begin"/>
            </w:r>
            <w:r>
              <w:rPr>
                <w:noProof/>
                <w:webHidden/>
              </w:rPr>
              <w:instrText xml:space="preserve"> PAGEREF _Toc495400784 \h </w:instrText>
            </w:r>
            <w:r>
              <w:rPr>
                <w:noProof/>
                <w:webHidden/>
              </w:rPr>
            </w:r>
            <w:r>
              <w:rPr>
                <w:noProof/>
                <w:webHidden/>
              </w:rPr>
              <w:fldChar w:fldCharType="separate"/>
            </w:r>
            <w:r>
              <w:rPr>
                <w:noProof/>
                <w:webHidden/>
              </w:rPr>
              <w:t>24</w:t>
            </w:r>
            <w:r>
              <w:rPr>
                <w:noProof/>
                <w:webHidden/>
              </w:rPr>
              <w:fldChar w:fldCharType="end"/>
            </w:r>
          </w:hyperlink>
        </w:p>
        <w:p w14:paraId="6A7C08B6" w14:textId="77777777" w:rsidR="006D27FB" w:rsidRDefault="006D27FB">
          <w:pPr>
            <w:pStyle w:val="TOC3"/>
            <w:rPr>
              <w:rFonts w:asciiTheme="minorHAnsi" w:eastAsiaTheme="minorEastAsia" w:hAnsiTheme="minorHAnsi" w:cstheme="minorBidi"/>
              <w:noProof/>
              <w:lang w:eastAsia="en-AU"/>
            </w:rPr>
          </w:pPr>
          <w:hyperlink w:anchor="_Toc495400785" w:history="1">
            <w:r w:rsidRPr="000B74F8">
              <w:rPr>
                <w:rStyle w:val="Hyperlink"/>
                <w:noProof/>
              </w:rPr>
              <w:t>Clinical questions</w:t>
            </w:r>
            <w:r>
              <w:rPr>
                <w:noProof/>
                <w:webHidden/>
              </w:rPr>
              <w:tab/>
            </w:r>
            <w:r>
              <w:rPr>
                <w:noProof/>
                <w:webHidden/>
              </w:rPr>
              <w:fldChar w:fldCharType="begin"/>
            </w:r>
            <w:r>
              <w:rPr>
                <w:noProof/>
                <w:webHidden/>
              </w:rPr>
              <w:instrText xml:space="preserve"> PAGEREF _Toc495400785 \h </w:instrText>
            </w:r>
            <w:r>
              <w:rPr>
                <w:noProof/>
                <w:webHidden/>
              </w:rPr>
            </w:r>
            <w:r>
              <w:rPr>
                <w:noProof/>
                <w:webHidden/>
              </w:rPr>
              <w:fldChar w:fldCharType="separate"/>
            </w:r>
            <w:r>
              <w:rPr>
                <w:noProof/>
                <w:webHidden/>
              </w:rPr>
              <w:t>25</w:t>
            </w:r>
            <w:r>
              <w:rPr>
                <w:noProof/>
                <w:webHidden/>
              </w:rPr>
              <w:fldChar w:fldCharType="end"/>
            </w:r>
          </w:hyperlink>
        </w:p>
        <w:p w14:paraId="3367301E" w14:textId="77777777" w:rsidR="006D27FB" w:rsidRDefault="006D27FB">
          <w:pPr>
            <w:pStyle w:val="TOC3"/>
            <w:rPr>
              <w:rFonts w:asciiTheme="minorHAnsi" w:eastAsiaTheme="minorEastAsia" w:hAnsiTheme="minorHAnsi" w:cstheme="minorBidi"/>
              <w:noProof/>
              <w:lang w:eastAsia="en-AU"/>
            </w:rPr>
          </w:pPr>
          <w:hyperlink w:anchor="_Toc495400786" w:history="1">
            <w:r w:rsidRPr="000B74F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_Toc495400786 \h </w:instrText>
            </w:r>
            <w:r>
              <w:rPr>
                <w:noProof/>
                <w:webHidden/>
              </w:rPr>
            </w:r>
            <w:r>
              <w:rPr>
                <w:noProof/>
                <w:webHidden/>
              </w:rPr>
              <w:fldChar w:fldCharType="separate"/>
            </w:r>
            <w:r>
              <w:rPr>
                <w:noProof/>
                <w:webHidden/>
              </w:rPr>
              <w:t>25</w:t>
            </w:r>
            <w:r>
              <w:rPr>
                <w:noProof/>
                <w:webHidden/>
              </w:rPr>
              <w:fldChar w:fldCharType="end"/>
            </w:r>
          </w:hyperlink>
        </w:p>
        <w:p w14:paraId="18ADCE5C" w14:textId="77777777" w:rsidR="006D27FB" w:rsidRDefault="006D27FB">
          <w:pPr>
            <w:pStyle w:val="TOC3"/>
            <w:rPr>
              <w:rFonts w:asciiTheme="minorHAnsi" w:eastAsiaTheme="minorEastAsia" w:hAnsiTheme="minorHAnsi" w:cstheme="minorBidi"/>
              <w:noProof/>
              <w:lang w:eastAsia="en-AU"/>
            </w:rPr>
          </w:pPr>
          <w:hyperlink w:anchor="_Toc495400787" w:history="1">
            <w:r w:rsidRPr="000B74F8">
              <w:rPr>
                <w:rStyle w:val="Hyperlink"/>
                <w:noProof/>
              </w:rPr>
              <w:t>Second round benefit-risk assessment</w:t>
            </w:r>
            <w:r>
              <w:rPr>
                <w:noProof/>
                <w:webHidden/>
              </w:rPr>
              <w:tab/>
            </w:r>
            <w:r>
              <w:rPr>
                <w:noProof/>
                <w:webHidden/>
              </w:rPr>
              <w:fldChar w:fldCharType="begin"/>
            </w:r>
            <w:r>
              <w:rPr>
                <w:noProof/>
                <w:webHidden/>
              </w:rPr>
              <w:instrText xml:space="preserve"> PAGEREF _Toc495400787 \h </w:instrText>
            </w:r>
            <w:r>
              <w:rPr>
                <w:noProof/>
                <w:webHidden/>
              </w:rPr>
            </w:r>
            <w:r>
              <w:rPr>
                <w:noProof/>
                <w:webHidden/>
              </w:rPr>
              <w:fldChar w:fldCharType="separate"/>
            </w:r>
            <w:r>
              <w:rPr>
                <w:noProof/>
                <w:webHidden/>
              </w:rPr>
              <w:t>25</w:t>
            </w:r>
            <w:r>
              <w:rPr>
                <w:noProof/>
                <w:webHidden/>
              </w:rPr>
              <w:fldChar w:fldCharType="end"/>
            </w:r>
          </w:hyperlink>
        </w:p>
        <w:p w14:paraId="5ED262A2" w14:textId="77777777" w:rsidR="006D27FB" w:rsidRDefault="006D27FB">
          <w:pPr>
            <w:pStyle w:val="TOC2"/>
            <w:rPr>
              <w:rFonts w:asciiTheme="minorHAnsi" w:eastAsiaTheme="minorEastAsia" w:hAnsiTheme="minorHAnsi" w:cstheme="minorBidi"/>
              <w:b w:val="0"/>
              <w:noProof/>
              <w:sz w:val="22"/>
              <w:lang w:eastAsia="en-AU"/>
            </w:rPr>
          </w:pPr>
          <w:hyperlink w:anchor="_Toc495400788" w:history="1">
            <w:r w:rsidRPr="000B74F8">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_Toc495400788 \h </w:instrText>
            </w:r>
            <w:r>
              <w:rPr>
                <w:noProof/>
                <w:webHidden/>
              </w:rPr>
            </w:r>
            <w:r>
              <w:rPr>
                <w:noProof/>
                <w:webHidden/>
              </w:rPr>
              <w:fldChar w:fldCharType="separate"/>
            </w:r>
            <w:r>
              <w:rPr>
                <w:noProof/>
                <w:webHidden/>
              </w:rPr>
              <w:t>30</w:t>
            </w:r>
            <w:r>
              <w:rPr>
                <w:noProof/>
                <w:webHidden/>
              </w:rPr>
              <w:fldChar w:fldCharType="end"/>
            </w:r>
          </w:hyperlink>
        </w:p>
        <w:p w14:paraId="481EB811" w14:textId="77777777" w:rsidR="006D27FB" w:rsidRDefault="006D27FB">
          <w:pPr>
            <w:pStyle w:val="TOC2"/>
            <w:rPr>
              <w:rFonts w:asciiTheme="minorHAnsi" w:eastAsiaTheme="minorEastAsia" w:hAnsiTheme="minorHAnsi" w:cstheme="minorBidi"/>
              <w:b w:val="0"/>
              <w:noProof/>
              <w:sz w:val="22"/>
              <w:lang w:eastAsia="en-AU"/>
            </w:rPr>
          </w:pPr>
          <w:hyperlink w:anchor="_Toc495400789" w:history="1">
            <w:r w:rsidRPr="000B74F8">
              <w:rPr>
                <w:rStyle w:val="Hyperlink"/>
                <w:noProof/>
              </w:rPr>
              <w:t>V. Pharmacovigilance findings</w:t>
            </w:r>
            <w:r>
              <w:rPr>
                <w:noProof/>
                <w:webHidden/>
              </w:rPr>
              <w:tab/>
            </w:r>
            <w:r>
              <w:rPr>
                <w:noProof/>
                <w:webHidden/>
              </w:rPr>
              <w:fldChar w:fldCharType="begin"/>
            </w:r>
            <w:r>
              <w:rPr>
                <w:noProof/>
                <w:webHidden/>
              </w:rPr>
              <w:instrText xml:space="preserve"> PAGEREF _Toc495400789 \h </w:instrText>
            </w:r>
            <w:r>
              <w:rPr>
                <w:noProof/>
                <w:webHidden/>
              </w:rPr>
            </w:r>
            <w:r>
              <w:rPr>
                <w:noProof/>
                <w:webHidden/>
              </w:rPr>
              <w:fldChar w:fldCharType="separate"/>
            </w:r>
            <w:r>
              <w:rPr>
                <w:noProof/>
                <w:webHidden/>
              </w:rPr>
              <w:t>31</w:t>
            </w:r>
            <w:r>
              <w:rPr>
                <w:noProof/>
                <w:webHidden/>
              </w:rPr>
              <w:fldChar w:fldCharType="end"/>
            </w:r>
          </w:hyperlink>
        </w:p>
        <w:p w14:paraId="5D884E7F" w14:textId="77777777" w:rsidR="006D27FB" w:rsidRDefault="006D27FB">
          <w:pPr>
            <w:pStyle w:val="TOC3"/>
            <w:rPr>
              <w:rFonts w:asciiTheme="minorHAnsi" w:eastAsiaTheme="minorEastAsia" w:hAnsiTheme="minorHAnsi" w:cstheme="minorBidi"/>
              <w:noProof/>
              <w:lang w:eastAsia="en-AU"/>
            </w:rPr>
          </w:pPr>
          <w:hyperlink w:anchor="_Toc495400790" w:history="1">
            <w:r w:rsidRPr="000B74F8">
              <w:rPr>
                <w:rStyle w:val="Hyperlink"/>
                <w:noProof/>
                <w:lang w:eastAsia="en-AU"/>
              </w:rPr>
              <w:t>Risk management plan</w:t>
            </w:r>
            <w:r>
              <w:rPr>
                <w:noProof/>
                <w:webHidden/>
              </w:rPr>
              <w:tab/>
            </w:r>
            <w:r>
              <w:rPr>
                <w:noProof/>
                <w:webHidden/>
              </w:rPr>
              <w:fldChar w:fldCharType="begin"/>
            </w:r>
            <w:r>
              <w:rPr>
                <w:noProof/>
                <w:webHidden/>
              </w:rPr>
              <w:instrText xml:space="preserve"> PAGEREF _Toc495400790 \h </w:instrText>
            </w:r>
            <w:r>
              <w:rPr>
                <w:noProof/>
                <w:webHidden/>
              </w:rPr>
            </w:r>
            <w:r>
              <w:rPr>
                <w:noProof/>
                <w:webHidden/>
              </w:rPr>
              <w:fldChar w:fldCharType="separate"/>
            </w:r>
            <w:r>
              <w:rPr>
                <w:noProof/>
                <w:webHidden/>
              </w:rPr>
              <w:t>31</w:t>
            </w:r>
            <w:r>
              <w:rPr>
                <w:noProof/>
                <w:webHidden/>
              </w:rPr>
              <w:fldChar w:fldCharType="end"/>
            </w:r>
          </w:hyperlink>
        </w:p>
        <w:p w14:paraId="513854AC" w14:textId="77777777" w:rsidR="006D27FB" w:rsidRDefault="006D27FB">
          <w:pPr>
            <w:pStyle w:val="TOC2"/>
            <w:rPr>
              <w:rFonts w:asciiTheme="minorHAnsi" w:eastAsiaTheme="minorEastAsia" w:hAnsiTheme="minorHAnsi" w:cstheme="minorBidi"/>
              <w:b w:val="0"/>
              <w:noProof/>
              <w:sz w:val="22"/>
              <w:lang w:eastAsia="en-AU"/>
            </w:rPr>
          </w:pPr>
          <w:hyperlink w:anchor="_Toc495400791" w:history="1">
            <w:r w:rsidRPr="000B74F8">
              <w:rPr>
                <w:rStyle w:val="Hyperlink"/>
                <w:noProof/>
              </w:rPr>
              <w:t>VI. Overall conclusion and risk/benefit assessment</w:t>
            </w:r>
            <w:r>
              <w:rPr>
                <w:noProof/>
                <w:webHidden/>
              </w:rPr>
              <w:tab/>
            </w:r>
            <w:r>
              <w:rPr>
                <w:noProof/>
                <w:webHidden/>
              </w:rPr>
              <w:fldChar w:fldCharType="begin"/>
            </w:r>
            <w:r>
              <w:rPr>
                <w:noProof/>
                <w:webHidden/>
              </w:rPr>
              <w:instrText xml:space="preserve"> PAGEREF _Toc495400791 \h </w:instrText>
            </w:r>
            <w:r>
              <w:rPr>
                <w:noProof/>
                <w:webHidden/>
              </w:rPr>
            </w:r>
            <w:r>
              <w:rPr>
                <w:noProof/>
                <w:webHidden/>
              </w:rPr>
              <w:fldChar w:fldCharType="separate"/>
            </w:r>
            <w:r>
              <w:rPr>
                <w:noProof/>
                <w:webHidden/>
              </w:rPr>
              <w:t>43</w:t>
            </w:r>
            <w:r>
              <w:rPr>
                <w:noProof/>
                <w:webHidden/>
              </w:rPr>
              <w:fldChar w:fldCharType="end"/>
            </w:r>
          </w:hyperlink>
        </w:p>
        <w:p w14:paraId="791531F5" w14:textId="77777777" w:rsidR="006D27FB" w:rsidRDefault="006D27FB">
          <w:pPr>
            <w:pStyle w:val="TOC3"/>
            <w:rPr>
              <w:rFonts w:asciiTheme="minorHAnsi" w:eastAsiaTheme="minorEastAsia" w:hAnsiTheme="minorHAnsi" w:cstheme="minorBidi"/>
              <w:noProof/>
              <w:lang w:eastAsia="en-AU"/>
            </w:rPr>
          </w:pPr>
          <w:hyperlink w:anchor="_Toc495400792" w:history="1">
            <w:r w:rsidRPr="000B74F8">
              <w:rPr>
                <w:rStyle w:val="Hyperlink"/>
                <w:noProof/>
              </w:rPr>
              <w:t>Quality</w:t>
            </w:r>
            <w:r>
              <w:rPr>
                <w:noProof/>
                <w:webHidden/>
              </w:rPr>
              <w:tab/>
            </w:r>
            <w:r>
              <w:rPr>
                <w:noProof/>
                <w:webHidden/>
              </w:rPr>
              <w:fldChar w:fldCharType="begin"/>
            </w:r>
            <w:r>
              <w:rPr>
                <w:noProof/>
                <w:webHidden/>
              </w:rPr>
              <w:instrText xml:space="preserve"> PAGEREF _Toc495400792 \h </w:instrText>
            </w:r>
            <w:r>
              <w:rPr>
                <w:noProof/>
                <w:webHidden/>
              </w:rPr>
            </w:r>
            <w:r>
              <w:rPr>
                <w:noProof/>
                <w:webHidden/>
              </w:rPr>
              <w:fldChar w:fldCharType="separate"/>
            </w:r>
            <w:r>
              <w:rPr>
                <w:noProof/>
                <w:webHidden/>
              </w:rPr>
              <w:t>43</w:t>
            </w:r>
            <w:r>
              <w:rPr>
                <w:noProof/>
                <w:webHidden/>
              </w:rPr>
              <w:fldChar w:fldCharType="end"/>
            </w:r>
          </w:hyperlink>
        </w:p>
        <w:p w14:paraId="3D2A7E4A" w14:textId="77777777" w:rsidR="006D27FB" w:rsidRDefault="006D27FB">
          <w:pPr>
            <w:pStyle w:val="TOC3"/>
            <w:rPr>
              <w:rFonts w:asciiTheme="minorHAnsi" w:eastAsiaTheme="minorEastAsia" w:hAnsiTheme="minorHAnsi" w:cstheme="minorBidi"/>
              <w:noProof/>
              <w:lang w:eastAsia="en-AU"/>
            </w:rPr>
          </w:pPr>
          <w:hyperlink w:anchor="_Toc495400793" w:history="1">
            <w:r w:rsidRPr="000B74F8">
              <w:rPr>
                <w:rStyle w:val="Hyperlink"/>
                <w:noProof/>
              </w:rPr>
              <w:t>Nonclinical</w:t>
            </w:r>
            <w:r>
              <w:rPr>
                <w:noProof/>
                <w:webHidden/>
              </w:rPr>
              <w:tab/>
            </w:r>
            <w:r>
              <w:rPr>
                <w:noProof/>
                <w:webHidden/>
              </w:rPr>
              <w:fldChar w:fldCharType="begin"/>
            </w:r>
            <w:r>
              <w:rPr>
                <w:noProof/>
                <w:webHidden/>
              </w:rPr>
              <w:instrText xml:space="preserve"> PAGEREF _Toc495400793 \h </w:instrText>
            </w:r>
            <w:r>
              <w:rPr>
                <w:noProof/>
                <w:webHidden/>
              </w:rPr>
            </w:r>
            <w:r>
              <w:rPr>
                <w:noProof/>
                <w:webHidden/>
              </w:rPr>
              <w:fldChar w:fldCharType="separate"/>
            </w:r>
            <w:r>
              <w:rPr>
                <w:noProof/>
                <w:webHidden/>
              </w:rPr>
              <w:t>44</w:t>
            </w:r>
            <w:r>
              <w:rPr>
                <w:noProof/>
                <w:webHidden/>
              </w:rPr>
              <w:fldChar w:fldCharType="end"/>
            </w:r>
          </w:hyperlink>
        </w:p>
        <w:p w14:paraId="223BA125" w14:textId="77777777" w:rsidR="006D27FB" w:rsidRDefault="006D27FB">
          <w:pPr>
            <w:pStyle w:val="TOC3"/>
            <w:rPr>
              <w:rFonts w:asciiTheme="minorHAnsi" w:eastAsiaTheme="minorEastAsia" w:hAnsiTheme="minorHAnsi" w:cstheme="minorBidi"/>
              <w:noProof/>
              <w:lang w:eastAsia="en-AU"/>
            </w:rPr>
          </w:pPr>
          <w:hyperlink w:anchor="_Toc495400794" w:history="1">
            <w:r w:rsidRPr="000B74F8">
              <w:rPr>
                <w:rStyle w:val="Hyperlink"/>
                <w:noProof/>
              </w:rPr>
              <w:t>Clinical</w:t>
            </w:r>
            <w:r>
              <w:rPr>
                <w:noProof/>
                <w:webHidden/>
              </w:rPr>
              <w:tab/>
            </w:r>
            <w:r>
              <w:rPr>
                <w:noProof/>
                <w:webHidden/>
              </w:rPr>
              <w:fldChar w:fldCharType="begin"/>
            </w:r>
            <w:r>
              <w:rPr>
                <w:noProof/>
                <w:webHidden/>
              </w:rPr>
              <w:instrText xml:space="preserve"> PAGEREF _Toc495400794 \h </w:instrText>
            </w:r>
            <w:r>
              <w:rPr>
                <w:noProof/>
                <w:webHidden/>
              </w:rPr>
            </w:r>
            <w:r>
              <w:rPr>
                <w:noProof/>
                <w:webHidden/>
              </w:rPr>
              <w:fldChar w:fldCharType="separate"/>
            </w:r>
            <w:r>
              <w:rPr>
                <w:noProof/>
                <w:webHidden/>
              </w:rPr>
              <w:t>44</w:t>
            </w:r>
            <w:r>
              <w:rPr>
                <w:noProof/>
                <w:webHidden/>
              </w:rPr>
              <w:fldChar w:fldCharType="end"/>
            </w:r>
          </w:hyperlink>
        </w:p>
        <w:p w14:paraId="64A1CE1F" w14:textId="77777777" w:rsidR="006D27FB" w:rsidRDefault="006D27FB">
          <w:pPr>
            <w:pStyle w:val="TOC3"/>
            <w:rPr>
              <w:rFonts w:asciiTheme="minorHAnsi" w:eastAsiaTheme="minorEastAsia" w:hAnsiTheme="minorHAnsi" w:cstheme="minorBidi"/>
              <w:noProof/>
              <w:lang w:eastAsia="en-AU"/>
            </w:rPr>
          </w:pPr>
          <w:hyperlink w:anchor="_Toc495400795" w:history="1">
            <w:r w:rsidRPr="000B74F8">
              <w:rPr>
                <w:rStyle w:val="Hyperlink"/>
                <w:noProof/>
                <w:lang w:eastAsia="en-AU"/>
              </w:rPr>
              <w:t>Risk management plan</w:t>
            </w:r>
            <w:r>
              <w:rPr>
                <w:noProof/>
                <w:webHidden/>
              </w:rPr>
              <w:tab/>
            </w:r>
            <w:r>
              <w:rPr>
                <w:noProof/>
                <w:webHidden/>
              </w:rPr>
              <w:fldChar w:fldCharType="begin"/>
            </w:r>
            <w:r>
              <w:rPr>
                <w:noProof/>
                <w:webHidden/>
              </w:rPr>
              <w:instrText xml:space="preserve"> PAGEREF _Toc495400795 \h </w:instrText>
            </w:r>
            <w:r>
              <w:rPr>
                <w:noProof/>
                <w:webHidden/>
              </w:rPr>
            </w:r>
            <w:r>
              <w:rPr>
                <w:noProof/>
                <w:webHidden/>
              </w:rPr>
              <w:fldChar w:fldCharType="separate"/>
            </w:r>
            <w:r>
              <w:rPr>
                <w:noProof/>
                <w:webHidden/>
              </w:rPr>
              <w:t>54</w:t>
            </w:r>
            <w:r>
              <w:rPr>
                <w:noProof/>
                <w:webHidden/>
              </w:rPr>
              <w:fldChar w:fldCharType="end"/>
            </w:r>
          </w:hyperlink>
        </w:p>
        <w:p w14:paraId="2E6D789E" w14:textId="77777777" w:rsidR="006D27FB" w:rsidRDefault="006D27FB">
          <w:pPr>
            <w:pStyle w:val="TOC3"/>
            <w:rPr>
              <w:rFonts w:asciiTheme="minorHAnsi" w:eastAsiaTheme="minorEastAsia" w:hAnsiTheme="minorHAnsi" w:cstheme="minorBidi"/>
              <w:noProof/>
              <w:lang w:eastAsia="en-AU"/>
            </w:rPr>
          </w:pPr>
          <w:hyperlink w:anchor="_Toc495400796" w:history="1">
            <w:r w:rsidRPr="000B74F8">
              <w:rPr>
                <w:rStyle w:val="Hyperlink"/>
                <w:noProof/>
              </w:rPr>
              <w:t>Risk-benefit analysis</w:t>
            </w:r>
            <w:r>
              <w:rPr>
                <w:noProof/>
                <w:webHidden/>
              </w:rPr>
              <w:tab/>
            </w:r>
            <w:r>
              <w:rPr>
                <w:noProof/>
                <w:webHidden/>
              </w:rPr>
              <w:fldChar w:fldCharType="begin"/>
            </w:r>
            <w:r>
              <w:rPr>
                <w:noProof/>
                <w:webHidden/>
              </w:rPr>
              <w:instrText xml:space="preserve"> PAGEREF _Toc495400796 \h </w:instrText>
            </w:r>
            <w:r>
              <w:rPr>
                <w:noProof/>
                <w:webHidden/>
              </w:rPr>
            </w:r>
            <w:r>
              <w:rPr>
                <w:noProof/>
                <w:webHidden/>
              </w:rPr>
              <w:fldChar w:fldCharType="separate"/>
            </w:r>
            <w:r>
              <w:rPr>
                <w:noProof/>
                <w:webHidden/>
              </w:rPr>
              <w:t>54</w:t>
            </w:r>
            <w:r>
              <w:rPr>
                <w:noProof/>
                <w:webHidden/>
              </w:rPr>
              <w:fldChar w:fldCharType="end"/>
            </w:r>
          </w:hyperlink>
        </w:p>
        <w:p w14:paraId="38B91AD1" w14:textId="77777777" w:rsidR="006D27FB" w:rsidRDefault="006D27FB">
          <w:pPr>
            <w:pStyle w:val="TOC3"/>
            <w:rPr>
              <w:rFonts w:asciiTheme="minorHAnsi" w:eastAsiaTheme="minorEastAsia" w:hAnsiTheme="minorHAnsi" w:cstheme="minorBidi"/>
              <w:noProof/>
              <w:lang w:eastAsia="en-AU"/>
            </w:rPr>
          </w:pPr>
          <w:hyperlink w:anchor="_Toc495400797" w:history="1">
            <w:r w:rsidRPr="000B74F8">
              <w:rPr>
                <w:rStyle w:val="Hyperlink"/>
                <w:noProof/>
              </w:rPr>
              <w:t>Outcome</w:t>
            </w:r>
            <w:r>
              <w:rPr>
                <w:noProof/>
                <w:webHidden/>
              </w:rPr>
              <w:tab/>
            </w:r>
            <w:r>
              <w:rPr>
                <w:noProof/>
                <w:webHidden/>
              </w:rPr>
              <w:fldChar w:fldCharType="begin"/>
            </w:r>
            <w:r>
              <w:rPr>
                <w:noProof/>
                <w:webHidden/>
              </w:rPr>
              <w:instrText xml:space="preserve"> PAGEREF _Toc495400797 \h </w:instrText>
            </w:r>
            <w:r>
              <w:rPr>
                <w:noProof/>
                <w:webHidden/>
              </w:rPr>
            </w:r>
            <w:r>
              <w:rPr>
                <w:noProof/>
                <w:webHidden/>
              </w:rPr>
              <w:fldChar w:fldCharType="separate"/>
            </w:r>
            <w:r>
              <w:rPr>
                <w:noProof/>
                <w:webHidden/>
              </w:rPr>
              <w:t>61</w:t>
            </w:r>
            <w:r>
              <w:rPr>
                <w:noProof/>
                <w:webHidden/>
              </w:rPr>
              <w:fldChar w:fldCharType="end"/>
            </w:r>
          </w:hyperlink>
        </w:p>
        <w:p w14:paraId="3046A077" w14:textId="77777777" w:rsidR="006D27FB" w:rsidRDefault="006D27FB">
          <w:pPr>
            <w:pStyle w:val="TOC2"/>
            <w:rPr>
              <w:rFonts w:asciiTheme="minorHAnsi" w:eastAsiaTheme="minorEastAsia" w:hAnsiTheme="minorHAnsi" w:cstheme="minorBidi"/>
              <w:b w:val="0"/>
              <w:noProof/>
              <w:sz w:val="22"/>
              <w:lang w:eastAsia="en-AU"/>
            </w:rPr>
          </w:pPr>
          <w:hyperlink w:anchor="_Toc495400798" w:history="1">
            <w:r w:rsidRPr="000B74F8">
              <w:rPr>
                <w:rStyle w:val="Hyperlink"/>
                <w:noProof/>
              </w:rPr>
              <w:t>Attachment 1. Product Information</w:t>
            </w:r>
            <w:r>
              <w:rPr>
                <w:noProof/>
                <w:webHidden/>
              </w:rPr>
              <w:tab/>
            </w:r>
            <w:r>
              <w:rPr>
                <w:noProof/>
                <w:webHidden/>
              </w:rPr>
              <w:fldChar w:fldCharType="begin"/>
            </w:r>
            <w:r>
              <w:rPr>
                <w:noProof/>
                <w:webHidden/>
              </w:rPr>
              <w:instrText xml:space="preserve"> PAGEREF _Toc495400798 \h </w:instrText>
            </w:r>
            <w:r>
              <w:rPr>
                <w:noProof/>
                <w:webHidden/>
              </w:rPr>
            </w:r>
            <w:r>
              <w:rPr>
                <w:noProof/>
                <w:webHidden/>
              </w:rPr>
              <w:fldChar w:fldCharType="separate"/>
            </w:r>
            <w:r>
              <w:rPr>
                <w:noProof/>
                <w:webHidden/>
              </w:rPr>
              <w:t>62</w:t>
            </w:r>
            <w:r>
              <w:rPr>
                <w:noProof/>
                <w:webHidden/>
              </w:rPr>
              <w:fldChar w:fldCharType="end"/>
            </w:r>
          </w:hyperlink>
        </w:p>
        <w:p w14:paraId="2086B539" w14:textId="77777777" w:rsidR="006D27FB" w:rsidRDefault="006D27FB">
          <w:pPr>
            <w:pStyle w:val="TOC2"/>
            <w:rPr>
              <w:rFonts w:asciiTheme="minorHAnsi" w:eastAsiaTheme="minorEastAsia" w:hAnsiTheme="minorHAnsi" w:cstheme="minorBidi"/>
              <w:b w:val="0"/>
              <w:noProof/>
              <w:sz w:val="22"/>
              <w:lang w:eastAsia="en-AU"/>
            </w:rPr>
          </w:pPr>
          <w:hyperlink w:anchor="_Toc495400799" w:history="1">
            <w:r w:rsidRPr="000B74F8">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_Toc495400799 \h </w:instrText>
            </w:r>
            <w:r>
              <w:rPr>
                <w:noProof/>
                <w:webHidden/>
              </w:rPr>
            </w:r>
            <w:r>
              <w:rPr>
                <w:noProof/>
                <w:webHidden/>
              </w:rPr>
              <w:fldChar w:fldCharType="separate"/>
            </w:r>
            <w:r>
              <w:rPr>
                <w:noProof/>
                <w:webHidden/>
              </w:rPr>
              <w:t>62</w:t>
            </w:r>
            <w:r>
              <w:rPr>
                <w:noProof/>
                <w:webHidden/>
              </w:rPr>
              <w:fldChar w:fldCharType="end"/>
            </w:r>
          </w:hyperlink>
        </w:p>
        <w:p w14:paraId="14B7CBB6" w14:textId="77777777" w:rsidR="003A7F6C" w:rsidRPr="00B811C6" w:rsidRDefault="00DB6124" w:rsidP="00B811C6">
          <w:pPr>
            <w:pStyle w:val="TOC2"/>
          </w:pPr>
          <w:r>
            <w:fldChar w:fldCharType="end"/>
          </w:r>
        </w:p>
      </w:sdtContent>
    </w:sdt>
    <w:bookmarkStart w:id="3" w:name="_Toc314842482" w:displacedByCustomXml="prev"/>
    <w:p w14:paraId="6A0EBF09" w14:textId="77777777" w:rsidR="00FD119B" w:rsidRDefault="00FD119B">
      <w:pPr>
        <w:spacing w:before="0" w:after="200" w:line="0" w:lineRule="auto"/>
      </w:pPr>
      <w:r>
        <w:br w:type="page"/>
      </w:r>
    </w:p>
    <w:p w14:paraId="52C3A5C5"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9540076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7BA68486"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36BB46D1"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49988802" w14:textId="77777777" w:rsidR="00FD119B" w:rsidRPr="00FD119B" w:rsidRDefault="00FD119B" w:rsidP="00FD119B">
            <w:pPr>
              <w:keepNext w:val="0"/>
              <w:ind w:left="0" w:right="0"/>
              <w:rPr>
                <w:szCs w:val="22"/>
                <w:lang w:eastAsia="en-US"/>
              </w:rPr>
            </w:pPr>
            <w:r w:rsidRPr="00FD119B">
              <w:rPr>
                <w:szCs w:val="22"/>
                <w:lang w:eastAsia="en-US"/>
              </w:rPr>
              <w:t>Meaning</w:t>
            </w:r>
          </w:p>
        </w:tc>
      </w:tr>
      <w:tr w:rsidR="00E420BF" w:rsidRPr="00FD119B" w14:paraId="424655D8" w14:textId="77777777" w:rsidTr="00FD119B">
        <w:tc>
          <w:tcPr>
            <w:tcW w:w="1809" w:type="dxa"/>
          </w:tcPr>
          <w:p w14:paraId="4B75B90A" w14:textId="77777777" w:rsidR="00E420BF" w:rsidRDefault="00E420BF" w:rsidP="00FD119B">
            <w:r>
              <w:t>ABMTRS</w:t>
            </w:r>
          </w:p>
        </w:tc>
        <w:tc>
          <w:tcPr>
            <w:tcW w:w="6911" w:type="dxa"/>
          </w:tcPr>
          <w:p w14:paraId="7E4899EF" w14:textId="77777777" w:rsidR="00E420BF" w:rsidRDefault="00E420BF" w:rsidP="00E65A6D">
            <w:pPr>
              <w:rPr>
                <w:lang w:val="en-GB"/>
              </w:rPr>
            </w:pPr>
            <w:r w:rsidRPr="008239F9">
              <w:t>Australasian Bone Marrow Transplant Recipient Society</w:t>
            </w:r>
          </w:p>
        </w:tc>
      </w:tr>
      <w:tr w:rsidR="00E420BF" w:rsidRPr="00FD119B" w14:paraId="32EA6FD5" w14:textId="77777777" w:rsidTr="00FD119B">
        <w:tc>
          <w:tcPr>
            <w:tcW w:w="1809" w:type="dxa"/>
          </w:tcPr>
          <w:p w14:paraId="1F58083A" w14:textId="77777777" w:rsidR="00E420BF" w:rsidRDefault="00E420BF" w:rsidP="00FD119B">
            <w:r>
              <w:t>ABVD</w:t>
            </w:r>
          </w:p>
        </w:tc>
        <w:tc>
          <w:tcPr>
            <w:tcW w:w="6911" w:type="dxa"/>
          </w:tcPr>
          <w:p w14:paraId="0F405ADC" w14:textId="2953ECCB" w:rsidR="00E420BF" w:rsidRDefault="00F62D54" w:rsidP="000F7222">
            <w:pPr>
              <w:rPr>
                <w:lang w:val="en-GB"/>
              </w:rPr>
            </w:pPr>
            <w:r>
              <w:rPr>
                <w:lang w:val="en-GB"/>
              </w:rPr>
              <w:t>D</w:t>
            </w:r>
            <w:r w:rsidR="00E420BF" w:rsidRPr="005147EB">
              <w:rPr>
                <w:lang w:val="en-GB"/>
              </w:rPr>
              <w:t>oxorubicin, bleomycin, vinblastine, and dacarbazine</w:t>
            </w:r>
            <w:r w:rsidR="00E420BF">
              <w:rPr>
                <w:lang w:val="en-GB"/>
              </w:rPr>
              <w:t xml:space="preserve"> combination therapy</w:t>
            </w:r>
          </w:p>
        </w:tc>
      </w:tr>
      <w:tr w:rsidR="00E420BF" w:rsidRPr="00FD119B" w14:paraId="5C1FD079" w14:textId="77777777" w:rsidTr="00FD119B">
        <w:tc>
          <w:tcPr>
            <w:tcW w:w="1809" w:type="dxa"/>
          </w:tcPr>
          <w:p w14:paraId="66D103E9" w14:textId="77777777" w:rsidR="00E420BF" w:rsidRDefault="00E420BF" w:rsidP="00FD119B">
            <w:r>
              <w:t>ACPM</w:t>
            </w:r>
          </w:p>
        </w:tc>
        <w:tc>
          <w:tcPr>
            <w:tcW w:w="6911" w:type="dxa"/>
          </w:tcPr>
          <w:p w14:paraId="7B8FF10F" w14:textId="77777777" w:rsidR="00E420BF" w:rsidRPr="00E65A6D" w:rsidRDefault="00E420BF" w:rsidP="00E65A6D">
            <w:pPr>
              <w:rPr>
                <w:lang w:val="en-GB"/>
              </w:rPr>
            </w:pPr>
            <w:r>
              <w:rPr>
                <w:lang w:val="en-GB"/>
              </w:rPr>
              <w:t>Advisory Committee on Prescription Medicines</w:t>
            </w:r>
          </w:p>
        </w:tc>
      </w:tr>
      <w:tr w:rsidR="00E420BF" w:rsidRPr="00FD119B" w14:paraId="011480FD" w14:textId="77777777" w:rsidTr="00FD119B">
        <w:tc>
          <w:tcPr>
            <w:tcW w:w="1809" w:type="dxa"/>
          </w:tcPr>
          <w:p w14:paraId="4B8D8DE5" w14:textId="77777777" w:rsidR="00E420BF" w:rsidRPr="00121751" w:rsidRDefault="00E420BF" w:rsidP="00FD119B">
            <w:pPr>
              <w:rPr>
                <w:lang w:val="en-GB"/>
              </w:rPr>
            </w:pPr>
            <w:r>
              <w:rPr>
                <w:lang w:val="en-GB"/>
              </w:rPr>
              <w:t>ACSOM</w:t>
            </w:r>
          </w:p>
        </w:tc>
        <w:tc>
          <w:tcPr>
            <w:tcW w:w="6911" w:type="dxa"/>
          </w:tcPr>
          <w:p w14:paraId="10895F2A" w14:textId="77777777" w:rsidR="00E420BF" w:rsidRPr="005147EB" w:rsidRDefault="00E420BF" w:rsidP="000F7222">
            <w:pPr>
              <w:rPr>
                <w:lang w:val="en-GB"/>
              </w:rPr>
            </w:pPr>
            <w:r w:rsidRPr="00DC576B">
              <w:rPr>
                <w:lang w:val="en-GB"/>
              </w:rPr>
              <w:t>Advisory Committee on the Safety of Medicines</w:t>
            </w:r>
          </w:p>
        </w:tc>
      </w:tr>
      <w:tr w:rsidR="00E420BF" w:rsidRPr="00FD119B" w14:paraId="7DE78DBE" w14:textId="77777777" w:rsidTr="00FD119B">
        <w:tc>
          <w:tcPr>
            <w:tcW w:w="1809" w:type="dxa"/>
          </w:tcPr>
          <w:p w14:paraId="0AA51C44" w14:textId="77777777" w:rsidR="00E420BF" w:rsidRDefault="00E420BF" w:rsidP="00FD119B">
            <w:r>
              <w:t>ADC</w:t>
            </w:r>
          </w:p>
        </w:tc>
        <w:tc>
          <w:tcPr>
            <w:tcW w:w="6911" w:type="dxa"/>
          </w:tcPr>
          <w:p w14:paraId="7B3A1293" w14:textId="5F8D87F1" w:rsidR="00E420BF" w:rsidRDefault="00F62D54" w:rsidP="00FD119B">
            <w:r>
              <w:t>A</w:t>
            </w:r>
            <w:r w:rsidR="00E420BF">
              <w:t>ntibody-drug conjugate</w:t>
            </w:r>
          </w:p>
        </w:tc>
      </w:tr>
      <w:tr w:rsidR="00E420BF" w:rsidRPr="00FD119B" w14:paraId="49811E00" w14:textId="77777777" w:rsidTr="00FD119B">
        <w:tc>
          <w:tcPr>
            <w:tcW w:w="1809" w:type="dxa"/>
          </w:tcPr>
          <w:p w14:paraId="3735AFAE" w14:textId="77777777" w:rsidR="00E420BF" w:rsidRPr="00C70B52" w:rsidRDefault="00E420BF" w:rsidP="00FD119B">
            <w:r>
              <w:t>AE</w:t>
            </w:r>
          </w:p>
        </w:tc>
        <w:tc>
          <w:tcPr>
            <w:tcW w:w="6911" w:type="dxa"/>
          </w:tcPr>
          <w:p w14:paraId="21A17137" w14:textId="7F89E345" w:rsidR="00E420BF" w:rsidRDefault="00F62D54" w:rsidP="00E65A6D">
            <w:r>
              <w:t>A</w:t>
            </w:r>
            <w:r w:rsidR="00E420BF">
              <w:t>dverse event</w:t>
            </w:r>
          </w:p>
        </w:tc>
      </w:tr>
      <w:tr w:rsidR="00E420BF" w:rsidRPr="00FD119B" w14:paraId="2F6C8167" w14:textId="77777777" w:rsidTr="00FD119B">
        <w:tc>
          <w:tcPr>
            <w:tcW w:w="1809" w:type="dxa"/>
          </w:tcPr>
          <w:p w14:paraId="7968C9BA" w14:textId="77777777" w:rsidR="00E420BF" w:rsidRDefault="00E420BF" w:rsidP="00FD119B">
            <w:r>
              <w:t>ALT</w:t>
            </w:r>
          </w:p>
        </w:tc>
        <w:tc>
          <w:tcPr>
            <w:tcW w:w="6911" w:type="dxa"/>
          </w:tcPr>
          <w:p w14:paraId="440FDBB5" w14:textId="33596137" w:rsidR="00E420BF" w:rsidRDefault="00F62D54" w:rsidP="00E65A6D">
            <w:r>
              <w:t>A</w:t>
            </w:r>
            <w:r w:rsidR="00E420BF" w:rsidRPr="00064FEB">
              <w:t>lanine aminotransferase</w:t>
            </w:r>
          </w:p>
        </w:tc>
      </w:tr>
      <w:tr w:rsidR="00E420BF" w:rsidRPr="00FD119B" w14:paraId="06AC932F" w14:textId="77777777" w:rsidTr="00FD119B">
        <w:tc>
          <w:tcPr>
            <w:tcW w:w="1809" w:type="dxa"/>
          </w:tcPr>
          <w:p w14:paraId="70AD0D4E" w14:textId="77777777" w:rsidR="00E420BF" w:rsidRPr="00C70B52" w:rsidRDefault="00E420BF" w:rsidP="00FD119B">
            <w:r>
              <w:t>ARDS</w:t>
            </w:r>
          </w:p>
        </w:tc>
        <w:tc>
          <w:tcPr>
            <w:tcW w:w="6911" w:type="dxa"/>
          </w:tcPr>
          <w:p w14:paraId="39E44EB7" w14:textId="3E913EE7" w:rsidR="00E420BF" w:rsidRDefault="00F62D54" w:rsidP="00E65A6D">
            <w:r>
              <w:t>A</w:t>
            </w:r>
            <w:r w:rsidR="00E420BF">
              <w:t>cute respiratory distress syndrome</w:t>
            </w:r>
          </w:p>
        </w:tc>
      </w:tr>
      <w:tr w:rsidR="00E420BF" w:rsidRPr="00FD119B" w14:paraId="6EE42076" w14:textId="77777777" w:rsidTr="00FD119B">
        <w:tc>
          <w:tcPr>
            <w:tcW w:w="1809" w:type="dxa"/>
          </w:tcPr>
          <w:p w14:paraId="2597173E" w14:textId="77777777" w:rsidR="00E420BF" w:rsidRDefault="00E420BF" w:rsidP="00FD119B">
            <w:r>
              <w:t>ASA</w:t>
            </w:r>
          </w:p>
        </w:tc>
        <w:tc>
          <w:tcPr>
            <w:tcW w:w="6911" w:type="dxa"/>
          </w:tcPr>
          <w:p w14:paraId="30635C99" w14:textId="77777777" w:rsidR="00E420BF" w:rsidRPr="000F7222" w:rsidRDefault="00E420BF" w:rsidP="000F7222">
            <w:pPr>
              <w:rPr>
                <w:lang w:val="en-GB"/>
              </w:rPr>
            </w:pPr>
            <w:r>
              <w:rPr>
                <w:lang w:val="en-GB"/>
              </w:rPr>
              <w:t>Australian-specific annex</w:t>
            </w:r>
          </w:p>
        </w:tc>
      </w:tr>
      <w:tr w:rsidR="00E420BF" w:rsidRPr="00FD119B" w14:paraId="786A3947" w14:textId="77777777" w:rsidTr="00FD119B">
        <w:tc>
          <w:tcPr>
            <w:tcW w:w="1809" w:type="dxa"/>
          </w:tcPr>
          <w:p w14:paraId="40BE48A0" w14:textId="77777777" w:rsidR="00E420BF" w:rsidRDefault="00E420BF" w:rsidP="00FD119B">
            <w:r>
              <w:t>ASCO</w:t>
            </w:r>
          </w:p>
        </w:tc>
        <w:tc>
          <w:tcPr>
            <w:tcW w:w="6911" w:type="dxa"/>
          </w:tcPr>
          <w:p w14:paraId="5EF50268" w14:textId="77777777" w:rsidR="00E420BF" w:rsidRPr="000F7222" w:rsidRDefault="00E420BF" w:rsidP="000F7222">
            <w:pPr>
              <w:rPr>
                <w:lang w:val="en-GB"/>
              </w:rPr>
            </w:pPr>
            <w:r w:rsidRPr="005147EB">
              <w:rPr>
                <w:lang w:val="en-GB"/>
              </w:rPr>
              <w:t>American Society of Clinical Oncology</w:t>
            </w:r>
          </w:p>
        </w:tc>
      </w:tr>
      <w:tr w:rsidR="00E420BF" w:rsidRPr="00FD119B" w14:paraId="14219DF5" w14:textId="77777777" w:rsidTr="00FD119B">
        <w:tc>
          <w:tcPr>
            <w:tcW w:w="1809" w:type="dxa"/>
          </w:tcPr>
          <w:p w14:paraId="1E244F68" w14:textId="77777777" w:rsidR="00E420BF" w:rsidRPr="00FD119B" w:rsidRDefault="00E420BF" w:rsidP="00FD119B">
            <w:r>
              <w:t>ASCT</w:t>
            </w:r>
          </w:p>
        </w:tc>
        <w:tc>
          <w:tcPr>
            <w:tcW w:w="6911" w:type="dxa"/>
          </w:tcPr>
          <w:p w14:paraId="720710EF" w14:textId="77777777" w:rsidR="00E420BF" w:rsidRPr="00FD119B" w:rsidRDefault="00E420BF" w:rsidP="00FD119B">
            <w:r>
              <w:t>Autologous stem cell transplant</w:t>
            </w:r>
          </w:p>
        </w:tc>
      </w:tr>
      <w:tr w:rsidR="00E420BF" w:rsidRPr="00FD119B" w14:paraId="62BBD434" w14:textId="77777777" w:rsidTr="00FD119B">
        <w:tc>
          <w:tcPr>
            <w:tcW w:w="1809" w:type="dxa"/>
          </w:tcPr>
          <w:p w14:paraId="68B580AA" w14:textId="77777777" w:rsidR="00E420BF" w:rsidRDefault="00E420BF" w:rsidP="00FD119B">
            <w:r>
              <w:t>AST</w:t>
            </w:r>
          </w:p>
        </w:tc>
        <w:tc>
          <w:tcPr>
            <w:tcW w:w="6911" w:type="dxa"/>
          </w:tcPr>
          <w:p w14:paraId="1615F099" w14:textId="243AE924" w:rsidR="00E420BF" w:rsidRDefault="00F62D54" w:rsidP="00E65A6D">
            <w:r>
              <w:t>A</w:t>
            </w:r>
            <w:r w:rsidR="00E420BF" w:rsidRPr="00064FEB">
              <w:t>spartate aminotransferase</w:t>
            </w:r>
          </w:p>
        </w:tc>
      </w:tr>
      <w:tr w:rsidR="00E420BF" w:rsidRPr="00FD119B" w14:paraId="0D0E316A" w14:textId="77777777" w:rsidTr="00FD119B">
        <w:tc>
          <w:tcPr>
            <w:tcW w:w="1809" w:type="dxa"/>
          </w:tcPr>
          <w:p w14:paraId="5AC8B8B0" w14:textId="77777777" w:rsidR="00E420BF" w:rsidRDefault="00E420BF" w:rsidP="00FD119B">
            <w:r>
              <w:t>ATA</w:t>
            </w:r>
          </w:p>
        </w:tc>
        <w:tc>
          <w:tcPr>
            <w:tcW w:w="6911" w:type="dxa"/>
          </w:tcPr>
          <w:p w14:paraId="6162240F" w14:textId="34B1A451" w:rsidR="00E420BF" w:rsidRDefault="005C47DC" w:rsidP="00E65A6D">
            <w:r>
              <w:t>A</w:t>
            </w:r>
            <w:r w:rsidR="00E420BF">
              <w:t>nti-therapeutic antibodies</w:t>
            </w:r>
          </w:p>
        </w:tc>
      </w:tr>
      <w:tr w:rsidR="00E420BF" w:rsidRPr="00FD119B" w14:paraId="2C392933" w14:textId="77777777" w:rsidTr="00FD119B">
        <w:tc>
          <w:tcPr>
            <w:tcW w:w="1809" w:type="dxa"/>
          </w:tcPr>
          <w:p w14:paraId="748A5A70" w14:textId="77777777" w:rsidR="00E420BF" w:rsidRDefault="00E420BF" w:rsidP="00FD119B">
            <w:r>
              <w:t>AusPAR</w:t>
            </w:r>
          </w:p>
        </w:tc>
        <w:tc>
          <w:tcPr>
            <w:tcW w:w="6911" w:type="dxa"/>
          </w:tcPr>
          <w:p w14:paraId="7ABC7DF5" w14:textId="77777777" w:rsidR="00E420BF" w:rsidRDefault="00E420BF" w:rsidP="00E65A6D">
            <w:r>
              <w:t>Australian Public Assessment Report</w:t>
            </w:r>
          </w:p>
        </w:tc>
      </w:tr>
      <w:tr w:rsidR="00E420BF" w:rsidRPr="00FD119B" w14:paraId="562F46DB" w14:textId="77777777" w:rsidTr="00FD119B">
        <w:tc>
          <w:tcPr>
            <w:tcW w:w="1809" w:type="dxa"/>
          </w:tcPr>
          <w:p w14:paraId="27EE537C" w14:textId="77777777" w:rsidR="00E420BF" w:rsidRDefault="00E420BF" w:rsidP="00FD119B">
            <w:r>
              <w:t>AVD</w:t>
            </w:r>
          </w:p>
        </w:tc>
        <w:tc>
          <w:tcPr>
            <w:tcW w:w="6911" w:type="dxa"/>
          </w:tcPr>
          <w:p w14:paraId="7D057A3C" w14:textId="080D88FC" w:rsidR="00E420BF" w:rsidRDefault="005C47DC" w:rsidP="000F7222">
            <w:pPr>
              <w:rPr>
                <w:lang w:val="en-GB"/>
              </w:rPr>
            </w:pPr>
            <w:r>
              <w:rPr>
                <w:lang w:val="en-GB"/>
              </w:rPr>
              <w:t>D</w:t>
            </w:r>
            <w:r w:rsidR="00E420BF">
              <w:rPr>
                <w:lang w:val="en-GB"/>
              </w:rPr>
              <w:t>oxorubicin, vinblastine, and d</w:t>
            </w:r>
            <w:r w:rsidR="00E420BF" w:rsidRPr="005147EB">
              <w:rPr>
                <w:lang w:val="en-GB"/>
              </w:rPr>
              <w:t>acarbazine</w:t>
            </w:r>
            <w:r w:rsidR="00E420BF">
              <w:rPr>
                <w:lang w:val="en-GB"/>
              </w:rPr>
              <w:t xml:space="preserve"> combination therapy</w:t>
            </w:r>
          </w:p>
        </w:tc>
      </w:tr>
      <w:tr w:rsidR="00E420BF" w:rsidRPr="00FD119B" w14:paraId="4781FCC1" w14:textId="77777777" w:rsidTr="00FD119B">
        <w:tc>
          <w:tcPr>
            <w:tcW w:w="1809" w:type="dxa"/>
          </w:tcPr>
          <w:p w14:paraId="6EBE3186" w14:textId="77777777" w:rsidR="00E420BF" w:rsidRPr="00121751" w:rsidRDefault="00E420BF" w:rsidP="00FD119B">
            <w:pPr>
              <w:rPr>
                <w:lang w:val="en-GB"/>
              </w:rPr>
            </w:pPr>
            <w:r w:rsidRPr="00BC00B3">
              <w:rPr>
                <w:lang w:val="en-GB"/>
              </w:rPr>
              <w:t>BEACOPP</w:t>
            </w:r>
          </w:p>
        </w:tc>
        <w:tc>
          <w:tcPr>
            <w:tcW w:w="6911" w:type="dxa"/>
          </w:tcPr>
          <w:p w14:paraId="117EC616" w14:textId="439029C8" w:rsidR="00E420BF" w:rsidRPr="005147EB" w:rsidRDefault="005C47DC" w:rsidP="000F7222">
            <w:pPr>
              <w:rPr>
                <w:lang w:val="en-GB"/>
              </w:rPr>
            </w:pPr>
            <w:r>
              <w:rPr>
                <w:lang w:val="en-GB"/>
              </w:rPr>
              <w:t>B</w:t>
            </w:r>
            <w:r w:rsidR="00E420BF" w:rsidRPr="00121751">
              <w:rPr>
                <w:lang w:val="en-GB"/>
              </w:rPr>
              <w:t>leomycin, etoposide, doxorubicin, cyclophosphamide, vincristine, procarbazine, and prednisone</w:t>
            </w:r>
            <w:r w:rsidR="00E420BF">
              <w:rPr>
                <w:lang w:val="en-GB"/>
              </w:rPr>
              <w:t xml:space="preserve"> combination therapy</w:t>
            </w:r>
          </w:p>
        </w:tc>
      </w:tr>
      <w:tr w:rsidR="00E420BF" w:rsidRPr="00FD119B" w14:paraId="37F4884F" w14:textId="77777777" w:rsidTr="00FD119B">
        <w:tc>
          <w:tcPr>
            <w:tcW w:w="1809" w:type="dxa"/>
          </w:tcPr>
          <w:p w14:paraId="60CA4BE2" w14:textId="77777777" w:rsidR="00E420BF" w:rsidRPr="00121751" w:rsidRDefault="00E420BF" w:rsidP="00FD119B">
            <w:pPr>
              <w:rPr>
                <w:lang w:val="en-GB"/>
              </w:rPr>
            </w:pPr>
            <w:r w:rsidRPr="00604D46">
              <w:rPr>
                <w:lang w:val="en-GB"/>
              </w:rPr>
              <w:t>BrECADD</w:t>
            </w:r>
          </w:p>
        </w:tc>
        <w:tc>
          <w:tcPr>
            <w:tcW w:w="6911" w:type="dxa"/>
          </w:tcPr>
          <w:p w14:paraId="4BCDF9CA" w14:textId="6535A17B" w:rsidR="00E420BF" w:rsidRPr="005147EB" w:rsidRDefault="005C47DC" w:rsidP="000F7222">
            <w:pPr>
              <w:rPr>
                <w:lang w:val="en-GB"/>
              </w:rPr>
            </w:pPr>
            <w:r>
              <w:rPr>
                <w:lang w:val="en-GB"/>
              </w:rPr>
              <w:t>B</w:t>
            </w:r>
            <w:r w:rsidR="00E420BF" w:rsidRPr="00604D46">
              <w:rPr>
                <w:lang w:val="en-GB"/>
              </w:rPr>
              <w:t>rentuximab ved</w:t>
            </w:r>
            <w:r w:rsidR="00E420BF">
              <w:rPr>
                <w:lang w:val="en-GB"/>
              </w:rPr>
              <w:t>otin plus etoposide, adriamycin</w:t>
            </w:r>
            <w:r w:rsidR="00E420BF" w:rsidRPr="00604D46">
              <w:rPr>
                <w:lang w:val="en-GB"/>
              </w:rPr>
              <w:t>, cyclophosphamide, dacarbazine, and dexamethasone</w:t>
            </w:r>
            <w:r w:rsidR="00E420BF">
              <w:rPr>
                <w:lang w:val="en-GB"/>
              </w:rPr>
              <w:t xml:space="preserve"> combination therapy</w:t>
            </w:r>
          </w:p>
        </w:tc>
      </w:tr>
      <w:tr w:rsidR="00E420BF" w:rsidRPr="00FD119B" w14:paraId="4C55D879" w14:textId="77777777" w:rsidTr="00604D46">
        <w:trPr>
          <w:trHeight w:val="415"/>
        </w:trPr>
        <w:tc>
          <w:tcPr>
            <w:tcW w:w="1809" w:type="dxa"/>
          </w:tcPr>
          <w:p w14:paraId="3B1E14F1" w14:textId="77777777" w:rsidR="00E420BF" w:rsidRDefault="00E420BF" w:rsidP="00FD119B">
            <w:r w:rsidRPr="00121751">
              <w:rPr>
                <w:lang w:val="en-GB"/>
              </w:rPr>
              <w:t>BrECAPP</w:t>
            </w:r>
          </w:p>
        </w:tc>
        <w:tc>
          <w:tcPr>
            <w:tcW w:w="6911" w:type="dxa"/>
          </w:tcPr>
          <w:p w14:paraId="0C163E04" w14:textId="4B1D5536" w:rsidR="00E420BF" w:rsidRPr="005147EB" w:rsidRDefault="005C47DC" w:rsidP="000F7222">
            <w:pPr>
              <w:rPr>
                <w:lang w:val="en-GB"/>
              </w:rPr>
            </w:pPr>
            <w:r>
              <w:rPr>
                <w:lang w:val="en-GB"/>
              </w:rPr>
              <w:t>B</w:t>
            </w:r>
            <w:r w:rsidR="00E420BF" w:rsidRPr="00121751">
              <w:rPr>
                <w:lang w:val="en-GB"/>
              </w:rPr>
              <w:t>rentuximab ved</w:t>
            </w:r>
            <w:r w:rsidR="00E420BF">
              <w:rPr>
                <w:lang w:val="en-GB"/>
              </w:rPr>
              <w:t>otin plus etoposide, adriamycin</w:t>
            </w:r>
            <w:r w:rsidR="00E420BF" w:rsidRPr="00121751">
              <w:rPr>
                <w:lang w:val="en-GB"/>
              </w:rPr>
              <w:t>, cyclophosphamide,</w:t>
            </w:r>
            <w:r w:rsidR="00E420BF">
              <w:rPr>
                <w:lang w:val="en-GB"/>
              </w:rPr>
              <w:t xml:space="preserve"> </w:t>
            </w:r>
            <w:r w:rsidR="00E420BF" w:rsidRPr="00121751">
              <w:rPr>
                <w:lang w:val="en-GB"/>
              </w:rPr>
              <w:t>procarbazine, and prednisone</w:t>
            </w:r>
            <w:r w:rsidR="00E420BF">
              <w:rPr>
                <w:lang w:val="en-GB"/>
              </w:rPr>
              <w:t xml:space="preserve"> combination therapy</w:t>
            </w:r>
          </w:p>
        </w:tc>
      </w:tr>
      <w:tr w:rsidR="00E420BF" w:rsidRPr="00FD119B" w14:paraId="56DD7941" w14:textId="77777777" w:rsidTr="00FD119B">
        <w:tc>
          <w:tcPr>
            <w:tcW w:w="1809" w:type="dxa"/>
          </w:tcPr>
          <w:p w14:paraId="145E7C91" w14:textId="77777777" w:rsidR="00E420BF" w:rsidRDefault="00E420BF" w:rsidP="00FD119B">
            <w:r>
              <w:t>BSC</w:t>
            </w:r>
          </w:p>
        </w:tc>
        <w:tc>
          <w:tcPr>
            <w:tcW w:w="6911" w:type="dxa"/>
          </w:tcPr>
          <w:p w14:paraId="07DD7BA7" w14:textId="18267CC0" w:rsidR="00E420BF" w:rsidRDefault="005C47DC" w:rsidP="000F7222">
            <w:pPr>
              <w:rPr>
                <w:lang w:val="en-GB"/>
              </w:rPr>
            </w:pPr>
            <w:r>
              <w:rPr>
                <w:lang w:val="en-GB"/>
              </w:rPr>
              <w:t>B</w:t>
            </w:r>
            <w:r w:rsidR="00E420BF">
              <w:rPr>
                <w:lang w:val="en-GB"/>
              </w:rPr>
              <w:t>est supportive care</w:t>
            </w:r>
          </w:p>
        </w:tc>
      </w:tr>
      <w:tr w:rsidR="00E420BF" w:rsidRPr="00FD119B" w14:paraId="2D3B8CEB" w14:textId="77777777" w:rsidTr="001B30A8">
        <w:trPr>
          <w:trHeight w:val="514"/>
        </w:trPr>
        <w:tc>
          <w:tcPr>
            <w:tcW w:w="1809" w:type="dxa"/>
          </w:tcPr>
          <w:p w14:paraId="09818650" w14:textId="77777777" w:rsidR="00E420BF" w:rsidRDefault="00E420BF" w:rsidP="00FD119B">
            <w:r>
              <w:t>CFR</w:t>
            </w:r>
          </w:p>
        </w:tc>
        <w:tc>
          <w:tcPr>
            <w:tcW w:w="6911" w:type="dxa"/>
          </w:tcPr>
          <w:p w14:paraId="490A5A6B" w14:textId="77777777" w:rsidR="00E420BF" w:rsidRDefault="00E420BF" w:rsidP="00E65A6D">
            <w:r>
              <w:t>Code of Federal Regulations</w:t>
            </w:r>
          </w:p>
        </w:tc>
      </w:tr>
      <w:tr w:rsidR="00E420BF" w:rsidRPr="00FD119B" w14:paraId="0786BE12" w14:textId="77777777" w:rsidTr="00FD119B">
        <w:tc>
          <w:tcPr>
            <w:tcW w:w="1809" w:type="dxa"/>
          </w:tcPr>
          <w:p w14:paraId="6099E93D" w14:textId="77777777" w:rsidR="00E420BF" w:rsidRDefault="00E420BF" w:rsidP="00FD119B">
            <w:r>
              <w:t>CH-P</w:t>
            </w:r>
          </w:p>
        </w:tc>
        <w:tc>
          <w:tcPr>
            <w:tcW w:w="6911" w:type="dxa"/>
          </w:tcPr>
          <w:p w14:paraId="0B95A926" w14:textId="072A395D" w:rsidR="00E420BF" w:rsidRPr="005147EB" w:rsidRDefault="005C47DC" w:rsidP="000F7222">
            <w:pPr>
              <w:rPr>
                <w:lang w:val="en-GB"/>
              </w:rPr>
            </w:pPr>
            <w:r>
              <w:rPr>
                <w:lang w:val="en-GB"/>
              </w:rPr>
              <w:t>C</w:t>
            </w:r>
            <w:r w:rsidR="00E420BF" w:rsidRPr="005147EB">
              <w:rPr>
                <w:lang w:val="en-GB"/>
              </w:rPr>
              <w:t>yclophosphamide, doxorubicin, and prednisone</w:t>
            </w:r>
            <w:r w:rsidR="00E420BF">
              <w:rPr>
                <w:lang w:val="en-GB"/>
              </w:rPr>
              <w:t xml:space="preserve"> combination therapy</w:t>
            </w:r>
          </w:p>
        </w:tc>
      </w:tr>
      <w:tr w:rsidR="00E420BF" w:rsidRPr="00FD119B" w14:paraId="49985DF5" w14:textId="77777777" w:rsidTr="00FD119B">
        <w:tc>
          <w:tcPr>
            <w:tcW w:w="1809" w:type="dxa"/>
          </w:tcPr>
          <w:p w14:paraId="573672E8" w14:textId="77777777" w:rsidR="00E420BF" w:rsidRDefault="00E420BF" w:rsidP="00FD119B">
            <w:r>
              <w:lastRenderedPageBreak/>
              <w:t>CHMP</w:t>
            </w:r>
          </w:p>
        </w:tc>
        <w:tc>
          <w:tcPr>
            <w:tcW w:w="6911" w:type="dxa"/>
          </w:tcPr>
          <w:p w14:paraId="5EE31B3A" w14:textId="77777777" w:rsidR="00E420BF" w:rsidRPr="00E65A6D" w:rsidRDefault="00E420BF" w:rsidP="00E65A6D">
            <w:pPr>
              <w:rPr>
                <w:lang w:val="en-GB"/>
              </w:rPr>
            </w:pPr>
            <w:r>
              <w:t>C</w:t>
            </w:r>
            <w:r w:rsidRPr="006D07F6">
              <w:t>ommittee for Medicinal Products for Human Use</w:t>
            </w:r>
          </w:p>
        </w:tc>
      </w:tr>
      <w:tr w:rsidR="00E420BF" w:rsidRPr="00FD119B" w14:paraId="0588F02E" w14:textId="77777777" w:rsidTr="00FD119B">
        <w:tc>
          <w:tcPr>
            <w:tcW w:w="1809" w:type="dxa"/>
          </w:tcPr>
          <w:p w14:paraId="75594A54" w14:textId="77777777" w:rsidR="00E420BF" w:rsidRDefault="00E420BF" w:rsidP="00FD119B">
            <w:r>
              <w:t>CHOP</w:t>
            </w:r>
          </w:p>
        </w:tc>
        <w:tc>
          <w:tcPr>
            <w:tcW w:w="6911" w:type="dxa"/>
          </w:tcPr>
          <w:p w14:paraId="7D857FE8" w14:textId="36E16787" w:rsidR="00E420BF" w:rsidRDefault="00F62D54" w:rsidP="000F7222">
            <w:pPr>
              <w:rPr>
                <w:lang w:val="en-GB"/>
              </w:rPr>
            </w:pPr>
            <w:r>
              <w:rPr>
                <w:lang w:val="en-GB"/>
              </w:rPr>
              <w:t>C</w:t>
            </w:r>
            <w:r w:rsidR="00E420BF" w:rsidRPr="005147EB">
              <w:rPr>
                <w:lang w:val="en-GB"/>
              </w:rPr>
              <w:t>yclophosphamide, doxorubicin, vincristine, and prednisone</w:t>
            </w:r>
            <w:r w:rsidR="00E420BF">
              <w:rPr>
                <w:lang w:val="en-GB"/>
              </w:rPr>
              <w:t xml:space="preserve"> combination therapy</w:t>
            </w:r>
          </w:p>
        </w:tc>
      </w:tr>
      <w:tr w:rsidR="00E420BF" w:rsidRPr="00FD119B" w14:paraId="6EC16295" w14:textId="77777777" w:rsidTr="00FD119B">
        <w:tc>
          <w:tcPr>
            <w:tcW w:w="1809" w:type="dxa"/>
          </w:tcPr>
          <w:p w14:paraId="7172C2CA" w14:textId="77777777" w:rsidR="00E420BF" w:rsidRDefault="00E420BF" w:rsidP="00FD119B">
            <w:r>
              <w:t>CI</w:t>
            </w:r>
          </w:p>
        </w:tc>
        <w:tc>
          <w:tcPr>
            <w:tcW w:w="6911" w:type="dxa"/>
          </w:tcPr>
          <w:p w14:paraId="5AA7B46B" w14:textId="34C31A38" w:rsidR="00E420BF" w:rsidRDefault="00F62D54" w:rsidP="00E65A6D">
            <w:r>
              <w:t>C</w:t>
            </w:r>
            <w:r w:rsidR="00E420BF">
              <w:t>onfidence interval</w:t>
            </w:r>
          </w:p>
        </w:tc>
      </w:tr>
      <w:tr w:rsidR="00E420BF" w:rsidRPr="00FD119B" w14:paraId="1A1E1854" w14:textId="77777777" w:rsidTr="00FD119B">
        <w:tc>
          <w:tcPr>
            <w:tcW w:w="1809" w:type="dxa"/>
          </w:tcPr>
          <w:p w14:paraId="0BEFD5AF" w14:textId="77777777" w:rsidR="00E420BF" w:rsidRDefault="00E420BF" w:rsidP="00FD119B">
            <w:r>
              <w:t>CMHP</w:t>
            </w:r>
          </w:p>
        </w:tc>
        <w:tc>
          <w:tcPr>
            <w:tcW w:w="6911" w:type="dxa"/>
          </w:tcPr>
          <w:p w14:paraId="0AE54F41" w14:textId="77777777" w:rsidR="00E420BF" w:rsidRPr="000F7222" w:rsidRDefault="00E420BF" w:rsidP="000F7222">
            <w:pPr>
              <w:rPr>
                <w:lang w:val="en-GB"/>
              </w:rPr>
            </w:pPr>
            <w:r w:rsidRPr="000F7222">
              <w:rPr>
                <w:lang w:val="en-GB"/>
              </w:rPr>
              <w:t>Committee for Medicinal Products for Human Use</w:t>
            </w:r>
          </w:p>
        </w:tc>
      </w:tr>
      <w:tr w:rsidR="00E420BF" w:rsidRPr="00FD119B" w14:paraId="321DB837" w14:textId="77777777" w:rsidTr="00FD119B">
        <w:tc>
          <w:tcPr>
            <w:tcW w:w="1809" w:type="dxa"/>
          </w:tcPr>
          <w:p w14:paraId="0F980C56" w14:textId="77777777" w:rsidR="00E420BF" w:rsidRPr="00121751" w:rsidRDefault="00E420BF" w:rsidP="00FD119B">
            <w:pPr>
              <w:rPr>
                <w:lang w:val="en-GB"/>
              </w:rPr>
            </w:pPr>
            <w:r>
              <w:rPr>
                <w:lang w:val="en-GB"/>
              </w:rPr>
              <w:t>CMI</w:t>
            </w:r>
          </w:p>
        </w:tc>
        <w:tc>
          <w:tcPr>
            <w:tcW w:w="6911" w:type="dxa"/>
          </w:tcPr>
          <w:p w14:paraId="571DED19" w14:textId="77777777" w:rsidR="00E420BF" w:rsidRPr="005147EB" w:rsidRDefault="00E420BF" w:rsidP="000F7222">
            <w:pPr>
              <w:rPr>
                <w:lang w:val="en-GB"/>
              </w:rPr>
            </w:pPr>
            <w:r>
              <w:rPr>
                <w:lang w:val="en-GB"/>
              </w:rPr>
              <w:t>Consumer Medicine Information</w:t>
            </w:r>
          </w:p>
        </w:tc>
      </w:tr>
      <w:tr w:rsidR="00E420BF" w:rsidRPr="00FD119B" w14:paraId="4E50663E" w14:textId="77777777" w:rsidTr="00FD119B">
        <w:tc>
          <w:tcPr>
            <w:tcW w:w="1809" w:type="dxa"/>
          </w:tcPr>
          <w:p w14:paraId="3930F18B" w14:textId="77777777" w:rsidR="00E420BF" w:rsidRDefault="00E420BF" w:rsidP="00FD119B">
            <w:r>
              <w:t>CR</w:t>
            </w:r>
          </w:p>
        </w:tc>
        <w:tc>
          <w:tcPr>
            <w:tcW w:w="6911" w:type="dxa"/>
          </w:tcPr>
          <w:p w14:paraId="25AF39FD" w14:textId="77777777" w:rsidR="00E420BF" w:rsidRDefault="00E420BF" w:rsidP="000F7222">
            <w:pPr>
              <w:rPr>
                <w:lang w:val="en-GB"/>
              </w:rPr>
            </w:pPr>
            <w:r>
              <w:rPr>
                <w:lang w:val="en-GB"/>
              </w:rPr>
              <w:t>Complete response</w:t>
            </w:r>
          </w:p>
        </w:tc>
      </w:tr>
      <w:tr w:rsidR="00E420BF" w:rsidRPr="00FD119B" w14:paraId="13B4356B" w14:textId="77777777" w:rsidTr="00FD119B">
        <w:tc>
          <w:tcPr>
            <w:tcW w:w="1809" w:type="dxa"/>
          </w:tcPr>
          <w:p w14:paraId="7D6F2F5D" w14:textId="77777777" w:rsidR="00E420BF" w:rsidRDefault="00E420BF" w:rsidP="00FD119B">
            <w:r>
              <w:t>CR/CRu</w:t>
            </w:r>
          </w:p>
        </w:tc>
        <w:tc>
          <w:tcPr>
            <w:tcW w:w="6911" w:type="dxa"/>
          </w:tcPr>
          <w:p w14:paraId="2D78F0A2" w14:textId="77777777" w:rsidR="00E420BF" w:rsidRPr="005147EB" w:rsidRDefault="00E420BF" w:rsidP="000F7222">
            <w:pPr>
              <w:rPr>
                <w:lang w:val="en-GB"/>
              </w:rPr>
            </w:pPr>
            <w:r>
              <w:rPr>
                <w:lang w:val="en-GB"/>
              </w:rPr>
              <w:t>Complete remission rate</w:t>
            </w:r>
          </w:p>
        </w:tc>
      </w:tr>
      <w:tr w:rsidR="00E420BF" w:rsidRPr="00FD119B" w14:paraId="351E0D40" w14:textId="77777777" w:rsidTr="00FD119B">
        <w:tc>
          <w:tcPr>
            <w:tcW w:w="1809" w:type="dxa"/>
          </w:tcPr>
          <w:p w14:paraId="0372170D" w14:textId="77777777" w:rsidR="00E420BF" w:rsidRDefault="00E420BF" w:rsidP="00FD119B">
            <w:r>
              <w:t>CrCl</w:t>
            </w:r>
          </w:p>
        </w:tc>
        <w:tc>
          <w:tcPr>
            <w:tcW w:w="6911" w:type="dxa"/>
          </w:tcPr>
          <w:p w14:paraId="4AEB04A5" w14:textId="74F3CB8E" w:rsidR="00E420BF" w:rsidRPr="000F7222" w:rsidRDefault="00F62D54" w:rsidP="000F7222">
            <w:pPr>
              <w:rPr>
                <w:lang w:val="en-GB"/>
              </w:rPr>
            </w:pPr>
            <w:r>
              <w:rPr>
                <w:lang w:val="en-GB"/>
              </w:rPr>
              <w:t>C</w:t>
            </w:r>
            <w:r w:rsidR="00E420BF">
              <w:rPr>
                <w:lang w:val="en-GB"/>
              </w:rPr>
              <w:t>reatinine clearance</w:t>
            </w:r>
          </w:p>
        </w:tc>
      </w:tr>
      <w:tr w:rsidR="00E420BF" w:rsidRPr="00FD119B" w14:paraId="10728150" w14:textId="77777777" w:rsidTr="00FD119B">
        <w:tc>
          <w:tcPr>
            <w:tcW w:w="1809" w:type="dxa"/>
          </w:tcPr>
          <w:p w14:paraId="5CEF2BE3" w14:textId="77777777" w:rsidR="00E420BF" w:rsidRPr="00121751" w:rsidRDefault="00E420BF" w:rsidP="00FD119B">
            <w:pPr>
              <w:rPr>
                <w:lang w:val="en-GB"/>
              </w:rPr>
            </w:pPr>
            <w:r>
              <w:rPr>
                <w:lang w:val="en-GB"/>
              </w:rPr>
              <w:t>CRR</w:t>
            </w:r>
          </w:p>
        </w:tc>
        <w:tc>
          <w:tcPr>
            <w:tcW w:w="6911" w:type="dxa"/>
          </w:tcPr>
          <w:p w14:paraId="5E7382EC" w14:textId="77777777" w:rsidR="00E420BF" w:rsidRPr="005147EB" w:rsidRDefault="00E420BF" w:rsidP="000F7222">
            <w:pPr>
              <w:rPr>
                <w:lang w:val="en-GB"/>
              </w:rPr>
            </w:pPr>
            <w:r>
              <w:rPr>
                <w:lang w:val="en-GB"/>
              </w:rPr>
              <w:t>Complete response rate</w:t>
            </w:r>
          </w:p>
        </w:tc>
      </w:tr>
      <w:tr w:rsidR="00E420BF" w:rsidRPr="00FD119B" w14:paraId="45E7160D" w14:textId="77777777" w:rsidTr="00FD119B">
        <w:tc>
          <w:tcPr>
            <w:tcW w:w="1809" w:type="dxa"/>
          </w:tcPr>
          <w:p w14:paraId="13D78AEB" w14:textId="77777777" w:rsidR="00E420BF" w:rsidRDefault="00E420BF" w:rsidP="00FD119B">
            <w:r>
              <w:t>CSF</w:t>
            </w:r>
          </w:p>
        </w:tc>
        <w:tc>
          <w:tcPr>
            <w:tcW w:w="6911" w:type="dxa"/>
          </w:tcPr>
          <w:p w14:paraId="4EF91D55" w14:textId="4F9B05C6" w:rsidR="00E420BF" w:rsidRPr="000F7222" w:rsidRDefault="00F62D54" w:rsidP="000F7222">
            <w:pPr>
              <w:rPr>
                <w:lang w:val="en-GB"/>
              </w:rPr>
            </w:pPr>
            <w:r>
              <w:rPr>
                <w:lang w:val="en-GB"/>
              </w:rPr>
              <w:t>C</w:t>
            </w:r>
            <w:r w:rsidR="00E420BF">
              <w:rPr>
                <w:lang w:val="en-GB"/>
              </w:rPr>
              <w:t>olony-stimulating factors</w:t>
            </w:r>
          </w:p>
        </w:tc>
      </w:tr>
      <w:tr w:rsidR="00E420BF" w:rsidRPr="00FD119B" w14:paraId="5FAC3009" w14:textId="77777777" w:rsidTr="00FD119B">
        <w:tc>
          <w:tcPr>
            <w:tcW w:w="1809" w:type="dxa"/>
          </w:tcPr>
          <w:p w14:paraId="4D45D833" w14:textId="77777777" w:rsidR="00E420BF" w:rsidRDefault="00E420BF" w:rsidP="00FD119B">
            <w:r>
              <w:t>CSR</w:t>
            </w:r>
          </w:p>
        </w:tc>
        <w:tc>
          <w:tcPr>
            <w:tcW w:w="6911" w:type="dxa"/>
          </w:tcPr>
          <w:p w14:paraId="0B83F073" w14:textId="77777777" w:rsidR="00E420BF" w:rsidRDefault="00E420BF" w:rsidP="00E65A6D">
            <w:r>
              <w:t>Clinical Study Report</w:t>
            </w:r>
          </w:p>
        </w:tc>
      </w:tr>
      <w:tr w:rsidR="00E420BF" w:rsidRPr="00FD119B" w14:paraId="5E4DCD5D" w14:textId="77777777" w:rsidTr="00FD119B">
        <w:tc>
          <w:tcPr>
            <w:tcW w:w="1809" w:type="dxa"/>
          </w:tcPr>
          <w:p w14:paraId="6BBBB550" w14:textId="77777777" w:rsidR="00E420BF" w:rsidRDefault="00E420BF" w:rsidP="00FD119B">
            <w:r>
              <w:t>CT</w:t>
            </w:r>
          </w:p>
        </w:tc>
        <w:tc>
          <w:tcPr>
            <w:tcW w:w="6911" w:type="dxa"/>
          </w:tcPr>
          <w:p w14:paraId="1B27BB6C" w14:textId="78B6EA3E" w:rsidR="00E420BF" w:rsidRDefault="00F62D54" w:rsidP="00FD119B">
            <w:r>
              <w:rPr>
                <w:lang w:val="en-GB"/>
              </w:rPr>
              <w:t>C</w:t>
            </w:r>
            <w:r w:rsidR="00E420BF">
              <w:rPr>
                <w:lang w:val="en-GB"/>
              </w:rPr>
              <w:t>omputeris</w:t>
            </w:r>
            <w:r w:rsidR="00E420BF" w:rsidRPr="00783197">
              <w:rPr>
                <w:lang w:val="en-GB"/>
              </w:rPr>
              <w:t>ed tomography</w:t>
            </w:r>
          </w:p>
        </w:tc>
      </w:tr>
      <w:tr w:rsidR="00E420BF" w:rsidRPr="00FD119B" w14:paraId="1B405866" w14:textId="77777777" w:rsidTr="00FD119B">
        <w:tc>
          <w:tcPr>
            <w:tcW w:w="1809" w:type="dxa"/>
          </w:tcPr>
          <w:p w14:paraId="69CC4C4A" w14:textId="77777777" w:rsidR="00E420BF" w:rsidRPr="00FD119B" w:rsidRDefault="00E420BF" w:rsidP="00FD119B">
            <w:r>
              <w:t>DHAP</w:t>
            </w:r>
          </w:p>
        </w:tc>
        <w:tc>
          <w:tcPr>
            <w:tcW w:w="6911" w:type="dxa"/>
          </w:tcPr>
          <w:p w14:paraId="5D97951D" w14:textId="28CB76AF" w:rsidR="00E420BF" w:rsidRPr="00FD119B" w:rsidRDefault="00F62D54" w:rsidP="00FD119B">
            <w:r>
              <w:t>D</w:t>
            </w:r>
            <w:r w:rsidR="00E420BF" w:rsidRPr="006D07F6">
              <w:t>examethasone/high-dose Ara-C/cisplatin</w:t>
            </w:r>
          </w:p>
        </w:tc>
      </w:tr>
      <w:tr w:rsidR="00E420BF" w:rsidRPr="00FD119B" w14:paraId="79184619" w14:textId="77777777" w:rsidTr="00FD119B">
        <w:tc>
          <w:tcPr>
            <w:tcW w:w="1809" w:type="dxa"/>
          </w:tcPr>
          <w:p w14:paraId="7C99E89F" w14:textId="77777777" w:rsidR="00E420BF" w:rsidRDefault="00E420BF" w:rsidP="00FD119B">
            <w:r>
              <w:t>ECOG</w:t>
            </w:r>
          </w:p>
        </w:tc>
        <w:tc>
          <w:tcPr>
            <w:tcW w:w="6911" w:type="dxa"/>
          </w:tcPr>
          <w:p w14:paraId="377E087C" w14:textId="77777777" w:rsidR="00E420BF" w:rsidRPr="00832E73" w:rsidRDefault="00E420BF" w:rsidP="00832E73">
            <w:pPr>
              <w:rPr>
                <w:lang w:val="en-GB"/>
              </w:rPr>
            </w:pPr>
            <w:r w:rsidRPr="00832E73">
              <w:rPr>
                <w:lang w:val="en-GB"/>
              </w:rPr>
              <w:t>Eastern Cooperative Oncology Group</w:t>
            </w:r>
          </w:p>
        </w:tc>
      </w:tr>
      <w:tr w:rsidR="00E420BF" w:rsidRPr="00FD119B" w14:paraId="15E0D85C" w14:textId="77777777" w:rsidTr="00FD119B">
        <w:tc>
          <w:tcPr>
            <w:tcW w:w="1809" w:type="dxa"/>
          </w:tcPr>
          <w:p w14:paraId="3346311B" w14:textId="77777777" w:rsidR="00E420BF" w:rsidRDefault="00E420BF" w:rsidP="00FD119B">
            <w:r>
              <w:t>EMA</w:t>
            </w:r>
          </w:p>
        </w:tc>
        <w:tc>
          <w:tcPr>
            <w:tcW w:w="6911" w:type="dxa"/>
          </w:tcPr>
          <w:p w14:paraId="26D6B4BF" w14:textId="77777777" w:rsidR="00E420BF" w:rsidRPr="00E65A6D" w:rsidRDefault="00E420BF" w:rsidP="00E65A6D">
            <w:pPr>
              <w:rPr>
                <w:lang w:val="en-GB"/>
              </w:rPr>
            </w:pPr>
            <w:r>
              <w:rPr>
                <w:lang w:val="en-GB"/>
              </w:rPr>
              <w:t>European Medicines Agency</w:t>
            </w:r>
          </w:p>
        </w:tc>
      </w:tr>
      <w:tr w:rsidR="00E420BF" w:rsidRPr="00FD119B" w14:paraId="28D4808E" w14:textId="77777777" w:rsidTr="00FD119B">
        <w:tc>
          <w:tcPr>
            <w:tcW w:w="1809" w:type="dxa"/>
          </w:tcPr>
          <w:p w14:paraId="6DD8F425" w14:textId="77777777" w:rsidR="00E420BF" w:rsidRDefault="00E420BF" w:rsidP="00FD119B">
            <w:r>
              <w:t>EORTC</w:t>
            </w:r>
          </w:p>
        </w:tc>
        <w:tc>
          <w:tcPr>
            <w:tcW w:w="6911" w:type="dxa"/>
          </w:tcPr>
          <w:p w14:paraId="371B2E85" w14:textId="77777777" w:rsidR="00E420BF" w:rsidRPr="000F7222" w:rsidRDefault="00E420BF" w:rsidP="000F7222">
            <w:pPr>
              <w:rPr>
                <w:lang w:val="en-GB"/>
              </w:rPr>
            </w:pPr>
            <w:r w:rsidRPr="005147EB">
              <w:rPr>
                <w:lang w:val="en-GB"/>
              </w:rPr>
              <w:t>European Organization for Research and Treatment of Cancer</w:t>
            </w:r>
          </w:p>
        </w:tc>
      </w:tr>
      <w:tr w:rsidR="00E420BF" w:rsidRPr="00FD119B" w14:paraId="6964F8F1" w14:textId="77777777" w:rsidTr="00FD119B">
        <w:tc>
          <w:tcPr>
            <w:tcW w:w="1809" w:type="dxa"/>
          </w:tcPr>
          <w:p w14:paraId="7B549210" w14:textId="77777777" w:rsidR="00E420BF" w:rsidRDefault="00E420BF" w:rsidP="00FD119B">
            <w:r>
              <w:t>EPAR</w:t>
            </w:r>
          </w:p>
        </w:tc>
        <w:tc>
          <w:tcPr>
            <w:tcW w:w="6911" w:type="dxa"/>
          </w:tcPr>
          <w:p w14:paraId="76745EC7" w14:textId="77777777" w:rsidR="00E420BF" w:rsidRDefault="00E420BF" w:rsidP="00E65A6D">
            <w:r>
              <w:t>European Public Assessment Report</w:t>
            </w:r>
          </w:p>
        </w:tc>
      </w:tr>
      <w:tr w:rsidR="00E420BF" w:rsidRPr="00FD119B" w14:paraId="0E069931" w14:textId="77777777" w:rsidTr="00FD119B">
        <w:tc>
          <w:tcPr>
            <w:tcW w:w="1809" w:type="dxa"/>
          </w:tcPr>
          <w:p w14:paraId="61AF311B" w14:textId="77777777" w:rsidR="00E420BF" w:rsidRDefault="00E420BF" w:rsidP="00FD119B">
            <w:r w:rsidRPr="00C70B52">
              <w:t>EQ-5D</w:t>
            </w:r>
          </w:p>
        </w:tc>
        <w:tc>
          <w:tcPr>
            <w:tcW w:w="6911" w:type="dxa"/>
          </w:tcPr>
          <w:p w14:paraId="18FBC6CE" w14:textId="77777777" w:rsidR="00E420BF" w:rsidRDefault="00E420BF" w:rsidP="00E65A6D">
            <w:r>
              <w:t>European Quality of Life (</w:t>
            </w:r>
            <w:r w:rsidRPr="00C70B52">
              <w:t>EuroQol</w:t>
            </w:r>
            <w:r>
              <w:t xml:space="preserve">) </w:t>
            </w:r>
            <w:r w:rsidRPr="00C70B52">
              <w:t>5</w:t>
            </w:r>
            <w:r>
              <w:t xml:space="preserve"> dimensional 3 </w:t>
            </w:r>
            <w:r w:rsidRPr="00C70B52">
              <w:t>level</w:t>
            </w:r>
          </w:p>
        </w:tc>
      </w:tr>
      <w:tr w:rsidR="00E420BF" w:rsidRPr="00FD119B" w14:paraId="7974407A" w14:textId="77777777" w:rsidTr="00FD119B">
        <w:tc>
          <w:tcPr>
            <w:tcW w:w="1809" w:type="dxa"/>
          </w:tcPr>
          <w:p w14:paraId="2E2FA3CD" w14:textId="77777777" w:rsidR="00E420BF" w:rsidRPr="00FD119B" w:rsidRDefault="00E420BF" w:rsidP="00FD119B">
            <w:r>
              <w:t>ESR</w:t>
            </w:r>
          </w:p>
        </w:tc>
        <w:tc>
          <w:tcPr>
            <w:tcW w:w="6911" w:type="dxa"/>
          </w:tcPr>
          <w:p w14:paraId="74ABAF62" w14:textId="3B9F0F19" w:rsidR="00E420BF" w:rsidRPr="00FD119B" w:rsidRDefault="005C47DC" w:rsidP="00FD119B">
            <w:r>
              <w:t>E</w:t>
            </w:r>
            <w:r w:rsidR="00E420BF">
              <w:t>rythrocyte sedimentation rate</w:t>
            </w:r>
          </w:p>
        </w:tc>
      </w:tr>
      <w:tr w:rsidR="00E420BF" w:rsidRPr="00FD119B" w14:paraId="5B32A348" w14:textId="77777777" w:rsidTr="00FD119B">
        <w:tc>
          <w:tcPr>
            <w:tcW w:w="1809" w:type="dxa"/>
          </w:tcPr>
          <w:p w14:paraId="7BDA8E83" w14:textId="77777777" w:rsidR="00E420BF" w:rsidRDefault="00E420BF" w:rsidP="00FD119B">
            <w:r>
              <w:t>EU</w:t>
            </w:r>
          </w:p>
        </w:tc>
        <w:tc>
          <w:tcPr>
            <w:tcW w:w="6911" w:type="dxa"/>
          </w:tcPr>
          <w:p w14:paraId="0A9A4415" w14:textId="77777777" w:rsidR="00E420BF" w:rsidRPr="00E65A6D" w:rsidRDefault="00E420BF" w:rsidP="00E65A6D">
            <w:pPr>
              <w:rPr>
                <w:lang w:val="en-GB"/>
              </w:rPr>
            </w:pPr>
            <w:r>
              <w:rPr>
                <w:lang w:val="en-GB"/>
              </w:rPr>
              <w:t>European Union</w:t>
            </w:r>
          </w:p>
        </w:tc>
      </w:tr>
      <w:tr w:rsidR="00E420BF" w:rsidRPr="00FD119B" w14:paraId="7DE4D125" w14:textId="77777777" w:rsidTr="00FD119B">
        <w:tc>
          <w:tcPr>
            <w:tcW w:w="1809" w:type="dxa"/>
          </w:tcPr>
          <w:p w14:paraId="40AEF033" w14:textId="77777777" w:rsidR="00E420BF" w:rsidRDefault="00E420BF" w:rsidP="00FD119B">
            <w:r>
              <w:t>FDA</w:t>
            </w:r>
          </w:p>
        </w:tc>
        <w:tc>
          <w:tcPr>
            <w:tcW w:w="6911" w:type="dxa"/>
          </w:tcPr>
          <w:p w14:paraId="1241B5B6" w14:textId="77777777" w:rsidR="00E420BF" w:rsidRPr="00E65A6D" w:rsidRDefault="00E420BF" w:rsidP="00E65A6D">
            <w:pPr>
              <w:rPr>
                <w:lang w:val="en-GB"/>
              </w:rPr>
            </w:pPr>
            <w:r>
              <w:rPr>
                <w:lang w:val="en-GB"/>
              </w:rPr>
              <w:t>Food and Drug Administration (US)</w:t>
            </w:r>
          </w:p>
        </w:tc>
      </w:tr>
      <w:tr w:rsidR="00E420BF" w:rsidRPr="00FD119B" w14:paraId="4970CD79" w14:textId="77777777" w:rsidTr="00FD119B">
        <w:tc>
          <w:tcPr>
            <w:tcW w:w="1809" w:type="dxa"/>
          </w:tcPr>
          <w:p w14:paraId="4E3863F7" w14:textId="77777777" w:rsidR="00E420BF" w:rsidRDefault="00E420BF" w:rsidP="00FD119B">
            <w:r>
              <w:t>GCP</w:t>
            </w:r>
          </w:p>
        </w:tc>
        <w:tc>
          <w:tcPr>
            <w:tcW w:w="6911" w:type="dxa"/>
          </w:tcPr>
          <w:p w14:paraId="645FC761" w14:textId="77777777" w:rsidR="00E420BF" w:rsidRDefault="00E420BF" w:rsidP="00E65A6D">
            <w:r>
              <w:t>Good Clinical Practice</w:t>
            </w:r>
          </w:p>
        </w:tc>
      </w:tr>
      <w:tr w:rsidR="00E420BF" w:rsidRPr="00FD119B" w14:paraId="1DC386F4" w14:textId="77777777" w:rsidTr="00FD119B">
        <w:tc>
          <w:tcPr>
            <w:tcW w:w="1809" w:type="dxa"/>
          </w:tcPr>
          <w:p w14:paraId="078770C1" w14:textId="77777777" w:rsidR="00E420BF" w:rsidRDefault="00E420BF" w:rsidP="00FD119B">
            <w:r w:rsidRPr="00121751">
              <w:rPr>
                <w:lang w:val="en-GB"/>
              </w:rPr>
              <w:t>GHSG</w:t>
            </w:r>
          </w:p>
        </w:tc>
        <w:tc>
          <w:tcPr>
            <w:tcW w:w="6911" w:type="dxa"/>
          </w:tcPr>
          <w:p w14:paraId="71FD4EC3" w14:textId="77777777" w:rsidR="00E420BF" w:rsidRDefault="00E420BF" w:rsidP="000F7222">
            <w:pPr>
              <w:rPr>
                <w:lang w:val="en-GB"/>
              </w:rPr>
            </w:pPr>
            <w:r w:rsidRPr="00081D51">
              <w:rPr>
                <w:lang w:val="en-GB"/>
              </w:rPr>
              <w:t>German Hodgkin Study Group</w:t>
            </w:r>
          </w:p>
        </w:tc>
      </w:tr>
      <w:tr w:rsidR="00E420BF" w:rsidRPr="00FD119B" w14:paraId="26E532F5" w14:textId="77777777" w:rsidTr="00FD119B">
        <w:tc>
          <w:tcPr>
            <w:tcW w:w="1809" w:type="dxa"/>
          </w:tcPr>
          <w:p w14:paraId="711CF8B5" w14:textId="77777777" w:rsidR="00E420BF" w:rsidRDefault="00E420BF" w:rsidP="00FD119B">
            <w:r>
              <w:t>GSDB</w:t>
            </w:r>
          </w:p>
        </w:tc>
        <w:tc>
          <w:tcPr>
            <w:tcW w:w="6911" w:type="dxa"/>
          </w:tcPr>
          <w:p w14:paraId="7F7E2F30" w14:textId="77777777" w:rsidR="00E420BF" w:rsidRDefault="00E420BF" w:rsidP="000F7222">
            <w:pPr>
              <w:rPr>
                <w:lang w:val="en-GB"/>
              </w:rPr>
            </w:pPr>
            <w:r>
              <w:t>Global Safety Database</w:t>
            </w:r>
          </w:p>
        </w:tc>
      </w:tr>
      <w:tr w:rsidR="00E420BF" w:rsidRPr="00FD119B" w14:paraId="5D602CD7" w14:textId="77777777" w:rsidTr="00FD119B">
        <w:tc>
          <w:tcPr>
            <w:tcW w:w="1809" w:type="dxa"/>
          </w:tcPr>
          <w:p w14:paraId="41E0B7D9" w14:textId="77777777" w:rsidR="00E420BF" w:rsidRPr="00FD119B" w:rsidRDefault="00E420BF" w:rsidP="00FD119B">
            <w:r>
              <w:t>HL</w:t>
            </w:r>
          </w:p>
        </w:tc>
        <w:tc>
          <w:tcPr>
            <w:tcW w:w="6911" w:type="dxa"/>
          </w:tcPr>
          <w:p w14:paraId="64F9C750" w14:textId="77777777" w:rsidR="00E420BF" w:rsidRPr="00FD119B" w:rsidRDefault="00E420BF" w:rsidP="00FD119B">
            <w:r>
              <w:t>Hodgkin lymphoma</w:t>
            </w:r>
          </w:p>
        </w:tc>
      </w:tr>
      <w:tr w:rsidR="00E420BF" w:rsidRPr="00FD119B" w14:paraId="6A751AB7" w14:textId="77777777" w:rsidTr="00FD119B">
        <w:tc>
          <w:tcPr>
            <w:tcW w:w="1809" w:type="dxa"/>
          </w:tcPr>
          <w:p w14:paraId="4DA519B5" w14:textId="77777777" w:rsidR="00E420BF" w:rsidRDefault="00E420BF" w:rsidP="00FD119B">
            <w:r>
              <w:lastRenderedPageBreak/>
              <w:t>HLT</w:t>
            </w:r>
          </w:p>
        </w:tc>
        <w:tc>
          <w:tcPr>
            <w:tcW w:w="6911" w:type="dxa"/>
          </w:tcPr>
          <w:p w14:paraId="51D81A48" w14:textId="77777777" w:rsidR="00E420BF" w:rsidRDefault="00E420BF" w:rsidP="000F7222">
            <w:pPr>
              <w:rPr>
                <w:lang w:val="en-GB"/>
              </w:rPr>
            </w:pPr>
            <w:r>
              <w:rPr>
                <w:lang w:val="en-GB"/>
              </w:rPr>
              <w:t>High Level Term</w:t>
            </w:r>
          </w:p>
        </w:tc>
      </w:tr>
      <w:tr w:rsidR="00E420BF" w:rsidRPr="00FD119B" w14:paraId="489A9E5B" w14:textId="77777777" w:rsidTr="00FD119B">
        <w:tc>
          <w:tcPr>
            <w:tcW w:w="1809" w:type="dxa"/>
          </w:tcPr>
          <w:p w14:paraId="298EC12A" w14:textId="77777777" w:rsidR="00E420BF" w:rsidRPr="00C70B52" w:rsidRDefault="00E420BF" w:rsidP="00FD119B">
            <w:r>
              <w:t>HR</w:t>
            </w:r>
          </w:p>
        </w:tc>
        <w:tc>
          <w:tcPr>
            <w:tcW w:w="6911" w:type="dxa"/>
          </w:tcPr>
          <w:p w14:paraId="64952433" w14:textId="5533349D" w:rsidR="00E420BF" w:rsidRDefault="005C47DC" w:rsidP="00E65A6D">
            <w:r>
              <w:t>H</w:t>
            </w:r>
            <w:r w:rsidR="00E420BF">
              <w:t>azard ratio</w:t>
            </w:r>
          </w:p>
        </w:tc>
      </w:tr>
      <w:tr w:rsidR="00E420BF" w:rsidRPr="00FD119B" w14:paraId="1EB7A7F5" w14:textId="77777777" w:rsidTr="00FD119B">
        <w:tc>
          <w:tcPr>
            <w:tcW w:w="1809" w:type="dxa"/>
          </w:tcPr>
          <w:p w14:paraId="6EB9DD20" w14:textId="77777777" w:rsidR="00E420BF" w:rsidRPr="00121751" w:rsidRDefault="00E420BF" w:rsidP="00FD119B">
            <w:pPr>
              <w:rPr>
                <w:lang w:val="en-GB"/>
              </w:rPr>
            </w:pPr>
            <w:r>
              <w:rPr>
                <w:lang w:val="en-GB"/>
              </w:rPr>
              <w:t>HSCT</w:t>
            </w:r>
          </w:p>
        </w:tc>
        <w:tc>
          <w:tcPr>
            <w:tcW w:w="6911" w:type="dxa"/>
          </w:tcPr>
          <w:p w14:paraId="6B650D2F" w14:textId="77777777" w:rsidR="00E420BF" w:rsidRPr="005147EB" w:rsidRDefault="00E420BF" w:rsidP="002E7C39">
            <w:pPr>
              <w:rPr>
                <w:lang w:val="en-GB"/>
              </w:rPr>
            </w:pPr>
            <w:r w:rsidRPr="002E7C39">
              <w:rPr>
                <w:lang w:val="en-GB"/>
              </w:rPr>
              <w:t>H</w:t>
            </w:r>
            <w:r>
              <w:rPr>
                <w:lang w:val="en-GB"/>
              </w:rPr>
              <w:t>a</w:t>
            </w:r>
            <w:r w:rsidRPr="002E7C39">
              <w:rPr>
                <w:lang w:val="en-GB"/>
              </w:rPr>
              <w:t>ematopoietic stem cell transplantation</w:t>
            </w:r>
          </w:p>
        </w:tc>
      </w:tr>
      <w:tr w:rsidR="00E420BF" w:rsidRPr="00FD119B" w14:paraId="2B38863C" w14:textId="77777777" w:rsidTr="00FD119B">
        <w:tc>
          <w:tcPr>
            <w:tcW w:w="1809" w:type="dxa"/>
          </w:tcPr>
          <w:p w14:paraId="06B31A6E" w14:textId="77777777" w:rsidR="00E420BF" w:rsidRPr="00FD119B" w:rsidRDefault="00E420BF" w:rsidP="00FD119B">
            <w:r>
              <w:t>ICE</w:t>
            </w:r>
          </w:p>
        </w:tc>
        <w:tc>
          <w:tcPr>
            <w:tcW w:w="6911" w:type="dxa"/>
          </w:tcPr>
          <w:p w14:paraId="200998D2" w14:textId="5D11CD7A" w:rsidR="00E420BF" w:rsidRPr="00FD119B" w:rsidRDefault="005C47DC" w:rsidP="00FD119B">
            <w:r>
              <w:t>I</w:t>
            </w:r>
            <w:r w:rsidR="00E420BF">
              <w:t>fosfamide/carboplatin/</w:t>
            </w:r>
            <w:r w:rsidR="00E420BF" w:rsidRPr="006D07F6">
              <w:t>etoposide</w:t>
            </w:r>
          </w:p>
        </w:tc>
      </w:tr>
      <w:tr w:rsidR="00E420BF" w:rsidRPr="00FD119B" w14:paraId="13E46BB4" w14:textId="77777777" w:rsidTr="00FD119B">
        <w:tc>
          <w:tcPr>
            <w:tcW w:w="1809" w:type="dxa"/>
          </w:tcPr>
          <w:p w14:paraId="32826C63" w14:textId="77777777" w:rsidR="00E420BF" w:rsidRDefault="00E420BF" w:rsidP="00FD119B">
            <w:r>
              <w:t>ICH</w:t>
            </w:r>
          </w:p>
        </w:tc>
        <w:tc>
          <w:tcPr>
            <w:tcW w:w="6911" w:type="dxa"/>
          </w:tcPr>
          <w:p w14:paraId="5084DB78" w14:textId="77777777" w:rsidR="00E420BF" w:rsidRDefault="00E420BF" w:rsidP="00E65A6D">
            <w:pPr>
              <w:rPr>
                <w:lang w:val="en-GB"/>
              </w:rPr>
            </w:pPr>
            <w:r>
              <w:t>International Conference on Harmonisation</w:t>
            </w:r>
          </w:p>
        </w:tc>
      </w:tr>
      <w:tr w:rsidR="00E420BF" w:rsidRPr="00FD119B" w14:paraId="63814D6F" w14:textId="77777777" w:rsidTr="00FD119B">
        <w:tc>
          <w:tcPr>
            <w:tcW w:w="1809" w:type="dxa"/>
          </w:tcPr>
          <w:p w14:paraId="3D049B74" w14:textId="77777777" w:rsidR="00E420BF" w:rsidRDefault="00E420BF" w:rsidP="007D3418">
            <w:r>
              <w:t>IDMC</w:t>
            </w:r>
          </w:p>
        </w:tc>
        <w:tc>
          <w:tcPr>
            <w:tcW w:w="6911" w:type="dxa"/>
          </w:tcPr>
          <w:p w14:paraId="74CC7A6B" w14:textId="77777777" w:rsidR="00E420BF" w:rsidRPr="000F7222" w:rsidRDefault="00E420BF" w:rsidP="000F7222">
            <w:pPr>
              <w:rPr>
                <w:lang w:val="en-GB"/>
              </w:rPr>
            </w:pPr>
            <w:r w:rsidRPr="005147EB">
              <w:rPr>
                <w:lang w:val="en-GB"/>
              </w:rPr>
              <w:t>Independent Data Monitoring Committee</w:t>
            </w:r>
          </w:p>
        </w:tc>
      </w:tr>
      <w:tr w:rsidR="00E420BF" w:rsidRPr="00FD119B" w14:paraId="61893FF5" w14:textId="77777777" w:rsidTr="00FD119B">
        <w:tc>
          <w:tcPr>
            <w:tcW w:w="1809" w:type="dxa"/>
          </w:tcPr>
          <w:p w14:paraId="7284912F" w14:textId="77777777" w:rsidR="00E420BF" w:rsidRPr="00FD119B" w:rsidRDefault="00E420BF" w:rsidP="00FD119B">
            <w:r>
              <w:t>IGEV</w:t>
            </w:r>
          </w:p>
        </w:tc>
        <w:tc>
          <w:tcPr>
            <w:tcW w:w="6911" w:type="dxa"/>
          </w:tcPr>
          <w:p w14:paraId="62C2AD8F" w14:textId="3EFAC2FB" w:rsidR="00E420BF" w:rsidRPr="00FD119B" w:rsidRDefault="005C47DC" w:rsidP="00FD119B">
            <w:r>
              <w:t>I</w:t>
            </w:r>
            <w:r w:rsidR="00E420BF" w:rsidRPr="006D07F6">
              <w:t>fosfamide/gemcitabine/vinorelbine</w:t>
            </w:r>
          </w:p>
        </w:tc>
      </w:tr>
      <w:tr w:rsidR="00E420BF" w:rsidRPr="00FD119B" w14:paraId="39F903E6" w14:textId="77777777" w:rsidTr="00FD119B">
        <w:tc>
          <w:tcPr>
            <w:tcW w:w="1809" w:type="dxa"/>
          </w:tcPr>
          <w:p w14:paraId="69678141" w14:textId="77777777" w:rsidR="00E420BF" w:rsidRDefault="00E420BF" w:rsidP="00FD119B">
            <w:r>
              <w:t>IgG1</w:t>
            </w:r>
          </w:p>
        </w:tc>
        <w:tc>
          <w:tcPr>
            <w:tcW w:w="6911" w:type="dxa"/>
          </w:tcPr>
          <w:p w14:paraId="42D67FFE" w14:textId="4B3D8F75" w:rsidR="00E420BF" w:rsidRPr="00E65A6D" w:rsidRDefault="005C47DC" w:rsidP="00E65A6D">
            <w:pPr>
              <w:rPr>
                <w:lang w:val="en-GB"/>
              </w:rPr>
            </w:pPr>
            <w:r>
              <w:rPr>
                <w:lang w:val="en-GB"/>
              </w:rPr>
              <w:t>I</w:t>
            </w:r>
            <w:r w:rsidR="00E420BF">
              <w:rPr>
                <w:lang w:val="en-GB"/>
              </w:rPr>
              <w:t>mmunoglobulin G1 isotype</w:t>
            </w:r>
          </w:p>
        </w:tc>
      </w:tr>
      <w:tr w:rsidR="00E420BF" w:rsidRPr="00FD119B" w14:paraId="1F859C3B" w14:textId="77777777" w:rsidTr="00FD119B">
        <w:tc>
          <w:tcPr>
            <w:tcW w:w="1809" w:type="dxa"/>
          </w:tcPr>
          <w:p w14:paraId="2117531E" w14:textId="77777777" w:rsidR="00E420BF" w:rsidRPr="00121751" w:rsidRDefault="00E420BF" w:rsidP="00FD119B">
            <w:pPr>
              <w:rPr>
                <w:lang w:val="en-GB"/>
              </w:rPr>
            </w:pPr>
            <w:r>
              <w:rPr>
                <w:lang w:val="en-GB"/>
              </w:rPr>
              <w:t>IRR</w:t>
            </w:r>
          </w:p>
        </w:tc>
        <w:tc>
          <w:tcPr>
            <w:tcW w:w="6911" w:type="dxa"/>
          </w:tcPr>
          <w:p w14:paraId="16DC6118" w14:textId="2D6CF018" w:rsidR="00E420BF" w:rsidRPr="005147EB" w:rsidRDefault="005C47DC" w:rsidP="000F7222">
            <w:pPr>
              <w:rPr>
                <w:lang w:val="en-GB"/>
              </w:rPr>
            </w:pPr>
            <w:r>
              <w:rPr>
                <w:lang w:val="en-GB"/>
              </w:rPr>
              <w:t>I</w:t>
            </w:r>
            <w:r w:rsidR="00E420BF">
              <w:rPr>
                <w:lang w:val="en-GB"/>
              </w:rPr>
              <w:t>nfusion-related reaction</w:t>
            </w:r>
          </w:p>
        </w:tc>
      </w:tr>
      <w:tr w:rsidR="00E420BF" w:rsidRPr="00FD119B" w14:paraId="78E58D14" w14:textId="77777777" w:rsidTr="00FD119B">
        <w:tc>
          <w:tcPr>
            <w:tcW w:w="1809" w:type="dxa"/>
          </w:tcPr>
          <w:p w14:paraId="63C733FC" w14:textId="77777777" w:rsidR="00E420BF" w:rsidRDefault="00E420BF" w:rsidP="00FD119B">
            <w:r>
              <w:t>IV</w:t>
            </w:r>
          </w:p>
        </w:tc>
        <w:tc>
          <w:tcPr>
            <w:tcW w:w="6911" w:type="dxa"/>
          </w:tcPr>
          <w:p w14:paraId="6C223F5C" w14:textId="590EE578" w:rsidR="00E420BF" w:rsidRDefault="00D61889" w:rsidP="000F7222">
            <w:pPr>
              <w:rPr>
                <w:lang w:val="en-GB"/>
              </w:rPr>
            </w:pPr>
            <w:r>
              <w:rPr>
                <w:lang w:val="en-GB"/>
              </w:rPr>
              <w:t>I</w:t>
            </w:r>
            <w:r w:rsidR="00E420BF">
              <w:rPr>
                <w:lang w:val="en-GB"/>
              </w:rPr>
              <w:t>ntravenous</w:t>
            </w:r>
          </w:p>
        </w:tc>
      </w:tr>
      <w:tr w:rsidR="00E420BF" w:rsidRPr="00FD119B" w14:paraId="59766903" w14:textId="77777777" w:rsidTr="00FD119B">
        <w:tc>
          <w:tcPr>
            <w:tcW w:w="1809" w:type="dxa"/>
          </w:tcPr>
          <w:p w14:paraId="19621E65" w14:textId="77777777" w:rsidR="00E420BF" w:rsidRDefault="00E420BF" w:rsidP="00FD119B">
            <w:r>
              <w:t>MAH</w:t>
            </w:r>
          </w:p>
        </w:tc>
        <w:tc>
          <w:tcPr>
            <w:tcW w:w="6911" w:type="dxa"/>
          </w:tcPr>
          <w:p w14:paraId="6434D258" w14:textId="77777777" w:rsidR="00E420BF" w:rsidRDefault="00E420BF" w:rsidP="000F7222">
            <w:pPr>
              <w:rPr>
                <w:lang w:val="en-GB"/>
              </w:rPr>
            </w:pPr>
            <w:r>
              <w:t>Marketing Authorisation Holder</w:t>
            </w:r>
          </w:p>
        </w:tc>
      </w:tr>
      <w:tr w:rsidR="00E420BF" w:rsidRPr="00FD119B" w14:paraId="73F04006" w14:textId="77777777" w:rsidTr="00FD119B">
        <w:tc>
          <w:tcPr>
            <w:tcW w:w="1809" w:type="dxa"/>
          </w:tcPr>
          <w:p w14:paraId="2EA77946" w14:textId="77777777" w:rsidR="00E420BF" w:rsidRDefault="00E420BF" w:rsidP="00FD119B">
            <w:r>
              <w:t>MEB</w:t>
            </w:r>
          </w:p>
        </w:tc>
        <w:tc>
          <w:tcPr>
            <w:tcW w:w="6911" w:type="dxa"/>
          </w:tcPr>
          <w:p w14:paraId="69E43C75" w14:textId="77777777" w:rsidR="00E420BF" w:rsidRDefault="00E420BF" w:rsidP="00E65A6D">
            <w:pPr>
              <w:rPr>
                <w:lang w:val="en-GB"/>
              </w:rPr>
            </w:pPr>
            <w:r w:rsidRPr="008239F9">
              <w:t>Medicines Evaluation Board</w:t>
            </w:r>
            <w:r>
              <w:t xml:space="preserve"> (Netherlands)</w:t>
            </w:r>
          </w:p>
        </w:tc>
      </w:tr>
      <w:tr w:rsidR="00E420BF" w:rsidRPr="00FD119B" w14:paraId="1AFA92EA" w14:textId="77777777" w:rsidTr="00FD119B">
        <w:tc>
          <w:tcPr>
            <w:tcW w:w="1809" w:type="dxa"/>
          </w:tcPr>
          <w:p w14:paraId="62D5191E" w14:textId="77777777" w:rsidR="00E420BF" w:rsidRDefault="00E420BF" w:rsidP="00FD119B">
            <w:r>
              <w:t>MMAE</w:t>
            </w:r>
          </w:p>
        </w:tc>
        <w:tc>
          <w:tcPr>
            <w:tcW w:w="6911" w:type="dxa"/>
          </w:tcPr>
          <w:p w14:paraId="24318651" w14:textId="03EC113C" w:rsidR="00E420BF" w:rsidRPr="00E65A6D" w:rsidRDefault="005C47DC" w:rsidP="00E65A6D">
            <w:pPr>
              <w:rPr>
                <w:lang w:val="en-GB"/>
              </w:rPr>
            </w:pPr>
            <w:r>
              <w:rPr>
                <w:lang w:val="en-GB"/>
              </w:rPr>
              <w:t>M</w:t>
            </w:r>
            <w:r w:rsidR="00E420BF" w:rsidRPr="00E65A6D">
              <w:rPr>
                <w:lang w:val="en-GB"/>
              </w:rPr>
              <w:t>onomethyl auristatin E</w:t>
            </w:r>
          </w:p>
        </w:tc>
      </w:tr>
      <w:tr w:rsidR="00E420BF" w:rsidRPr="00FD119B" w14:paraId="62710FB0" w14:textId="77777777" w:rsidTr="00FD119B">
        <w:tc>
          <w:tcPr>
            <w:tcW w:w="1809" w:type="dxa"/>
          </w:tcPr>
          <w:p w14:paraId="0231124B" w14:textId="77777777" w:rsidR="00E420BF" w:rsidRPr="00121751" w:rsidRDefault="00E420BF" w:rsidP="00FD119B">
            <w:pPr>
              <w:rPr>
                <w:lang w:val="en-GB"/>
              </w:rPr>
            </w:pPr>
            <w:r>
              <w:rPr>
                <w:lang w:val="en-GB"/>
              </w:rPr>
              <w:t>ORR</w:t>
            </w:r>
          </w:p>
        </w:tc>
        <w:tc>
          <w:tcPr>
            <w:tcW w:w="6911" w:type="dxa"/>
          </w:tcPr>
          <w:p w14:paraId="2F97825E" w14:textId="77777777" w:rsidR="00E420BF" w:rsidRPr="005147EB" w:rsidRDefault="00E420BF" w:rsidP="000F7222">
            <w:pPr>
              <w:rPr>
                <w:lang w:val="en-GB"/>
              </w:rPr>
            </w:pPr>
            <w:r>
              <w:rPr>
                <w:lang w:val="en-GB"/>
              </w:rPr>
              <w:t>Objective response rate</w:t>
            </w:r>
          </w:p>
        </w:tc>
      </w:tr>
      <w:tr w:rsidR="00E420BF" w:rsidRPr="00FD119B" w14:paraId="5B86BACE" w14:textId="77777777" w:rsidTr="00FD119B">
        <w:tc>
          <w:tcPr>
            <w:tcW w:w="1809" w:type="dxa"/>
          </w:tcPr>
          <w:p w14:paraId="2673C4FB" w14:textId="77777777" w:rsidR="00E420BF" w:rsidRDefault="00E420BF" w:rsidP="00FD119B">
            <w:r>
              <w:t>OS</w:t>
            </w:r>
          </w:p>
        </w:tc>
        <w:tc>
          <w:tcPr>
            <w:tcW w:w="6911" w:type="dxa"/>
          </w:tcPr>
          <w:p w14:paraId="42589631" w14:textId="372D6934" w:rsidR="00E420BF" w:rsidRDefault="005C47DC" w:rsidP="00FD119B">
            <w:r>
              <w:t>O</w:t>
            </w:r>
            <w:r w:rsidR="00E420BF">
              <w:t>verall survival</w:t>
            </w:r>
          </w:p>
        </w:tc>
      </w:tr>
      <w:tr w:rsidR="00E420BF" w:rsidRPr="00FD119B" w14:paraId="389D7804" w14:textId="77777777" w:rsidTr="00FD119B">
        <w:tc>
          <w:tcPr>
            <w:tcW w:w="1809" w:type="dxa"/>
          </w:tcPr>
          <w:p w14:paraId="5AB944FB" w14:textId="77777777" w:rsidR="00E420BF" w:rsidRDefault="00E420BF" w:rsidP="00FD119B">
            <w:r>
              <w:t>PET</w:t>
            </w:r>
          </w:p>
        </w:tc>
        <w:tc>
          <w:tcPr>
            <w:tcW w:w="6911" w:type="dxa"/>
          </w:tcPr>
          <w:p w14:paraId="10982A5A" w14:textId="32C8159F" w:rsidR="00E420BF" w:rsidRPr="00776CB5" w:rsidRDefault="005C47DC" w:rsidP="00776CB5">
            <w:pPr>
              <w:rPr>
                <w:lang w:val="en-GB"/>
              </w:rPr>
            </w:pPr>
            <w:r>
              <w:rPr>
                <w:lang w:val="en-GB"/>
              </w:rPr>
              <w:t>P</w:t>
            </w:r>
            <w:r w:rsidR="00E420BF" w:rsidRPr="00776CB5">
              <w:rPr>
                <w:lang w:val="en-GB"/>
              </w:rPr>
              <w:t>ositron emission tomography</w:t>
            </w:r>
          </w:p>
        </w:tc>
      </w:tr>
      <w:tr w:rsidR="00E420BF" w:rsidRPr="00FD119B" w14:paraId="1DF74647" w14:textId="77777777" w:rsidTr="00FD119B">
        <w:tc>
          <w:tcPr>
            <w:tcW w:w="1809" w:type="dxa"/>
          </w:tcPr>
          <w:p w14:paraId="0C120993" w14:textId="77777777" w:rsidR="00E420BF" w:rsidRDefault="00E420BF" w:rsidP="00FD119B">
            <w:r>
              <w:t>PFS</w:t>
            </w:r>
          </w:p>
        </w:tc>
        <w:tc>
          <w:tcPr>
            <w:tcW w:w="6911" w:type="dxa"/>
          </w:tcPr>
          <w:p w14:paraId="2B05F0E5" w14:textId="2BD22F34" w:rsidR="00E420BF" w:rsidRDefault="005C47DC" w:rsidP="00FD119B">
            <w:r>
              <w:t>P</w:t>
            </w:r>
            <w:r w:rsidR="00E420BF">
              <w:t>rogression-free survival</w:t>
            </w:r>
          </w:p>
        </w:tc>
      </w:tr>
      <w:tr w:rsidR="00E420BF" w:rsidRPr="00FD119B" w14:paraId="01257A98" w14:textId="77777777" w:rsidTr="00FD119B">
        <w:tc>
          <w:tcPr>
            <w:tcW w:w="1809" w:type="dxa"/>
          </w:tcPr>
          <w:p w14:paraId="324FD767" w14:textId="77777777" w:rsidR="00E420BF" w:rsidRDefault="00E420BF" w:rsidP="00FD119B">
            <w:r>
              <w:t>PI</w:t>
            </w:r>
          </w:p>
        </w:tc>
        <w:tc>
          <w:tcPr>
            <w:tcW w:w="6911" w:type="dxa"/>
          </w:tcPr>
          <w:p w14:paraId="3C075A71" w14:textId="77777777" w:rsidR="00E420BF" w:rsidRDefault="00E420BF" w:rsidP="00E65A6D">
            <w:r>
              <w:t>Product Information</w:t>
            </w:r>
          </w:p>
        </w:tc>
      </w:tr>
      <w:tr w:rsidR="00E420BF" w:rsidRPr="00FD119B" w14:paraId="10A58CBF" w14:textId="77777777" w:rsidTr="00FD119B">
        <w:tc>
          <w:tcPr>
            <w:tcW w:w="1809" w:type="dxa"/>
          </w:tcPr>
          <w:p w14:paraId="15DCCF05" w14:textId="77777777" w:rsidR="00E420BF" w:rsidRPr="00C70B52" w:rsidRDefault="00E420BF" w:rsidP="00FD119B">
            <w:r>
              <w:t>PML</w:t>
            </w:r>
          </w:p>
        </w:tc>
        <w:tc>
          <w:tcPr>
            <w:tcW w:w="6911" w:type="dxa"/>
          </w:tcPr>
          <w:p w14:paraId="52FEB654" w14:textId="25DD2813" w:rsidR="00E420BF" w:rsidRDefault="005C47DC" w:rsidP="00E65A6D">
            <w:r>
              <w:t>P</w:t>
            </w:r>
            <w:r w:rsidR="00E420BF">
              <w:t>rogressive multifocal leukoencephalopathy</w:t>
            </w:r>
          </w:p>
        </w:tc>
      </w:tr>
      <w:tr w:rsidR="00E420BF" w:rsidRPr="00FD119B" w14:paraId="5B952A12" w14:textId="77777777" w:rsidTr="00FD119B">
        <w:tc>
          <w:tcPr>
            <w:tcW w:w="1809" w:type="dxa"/>
          </w:tcPr>
          <w:p w14:paraId="3A153D79" w14:textId="77777777" w:rsidR="00E420BF" w:rsidRDefault="00E420BF" w:rsidP="00FD119B">
            <w:r>
              <w:t>PR</w:t>
            </w:r>
          </w:p>
        </w:tc>
        <w:tc>
          <w:tcPr>
            <w:tcW w:w="6911" w:type="dxa"/>
          </w:tcPr>
          <w:p w14:paraId="5BE42CBD" w14:textId="1C6CE899" w:rsidR="00E420BF" w:rsidRDefault="005C47DC" w:rsidP="000F7222">
            <w:pPr>
              <w:rPr>
                <w:lang w:val="en-GB"/>
              </w:rPr>
            </w:pPr>
            <w:r>
              <w:rPr>
                <w:lang w:val="en-GB"/>
              </w:rPr>
              <w:t>P</w:t>
            </w:r>
            <w:r w:rsidR="00E420BF">
              <w:rPr>
                <w:lang w:val="en-GB"/>
              </w:rPr>
              <w:t>artial response</w:t>
            </w:r>
          </w:p>
        </w:tc>
      </w:tr>
      <w:tr w:rsidR="00E420BF" w:rsidRPr="00FD119B" w14:paraId="4E7D9A5C" w14:textId="77777777" w:rsidTr="00FD119B">
        <w:tc>
          <w:tcPr>
            <w:tcW w:w="1809" w:type="dxa"/>
          </w:tcPr>
          <w:p w14:paraId="047BE576" w14:textId="77777777" w:rsidR="00E420BF" w:rsidRPr="00C70B52" w:rsidRDefault="00E420BF" w:rsidP="00FD119B">
            <w:r>
              <w:t>PRES</w:t>
            </w:r>
          </w:p>
        </w:tc>
        <w:tc>
          <w:tcPr>
            <w:tcW w:w="6911" w:type="dxa"/>
          </w:tcPr>
          <w:p w14:paraId="201E8914" w14:textId="10F2FEA9" w:rsidR="00E420BF" w:rsidRDefault="005C47DC" w:rsidP="00E65A6D">
            <w:r>
              <w:t>P</w:t>
            </w:r>
            <w:r w:rsidR="00E420BF">
              <w:t>osterior reversible encephalopathy syndrome</w:t>
            </w:r>
          </w:p>
        </w:tc>
      </w:tr>
      <w:tr w:rsidR="00E420BF" w:rsidRPr="00FD119B" w14:paraId="717FBFFD" w14:textId="77777777" w:rsidTr="00FD119B">
        <w:tc>
          <w:tcPr>
            <w:tcW w:w="1809" w:type="dxa"/>
          </w:tcPr>
          <w:p w14:paraId="439789F2" w14:textId="77777777" w:rsidR="00E420BF" w:rsidRDefault="00E420BF" w:rsidP="00FD119B">
            <w:r>
              <w:t>PSUR</w:t>
            </w:r>
          </w:p>
        </w:tc>
        <w:tc>
          <w:tcPr>
            <w:tcW w:w="6911" w:type="dxa"/>
          </w:tcPr>
          <w:p w14:paraId="2793F08B" w14:textId="77777777" w:rsidR="00E420BF" w:rsidRDefault="00E420BF" w:rsidP="00E65A6D">
            <w:r w:rsidRPr="00C849CD">
              <w:t>Periodic Safety Update Report</w:t>
            </w:r>
          </w:p>
        </w:tc>
      </w:tr>
      <w:tr w:rsidR="00E420BF" w:rsidRPr="00FD119B" w14:paraId="0489C109" w14:textId="77777777" w:rsidTr="00FD119B">
        <w:tc>
          <w:tcPr>
            <w:tcW w:w="1809" w:type="dxa"/>
          </w:tcPr>
          <w:p w14:paraId="4CF52F4A" w14:textId="77777777" w:rsidR="00E420BF" w:rsidRPr="00827EC2" w:rsidRDefault="00E420BF" w:rsidP="00FD119B">
            <w:pPr>
              <w:rPr>
                <w:highlight w:val="yellow"/>
              </w:rPr>
            </w:pPr>
            <w:r w:rsidRPr="00D61889">
              <w:t>PT</w:t>
            </w:r>
          </w:p>
        </w:tc>
        <w:tc>
          <w:tcPr>
            <w:tcW w:w="6911" w:type="dxa"/>
          </w:tcPr>
          <w:p w14:paraId="752416C0" w14:textId="77777777" w:rsidR="00E420BF" w:rsidRDefault="00E420BF" w:rsidP="000F7222">
            <w:pPr>
              <w:rPr>
                <w:lang w:val="en-GB"/>
              </w:rPr>
            </w:pPr>
            <w:r>
              <w:rPr>
                <w:lang w:val="en-GB"/>
              </w:rPr>
              <w:t>Preferred Term</w:t>
            </w:r>
          </w:p>
        </w:tc>
      </w:tr>
      <w:tr w:rsidR="00E420BF" w:rsidRPr="00FD119B" w14:paraId="7F707774" w14:textId="77777777" w:rsidTr="00FD119B">
        <w:tc>
          <w:tcPr>
            <w:tcW w:w="1809" w:type="dxa"/>
          </w:tcPr>
          <w:p w14:paraId="33BF1E5B" w14:textId="77777777" w:rsidR="00E420BF" w:rsidRDefault="00E420BF" w:rsidP="00FD119B">
            <w:r>
              <w:t>PTCL</w:t>
            </w:r>
          </w:p>
        </w:tc>
        <w:tc>
          <w:tcPr>
            <w:tcW w:w="6911" w:type="dxa"/>
          </w:tcPr>
          <w:p w14:paraId="45FC69B7" w14:textId="1CB1A433" w:rsidR="00E420BF" w:rsidRPr="00144A94" w:rsidRDefault="00144A94" w:rsidP="00144A94">
            <w:pPr>
              <w:rPr>
                <w:lang w:val="en-GB"/>
              </w:rPr>
            </w:pPr>
            <w:r w:rsidRPr="00144A94">
              <w:rPr>
                <w:bCs/>
                <w:lang w:val="en-GB"/>
              </w:rPr>
              <w:t>Peripheral T-cell lymphoma</w:t>
            </w:r>
          </w:p>
        </w:tc>
      </w:tr>
      <w:tr w:rsidR="00E420BF" w:rsidRPr="00FD119B" w14:paraId="0A18250E" w14:textId="77777777" w:rsidTr="00FD119B">
        <w:tc>
          <w:tcPr>
            <w:tcW w:w="1809" w:type="dxa"/>
          </w:tcPr>
          <w:p w14:paraId="18A3A583" w14:textId="77777777" w:rsidR="00E420BF" w:rsidRPr="00C70B52" w:rsidRDefault="00E420BF" w:rsidP="00FD119B">
            <w:r>
              <w:t>QoL</w:t>
            </w:r>
          </w:p>
        </w:tc>
        <w:tc>
          <w:tcPr>
            <w:tcW w:w="6911" w:type="dxa"/>
          </w:tcPr>
          <w:p w14:paraId="59115C8B" w14:textId="77777777" w:rsidR="00E420BF" w:rsidRDefault="00E420BF" w:rsidP="00E65A6D">
            <w:r>
              <w:t>Quality of life</w:t>
            </w:r>
          </w:p>
        </w:tc>
      </w:tr>
      <w:tr w:rsidR="00E420BF" w:rsidRPr="00FD119B" w14:paraId="71BBBC46" w14:textId="77777777" w:rsidTr="00FD119B">
        <w:tc>
          <w:tcPr>
            <w:tcW w:w="1809" w:type="dxa"/>
          </w:tcPr>
          <w:p w14:paraId="5B52346B" w14:textId="77777777" w:rsidR="00E420BF" w:rsidRPr="00FD119B" w:rsidRDefault="00E420BF" w:rsidP="00FD119B">
            <w:r>
              <w:t>r/r HL</w:t>
            </w:r>
          </w:p>
        </w:tc>
        <w:tc>
          <w:tcPr>
            <w:tcW w:w="6911" w:type="dxa"/>
          </w:tcPr>
          <w:p w14:paraId="7BB1DEC2" w14:textId="53A4D382" w:rsidR="00E420BF" w:rsidRPr="00FD119B" w:rsidRDefault="005C47DC" w:rsidP="00D85638">
            <w:r>
              <w:t>R</w:t>
            </w:r>
            <w:r w:rsidR="00E420BF">
              <w:t>elapsed or refractory Hodgkin lymphoma</w:t>
            </w:r>
          </w:p>
        </w:tc>
      </w:tr>
      <w:tr w:rsidR="00E420BF" w:rsidRPr="00FD119B" w14:paraId="23221A7F" w14:textId="77777777" w:rsidTr="00FD119B">
        <w:tc>
          <w:tcPr>
            <w:tcW w:w="1809" w:type="dxa"/>
          </w:tcPr>
          <w:p w14:paraId="4A32B6C0" w14:textId="77777777" w:rsidR="00E420BF" w:rsidRDefault="00E420BF" w:rsidP="00FD119B">
            <w:r>
              <w:lastRenderedPageBreak/>
              <w:t>RMP</w:t>
            </w:r>
          </w:p>
        </w:tc>
        <w:tc>
          <w:tcPr>
            <w:tcW w:w="6911" w:type="dxa"/>
          </w:tcPr>
          <w:p w14:paraId="1699BE31" w14:textId="77777777" w:rsidR="00E420BF" w:rsidRDefault="00E420BF" w:rsidP="00E65A6D">
            <w:r>
              <w:t>Risk Management Plan</w:t>
            </w:r>
          </w:p>
        </w:tc>
      </w:tr>
      <w:tr w:rsidR="00E420BF" w:rsidRPr="00FD119B" w14:paraId="4A8692ED" w14:textId="77777777" w:rsidTr="00FD119B">
        <w:tc>
          <w:tcPr>
            <w:tcW w:w="1809" w:type="dxa"/>
          </w:tcPr>
          <w:p w14:paraId="6E5F328E" w14:textId="77777777" w:rsidR="00E420BF" w:rsidRDefault="00E420BF" w:rsidP="00FD119B">
            <w:r>
              <w:t>SAE</w:t>
            </w:r>
          </w:p>
        </w:tc>
        <w:tc>
          <w:tcPr>
            <w:tcW w:w="6911" w:type="dxa"/>
          </w:tcPr>
          <w:p w14:paraId="5523692C" w14:textId="0F967C12" w:rsidR="00E420BF" w:rsidRDefault="005C47DC" w:rsidP="000F7222">
            <w:pPr>
              <w:rPr>
                <w:lang w:val="en-GB"/>
              </w:rPr>
            </w:pPr>
            <w:r>
              <w:rPr>
                <w:lang w:val="en-GB"/>
              </w:rPr>
              <w:t>S</w:t>
            </w:r>
            <w:r w:rsidR="00E420BF">
              <w:rPr>
                <w:lang w:val="en-GB"/>
              </w:rPr>
              <w:t>erious adverse event</w:t>
            </w:r>
          </w:p>
        </w:tc>
      </w:tr>
      <w:tr w:rsidR="00E420BF" w:rsidRPr="00FD119B" w14:paraId="790BBB2D" w14:textId="77777777" w:rsidTr="00FD119B">
        <w:tc>
          <w:tcPr>
            <w:tcW w:w="1809" w:type="dxa"/>
          </w:tcPr>
          <w:p w14:paraId="27BF750D" w14:textId="77777777" w:rsidR="00E420BF" w:rsidRDefault="00E420BF" w:rsidP="00FD119B">
            <w:r>
              <w:t>sALCL</w:t>
            </w:r>
          </w:p>
        </w:tc>
        <w:tc>
          <w:tcPr>
            <w:tcW w:w="6911" w:type="dxa"/>
          </w:tcPr>
          <w:p w14:paraId="76FA3D39" w14:textId="134357B7" w:rsidR="00E420BF" w:rsidRPr="00D85638" w:rsidRDefault="005C47DC" w:rsidP="00E65A6D">
            <w:pPr>
              <w:rPr>
                <w:lang w:val="en-GB"/>
              </w:rPr>
            </w:pPr>
            <w:r>
              <w:t>S</w:t>
            </w:r>
            <w:r w:rsidR="00E420BF" w:rsidRPr="00D85638">
              <w:t>ystemic anaplastic large cell</w:t>
            </w:r>
            <w:r w:rsidR="00E420BF">
              <w:t xml:space="preserve"> lymphoma</w:t>
            </w:r>
          </w:p>
        </w:tc>
      </w:tr>
      <w:tr w:rsidR="00E420BF" w:rsidRPr="00FD119B" w14:paraId="4CEE0AB1" w14:textId="77777777" w:rsidTr="00FD119B">
        <w:tc>
          <w:tcPr>
            <w:tcW w:w="1809" w:type="dxa"/>
          </w:tcPr>
          <w:p w14:paraId="521896C5" w14:textId="77777777" w:rsidR="00E420BF" w:rsidRDefault="00E420BF" w:rsidP="00FD119B">
            <w:r>
              <w:t>SD</w:t>
            </w:r>
          </w:p>
        </w:tc>
        <w:tc>
          <w:tcPr>
            <w:tcW w:w="6911" w:type="dxa"/>
          </w:tcPr>
          <w:p w14:paraId="145CF34A" w14:textId="77777777" w:rsidR="00E420BF" w:rsidRDefault="00E420BF" w:rsidP="000F7222">
            <w:pPr>
              <w:rPr>
                <w:lang w:val="en-GB"/>
              </w:rPr>
            </w:pPr>
            <w:r>
              <w:rPr>
                <w:lang w:val="en-GB"/>
              </w:rPr>
              <w:t>Stable disease</w:t>
            </w:r>
          </w:p>
        </w:tc>
      </w:tr>
      <w:tr w:rsidR="00E420BF" w:rsidRPr="00FD119B" w14:paraId="4DAF905A" w14:textId="77777777" w:rsidTr="00FD119B">
        <w:tc>
          <w:tcPr>
            <w:tcW w:w="1809" w:type="dxa"/>
          </w:tcPr>
          <w:p w14:paraId="631CF39A" w14:textId="77777777" w:rsidR="00E420BF" w:rsidRDefault="00E420BF" w:rsidP="00FD119B">
            <w:r>
              <w:t>SJS</w:t>
            </w:r>
          </w:p>
        </w:tc>
        <w:tc>
          <w:tcPr>
            <w:tcW w:w="6911" w:type="dxa"/>
          </w:tcPr>
          <w:p w14:paraId="68BA49D6" w14:textId="77777777" w:rsidR="00E420BF" w:rsidRDefault="00E420BF" w:rsidP="00E65A6D">
            <w:r>
              <w:t>Stevens-Johnson syndrome</w:t>
            </w:r>
          </w:p>
        </w:tc>
      </w:tr>
      <w:tr w:rsidR="00E420BF" w:rsidRPr="00FD119B" w14:paraId="27C2AC7C" w14:textId="77777777" w:rsidTr="00FD119B">
        <w:tc>
          <w:tcPr>
            <w:tcW w:w="1809" w:type="dxa"/>
          </w:tcPr>
          <w:p w14:paraId="63419EF7" w14:textId="77777777" w:rsidR="00E420BF" w:rsidRDefault="00E420BF" w:rsidP="00FD119B">
            <w:r>
              <w:t>SmPC</w:t>
            </w:r>
          </w:p>
        </w:tc>
        <w:tc>
          <w:tcPr>
            <w:tcW w:w="6911" w:type="dxa"/>
          </w:tcPr>
          <w:p w14:paraId="677C5480" w14:textId="77777777" w:rsidR="00E420BF" w:rsidRPr="000F7222" w:rsidRDefault="00E420BF" w:rsidP="000F7222">
            <w:pPr>
              <w:rPr>
                <w:lang w:val="en-GB"/>
              </w:rPr>
            </w:pPr>
            <w:r>
              <w:rPr>
                <w:lang w:val="en-GB"/>
              </w:rPr>
              <w:t>Summary of Product Characteristics</w:t>
            </w:r>
          </w:p>
        </w:tc>
      </w:tr>
      <w:tr w:rsidR="00E420BF" w:rsidRPr="00FD119B" w14:paraId="6135586F" w14:textId="77777777" w:rsidTr="00FD119B">
        <w:tc>
          <w:tcPr>
            <w:tcW w:w="1809" w:type="dxa"/>
          </w:tcPr>
          <w:p w14:paraId="725FDFCB" w14:textId="77777777" w:rsidR="00E420BF" w:rsidRDefault="00E420BF" w:rsidP="00FD119B">
            <w:r>
              <w:t>TEAE</w:t>
            </w:r>
          </w:p>
        </w:tc>
        <w:tc>
          <w:tcPr>
            <w:tcW w:w="6911" w:type="dxa"/>
          </w:tcPr>
          <w:p w14:paraId="63196B46" w14:textId="2E4251A0" w:rsidR="00E420BF" w:rsidRDefault="005C47DC" w:rsidP="000F7222">
            <w:pPr>
              <w:rPr>
                <w:lang w:val="en-GB"/>
              </w:rPr>
            </w:pPr>
            <w:r>
              <w:rPr>
                <w:lang w:eastAsia="ja-JP"/>
              </w:rPr>
              <w:t>T</w:t>
            </w:r>
            <w:r w:rsidR="00E420BF">
              <w:rPr>
                <w:lang w:eastAsia="ja-JP"/>
              </w:rPr>
              <w:t>reatment-emergent adverse event</w:t>
            </w:r>
          </w:p>
        </w:tc>
      </w:tr>
      <w:tr w:rsidR="00E420BF" w:rsidRPr="00FD119B" w14:paraId="256B0F69" w14:textId="77777777" w:rsidTr="00FD119B">
        <w:tc>
          <w:tcPr>
            <w:tcW w:w="1809" w:type="dxa"/>
          </w:tcPr>
          <w:p w14:paraId="568E8BC4" w14:textId="77777777" w:rsidR="00E420BF" w:rsidRDefault="00E420BF" w:rsidP="00FD119B">
            <w:r>
              <w:t>TEN</w:t>
            </w:r>
          </w:p>
        </w:tc>
        <w:tc>
          <w:tcPr>
            <w:tcW w:w="6911" w:type="dxa"/>
          </w:tcPr>
          <w:p w14:paraId="3594B831" w14:textId="22B53895" w:rsidR="00E420BF" w:rsidRDefault="005C47DC" w:rsidP="00E65A6D">
            <w:r>
              <w:t>T</w:t>
            </w:r>
            <w:r w:rsidR="00E420BF" w:rsidRPr="00064FEB">
              <w:t>oxic epidermal necrolysis</w:t>
            </w:r>
          </w:p>
        </w:tc>
      </w:tr>
      <w:tr w:rsidR="00E420BF" w:rsidRPr="00FD119B" w14:paraId="50ECAB6A" w14:textId="77777777" w:rsidTr="00FD119B">
        <w:tc>
          <w:tcPr>
            <w:tcW w:w="1809" w:type="dxa"/>
          </w:tcPr>
          <w:p w14:paraId="173B004B" w14:textId="77777777" w:rsidR="00E420BF" w:rsidRDefault="00E420BF" w:rsidP="00FD119B">
            <w:r>
              <w:t>TNFR</w:t>
            </w:r>
          </w:p>
        </w:tc>
        <w:tc>
          <w:tcPr>
            <w:tcW w:w="6911" w:type="dxa"/>
          </w:tcPr>
          <w:p w14:paraId="4D870C38" w14:textId="7DB94145" w:rsidR="00E420BF" w:rsidRPr="00E65A6D" w:rsidRDefault="005C47DC" w:rsidP="00E65A6D">
            <w:pPr>
              <w:rPr>
                <w:lang w:val="en-GB"/>
              </w:rPr>
            </w:pPr>
            <w:r>
              <w:t>T</w:t>
            </w:r>
            <w:r w:rsidR="00E420BF" w:rsidRPr="00E65A6D">
              <w:t>umour necrosis factor receptor</w:t>
            </w:r>
          </w:p>
        </w:tc>
      </w:tr>
      <w:tr w:rsidR="00E420BF" w:rsidRPr="00FD119B" w14:paraId="028E0529" w14:textId="77777777" w:rsidTr="00FD119B">
        <w:tc>
          <w:tcPr>
            <w:tcW w:w="1809" w:type="dxa"/>
          </w:tcPr>
          <w:p w14:paraId="2278F101" w14:textId="77777777" w:rsidR="00E420BF" w:rsidRDefault="00E420BF" w:rsidP="00FD119B">
            <w:r>
              <w:t>TTNT</w:t>
            </w:r>
          </w:p>
        </w:tc>
        <w:tc>
          <w:tcPr>
            <w:tcW w:w="6911" w:type="dxa"/>
          </w:tcPr>
          <w:p w14:paraId="14C271A2" w14:textId="61A26732" w:rsidR="00E420BF" w:rsidRDefault="005C47DC" w:rsidP="00E65A6D">
            <w:r>
              <w:t>T</w:t>
            </w:r>
            <w:r w:rsidR="00E420BF" w:rsidRPr="008235DC">
              <w:t>ime to next treatment</w:t>
            </w:r>
          </w:p>
        </w:tc>
      </w:tr>
    </w:tbl>
    <w:p w14:paraId="0A2A8480" w14:textId="77777777" w:rsidR="00FD119B" w:rsidRDefault="00FD119B" w:rsidP="00FD119B"/>
    <w:p w14:paraId="1C29CCE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DE51365" w14:textId="77777777" w:rsidR="008E7846" w:rsidRDefault="00F53C07" w:rsidP="008E7846">
      <w:pPr>
        <w:pStyle w:val="Heading2"/>
      </w:pPr>
      <w:bookmarkStart w:id="9" w:name="_Toc495400769"/>
      <w:r>
        <w:lastRenderedPageBreak/>
        <w:t>I.</w:t>
      </w:r>
      <w:r w:rsidR="008E7846">
        <w:t xml:space="preserve"> Introduction to product submission</w:t>
      </w:r>
      <w:bookmarkEnd w:id="3"/>
      <w:bookmarkEnd w:id="1"/>
      <w:bookmarkEnd w:id="9"/>
    </w:p>
    <w:p w14:paraId="1825D0F3" w14:textId="77777777" w:rsidR="008E7846" w:rsidRDefault="008E7846" w:rsidP="008E7846">
      <w:pPr>
        <w:pStyle w:val="Heading3"/>
        <w:rPr>
          <w:lang w:eastAsia="en-AU"/>
        </w:rPr>
      </w:pPr>
      <w:bookmarkStart w:id="10" w:name="_Toc247691502"/>
      <w:bookmarkStart w:id="11" w:name="_Toc314842483"/>
      <w:bookmarkStart w:id="12" w:name="_Toc495400770"/>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1FD73B0C" w14:textId="77777777" w:rsidTr="009701A0">
        <w:trPr>
          <w:trHeight w:hRule="exact" w:val="454"/>
        </w:trPr>
        <w:tc>
          <w:tcPr>
            <w:tcW w:w="2907" w:type="dxa"/>
          </w:tcPr>
          <w:p w14:paraId="7DCDCA26"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AD105C5" w14:textId="751E717A" w:rsidR="008E7846" w:rsidRPr="003D1E62" w:rsidRDefault="00A15DB0" w:rsidP="00A15DB0">
            <w:r>
              <w:t>Extension of indications</w:t>
            </w:r>
          </w:p>
        </w:tc>
      </w:tr>
      <w:tr w:rsidR="008E7846" w:rsidRPr="003D1E62" w14:paraId="2D3EEA6D" w14:textId="77777777" w:rsidTr="009701A0">
        <w:trPr>
          <w:trHeight w:hRule="exact" w:val="454"/>
        </w:trPr>
        <w:tc>
          <w:tcPr>
            <w:tcW w:w="2907" w:type="dxa"/>
          </w:tcPr>
          <w:p w14:paraId="1F010517" w14:textId="77777777" w:rsidR="008E7846" w:rsidRPr="003D1E62" w:rsidRDefault="008E7846" w:rsidP="003D1E62">
            <w:r w:rsidRPr="003D1E62">
              <w:rPr>
                <w:i/>
              </w:rPr>
              <w:t>Decision</w:t>
            </w:r>
            <w:r w:rsidRPr="003D1E62">
              <w:t>:</w:t>
            </w:r>
          </w:p>
        </w:tc>
        <w:tc>
          <w:tcPr>
            <w:tcW w:w="6307" w:type="dxa"/>
          </w:tcPr>
          <w:p w14:paraId="052D1302" w14:textId="4F6B12D7" w:rsidR="008E7846" w:rsidRPr="003D1E62" w:rsidRDefault="008E7846" w:rsidP="00A15DB0">
            <w:r w:rsidRPr="003D1E62">
              <w:t>Approved</w:t>
            </w:r>
          </w:p>
        </w:tc>
      </w:tr>
      <w:tr w:rsidR="008E7846" w:rsidRPr="003D1E62" w14:paraId="6AB5D855" w14:textId="77777777" w:rsidTr="009701A0">
        <w:trPr>
          <w:trHeight w:hRule="exact" w:val="454"/>
        </w:trPr>
        <w:tc>
          <w:tcPr>
            <w:tcW w:w="2907" w:type="dxa"/>
          </w:tcPr>
          <w:p w14:paraId="61B42200"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6894200" w14:textId="61D18F3C" w:rsidR="008E7846" w:rsidRPr="003D1E62" w:rsidRDefault="00A15DB0" w:rsidP="001B5C90">
            <w:r>
              <w:t>15 September 2016</w:t>
            </w:r>
          </w:p>
        </w:tc>
      </w:tr>
      <w:tr w:rsidR="00ED2922" w:rsidRPr="003D1E62" w14:paraId="6D5222F7" w14:textId="77777777" w:rsidTr="009701A0">
        <w:trPr>
          <w:trHeight w:hRule="exact" w:val="454"/>
        </w:trPr>
        <w:tc>
          <w:tcPr>
            <w:tcW w:w="2907" w:type="dxa"/>
          </w:tcPr>
          <w:p w14:paraId="5D392904" w14:textId="77777777" w:rsidR="00ED2922" w:rsidRPr="00441C3F" w:rsidRDefault="00ED2922" w:rsidP="001B5C90">
            <w:pPr>
              <w:rPr>
                <w:i/>
              </w:rPr>
            </w:pPr>
            <w:r w:rsidRPr="00441C3F">
              <w:rPr>
                <w:i/>
              </w:rPr>
              <w:t>Date of entry onto ARTG</w:t>
            </w:r>
          </w:p>
        </w:tc>
        <w:tc>
          <w:tcPr>
            <w:tcW w:w="6307" w:type="dxa"/>
          </w:tcPr>
          <w:p w14:paraId="74E76D1F" w14:textId="368CA0A3" w:rsidR="00ED2922" w:rsidRPr="00D61889" w:rsidRDefault="00D61889" w:rsidP="00D61889">
            <w:pPr>
              <w:rPr>
                <w:i/>
              </w:rPr>
            </w:pPr>
            <w:r w:rsidRPr="00D61889">
              <w:t>20 September 2016</w:t>
            </w:r>
          </w:p>
        </w:tc>
      </w:tr>
      <w:tr w:rsidR="008E7846" w:rsidRPr="00487162" w14:paraId="17ACEF53" w14:textId="77777777" w:rsidTr="009701A0">
        <w:tc>
          <w:tcPr>
            <w:tcW w:w="2907" w:type="dxa"/>
          </w:tcPr>
          <w:p w14:paraId="3A5CA582" w14:textId="77777777" w:rsidR="008E7846" w:rsidRPr="00487162" w:rsidRDefault="001B5C90" w:rsidP="00E45619">
            <w:pPr>
              <w:rPr>
                <w:i/>
              </w:rPr>
            </w:pPr>
            <w:r>
              <w:rPr>
                <w:i/>
              </w:rPr>
              <w:t>Active ingredient(s):</w:t>
            </w:r>
          </w:p>
        </w:tc>
        <w:tc>
          <w:tcPr>
            <w:tcW w:w="6307" w:type="dxa"/>
          </w:tcPr>
          <w:p w14:paraId="0F465163" w14:textId="41332C4D" w:rsidR="008E7846" w:rsidRPr="00487162" w:rsidRDefault="0071480A" w:rsidP="00E45619">
            <w:r>
              <w:t>Brentuximab vedotin</w:t>
            </w:r>
          </w:p>
        </w:tc>
      </w:tr>
      <w:tr w:rsidR="008E7846" w:rsidRPr="00487162" w14:paraId="1EE7908C" w14:textId="77777777" w:rsidTr="009701A0">
        <w:tc>
          <w:tcPr>
            <w:tcW w:w="2907" w:type="dxa"/>
          </w:tcPr>
          <w:p w14:paraId="60660B02" w14:textId="77777777" w:rsidR="008E7846" w:rsidRPr="00487162" w:rsidRDefault="008E7846" w:rsidP="001B5C90">
            <w:pPr>
              <w:rPr>
                <w:i/>
              </w:rPr>
            </w:pPr>
            <w:r w:rsidRPr="00487162">
              <w:rPr>
                <w:i/>
              </w:rPr>
              <w:t>Product</w:t>
            </w:r>
            <w:r w:rsidR="001B5C90">
              <w:rPr>
                <w:i/>
              </w:rPr>
              <w:t xml:space="preserve"> name(s):</w:t>
            </w:r>
          </w:p>
        </w:tc>
        <w:tc>
          <w:tcPr>
            <w:tcW w:w="6307" w:type="dxa"/>
          </w:tcPr>
          <w:p w14:paraId="45C12CFC" w14:textId="6720099B" w:rsidR="008E7846" w:rsidRPr="00487162" w:rsidRDefault="00A15DB0" w:rsidP="00E45619">
            <w:r>
              <w:t>Adcetris</w:t>
            </w:r>
          </w:p>
        </w:tc>
      </w:tr>
      <w:tr w:rsidR="008E7846" w:rsidRPr="00487162" w14:paraId="6BF49A9B" w14:textId="77777777" w:rsidTr="009701A0">
        <w:tc>
          <w:tcPr>
            <w:tcW w:w="2907" w:type="dxa"/>
          </w:tcPr>
          <w:p w14:paraId="34A10BE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1524382" w14:textId="1DEC3679" w:rsidR="008E7846" w:rsidRPr="00A15DB0" w:rsidRDefault="00A15DB0" w:rsidP="00C32305">
            <w:pPr>
              <w:rPr>
                <w:lang w:val="en-GB"/>
              </w:rPr>
            </w:pPr>
            <w:r w:rsidRPr="00A15DB0">
              <w:rPr>
                <w:lang w:val="en-GB"/>
              </w:rPr>
              <w:t>Takeda Pharmaceuticals Aust</w:t>
            </w:r>
            <w:r>
              <w:rPr>
                <w:lang w:val="en-GB"/>
              </w:rPr>
              <w:t>ralia Pty Ltd</w:t>
            </w:r>
            <w:r>
              <w:rPr>
                <w:lang w:val="en-GB"/>
              </w:rPr>
              <w:br/>
            </w:r>
            <w:r w:rsidRPr="00A15DB0">
              <w:rPr>
                <w:lang w:val="en-GB"/>
              </w:rPr>
              <w:t>2-4 Lyon</w:t>
            </w:r>
            <w:r>
              <w:rPr>
                <w:lang w:val="en-GB"/>
              </w:rPr>
              <w:t xml:space="preserve"> </w:t>
            </w:r>
            <w:r w:rsidRPr="00A15DB0">
              <w:rPr>
                <w:lang w:val="en-GB"/>
              </w:rPr>
              <w:t>park Road</w:t>
            </w:r>
            <w:r w:rsidR="00C32305">
              <w:rPr>
                <w:lang w:val="en-GB"/>
              </w:rPr>
              <w:t xml:space="preserve">, </w:t>
            </w:r>
            <w:r w:rsidRPr="00A15DB0">
              <w:rPr>
                <w:lang w:val="en-GB"/>
              </w:rPr>
              <w:t xml:space="preserve">Macquarie Park </w:t>
            </w:r>
            <w:r>
              <w:rPr>
                <w:lang w:val="en-GB"/>
              </w:rPr>
              <w:t>NSW 2113</w:t>
            </w:r>
          </w:p>
        </w:tc>
      </w:tr>
      <w:tr w:rsidR="008E7846" w:rsidRPr="00487162" w14:paraId="35F2C08F" w14:textId="77777777" w:rsidTr="009701A0">
        <w:tc>
          <w:tcPr>
            <w:tcW w:w="2907" w:type="dxa"/>
          </w:tcPr>
          <w:p w14:paraId="21DC17FC" w14:textId="77777777" w:rsidR="008E7846" w:rsidRPr="00487162" w:rsidRDefault="001B5C90" w:rsidP="00E45619">
            <w:pPr>
              <w:rPr>
                <w:i/>
              </w:rPr>
            </w:pPr>
            <w:r>
              <w:rPr>
                <w:i/>
              </w:rPr>
              <w:t>Dose form(s):</w:t>
            </w:r>
          </w:p>
        </w:tc>
        <w:tc>
          <w:tcPr>
            <w:tcW w:w="6307" w:type="dxa"/>
          </w:tcPr>
          <w:p w14:paraId="1390D2C6" w14:textId="0F5A5451" w:rsidR="008E7846" w:rsidRPr="00487162" w:rsidRDefault="0071480A" w:rsidP="00E45619">
            <w:r>
              <w:t>Powder for injection</w:t>
            </w:r>
          </w:p>
        </w:tc>
      </w:tr>
      <w:tr w:rsidR="008E7846" w:rsidRPr="00487162" w14:paraId="74189949" w14:textId="77777777" w:rsidTr="009701A0">
        <w:tc>
          <w:tcPr>
            <w:tcW w:w="2907" w:type="dxa"/>
          </w:tcPr>
          <w:p w14:paraId="3CD2047E" w14:textId="77777777" w:rsidR="008E7846" w:rsidRPr="00487162" w:rsidRDefault="008E7846" w:rsidP="00E45619">
            <w:pPr>
              <w:rPr>
                <w:i/>
              </w:rPr>
            </w:pPr>
            <w:r w:rsidRPr="00487162">
              <w:rPr>
                <w:i/>
              </w:rPr>
              <w:t xml:space="preserve">Strength(s): </w:t>
            </w:r>
          </w:p>
        </w:tc>
        <w:tc>
          <w:tcPr>
            <w:tcW w:w="6307" w:type="dxa"/>
          </w:tcPr>
          <w:p w14:paraId="600327BE" w14:textId="5E8E9E4B" w:rsidR="008E7846" w:rsidRPr="00487162" w:rsidRDefault="0071480A" w:rsidP="00E45619">
            <w:r>
              <w:t>50 mg</w:t>
            </w:r>
          </w:p>
        </w:tc>
      </w:tr>
      <w:tr w:rsidR="008E7846" w:rsidRPr="00487162" w14:paraId="0D3E0335" w14:textId="77777777" w:rsidTr="009701A0">
        <w:tc>
          <w:tcPr>
            <w:tcW w:w="2907" w:type="dxa"/>
          </w:tcPr>
          <w:p w14:paraId="6EBD699F" w14:textId="77777777" w:rsidR="008E7846" w:rsidRPr="00487162" w:rsidRDefault="008E7846" w:rsidP="00E45619">
            <w:pPr>
              <w:rPr>
                <w:i/>
              </w:rPr>
            </w:pPr>
            <w:r w:rsidRPr="00487162">
              <w:rPr>
                <w:i/>
              </w:rPr>
              <w:t>Container(s):</w:t>
            </w:r>
          </w:p>
        </w:tc>
        <w:tc>
          <w:tcPr>
            <w:tcW w:w="6307" w:type="dxa"/>
          </w:tcPr>
          <w:p w14:paraId="7389EC60" w14:textId="362FE380" w:rsidR="008E7846" w:rsidRPr="00487162" w:rsidRDefault="0071480A" w:rsidP="00E45619">
            <w:r>
              <w:t>Glass vial</w:t>
            </w:r>
          </w:p>
        </w:tc>
      </w:tr>
      <w:tr w:rsidR="008E7846" w:rsidRPr="00487162" w14:paraId="51895574" w14:textId="77777777" w:rsidTr="009701A0">
        <w:tc>
          <w:tcPr>
            <w:tcW w:w="2907" w:type="dxa"/>
          </w:tcPr>
          <w:p w14:paraId="1F0DC420" w14:textId="77777777" w:rsidR="008E7846" w:rsidRPr="00487162" w:rsidRDefault="008E7846" w:rsidP="00E45619">
            <w:pPr>
              <w:rPr>
                <w:i/>
              </w:rPr>
            </w:pPr>
            <w:r w:rsidRPr="00487162">
              <w:rPr>
                <w:i/>
              </w:rPr>
              <w:t>Pack size(s):</w:t>
            </w:r>
          </w:p>
        </w:tc>
        <w:tc>
          <w:tcPr>
            <w:tcW w:w="6307" w:type="dxa"/>
          </w:tcPr>
          <w:p w14:paraId="6E29B81E" w14:textId="45EF54B8" w:rsidR="008E7846" w:rsidRPr="00487162" w:rsidRDefault="0071480A" w:rsidP="00E45619">
            <w:r>
              <w:t>1 x 50 mg vial</w:t>
            </w:r>
          </w:p>
        </w:tc>
      </w:tr>
      <w:tr w:rsidR="008E7846" w:rsidRPr="00487162" w14:paraId="620DC489" w14:textId="77777777" w:rsidTr="009701A0">
        <w:tc>
          <w:tcPr>
            <w:tcW w:w="2907" w:type="dxa"/>
          </w:tcPr>
          <w:p w14:paraId="1CA0150A"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453E890" w14:textId="4BC7755C" w:rsidR="008E7846" w:rsidRPr="0071480A" w:rsidRDefault="0071480A" w:rsidP="0071480A">
            <w:pPr>
              <w:rPr>
                <w:rFonts w:eastAsia="MS Mincho"/>
                <w:i/>
                <w:lang w:val="en-GB" w:eastAsia="ja-JP"/>
              </w:rPr>
            </w:pPr>
            <w:r w:rsidRPr="0071480A">
              <w:rPr>
                <w:rFonts w:eastAsia="MS Mincho"/>
                <w:i/>
                <w:lang w:val="en-GB" w:eastAsia="ja-JP"/>
              </w:rPr>
              <w:t>Treatment of adult patients with CD30+ HL at higher risk of relapse or progression followin</w:t>
            </w:r>
            <w:r w:rsidR="00963CE6">
              <w:rPr>
                <w:rFonts w:eastAsia="MS Mincho"/>
                <w:i/>
                <w:lang w:val="en-GB" w:eastAsia="ja-JP"/>
              </w:rPr>
              <w:t>g ASCT (see 'Clinical Trials').</w:t>
            </w:r>
          </w:p>
        </w:tc>
      </w:tr>
      <w:tr w:rsidR="008E7846" w:rsidRPr="00487162" w14:paraId="6621694A" w14:textId="77777777" w:rsidTr="009701A0">
        <w:tc>
          <w:tcPr>
            <w:tcW w:w="2907" w:type="dxa"/>
          </w:tcPr>
          <w:p w14:paraId="4539AF02" w14:textId="77777777" w:rsidR="008E7846" w:rsidRPr="00487162" w:rsidRDefault="008E7846" w:rsidP="00E45619">
            <w:pPr>
              <w:rPr>
                <w:i/>
              </w:rPr>
            </w:pPr>
            <w:r w:rsidRPr="00487162">
              <w:rPr>
                <w:i/>
              </w:rPr>
              <w:t>Route(s) of administration:</w:t>
            </w:r>
          </w:p>
        </w:tc>
        <w:tc>
          <w:tcPr>
            <w:tcW w:w="6307" w:type="dxa"/>
          </w:tcPr>
          <w:p w14:paraId="50FBC780" w14:textId="4BFB60FC" w:rsidR="008E7846" w:rsidRPr="00487162" w:rsidRDefault="0071480A" w:rsidP="00E45619">
            <w:r>
              <w:t xml:space="preserve">Intravenous </w:t>
            </w:r>
            <w:r w:rsidR="00D61889">
              <w:t xml:space="preserve">(IV) </w:t>
            </w:r>
            <w:r>
              <w:t>infusion</w:t>
            </w:r>
          </w:p>
        </w:tc>
      </w:tr>
      <w:tr w:rsidR="008E7846" w:rsidRPr="00487162" w14:paraId="68FC9FB5" w14:textId="77777777" w:rsidTr="009701A0">
        <w:tc>
          <w:tcPr>
            <w:tcW w:w="2907" w:type="dxa"/>
          </w:tcPr>
          <w:p w14:paraId="2AD13C63" w14:textId="77777777" w:rsidR="008E7846" w:rsidRPr="00487162" w:rsidRDefault="008E7846" w:rsidP="00E45619">
            <w:pPr>
              <w:rPr>
                <w:i/>
              </w:rPr>
            </w:pPr>
            <w:r w:rsidRPr="00487162">
              <w:rPr>
                <w:i/>
              </w:rPr>
              <w:t>Dosage:</w:t>
            </w:r>
          </w:p>
        </w:tc>
        <w:tc>
          <w:tcPr>
            <w:tcW w:w="6307" w:type="dxa"/>
          </w:tcPr>
          <w:p w14:paraId="38066926" w14:textId="30D2B23B" w:rsidR="008E7846" w:rsidRPr="00487162" w:rsidRDefault="00D61889" w:rsidP="0032354E">
            <w:r>
              <w:t xml:space="preserve">The recommended dose is 1.8 mg/kg administered as an intravenous infusion over 30 minutes every 3 weeks. If the patient's weight is more than 100 kg, the dose calculation should use 100 kg (see Table </w:t>
            </w:r>
            <w:r w:rsidR="0032354E">
              <w:t>10</w:t>
            </w:r>
            <w:r>
              <w:t xml:space="preserve"> in 'Determining dosage amount' [in Attachment 1])</w:t>
            </w:r>
          </w:p>
        </w:tc>
      </w:tr>
      <w:tr w:rsidR="008E7846" w:rsidRPr="00487162" w14:paraId="37BDC900" w14:textId="77777777" w:rsidTr="009701A0">
        <w:tc>
          <w:tcPr>
            <w:tcW w:w="2907" w:type="dxa"/>
          </w:tcPr>
          <w:p w14:paraId="3E87D8D7"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7C969422" w14:textId="3BCE3467" w:rsidR="008E7846" w:rsidRPr="00D9703A" w:rsidRDefault="00D9703A" w:rsidP="00E45619">
            <w:pPr>
              <w:rPr>
                <w:lang w:val="en-GB"/>
              </w:rPr>
            </w:pPr>
            <w:r w:rsidRPr="00D9703A">
              <w:rPr>
                <w:lang w:val="en-GB"/>
              </w:rPr>
              <w:t xml:space="preserve">203372 </w:t>
            </w:r>
          </w:p>
        </w:tc>
      </w:tr>
    </w:tbl>
    <w:p w14:paraId="06D4C72A" w14:textId="77777777" w:rsidR="008E7846" w:rsidRDefault="008E7846" w:rsidP="008E7846">
      <w:pPr>
        <w:pStyle w:val="Heading3"/>
      </w:pPr>
      <w:bookmarkStart w:id="13" w:name="_Toc247691503"/>
      <w:bookmarkStart w:id="14" w:name="_Toc314842484"/>
      <w:bookmarkStart w:id="15" w:name="_Toc495400771"/>
      <w:r>
        <w:t>Product background</w:t>
      </w:r>
      <w:bookmarkEnd w:id="13"/>
      <w:bookmarkEnd w:id="14"/>
      <w:bookmarkEnd w:id="15"/>
    </w:p>
    <w:p w14:paraId="2BE958A5" w14:textId="07D6284D" w:rsidR="008E7846" w:rsidRPr="006D07F6" w:rsidRDefault="00940A89" w:rsidP="006D07F6">
      <w:r w:rsidRPr="006D07F6">
        <w:t xml:space="preserve">This AusPAR describes the application by </w:t>
      </w:r>
      <w:r w:rsidR="000A2092" w:rsidRPr="006D07F6">
        <w:t xml:space="preserve">the sponsor to register Adcetris </w:t>
      </w:r>
      <w:r w:rsidR="00AA2D64">
        <w:t>(</w:t>
      </w:r>
      <w:r w:rsidR="002E7C39">
        <w:t>b</w:t>
      </w:r>
      <w:r w:rsidR="000A2092" w:rsidRPr="006D07F6">
        <w:t>rentuximab vedotin</w:t>
      </w:r>
      <w:r w:rsidR="00AA2D64">
        <w:t>)</w:t>
      </w:r>
      <w:r w:rsidR="006D07F6">
        <w:t>,</w:t>
      </w:r>
      <w:r w:rsidRPr="006D07F6">
        <w:t xml:space="preserve"> </w:t>
      </w:r>
      <w:r w:rsidR="000A2092" w:rsidRPr="006D07F6">
        <w:t>indicated for</w:t>
      </w:r>
      <w:r w:rsidR="006D07F6">
        <w:t xml:space="preserve"> the</w:t>
      </w:r>
      <w:r w:rsidR="000A2092" w:rsidRPr="006D07F6">
        <w:t>:</w:t>
      </w:r>
    </w:p>
    <w:p w14:paraId="39E4F407" w14:textId="7EF8C8D4" w:rsidR="000A2092" w:rsidRPr="006D07F6" w:rsidRDefault="000A2092" w:rsidP="006D07F6">
      <w:pPr>
        <w:ind w:left="720"/>
        <w:rPr>
          <w:i/>
        </w:rPr>
      </w:pPr>
      <w:r w:rsidRPr="006D07F6">
        <w:rPr>
          <w:i/>
        </w:rPr>
        <w:t>‘Treatment of patients with CD 30+ Hodgkin Lymphoma (HL) who are at risk of relapse or progression following autologous stem cell transplant (ASCT)</w:t>
      </w:r>
      <w:r w:rsidR="00775FB8">
        <w:rPr>
          <w:i/>
        </w:rPr>
        <w:t>.</w:t>
      </w:r>
      <w:r w:rsidRPr="006D07F6">
        <w:rPr>
          <w:i/>
        </w:rPr>
        <w:t>’</w:t>
      </w:r>
    </w:p>
    <w:p w14:paraId="1456EE17" w14:textId="3DD4D795" w:rsidR="000A2092" w:rsidRPr="006D07F6" w:rsidRDefault="000A2092" w:rsidP="006D07F6">
      <w:r w:rsidRPr="006D07F6">
        <w:t xml:space="preserve">Treatment of </w:t>
      </w:r>
      <w:r w:rsidR="002E7C39">
        <w:t>HL</w:t>
      </w:r>
      <w:r w:rsidRPr="006D07F6">
        <w:t xml:space="preserve"> varies according to staging and risk stratification at diagnosis. Staging is according to the number and location of lymph node involvement, bulk, </w:t>
      </w:r>
      <w:proofErr w:type="gramStart"/>
      <w:r w:rsidRPr="006D07F6">
        <w:t>presence</w:t>
      </w:r>
      <w:proofErr w:type="gramEnd"/>
      <w:r w:rsidRPr="006D07F6">
        <w:t xml:space="preserve"> of extra-nodal disease and B symptoms. Unfavourable risk factors include age (&gt; 40 to 50 years), presence of extra-nodal or bulky disease, presence of B symptoms or elevated </w:t>
      </w:r>
      <w:r w:rsidR="00726896">
        <w:t>erythrocyte sedimentation rate (</w:t>
      </w:r>
      <w:r w:rsidRPr="006D07F6">
        <w:t>ESR</w:t>
      </w:r>
      <w:r w:rsidR="00726896">
        <w:t>)</w:t>
      </w:r>
      <w:r w:rsidRPr="006D07F6">
        <w:t>, low album</w:t>
      </w:r>
      <w:r w:rsidR="00726896">
        <w:t>in (&lt; 4 g/dL) or anaemia or leuc</w:t>
      </w:r>
      <w:r w:rsidR="00726896" w:rsidRPr="006D07F6">
        <w:t>ocytosis</w:t>
      </w:r>
      <w:r w:rsidRPr="006D07F6">
        <w:t>.</w:t>
      </w:r>
    </w:p>
    <w:p w14:paraId="65F89E60" w14:textId="06E0C757" w:rsidR="000A2092" w:rsidRPr="006D07F6" w:rsidRDefault="000A2092" w:rsidP="006D07F6">
      <w:r w:rsidRPr="006D07F6">
        <w:t xml:space="preserve">The response to </w:t>
      </w:r>
      <w:r w:rsidR="009A1101">
        <w:t xml:space="preserve">current </w:t>
      </w:r>
      <w:r w:rsidRPr="006D07F6">
        <w:t>frontline therapy results in a curative outcome for approximately 90% of patients with classical disease and 30% for those with disseminated disease.</w:t>
      </w:r>
    </w:p>
    <w:p w14:paraId="0DE0C7A8" w14:textId="65A48B01" w:rsidR="000A2092" w:rsidRPr="006D07F6" w:rsidRDefault="000A2092" w:rsidP="006D07F6">
      <w:r w:rsidRPr="006D07F6">
        <w:lastRenderedPageBreak/>
        <w:t>For those 10% to 20% of patients with</w:t>
      </w:r>
      <w:r w:rsidR="006D07F6">
        <w:t xml:space="preserve"> HL who do not respond to front</w:t>
      </w:r>
      <w:r w:rsidRPr="006D07F6">
        <w:t>line therapy or who relapse following an initial response to frontline therapy (r/r HL), the treatment o</w:t>
      </w:r>
      <w:r w:rsidR="006D07F6" w:rsidRPr="006D07F6">
        <w:t>f choice consists of high-dose ‘</w:t>
      </w:r>
      <w:r w:rsidR="006D07F6">
        <w:t>salvage’</w:t>
      </w:r>
      <w:r w:rsidRPr="006D07F6">
        <w:t xml:space="preserve"> chemotherapy followed by </w:t>
      </w:r>
      <w:r w:rsidR="002E7C39">
        <w:t>ASCT</w:t>
      </w:r>
      <w:r w:rsidR="006D07F6">
        <w:t>.</w:t>
      </w:r>
    </w:p>
    <w:p w14:paraId="03583866" w14:textId="7596B64B" w:rsidR="000A2092" w:rsidRPr="006D07F6" w:rsidRDefault="000A2092" w:rsidP="006D07F6">
      <w:r w:rsidRPr="006D07F6">
        <w:t>Salvage chemotherapy regimens such as dexamethasone/high-dose Ara-C/cisplatin (DHAP), ifosfamide/gemcitabine/vinorelbine (I</w:t>
      </w:r>
      <w:r w:rsidR="003B787B">
        <w:t>GEV) or ifosfamide/carboplatin/</w:t>
      </w:r>
      <w:r w:rsidRPr="006D07F6">
        <w:t>etoposide (ICE) are given to reduce the tumour burden and determine eligibility for ASCT. Patients with significant organ disease, poor performance status or lack of response to salvage therapy are usually not considered eligible for ASCT</w:t>
      </w:r>
      <w:r w:rsidR="006D07F6">
        <w:t>.</w:t>
      </w:r>
    </w:p>
    <w:p w14:paraId="257AD524" w14:textId="5D21ADF5" w:rsidR="000A2092" w:rsidRPr="006D07F6" w:rsidRDefault="000A2092" w:rsidP="006D07F6">
      <w:r w:rsidRPr="006D07F6">
        <w:t>Up to 50% of patients treated with ASCT</w:t>
      </w:r>
      <w:r w:rsidR="000C66DA">
        <w:t xml:space="preserve"> </w:t>
      </w:r>
      <w:r w:rsidRPr="006D07F6">
        <w:t>may relapse followin</w:t>
      </w:r>
      <w:r w:rsidR="006D07F6">
        <w:t>g this therapy or not respond.</w:t>
      </w:r>
    </w:p>
    <w:p w14:paraId="2A21D54D" w14:textId="2E3A7FE4" w:rsidR="000A2092" w:rsidRPr="00783197" w:rsidRDefault="000A2092" w:rsidP="00776CB5">
      <w:pPr>
        <w:rPr>
          <w:lang w:val="en-GB"/>
        </w:rPr>
      </w:pPr>
      <w:r w:rsidRPr="006D07F6">
        <w:t>Risk factors for progression following ASCT have been extensively studied to identify patients most likely to beneﬁt from ASCT. Pre-ASCT risk factors consistently reported to be associated with relapse or refractory disease post-ASCT include primary refractory Hodgkin’s lymphoma, initial remission duration of less than 12 months, Ann Arbor stage III or IV at relapse, presence of extra-nodal or advanced-stage disease at time of relapse, presence of B symptoms, lack of response to pre- transplantation salvage chemotherapy, and residual disease pre-ASC</w:t>
      </w:r>
      <w:r w:rsidR="006D07F6">
        <w:t xml:space="preserve">T (defined by </w:t>
      </w:r>
      <w:r w:rsidR="00783197">
        <w:rPr>
          <w:lang w:val="en-GB"/>
        </w:rPr>
        <w:t>computeris</w:t>
      </w:r>
      <w:r w:rsidR="00783197" w:rsidRPr="00783197">
        <w:rPr>
          <w:lang w:val="en-GB"/>
        </w:rPr>
        <w:t>ed tomography</w:t>
      </w:r>
      <w:r w:rsidR="00783197">
        <w:rPr>
          <w:lang w:val="en-GB"/>
        </w:rPr>
        <w:t xml:space="preserve"> (</w:t>
      </w:r>
      <w:r w:rsidR="006D07F6">
        <w:t>CT</w:t>
      </w:r>
      <w:r w:rsidR="00783197">
        <w:t>)</w:t>
      </w:r>
      <w:r w:rsidR="006D07F6">
        <w:t xml:space="preserve"> or </w:t>
      </w:r>
      <w:r w:rsidR="00776CB5" w:rsidRPr="00776CB5">
        <w:rPr>
          <w:lang w:val="en-GB"/>
        </w:rPr>
        <w:t>positron emission tomography</w:t>
      </w:r>
      <w:r w:rsidR="00776CB5">
        <w:rPr>
          <w:lang w:val="en-GB"/>
        </w:rPr>
        <w:t xml:space="preserve"> (</w:t>
      </w:r>
      <w:r w:rsidR="006D07F6">
        <w:t>PET</w:t>
      </w:r>
      <w:r w:rsidR="00776CB5">
        <w:t>)</w:t>
      </w:r>
      <w:r w:rsidR="006D07F6">
        <w:t xml:space="preserve"> scans).</w:t>
      </w:r>
    </w:p>
    <w:p w14:paraId="0746E262" w14:textId="3026937E" w:rsidR="000A2092" w:rsidRPr="006D07F6" w:rsidRDefault="000A2092" w:rsidP="006D07F6">
      <w:r w:rsidRPr="006D07F6">
        <w:t>A variety of prognostic indices have been proposed but no universal agreement has been reached. These indices commonly divide patients into low, intermediate or high risk groups according to the number</w:t>
      </w:r>
      <w:r w:rsidR="006D07F6">
        <w:t xml:space="preserve"> of risk factors present (for example, </w:t>
      </w:r>
      <w:r w:rsidRPr="006D07F6">
        <w:t>0 or 1, 2, 3 or more ri</w:t>
      </w:r>
      <w:r w:rsidR="00AA2D64">
        <w:t xml:space="preserve">sk factors respectively). The 5 </w:t>
      </w:r>
      <w:r w:rsidRPr="006D07F6">
        <w:t>year progression-free survival (PFS) rate for patients identified by different prognostic indexes is approximately:</w:t>
      </w:r>
      <w:r w:rsidR="006D07F6">
        <w:t xml:space="preserve"> 65% to 80% for low risk, 25% to 40% for moderate risk and </w:t>
      </w:r>
      <w:r w:rsidR="00AA2D64">
        <w:t xml:space="preserve">10% to 20% for high risk. The 5 </w:t>
      </w:r>
      <w:r w:rsidRPr="006D07F6">
        <w:t xml:space="preserve">year </w:t>
      </w:r>
      <w:r w:rsidR="00AA2D64">
        <w:t>overall survival (</w:t>
      </w:r>
      <w:r w:rsidRPr="006D07F6">
        <w:t>OS</w:t>
      </w:r>
      <w:r w:rsidR="00AA2D64">
        <w:t>)</w:t>
      </w:r>
      <w:r w:rsidRPr="006D07F6">
        <w:t xml:space="preserve"> for patients has been variabl</w:t>
      </w:r>
      <w:r w:rsidR="006D07F6">
        <w:t xml:space="preserve">y reported as 80 to 100% for low risk, 55% to </w:t>
      </w:r>
      <w:r w:rsidRPr="006D07F6">
        <w:t>8</w:t>
      </w:r>
      <w:r w:rsidR="00776CB5">
        <w:t xml:space="preserve">5% for intermediate risk and 13% to </w:t>
      </w:r>
      <w:r w:rsidRPr="006D07F6">
        <w:t>57% for high risk.</w:t>
      </w:r>
    </w:p>
    <w:p w14:paraId="16F1D013" w14:textId="05D44671" w:rsidR="000A2092" w:rsidRPr="00E65A6D" w:rsidRDefault="000A2092" w:rsidP="00E65A6D">
      <w:pPr>
        <w:rPr>
          <w:lang w:val="en-GB"/>
        </w:rPr>
      </w:pPr>
      <w:r w:rsidRPr="006D07F6">
        <w:t>Brentuximab vedotin is an anti-neoplastic agent active against CD30-expressing cells. It comprises a CD-30 directed antibody-drug conjugate (ADC) consisting of three components: the</w:t>
      </w:r>
      <w:r w:rsidR="00776CB5">
        <w:t xml:space="preserve"> chimeric </w:t>
      </w:r>
      <w:r w:rsidR="00E65A6D">
        <w:t>immunoglobulin G1 isotype (</w:t>
      </w:r>
      <w:r w:rsidR="00776CB5">
        <w:t>IgG1</w:t>
      </w:r>
      <w:r w:rsidR="00E65A6D">
        <w:t>)</w:t>
      </w:r>
      <w:r w:rsidR="00776CB5">
        <w:t xml:space="preserve"> antibody cAC10, specific for human CD30;</w:t>
      </w:r>
      <w:r w:rsidRPr="006D07F6">
        <w:t xml:space="preserve"> the mi</w:t>
      </w:r>
      <w:r w:rsidR="00776CB5">
        <w:t xml:space="preserve">crotubule disrupting agent, </w:t>
      </w:r>
      <w:r w:rsidR="00E65A6D" w:rsidRPr="00E65A6D">
        <w:rPr>
          <w:lang w:val="en-GB"/>
        </w:rPr>
        <w:t>Monomethyl auristatin E</w:t>
      </w:r>
      <w:r w:rsidR="00E65A6D">
        <w:rPr>
          <w:lang w:val="en-GB"/>
        </w:rPr>
        <w:t xml:space="preserve"> (</w:t>
      </w:r>
      <w:r w:rsidR="00776CB5">
        <w:t>MMAE</w:t>
      </w:r>
      <w:r w:rsidR="00E65A6D">
        <w:t>)</w:t>
      </w:r>
      <w:r w:rsidR="00776CB5">
        <w:t>;</w:t>
      </w:r>
      <w:r w:rsidRPr="006D07F6">
        <w:t xml:space="preserve"> and a protease-cleavable linker that covalently attaches MMAE to cAC10.</w:t>
      </w:r>
    </w:p>
    <w:p w14:paraId="7D53B499" w14:textId="701B6D5D" w:rsidR="000A2092" w:rsidRPr="006D07F6" w:rsidRDefault="000A2092" w:rsidP="006D07F6">
      <w:r w:rsidRPr="006D07F6">
        <w:t>CD30 is a member of the tumour necrosis factor receptor (TNFR) and was originally described as a marker of Hodgkin's and Reed-Sternberg cells in Hodgkin's lymphoma. It may also be expressed on virus-infected lymphocytes and other neoplasms of lymphoid origin. In non-pathologic conditions, CD30 expression is generally restricted to activated B and T lymphocytes and NK cells with lower levels in activated monocytes and eosinophils. It is generally not detected on healthy</w:t>
      </w:r>
      <w:r w:rsidR="006D07F6">
        <w:t xml:space="preserve"> tissue or resting lymphocytes.</w:t>
      </w:r>
    </w:p>
    <w:p w14:paraId="4C2A7085" w14:textId="5F91FEFF" w:rsidR="000A2092" w:rsidRPr="006D07F6" w:rsidRDefault="000A2092" w:rsidP="006D07F6">
      <w:r w:rsidRPr="006D07F6">
        <w:t>Brentuximab vedotin was granted orphan drug designation for the treatment of relapsed or refractory HL and; systemic anaplastic large c</w:t>
      </w:r>
      <w:r w:rsidR="006D07F6">
        <w:t>ell lymphoma (SALCL) on the 18</w:t>
      </w:r>
      <w:r w:rsidRPr="006D07F6">
        <w:t xml:space="preserve"> September 2012.</w:t>
      </w:r>
    </w:p>
    <w:p w14:paraId="3AF23A35" w14:textId="30347CC7" w:rsidR="000A2092" w:rsidRPr="006D07F6" w:rsidRDefault="000A2092" w:rsidP="006D07F6">
      <w:r w:rsidRPr="006D07F6">
        <w:t>The current submission proposes the use of brentuximab vedotin as consolidation treatment post-ASCT for patients at risk of relapse as opposed to the current indication for patients with relapse post-ASCT.</w:t>
      </w:r>
    </w:p>
    <w:p w14:paraId="18392AD1" w14:textId="673F6F0F" w:rsidR="000A2092" w:rsidRDefault="000A2092" w:rsidP="00940A89">
      <w:r w:rsidRPr="006D07F6">
        <w:t xml:space="preserve">As of July 2015, there are over 50 studies researching (active, recruiting or soon to start recruiting) the use of </w:t>
      </w:r>
      <w:r w:rsidR="00E65A6D">
        <w:t>brentuximab vedotin in Hodgkin l</w:t>
      </w:r>
      <w:r w:rsidRPr="006D07F6">
        <w:t xml:space="preserve">ymphoma registered at ClinicalTrials.gov. These studies are investigating the use of brentuximab vedotin at different stages of HL including frontline therapy or after first relapse; in different patient populations (over 60 years old and paediatric); in combination with other agents; in different roles (alternative to salvage chemotherapy prior to ASCT, </w:t>
      </w:r>
      <w:r w:rsidR="000C66DA">
        <w:t xml:space="preserve">and as </w:t>
      </w:r>
      <w:r w:rsidRPr="006D07F6">
        <w:t>adjuvant therapy post allogeneic stem cell transplant).</w:t>
      </w:r>
    </w:p>
    <w:p w14:paraId="199CE4A0" w14:textId="77777777" w:rsidR="008E7846" w:rsidRPr="003F31A2" w:rsidRDefault="00386150" w:rsidP="008E7846">
      <w:pPr>
        <w:pStyle w:val="Heading3"/>
      </w:pPr>
      <w:bookmarkStart w:id="16" w:name="_Toc314842485"/>
      <w:bookmarkStart w:id="17" w:name="_Toc247691504"/>
      <w:bookmarkStart w:id="18" w:name="_Toc495400772"/>
      <w:r>
        <w:lastRenderedPageBreak/>
        <w:t>Regulatory s</w:t>
      </w:r>
      <w:r w:rsidR="008E7846">
        <w:t>tatus</w:t>
      </w:r>
      <w:bookmarkEnd w:id="16"/>
      <w:bookmarkEnd w:id="17"/>
      <w:bookmarkEnd w:id="18"/>
    </w:p>
    <w:p w14:paraId="32FB8FB0" w14:textId="08130A08" w:rsidR="00940A89" w:rsidRPr="00243FDA" w:rsidRDefault="00940A89" w:rsidP="00940A89">
      <w:pPr>
        <w:rPr>
          <w:lang w:val="en-GB"/>
        </w:rPr>
      </w:pPr>
      <w:bookmarkStart w:id="19" w:name="_Toc247691505"/>
      <w:bookmarkStart w:id="20" w:name="_Toc314842486"/>
      <w:r w:rsidRPr="00940A89">
        <w:t xml:space="preserve">The product </w:t>
      </w:r>
      <w:r w:rsidR="009A1101">
        <w:t xml:space="preserve">was </w:t>
      </w:r>
      <w:r w:rsidRPr="00940A89">
        <w:t>initial</w:t>
      </w:r>
      <w:r w:rsidR="009A1101">
        <w:t>ly</w:t>
      </w:r>
      <w:r w:rsidRPr="00940A89">
        <w:t xml:space="preserve"> regist</w:t>
      </w:r>
      <w:r w:rsidR="009A1101">
        <w:t>ered</w:t>
      </w:r>
      <w:r w:rsidRPr="00940A89">
        <w:t xml:space="preserve"> on the Australian Register</w:t>
      </w:r>
      <w:r w:rsidR="00243FDA">
        <w:t xml:space="preserve"> of Therapeutic Goods (ARTG) on </w:t>
      </w:r>
      <w:r w:rsidR="00243FDA">
        <w:rPr>
          <w:lang w:val="en-GB"/>
        </w:rPr>
        <w:t xml:space="preserve">20 December </w:t>
      </w:r>
      <w:r w:rsidR="00243FDA" w:rsidRPr="00243FDA">
        <w:rPr>
          <w:lang w:val="en-GB"/>
        </w:rPr>
        <w:t>2013</w:t>
      </w:r>
      <w:r w:rsidR="009E6479">
        <w:rPr>
          <w:lang w:val="en-GB"/>
        </w:rPr>
        <w:t xml:space="preserve">. </w:t>
      </w:r>
      <w:r w:rsidR="009A1101">
        <w:rPr>
          <w:lang w:val="en-GB"/>
        </w:rPr>
        <w:t xml:space="preserve">Similar submissions to this current Australian submission </w:t>
      </w:r>
      <w:r w:rsidR="009E6479">
        <w:rPr>
          <w:lang w:val="en-GB"/>
        </w:rPr>
        <w:t>were under consideration or had been approved in the following countries or regions:</w:t>
      </w:r>
    </w:p>
    <w:p w14:paraId="6B124559" w14:textId="5E693E41" w:rsidR="006D07F6" w:rsidRPr="006D07F6" w:rsidRDefault="006D07F6" w:rsidP="009E6479">
      <w:pPr>
        <w:pStyle w:val="ListBullet"/>
        <w:rPr>
          <w:i/>
        </w:rPr>
      </w:pPr>
      <w:r w:rsidRPr="006D07F6">
        <w:rPr>
          <w:i/>
        </w:rPr>
        <w:t>European Union (EU):</w:t>
      </w:r>
      <w:r>
        <w:rPr>
          <w:i/>
        </w:rPr>
        <w:t xml:space="preserve"> </w:t>
      </w:r>
      <w:r w:rsidRPr="006D07F6">
        <w:t xml:space="preserve">On 26 May 2016, the Committee for Medicinal Products for Human Use (CHMP) </w:t>
      </w:r>
      <w:r>
        <w:t xml:space="preserve">of the European Medicines Agency (EMA) </w:t>
      </w:r>
      <w:r w:rsidRPr="006D07F6">
        <w:t>adopted a positive opinion recommending a change to the terms of the marketing authorisation. The proposed indication has not been formally adopted yet. The proposed additional indication is:</w:t>
      </w:r>
    </w:p>
    <w:p w14:paraId="36932B7E" w14:textId="19836836" w:rsidR="006D07F6" w:rsidRPr="006D07F6" w:rsidRDefault="006D07F6" w:rsidP="006D07F6">
      <w:pPr>
        <w:ind w:left="720"/>
        <w:rPr>
          <w:i/>
        </w:rPr>
      </w:pPr>
      <w:r w:rsidRPr="006D07F6">
        <w:rPr>
          <w:i/>
        </w:rPr>
        <w:t>‘Adcetris is indicated for the treatment of adult patients with CD30+ HL at increased risk of relapse or progression following ASCT.’</w:t>
      </w:r>
    </w:p>
    <w:p w14:paraId="3DF5EA86" w14:textId="2D96A12B" w:rsidR="006D07F6" w:rsidRPr="006D07F6" w:rsidRDefault="006D07F6" w:rsidP="009E6479">
      <w:pPr>
        <w:pStyle w:val="ListBullet"/>
        <w:rPr>
          <w:i/>
        </w:rPr>
      </w:pPr>
      <w:r w:rsidRPr="006D07F6">
        <w:rPr>
          <w:i/>
        </w:rPr>
        <w:t>US</w:t>
      </w:r>
      <w:r w:rsidR="00D05EFF">
        <w:rPr>
          <w:i/>
        </w:rPr>
        <w:t>A</w:t>
      </w:r>
      <w:r w:rsidRPr="006D07F6">
        <w:rPr>
          <w:i/>
        </w:rPr>
        <w:t>:</w:t>
      </w:r>
      <w:r>
        <w:rPr>
          <w:i/>
        </w:rPr>
        <w:t xml:space="preserve"> </w:t>
      </w:r>
      <w:r w:rsidRPr="006D07F6">
        <w:t xml:space="preserve">A supplement approval was completed </w:t>
      </w:r>
      <w:r w:rsidR="00C23655">
        <w:t xml:space="preserve">with the Food and Drugs Administration </w:t>
      </w:r>
      <w:r w:rsidRPr="006D07F6">
        <w:t xml:space="preserve">on 4 March 2016 to include the </w:t>
      </w:r>
      <w:r w:rsidR="00A83722" w:rsidRPr="006D07F6">
        <w:t>indication</w:t>
      </w:r>
      <w:r w:rsidRPr="006D07F6">
        <w:t>:</w:t>
      </w:r>
    </w:p>
    <w:p w14:paraId="75FF8706" w14:textId="285636B9" w:rsidR="009E6479" w:rsidRDefault="00C23655" w:rsidP="009E6479">
      <w:pPr>
        <w:ind w:left="720"/>
        <w:rPr>
          <w:i/>
        </w:rPr>
      </w:pPr>
      <w:r w:rsidRPr="00C23655">
        <w:rPr>
          <w:i/>
        </w:rPr>
        <w:t>‘</w:t>
      </w:r>
      <w:r w:rsidR="00A83722" w:rsidRPr="00C23655">
        <w:rPr>
          <w:i/>
        </w:rPr>
        <w:t>Adcetris</w:t>
      </w:r>
      <w:r w:rsidR="006D07F6" w:rsidRPr="00C23655">
        <w:rPr>
          <w:i/>
        </w:rPr>
        <w:t xml:space="preserve"> is a CD30-directed antibody-drug conjugate indicated for treatment of patients with:</w:t>
      </w:r>
    </w:p>
    <w:p w14:paraId="791C7F19" w14:textId="66EBD668" w:rsidR="006D07F6" w:rsidRPr="00C23655" w:rsidRDefault="006D07F6" w:rsidP="009E6479">
      <w:pPr>
        <w:ind w:left="720"/>
        <w:rPr>
          <w:i/>
        </w:rPr>
      </w:pPr>
      <w:r w:rsidRPr="00C23655">
        <w:rPr>
          <w:i/>
        </w:rPr>
        <w:t>Classical HL at high risk of relapse or progression as post-auto-HSCT consolidation</w:t>
      </w:r>
      <w:r w:rsidR="00C23655" w:rsidRPr="00C23655">
        <w:rPr>
          <w:i/>
        </w:rPr>
        <w:t>’</w:t>
      </w:r>
    </w:p>
    <w:p w14:paraId="5F9369B9" w14:textId="77777777" w:rsidR="00C23655" w:rsidRDefault="00C23655" w:rsidP="009E6479">
      <w:pPr>
        <w:pStyle w:val="ListBullet"/>
        <w:rPr>
          <w:lang w:val="en-GB"/>
        </w:rPr>
      </w:pPr>
      <w:r w:rsidRPr="00C23655">
        <w:rPr>
          <w:i/>
        </w:rPr>
        <w:t xml:space="preserve">Canada: </w:t>
      </w:r>
      <w:r w:rsidRPr="00C23655">
        <w:t>At the time</w:t>
      </w:r>
      <w:r w:rsidRPr="00C23655">
        <w:rPr>
          <w:lang w:val="en-GB"/>
        </w:rPr>
        <w:t xml:space="preserve"> </w:t>
      </w:r>
      <w:r>
        <w:rPr>
          <w:lang w:val="en-GB"/>
        </w:rPr>
        <w:t>of submission, an application was pending approval for:</w:t>
      </w:r>
    </w:p>
    <w:p w14:paraId="71191A49" w14:textId="430D42E7" w:rsidR="006D07F6" w:rsidRPr="00437A54" w:rsidRDefault="00C23655" w:rsidP="00437A54">
      <w:pPr>
        <w:ind w:left="720"/>
        <w:rPr>
          <w:i/>
          <w:lang w:val="en-GB"/>
        </w:rPr>
      </w:pPr>
      <w:r w:rsidRPr="00C23655">
        <w:rPr>
          <w:i/>
          <w:lang w:val="en-GB"/>
        </w:rPr>
        <w:t>‘The post-ASCT consolidation treatment of patients with HL at high risk of relapse or progression.’</w:t>
      </w:r>
    </w:p>
    <w:p w14:paraId="3B97C43C" w14:textId="77777777" w:rsidR="008E7846" w:rsidRDefault="008E7846" w:rsidP="00940A89">
      <w:pPr>
        <w:pStyle w:val="Heading3"/>
      </w:pPr>
      <w:bookmarkStart w:id="21" w:name="_Toc495400773"/>
      <w:r>
        <w:t>Product Information</w:t>
      </w:r>
      <w:bookmarkEnd w:id="19"/>
      <w:bookmarkEnd w:id="20"/>
      <w:bookmarkEnd w:id="21"/>
    </w:p>
    <w:p w14:paraId="484FF9CE" w14:textId="77777777"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3F2F1CAB" w14:textId="77777777" w:rsidR="008E7846" w:rsidRDefault="008E7846" w:rsidP="008E7846">
      <w:pPr>
        <w:pStyle w:val="Heading2"/>
        <w:ind w:left="-11"/>
      </w:pPr>
      <w:bookmarkStart w:id="24" w:name="_Toc495400774"/>
      <w:r>
        <w:t>II. Quality</w:t>
      </w:r>
      <w:bookmarkEnd w:id="2"/>
      <w:r>
        <w:t xml:space="preserve"> findings</w:t>
      </w:r>
      <w:bookmarkEnd w:id="22"/>
      <w:bookmarkEnd w:id="23"/>
      <w:bookmarkEnd w:id="24"/>
    </w:p>
    <w:p w14:paraId="74910D61" w14:textId="77777777" w:rsidR="00437A54" w:rsidRPr="00437A54" w:rsidRDefault="00437A54" w:rsidP="00437A54">
      <w:r w:rsidRPr="00437A54">
        <w:t>No changes to the formulation were proposed with this submission.</w:t>
      </w:r>
    </w:p>
    <w:p w14:paraId="7C5FC5A0" w14:textId="06B1BDD3" w:rsidR="008E7846" w:rsidRDefault="00437A54" w:rsidP="008E7846">
      <w:r w:rsidRPr="00437A54">
        <w:t xml:space="preserve">Advice of the pharmaceutical sub-committee </w:t>
      </w:r>
      <w:r w:rsidR="00D05EFF">
        <w:t xml:space="preserve">(PSC) </w:t>
      </w:r>
      <w:r w:rsidRPr="00437A54">
        <w:t xml:space="preserve">of </w:t>
      </w:r>
      <w:r w:rsidR="009E6479">
        <w:t>the Advisory Committee on Prescription Medicines (</w:t>
      </w:r>
      <w:r w:rsidRPr="00437A54">
        <w:t>ACPM</w:t>
      </w:r>
      <w:r w:rsidR="009E6479">
        <w:t>)</w:t>
      </w:r>
      <w:r w:rsidRPr="00437A54">
        <w:t xml:space="preserve"> was not sought for this submission.</w:t>
      </w:r>
    </w:p>
    <w:p w14:paraId="012D7D78" w14:textId="77777777" w:rsidR="008E7846" w:rsidRDefault="008E7846" w:rsidP="008E7846">
      <w:pPr>
        <w:pStyle w:val="Heading2"/>
      </w:pPr>
      <w:bookmarkStart w:id="25" w:name="_Toc196046439"/>
      <w:bookmarkStart w:id="26" w:name="_Toc247691510"/>
      <w:bookmarkStart w:id="27" w:name="_Toc314842494"/>
      <w:bookmarkStart w:id="28" w:name="_Toc495400775"/>
      <w:r>
        <w:t>III. Nonclinical</w:t>
      </w:r>
      <w:bookmarkEnd w:id="25"/>
      <w:r>
        <w:t xml:space="preserve"> findings</w:t>
      </w:r>
      <w:bookmarkEnd w:id="26"/>
      <w:bookmarkEnd w:id="27"/>
      <w:bookmarkEnd w:id="28"/>
    </w:p>
    <w:p w14:paraId="318D7DFA" w14:textId="4C7B8964" w:rsidR="00940A89" w:rsidRPr="00437A54" w:rsidRDefault="00437A54" w:rsidP="00437A54">
      <w:bookmarkStart w:id="29" w:name="_Toc247691511"/>
      <w:bookmarkStart w:id="30" w:name="_Toc314842495"/>
      <w:r w:rsidRPr="00437A54">
        <w:t>No new preclinical data was presented</w:t>
      </w:r>
      <w:r>
        <w:t xml:space="preserve">. </w:t>
      </w:r>
      <w:r w:rsidR="00940A89" w:rsidRPr="00437A54">
        <w:t>There was no requirement for a nonclinical evaluation in a submission of this type.</w:t>
      </w:r>
    </w:p>
    <w:p w14:paraId="5DDEC3FE" w14:textId="77777777" w:rsidR="008E7846" w:rsidRPr="00254787" w:rsidRDefault="008E7846" w:rsidP="008E7846">
      <w:pPr>
        <w:pStyle w:val="Heading2"/>
      </w:pPr>
      <w:bookmarkStart w:id="31" w:name="_Toc196046462"/>
      <w:bookmarkStart w:id="32" w:name="_Toc247691516"/>
      <w:bookmarkStart w:id="33" w:name="_Toc314842500"/>
      <w:bookmarkStart w:id="34" w:name="_Toc163441353"/>
      <w:bookmarkStart w:id="35" w:name="_Toc163441348"/>
      <w:bookmarkStart w:id="36" w:name="_Toc495400776"/>
      <w:bookmarkEnd w:id="29"/>
      <w:bookmarkEnd w:id="30"/>
      <w:r>
        <w:t xml:space="preserve">IV. </w:t>
      </w:r>
      <w:r w:rsidRPr="00254787">
        <w:t>Clinical</w:t>
      </w:r>
      <w:bookmarkEnd w:id="31"/>
      <w:r>
        <w:t xml:space="preserve"> </w:t>
      </w:r>
      <w:r w:rsidR="003A7F6C">
        <w:t>f</w:t>
      </w:r>
      <w:r>
        <w:t>indings</w:t>
      </w:r>
      <w:bookmarkEnd w:id="32"/>
      <w:bookmarkEnd w:id="33"/>
      <w:bookmarkEnd w:id="36"/>
    </w:p>
    <w:p w14:paraId="4611CAC7" w14:textId="77777777" w:rsidR="00C80137" w:rsidRDefault="00C80137" w:rsidP="00D425BB">
      <w:bookmarkStart w:id="37"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2C75F18A" w14:textId="77777777" w:rsidR="008E7846" w:rsidRDefault="008E7846" w:rsidP="008E7846">
      <w:pPr>
        <w:pStyle w:val="Heading3"/>
      </w:pPr>
      <w:bookmarkStart w:id="38" w:name="_Toc247691517"/>
      <w:bookmarkStart w:id="39" w:name="_Toc314842501"/>
      <w:bookmarkStart w:id="40" w:name="_Toc495400777"/>
      <w:r w:rsidRPr="00254787">
        <w:lastRenderedPageBreak/>
        <w:t>Introduction</w:t>
      </w:r>
      <w:bookmarkEnd w:id="37"/>
      <w:bookmarkEnd w:id="38"/>
      <w:bookmarkEnd w:id="39"/>
      <w:bookmarkEnd w:id="40"/>
    </w:p>
    <w:p w14:paraId="7EA41177" w14:textId="402BAF6E" w:rsidR="00437A54" w:rsidRPr="00F014D0" w:rsidRDefault="00437A54" w:rsidP="00437A54">
      <w:pPr>
        <w:rPr>
          <w:lang w:eastAsia="en-AU"/>
        </w:rPr>
      </w:pPr>
      <w:r w:rsidRPr="00F014D0">
        <w:rPr>
          <w:lang w:eastAsia="en-AU"/>
        </w:rPr>
        <w:t>Brentuximab vedotin (Adcetris) is an anti-neoplastic agent that is active against CD30-expressing tumour cells. It is an antibody drug conjugate (ADC)</w:t>
      </w:r>
      <w:r w:rsidR="00D85638">
        <w:rPr>
          <w:lang w:eastAsia="en-AU"/>
        </w:rPr>
        <w:t xml:space="preserve">, with a structure as shown in Figure 1, below and consists </w:t>
      </w:r>
      <w:r w:rsidRPr="00F014D0">
        <w:rPr>
          <w:lang w:eastAsia="en-AU"/>
        </w:rPr>
        <w:t>of three components:</w:t>
      </w:r>
    </w:p>
    <w:p w14:paraId="773EF23F" w14:textId="77777777" w:rsidR="00437A54" w:rsidRPr="00F014D0" w:rsidRDefault="00437A54" w:rsidP="00437A54">
      <w:pPr>
        <w:pStyle w:val="Numberbullet0"/>
        <w:numPr>
          <w:ilvl w:val="0"/>
          <w:numId w:val="25"/>
        </w:numPr>
        <w:rPr>
          <w:lang w:eastAsia="en-AU"/>
        </w:rPr>
      </w:pPr>
      <w:r w:rsidRPr="00F014D0">
        <w:rPr>
          <w:lang w:eastAsia="en-AU"/>
        </w:rPr>
        <w:t>the chimeric IgG1 antibody cAC10, specific for the human cell membrane receptor CD30;</w:t>
      </w:r>
    </w:p>
    <w:p w14:paraId="44E04A01" w14:textId="49074627" w:rsidR="00437A54" w:rsidRPr="00F014D0" w:rsidRDefault="00437A54" w:rsidP="00D85638">
      <w:pPr>
        <w:pStyle w:val="Numberbullet0"/>
        <w:numPr>
          <w:ilvl w:val="0"/>
          <w:numId w:val="25"/>
        </w:numPr>
        <w:rPr>
          <w:lang w:eastAsia="en-AU"/>
        </w:rPr>
      </w:pPr>
      <w:r w:rsidRPr="00F014D0">
        <w:rPr>
          <w:lang w:eastAsia="en-AU"/>
        </w:rPr>
        <w:t xml:space="preserve">the micro-tubule disrupting agent </w:t>
      </w:r>
      <w:r w:rsidR="00D85638">
        <w:rPr>
          <w:lang w:eastAsia="en-AU"/>
        </w:rPr>
        <w:t>MMAE</w:t>
      </w:r>
      <w:r w:rsidRPr="00F014D0">
        <w:rPr>
          <w:lang w:eastAsia="en-AU"/>
        </w:rPr>
        <w:t xml:space="preserve"> that is covalently bound to the cAC10 moiety; by</w:t>
      </w:r>
    </w:p>
    <w:p w14:paraId="6B83F096" w14:textId="739A4920" w:rsidR="00437A54" w:rsidRPr="00F014D0" w:rsidRDefault="007E2F2A" w:rsidP="00437A54">
      <w:pPr>
        <w:pStyle w:val="Numberbullet0"/>
        <w:numPr>
          <w:ilvl w:val="0"/>
          <w:numId w:val="25"/>
        </w:numPr>
        <w:rPr>
          <w:lang w:eastAsia="en-AU"/>
        </w:rPr>
      </w:pPr>
      <w:r>
        <w:rPr>
          <w:lang w:eastAsia="en-AU"/>
        </w:rPr>
        <w:t>a protease cleavable linker.</w:t>
      </w:r>
    </w:p>
    <w:p w14:paraId="3FB19DBB" w14:textId="743E965E" w:rsidR="00437A54" w:rsidRPr="00F014D0" w:rsidRDefault="00437A54" w:rsidP="00437A54">
      <w:pPr>
        <w:pStyle w:val="FigureTitle"/>
        <w:widowControl w:val="0"/>
        <w:rPr>
          <w:lang w:eastAsia="en-AU"/>
        </w:rPr>
      </w:pPr>
      <w:r w:rsidRPr="00F014D0">
        <w:t xml:space="preserve">Figure 1. Schematic of </w:t>
      </w:r>
      <w:r w:rsidR="00A83722" w:rsidRPr="00F014D0">
        <w:t>brentuximab</w:t>
      </w:r>
      <w:r w:rsidRPr="00F014D0">
        <w:t xml:space="preserve"> vedotin structure</w:t>
      </w:r>
    </w:p>
    <w:p w14:paraId="1BFCF6DD" w14:textId="77777777" w:rsidR="00437A54" w:rsidRPr="00F014D0" w:rsidRDefault="00437A54" w:rsidP="009701A0">
      <w:pPr>
        <w:rPr>
          <w:lang w:eastAsia="en-AU"/>
        </w:rPr>
      </w:pPr>
      <w:r w:rsidRPr="00F014D0">
        <w:rPr>
          <w:noProof/>
          <w:lang w:eastAsia="en-AU"/>
        </w:rPr>
        <w:drawing>
          <wp:inline distT="0" distB="0" distL="0" distR="0" wp14:anchorId="14B5DCA7" wp14:editId="5567D69B">
            <wp:extent cx="2635860" cy="2214990"/>
            <wp:effectExtent l="0" t="0" r="0" b="0"/>
            <wp:docPr id="136" name="Picture 136" descr="Figure 1. Schematic of bretuximab vedotin structure&#10;Adcetris (bretuximab vedotin) is made up of 3 components. 1) The antibody, brentuximab specific for CD30+ 2) The cytotoxic agent, the synthetic microtubule disrupting agent, monomethyl auristatin E (MMAE) that induces target cell death. 3) The linker, a synthetic protease-clearable linker that covalently attaches MMAE to the CD30-directed antibody and releases the agent within the targe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20000" contrast="40000"/>
                      <a:alphaModFix amt="85000"/>
                      <a:extLst>
                        <a:ext uri="{28A0092B-C50C-407E-A947-70E740481C1C}">
                          <a14:useLocalDpi xmlns:a14="http://schemas.microsoft.com/office/drawing/2010/main" val="0"/>
                        </a:ext>
                      </a:extLst>
                    </a:blip>
                    <a:srcRect/>
                    <a:stretch>
                      <a:fillRect/>
                    </a:stretch>
                  </pic:blipFill>
                  <pic:spPr bwMode="auto">
                    <a:xfrm>
                      <a:off x="0" y="0"/>
                      <a:ext cx="2660066" cy="2235331"/>
                    </a:xfrm>
                    <a:prstGeom prst="rect">
                      <a:avLst/>
                    </a:prstGeom>
                    <a:noFill/>
                    <a:ln>
                      <a:noFill/>
                    </a:ln>
                  </pic:spPr>
                </pic:pic>
              </a:graphicData>
            </a:graphic>
          </wp:inline>
        </w:drawing>
      </w:r>
    </w:p>
    <w:p w14:paraId="52972D4A" w14:textId="77777777" w:rsidR="00437A54" w:rsidRPr="00F014D0" w:rsidRDefault="00437A54" w:rsidP="00437A54">
      <w:pPr>
        <w:rPr>
          <w:lang w:eastAsia="en-AU"/>
        </w:rPr>
      </w:pPr>
      <w:r w:rsidRPr="00F014D0">
        <w:rPr>
          <w:lang w:eastAsia="en-AU"/>
        </w:rPr>
        <w:t>The biological activity of the ADC is thought to result from a multi-step process that ends in apoptotic cell death of CD30-expressing cells. Efficacy of a regimen of brentuximab vedotin of 1.8 mg/kg every 3 weeks has been shown in patients with relapsed or refractory HL or sALCL.</w:t>
      </w:r>
    </w:p>
    <w:p w14:paraId="0CB141C8" w14:textId="77777777" w:rsidR="00437A54" w:rsidRPr="00F014D0" w:rsidRDefault="00437A54" w:rsidP="00437A54">
      <w:pPr>
        <w:rPr>
          <w:lang w:eastAsia="en-AU"/>
        </w:rPr>
      </w:pPr>
      <w:r w:rsidRPr="00F014D0">
        <w:rPr>
          <w:lang w:eastAsia="en-AU"/>
        </w:rPr>
        <w:t>The currently approved indications are:</w:t>
      </w:r>
    </w:p>
    <w:p w14:paraId="07355D97" w14:textId="77777777" w:rsidR="00437A54" w:rsidRPr="00F014D0" w:rsidRDefault="00437A54" w:rsidP="00437A54">
      <w:pPr>
        <w:pStyle w:val="ListBullet"/>
        <w:numPr>
          <w:ilvl w:val="0"/>
          <w:numId w:val="3"/>
        </w:numPr>
        <w:rPr>
          <w:i/>
        </w:rPr>
      </w:pPr>
      <w:r w:rsidRPr="00F014D0">
        <w:rPr>
          <w:i/>
        </w:rPr>
        <w:t>‘Treatment of adult patients with relapsed or refractory CD30+ Hodgkin lymphoma (HL):</w:t>
      </w:r>
    </w:p>
    <w:p w14:paraId="25542BB8" w14:textId="77777777" w:rsidR="00437A54" w:rsidRPr="00F014D0" w:rsidRDefault="00437A54" w:rsidP="00437A54">
      <w:pPr>
        <w:pStyle w:val="ListBullet2"/>
        <w:numPr>
          <w:ilvl w:val="1"/>
          <w:numId w:val="3"/>
        </w:numPr>
        <w:rPr>
          <w:i/>
        </w:rPr>
      </w:pPr>
      <w:r w:rsidRPr="00F014D0">
        <w:rPr>
          <w:i/>
        </w:rPr>
        <w:t>following autologous stem cell transplant (ASCT) or</w:t>
      </w:r>
    </w:p>
    <w:p w14:paraId="291DFEB9" w14:textId="77777777" w:rsidR="00437A54" w:rsidRPr="00F014D0" w:rsidRDefault="00437A54" w:rsidP="00437A54">
      <w:pPr>
        <w:pStyle w:val="ListBullet2"/>
        <w:numPr>
          <w:ilvl w:val="1"/>
          <w:numId w:val="3"/>
        </w:numPr>
        <w:rPr>
          <w:i/>
        </w:rPr>
      </w:pPr>
      <w:r w:rsidRPr="00F014D0">
        <w:rPr>
          <w:i/>
        </w:rPr>
        <w:t>following at least two prior therapies when ASCT or multi-agent chemotherapy is not a treatment option</w:t>
      </w:r>
    </w:p>
    <w:p w14:paraId="7EC1C09E" w14:textId="77777777" w:rsidR="00437A54" w:rsidRPr="00F014D0" w:rsidRDefault="00437A54" w:rsidP="00437A54">
      <w:pPr>
        <w:pStyle w:val="ListBullet"/>
        <w:numPr>
          <w:ilvl w:val="0"/>
          <w:numId w:val="3"/>
        </w:numPr>
        <w:rPr>
          <w:i/>
        </w:rPr>
      </w:pPr>
      <w:r w:rsidRPr="00F014D0">
        <w:rPr>
          <w:i/>
        </w:rPr>
        <w:t>Treatment of adult patients with relapsed or refractory systemic anaplastic large cell lymphoma (sALCL)’</w:t>
      </w:r>
    </w:p>
    <w:p w14:paraId="6A075D30" w14:textId="77777777" w:rsidR="00437A54" w:rsidRPr="00F014D0" w:rsidRDefault="00437A54" w:rsidP="00437A54">
      <w:pPr>
        <w:rPr>
          <w:lang w:eastAsia="en-AU"/>
        </w:rPr>
      </w:pPr>
      <w:r w:rsidRPr="00F014D0">
        <w:rPr>
          <w:lang w:eastAsia="en-AU"/>
        </w:rPr>
        <w:t>The proposed extension of indications is a new Hodgkin Lymphoma indication:</w:t>
      </w:r>
    </w:p>
    <w:p w14:paraId="378EFAF1" w14:textId="77777777" w:rsidR="00437A54" w:rsidRPr="00F014D0" w:rsidRDefault="00437A54" w:rsidP="00437A54">
      <w:pPr>
        <w:pStyle w:val="ListBullet"/>
        <w:numPr>
          <w:ilvl w:val="0"/>
          <w:numId w:val="3"/>
        </w:numPr>
        <w:rPr>
          <w:i/>
          <w:lang w:eastAsia="en-AU"/>
        </w:rPr>
      </w:pPr>
      <w:r w:rsidRPr="00F014D0">
        <w:rPr>
          <w:lang w:eastAsia="en-AU"/>
        </w:rPr>
        <w:t>‘</w:t>
      </w:r>
      <w:r w:rsidRPr="00F014D0">
        <w:rPr>
          <w:i/>
          <w:lang w:eastAsia="en-AU"/>
        </w:rPr>
        <w:t>The treatment of patients with CD30+ Hodgkin Lymphoma at increased risk of relapse or progression following autologous stem cell transplant (ASCT).’</w:t>
      </w:r>
    </w:p>
    <w:p w14:paraId="0B1D26D9" w14:textId="77777777" w:rsidR="00A64A55" w:rsidRPr="00A64A55" w:rsidRDefault="00A64A55" w:rsidP="00A64A55">
      <w:pPr>
        <w:pStyle w:val="Heading4"/>
      </w:pPr>
      <w:bookmarkStart w:id="41" w:name="_Toc196046464"/>
      <w:bookmarkStart w:id="42" w:name="_Toc247691518"/>
      <w:bookmarkStart w:id="43" w:name="_Toc314842502"/>
      <w:r w:rsidRPr="00A64A55">
        <w:t>Contents of the clinical dossier</w:t>
      </w:r>
    </w:p>
    <w:p w14:paraId="7867FA51" w14:textId="77777777" w:rsidR="00A64A55" w:rsidRPr="00A64A55" w:rsidRDefault="00A64A55" w:rsidP="00A64A55">
      <w:pPr>
        <w:pStyle w:val="ListBullet"/>
        <w:numPr>
          <w:ilvl w:val="0"/>
          <w:numId w:val="3"/>
        </w:numPr>
      </w:pPr>
      <w:r w:rsidRPr="00A64A55">
        <w:t>Clinical Overview</w:t>
      </w:r>
    </w:p>
    <w:p w14:paraId="47FAEB10" w14:textId="77777777" w:rsidR="00A64A55" w:rsidRPr="00A64A55" w:rsidRDefault="00A64A55" w:rsidP="00A64A55">
      <w:pPr>
        <w:pStyle w:val="ListBullet"/>
        <w:numPr>
          <w:ilvl w:val="0"/>
          <w:numId w:val="3"/>
        </w:numPr>
      </w:pPr>
      <w:r w:rsidRPr="00A64A55">
        <w:t>One pivotal efficacy/safety study, Study SGN35-005:</w:t>
      </w:r>
    </w:p>
    <w:p w14:paraId="0018A566" w14:textId="77777777" w:rsidR="00A64A55" w:rsidRPr="00A64A55" w:rsidRDefault="00A64A55" w:rsidP="00A64A55">
      <w:pPr>
        <w:pStyle w:val="ListBullet2"/>
        <w:numPr>
          <w:ilvl w:val="1"/>
          <w:numId w:val="3"/>
        </w:numPr>
      </w:pPr>
      <w:r w:rsidRPr="00A64A55">
        <w:t>Summary of Clinical Efficacy, Summary of Clinical Safety</w:t>
      </w:r>
    </w:p>
    <w:p w14:paraId="4C8DF2B3" w14:textId="77777777" w:rsidR="00A64A55" w:rsidRPr="00A64A55" w:rsidRDefault="00A64A55" w:rsidP="00A64A55">
      <w:pPr>
        <w:pStyle w:val="ListBullet2"/>
        <w:numPr>
          <w:ilvl w:val="1"/>
          <w:numId w:val="3"/>
        </w:numPr>
      </w:pPr>
      <w:r w:rsidRPr="00A64A55">
        <w:t>One separate immunochemistry report for Study SGN35-005</w:t>
      </w:r>
    </w:p>
    <w:p w14:paraId="7CA4A327" w14:textId="77777777" w:rsidR="00A64A55" w:rsidRPr="00A64A55" w:rsidRDefault="00A64A55" w:rsidP="00A64A55">
      <w:pPr>
        <w:pStyle w:val="ListBullet"/>
        <w:numPr>
          <w:ilvl w:val="0"/>
          <w:numId w:val="3"/>
        </w:numPr>
      </w:pPr>
      <w:r w:rsidRPr="00A64A55">
        <w:t>One Clinical Study Report (CSR) for Study35-008b</w:t>
      </w:r>
    </w:p>
    <w:p w14:paraId="53140CBF" w14:textId="77777777" w:rsidR="00A64A55" w:rsidRPr="00A64A55" w:rsidRDefault="00A64A55" w:rsidP="00A64A55">
      <w:pPr>
        <w:pStyle w:val="ListBullet"/>
        <w:numPr>
          <w:ilvl w:val="0"/>
          <w:numId w:val="3"/>
        </w:numPr>
      </w:pPr>
      <w:r w:rsidRPr="00A64A55">
        <w:lastRenderedPageBreak/>
        <w:t>Method validation reports for:</w:t>
      </w:r>
    </w:p>
    <w:p w14:paraId="4339E5B6" w14:textId="77777777" w:rsidR="00A64A55" w:rsidRPr="00A64A55" w:rsidRDefault="00A64A55" w:rsidP="00A64A55">
      <w:pPr>
        <w:numPr>
          <w:ilvl w:val="1"/>
          <w:numId w:val="3"/>
        </w:numPr>
      </w:pPr>
      <w:r w:rsidRPr="00A64A55">
        <w:t>electrochemiluminescent method to detect antibodies to SGN-35 in human serum; and</w:t>
      </w:r>
    </w:p>
    <w:p w14:paraId="1F2E474B" w14:textId="77777777" w:rsidR="00A64A55" w:rsidRPr="00A64A55" w:rsidRDefault="00A64A55" w:rsidP="00A64A55">
      <w:pPr>
        <w:pStyle w:val="ListBullet2"/>
        <w:numPr>
          <w:ilvl w:val="1"/>
          <w:numId w:val="3"/>
        </w:numPr>
      </w:pPr>
      <w:proofErr w:type="gramStart"/>
      <w:r w:rsidRPr="00A64A55">
        <w:t>determination</w:t>
      </w:r>
      <w:proofErr w:type="gramEnd"/>
      <w:r w:rsidRPr="00A64A55">
        <w:t xml:space="preserve"> of free MMAE in human sodium citrate plasma by HPLC with MS/MD detection.</w:t>
      </w:r>
    </w:p>
    <w:p w14:paraId="4D71C95C" w14:textId="77777777" w:rsidR="00A64A55" w:rsidRPr="00A64A55" w:rsidRDefault="00A64A55" w:rsidP="00A64A55">
      <w:pPr>
        <w:pStyle w:val="ListBullet"/>
        <w:numPr>
          <w:ilvl w:val="0"/>
          <w:numId w:val="3"/>
        </w:numPr>
      </w:pPr>
      <w:r w:rsidRPr="00A64A55">
        <w:t>Five Periodic Safety Update Reports (PSURs), covering a period from August 2012 to August 2015</w:t>
      </w:r>
    </w:p>
    <w:p w14:paraId="2146A258" w14:textId="77777777" w:rsidR="00A64A55" w:rsidRPr="00A64A55" w:rsidRDefault="00A64A55" w:rsidP="00A64A55">
      <w:pPr>
        <w:pStyle w:val="ListBullet"/>
        <w:numPr>
          <w:ilvl w:val="0"/>
          <w:numId w:val="0"/>
        </w:numPr>
      </w:pPr>
      <w:r w:rsidRPr="00A64A55">
        <w:t>The following were provided for the second round  evaluation:</w:t>
      </w:r>
    </w:p>
    <w:p w14:paraId="4B00B2DC" w14:textId="77777777" w:rsidR="009701A0" w:rsidRDefault="00A64A55" w:rsidP="00A64A55">
      <w:pPr>
        <w:pStyle w:val="ListBullet"/>
        <w:numPr>
          <w:ilvl w:val="0"/>
          <w:numId w:val="3"/>
        </w:numPr>
      </w:pPr>
      <w:r w:rsidRPr="00A64A55">
        <w:t>Clinical Study Report for SGN35-008b</w:t>
      </w:r>
    </w:p>
    <w:p w14:paraId="71CA731D" w14:textId="2291B605" w:rsidR="00A64A55" w:rsidRPr="00A64A55" w:rsidRDefault="00A64A55" w:rsidP="00A64A55">
      <w:pPr>
        <w:pStyle w:val="ListBullet"/>
        <w:numPr>
          <w:ilvl w:val="0"/>
          <w:numId w:val="3"/>
        </w:numPr>
      </w:pPr>
      <w:r w:rsidRPr="00A64A55">
        <w:t>An additional PSUR covering the period August 2014 to August 2015</w:t>
      </w:r>
    </w:p>
    <w:p w14:paraId="7EAF1CE3" w14:textId="77777777" w:rsidR="00A64A55" w:rsidRPr="00A64A55" w:rsidRDefault="00A64A55" w:rsidP="00A64A55">
      <w:pPr>
        <w:pStyle w:val="ListBullet"/>
        <w:numPr>
          <w:ilvl w:val="0"/>
          <w:numId w:val="3"/>
        </w:numPr>
      </w:pPr>
      <w:r w:rsidRPr="00A64A55">
        <w:t>Cumulative reviews for pulmonary toxicity and hepatotoxicity were provided in the Sponsor’s Responses to Clinical Questions</w:t>
      </w:r>
    </w:p>
    <w:p w14:paraId="1EF42C53" w14:textId="77777777" w:rsidR="00A64A55" w:rsidRPr="00A64A55" w:rsidRDefault="00A64A55" w:rsidP="00A64A55">
      <w:pPr>
        <w:pStyle w:val="ListBullet"/>
        <w:numPr>
          <w:ilvl w:val="0"/>
          <w:numId w:val="3"/>
        </w:numPr>
      </w:pPr>
      <w:r w:rsidRPr="00A64A55">
        <w:t>The Safety Related Request which included updated safety information for the two Phase II registrational studies for the currently approved indication and cumulative reviews for pulmonary toxicity, hepatotoxicity and gastrointestinal complications</w:t>
      </w:r>
    </w:p>
    <w:p w14:paraId="43C01353" w14:textId="77777777" w:rsidR="00605AD4" w:rsidRDefault="00605AD4" w:rsidP="00605AD4">
      <w:pPr>
        <w:pStyle w:val="Heading4"/>
      </w:pPr>
      <w:r w:rsidRPr="00605AD4">
        <w:t xml:space="preserve">Clinical </w:t>
      </w:r>
      <w:r w:rsidR="00EF59DC">
        <w:t>r</w:t>
      </w:r>
      <w:r w:rsidRPr="00605AD4">
        <w:t>ationale</w:t>
      </w:r>
    </w:p>
    <w:p w14:paraId="601A825A" w14:textId="109186FF" w:rsidR="008239F9" w:rsidRPr="008239F9" w:rsidRDefault="008239F9" w:rsidP="008239F9">
      <w:r w:rsidRPr="008239F9">
        <w:t xml:space="preserve">The </w:t>
      </w:r>
      <w:r w:rsidR="00D05EFF">
        <w:t>sponsor</w:t>
      </w:r>
      <w:r w:rsidR="009A1101">
        <w:t xml:space="preserve"> </w:t>
      </w:r>
      <w:r w:rsidRPr="008239F9">
        <w:t>provide</w:t>
      </w:r>
      <w:r w:rsidR="009A1101">
        <w:t>d</w:t>
      </w:r>
      <w:r w:rsidRPr="008239F9">
        <w:t xml:space="preserve"> a brief background description</w:t>
      </w:r>
      <w:r w:rsidR="007675B7">
        <w:t xml:space="preserve"> that</w:t>
      </w:r>
      <w:r w:rsidRPr="008239F9">
        <w:t xml:space="preserve"> </w:t>
      </w:r>
      <w:r w:rsidR="007675B7" w:rsidRPr="008239F9">
        <w:t>includ</w:t>
      </w:r>
      <w:r w:rsidR="007675B7">
        <w:t>es</w:t>
      </w:r>
      <w:r w:rsidR="007675B7" w:rsidRPr="008239F9">
        <w:t xml:space="preserve"> </w:t>
      </w:r>
      <w:r w:rsidRPr="008239F9">
        <w:t xml:space="preserve">a discussion of risk factors for progressive disease following ASCT and a description of the pivotal study. The proposed new HL indication for use as adjuvant therapy in patients following ASCT for relapsed or refractory CD 30+ HL is based on the results of a Phase III randomised, double blinded, placebo controlled, 2 arm multicentre study in 329 patients at risk of relapse or progression following ASCT (Study SGN35-005, AETHERA). This study was designed </w:t>
      </w:r>
      <w:r w:rsidR="007675B7">
        <w:t>so</w:t>
      </w:r>
      <w:r w:rsidR="007675B7" w:rsidRPr="008239F9">
        <w:t xml:space="preserve"> </w:t>
      </w:r>
      <w:r w:rsidRPr="008239F9">
        <w:t xml:space="preserve">that treatment was initiated as early as possible post-ASCT, when acute toxicities have resolved and the lymphoma is </w:t>
      </w:r>
      <w:r w:rsidR="007675B7">
        <w:t>at</w:t>
      </w:r>
      <w:r w:rsidR="007675B7" w:rsidRPr="008239F9">
        <w:t xml:space="preserve"> </w:t>
      </w:r>
      <w:r w:rsidRPr="008239F9">
        <w:t xml:space="preserve">a minimal residual state. According to the </w:t>
      </w:r>
      <w:r w:rsidR="00D05EFF">
        <w:t xml:space="preserve">sponsor’s </w:t>
      </w:r>
      <w:r w:rsidRPr="008239F9">
        <w:t>Clinical Overview, it is not possible to distinguish patients cured by ASCT alone from patients destined to relapse at this time (approximately 30 to 45 days post-ASCT)</w:t>
      </w:r>
      <w:r w:rsidR="007675B7">
        <w:t xml:space="preserve"> as</w:t>
      </w:r>
      <w:r w:rsidRPr="008239F9">
        <w:t xml:space="preserve"> residual masses on CT scans may continue to resolve over months and patients who appear to be in complete remission may have microscopic disease not measurable by radiographic scans. Pre-ASCT risk factors were therefore used to select patients at increased risk of progression.</w:t>
      </w:r>
    </w:p>
    <w:p w14:paraId="7407AFC7" w14:textId="6F742493" w:rsidR="008239F9" w:rsidRPr="008239F9" w:rsidRDefault="008239F9" w:rsidP="008239F9">
      <w:r w:rsidRPr="008239F9">
        <w:t>A discussion of the involvement of regulatory authorities (including EMA, Netherlands’ Medicines Evaluation Board</w:t>
      </w:r>
      <w:r w:rsidR="00C41B62">
        <w:t xml:space="preserve"> (MEB)</w:t>
      </w:r>
      <w:r w:rsidRPr="008239F9">
        <w:t xml:space="preserve">, Paul Erlich Institute and </w:t>
      </w:r>
      <w:r w:rsidR="00D85638">
        <w:t>the US (United States) Food and Drug Administration (</w:t>
      </w:r>
      <w:r w:rsidRPr="008239F9">
        <w:t xml:space="preserve">FDA) in the development of design and protocol amendments of this study </w:t>
      </w:r>
      <w:r w:rsidR="009A1101">
        <w:t>are</w:t>
      </w:r>
      <w:r w:rsidRPr="008239F9">
        <w:t xml:space="preserve"> provided in the </w:t>
      </w:r>
      <w:r w:rsidR="00D05EFF">
        <w:t xml:space="preserve">sponsor’s </w:t>
      </w:r>
      <w:r w:rsidRPr="008239F9">
        <w:t xml:space="preserve">Clinical Overview. Brief descriptions of pre-submission discussions with the Netherlands’ Medicines Evaluation Board, Paul Erlich Institute were also provided. The Netherlands MEB were reported to comment that: </w:t>
      </w:r>
      <w:r w:rsidRPr="008239F9">
        <w:rPr>
          <w:i/>
        </w:rPr>
        <w:t>'it was unsurprising that the interim analysis of the secondary OS endpoint did not show a survival difference due to the study design and the limited number of events but requested further explanation of these data, including the influence of crossover effects, in the dossier</w:t>
      </w:r>
      <w:r w:rsidRPr="008239F9">
        <w:t xml:space="preserve">’. The </w:t>
      </w:r>
      <w:r w:rsidR="00D05EFF">
        <w:t xml:space="preserve">sponsor’s </w:t>
      </w:r>
      <w:r w:rsidRPr="008239F9">
        <w:t>Clinical Overview comments that: ‘</w:t>
      </w:r>
      <w:r w:rsidRPr="008239F9">
        <w:rPr>
          <w:i/>
        </w:rPr>
        <w:t xml:space="preserve">The clinical relevance of the PFS result in light of no OS improvement and the advantages of treating patients post-ASCT rather than within the licensed indication were discussed’ </w:t>
      </w:r>
      <w:r w:rsidRPr="008239F9">
        <w:t>with the</w:t>
      </w:r>
      <w:r w:rsidRPr="008239F9">
        <w:rPr>
          <w:i/>
        </w:rPr>
        <w:t xml:space="preserve"> </w:t>
      </w:r>
      <w:r w:rsidRPr="008239F9">
        <w:t>reported opinion of the Netherlands MEB that ‘</w:t>
      </w:r>
      <w:r w:rsidRPr="008239F9">
        <w:rPr>
          <w:i/>
        </w:rPr>
        <w:t>the importance of treating early and effectively when the tumour burden is low rather than waiting for relapse should be emphasise</w:t>
      </w:r>
      <w:r w:rsidR="007212EA">
        <w:rPr>
          <w:i/>
        </w:rPr>
        <w:t>d</w:t>
      </w:r>
      <w:r w:rsidRPr="008239F9">
        <w:rPr>
          <w:i/>
        </w:rPr>
        <w:t>’</w:t>
      </w:r>
      <w:r w:rsidRPr="008239F9">
        <w:t xml:space="preserve"> and that the MEB and Paul Erlich Institute were in agreement that there were no universal criteria to define patients at high risk of relapse or progression.</w:t>
      </w:r>
    </w:p>
    <w:p w14:paraId="3B5CB013" w14:textId="77777777" w:rsidR="009701A0" w:rsidRDefault="008239F9" w:rsidP="008239F9">
      <w:r w:rsidRPr="008239F9">
        <w:lastRenderedPageBreak/>
        <w:t xml:space="preserve">Brief descriptions of the discussions with the FDA were provided. </w:t>
      </w:r>
      <w:r w:rsidR="009A1101" w:rsidRPr="008239F9">
        <w:t>There was agreement that the study data supported submission of a supplemental Biologics Licensing Application.</w:t>
      </w:r>
      <w:r w:rsidR="009A1101">
        <w:t xml:space="preserve"> </w:t>
      </w:r>
      <w:r w:rsidRPr="008239F9">
        <w:t xml:space="preserve">It was noted that the FDA was concerned by the heterogeneity of the proposed patient population and the use of progression free survival as the primary </w:t>
      </w:r>
      <w:proofErr w:type="gramStart"/>
      <w:r w:rsidRPr="008239F9">
        <w:t xml:space="preserve">endpoint </w:t>
      </w:r>
      <w:r w:rsidR="007675B7">
        <w:t xml:space="preserve"> and</w:t>
      </w:r>
      <w:proofErr w:type="gramEnd"/>
      <w:r w:rsidR="007675B7">
        <w:t xml:space="preserve"> </w:t>
      </w:r>
      <w:r w:rsidRPr="008239F9">
        <w:t>it did not agree that the study was a suitable confirmatory study for change from accelerated approval to regular approval</w:t>
      </w:r>
      <w:r w:rsidR="009701A0">
        <w:t>.</w:t>
      </w:r>
    </w:p>
    <w:p w14:paraId="2963A9EC" w14:textId="5ACB111F" w:rsidR="008239F9" w:rsidRPr="008239F9" w:rsidRDefault="008239F9" w:rsidP="008239F9">
      <w:r w:rsidRPr="008239F9">
        <w:t xml:space="preserve">For the first and second evaluations (including information </w:t>
      </w:r>
      <w:r w:rsidR="000C1EC7">
        <w:t>from the sponsor’s response to clinical q</w:t>
      </w:r>
      <w:r w:rsidRPr="008239F9">
        <w:t xml:space="preserve">uestions) the rationale presented in the </w:t>
      </w:r>
      <w:r w:rsidR="00D05EFF">
        <w:t xml:space="preserve">sponsor’s </w:t>
      </w:r>
      <w:r w:rsidRPr="008239F9">
        <w:t>Clinical Overview provides a description of HL, the use of ASCT, the poor prognosis of patients who relapse following ASCT for HL and a description of brentuximab vedotin and its potential role as adjuvant therapy for this group of patients</w:t>
      </w:r>
      <w:r w:rsidR="007675B7">
        <w:t>.</w:t>
      </w:r>
      <w:r w:rsidRPr="008239F9">
        <w:t xml:space="preserve"> A description of the Phase III study and involvement of regulatory bodies in its design </w:t>
      </w:r>
      <w:r w:rsidR="007675B7">
        <w:t>are</w:t>
      </w:r>
      <w:r w:rsidR="007675B7" w:rsidRPr="008239F9">
        <w:t xml:space="preserve"> </w:t>
      </w:r>
      <w:r w:rsidRPr="008239F9">
        <w:t xml:space="preserve">provided. The rationale is adequate but </w:t>
      </w:r>
      <w:r w:rsidR="007675B7">
        <w:t xml:space="preserve">was assessed to show </w:t>
      </w:r>
      <w:r w:rsidRPr="008239F9">
        <w:t>some gaps in its discussion.</w:t>
      </w:r>
    </w:p>
    <w:p w14:paraId="6F7A9AB3" w14:textId="60F7F3DE" w:rsidR="008239F9" w:rsidRPr="008239F9" w:rsidRDefault="008239F9" w:rsidP="008239F9">
      <w:r w:rsidRPr="008239F9">
        <w:t xml:space="preserve">Patients at risk of developing refractory or relapsed HL following ASCT are presented as having an ‘unmet need’ due to poor prognosis and the lack of effective therapies. The </w:t>
      </w:r>
      <w:r w:rsidR="00F1550F">
        <w:t xml:space="preserve">sponsor’s </w:t>
      </w:r>
      <w:r w:rsidRPr="008239F9">
        <w:t xml:space="preserve">Clinical Overview offers 9 different pre-ASCT factors that may indicate at-risk patients and comments that no single </w:t>
      </w:r>
      <w:proofErr w:type="gramStart"/>
      <w:r w:rsidRPr="008239F9">
        <w:t>factor can</w:t>
      </w:r>
      <w:proofErr w:type="gramEnd"/>
      <w:r w:rsidRPr="008239F9">
        <w:t xml:space="preserve"> ‘</w:t>
      </w:r>
      <w:r w:rsidRPr="008239F9">
        <w:rPr>
          <w:i/>
        </w:rPr>
        <w:t>sufficiently identify every patient at increased risk of relapse</w:t>
      </w:r>
      <w:r w:rsidRPr="008239F9">
        <w:t>’, although the more risk factors that are pre</w:t>
      </w:r>
      <w:r w:rsidR="00F1550F">
        <w:t>sent the worse</w:t>
      </w:r>
      <w:r w:rsidR="00122A54">
        <w:t xml:space="preserve"> is</w:t>
      </w:r>
      <w:r w:rsidR="00F1550F">
        <w:t xml:space="preserve"> the projected 5 </w:t>
      </w:r>
      <w:r w:rsidRPr="008239F9">
        <w:t xml:space="preserve">year progression free survival rate. The </w:t>
      </w:r>
      <w:r w:rsidR="00F1550F">
        <w:t xml:space="preserve">sponsor’s </w:t>
      </w:r>
      <w:r w:rsidRPr="008239F9">
        <w:t>Clinical Overview does not provide a discussion, or an estimate, of the proportion of patients having ASCT for HL who would have one or more risk factors present.</w:t>
      </w:r>
    </w:p>
    <w:p w14:paraId="4D8DA84F" w14:textId="77777777" w:rsidR="00437A54" w:rsidRPr="008239F9" w:rsidRDefault="00437A54" w:rsidP="008239F9">
      <w:pPr>
        <w:pStyle w:val="Heading5"/>
      </w:pPr>
      <w:r w:rsidRPr="008239F9">
        <w:t>Estimated Australian population for the proposed usage</w:t>
      </w:r>
    </w:p>
    <w:p w14:paraId="4E7EAC19" w14:textId="5E2C762A" w:rsidR="008239F9" w:rsidRPr="008239F9" w:rsidRDefault="008239F9" w:rsidP="008239F9">
      <w:r w:rsidRPr="008239F9">
        <w:t xml:space="preserve">In response to a clinical question (see </w:t>
      </w:r>
      <w:r w:rsidR="000C1EC7">
        <w:t>Attachment 2: Section 12,</w:t>
      </w:r>
      <w:r w:rsidRPr="008239F9">
        <w:t xml:space="preserve"> Question 3 ‘Estimated Australian Population’ </w:t>
      </w:r>
      <w:r w:rsidR="000C1EC7">
        <w:t xml:space="preserve">along </w:t>
      </w:r>
      <w:r w:rsidRPr="008239F9">
        <w:t>with the sponsor’s response) the sponsor has provide additional information regarding the use of ASCT for HL in Australia and New Zealand, citing the Australasian Bone Marrow Transplant Recipient Society (ABMTRS) Annual Data Summary 2014 as source.</w:t>
      </w:r>
    </w:p>
    <w:p w14:paraId="6C9D2D45" w14:textId="1AEBFDFE" w:rsidR="008239F9" w:rsidRPr="008239F9" w:rsidRDefault="008239F9" w:rsidP="008239F9">
      <w:r w:rsidRPr="008239F9">
        <w:t xml:space="preserve">The sponsor notes that the use of ASCT for HL has declined in recent years (from 95 in 2009 to 55 in 2014) and speculates that this is due to improved frontline therapies resulting in cures </w:t>
      </w:r>
      <w:r w:rsidR="00122A54">
        <w:t>for</w:t>
      </w:r>
      <w:r w:rsidR="00122A54" w:rsidRPr="008239F9">
        <w:t xml:space="preserve"> </w:t>
      </w:r>
      <w:r w:rsidRPr="008239F9">
        <w:t xml:space="preserve">more patients. In the source material, the evaluator notes that there were 60 patients in Australia and New Zealand who received ASCT for HL in 2014 (see Figure </w:t>
      </w:r>
      <w:r w:rsidR="000C1EC7">
        <w:t>2</w:t>
      </w:r>
      <w:r w:rsidRPr="008239F9">
        <w:t>, below).</w:t>
      </w:r>
      <w:r w:rsidRPr="008239F9">
        <w:rPr>
          <w:vertAlign w:val="superscript"/>
        </w:rPr>
        <w:footnoteReference w:id="1"/>
      </w:r>
      <w:r w:rsidRPr="008239F9">
        <w:t xml:space="preserve"> This source also provides data regarding cause of death in the first 12 months post-transplant </w:t>
      </w:r>
      <w:r w:rsidR="000C1EC7">
        <w:t xml:space="preserve">for the years 1998 to 2013. </w:t>
      </w:r>
      <w:r w:rsidRPr="008239F9">
        <w:t xml:space="preserve">This shows that </w:t>
      </w:r>
      <w:r w:rsidR="00122A54">
        <w:t>for</w:t>
      </w:r>
      <w:r w:rsidR="00122A54" w:rsidRPr="008239F9">
        <w:t xml:space="preserve"> </w:t>
      </w:r>
      <w:r w:rsidRPr="008239F9">
        <w:t>the patients who died within the first 12 months after ASCT around 20% of patients being treated with ASCT died from complications related to ASCT (a similar graphic for allogeneic transplants found transplant related mortality of around 60%) and around 70% of deaths were due to progressive disease.</w:t>
      </w:r>
    </w:p>
    <w:p w14:paraId="64DEA960" w14:textId="25DF8655" w:rsidR="008239F9" w:rsidRPr="008239F9" w:rsidRDefault="000C1EC7" w:rsidP="009A1101">
      <w:pPr>
        <w:keepNext/>
        <w:rPr>
          <w:b/>
        </w:rPr>
      </w:pPr>
      <w:r>
        <w:rPr>
          <w:b/>
        </w:rPr>
        <w:lastRenderedPageBreak/>
        <w:t>Figure 2</w:t>
      </w:r>
      <w:r w:rsidR="008239F9" w:rsidRPr="008239F9">
        <w:rPr>
          <w:b/>
        </w:rPr>
        <w:t>. Primary cause of death in the first 12 months following ASCT in Australia between 1998 to 2013</w:t>
      </w:r>
    </w:p>
    <w:p w14:paraId="4D14A4B6" w14:textId="77777777" w:rsidR="008239F9" w:rsidRPr="008239F9" w:rsidRDefault="008239F9" w:rsidP="008239F9">
      <w:r w:rsidRPr="008239F9">
        <w:rPr>
          <w:noProof/>
          <w:lang w:eastAsia="en-AU"/>
        </w:rPr>
        <w:drawing>
          <wp:inline distT="0" distB="0" distL="0" distR="0" wp14:anchorId="694994AD" wp14:editId="7AB62911">
            <wp:extent cx="3941445" cy="4225290"/>
            <wp:effectExtent l="0" t="0" r="0" b="0"/>
            <wp:docPr id="1" name="Picture 1" title="Figure 2. Primary cause of death in the first 12 months following ASCT in Australia between 1998 to 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941445" cy="4225290"/>
                    </a:xfrm>
                    <a:prstGeom prst="rect">
                      <a:avLst/>
                    </a:prstGeom>
                    <a:noFill/>
                    <a:ln>
                      <a:noFill/>
                    </a:ln>
                  </pic:spPr>
                </pic:pic>
              </a:graphicData>
            </a:graphic>
          </wp:inline>
        </w:drawing>
      </w:r>
    </w:p>
    <w:p w14:paraId="2BFFB5FB" w14:textId="7A63A99E" w:rsidR="008239F9" w:rsidRPr="008239F9" w:rsidRDefault="008239F9" w:rsidP="008239F9">
      <w:r w:rsidRPr="008239F9">
        <w:t>The ABMTRS 2014 summary also provided 10-year survival curves according to condition requiring ASCT. The curve for HL is shown below</w:t>
      </w:r>
      <w:r w:rsidR="008C491C">
        <w:t xml:space="preserve"> in Figure 3</w:t>
      </w:r>
      <w:r w:rsidRPr="008239F9">
        <w:t>.</w:t>
      </w:r>
    </w:p>
    <w:p w14:paraId="0BF52C30" w14:textId="29533951" w:rsidR="008239F9" w:rsidRPr="008239F9" w:rsidRDefault="008239F9" w:rsidP="009701A0">
      <w:pPr>
        <w:pStyle w:val="FigureTitle"/>
      </w:pPr>
      <w:r w:rsidRPr="008239F9">
        <w:t>Figur</w:t>
      </w:r>
      <w:r w:rsidR="000C1EC7">
        <w:t>e 3</w:t>
      </w:r>
      <w:r w:rsidRPr="008239F9">
        <w:t>. 10 Year survival curve for patients aged ≥ 16 years receiving ASCT for Hodgkin Lymphoma in Australia and New Zealand</w:t>
      </w:r>
    </w:p>
    <w:p w14:paraId="57ACE449" w14:textId="77777777" w:rsidR="008239F9" w:rsidRPr="008239F9" w:rsidRDefault="008239F9" w:rsidP="008239F9">
      <w:r w:rsidRPr="008239F9">
        <w:rPr>
          <w:noProof/>
          <w:lang w:eastAsia="en-AU"/>
        </w:rPr>
        <w:drawing>
          <wp:inline distT="0" distB="0" distL="0" distR="0" wp14:anchorId="2668F885" wp14:editId="4F3F3BE9">
            <wp:extent cx="3342005" cy="2470150"/>
            <wp:effectExtent l="0" t="0" r="0" b="6350"/>
            <wp:docPr id="2" name="Picture 2" descr="Figure 3. 10 Year survival curve for patients aged ≥ 16 years receiving ASCT for Hodgkin Lymphoma in Australia and New Zealand&#10;The 10 year survival rate for Australia and New Zealand in patients (sample, n = 934) wa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342005" cy="2470150"/>
                    </a:xfrm>
                    <a:prstGeom prst="rect">
                      <a:avLst/>
                    </a:prstGeom>
                    <a:noFill/>
                    <a:ln>
                      <a:noFill/>
                    </a:ln>
                  </pic:spPr>
                </pic:pic>
              </a:graphicData>
            </a:graphic>
          </wp:inline>
        </w:drawing>
      </w:r>
    </w:p>
    <w:p w14:paraId="1EBE9CDD" w14:textId="77777777" w:rsidR="008239F9" w:rsidRPr="008239F9" w:rsidRDefault="008239F9" w:rsidP="008239F9">
      <w:r w:rsidRPr="008239F9">
        <w:t>This data indicates that around 55% of HL patients treated with ASCT in Australia are effectively cured of the disease.</w:t>
      </w:r>
    </w:p>
    <w:p w14:paraId="119483AF" w14:textId="52DC7579" w:rsidR="008239F9" w:rsidRPr="008239F9" w:rsidRDefault="008239F9" w:rsidP="008239F9">
      <w:r w:rsidRPr="008239F9">
        <w:t xml:space="preserve">The </w:t>
      </w:r>
      <w:r w:rsidRPr="00633522">
        <w:t xml:space="preserve">sponsor </w:t>
      </w:r>
      <w:r w:rsidRPr="00C14EE7">
        <w:t>has provided an estimate</w:t>
      </w:r>
      <w:r w:rsidRPr="00633522">
        <w:t xml:space="preserve"> of around 60% of patients who receive ASCT for HL in Australia </w:t>
      </w:r>
      <w:r w:rsidR="00122A54" w:rsidRPr="00C14EE7">
        <w:t>had</w:t>
      </w:r>
      <w:r w:rsidRPr="00C14EE7">
        <w:t xml:space="preserve"> one or more risk factor(</w:t>
      </w:r>
      <w:r w:rsidRPr="008239F9">
        <w:t xml:space="preserve">s) for relapse following ASCT. This estimate is </w:t>
      </w:r>
      <w:r w:rsidRPr="008239F9">
        <w:lastRenderedPageBreak/>
        <w:t xml:space="preserve">based on advice from clinicians on an Australian Advisory Board for Adcetris who estimated that 50% to 70% of patients </w:t>
      </w:r>
      <w:r w:rsidR="00122A54">
        <w:t>had</w:t>
      </w:r>
      <w:r w:rsidRPr="008239F9">
        <w:t xml:space="preserve"> risk factors for progression post-ASCT. The sponsor took the mid-point of this estimate for the calculation. </w:t>
      </w:r>
      <w:proofErr w:type="gramStart"/>
      <w:r w:rsidRPr="008239F9">
        <w:t>Using the annual number of patients receiving ASCT and the estimate of 60% of these having ≥ 1 risk factor for relapse</w:t>
      </w:r>
      <w:r w:rsidR="00122A54">
        <w:t>.</w:t>
      </w:r>
      <w:proofErr w:type="gramEnd"/>
      <w:r w:rsidRPr="008239F9">
        <w:t xml:space="preserve"> </w:t>
      </w:r>
      <w:r w:rsidR="00122A54">
        <w:t>The</w:t>
      </w:r>
      <w:r w:rsidR="00122A54" w:rsidRPr="008239F9">
        <w:t xml:space="preserve"> </w:t>
      </w:r>
      <w:r w:rsidRPr="008239F9">
        <w:t>sponsor has estimated that approximately 33 patients per year who would be suitable for treatment with brentuximab vedotin under the proposed indication in Australia.</w:t>
      </w:r>
    </w:p>
    <w:p w14:paraId="098C894C" w14:textId="77777777" w:rsidR="00437A54" w:rsidRPr="008239F9" w:rsidRDefault="00437A54" w:rsidP="008239F9">
      <w:pPr>
        <w:pStyle w:val="Heading5"/>
      </w:pPr>
      <w:r w:rsidRPr="008239F9">
        <w:t>Rescue or consolidative (adjuvant) therapy</w:t>
      </w:r>
    </w:p>
    <w:p w14:paraId="6F7BEF57" w14:textId="52049AEB" w:rsidR="008239F9" w:rsidRPr="008239F9" w:rsidRDefault="008239F9" w:rsidP="008239F9">
      <w:r w:rsidRPr="008239F9">
        <w:t xml:space="preserve">The </w:t>
      </w:r>
      <w:r w:rsidR="00F1550F">
        <w:t xml:space="preserve">sponsor’s </w:t>
      </w:r>
      <w:r w:rsidRPr="008239F9">
        <w:t>Clinical Overview</w:t>
      </w:r>
      <w:r w:rsidR="00633522">
        <w:t xml:space="preserve"> makes only brief reference </w:t>
      </w:r>
      <w:proofErr w:type="gramStart"/>
      <w:r w:rsidR="00633522">
        <w:t xml:space="preserve">to </w:t>
      </w:r>
      <w:r w:rsidRPr="008239F9">
        <w:t xml:space="preserve"> the</w:t>
      </w:r>
      <w:proofErr w:type="gramEnd"/>
      <w:r w:rsidRPr="008239F9">
        <w:t xml:space="preserve"> impact of the product</w:t>
      </w:r>
      <w:r w:rsidR="00105115" w:rsidRPr="008239F9">
        <w:t>, as currently approved</w:t>
      </w:r>
      <w:r w:rsidR="00105115">
        <w:t>,</w:t>
      </w:r>
      <w:r w:rsidRPr="008239F9">
        <w:t xml:space="preserve"> when used as rescue therapy in patients who relapse after ASCT. It comments that the response achieved when used as rescue therapy is not ‘</w:t>
      </w:r>
      <w:r w:rsidRPr="008239F9">
        <w:rPr>
          <w:i/>
        </w:rPr>
        <w:t>curative</w:t>
      </w:r>
      <w:r w:rsidRPr="008239F9">
        <w:t>’</w:t>
      </w:r>
      <w:r w:rsidR="00105115">
        <w:t xml:space="preserve"> and</w:t>
      </w:r>
      <w:r w:rsidRPr="008239F9">
        <w:t xml:space="preserve"> describes long-lasting complete remission in ‘</w:t>
      </w:r>
      <w:r w:rsidRPr="008239F9">
        <w:rPr>
          <w:i/>
        </w:rPr>
        <w:t>a small number</w:t>
      </w:r>
      <w:r w:rsidRPr="008239F9">
        <w:t xml:space="preserve">’ of patients. </w:t>
      </w:r>
      <w:r w:rsidR="00462D84">
        <w:t xml:space="preserve"> It notes that references are available to indicate that </w:t>
      </w:r>
      <w:r w:rsidRPr="008239F9">
        <w:t xml:space="preserve">brentuximab vedotin has been described </w:t>
      </w:r>
      <w:r w:rsidR="00462D84">
        <w:t>“</w:t>
      </w:r>
      <w:r w:rsidRPr="008239F9">
        <w:t>as a game changer</w:t>
      </w:r>
      <w:r w:rsidR="00462D84">
        <w:t>”</w:t>
      </w:r>
      <w:r w:rsidRPr="008239F9">
        <w:t xml:space="preserve"> in patients with refractory or relapsed HL following ASCT and sALCL: ‘</w:t>
      </w:r>
      <w:r w:rsidRPr="008239F9">
        <w:rPr>
          <w:i/>
        </w:rPr>
        <w:t>Before the advent of brentuximab vedotin, both conditions had few therapeutic options, all of limited efficacy, and their prognosis was overall dismal’.</w:t>
      </w:r>
      <w:r w:rsidRPr="008239F9">
        <w:rPr>
          <w:i/>
          <w:vertAlign w:val="superscript"/>
        </w:rPr>
        <w:footnoteReference w:id="2"/>
      </w:r>
    </w:p>
    <w:p w14:paraId="0099C86E" w14:textId="5960FC77" w:rsidR="008239F9" w:rsidRPr="008239F9" w:rsidRDefault="008239F9" w:rsidP="008239F9">
      <w:r w:rsidRPr="008239F9">
        <w:t xml:space="preserve">Brentuximab vedotin was approved for the indication of the treatment of relapsed or refractory </w:t>
      </w:r>
      <w:r w:rsidR="004A169C">
        <w:t>HL</w:t>
      </w:r>
      <w:r w:rsidRPr="008239F9">
        <w:t xml:space="preserve"> in the USA in August 2011, in the EU in October 2012 and in Australia in December 2013. Despite this, the </w:t>
      </w:r>
      <w:r w:rsidR="00E80813">
        <w:t xml:space="preserve">sponsor’s </w:t>
      </w:r>
      <w:r w:rsidRPr="008239F9">
        <w:t xml:space="preserve">Clinical Overview does not provide a discussion of the use of brentuximab vedotin as rescue therapy (the currently approved indication) compared to use as consolidative therapy (the proposed extension to indication). </w:t>
      </w:r>
      <w:r w:rsidR="00807932">
        <w:t>No reference</w:t>
      </w:r>
      <w:r w:rsidR="00CF544D">
        <w:t>,</w:t>
      </w:r>
      <w:r w:rsidR="00CF544D" w:rsidRPr="00CF544D">
        <w:t xml:space="preserve"> </w:t>
      </w:r>
      <w:r w:rsidR="00CF544D" w:rsidRPr="008239F9">
        <w:t>in this evaluation</w:t>
      </w:r>
      <w:r w:rsidR="00CF544D">
        <w:t>,</w:t>
      </w:r>
      <w:r w:rsidR="00807932">
        <w:t xml:space="preserve"> was made to the</w:t>
      </w:r>
      <w:r w:rsidRPr="008239F9">
        <w:t xml:space="preserve"> </w:t>
      </w:r>
      <w:r w:rsidR="00E80813">
        <w:t xml:space="preserve">results of the </w:t>
      </w:r>
      <w:r w:rsidR="00807932">
        <w:t>3-year</w:t>
      </w:r>
      <w:r w:rsidRPr="008239F9">
        <w:t xml:space="preserve"> follow-up of the Phase II study </w:t>
      </w:r>
      <w:r w:rsidR="00807932">
        <w:t xml:space="preserve">that </w:t>
      </w:r>
      <w:r w:rsidRPr="008239F9">
        <w:t xml:space="preserve">were first </w:t>
      </w:r>
      <w:r w:rsidR="00CF544D">
        <w:t xml:space="preserve">made </w:t>
      </w:r>
      <w:r w:rsidRPr="008239F9">
        <w:t>publicly available in June 2013. These results can assist in the determination of any advantage in the use of brentuximab vedotin as adjuvant therapy compared to its currently approved use as ‘rescue therapy’.</w:t>
      </w:r>
    </w:p>
    <w:p w14:paraId="26AAE620" w14:textId="5FA406D5" w:rsidR="008239F9" w:rsidRPr="008239F9" w:rsidRDefault="008239F9" w:rsidP="008239F9">
      <w:r w:rsidRPr="008239F9">
        <w:t>The sponsor has provided a discussion that addresses this question in respo</w:t>
      </w:r>
      <w:r w:rsidR="002F567E">
        <w:t xml:space="preserve">nse to a clinical question (see Attachment 2: </w:t>
      </w:r>
      <w:r w:rsidRPr="008239F9">
        <w:t xml:space="preserve">Section 12, Question 4 ‘Consolidation versus rescue therapy’ along with the sponsor’s response). In this response, the sponsor argues that the use of </w:t>
      </w:r>
      <w:r w:rsidR="004A169C" w:rsidRPr="008239F9">
        <w:t>brentuximab</w:t>
      </w:r>
      <w:r w:rsidRPr="008239F9">
        <w:t xml:space="preserve"> vedotin as consolidative therapy following ASCT in all patients at increased risk of relapse will result in fewer patients </w:t>
      </w:r>
      <w:r w:rsidR="00CF544D">
        <w:t>having to experience the potential</w:t>
      </w:r>
      <w:r w:rsidRPr="008239F9">
        <w:t xml:space="preserve"> trauma of HL recurrence and the poor prognosis consequent to this. The sponsor presents data that, according to PFS by investigator, approximately 55% of placebo patients in the pivotal </w:t>
      </w:r>
      <w:r w:rsidR="00435A67">
        <w:t xml:space="preserve">study </w:t>
      </w:r>
      <w:r w:rsidRPr="008239F9">
        <w:t>who were at increased risk of relapse were not cured by ASCT alone, as opposed to approximately 35% of patients receiving consolidation treatment with brentuximab vedotin. From this the sponsor concludes that consolidation therapy with brentuximab vedotin offers sustained progression-free survival and the potential for cure to approximately 20% more patients.</w:t>
      </w:r>
    </w:p>
    <w:p w14:paraId="054B1C04" w14:textId="72AE218C" w:rsidR="008239F9" w:rsidRPr="008239F9" w:rsidRDefault="008239F9" w:rsidP="008239F9">
      <w:r w:rsidRPr="008239F9">
        <w:t xml:space="preserve">The </w:t>
      </w:r>
      <w:r w:rsidR="00700EC0">
        <w:t xml:space="preserve">clinical </w:t>
      </w:r>
      <w:r w:rsidRPr="008239F9">
        <w:t>evaluator has two main concerns with this contention. Firstly, given the relatively brief duration of follow-up (median observation time of 30 months), it is not clear to the evaluator that the term ‘cure’ can be used. Longer follow-up is needed to determine if brentuximab vedotin as consolidative therapy following ASCT has resulted in cure or merely in a delay in relapse. Secondly, it is important to remember that historical data shows that around 50% of patients receiving ASCT for relapsed HL are effectively cured and that 45% of patients in the placebo arm of the pivotal study experienced sustained progression free survival from ASCT alone. If brentuximab vedotin is used as proposed, these patients would be exposed to the risks of brentuximab vedotin therapy without experiencing any benefit. The risks of brentuxim</w:t>
      </w:r>
      <w:r w:rsidR="00700EC0">
        <w:t>a</w:t>
      </w:r>
      <w:r w:rsidRPr="008239F9">
        <w:t>b vedotin therapy are considerable, and include a number of reactions that have been associated with fatal outcome.</w:t>
      </w:r>
    </w:p>
    <w:p w14:paraId="34DB6766" w14:textId="7E04DFA6" w:rsidR="008239F9" w:rsidRPr="008239F9" w:rsidRDefault="008239F9" w:rsidP="008239F9">
      <w:r w:rsidRPr="008239F9">
        <w:lastRenderedPageBreak/>
        <w:t>To avoid exposing patients who would otherwise be cured by ASCT alone to these risks, it is necessary to identify the patients who will most benefit from consolidative therapy. If this cannot be done, and if the proposed usage is approved, it must be ensured that the risks are made explicit in the information provided to prescribers and consumers to enable informed prescribing and consent.</w:t>
      </w:r>
    </w:p>
    <w:p w14:paraId="65FC4800" w14:textId="77777777" w:rsidR="00605AD4" w:rsidRDefault="00605AD4" w:rsidP="00605AD4">
      <w:pPr>
        <w:pStyle w:val="Heading4"/>
      </w:pPr>
      <w:r w:rsidRPr="00605AD4">
        <w:t>Paediatric data</w:t>
      </w:r>
    </w:p>
    <w:p w14:paraId="47212129" w14:textId="2E4042B2" w:rsidR="00F93740" w:rsidRPr="00F93740" w:rsidRDefault="00F93740" w:rsidP="00F93740">
      <w:pPr>
        <w:rPr>
          <w:lang w:eastAsia="ja-JP"/>
        </w:rPr>
      </w:pPr>
      <w:r w:rsidRPr="00F014D0">
        <w:rPr>
          <w:lang w:eastAsia="ja-JP"/>
        </w:rPr>
        <w:t>The submission did not include paediatric data.</w:t>
      </w:r>
    </w:p>
    <w:p w14:paraId="1A631ADE" w14:textId="77777777" w:rsidR="00605AD4" w:rsidRDefault="00605AD4" w:rsidP="00605AD4">
      <w:pPr>
        <w:pStyle w:val="Heading4"/>
      </w:pPr>
      <w:r w:rsidRPr="00605AD4">
        <w:t>Good clinical practice</w:t>
      </w:r>
    </w:p>
    <w:p w14:paraId="0D4A4D76" w14:textId="77777777" w:rsidR="00F93740" w:rsidRPr="00221773" w:rsidRDefault="00F93740" w:rsidP="00F93740">
      <w:pPr>
        <w:pStyle w:val="Heading5"/>
      </w:pPr>
      <w:r w:rsidRPr="00221773">
        <w:t>Study SGN35-005</w:t>
      </w:r>
    </w:p>
    <w:p w14:paraId="768A7112" w14:textId="2A3B9DAD" w:rsidR="00F93740" w:rsidRPr="001D5323" w:rsidRDefault="00F93740" w:rsidP="001D5323">
      <w:pPr>
        <w:rPr>
          <w:lang w:val="en"/>
        </w:rPr>
      </w:pPr>
      <w:r w:rsidRPr="00221773">
        <w:t xml:space="preserve">The </w:t>
      </w:r>
      <w:r w:rsidR="00952D4A">
        <w:t xml:space="preserve">sponsor’s </w:t>
      </w:r>
      <w:r w:rsidRPr="00221773">
        <w:t xml:space="preserve">Clinical Overview states that the study was conducted in accordance with Directive 2001/20/EC and </w:t>
      </w:r>
      <w:r>
        <w:t xml:space="preserve">International Conference on Harmonisation (ICH) </w:t>
      </w:r>
      <w:r w:rsidRPr="00221773">
        <w:t xml:space="preserve">Good Clinical Practice (GCP) regulations and </w:t>
      </w:r>
      <w:r w:rsidR="001D5323">
        <w:t xml:space="preserve">FDA </w:t>
      </w:r>
      <w:r w:rsidRPr="00221773">
        <w:t>guidelines (</w:t>
      </w:r>
      <w:r w:rsidR="001D5323" w:rsidRPr="001D5323">
        <w:rPr>
          <w:lang w:val="en"/>
        </w:rPr>
        <w:t>Title 21 of the Code of Federal Regulations</w:t>
      </w:r>
      <w:r w:rsidR="001D5323">
        <w:rPr>
          <w:lang w:val="en"/>
        </w:rPr>
        <w:t xml:space="preserve"> (CFR)</w:t>
      </w:r>
      <w:r w:rsidR="001D5323" w:rsidRPr="001D5323">
        <w:t xml:space="preserve"> </w:t>
      </w:r>
      <w:r w:rsidRPr="00221773">
        <w:t>Parts 11, 50, 54, 56, 312; ICH E6).</w:t>
      </w:r>
      <w:r w:rsidR="00FE221F">
        <w:rPr>
          <w:rStyle w:val="FootnoteReference"/>
        </w:rPr>
        <w:footnoteReference w:id="3"/>
      </w:r>
      <w:r w:rsidR="001D5323">
        <w:rPr>
          <w:vertAlign w:val="superscript"/>
        </w:rPr>
        <w:t>,</w:t>
      </w:r>
      <w:r w:rsidR="001D5323">
        <w:rPr>
          <w:rStyle w:val="FootnoteReference"/>
        </w:rPr>
        <w:footnoteReference w:id="4"/>
      </w:r>
      <w:r w:rsidR="008235DC">
        <w:rPr>
          <w:vertAlign w:val="superscript"/>
        </w:rPr>
        <w:t>,</w:t>
      </w:r>
      <w:r w:rsidR="008235DC">
        <w:rPr>
          <w:rStyle w:val="FootnoteReference"/>
        </w:rPr>
        <w:footnoteReference w:id="5"/>
      </w:r>
      <w:r w:rsidRPr="00221773">
        <w:t xml:space="preserve"> A sample consent form, Clinical Study Report Approval form and Audit certificate (routine audits of 8 study sites and 4 service providers) were provided with the CSR.</w:t>
      </w:r>
    </w:p>
    <w:p w14:paraId="3820AB23" w14:textId="77777777" w:rsidR="00F93740" w:rsidRPr="00221773" w:rsidRDefault="00F93740" w:rsidP="00F93740">
      <w:pPr>
        <w:pStyle w:val="Heading5"/>
      </w:pPr>
      <w:r w:rsidRPr="00221773">
        <w:t>Study SGN35-008b</w:t>
      </w:r>
    </w:p>
    <w:p w14:paraId="07DB90AF" w14:textId="6B3D428C" w:rsidR="00F93740" w:rsidRPr="00F93740" w:rsidRDefault="00F93740" w:rsidP="00F93740">
      <w:r w:rsidRPr="00221773">
        <w:t>The CSR states that the study was conducted in accordance with principles enu</w:t>
      </w:r>
      <w:r>
        <w:t>nciated in the declaration, the ICH GCP</w:t>
      </w:r>
      <w:r w:rsidRPr="00221773">
        <w:t xml:space="preserve">, and applicable </w:t>
      </w:r>
      <w:r>
        <w:t>FDA</w:t>
      </w:r>
      <w:r w:rsidRPr="00221773">
        <w:t xml:space="preserve"> regulations/guidelines.</w:t>
      </w:r>
    </w:p>
    <w:p w14:paraId="1833E12B" w14:textId="50E41B36" w:rsidR="00EC463D" w:rsidRPr="00EC463D" w:rsidRDefault="008E7846" w:rsidP="005D49BA">
      <w:pPr>
        <w:pStyle w:val="Heading3"/>
      </w:pPr>
      <w:bookmarkStart w:id="44" w:name="_Toc495400778"/>
      <w:r w:rsidRPr="00254787">
        <w:t>Pharmacokinetics</w:t>
      </w:r>
      <w:bookmarkEnd w:id="34"/>
      <w:bookmarkEnd w:id="41"/>
      <w:bookmarkEnd w:id="42"/>
      <w:bookmarkEnd w:id="43"/>
      <w:bookmarkEnd w:id="44"/>
    </w:p>
    <w:p w14:paraId="1951E087" w14:textId="1F87C328" w:rsidR="00605AD4" w:rsidRDefault="00605AD4" w:rsidP="00605AD4">
      <w:pPr>
        <w:pStyle w:val="Heading4"/>
      </w:pPr>
      <w:r>
        <w:t>Studies providing pharmacokineti</w:t>
      </w:r>
      <w:r w:rsidR="005D49BA">
        <w:t>c data</w:t>
      </w:r>
    </w:p>
    <w:p w14:paraId="1AE43D49" w14:textId="3C7CBD43" w:rsidR="00435A67" w:rsidRDefault="00435A67" w:rsidP="00435A67">
      <w:r w:rsidRPr="005D49BA">
        <w:t xml:space="preserve">No new pharmacokinetic or pharmacodynamics </w:t>
      </w:r>
      <w:r>
        <w:t>information was submitted with this application</w:t>
      </w:r>
      <w:r w:rsidRPr="005D49BA">
        <w:t xml:space="preserve"> except for a description of the incidence of anti-therapeutic antibodies (ATA) in Study SGN35-005 (AET</w:t>
      </w:r>
      <w:r>
        <w:t>HERA study) as described below and Study SGN35-008b describing pharmacokinetics in hepatic or renal impairment.</w:t>
      </w:r>
    </w:p>
    <w:p w14:paraId="36E80707" w14:textId="6C370B56" w:rsidR="005D49BA" w:rsidRPr="005D49BA" w:rsidRDefault="005D49BA" w:rsidP="005D49BA">
      <w:r w:rsidRPr="005D49BA">
        <w:t>The pharmacokinetics</w:t>
      </w:r>
      <w:r w:rsidR="001B30A8">
        <w:t xml:space="preserve"> </w:t>
      </w:r>
      <w:r w:rsidRPr="005D49BA">
        <w:t>and pharmacodynamics</w:t>
      </w:r>
      <w:r w:rsidR="001B30A8">
        <w:t xml:space="preserve"> </w:t>
      </w:r>
      <w:r w:rsidRPr="005D49BA">
        <w:t xml:space="preserve">of brentuximab vedotin were presented </w:t>
      </w:r>
      <w:r w:rsidR="00435A67">
        <w:t xml:space="preserve">to the TGA </w:t>
      </w:r>
      <w:r w:rsidRPr="005D49BA">
        <w:t xml:space="preserve">in </w:t>
      </w:r>
      <w:r w:rsidR="00952D4A">
        <w:t>a previous</w:t>
      </w:r>
      <w:r w:rsidRPr="005D49BA">
        <w:t xml:space="preserve"> submission of brentuximab vedotin as a new clinical entity for the currently approved indications. This included: 2 Phase I dose escalation studies, one study to assess the effect of brentuximab on cardiac repolarisation and one study to investigate drug-drug interactions between brentuximab vedotin and substrates of CYP3A4 or modulators of CYP activity. Some limited pharmacology information was also provided by 2 Phase II studies.</w:t>
      </w:r>
    </w:p>
    <w:p w14:paraId="7E625D86" w14:textId="677977BA" w:rsidR="005D49BA" w:rsidRPr="005D49BA" w:rsidRDefault="005D49BA" w:rsidP="005D49BA">
      <w:r w:rsidRPr="005D49BA">
        <w:t xml:space="preserve">A detailed evaluation of the pharmacokinetic and pharmacodynamic information provided </w:t>
      </w:r>
      <w:r w:rsidR="00435A67">
        <w:t xml:space="preserve">previously </w:t>
      </w:r>
      <w:r w:rsidRPr="005D49BA">
        <w:t>can be found in Section VI: Overall conclusion and risk/benefit assessment of the Australian Public Assessment Report (AusPAR) for Brentuximab vedotin (Adcetris).</w:t>
      </w:r>
      <w:r w:rsidRPr="005D49BA">
        <w:rPr>
          <w:vertAlign w:val="superscript"/>
        </w:rPr>
        <w:footnoteReference w:id="6"/>
      </w:r>
      <w:r w:rsidRPr="005D49BA">
        <w:t xml:space="preserve"> </w:t>
      </w:r>
      <w:r w:rsidRPr="005D49BA">
        <w:lastRenderedPageBreak/>
        <w:t xml:space="preserve">Descriptions of the pharmacology of brentuximab vedotin can also be found in the </w:t>
      </w:r>
      <w:r w:rsidR="000D7464">
        <w:t>European Public Assessment Report</w:t>
      </w:r>
      <w:r w:rsidR="000D7464" w:rsidRPr="005D49BA">
        <w:t xml:space="preserve"> </w:t>
      </w:r>
      <w:r w:rsidR="000D7464">
        <w:t>(</w:t>
      </w:r>
      <w:r w:rsidRPr="005D49BA">
        <w:t>EPAR</w:t>
      </w:r>
      <w:r w:rsidR="000D7464">
        <w:t>)</w:t>
      </w:r>
      <w:r w:rsidRPr="005D49BA">
        <w:t xml:space="preserve"> for the initial approval of brentuximab vedotin</w:t>
      </w:r>
      <w:r w:rsidR="000D7464">
        <w:t xml:space="preserve"> in the European Union (EU)</w:t>
      </w:r>
      <w:r w:rsidRPr="005D49BA">
        <w:t>.</w:t>
      </w:r>
      <w:r w:rsidRPr="005D49BA">
        <w:rPr>
          <w:vertAlign w:val="superscript"/>
        </w:rPr>
        <w:footnoteReference w:id="7"/>
      </w:r>
    </w:p>
    <w:p w14:paraId="751F4D78" w14:textId="6F45E042" w:rsidR="00605AD4" w:rsidRDefault="00605AD4" w:rsidP="001B30A8">
      <w:pPr>
        <w:pStyle w:val="Heading4"/>
      </w:pPr>
      <w:r>
        <w:t>Evaluator’s conclusions on pharmacokinetics</w:t>
      </w:r>
    </w:p>
    <w:p w14:paraId="59709232" w14:textId="18757A4D" w:rsidR="005D49BA" w:rsidRPr="00F014D0" w:rsidRDefault="005D49BA" w:rsidP="005D49BA">
      <w:r w:rsidRPr="00F014D0">
        <w:t xml:space="preserve">The summary of pharmacokinetics provided above is largely based on the information provided in the </w:t>
      </w:r>
      <w:r w:rsidR="00C14EE7">
        <w:t xml:space="preserve">previous </w:t>
      </w:r>
      <w:r w:rsidRPr="00F014D0">
        <w:t xml:space="preserve">AusPAR and EPAR </w:t>
      </w:r>
      <w:r w:rsidR="00C14EE7">
        <w:t xml:space="preserve">for </w:t>
      </w:r>
      <w:r w:rsidR="00C14EE7" w:rsidRPr="00C14EE7">
        <w:t xml:space="preserve">brentuximab vedotin </w:t>
      </w:r>
      <w:r w:rsidRPr="00F014D0">
        <w:t>to provide background for subsequent sections in this report</w:t>
      </w:r>
      <w:r>
        <w:t>.</w:t>
      </w:r>
      <w:bookmarkStart w:id="45" w:name="_Ref484465566"/>
      <w:r w:rsidR="000A401C">
        <w:rPr>
          <w:rStyle w:val="FootnoteReference"/>
        </w:rPr>
        <w:footnoteReference w:id="8"/>
      </w:r>
      <w:bookmarkEnd w:id="45"/>
      <w:r w:rsidRPr="00F014D0">
        <w:t xml:space="preserve"> The only new pharmacokinetic data submitted with was the incidence of </w:t>
      </w:r>
      <w:r w:rsidR="001B30A8">
        <w:t>ATA</w:t>
      </w:r>
      <w:r w:rsidRPr="00F014D0">
        <w:t xml:space="preserve"> in Study SGN35-005, the pivotal efficacy and safety study provided for the proposed indication. Study SGN35-008b was provided by the sponsor upon request during the </w:t>
      </w:r>
      <w:r w:rsidR="007168EB">
        <w:t>second round</w:t>
      </w:r>
      <w:r w:rsidRPr="00F014D0">
        <w:t xml:space="preserve"> evaluation.</w:t>
      </w:r>
    </w:p>
    <w:p w14:paraId="4EA562D4" w14:textId="5A9E456E" w:rsidR="005D49BA" w:rsidRPr="00F014D0" w:rsidRDefault="005D49BA" w:rsidP="005D49BA">
      <w:r w:rsidRPr="00F014D0">
        <w:t>Study SGN35-008b was an ope</w:t>
      </w:r>
      <w:r w:rsidR="008D1F9F">
        <w:t>n label, non-</w:t>
      </w:r>
      <w:r>
        <w:t>randomised, Phase I</w:t>
      </w:r>
      <w:r w:rsidRPr="00F014D0">
        <w:t xml:space="preserve"> study that investigated the PK and adverse event profile of brentuximab vedotin in p</w:t>
      </w:r>
      <w:r>
        <w:t>a</w:t>
      </w:r>
      <w:r w:rsidRPr="00F014D0">
        <w:t>tients with hepatic or renal impairment, with comparison made to patients with normal renal and hepatic function. This study was limited by small numbers enrolled, even smaller numbers with all PK sampling performed, exclusion of patients requiring dialysis, lack of investigation of the effect of repeated dosing and use of a control arm that was receiving ketocona</w:t>
      </w:r>
      <w:r w:rsidR="008D1F9F">
        <w:t>zole during the last 3 days of C</w:t>
      </w:r>
      <w:r w:rsidRPr="00F014D0">
        <w:t xml:space="preserve">ycle 1. However, within these limitations, it appears that both renal and hepatic impairment increases MMAE exposure in a way that is clinically meaningful, and that hepatic impairment has a more marked effect. This is consistent with the postulated routes of excretion, with biliary excretion and loss in the faeces being the main route, and the excretion study in SGN35-008a which found that two thirds of excreted MMAE was lost in the faeces and one third in the urine. Consistent with toxicities that are dose dependent according to exposure to MMAE, administration of brentuximab vedotin to patients with impaired hepatic or renal function in Study SGN35-008b was also found to be associated with a worse adverse event profile. After review of this study, the evaluator is of the opinion that more cautious recommendations regarding the use in </w:t>
      </w:r>
      <w:r w:rsidR="007E3065">
        <w:t xml:space="preserve">patients with </w:t>
      </w:r>
      <w:r w:rsidRPr="00F014D0">
        <w:t>hepatic or renal impairment are appropriate.</w:t>
      </w:r>
    </w:p>
    <w:p w14:paraId="39CD309D" w14:textId="232586D6" w:rsidR="005D49BA" w:rsidRPr="00F014D0" w:rsidRDefault="005D49BA" w:rsidP="005D49BA">
      <w:r w:rsidRPr="00F014D0">
        <w:t>The ‘Incidence of ATA’ component of Study SGN35-005</w:t>
      </w:r>
      <w:r>
        <w:t xml:space="preserve"> </w:t>
      </w:r>
      <w:r w:rsidR="00435A67">
        <w:t xml:space="preserve">was </w:t>
      </w:r>
      <w:r w:rsidRPr="00F014D0">
        <w:t xml:space="preserve">summarised </w:t>
      </w:r>
      <w:r w:rsidR="00435A67">
        <w:t>(see Attachment 2)</w:t>
      </w:r>
      <w:r w:rsidRPr="00F014D0">
        <w:t xml:space="preserve">. Inconsistent results in this study raised concerns that were the subject of a number of clinical questions to the sponsor. These concerns and the sponsor’s responses to the questions posed are described above and in </w:t>
      </w:r>
      <w:r>
        <w:t>a c</w:t>
      </w:r>
      <w:r w:rsidRPr="00F014D0">
        <w:t xml:space="preserve">linical </w:t>
      </w:r>
      <w:r>
        <w:t>q</w:t>
      </w:r>
      <w:r w:rsidRPr="00F014D0">
        <w:t xml:space="preserve">uestion </w:t>
      </w:r>
      <w:r>
        <w:t xml:space="preserve">(see </w:t>
      </w:r>
      <w:r w:rsidR="008D1F9F">
        <w:t xml:space="preserve">Attachment 2: </w:t>
      </w:r>
      <w:r>
        <w:t xml:space="preserve">Section 12, Question </w:t>
      </w:r>
      <w:r w:rsidR="008D1F9F">
        <w:t>5</w:t>
      </w:r>
      <w:r>
        <w:t>) along</w:t>
      </w:r>
      <w:r w:rsidRPr="00F014D0">
        <w:rPr>
          <w:b/>
        </w:rPr>
        <w:t xml:space="preserve"> </w:t>
      </w:r>
      <w:r w:rsidRPr="00F014D0">
        <w:t xml:space="preserve">with the sponsor’s response. The following discussion regarding the incidence of ATA and </w:t>
      </w:r>
      <w:r w:rsidR="00CA1E5C">
        <w:t xml:space="preserve">the </w:t>
      </w:r>
      <w:r w:rsidRPr="00F014D0">
        <w:t xml:space="preserve">implications regarding the state of knowledge of immunogenicity of brentuximab vedotin is based on information provided by the sponsor in response to clinical questions and was not part of the </w:t>
      </w:r>
      <w:r w:rsidR="007168EB">
        <w:t>first r</w:t>
      </w:r>
      <w:r w:rsidRPr="00F014D0">
        <w:t>ound</w:t>
      </w:r>
      <w:r w:rsidR="007168EB">
        <w:t xml:space="preserve"> </w:t>
      </w:r>
      <w:r w:rsidRPr="00F014D0">
        <w:t>CER.</w:t>
      </w:r>
    </w:p>
    <w:p w14:paraId="0FCEC976" w14:textId="714EA815" w:rsidR="005D49BA" w:rsidRPr="00F014D0" w:rsidRDefault="005D49BA" w:rsidP="005D49BA">
      <w:r w:rsidRPr="00F014D0">
        <w:t>Of note is that in the response to one of the clinical questions, the sponsor stated: ‘</w:t>
      </w:r>
      <w:r w:rsidRPr="00F014D0">
        <w:rPr>
          <w:i/>
        </w:rPr>
        <w:t>Study SGN35-005 used an anti-therapeutic antibody (ATA) assay that has since been redeveloped. The former assay in use for this trial is extremely sensitive (see specifica</w:t>
      </w:r>
      <w:r w:rsidR="008D1F9F">
        <w:rPr>
          <w:i/>
        </w:rPr>
        <w:t>tions in sponsor’s response to clinical q</w:t>
      </w:r>
      <w:r w:rsidRPr="00F014D0">
        <w:rPr>
          <w:i/>
        </w:rPr>
        <w:t>uestion 5 [Part b]) and thus likely returns a high rate of background positivity, regard</w:t>
      </w:r>
      <w:r>
        <w:rPr>
          <w:i/>
        </w:rPr>
        <w:t>less of randomis</w:t>
      </w:r>
      <w:r w:rsidRPr="00F014D0">
        <w:rPr>
          <w:i/>
        </w:rPr>
        <w:t>ation therapy</w:t>
      </w:r>
      <w:r w:rsidRPr="00F014D0">
        <w:t>.’ The ‘extreme sensitivity’ of the assay is demonstrated by the false positive rate of 22% observed in Study SGN35-005. Narratives of infusion related reactions were provided in response to another clinical question. On review of these narratives, no discernible relationship between ATA status or titres and infusion related reactions could be identified. The evaluator is of the opinion that, given the unreliability of the assay, all of the ATA results for this study, together with any conclusions drawn from these results, should be disregarded.</w:t>
      </w:r>
    </w:p>
    <w:p w14:paraId="0B135FDB" w14:textId="2A889A15" w:rsidR="005D49BA" w:rsidRPr="00F014D0" w:rsidRDefault="005D49BA" w:rsidP="005D49BA">
      <w:r w:rsidRPr="00F014D0">
        <w:lastRenderedPageBreak/>
        <w:t xml:space="preserve">The study report of the validation study for this assay </w:t>
      </w:r>
      <w:r w:rsidR="000D7464">
        <w:t xml:space="preserve">was </w:t>
      </w:r>
      <w:r w:rsidRPr="00F014D0">
        <w:t xml:space="preserve">provided in the dossier. The final study report is dated 2009, with amendments dated July 2011, December 2011 and June 2013. ATA status has been determined in other studies in the Clinical Trial Programme and the evaluator </w:t>
      </w:r>
      <w:r w:rsidR="000D7464">
        <w:t>could not determine</w:t>
      </w:r>
      <w:r w:rsidRPr="00F014D0">
        <w:t xml:space="preserve"> if the same assay has been used throughout the clinical development programme. Of note is that the false positive rate in Study SGN35-008b was 31%. The current PI contains the following statements:</w:t>
      </w:r>
    </w:p>
    <w:p w14:paraId="0150F994" w14:textId="77777777" w:rsidR="005D49BA" w:rsidRPr="00F014D0" w:rsidRDefault="005D49BA" w:rsidP="008235DC">
      <w:pPr>
        <w:ind w:left="720"/>
        <w:rPr>
          <w:i/>
        </w:rPr>
      </w:pPr>
      <w:r w:rsidRPr="00F014D0">
        <w:rPr>
          <w:i/>
        </w:rPr>
        <w:t>‘Approximately 7% of patients in the Phase II studies and 6% of patients in the Adcetris arm of the Phase III study developed persistently positive anti-therapeutic antibodies. There was a higher incidence of infusion-related reactions observed in patients with persistently positive antibodies to brentuximab vedotin relative to patients who tested transiently positive or negative.’</w:t>
      </w:r>
      <w:r w:rsidRPr="00F014D0">
        <w:t xml:space="preserve"> and </w:t>
      </w:r>
      <w:r w:rsidRPr="00F014D0">
        <w:rPr>
          <w:i/>
        </w:rPr>
        <w:t>‘The presence of antibodies to brentuximab vedotin did not correlate with a clinically meaningful reduction in serum brentuximab vedotin levels and did not result in a decrease in the efficacy of brentuximab vedotin.’</w:t>
      </w:r>
    </w:p>
    <w:p w14:paraId="5039EE1C" w14:textId="58C4004E" w:rsidR="005D49BA" w:rsidRPr="005D49BA" w:rsidRDefault="005D49BA" w:rsidP="005D49BA">
      <w:r w:rsidRPr="00F014D0">
        <w:t xml:space="preserve">If the assay used in these earlier studies is the same assay as that used in Study SGN35-005 (the Phase III study referred to in these statements), </w:t>
      </w:r>
      <w:r w:rsidRPr="00FC3659">
        <w:t xml:space="preserve">then the evaluator is of the opinion that the results with this assay </w:t>
      </w:r>
      <w:r w:rsidR="00CA1E5C">
        <w:t>do not allow</w:t>
      </w:r>
      <w:r w:rsidRPr="00FC3659">
        <w:t xml:space="preserve"> any conclusions to be drawn and these statements should be removed from the PI. The immunogenicity of brentuximab vedotin, the incidence of ATA and possible effects of ATA on safety and efficacy should be regarded as ‘missing information’.</w:t>
      </w:r>
    </w:p>
    <w:p w14:paraId="4CEBD7CC" w14:textId="77777777" w:rsidR="008E7846" w:rsidRDefault="008E7846" w:rsidP="008E7846">
      <w:pPr>
        <w:pStyle w:val="Heading3"/>
      </w:pPr>
      <w:bookmarkStart w:id="46" w:name="_Toc196046481"/>
      <w:bookmarkStart w:id="47" w:name="_Toc247691520"/>
      <w:bookmarkStart w:id="48" w:name="_Toc314842503"/>
      <w:bookmarkStart w:id="49" w:name="_Toc495400779"/>
      <w:r w:rsidRPr="00254787">
        <w:t>Pharmacodynamics</w:t>
      </w:r>
      <w:bookmarkEnd w:id="35"/>
      <w:bookmarkEnd w:id="46"/>
      <w:bookmarkEnd w:id="47"/>
      <w:bookmarkEnd w:id="48"/>
      <w:bookmarkEnd w:id="49"/>
    </w:p>
    <w:p w14:paraId="0EC299D5" w14:textId="77777777" w:rsidR="00605AD4" w:rsidRDefault="00605AD4" w:rsidP="00605AD4">
      <w:pPr>
        <w:pStyle w:val="Heading4"/>
      </w:pPr>
      <w:r>
        <w:t>Studies providing pharmacodynamic data</w:t>
      </w:r>
    </w:p>
    <w:p w14:paraId="45D62F93" w14:textId="1FB82AC5" w:rsidR="000A401C" w:rsidRPr="000A401C" w:rsidRDefault="000A401C" w:rsidP="000A401C">
      <w:pPr>
        <w:rPr>
          <w:lang w:eastAsia="ja-JP"/>
        </w:rPr>
      </w:pPr>
      <w:r w:rsidRPr="00F014D0">
        <w:rPr>
          <w:lang w:eastAsia="ja-JP"/>
        </w:rPr>
        <w:t>No new pharmacodynamics data was included in this submission.</w:t>
      </w:r>
    </w:p>
    <w:p w14:paraId="5A94495C" w14:textId="77777777" w:rsidR="00605AD4" w:rsidRDefault="00605AD4" w:rsidP="00605AD4">
      <w:pPr>
        <w:pStyle w:val="Heading4"/>
      </w:pPr>
      <w:r>
        <w:t>Evaluator’s conclusions on pharmacodynamics</w:t>
      </w:r>
    </w:p>
    <w:p w14:paraId="60714C3B" w14:textId="77777777" w:rsidR="009701A0" w:rsidRDefault="00FC637E" w:rsidP="00FC637E">
      <w:r>
        <w:t>No new pharmacodynamic</w:t>
      </w:r>
      <w:r w:rsidRPr="00FC637E">
        <w:t xml:space="preserve"> data w</w:t>
      </w:r>
      <w:r>
        <w:t>ere</w:t>
      </w:r>
      <w:r w:rsidRPr="00FC637E">
        <w:t xml:space="preserve"> included in this submission. The summary provided </w:t>
      </w:r>
      <w:r>
        <w:t>in Attachment 2</w:t>
      </w:r>
      <w:r w:rsidRPr="00FC637E">
        <w:t xml:space="preserve"> is based on the information provided in the </w:t>
      </w:r>
      <w:r w:rsidR="000D7464">
        <w:t xml:space="preserve">previous </w:t>
      </w:r>
      <w:r w:rsidRPr="00FC637E">
        <w:t>AusPAR</w:t>
      </w:r>
      <w:r w:rsidRPr="00FC637E">
        <w:rPr>
          <w:vertAlign w:val="superscript"/>
        </w:rPr>
        <w:t xml:space="preserve"> </w:t>
      </w:r>
      <w:r w:rsidRPr="00FC637E">
        <w:t>and current</w:t>
      </w:r>
      <w:r w:rsidR="000D7464">
        <w:t>ly approved</w:t>
      </w:r>
      <w:r w:rsidRPr="00FC637E">
        <w:t xml:space="preserve"> PI</w:t>
      </w:r>
      <w:r w:rsidR="009701A0">
        <w:t>.</w:t>
      </w:r>
    </w:p>
    <w:p w14:paraId="0157186E" w14:textId="423E05CC" w:rsidR="00FC637E" w:rsidRPr="00FC637E" w:rsidRDefault="00FC637E" w:rsidP="00FC637E">
      <w:r w:rsidRPr="00FC637E">
        <w:t>Of note is that no studies investigating the postulated mechanism of action have been submitted by the sponsor. Also of note is that pharmacodynamic drug-drug interactions have been identified through other studies investigating combination regimens in the Clinical Development programme. These interactions were not described in the submission, although information regarding some of these interactions is available in the PSURs.</w:t>
      </w:r>
    </w:p>
    <w:p w14:paraId="4EC88666" w14:textId="29366AA0" w:rsidR="00FC637E" w:rsidRPr="00FC637E" w:rsidRDefault="000D7464" w:rsidP="00FC637E">
      <w:r>
        <w:t>The evaluator noted that this</w:t>
      </w:r>
      <w:r w:rsidR="00FC637E" w:rsidRPr="00FC637E">
        <w:t xml:space="preserve"> information is dealt with inconsistently in the proposed PI. Concurrent use of bleomycin is listed as a contra-indication in the proposed PI. No mention is made of other possible pharmacodynamics drug-drug interactions with other chemotherapy agents and the Interactions with Other Medicine section states: ‘</w:t>
      </w:r>
      <w:r w:rsidR="00FC637E" w:rsidRPr="00FC637E">
        <w:rPr>
          <w:i/>
        </w:rPr>
        <w:t xml:space="preserve">There are no drug-drug interactions data available with other chemotherapy regimens.’ </w:t>
      </w:r>
      <w:r w:rsidR="00FC637E" w:rsidRPr="00FC637E">
        <w:t xml:space="preserve">The evaluator notes the </w:t>
      </w:r>
      <w:r w:rsidR="00CA1E5C">
        <w:t>commentary in</w:t>
      </w:r>
      <w:r w:rsidR="00FC637E" w:rsidRPr="00FC637E">
        <w:t xml:space="preserve"> the </w:t>
      </w:r>
      <w:r w:rsidR="00BF2EA9">
        <w:t>Risk Management Plan (</w:t>
      </w:r>
      <w:r w:rsidR="00FC637E" w:rsidRPr="00FC637E">
        <w:t>RMP</w:t>
      </w:r>
      <w:r w:rsidR="00BF2EA9">
        <w:t>)</w:t>
      </w:r>
      <w:r w:rsidR="00FC637E" w:rsidRPr="00FC637E">
        <w:t xml:space="preserve"> for this submission proposed that the PI include the information that brentuximab vedotin </w:t>
      </w:r>
      <w:r w:rsidR="00BF2EA9">
        <w:t>is indicated as monotherapy only. The clinical</w:t>
      </w:r>
      <w:r w:rsidR="00FC637E" w:rsidRPr="00FC637E">
        <w:t xml:space="preserve"> evaluator agrees with the RMP evaluator that it </w:t>
      </w:r>
      <w:r w:rsidR="00FC637E" w:rsidRPr="00EE3F20">
        <w:t>should be explicit in the PI that the safety of brentuximab vedotin in combination chemotherapy regimens has not been established.</w:t>
      </w:r>
    </w:p>
    <w:p w14:paraId="05CF251E" w14:textId="77777777" w:rsidR="008E7846" w:rsidRDefault="00605AD4" w:rsidP="00605AD4">
      <w:pPr>
        <w:pStyle w:val="Heading3"/>
      </w:pPr>
      <w:bookmarkStart w:id="50" w:name="_Toc495400780"/>
      <w:r>
        <w:lastRenderedPageBreak/>
        <w:t>Dosage selection for the pivotal studies</w:t>
      </w:r>
      <w:bookmarkEnd w:id="50"/>
    </w:p>
    <w:p w14:paraId="0082184C" w14:textId="2FC7AF7D" w:rsidR="00BF2EA9" w:rsidRPr="00BF2EA9" w:rsidRDefault="00A83722" w:rsidP="00BF2EA9">
      <w:pPr>
        <w:rPr>
          <w:lang w:eastAsia="ja-JP"/>
        </w:rPr>
      </w:pPr>
      <w:r w:rsidRPr="00F014D0">
        <w:rPr>
          <w:lang w:eastAsia="ja-JP"/>
        </w:rPr>
        <w:t>The dose of 1.8 mg/kg administered every three weeks was based on the Phase I dose escalation studies which found 1.8 mg/kg to be the maximum</w:t>
      </w:r>
      <w:r>
        <w:rPr>
          <w:lang w:eastAsia="ja-JP"/>
        </w:rPr>
        <w:t xml:space="preserve"> tolerated dose and the 3 </w:t>
      </w:r>
      <w:r w:rsidRPr="00F014D0">
        <w:rPr>
          <w:lang w:eastAsia="ja-JP"/>
        </w:rPr>
        <w:t>week interval to provide the best balance between efficacy and cumulative toxicity, in particular</w:t>
      </w:r>
      <w:r>
        <w:rPr>
          <w:lang w:eastAsia="ja-JP"/>
        </w:rPr>
        <w:t>,</w:t>
      </w:r>
      <w:r w:rsidRPr="00F014D0">
        <w:rPr>
          <w:lang w:eastAsia="ja-JP"/>
        </w:rPr>
        <w:t xml:space="preserve"> peripheral neuropathy. </w:t>
      </w:r>
      <w:r w:rsidR="00BF2EA9" w:rsidRPr="00F014D0">
        <w:rPr>
          <w:lang w:eastAsia="ja-JP"/>
        </w:rPr>
        <w:t>The number of cycles is limited to a maximum of 16, also due to cumulative toxicities. This dosing regimen was found to be cli</w:t>
      </w:r>
      <w:r w:rsidR="00BF2EA9">
        <w:rPr>
          <w:lang w:eastAsia="ja-JP"/>
        </w:rPr>
        <w:t>nically effective in the Phase II</w:t>
      </w:r>
      <w:r w:rsidR="00BF2EA9" w:rsidRPr="00F014D0">
        <w:rPr>
          <w:lang w:eastAsia="ja-JP"/>
        </w:rPr>
        <w:t xml:space="preserve"> study in relapsed/refractory HL following ASCT with an acceptable toxicity profile. Use of a placebo control was considered reasonable as there is no currently registered product for the proposed indication extension.</w:t>
      </w:r>
    </w:p>
    <w:p w14:paraId="76CFA971" w14:textId="77777777" w:rsidR="008E7846" w:rsidRPr="00254787" w:rsidRDefault="008E7846" w:rsidP="008E7846">
      <w:pPr>
        <w:pStyle w:val="Heading3"/>
      </w:pPr>
      <w:bookmarkStart w:id="51" w:name="_Toc163441372"/>
      <w:bookmarkStart w:id="52" w:name="_Toc196046485"/>
      <w:bookmarkStart w:id="53" w:name="_Toc247691521"/>
      <w:bookmarkStart w:id="54" w:name="_Toc314842504"/>
      <w:bookmarkStart w:id="55" w:name="_Toc495400781"/>
      <w:r w:rsidRPr="00254787">
        <w:t>Efficacy</w:t>
      </w:r>
      <w:bookmarkEnd w:id="51"/>
      <w:bookmarkEnd w:id="52"/>
      <w:bookmarkEnd w:id="53"/>
      <w:bookmarkEnd w:id="54"/>
      <w:bookmarkEnd w:id="55"/>
    </w:p>
    <w:p w14:paraId="17A44113" w14:textId="77777777" w:rsidR="00605AD4" w:rsidRDefault="00605AD4" w:rsidP="00605AD4">
      <w:pPr>
        <w:pStyle w:val="Heading4"/>
      </w:pPr>
      <w:bookmarkStart w:id="56" w:name="_Toc184439992"/>
      <w:bookmarkStart w:id="57" w:name="_Toc184440279"/>
      <w:bookmarkStart w:id="58" w:name="_Toc184444657"/>
      <w:bookmarkStart w:id="59" w:name="_Toc196046487"/>
      <w:r>
        <w:t>Studies providing efficacy data</w:t>
      </w:r>
    </w:p>
    <w:p w14:paraId="083C56B9" w14:textId="1B543324" w:rsidR="00BF2EA9" w:rsidRPr="00BF2EA9" w:rsidRDefault="00BF2EA9" w:rsidP="00BF2EA9">
      <w:r w:rsidRPr="00BF2EA9">
        <w:t xml:space="preserve">One study, </w:t>
      </w:r>
      <w:bookmarkStart w:id="60" w:name="_Toc449884284"/>
      <w:r w:rsidRPr="00BF2EA9">
        <w:t>Study SGN35-005 (AETHERA)</w:t>
      </w:r>
      <w:bookmarkEnd w:id="60"/>
      <w:r>
        <w:t>, was submitted and considered pivotal for the assessment of efficacy.</w:t>
      </w:r>
    </w:p>
    <w:p w14:paraId="4EC69B13" w14:textId="1C573242" w:rsidR="00BF2EA9" w:rsidRPr="00BF2EA9" w:rsidRDefault="00605AD4" w:rsidP="00BF2EA9">
      <w:pPr>
        <w:pStyle w:val="Heading4"/>
      </w:pPr>
      <w:r>
        <w:t>Evaluator’s conclusions on efficacy</w:t>
      </w:r>
    </w:p>
    <w:p w14:paraId="72972643" w14:textId="0F7EED9E" w:rsidR="00BF2EA9" w:rsidRPr="00BF2EA9" w:rsidRDefault="005E163E" w:rsidP="005E163E">
      <w:r>
        <w:t>Only the s</w:t>
      </w:r>
      <w:r w:rsidR="006B19B6">
        <w:t xml:space="preserve">ummary provided here. Please see Attachment 2 </w:t>
      </w:r>
      <w:r w:rsidR="006B19B6" w:rsidRPr="005E163E">
        <w:rPr>
          <w:i/>
        </w:rPr>
        <w:t xml:space="preserve">Evaluator’s </w:t>
      </w:r>
      <w:r w:rsidRPr="005E163E">
        <w:rPr>
          <w:i/>
        </w:rPr>
        <w:t>conclusion on efficacy</w:t>
      </w:r>
      <w:r>
        <w:t xml:space="preserve"> for more details.</w:t>
      </w:r>
    </w:p>
    <w:p w14:paraId="2BA3D53F" w14:textId="77777777" w:rsidR="00BF2EA9" w:rsidRPr="00BF2EA9" w:rsidRDefault="00BF2EA9" w:rsidP="00BF2EA9">
      <w:pPr>
        <w:tabs>
          <w:tab w:val="num" w:pos="1134"/>
        </w:tabs>
        <w:rPr>
          <w:b/>
          <w:bCs/>
        </w:rPr>
      </w:pPr>
      <w:r w:rsidRPr="00BF2EA9">
        <w:rPr>
          <w:b/>
          <w:bCs/>
        </w:rPr>
        <w:t>Summary</w:t>
      </w:r>
    </w:p>
    <w:p w14:paraId="4738A3EF" w14:textId="77777777" w:rsidR="00BF2EA9" w:rsidRPr="00BF2EA9" w:rsidRDefault="00BF2EA9" w:rsidP="00BF2EA9">
      <w:r w:rsidRPr="00BF2EA9">
        <w:t>Study SGN35-005 found that patients with CD 30+ HL who received brentuximab vedotin as consolidative therapy following ASCT had a substantially and clinically important increase in median PFS by IRF of 19 months in comparison to patients receiving placebo (median PFS of 42.9 months compared to 24.1 months). An improvement of this magnitude would be important to patients. It is concerning, however, that this did not translate into the other patient important outcomes of improved quality of life and improved overall survival.</w:t>
      </w:r>
    </w:p>
    <w:p w14:paraId="62F5DDB1" w14:textId="77777777" w:rsidR="00BF2EA9" w:rsidRPr="00BF2EA9" w:rsidRDefault="00BF2EA9" w:rsidP="00BF2EA9">
      <w:r w:rsidRPr="00BF2EA9">
        <w:t>The results of the AETHERA study also indicate that 45% of patients who received ASCT for relapsed/refractory HL would be cured by ASCT alone, that an additional 20% of patients may be cured by the use of brentuximab vedotin as consolidative therapy and that 35% of patients would progress despite brentuximab vedotin. It is evident from this, and from subgroup analyses, that there are groups within the study population who obtain varying benefits from the use of brentuximab vedotin as consolidative therapy, with one group (patients with only one risk factor for progression) appearing to fare worse.</w:t>
      </w:r>
    </w:p>
    <w:p w14:paraId="3F9E542D" w14:textId="7D44F07E" w:rsidR="00BF2EA9" w:rsidRPr="00BF2EA9" w:rsidRDefault="00BF2EA9" w:rsidP="00BF2EA9">
      <w:r w:rsidRPr="00BF2EA9">
        <w:t xml:space="preserve">The sponsor has estimated that 50 to 70% of patients who receive ASCT for relapsed or refractory </w:t>
      </w:r>
      <w:r w:rsidR="00BD7C2C">
        <w:t>HL</w:t>
      </w:r>
      <w:r w:rsidRPr="00BF2EA9">
        <w:t xml:space="preserve"> would have at least one risk factor for progression post-ASCT and proposes that all of these patients receive brentuximab vedotin as consolidative therapy following ASCT. Given the varying response in the subgroups and the lack of demonstrable improvement in OS and </w:t>
      </w:r>
      <w:r w:rsidR="00BD7C2C">
        <w:t>Quality of Life (</w:t>
      </w:r>
      <w:r w:rsidRPr="00BF2EA9">
        <w:t>QoL</w:t>
      </w:r>
      <w:r w:rsidR="00BD7C2C">
        <w:t>)</w:t>
      </w:r>
      <w:r w:rsidRPr="00BF2EA9">
        <w:t xml:space="preserve"> it is clear that this use of brentuximab vedotin will not benefit all of these patients. There is clearly a subgroup of patients who have been cured by ASCT and who therefore risk only harm from brentuximab vedotin therapy. </w:t>
      </w:r>
      <w:r w:rsidRPr="00EE3F20">
        <w:t>Better characterisation of patients who will develop progressive disease following ASCT, and/or who will be cured by ASCT alone would enable more targeted use of brentuximab vedotin.</w:t>
      </w:r>
    </w:p>
    <w:p w14:paraId="1326ACC6" w14:textId="77777777" w:rsidR="008E7846" w:rsidRPr="002E238E" w:rsidRDefault="008E7846" w:rsidP="008E7846">
      <w:pPr>
        <w:pStyle w:val="Heading3"/>
      </w:pPr>
      <w:bookmarkStart w:id="61" w:name="_Toc163441378"/>
      <w:bookmarkStart w:id="62" w:name="_Toc196046495"/>
      <w:bookmarkStart w:id="63" w:name="_Toc247691522"/>
      <w:bookmarkStart w:id="64" w:name="_Toc314842505"/>
      <w:bookmarkStart w:id="65" w:name="_Toc495400782"/>
      <w:bookmarkEnd w:id="56"/>
      <w:bookmarkEnd w:id="57"/>
      <w:bookmarkEnd w:id="58"/>
      <w:bookmarkEnd w:id="59"/>
      <w:r w:rsidRPr="002E238E">
        <w:lastRenderedPageBreak/>
        <w:t>Safety</w:t>
      </w:r>
      <w:bookmarkEnd w:id="61"/>
      <w:bookmarkEnd w:id="62"/>
      <w:bookmarkEnd w:id="63"/>
      <w:bookmarkEnd w:id="64"/>
      <w:bookmarkEnd w:id="65"/>
    </w:p>
    <w:p w14:paraId="4DBEDEDA" w14:textId="77777777" w:rsidR="00605AD4" w:rsidRDefault="00605AD4" w:rsidP="00605AD4">
      <w:pPr>
        <w:pStyle w:val="Heading4"/>
      </w:pPr>
      <w:bookmarkStart w:id="66" w:name="_Toc247691524"/>
      <w:bookmarkStart w:id="67" w:name="_Toc314842508"/>
      <w:bookmarkStart w:id="68" w:name="_Toc196046504"/>
      <w:bookmarkStart w:id="69" w:name="_Toc163441390"/>
      <w:r w:rsidRPr="00605AD4">
        <w:t>Studies providing safety data</w:t>
      </w:r>
    </w:p>
    <w:p w14:paraId="3E24B508" w14:textId="6ECFE05A" w:rsidR="00C849CD" w:rsidRPr="00C849CD" w:rsidRDefault="00C849CD" w:rsidP="00C849CD">
      <w:bookmarkStart w:id="70" w:name="_Toc272414659"/>
      <w:bookmarkStart w:id="71" w:name="_Toc290846284"/>
      <w:r w:rsidRPr="00C849CD">
        <w:t xml:space="preserve">The existing safety profile of brentuximab vedotin was established in </w:t>
      </w:r>
      <w:r w:rsidR="00691264">
        <w:t>the</w:t>
      </w:r>
      <w:r w:rsidR="00691264" w:rsidRPr="00C849CD">
        <w:t xml:space="preserve"> </w:t>
      </w:r>
      <w:r w:rsidRPr="00C849CD">
        <w:t xml:space="preserve">evaluation as a new chemical entity in 2012 and </w:t>
      </w:r>
      <w:r w:rsidR="00691264">
        <w:t xml:space="preserve">this </w:t>
      </w:r>
      <w:r w:rsidRPr="00C849CD">
        <w:t>is largely based on two single arm Phase II studies. Treatment-related adverse events were common in the Phase II studies resulting in treatment discontinuation in 19% or dose modifications in 46%. Safety issues of concer</w:t>
      </w:r>
      <w:r w:rsidR="00F24A3E">
        <w:t>n were Peripheral neuropathy, Neutropenia, I</w:t>
      </w:r>
      <w:r w:rsidRPr="00C849CD">
        <w:t>nfection and infusion related reactions. Peripheral neuropathy was reported in 45% of patients. This required dose modification (delay or reduction) in 18% and treatment discontinuation in 12%. Peripheral neuropathies were usually mild, with 89% Grade 2 or less, and reversible with improvements occurring over a median of 16 weeks. Neutrop</w:t>
      </w:r>
      <w:r w:rsidR="003A1702">
        <w:t>a</w:t>
      </w:r>
      <w:r w:rsidRPr="00C849CD">
        <w:t>enia was observed in 21% of patients and was managed with dose delay and/or growth factor support. Less than half of the patients with neutrop</w:t>
      </w:r>
      <w:r w:rsidR="003A1702">
        <w:t>a</w:t>
      </w:r>
      <w:r w:rsidRPr="00C849CD">
        <w:t xml:space="preserve">enia had temporally associated infections and these were usually mild (Grade 1 or 2). Infections were observed in 61% of patients overall but these were usually mild and no patient discontinued treatment due to infection. One patient developed </w:t>
      </w:r>
      <w:r w:rsidR="00F24A3E">
        <w:t>progressive multifocal leukoencephalopathy</w:t>
      </w:r>
      <w:r w:rsidR="00F24A3E" w:rsidRPr="00C849CD">
        <w:t xml:space="preserve"> </w:t>
      </w:r>
      <w:r w:rsidR="00F24A3E">
        <w:t>(</w:t>
      </w:r>
      <w:r w:rsidRPr="00C849CD">
        <w:t>PML</w:t>
      </w:r>
      <w:r w:rsidR="00F24A3E">
        <w:t>)</w:t>
      </w:r>
      <w:r w:rsidRPr="00C849CD">
        <w:t xml:space="preserve"> and died. Infusion related reactions occurred in 11% and were mild to moderate in severity although two cases of anaphylaxis were reported in the </w:t>
      </w:r>
      <w:r w:rsidR="003A1702">
        <w:t>Phase </w:t>
      </w:r>
      <w:r w:rsidRPr="00C849CD">
        <w:t xml:space="preserve">I studies. A more detailed description of the safety aspects identified in the earlier studies can be found in the </w:t>
      </w:r>
      <w:r w:rsidR="003A1702">
        <w:t>AusPAR</w:t>
      </w:r>
      <w:r w:rsidRPr="00C849CD">
        <w:t xml:space="preserve"> for </w:t>
      </w:r>
      <w:proofErr w:type="spellStart"/>
      <w:r w:rsidRPr="00C849CD">
        <w:t>Brentuximab</w:t>
      </w:r>
      <w:proofErr w:type="spellEnd"/>
      <w:r w:rsidRPr="00C849CD">
        <w:t xml:space="preserve"> </w:t>
      </w:r>
      <w:proofErr w:type="spellStart"/>
      <w:r w:rsidRPr="00C849CD">
        <w:t>vedotin</w:t>
      </w:r>
      <w:proofErr w:type="spellEnd"/>
      <w:r w:rsidRPr="00C849CD">
        <w:t xml:space="preserve"> (</w:t>
      </w:r>
      <w:proofErr w:type="spellStart"/>
      <w:r w:rsidRPr="00C849CD">
        <w:t>Adcetris</w:t>
      </w:r>
      <w:proofErr w:type="spellEnd"/>
      <w:r w:rsidRPr="00C849CD">
        <w:t>).</w:t>
      </w:r>
      <w:r w:rsidR="003A1702" w:rsidRPr="003A1702">
        <w:rPr>
          <w:vertAlign w:val="superscript"/>
        </w:rPr>
        <w:fldChar w:fldCharType="begin"/>
      </w:r>
      <w:r w:rsidR="003A1702" w:rsidRPr="003A1702">
        <w:rPr>
          <w:vertAlign w:val="superscript"/>
        </w:rPr>
        <w:instrText xml:space="preserve"> NOTEREF _Ref484465566 \h </w:instrText>
      </w:r>
      <w:r w:rsidR="003A1702">
        <w:rPr>
          <w:vertAlign w:val="superscript"/>
        </w:rPr>
        <w:instrText xml:space="preserve"> \* MERGEFORMAT </w:instrText>
      </w:r>
      <w:r w:rsidR="003A1702" w:rsidRPr="003A1702">
        <w:rPr>
          <w:vertAlign w:val="superscript"/>
        </w:rPr>
      </w:r>
      <w:r w:rsidR="003A1702" w:rsidRPr="003A1702">
        <w:rPr>
          <w:vertAlign w:val="superscript"/>
        </w:rPr>
        <w:fldChar w:fldCharType="separate"/>
      </w:r>
      <w:r w:rsidR="006633C8">
        <w:rPr>
          <w:vertAlign w:val="superscript"/>
        </w:rPr>
        <w:t>8</w:t>
      </w:r>
      <w:r w:rsidR="003A1702" w:rsidRPr="003A1702">
        <w:rPr>
          <w:vertAlign w:val="superscript"/>
        </w:rPr>
        <w:fldChar w:fldCharType="end"/>
      </w:r>
    </w:p>
    <w:p w14:paraId="2141B6AB" w14:textId="77777777" w:rsidR="00C849CD" w:rsidRPr="00C849CD" w:rsidRDefault="00C849CD" w:rsidP="00C849CD">
      <w:pPr>
        <w:tabs>
          <w:tab w:val="num" w:pos="1135"/>
        </w:tabs>
        <w:rPr>
          <w:b/>
          <w:bCs/>
        </w:rPr>
      </w:pPr>
      <w:bookmarkStart w:id="72" w:name="_Toc449884287"/>
      <w:bookmarkStart w:id="73" w:name="_Toc484462199"/>
      <w:r w:rsidRPr="00C849CD">
        <w:rPr>
          <w:b/>
          <w:bCs/>
        </w:rPr>
        <w:t>Evaluable safety data</w:t>
      </w:r>
      <w:bookmarkEnd w:id="70"/>
      <w:bookmarkEnd w:id="71"/>
      <w:bookmarkEnd w:id="72"/>
      <w:bookmarkEnd w:id="73"/>
    </w:p>
    <w:p w14:paraId="172EB484" w14:textId="77777777" w:rsidR="00C849CD" w:rsidRPr="00C849CD" w:rsidRDefault="00C849CD" w:rsidP="00C849CD">
      <w:r w:rsidRPr="00C849CD">
        <w:t>The following provided evaluable safety data:</w:t>
      </w:r>
    </w:p>
    <w:p w14:paraId="3B242AE0" w14:textId="77777777" w:rsidR="00C849CD" w:rsidRDefault="00C849CD" w:rsidP="00C849CD">
      <w:pPr>
        <w:pStyle w:val="ListBullet"/>
      </w:pPr>
      <w:r w:rsidRPr="00C849CD">
        <w:t>In the original dossier:</w:t>
      </w:r>
    </w:p>
    <w:p w14:paraId="253B4D4F" w14:textId="267AC346" w:rsidR="00C849CD" w:rsidRDefault="00E04D26" w:rsidP="00C849CD">
      <w:pPr>
        <w:pStyle w:val="ListBullet2"/>
      </w:pPr>
      <w:r>
        <w:t>One p</w:t>
      </w:r>
      <w:r w:rsidR="00C849CD" w:rsidRPr="00C849CD">
        <w:t>ivotal efficacy study, Study SGN35-005</w:t>
      </w:r>
    </w:p>
    <w:p w14:paraId="746111C7" w14:textId="77777777" w:rsidR="00C849CD" w:rsidRDefault="00C849CD" w:rsidP="00C849CD">
      <w:pPr>
        <w:pStyle w:val="ListBullet2"/>
      </w:pPr>
      <w:r w:rsidRPr="00C849CD">
        <w:t>5 Periodic Safety Update Reports (PSURs) covering the period from 19 August 2012 to 18 February 2015</w:t>
      </w:r>
    </w:p>
    <w:p w14:paraId="4528CB6F" w14:textId="4EA22128" w:rsidR="00C849CD" w:rsidRDefault="00C849CD" w:rsidP="00C849CD">
      <w:pPr>
        <w:pStyle w:val="ListBullet"/>
      </w:pPr>
      <w:r w:rsidRPr="00C849CD">
        <w:t>In the sponsor’s response to clinical questions</w:t>
      </w:r>
      <w:r w:rsidR="00E04D26">
        <w:t>:</w:t>
      </w:r>
    </w:p>
    <w:p w14:paraId="320FF9CC" w14:textId="77777777" w:rsidR="00C849CD" w:rsidRDefault="00C849CD" w:rsidP="00C849CD">
      <w:pPr>
        <w:pStyle w:val="ListBullet2"/>
      </w:pPr>
      <w:r w:rsidRPr="00C849CD">
        <w:t xml:space="preserve">This included cumulative reviews of pulmonary toxicity and hepatotoxicity and a more recent PSUR (August 2014 to August 2015) which included a cumulative review of a new safety concern, </w:t>
      </w:r>
      <w:r>
        <w:t>gastrointestinal complications.</w:t>
      </w:r>
    </w:p>
    <w:p w14:paraId="7F0F1AB8" w14:textId="0D0B3DF8" w:rsidR="00C849CD" w:rsidRPr="00C849CD" w:rsidRDefault="00C849CD" w:rsidP="00C849CD">
      <w:pPr>
        <w:pStyle w:val="ListBullet"/>
      </w:pPr>
      <w:r>
        <w:t>In the Safety Related Request:</w:t>
      </w:r>
    </w:p>
    <w:p w14:paraId="0180F0AB" w14:textId="77777777" w:rsidR="00C849CD" w:rsidRPr="00C849CD" w:rsidRDefault="00C849CD" w:rsidP="00C849CD">
      <w:pPr>
        <w:pStyle w:val="ListBullet2"/>
      </w:pPr>
      <w:r w:rsidRPr="00C849CD">
        <w:t>This included the cumulative reviews that had been provided and updated information regarding the Phase II population.</w:t>
      </w:r>
    </w:p>
    <w:p w14:paraId="4A9D9248" w14:textId="77777777" w:rsidR="00C849CD" w:rsidRPr="00C849CD" w:rsidRDefault="00C849CD" w:rsidP="00C849CD">
      <w:pPr>
        <w:pStyle w:val="ListBullet"/>
      </w:pPr>
      <w:r w:rsidRPr="00C849CD">
        <w:t>In the CSR for Study SGN35-008b</w:t>
      </w:r>
    </w:p>
    <w:p w14:paraId="6184C920" w14:textId="7D057807" w:rsidR="00C849CD" w:rsidRPr="00C849CD" w:rsidRDefault="00C849CD" w:rsidP="00C849CD">
      <w:pPr>
        <w:pStyle w:val="ListBullet2"/>
      </w:pPr>
      <w:r w:rsidRPr="00C849CD">
        <w:t>This study provided information regarding the adverse event incidence in patients with renal or hepatic impairment.</w:t>
      </w:r>
    </w:p>
    <w:p w14:paraId="2E783081" w14:textId="77777777" w:rsidR="00605AD4" w:rsidRDefault="00605AD4" w:rsidP="00605AD4">
      <w:pPr>
        <w:pStyle w:val="Heading4"/>
      </w:pPr>
      <w:r w:rsidRPr="00605AD4">
        <w:t>Patient exposure</w:t>
      </w:r>
    </w:p>
    <w:p w14:paraId="63F6A6DF" w14:textId="6DB9BB76" w:rsidR="00C849CD" w:rsidRPr="00F014D0" w:rsidRDefault="00C849CD" w:rsidP="00C849CD">
      <w:pPr>
        <w:rPr>
          <w:lang w:eastAsia="ja-JP"/>
        </w:rPr>
      </w:pPr>
      <w:r w:rsidRPr="00F014D0">
        <w:rPr>
          <w:lang w:eastAsia="ja-JP"/>
        </w:rPr>
        <w:t>A total of 329 patients were enrolled and randomised to receive brentuximab vedotin (N</w:t>
      </w:r>
      <w:r w:rsidR="00E04D26">
        <w:rPr>
          <w:lang w:eastAsia="ja-JP"/>
        </w:rPr>
        <w:t> </w:t>
      </w:r>
      <w:r w:rsidRPr="00F014D0">
        <w:rPr>
          <w:lang w:eastAsia="ja-JP"/>
        </w:rPr>
        <w:t>=</w:t>
      </w:r>
      <w:r w:rsidR="00E04D26">
        <w:rPr>
          <w:lang w:eastAsia="ja-JP"/>
        </w:rPr>
        <w:t> </w:t>
      </w:r>
      <w:r w:rsidRPr="00F014D0">
        <w:rPr>
          <w:lang w:eastAsia="ja-JP"/>
        </w:rPr>
        <w:t>165) or placebo (N</w:t>
      </w:r>
      <w:r w:rsidR="00E04D26">
        <w:rPr>
          <w:lang w:eastAsia="ja-JP"/>
        </w:rPr>
        <w:t> </w:t>
      </w:r>
      <w:r w:rsidRPr="00F014D0">
        <w:rPr>
          <w:lang w:eastAsia="ja-JP"/>
        </w:rPr>
        <w:t>=</w:t>
      </w:r>
      <w:r w:rsidR="00E04D26">
        <w:rPr>
          <w:lang w:eastAsia="ja-JP"/>
        </w:rPr>
        <w:t> </w:t>
      </w:r>
      <w:r w:rsidRPr="00F014D0">
        <w:rPr>
          <w:lang w:eastAsia="ja-JP"/>
        </w:rPr>
        <w:t>164). Of the 329 randomised patients, 327 patients received at least 1 dose of study treatment; 2 patients randomised to receive placebo withdrew consent prior to receiving the first dose of study drug. Two patients in the placebo arm received a single dose the study drug in error and 72 patients in the placebo arm were treated with brentuximab vedotin following progression (investigator and/or IRF assessment).</w:t>
      </w:r>
    </w:p>
    <w:p w14:paraId="086C9C85" w14:textId="1F7CA960" w:rsidR="00C849CD" w:rsidRPr="00F014D0" w:rsidRDefault="00C849CD" w:rsidP="00C849CD">
      <w:pPr>
        <w:rPr>
          <w:lang w:eastAsia="ja-JP"/>
        </w:rPr>
      </w:pPr>
      <w:r w:rsidRPr="00F014D0">
        <w:rPr>
          <w:lang w:eastAsia="ja-JP"/>
        </w:rPr>
        <w:lastRenderedPageBreak/>
        <w:t>Of the 327 patients, 159/327 (49%) patients completed 16 cycles of treatment, 78 patients in the brentuximab vedotin arm and 81 in the placebo arm. The median number of treatment cycles in each arm was 15 cycles (range 1 to 16). Of the 327 patients, 170 did not receive 16 cycles of treatment. The most common reason for this in the brentuximab vedotin arm was adverse events and in the pl</w:t>
      </w:r>
      <w:r>
        <w:rPr>
          <w:lang w:eastAsia="ja-JP"/>
        </w:rPr>
        <w:t>acebo arm, progressive disease, as shown</w:t>
      </w:r>
      <w:r w:rsidR="00BD7C2C">
        <w:rPr>
          <w:lang w:eastAsia="ja-JP"/>
        </w:rPr>
        <w:t xml:space="preserve"> below</w:t>
      </w:r>
      <w:r>
        <w:rPr>
          <w:lang w:eastAsia="ja-JP"/>
        </w:rPr>
        <w:t xml:space="preserve"> in Table </w:t>
      </w:r>
      <w:r w:rsidR="00BD7C2C">
        <w:rPr>
          <w:lang w:eastAsia="ja-JP"/>
        </w:rPr>
        <w:t>1</w:t>
      </w:r>
      <w:r>
        <w:rPr>
          <w:lang w:eastAsia="ja-JP"/>
        </w:rPr>
        <w:t>.</w:t>
      </w:r>
    </w:p>
    <w:p w14:paraId="49BD562F" w14:textId="10E4401F" w:rsidR="00C849CD" w:rsidRPr="00F014D0" w:rsidRDefault="00C849CD" w:rsidP="00C849CD">
      <w:pPr>
        <w:pStyle w:val="Tabletitle0"/>
      </w:pPr>
      <w:bookmarkStart w:id="74" w:name="_Toc449884440"/>
      <w:r w:rsidRPr="00A3365C">
        <w:t xml:space="preserve">Table </w:t>
      </w:r>
      <w:r w:rsidR="00BD7C2C">
        <w:t>1</w:t>
      </w:r>
      <w:r>
        <w:t>. Study SGN35-005 Reasons for treatment d</w:t>
      </w:r>
      <w:r w:rsidRPr="00A3365C">
        <w:t>iscontinuation</w:t>
      </w:r>
      <w:bookmarkEnd w:id="74"/>
    </w:p>
    <w:tbl>
      <w:tblPr>
        <w:tblStyle w:val="TableTGAblue"/>
        <w:tblW w:w="0" w:type="auto"/>
        <w:tblLook w:val="04A0" w:firstRow="1" w:lastRow="0" w:firstColumn="1" w:lastColumn="0" w:noHBand="0" w:noVBand="1"/>
      </w:tblPr>
      <w:tblGrid>
        <w:gridCol w:w="2448"/>
        <w:gridCol w:w="3060"/>
        <w:gridCol w:w="3060"/>
      </w:tblGrid>
      <w:tr w:rsidR="00C849CD" w:rsidRPr="00F014D0" w14:paraId="0B6E97A1" w14:textId="77777777" w:rsidTr="00971ECA">
        <w:trPr>
          <w:cnfStyle w:val="100000000000" w:firstRow="1" w:lastRow="0" w:firstColumn="0" w:lastColumn="0" w:oddVBand="0" w:evenVBand="0" w:oddHBand="0" w:evenHBand="0" w:firstRowFirstColumn="0" w:firstRowLastColumn="0" w:lastRowFirstColumn="0" w:lastRowLastColumn="0"/>
        </w:trPr>
        <w:tc>
          <w:tcPr>
            <w:tcW w:w="2448" w:type="dxa"/>
            <w:hideMark/>
          </w:tcPr>
          <w:p w14:paraId="7FA027EE" w14:textId="77777777" w:rsidR="00C849CD" w:rsidRPr="00F014D0" w:rsidRDefault="00C849CD" w:rsidP="009701A0">
            <w:pPr>
              <w:rPr>
                <w:lang w:eastAsia="ja-JP"/>
              </w:rPr>
            </w:pPr>
            <w:r w:rsidRPr="00F014D0">
              <w:rPr>
                <w:lang w:eastAsia="ja-JP"/>
              </w:rPr>
              <w:t>Reason for Treatment Discontinuation</w:t>
            </w:r>
          </w:p>
        </w:tc>
        <w:tc>
          <w:tcPr>
            <w:tcW w:w="3060" w:type="dxa"/>
            <w:hideMark/>
          </w:tcPr>
          <w:p w14:paraId="3E28D404" w14:textId="77777777" w:rsidR="00C849CD" w:rsidRPr="00A3365C" w:rsidRDefault="00C849CD" w:rsidP="009701A0">
            <w:pPr>
              <w:rPr>
                <w:lang w:eastAsia="ja-JP"/>
              </w:rPr>
            </w:pPr>
            <w:r w:rsidRPr="00F014D0">
              <w:rPr>
                <w:lang w:eastAsia="ja-JP"/>
              </w:rPr>
              <w:t>Brentuximab vedotin group</w:t>
            </w:r>
            <w:r>
              <w:rPr>
                <w:lang w:eastAsia="ja-JP"/>
              </w:rPr>
              <w:t xml:space="preserve"> </w:t>
            </w:r>
            <w:r w:rsidRPr="009701A0">
              <w:rPr>
                <w:lang w:eastAsia="ja-JP"/>
              </w:rPr>
              <w:t>Number (%)</w:t>
            </w:r>
          </w:p>
        </w:tc>
        <w:tc>
          <w:tcPr>
            <w:tcW w:w="3060" w:type="dxa"/>
            <w:hideMark/>
          </w:tcPr>
          <w:p w14:paraId="3F5A6F5A" w14:textId="77777777" w:rsidR="00C849CD" w:rsidRPr="00A3365C" w:rsidRDefault="00C849CD" w:rsidP="009701A0">
            <w:pPr>
              <w:rPr>
                <w:lang w:eastAsia="ja-JP"/>
              </w:rPr>
            </w:pPr>
            <w:r w:rsidRPr="00F014D0">
              <w:rPr>
                <w:lang w:eastAsia="ja-JP"/>
              </w:rPr>
              <w:t>Placebo group</w:t>
            </w:r>
            <w:r>
              <w:rPr>
                <w:lang w:eastAsia="ja-JP"/>
              </w:rPr>
              <w:br/>
            </w:r>
            <w:r w:rsidRPr="009701A0">
              <w:rPr>
                <w:lang w:eastAsia="ja-JP"/>
              </w:rPr>
              <w:t>Number (%)</w:t>
            </w:r>
          </w:p>
        </w:tc>
      </w:tr>
      <w:tr w:rsidR="00C849CD" w:rsidRPr="00F014D0" w14:paraId="1959C55C" w14:textId="77777777" w:rsidTr="00971ECA">
        <w:tc>
          <w:tcPr>
            <w:tcW w:w="2448" w:type="dxa"/>
            <w:hideMark/>
          </w:tcPr>
          <w:p w14:paraId="2CBBBD5A" w14:textId="77777777" w:rsidR="00C849CD" w:rsidRPr="00F014D0" w:rsidRDefault="00C849CD" w:rsidP="009701A0">
            <w:pPr>
              <w:rPr>
                <w:lang w:eastAsia="ja-JP"/>
              </w:rPr>
            </w:pPr>
            <w:r w:rsidRPr="00F014D0">
              <w:rPr>
                <w:lang w:eastAsia="ja-JP"/>
              </w:rPr>
              <w:t>Adverse events</w:t>
            </w:r>
          </w:p>
        </w:tc>
        <w:tc>
          <w:tcPr>
            <w:tcW w:w="3060" w:type="dxa"/>
            <w:hideMark/>
          </w:tcPr>
          <w:p w14:paraId="395BF293" w14:textId="77777777" w:rsidR="00C849CD" w:rsidRPr="00F014D0" w:rsidRDefault="00C849CD" w:rsidP="009701A0">
            <w:pPr>
              <w:rPr>
                <w:lang w:eastAsia="ja-JP"/>
              </w:rPr>
            </w:pPr>
            <w:r w:rsidRPr="00F014D0">
              <w:rPr>
                <w:lang w:eastAsia="ja-JP"/>
              </w:rPr>
              <w:t>54 (33%)</w:t>
            </w:r>
          </w:p>
        </w:tc>
        <w:tc>
          <w:tcPr>
            <w:tcW w:w="3060" w:type="dxa"/>
            <w:hideMark/>
          </w:tcPr>
          <w:p w14:paraId="1775B2D1" w14:textId="77777777" w:rsidR="00C849CD" w:rsidRPr="00F014D0" w:rsidRDefault="00C849CD" w:rsidP="009701A0">
            <w:pPr>
              <w:rPr>
                <w:lang w:eastAsia="ja-JP"/>
              </w:rPr>
            </w:pPr>
            <w:r w:rsidRPr="00F014D0">
              <w:rPr>
                <w:lang w:eastAsia="ja-JP"/>
              </w:rPr>
              <w:t>10 (6%)</w:t>
            </w:r>
          </w:p>
        </w:tc>
      </w:tr>
      <w:tr w:rsidR="00C849CD" w:rsidRPr="00F014D0" w14:paraId="469571E7" w14:textId="77777777" w:rsidTr="00971ECA">
        <w:tc>
          <w:tcPr>
            <w:tcW w:w="2448" w:type="dxa"/>
            <w:hideMark/>
          </w:tcPr>
          <w:p w14:paraId="23F50E33" w14:textId="77777777" w:rsidR="00C849CD" w:rsidRPr="00F014D0" w:rsidRDefault="00C849CD" w:rsidP="009701A0">
            <w:pPr>
              <w:rPr>
                <w:lang w:eastAsia="ja-JP"/>
              </w:rPr>
            </w:pPr>
            <w:r>
              <w:rPr>
                <w:lang w:eastAsia="ja-JP"/>
              </w:rPr>
              <w:t>Progressive d</w:t>
            </w:r>
            <w:r w:rsidRPr="00F014D0">
              <w:rPr>
                <w:lang w:eastAsia="ja-JP"/>
              </w:rPr>
              <w:t>isease</w:t>
            </w:r>
          </w:p>
        </w:tc>
        <w:tc>
          <w:tcPr>
            <w:tcW w:w="3060" w:type="dxa"/>
            <w:hideMark/>
          </w:tcPr>
          <w:p w14:paraId="0B2E81B6" w14:textId="77777777" w:rsidR="00C849CD" w:rsidRPr="00F014D0" w:rsidRDefault="00C849CD" w:rsidP="009701A0">
            <w:pPr>
              <w:rPr>
                <w:lang w:eastAsia="ja-JP"/>
              </w:rPr>
            </w:pPr>
            <w:r w:rsidRPr="00F014D0">
              <w:rPr>
                <w:lang w:eastAsia="ja-JP"/>
              </w:rPr>
              <w:t>24 (15%)</w:t>
            </w:r>
          </w:p>
        </w:tc>
        <w:tc>
          <w:tcPr>
            <w:tcW w:w="3060" w:type="dxa"/>
            <w:hideMark/>
          </w:tcPr>
          <w:p w14:paraId="1232EC07" w14:textId="77777777" w:rsidR="00C849CD" w:rsidRPr="00F014D0" w:rsidRDefault="00C849CD" w:rsidP="009701A0">
            <w:pPr>
              <w:rPr>
                <w:lang w:eastAsia="ja-JP"/>
              </w:rPr>
            </w:pPr>
            <w:r w:rsidRPr="00F014D0">
              <w:rPr>
                <w:lang w:eastAsia="ja-JP"/>
              </w:rPr>
              <w:t>69 (42%)</w:t>
            </w:r>
          </w:p>
        </w:tc>
      </w:tr>
      <w:tr w:rsidR="00C849CD" w:rsidRPr="00F014D0" w14:paraId="6198BEB4" w14:textId="77777777" w:rsidTr="00971ECA">
        <w:tc>
          <w:tcPr>
            <w:tcW w:w="2448" w:type="dxa"/>
            <w:hideMark/>
          </w:tcPr>
          <w:p w14:paraId="6E3F8EF2" w14:textId="77777777" w:rsidR="00C849CD" w:rsidRPr="00F014D0" w:rsidRDefault="00C849CD" w:rsidP="009701A0">
            <w:pPr>
              <w:rPr>
                <w:lang w:eastAsia="ja-JP"/>
              </w:rPr>
            </w:pPr>
            <w:r w:rsidRPr="00F014D0">
              <w:rPr>
                <w:lang w:eastAsia="ja-JP"/>
              </w:rPr>
              <w:t>Patient decision</w:t>
            </w:r>
          </w:p>
        </w:tc>
        <w:tc>
          <w:tcPr>
            <w:tcW w:w="3060" w:type="dxa"/>
            <w:hideMark/>
          </w:tcPr>
          <w:p w14:paraId="175BC690" w14:textId="77777777" w:rsidR="00C849CD" w:rsidRPr="00F014D0" w:rsidRDefault="00C849CD" w:rsidP="009701A0">
            <w:pPr>
              <w:rPr>
                <w:lang w:eastAsia="ja-JP"/>
              </w:rPr>
            </w:pPr>
            <w:r w:rsidRPr="00F014D0">
              <w:rPr>
                <w:lang w:eastAsia="ja-JP"/>
              </w:rPr>
              <w:t>9 (5%)</w:t>
            </w:r>
          </w:p>
        </w:tc>
        <w:tc>
          <w:tcPr>
            <w:tcW w:w="3060" w:type="dxa"/>
            <w:hideMark/>
          </w:tcPr>
          <w:p w14:paraId="36DD447A" w14:textId="77777777" w:rsidR="00C849CD" w:rsidRPr="00F014D0" w:rsidRDefault="00C849CD" w:rsidP="009701A0">
            <w:pPr>
              <w:rPr>
                <w:lang w:eastAsia="ja-JP"/>
              </w:rPr>
            </w:pPr>
            <w:r w:rsidRPr="00F014D0">
              <w:rPr>
                <w:lang w:eastAsia="ja-JP"/>
              </w:rPr>
              <w:t>4 (2%)</w:t>
            </w:r>
          </w:p>
        </w:tc>
      </w:tr>
      <w:tr w:rsidR="00C849CD" w:rsidRPr="00F014D0" w14:paraId="633E52AC" w14:textId="77777777" w:rsidTr="00971ECA">
        <w:tc>
          <w:tcPr>
            <w:tcW w:w="2448" w:type="dxa"/>
            <w:hideMark/>
          </w:tcPr>
          <w:p w14:paraId="3BD8FD0C" w14:textId="77777777" w:rsidR="00C849CD" w:rsidRPr="00F014D0" w:rsidRDefault="00C849CD" w:rsidP="009701A0">
            <w:pPr>
              <w:rPr>
                <w:lang w:eastAsia="ja-JP"/>
              </w:rPr>
            </w:pPr>
            <w:r w:rsidRPr="00F014D0">
              <w:rPr>
                <w:lang w:eastAsia="ja-JP"/>
              </w:rPr>
              <w:t>Total</w:t>
            </w:r>
          </w:p>
        </w:tc>
        <w:tc>
          <w:tcPr>
            <w:tcW w:w="3060" w:type="dxa"/>
            <w:hideMark/>
          </w:tcPr>
          <w:p w14:paraId="0E70804B" w14:textId="77777777" w:rsidR="00C849CD" w:rsidRPr="00F014D0" w:rsidRDefault="00C849CD" w:rsidP="009701A0">
            <w:pPr>
              <w:rPr>
                <w:lang w:eastAsia="ja-JP"/>
              </w:rPr>
            </w:pPr>
            <w:r w:rsidRPr="00F014D0">
              <w:rPr>
                <w:lang w:eastAsia="ja-JP"/>
              </w:rPr>
              <w:t>87</w:t>
            </w:r>
          </w:p>
        </w:tc>
        <w:tc>
          <w:tcPr>
            <w:tcW w:w="3060" w:type="dxa"/>
            <w:hideMark/>
          </w:tcPr>
          <w:p w14:paraId="0CF662F0" w14:textId="77777777" w:rsidR="00C849CD" w:rsidRPr="00F014D0" w:rsidRDefault="00C849CD" w:rsidP="009701A0">
            <w:pPr>
              <w:rPr>
                <w:lang w:eastAsia="ja-JP"/>
              </w:rPr>
            </w:pPr>
            <w:r w:rsidRPr="00F014D0">
              <w:rPr>
                <w:lang w:eastAsia="ja-JP"/>
              </w:rPr>
              <w:t>83</w:t>
            </w:r>
          </w:p>
        </w:tc>
      </w:tr>
    </w:tbl>
    <w:p w14:paraId="53E9A080" w14:textId="77777777" w:rsidR="00605AD4" w:rsidRDefault="00605AD4" w:rsidP="00605AD4">
      <w:pPr>
        <w:pStyle w:val="Heading4"/>
      </w:pPr>
      <w:r w:rsidRPr="00605AD4">
        <w:t>Safety issues with the potential for major regulatory impact</w:t>
      </w:r>
    </w:p>
    <w:p w14:paraId="143A6540" w14:textId="42E0FA93" w:rsidR="00877E82" w:rsidRDefault="00877E82" w:rsidP="00877E82">
      <w:pPr>
        <w:rPr>
          <w:lang w:eastAsia="ja-JP"/>
        </w:rPr>
      </w:pPr>
      <w:r w:rsidRPr="00F014D0">
        <w:rPr>
          <w:lang w:eastAsia="ja-JP"/>
        </w:rPr>
        <w:t xml:space="preserve">Two new safety concerns were addressed in PSUR </w:t>
      </w:r>
      <w:r>
        <w:rPr>
          <w:lang w:eastAsia="ja-JP"/>
        </w:rPr>
        <w:t xml:space="preserve">6: </w:t>
      </w:r>
      <w:r w:rsidRPr="00F014D0">
        <w:rPr>
          <w:lang w:eastAsia="ja-JP"/>
        </w:rPr>
        <w:t>gastrointestinal complications and posterior reversible encephalopathy syndrome (PRES).</w:t>
      </w:r>
    </w:p>
    <w:p w14:paraId="12F3CE30" w14:textId="77D5B3E7" w:rsidR="009C3626" w:rsidRDefault="009C3626" w:rsidP="00877E82">
      <w:pPr>
        <w:rPr>
          <w:lang w:eastAsia="ja-JP"/>
        </w:rPr>
      </w:pPr>
      <w:r>
        <w:rPr>
          <w:lang w:eastAsia="ja-JP"/>
        </w:rPr>
        <w:t>Safety issues with the potential for major regulatory impact are covered in detail in Attachment 2. Topics covered include:</w:t>
      </w:r>
    </w:p>
    <w:p w14:paraId="2E39BB5D" w14:textId="0F82B168" w:rsidR="009C3626" w:rsidRDefault="009C3626" w:rsidP="003C7AB5">
      <w:pPr>
        <w:pStyle w:val="ListBullet"/>
        <w:rPr>
          <w:lang w:eastAsia="ja-JP"/>
        </w:rPr>
      </w:pPr>
      <w:r>
        <w:rPr>
          <w:lang w:eastAsia="ja-JP"/>
        </w:rPr>
        <w:t xml:space="preserve">Neurological toxicity including peripheral neuropathy, </w:t>
      </w:r>
      <w:r w:rsidR="00A83722">
        <w:rPr>
          <w:lang w:eastAsia="ja-JP"/>
        </w:rPr>
        <w:t>convulsions</w:t>
      </w:r>
      <w:r>
        <w:rPr>
          <w:lang w:eastAsia="ja-JP"/>
        </w:rPr>
        <w:t xml:space="preserve"> and PRES</w:t>
      </w:r>
    </w:p>
    <w:p w14:paraId="71FC9376" w14:textId="1B4189FD" w:rsidR="009C3626" w:rsidRDefault="009C3626" w:rsidP="003C7AB5">
      <w:pPr>
        <w:pStyle w:val="ListBullet"/>
      </w:pPr>
      <w:r>
        <w:t>Hepatotoxicity and hepatobiliary adverse events</w:t>
      </w:r>
    </w:p>
    <w:p w14:paraId="76C5BF1C" w14:textId="33EEE7F9" w:rsidR="009C3626" w:rsidRDefault="009C3626" w:rsidP="003C7AB5">
      <w:pPr>
        <w:pStyle w:val="ListBullet"/>
      </w:pPr>
      <w:r>
        <w:t>Pulmonary toxicity</w:t>
      </w:r>
    </w:p>
    <w:p w14:paraId="6F460632" w14:textId="636E33DE" w:rsidR="009C3626" w:rsidRDefault="009C3626" w:rsidP="003C7AB5">
      <w:pPr>
        <w:pStyle w:val="ListBullet"/>
      </w:pPr>
      <w:r>
        <w:t xml:space="preserve">Haematological toxicity including neutropaenia, </w:t>
      </w:r>
      <w:r w:rsidR="00A83722">
        <w:t>febrile</w:t>
      </w:r>
      <w:r>
        <w:t xml:space="preserve"> neutropaenia, thrombocytopaenia and anaemia</w:t>
      </w:r>
    </w:p>
    <w:p w14:paraId="6C68A057" w14:textId="462BAD88" w:rsidR="009C3626" w:rsidRDefault="009C3626" w:rsidP="003C7AB5">
      <w:pPr>
        <w:pStyle w:val="ListBullet"/>
      </w:pPr>
      <w:r>
        <w:t>Infection, including bacteraemia, sepsis and septic shock</w:t>
      </w:r>
      <w:r w:rsidR="00171A1F">
        <w:t xml:space="preserve"> and opportunistic infections</w:t>
      </w:r>
    </w:p>
    <w:p w14:paraId="41A3DB95" w14:textId="1175C18D" w:rsidR="00171A1F" w:rsidRDefault="00171A1F" w:rsidP="003C7AB5">
      <w:pPr>
        <w:pStyle w:val="ListBullet"/>
      </w:pPr>
      <w:r>
        <w:t>Serious skin reactions includin</w:t>
      </w:r>
      <w:r w:rsidR="00E420BF">
        <w:t>g Stevens-Johnson syndrome and t</w:t>
      </w:r>
      <w:r>
        <w:t>oxic epidermal necrolysis</w:t>
      </w:r>
    </w:p>
    <w:p w14:paraId="14AD2269" w14:textId="77777777" w:rsidR="00171A1F" w:rsidRDefault="00171A1F" w:rsidP="003C7AB5">
      <w:pPr>
        <w:pStyle w:val="ListBullet"/>
      </w:pPr>
      <w:r>
        <w:t>Cardiovascular safety, including cardiac failure/dysfunction, QT/QTc prolongation, infusion-related reactions and immunogenicity</w:t>
      </w:r>
    </w:p>
    <w:p w14:paraId="18E62FE0" w14:textId="3FD19597" w:rsidR="00171A1F" w:rsidRDefault="003C7AB5" w:rsidP="003C7AB5">
      <w:pPr>
        <w:pStyle w:val="ListBullet"/>
      </w:pPr>
      <w:r>
        <w:t>Infusion</w:t>
      </w:r>
      <w:r w:rsidR="00171A1F">
        <w:t xml:space="preserve"> related reactions and immunogenicity</w:t>
      </w:r>
    </w:p>
    <w:p w14:paraId="1CCE77A8" w14:textId="70494BA8" w:rsidR="00171A1F" w:rsidRDefault="00171A1F" w:rsidP="003C7AB5">
      <w:pPr>
        <w:pStyle w:val="ListBullet"/>
      </w:pPr>
      <w:r>
        <w:t>Other safety issues, including pancreatitis, gastrointestinal toxicity, progressive multifocal leukoencephalopathy (PML), hyperglycaemia, tumour lysis syndrome and thymic depletion.</w:t>
      </w:r>
    </w:p>
    <w:p w14:paraId="683A0F97" w14:textId="6AF17EF2" w:rsidR="00171A1F" w:rsidRPr="00877E82" w:rsidRDefault="00171A1F" w:rsidP="00877E82">
      <w:pPr>
        <w:pStyle w:val="ListBullet"/>
      </w:pPr>
      <w:r>
        <w:t>Safety in special populations, including renal or hepatic impairment, elderly, paediatrics, breastfeeding</w:t>
      </w:r>
      <w:r w:rsidR="003C7AB5">
        <w:t xml:space="preserve"> and drug-drug interactions.</w:t>
      </w:r>
    </w:p>
    <w:p w14:paraId="44BF2DF5" w14:textId="33F8636D" w:rsidR="00605AD4" w:rsidRDefault="00605AD4" w:rsidP="00605AD4">
      <w:pPr>
        <w:pStyle w:val="Heading4"/>
      </w:pPr>
      <w:r w:rsidRPr="00605AD4">
        <w:t>Post</w:t>
      </w:r>
      <w:r w:rsidR="00946BCD">
        <w:t>-</w:t>
      </w:r>
      <w:r w:rsidRPr="00605AD4">
        <w:t>marketing data</w:t>
      </w:r>
    </w:p>
    <w:p w14:paraId="4D9FF37D" w14:textId="32AE2A91" w:rsidR="003C7AB5" w:rsidRDefault="00F24A3E" w:rsidP="003C7AB5">
      <w:r>
        <w:t>Six</w:t>
      </w:r>
      <w:r w:rsidR="003C7AB5">
        <w:t xml:space="preserve"> PSURs were available covering the period from 19 August 2012 to 18 August 2015.</w:t>
      </w:r>
    </w:p>
    <w:p w14:paraId="02C1DEA5" w14:textId="62870674" w:rsidR="003C7AB5" w:rsidRPr="00F014D0" w:rsidRDefault="003C7AB5" w:rsidP="003C7AB5">
      <w:pPr>
        <w:rPr>
          <w:lang w:eastAsia="ja-JP"/>
        </w:rPr>
      </w:pPr>
      <w:r w:rsidRPr="00F014D0">
        <w:rPr>
          <w:lang w:eastAsia="ja-JP"/>
        </w:rPr>
        <w:lastRenderedPageBreak/>
        <w:t>In PSUR 6, t</w:t>
      </w:r>
      <w:r>
        <w:rPr>
          <w:lang w:eastAsia="ja-JP"/>
        </w:rPr>
        <w:t>he cumulative estimated patient-</w:t>
      </w:r>
      <w:r w:rsidRPr="00F014D0">
        <w:rPr>
          <w:lang w:eastAsia="ja-JP"/>
        </w:rPr>
        <w:t>exposure to brentuximab vedotin is 22,240 patients, including 2415 in company sponsored clinical trials. The highest usage is reported in the USA and Europe.</w:t>
      </w:r>
    </w:p>
    <w:p w14:paraId="76746353" w14:textId="710F77EA" w:rsidR="003C7AB5" w:rsidRPr="003C7AB5" w:rsidRDefault="003C7AB5" w:rsidP="003C7AB5">
      <w:r>
        <w:t>A full analysis of post-marketing data is available in Attachment 2.</w:t>
      </w:r>
    </w:p>
    <w:p w14:paraId="7552F993" w14:textId="77777777" w:rsidR="00605AD4" w:rsidRPr="00605AD4" w:rsidRDefault="00605AD4" w:rsidP="00605AD4">
      <w:pPr>
        <w:pStyle w:val="Heading4"/>
      </w:pPr>
      <w:r w:rsidRPr="00605AD4">
        <w:t>Evaluator’s conclusions on safety</w:t>
      </w:r>
    </w:p>
    <w:p w14:paraId="56939E48" w14:textId="7C1DB1AD" w:rsidR="00064FEB" w:rsidRPr="00064FEB" w:rsidRDefault="00064FEB" w:rsidP="00064FEB">
      <w:r w:rsidRPr="00064FEB">
        <w:t xml:space="preserve">Treatment with brentuximab vedotin was described as well-tolerated. Despite this, only 47% of patients in the pivotal Phase III study, Study SGN35-005 were able to complete the proposed 16 cycles of treatment. Adverse events </w:t>
      </w:r>
      <w:r w:rsidR="003C7AB5">
        <w:t xml:space="preserve">(AE) </w:t>
      </w:r>
      <w:r w:rsidRPr="00064FEB">
        <w:t xml:space="preserve">have been shown to occur commonly with </w:t>
      </w:r>
      <w:r w:rsidR="00463CE0" w:rsidRPr="00064FEB">
        <w:t>brentuximab</w:t>
      </w:r>
      <w:r w:rsidRPr="00064FEB">
        <w:t xml:space="preserve"> vedotin with at least one treatment-related AE of any grade reported in 88% of patients in the brentuximab vedotin arm of Study SGN35-005. Most of these AES were minor and the most common, peripheral neuropathy and neutropaenia, were reversible and could usually be managed by dose delay. However, more serious </w:t>
      </w:r>
      <w:r w:rsidR="00FA46B3">
        <w:t>adverse events (S</w:t>
      </w:r>
      <w:r w:rsidRPr="00064FEB">
        <w:t>AE</w:t>
      </w:r>
      <w:r w:rsidR="00FA46B3">
        <w:t>)</w:t>
      </w:r>
      <w:r w:rsidRPr="00064FEB">
        <w:t xml:space="preserve"> (Grade 3 or higher) were reported in 44% of patients and 32% discontinued treatment with brentuximab vedotin due to AEs. A considerable proportion of patients required dose delays (54%) or dose reduction (32%) to manage adverse events.</w:t>
      </w:r>
    </w:p>
    <w:p w14:paraId="782C0678" w14:textId="2E4C6BA9" w:rsidR="00064FEB" w:rsidRPr="00064FEB" w:rsidRDefault="00064FEB" w:rsidP="00064FEB">
      <w:r w:rsidRPr="00064FEB">
        <w:t>The evaluator notes that the quality of life measurements</w:t>
      </w:r>
      <w:r w:rsidR="00463CE0">
        <w:t xml:space="preserve"> (See Attachment 2: Section 7, ‘</w:t>
      </w:r>
      <w:r w:rsidRPr="00064FEB">
        <w:t xml:space="preserve">Results for the other </w:t>
      </w:r>
      <w:r w:rsidR="00463CE0">
        <w:t>efficacy outcomes, Q</w:t>
      </w:r>
      <w:r w:rsidRPr="00064FEB">
        <w:t>uality of life assessments</w:t>
      </w:r>
      <w:r w:rsidR="00463CE0">
        <w:t>’ for further details)</w:t>
      </w:r>
      <w:r w:rsidRPr="00064FEB">
        <w:t xml:space="preserve"> appear inconsistent with the rate of occurrence of AEs reported in the study. According to the instrument used, there was little change in the quality of life measure from baseline to the end of the follow-up period for those patients who did not develop progre</w:t>
      </w:r>
      <w:r w:rsidR="00463CE0">
        <w:t>ssive disease. Despite this, AEs</w:t>
      </w:r>
      <w:r w:rsidRPr="00064FEB">
        <w:t xml:space="preserve"> in 32% of the patients in the brentuximab arm were significant or distressing enough for these patients to discontinue treatment.</w:t>
      </w:r>
    </w:p>
    <w:p w14:paraId="4C013363" w14:textId="3D0B86AF" w:rsidR="00064FEB" w:rsidRPr="00064FEB" w:rsidRDefault="00064FEB" w:rsidP="00064FEB">
      <w:r w:rsidRPr="00064FEB">
        <w:t xml:space="preserve">The safety assessment provided by the sponsor referred only to Study SGN35-005. As a consequence, serious albeit rare, risks associated with brentuximab vedotin treatment were not given sufficient consideration in the benefit-risk evaluation provided by the sponsor. Safety issues of concern identified in the whole clinical trials programme were common AEs including peripheral neuropathy, neutropaenia, infection, hyperglycaemia and infusion related reactions together with the rare risks of serious skin reactions and </w:t>
      </w:r>
      <w:r w:rsidR="003C7AB5">
        <w:t>PML</w:t>
      </w:r>
      <w:r w:rsidRPr="00EE3F20">
        <w:t>. Post-marketing reports and cumulative reviews of the clinical studies safety data have identified a number of other real or potential risks that have been associated with fatal outcomes, including acute pancreatitis, febrile neutropaenia, severe sepsis/septic shock, opportunistic infection</w:t>
      </w:r>
      <w:r w:rsidRPr="00064FEB">
        <w:t xml:space="preserve">, hepatotoxicity with fulminant hepatic failure, pulmonary toxicity with monotherapy resulting in pneumonitis and ARDS, serious skin reactions (including Stevens-Johnson </w:t>
      </w:r>
      <w:r w:rsidR="003C7AB5">
        <w:t>s</w:t>
      </w:r>
      <w:r w:rsidRPr="00064FEB">
        <w:t xml:space="preserve">yndrome and </w:t>
      </w:r>
      <w:r w:rsidR="003C7AB5">
        <w:t>t</w:t>
      </w:r>
      <w:r w:rsidRPr="00064FEB">
        <w:t xml:space="preserve">oxic </w:t>
      </w:r>
      <w:r w:rsidR="003C7AB5">
        <w:t>e</w:t>
      </w:r>
      <w:r w:rsidRPr="00064FEB">
        <w:t xml:space="preserve">pidermal </w:t>
      </w:r>
      <w:r w:rsidR="003C7AB5">
        <w:t>n</w:t>
      </w:r>
      <w:r w:rsidRPr="00064FEB">
        <w:t>ecrolysis), anaphylaxis and gastrointestinal complications.</w:t>
      </w:r>
    </w:p>
    <w:p w14:paraId="651D384D" w14:textId="77777777" w:rsidR="00064FEB" w:rsidRPr="00064FEB" w:rsidRDefault="00064FEB" w:rsidP="00463CE0">
      <w:pPr>
        <w:pStyle w:val="Heading5"/>
      </w:pPr>
      <w:r w:rsidRPr="00064FEB">
        <w:t>Common AEs</w:t>
      </w:r>
    </w:p>
    <w:p w14:paraId="2D05CBEC" w14:textId="77777777" w:rsidR="00064FEB" w:rsidRPr="00064FEB" w:rsidRDefault="00064FEB" w:rsidP="00463CE0">
      <w:pPr>
        <w:pStyle w:val="ListBullet"/>
      </w:pPr>
      <w:r w:rsidRPr="00064FEB">
        <w:t>Treatment emergent peripheral neuropathy (PN) was reported in 67% of patients in the brentuximab vedotin arm of Study SGN35-005, 56% of patients in the Phase II Population and is the most common spontaneously reported AE from post-marketing sources. In the patients in the brentuximab arm of the Phase III study, the PN was usually mild (Grade 3 severity in 13% and no Grade 4 severity), reversible, described as having little effect on quality of life and was managed by dose delay or reduction. Despite this, one third of the patients who developed PN discontinued treatment with brentuximab vedotin due to this AE.</w:t>
      </w:r>
    </w:p>
    <w:p w14:paraId="526CF06E" w14:textId="76106927" w:rsidR="00064FEB" w:rsidRPr="00064FEB" w:rsidRDefault="00064FEB" w:rsidP="00463CE0">
      <w:pPr>
        <w:pStyle w:val="ListBullet"/>
      </w:pPr>
      <w:r w:rsidRPr="00064FEB">
        <w:t xml:space="preserve">Neutropaenia was reported in 35% of patients in the brentuximab vedotin arm of Study SGN35-005, 21% of </w:t>
      </w:r>
      <w:r w:rsidR="003C7AB5">
        <w:t>patients in the Phase II p</w:t>
      </w:r>
      <w:r w:rsidRPr="00064FEB">
        <w:t xml:space="preserve">opulation and is the cause of a number of spontaneous reports from post-marketing sources. In the clinical studies, neutropaenia appeared to be well managed by dose delay and growth factor support. </w:t>
      </w:r>
      <w:r w:rsidRPr="00064FEB">
        <w:lastRenderedPageBreak/>
        <w:t>In the Phase III study, Grade 4 neutropaenia was reported in a small number of patients and there was one report of febrile neutropaenia. In the Phase II Population, there was one report of febrile neutropaenia and septic shock with a fatal outcome. Febrile neutropaenia with fatal outcomes has also been reported from post-marketing sources. Other manifestations of haematological toxicity, including anaemia and thrombocytopaenia, have been reported during brentuximab vedotin therapy.</w:t>
      </w:r>
    </w:p>
    <w:p w14:paraId="385081AE" w14:textId="34C1B296" w:rsidR="00064FEB" w:rsidRPr="00064FEB" w:rsidRDefault="00064FEB" w:rsidP="00463CE0">
      <w:pPr>
        <w:pStyle w:val="ListBullet"/>
      </w:pPr>
      <w:r w:rsidRPr="00064FEB">
        <w:t xml:space="preserve">Infections were common in the clinical studies, although these were most commonly mild with upper respiratory tract infection in 26% of brentuximab vedotin patients in the Phase III study. Serious infections were uncommon and reported for 9% in the brentuximab vedotin arm of the Phase III study and 10% of the Phase II </w:t>
      </w:r>
      <w:r w:rsidR="00600B50">
        <w:t>p</w:t>
      </w:r>
      <w:r w:rsidRPr="00064FEB">
        <w:t xml:space="preserve">opulation. Serious infections in the Phase III study included pneumonia and opportunistic infections such as reactivation of </w:t>
      </w:r>
      <w:r w:rsidRPr="00463CE0">
        <w:t>herpes zoster, herpes simplex</w:t>
      </w:r>
      <w:r w:rsidRPr="00064FEB">
        <w:t xml:space="preserve"> and one case of </w:t>
      </w:r>
      <w:r w:rsidRPr="00064FEB">
        <w:rPr>
          <w:i/>
        </w:rPr>
        <w:t>Pneumocystis jiroveccii</w:t>
      </w:r>
      <w:r w:rsidRPr="00064FEB">
        <w:t xml:space="preserve"> pneumonia. Many of these infections were also reported for the placebo arm, although at a lower incident rate. There were 2 deaths from opportunistic infection in the Phase II </w:t>
      </w:r>
      <w:r w:rsidR="00600B50">
        <w:t>p</w:t>
      </w:r>
      <w:r w:rsidRPr="00064FEB">
        <w:t xml:space="preserve">opulation and a number of opportunistic infections with fatal outcome have been reported by post-marketing sources, including aspergillosis, </w:t>
      </w:r>
      <w:r w:rsidR="00F05D55">
        <w:t>cytomegalovirus</w:t>
      </w:r>
      <w:r w:rsidRPr="00064FEB">
        <w:t xml:space="preserve"> and </w:t>
      </w:r>
      <w:r w:rsidRPr="00064FEB">
        <w:rPr>
          <w:i/>
        </w:rPr>
        <w:t>pseudomonas</w:t>
      </w:r>
      <w:r w:rsidRPr="00064FEB">
        <w:t xml:space="preserve"> infection.</w:t>
      </w:r>
    </w:p>
    <w:p w14:paraId="038BC243" w14:textId="229970AE" w:rsidR="00064FEB" w:rsidRPr="00064FEB" w:rsidRDefault="00064FEB" w:rsidP="00463CE0">
      <w:pPr>
        <w:pStyle w:val="ListBullet"/>
      </w:pPr>
      <w:r w:rsidRPr="00064FEB">
        <w:t xml:space="preserve">Infusion-Related Reactions </w:t>
      </w:r>
      <w:r w:rsidR="00F24A3E">
        <w:t xml:space="preserve">(IRR) </w:t>
      </w:r>
      <w:r w:rsidRPr="00064FEB">
        <w:t>w</w:t>
      </w:r>
      <w:r w:rsidR="0032354E">
        <w:t>as</w:t>
      </w:r>
      <w:r w:rsidRPr="00064FEB">
        <w:t xml:space="preserve"> reported in 15% of patients in the brentuximab vedotin arm of Study SGN35-005, 11% of patients in the Phase II </w:t>
      </w:r>
      <w:r w:rsidR="00E420BF">
        <w:t>p</w:t>
      </w:r>
      <w:r w:rsidRPr="00064FEB">
        <w:t xml:space="preserve">opulation and </w:t>
      </w:r>
      <w:r w:rsidR="0032354E" w:rsidRPr="00064FEB">
        <w:t>was</w:t>
      </w:r>
      <w:r w:rsidRPr="00064FEB">
        <w:t xml:space="preserve"> frequently reported by post-marketing sources. The adverse events most commonly associated with infusion-related reactions were mild to moderate (Grade 1 or Grade 2) and included headache, rash, back pain, vomiting, chills, nausea, dyspn</w:t>
      </w:r>
      <w:r w:rsidR="00463CE0">
        <w:t>o</w:t>
      </w:r>
      <w:r w:rsidRPr="00064FEB">
        <w:t>ea, pruritus, and cough. No cases of anaphylaxis have been reported in the Phase II or III populations, although 2 cases were reported in the Phase I population. There have been 4 reports of fatal outcome in association with IRR from post-marketing sources. Measurement of ATA in patients exposed to brentuximab vedotin seem to indicate that patients who become ‘persistently positive’ are more likely to have IRRs and that these reactions may be more severe</w:t>
      </w:r>
      <w:r w:rsidRPr="00B31B75">
        <w:t>. The reliability of the assay on which this conclusion is based is questioned and these conclusions may not be valid</w:t>
      </w:r>
      <w:r w:rsidRPr="00064FEB">
        <w:t xml:space="preserve">. IRRs in the clinical study population were usually successfully managed by infusion interruption, treatment of the reaction, followed by recommencement of the infusion at a lower rate. Subsequent doses were administered with or without prophylaxis. The </w:t>
      </w:r>
      <w:r w:rsidR="00357CF8">
        <w:t>EU Summary of Product Characteristics (</w:t>
      </w:r>
      <w:r w:rsidRPr="00064FEB">
        <w:t>SmPC</w:t>
      </w:r>
      <w:r w:rsidR="00357CF8">
        <w:t>)</w:t>
      </w:r>
      <w:r w:rsidRPr="00064FEB">
        <w:t xml:space="preserve"> recommends the use of prophylaxis with subsequent doses if a patient experiences an </w:t>
      </w:r>
      <w:r w:rsidR="0032354E" w:rsidRPr="00064FEB">
        <w:t>IRR</w:t>
      </w:r>
      <w:r w:rsidRPr="00064FEB">
        <w:t xml:space="preserve"> and discontinuation if anaphylaxis occurs.</w:t>
      </w:r>
    </w:p>
    <w:p w14:paraId="23A833D9" w14:textId="77777777" w:rsidR="00064FEB" w:rsidRPr="00064FEB" w:rsidRDefault="00064FEB" w:rsidP="00463CE0">
      <w:pPr>
        <w:pStyle w:val="ListBullet"/>
      </w:pPr>
      <w:r w:rsidRPr="00064FEB">
        <w:t>Hyperglycaemia has been reported in 3% of the Phase II study population and 7% of the Phase II population. Predisposing factors are thought to be obesity or pre-existing hyperglycaemia. It was usually managed by insulin or oral hypoglycaemics.</w:t>
      </w:r>
    </w:p>
    <w:p w14:paraId="06D9C575" w14:textId="6BF6D8E2" w:rsidR="00064FEB" w:rsidRPr="00064FEB" w:rsidRDefault="0026663A" w:rsidP="0026663A">
      <w:pPr>
        <w:pStyle w:val="Heading5"/>
      </w:pPr>
      <w:r>
        <w:t>Uncommon and unpredictable a</w:t>
      </w:r>
      <w:r w:rsidR="00064FEB" w:rsidRPr="00064FEB">
        <w:t xml:space="preserve">dverse </w:t>
      </w:r>
      <w:r>
        <w:t>e</w:t>
      </w:r>
      <w:r w:rsidR="00064FEB" w:rsidRPr="00064FEB">
        <w:t>vents</w:t>
      </w:r>
    </w:p>
    <w:p w14:paraId="6B78C0C4" w14:textId="77777777" w:rsidR="00064FEB" w:rsidRPr="00064FEB" w:rsidRDefault="00064FEB" w:rsidP="00064FEB">
      <w:r w:rsidRPr="00064FEB">
        <w:t>A number of rare, life-threatening adverse events have been observed in association with brentuximab vedotin. Of these, hepatotoxicity and gastrointestinal complications were predictable from the non-clinical studies. However, pulmonary toxicity with monotherapy, serious skin reactions, acute pancreatitis and gastrointestinal complications were not. A direct causal relationship has not been established for each of these risks.</w:t>
      </w:r>
    </w:p>
    <w:p w14:paraId="1287FFF0" w14:textId="477D0B18" w:rsidR="00064FEB" w:rsidRPr="00064FEB" w:rsidRDefault="00064FEB" w:rsidP="0026663A">
      <w:pPr>
        <w:pStyle w:val="ListBullet"/>
      </w:pPr>
      <w:r w:rsidRPr="00064FEB">
        <w:t>Hepatotoxicity</w:t>
      </w:r>
      <w:r w:rsidRPr="00064FEB">
        <w:rPr>
          <w:i/>
        </w:rPr>
        <w:t xml:space="preserve"> </w:t>
      </w:r>
      <w:r w:rsidRPr="00064FEB">
        <w:t xml:space="preserve">was reported in 7% of patients in the brentuximab vedotin arm of Study SGN35-005. The incidence in the </w:t>
      </w:r>
      <w:r w:rsidR="00E420BF">
        <w:t>c</w:t>
      </w:r>
      <w:r w:rsidRPr="00064FEB">
        <w:t xml:space="preserve">linical </w:t>
      </w:r>
      <w:r w:rsidR="00E420BF">
        <w:t>s</w:t>
      </w:r>
      <w:r w:rsidRPr="00064FEB">
        <w:t>tudies programme has been estimated at 1.4%. The majority of events in the studies were asymptomatic with mild to moderate transient elevations in aspartate aminotransferase</w:t>
      </w:r>
      <w:r w:rsidR="00F05D55">
        <w:t xml:space="preserve"> </w:t>
      </w:r>
      <w:r w:rsidRPr="00064FEB">
        <w:t xml:space="preserve">(AST) and alanine aminotransferase (ALT) that occurred after 1 to 2 treatment cycles and were reversible. A number of cases of severe or fulminant hepatitis have been reported from the clinical studies and from post-marketing sources, including one case from the Phase III study. Some of these cases have had fatal outcome. Hepatotoxicity was </w:t>
      </w:r>
      <w:r w:rsidRPr="00064FEB">
        <w:lastRenderedPageBreak/>
        <w:t>identified as an Important Potential Risk in 2013. Following a cumulative review of hepatotoxicity performed in 2015, the sponsor has suggested strengthening the warning in the PI.</w:t>
      </w:r>
    </w:p>
    <w:p w14:paraId="067260D9" w14:textId="77777777" w:rsidR="00064FEB" w:rsidRPr="00064FEB" w:rsidRDefault="00064FEB" w:rsidP="0026663A">
      <w:pPr>
        <w:pStyle w:val="ListBullet"/>
      </w:pPr>
      <w:r w:rsidRPr="00064FEB">
        <w:t>Pulmonary toxicity was reported in 5% of patients in the brentuximab vedotin arm of the Phase III study and for 3% of the overall clinical studies population. It usually manifested as a mild disorder with cough, dyspnoea and lung infiltrates. More severe pulmonary toxicity with acute respiratory distress syndrome (ARDS) has also been described and has been associated with fatal outcome, including 2 deaths attributed to ARDS in the Phase III study. Pulmonary toxicity with monotherapy was listed as an Important Potential Risk in the SmPC in 2014. Following a cumulative review of pulmonary toxicity with monotherapy performed in 2015, the sponsor has suggested strengthening the warning in the PI.</w:t>
      </w:r>
    </w:p>
    <w:p w14:paraId="6CFA2352" w14:textId="77777777" w:rsidR="00064FEB" w:rsidRPr="00064FEB" w:rsidRDefault="00064FEB" w:rsidP="0026663A">
      <w:pPr>
        <w:pStyle w:val="ListBullet"/>
      </w:pPr>
      <w:r w:rsidRPr="00064FEB">
        <w:t>Acute pancreatitis has been reported in a small number of patients from the clinical studies population (incidence &lt; 1%), including one patient from the brentuximab vedotin arm of the Phase III study. The disorder was commonly severe and has been associated with fatal outcome. Acute pancreatitis was listed as an Important Potential Risk in the SmPC in 2013.</w:t>
      </w:r>
    </w:p>
    <w:p w14:paraId="5329ED5C" w14:textId="06BEF291" w:rsidR="00064FEB" w:rsidRPr="00064FEB" w:rsidRDefault="0026663A" w:rsidP="0026663A">
      <w:pPr>
        <w:pStyle w:val="ListBullet"/>
      </w:pPr>
      <w:r>
        <w:t>Stevens-Johnson s</w:t>
      </w:r>
      <w:r w:rsidR="00064FEB" w:rsidRPr="00064FEB">
        <w:t>yndrome (SJS) in association with brentuximab vedotin therapy was reported early in the clinical trials programme, with an estimated incidence of 1%. Two cases of toxic epidermal necrolysis (TEN), each with a fatal outcome, have been reported: one from the clinical trials programme and one from post-marketing sources. TEN, together with SJS, was therefore identified as a new and important risk with brentuximab vedotin. This information was added to the SmPC and also included in the boxed warning regarding risks with possible fatal outcomes in the Canadian PI.</w:t>
      </w:r>
    </w:p>
    <w:p w14:paraId="0A83C3E8" w14:textId="19B20C61" w:rsidR="00064FEB" w:rsidRPr="00064FEB" w:rsidRDefault="00064FEB" w:rsidP="0026663A">
      <w:pPr>
        <w:pStyle w:val="ListBullet"/>
      </w:pPr>
      <w:r w:rsidRPr="00064FEB">
        <w:t>PML has been has been reported in no patients who have received brentuximab vedotin after receiving multiple prior chemotherapy regimens, 7 of whom have died and the outcome is unknown for one. The reporting rate is estimated at less than 0.05% and a causal relationship has not been established.</w:t>
      </w:r>
    </w:p>
    <w:p w14:paraId="7BFF5AD1" w14:textId="77777777" w:rsidR="00064FEB" w:rsidRPr="00064FEB" w:rsidRDefault="00064FEB" w:rsidP="0026663A">
      <w:pPr>
        <w:pStyle w:val="ListBullet"/>
      </w:pPr>
      <w:r w:rsidRPr="00064FEB">
        <w:t>Tumour lysis syndrome has been reported in a small number of patients receiving brentuximab vedotin and has been associated with fatal outcome.</w:t>
      </w:r>
    </w:p>
    <w:p w14:paraId="0E4C0555" w14:textId="77777777" w:rsidR="00064FEB" w:rsidRPr="00064FEB" w:rsidRDefault="00064FEB" w:rsidP="0026663A">
      <w:pPr>
        <w:pStyle w:val="ListBullet"/>
      </w:pPr>
      <w:r w:rsidRPr="00064FEB">
        <w:t>Other safety signals, such as cardiac dysfunction, PRES and thymus depletion are being closely monitored.</w:t>
      </w:r>
    </w:p>
    <w:p w14:paraId="0B3D79FC" w14:textId="666C50A8" w:rsidR="00605AD4" w:rsidRPr="00605AD4" w:rsidRDefault="00064FEB" w:rsidP="00605AD4">
      <w:r w:rsidRPr="00064FEB">
        <w:t>A number of other questions regarding the safety profile of brentuximab vedotin have yet to be answered. These include use in special populations (paediatric, elderly, renal or hepatic impairment) and immunogenicity, including the effects of ATA on efficacy and safety. Determining the meaning and significance of anti-brentuximab vedotin antibodies will require development of a more precise assay. Wider use and reports from post-marketing sources may identify other safety concerns or help refine existing ones (for example, cardiac dysfunction). Possible delayed adverse effects of brentuximab vedotin (in particular, secondary malignancies) may yet be identified through prolonged follow-up of the clinical studies populations.</w:t>
      </w:r>
    </w:p>
    <w:p w14:paraId="507D7C82" w14:textId="048F006B" w:rsidR="00605AD4" w:rsidRDefault="00605AD4" w:rsidP="00605AD4">
      <w:pPr>
        <w:pStyle w:val="Heading3"/>
        <w:rPr>
          <w:rFonts w:eastAsia="Cambria"/>
        </w:rPr>
      </w:pPr>
      <w:bookmarkStart w:id="75" w:name="_Toc495400783"/>
      <w:r w:rsidRPr="00605AD4">
        <w:rPr>
          <w:rFonts w:eastAsia="Cambria"/>
        </w:rPr>
        <w:t xml:space="preserve">First </w:t>
      </w:r>
      <w:r w:rsidR="00E97E63" w:rsidRPr="00E97E63">
        <w:rPr>
          <w:rFonts w:eastAsia="Cambria"/>
          <w:sz w:val="24"/>
        </w:rPr>
        <w:t>round benefit-risk assessment</w:t>
      </w:r>
      <w:bookmarkEnd w:id="75"/>
    </w:p>
    <w:p w14:paraId="136E7A40" w14:textId="3DB3236B" w:rsidR="005E163E" w:rsidRPr="005E163E" w:rsidRDefault="005E163E" w:rsidP="005E163E">
      <w:r>
        <w:t xml:space="preserve">Please see </w:t>
      </w:r>
      <w:r w:rsidRPr="005E163E">
        <w:rPr>
          <w:i/>
        </w:rPr>
        <w:t>Fir</w:t>
      </w:r>
      <w:r>
        <w:rPr>
          <w:i/>
        </w:rPr>
        <w:t xml:space="preserve">st </w:t>
      </w:r>
      <w:r w:rsidRPr="005E163E">
        <w:rPr>
          <w:i/>
        </w:rPr>
        <w:t>round benefit-risk assessment</w:t>
      </w:r>
      <w:r>
        <w:t xml:space="preserve"> in Attachment 2 and </w:t>
      </w:r>
      <w:r w:rsidRPr="005E163E">
        <w:rPr>
          <w:i/>
        </w:rPr>
        <w:t>Second round benefit risk assessment</w:t>
      </w:r>
      <w:r>
        <w:t xml:space="preserve"> below.</w:t>
      </w:r>
    </w:p>
    <w:p w14:paraId="150947DF" w14:textId="7D23D721" w:rsidR="00605AD4" w:rsidRPr="00605AD4" w:rsidRDefault="00605AD4" w:rsidP="00605AD4">
      <w:pPr>
        <w:pStyle w:val="Heading3"/>
        <w:rPr>
          <w:rFonts w:eastAsia="Cambria"/>
        </w:rPr>
      </w:pPr>
      <w:bookmarkStart w:id="76" w:name="_Toc495400784"/>
      <w:r w:rsidRPr="00605AD4">
        <w:rPr>
          <w:rFonts w:eastAsia="Cambria"/>
        </w:rPr>
        <w:t xml:space="preserve">First </w:t>
      </w:r>
      <w:r w:rsidR="00E97E63" w:rsidRPr="00605AD4">
        <w:rPr>
          <w:rFonts w:eastAsia="Cambria"/>
        </w:rPr>
        <w:t>round recommendation regarding authorisation</w:t>
      </w:r>
      <w:bookmarkEnd w:id="76"/>
    </w:p>
    <w:p w14:paraId="2016E704" w14:textId="1E39F8B4" w:rsidR="00605AD4" w:rsidRPr="00605AD4" w:rsidRDefault="001F60FB" w:rsidP="00605AD4">
      <w:r w:rsidRPr="00F014D0">
        <w:rPr>
          <w:lang w:eastAsia="ja-JP"/>
        </w:rPr>
        <w:t>The evaluator is unable to make a recommendation at this time.</w:t>
      </w:r>
    </w:p>
    <w:p w14:paraId="29A9565A" w14:textId="379262EF" w:rsidR="00605AD4" w:rsidRPr="00605AD4" w:rsidRDefault="00605AD4" w:rsidP="00605AD4">
      <w:pPr>
        <w:pStyle w:val="Heading3"/>
        <w:rPr>
          <w:rFonts w:eastAsia="Cambria"/>
        </w:rPr>
      </w:pPr>
      <w:bookmarkStart w:id="77" w:name="_Toc495400785"/>
      <w:r w:rsidRPr="00605AD4">
        <w:rPr>
          <w:rFonts w:eastAsia="Cambria"/>
        </w:rPr>
        <w:lastRenderedPageBreak/>
        <w:t xml:space="preserve">Clinical </w:t>
      </w:r>
      <w:r w:rsidR="00E97E63">
        <w:rPr>
          <w:rFonts w:eastAsia="Cambria"/>
        </w:rPr>
        <w:t>q</w:t>
      </w:r>
      <w:r w:rsidRPr="00605AD4">
        <w:rPr>
          <w:rFonts w:eastAsia="Cambria"/>
        </w:rPr>
        <w:t>uestions</w:t>
      </w:r>
      <w:bookmarkEnd w:id="77"/>
    </w:p>
    <w:p w14:paraId="606282A0" w14:textId="64ACA991" w:rsidR="00605AD4" w:rsidRPr="00605AD4" w:rsidRDefault="001F60FB" w:rsidP="00605AD4">
      <w:r>
        <w:t>For details of the evaluator’s clinical questions, please see Attachment 2.</w:t>
      </w:r>
    </w:p>
    <w:p w14:paraId="3E3A1C5A" w14:textId="071122AB" w:rsidR="00605AD4" w:rsidRPr="00605AD4" w:rsidRDefault="00605AD4" w:rsidP="00605AD4">
      <w:pPr>
        <w:pStyle w:val="Heading3"/>
        <w:rPr>
          <w:rFonts w:eastAsia="Cambria"/>
        </w:rPr>
      </w:pPr>
      <w:bookmarkStart w:id="78" w:name="_Toc495400786"/>
      <w:r w:rsidRPr="00605AD4">
        <w:rPr>
          <w:rFonts w:eastAsia="Cambria"/>
        </w:rPr>
        <w:t xml:space="preserve">Second </w:t>
      </w:r>
      <w:r w:rsidR="00E97E63" w:rsidRPr="00605AD4">
        <w:rPr>
          <w:rFonts w:eastAsia="Cambria"/>
        </w:rPr>
        <w:t xml:space="preserve">round evaluation </w:t>
      </w:r>
      <w:r w:rsidRPr="00605AD4">
        <w:rPr>
          <w:rFonts w:eastAsia="Cambria"/>
        </w:rPr>
        <w:t>of clinical data submitted in response to questions</w:t>
      </w:r>
      <w:bookmarkEnd w:id="78"/>
    </w:p>
    <w:p w14:paraId="565E7592" w14:textId="77777777" w:rsidR="006136D7" w:rsidRPr="00605AD4" w:rsidRDefault="006136D7" w:rsidP="006136D7">
      <w:r>
        <w:t>For details of the sponsor’s responses and the evaluation of these responses please see Attachment 2.</w:t>
      </w:r>
    </w:p>
    <w:p w14:paraId="00D149D2" w14:textId="769DD3CC" w:rsidR="00605AD4" w:rsidRDefault="00605AD4" w:rsidP="00546154">
      <w:pPr>
        <w:pStyle w:val="Heading3"/>
        <w:rPr>
          <w:rFonts w:eastAsia="Cambria"/>
        </w:rPr>
      </w:pPr>
      <w:bookmarkStart w:id="79" w:name="_Toc495400787"/>
      <w:r w:rsidRPr="00605AD4">
        <w:rPr>
          <w:rFonts w:eastAsia="Cambria"/>
        </w:rPr>
        <w:t xml:space="preserve">Second </w:t>
      </w:r>
      <w:r w:rsidR="00E97E63" w:rsidRPr="00605AD4">
        <w:rPr>
          <w:rFonts w:eastAsia="Cambria"/>
        </w:rPr>
        <w:t>round benefit-risk assessment</w:t>
      </w:r>
      <w:bookmarkEnd w:id="79"/>
    </w:p>
    <w:p w14:paraId="3B5F7B9C" w14:textId="77777777" w:rsidR="001F60FB" w:rsidRPr="00F014D0" w:rsidRDefault="001F60FB" w:rsidP="001F60FB">
      <w:pPr>
        <w:pStyle w:val="Heading4"/>
      </w:pPr>
      <w:bookmarkStart w:id="80" w:name="_Toc272414709"/>
      <w:bookmarkStart w:id="81" w:name="_Toc290846349"/>
      <w:bookmarkStart w:id="82" w:name="_Toc449884369"/>
      <w:bookmarkStart w:id="83" w:name="_Toc484462226"/>
      <w:r w:rsidRPr="00F014D0">
        <w:t>Second round assessment of benefits</w:t>
      </w:r>
      <w:bookmarkEnd w:id="80"/>
      <w:bookmarkEnd w:id="81"/>
      <w:bookmarkEnd w:id="82"/>
      <w:bookmarkEnd w:id="83"/>
    </w:p>
    <w:p w14:paraId="5915EF21" w14:textId="6D685BB8" w:rsidR="001F60FB" w:rsidRPr="00F014D0" w:rsidRDefault="001F60FB" w:rsidP="001F60FB">
      <w:pPr>
        <w:rPr>
          <w:lang w:eastAsia="ja-JP"/>
        </w:rPr>
      </w:pPr>
      <w:r w:rsidRPr="00F014D0">
        <w:rPr>
          <w:lang w:eastAsia="ja-JP"/>
        </w:rPr>
        <w:t xml:space="preserve">After consideration of the responses to clinical questions, the benefit of </w:t>
      </w:r>
      <w:r w:rsidR="003F50B8" w:rsidRPr="00F014D0">
        <w:rPr>
          <w:lang w:eastAsia="ja-JP"/>
        </w:rPr>
        <w:t>brentuximab</w:t>
      </w:r>
      <w:r w:rsidRPr="00F014D0">
        <w:rPr>
          <w:lang w:eastAsia="ja-JP"/>
        </w:rPr>
        <w:t xml:space="preserve"> vedotin in the proposed usage is a substantial increase in </w:t>
      </w:r>
      <w:r w:rsidR="00F90A7D">
        <w:rPr>
          <w:lang w:eastAsia="ja-JP"/>
        </w:rPr>
        <w:t>PFS</w:t>
      </w:r>
      <w:r w:rsidRPr="00F014D0">
        <w:rPr>
          <w:lang w:eastAsia="ja-JP"/>
        </w:rPr>
        <w:t xml:space="preserve"> when used following ASCT for adult patients with relapsed or refractory CD 30+ </w:t>
      </w:r>
      <w:r w:rsidR="00F05D55">
        <w:rPr>
          <w:lang w:eastAsia="ja-JP"/>
        </w:rPr>
        <w:t>HL</w:t>
      </w:r>
      <w:r w:rsidRPr="00F014D0">
        <w:rPr>
          <w:lang w:eastAsia="ja-JP"/>
        </w:rPr>
        <w:t xml:space="preserve"> at increased risk of progression following ASCT. This increase was clinically relevant and statistically significant. However, the demonstrated increase in </w:t>
      </w:r>
      <w:r w:rsidR="00F90A7D">
        <w:rPr>
          <w:lang w:eastAsia="ja-JP"/>
        </w:rPr>
        <w:t>PFS</w:t>
      </w:r>
      <w:r w:rsidRPr="00F014D0">
        <w:rPr>
          <w:lang w:eastAsia="ja-JP"/>
        </w:rPr>
        <w:t xml:space="preserve"> did not translate into an improved quality of life so it cannot be said that patients were both remaining disease free for longer and ‘living better’. The increase in </w:t>
      </w:r>
      <w:r w:rsidR="00F90A7D">
        <w:rPr>
          <w:lang w:eastAsia="ja-JP"/>
        </w:rPr>
        <w:t>PFS</w:t>
      </w:r>
      <w:r w:rsidRPr="00F014D0">
        <w:rPr>
          <w:lang w:eastAsia="ja-JP"/>
        </w:rPr>
        <w:t xml:space="preserve"> also did not translate into an increase in </w:t>
      </w:r>
      <w:r w:rsidR="00F90A7D">
        <w:rPr>
          <w:lang w:eastAsia="ja-JP"/>
        </w:rPr>
        <w:t>OS</w:t>
      </w:r>
      <w:r w:rsidRPr="00F014D0">
        <w:rPr>
          <w:lang w:eastAsia="ja-JP"/>
        </w:rPr>
        <w:t xml:space="preserve">, although </w:t>
      </w:r>
      <w:r w:rsidR="00F90A7D">
        <w:rPr>
          <w:lang w:eastAsia="ja-JP"/>
        </w:rPr>
        <w:t>OS</w:t>
      </w:r>
      <w:r w:rsidRPr="00F014D0">
        <w:rPr>
          <w:lang w:eastAsia="ja-JP"/>
        </w:rPr>
        <w:t xml:space="preserve"> results were immature at the time of the analysis.</w:t>
      </w:r>
    </w:p>
    <w:p w14:paraId="3983AE90" w14:textId="77777777" w:rsidR="001F60FB" w:rsidRPr="00F014D0" w:rsidRDefault="001F60FB" w:rsidP="001F60FB">
      <w:pPr>
        <w:rPr>
          <w:lang w:eastAsia="ja-JP"/>
        </w:rPr>
      </w:pPr>
      <w:r w:rsidRPr="00F014D0">
        <w:rPr>
          <w:lang w:eastAsia="ja-JP"/>
        </w:rPr>
        <w:t>The patient population in the pivotal study presented was heterogeneous with regard to risk of pro</w:t>
      </w:r>
      <w:r>
        <w:rPr>
          <w:lang w:eastAsia="ja-JP"/>
        </w:rPr>
        <w:t>gression following ASCT and sub</w:t>
      </w:r>
      <w:r w:rsidRPr="00F014D0">
        <w:rPr>
          <w:lang w:eastAsia="ja-JP"/>
        </w:rPr>
        <w:t>group analyses showed that all groups did not receive equal benefits from brentuximab vedotin. Those groups at highest risk of progression according to historical data (refractory disease after frontline therapy, &gt; 2 treatment lines prior to ASCT, B symptoms at the time of relapse prior to ASCT, partial response to salvage therapy and the presence of 3 or more risk factors) appeared more likely to benefit. The group historically at low risk of progression (relapse after 12 months, ≤ 2 prior treatment lines, absence of B symptoms after frontline therapy, CR following salvage therapy) appeared to gain little benefit in terms of PFS wi</w:t>
      </w:r>
      <w:r>
        <w:rPr>
          <w:lang w:eastAsia="ja-JP"/>
        </w:rPr>
        <w:t>th brentuximab vedotin. One sub</w:t>
      </w:r>
      <w:r w:rsidRPr="00F014D0">
        <w:rPr>
          <w:lang w:eastAsia="ja-JP"/>
        </w:rPr>
        <w:t>group at low risk of progression, as shown by the presence of only one risk factor, appeared to fare worse with brentuximab vedotin.</w:t>
      </w:r>
    </w:p>
    <w:p w14:paraId="0BCCA188" w14:textId="77777777" w:rsidR="001F60FB" w:rsidRPr="00F014D0" w:rsidRDefault="001F60FB" w:rsidP="001F60FB">
      <w:pPr>
        <w:rPr>
          <w:lang w:eastAsia="ja-JP"/>
        </w:rPr>
      </w:pPr>
      <w:r w:rsidRPr="00F014D0">
        <w:rPr>
          <w:lang w:eastAsia="ja-JP"/>
        </w:rPr>
        <w:t xml:space="preserve">Better characterisation of patients at greatest risk of progression and/or at least risk may enable better targeting of this therapy. Apart from identifying the patients with one risk factor as a group least likely to benefit and the group with 3 or more risk factors as more likely </w:t>
      </w:r>
      <w:r>
        <w:rPr>
          <w:lang w:eastAsia="ja-JP"/>
        </w:rPr>
        <w:t>to progress, the additional sub</w:t>
      </w:r>
      <w:r w:rsidRPr="00F014D0">
        <w:rPr>
          <w:lang w:eastAsia="ja-JP"/>
        </w:rPr>
        <w:t>group analyses requested by the evaluator were unhelpful with regards to this desired better characterisation. It is possible that an absolute determination of the patients group that is most likely to benefit and least likely to be harmed with brentuximab vedotin in the proposed usage is not possible with currently available information.</w:t>
      </w:r>
    </w:p>
    <w:p w14:paraId="445DA25E" w14:textId="77777777" w:rsidR="001F60FB" w:rsidRPr="00F014D0" w:rsidRDefault="001F60FB" w:rsidP="001F60FB">
      <w:pPr>
        <w:pStyle w:val="Heading4"/>
      </w:pPr>
      <w:bookmarkStart w:id="84" w:name="_Toc272414710"/>
      <w:bookmarkStart w:id="85" w:name="_Toc290846350"/>
      <w:bookmarkStart w:id="86" w:name="_Toc449884370"/>
      <w:bookmarkStart w:id="87" w:name="_Toc484462227"/>
      <w:r w:rsidRPr="00F014D0">
        <w:t>Second round assessment of risks</w:t>
      </w:r>
      <w:bookmarkEnd w:id="84"/>
      <w:bookmarkEnd w:id="85"/>
      <w:bookmarkEnd w:id="86"/>
      <w:bookmarkEnd w:id="87"/>
    </w:p>
    <w:p w14:paraId="572AC052" w14:textId="77777777" w:rsidR="001F60FB" w:rsidRPr="00F014D0" w:rsidRDefault="001F60FB" w:rsidP="001F60FB">
      <w:pPr>
        <w:rPr>
          <w:lang w:eastAsia="ja-JP"/>
        </w:rPr>
      </w:pPr>
      <w:r w:rsidRPr="00F014D0">
        <w:rPr>
          <w:lang w:eastAsia="ja-JP"/>
        </w:rPr>
        <w:t>After consideration of the responses to clinical questions, the risks of brentuximab vedotin in the proposed usage are those of morbidity and mortality due to adverse events or complications of brentuximab vedotin therapy. There is also the risk that, despite the increase in progression free survival, quality of life may not be improved and the patients may receive little benefit from the extra months of life.</w:t>
      </w:r>
    </w:p>
    <w:p w14:paraId="1E20F144" w14:textId="77777777" w:rsidR="001F60FB" w:rsidRPr="00F014D0" w:rsidRDefault="001F60FB" w:rsidP="001F60FB">
      <w:pPr>
        <w:pStyle w:val="Heading5"/>
      </w:pPr>
      <w:r w:rsidRPr="00F014D0">
        <w:lastRenderedPageBreak/>
        <w:t>Morbidity and mortality due to complications of therapy</w:t>
      </w:r>
    </w:p>
    <w:p w14:paraId="70D4919F" w14:textId="77777777" w:rsidR="001F60FB" w:rsidRPr="00F014D0" w:rsidRDefault="001F60FB" w:rsidP="001F60FB">
      <w:pPr>
        <w:rPr>
          <w:lang w:eastAsia="ja-JP"/>
        </w:rPr>
      </w:pPr>
      <w:r w:rsidRPr="00F014D0">
        <w:rPr>
          <w:lang w:eastAsia="ja-JP"/>
        </w:rPr>
        <w:t>Complications of brentuximab vedotin treatment may be divided into predictable and idiosyncratic</w:t>
      </w:r>
      <w:r>
        <w:rPr>
          <w:lang w:eastAsia="ja-JP"/>
        </w:rPr>
        <w:t>.</w:t>
      </w:r>
    </w:p>
    <w:p w14:paraId="25E36B63" w14:textId="77777777" w:rsidR="001F60FB" w:rsidRPr="00F014D0" w:rsidRDefault="001F60FB" w:rsidP="001F60FB">
      <w:pPr>
        <w:pStyle w:val="Heading6"/>
        <w:rPr>
          <w:lang w:eastAsia="ja-JP"/>
        </w:rPr>
      </w:pPr>
      <w:r w:rsidRPr="00F014D0">
        <w:rPr>
          <w:lang w:eastAsia="ja-JP"/>
        </w:rPr>
        <w:t>Predictable complications</w:t>
      </w:r>
    </w:p>
    <w:p w14:paraId="209B7ABA" w14:textId="7BBB8472" w:rsidR="001F60FB" w:rsidRPr="00F014D0" w:rsidRDefault="001F60FB" w:rsidP="001F60FB">
      <w:pPr>
        <w:rPr>
          <w:lang w:eastAsia="ja-JP"/>
        </w:rPr>
      </w:pPr>
      <w:r w:rsidRPr="00F014D0">
        <w:rPr>
          <w:lang w:eastAsia="ja-JP"/>
        </w:rPr>
        <w:t xml:space="preserve">Adverse events are common with brentuximab vedotin therapy (88% of patients in the brentuximab arm of Study SGN35-005 experienced </w:t>
      </w:r>
      <w:r w:rsidR="00FA46B3">
        <w:rPr>
          <w:lang w:eastAsia="ja-JP"/>
        </w:rPr>
        <w:t>treatment-emergent adverse events (TEAE</w:t>
      </w:r>
      <w:r w:rsidRPr="00F014D0">
        <w:rPr>
          <w:lang w:eastAsia="ja-JP"/>
        </w:rPr>
        <w:t>). Their occurrence is believed to be due to ‘off-target’ effects of free MMAE and to the effects on non-malignant CD30+ lymphocytes. The following adverse events have been observed with brentuximab vedotin therapy.</w:t>
      </w:r>
    </w:p>
    <w:p w14:paraId="07BFE92C" w14:textId="77777777" w:rsidR="001F60FB" w:rsidRPr="00F014D0" w:rsidRDefault="001F60FB" w:rsidP="001F60FB">
      <w:pPr>
        <w:pStyle w:val="ListBullet"/>
        <w:numPr>
          <w:ilvl w:val="0"/>
          <w:numId w:val="3"/>
        </w:numPr>
        <w:rPr>
          <w:lang w:eastAsia="ja-JP"/>
        </w:rPr>
      </w:pPr>
      <w:r>
        <w:rPr>
          <w:lang w:eastAsia="ja-JP"/>
        </w:rPr>
        <w:t>Neutropaenia</w:t>
      </w:r>
      <w:r w:rsidRPr="00F014D0">
        <w:rPr>
          <w:lang w:eastAsia="ja-JP"/>
        </w:rPr>
        <w:t xml:space="preserve"> is reported in over a third of patients during brentuximab vedotin therapy. It may be prolonged (≥ 1 week) or severe (Grade 3 or Grade 4). It can usually be managed by monitoring, dose delay and growth factor support. However, febrile </w:t>
      </w:r>
      <w:r>
        <w:rPr>
          <w:lang w:eastAsia="ja-JP"/>
        </w:rPr>
        <w:t>neutropaenia</w:t>
      </w:r>
      <w:r w:rsidRPr="00F014D0">
        <w:rPr>
          <w:lang w:eastAsia="ja-JP"/>
        </w:rPr>
        <w:t xml:space="preserve"> has been reported as an SAE in 8% of patients receiving brentuximab vedotin and deaths from this have been described.</w:t>
      </w:r>
    </w:p>
    <w:p w14:paraId="6860E7EB" w14:textId="77777777" w:rsidR="001F60FB" w:rsidRPr="00F014D0" w:rsidRDefault="001F60FB" w:rsidP="001F60FB">
      <w:pPr>
        <w:pStyle w:val="ListBullet"/>
        <w:numPr>
          <w:ilvl w:val="0"/>
          <w:numId w:val="3"/>
        </w:numPr>
        <w:rPr>
          <w:lang w:eastAsia="ja-JP"/>
        </w:rPr>
      </w:pPr>
      <w:r w:rsidRPr="00F014D0">
        <w:rPr>
          <w:lang w:eastAsia="ja-JP"/>
        </w:rPr>
        <w:t>Peripheral neuropathy is a cumulative dose dependent toxicity that has been described in almost half of the patients receiving brentuximab vedotin, and may be severe. It may be managed by dose reduction or discontinuation and is usually reversible, but this may take a prolonged time (median 16 weeks). Peripheral neuropathy was the cause of treatment discontinuation in 21% of patients in the brentuximab vedotin arm of Study SGN35-005.</w:t>
      </w:r>
    </w:p>
    <w:p w14:paraId="68ADFF48" w14:textId="5379C48F" w:rsidR="001F60FB" w:rsidRPr="00F014D0" w:rsidRDefault="001F60FB" w:rsidP="001F60FB">
      <w:pPr>
        <w:pStyle w:val="ListBullet"/>
        <w:numPr>
          <w:ilvl w:val="0"/>
          <w:numId w:val="3"/>
        </w:numPr>
        <w:rPr>
          <w:lang w:eastAsia="ja-JP"/>
        </w:rPr>
      </w:pPr>
      <w:r w:rsidRPr="00F014D0">
        <w:rPr>
          <w:lang w:eastAsia="ja-JP"/>
        </w:rPr>
        <w:t>Serious infections, such as pneumonia, staphylococcal bacter</w:t>
      </w:r>
      <w:r>
        <w:rPr>
          <w:lang w:eastAsia="ja-JP"/>
        </w:rPr>
        <w:t>a</w:t>
      </w:r>
      <w:r w:rsidRPr="00F014D0">
        <w:rPr>
          <w:lang w:eastAsia="ja-JP"/>
        </w:rPr>
        <w:t xml:space="preserve">emia, sepsis/septic shock (including fatal outcomes), and opportunistic infections such as oral candidiasis, </w:t>
      </w:r>
      <w:r w:rsidRPr="007A7906">
        <w:rPr>
          <w:i/>
          <w:lang w:eastAsia="ja-JP"/>
        </w:rPr>
        <w:t>Pneumocystis jirovecii</w:t>
      </w:r>
      <w:r w:rsidRPr="00F014D0">
        <w:rPr>
          <w:lang w:eastAsia="ja-JP"/>
        </w:rPr>
        <w:t xml:space="preserve"> pneumonia and herpes zoster, have been reported in patients treated with brentuximab vedotin. These have resulted in fatal outcomes</w:t>
      </w:r>
      <w:r w:rsidR="007A7906">
        <w:rPr>
          <w:lang w:eastAsia="ja-JP"/>
        </w:rPr>
        <w:t>.</w:t>
      </w:r>
    </w:p>
    <w:p w14:paraId="76274FFC" w14:textId="3F484B33" w:rsidR="001F60FB" w:rsidRPr="00F014D0" w:rsidRDefault="001F60FB" w:rsidP="001F60FB">
      <w:pPr>
        <w:pStyle w:val="ListBullet"/>
        <w:numPr>
          <w:ilvl w:val="0"/>
          <w:numId w:val="3"/>
        </w:numPr>
        <w:rPr>
          <w:lang w:eastAsia="ja-JP"/>
        </w:rPr>
      </w:pPr>
      <w:r w:rsidRPr="00F014D0">
        <w:rPr>
          <w:lang w:eastAsia="ja-JP"/>
        </w:rPr>
        <w:t>Tumour lysis syndrome has been reported infrequently but has been associated with fatal outcome</w:t>
      </w:r>
      <w:r w:rsidR="007A7906">
        <w:rPr>
          <w:lang w:eastAsia="ja-JP"/>
        </w:rPr>
        <w:t>.</w:t>
      </w:r>
    </w:p>
    <w:p w14:paraId="5D3466CA" w14:textId="77777777" w:rsidR="001F60FB" w:rsidRPr="00F014D0" w:rsidRDefault="001F60FB" w:rsidP="001F60FB">
      <w:pPr>
        <w:pStyle w:val="ListBullet"/>
        <w:numPr>
          <w:ilvl w:val="0"/>
          <w:numId w:val="3"/>
        </w:numPr>
        <w:rPr>
          <w:lang w:eastAsia="ja-JP"/>
        </w:rPr>
      </w:pPr>
      <w:r w:rsidRPr="00F014D0">
        <w:rPr>
          <w:lang w:eastAsia="ja-JP"/>
        </w:rPr>
        <w:t>Infusion related reactions occur commonly during brentuximab vedotin therapy and have included fatal anaphylaxis. The relationship of these reactions to the development of anti-therapeutic antibodies to brentuximab vedotin cannot be determined due to issues related to the ATA assay used.</w:t>
      </w:r>
    </w:p>
    <w:p w14:paraId="3E58311E" w14:textId="77777777" w:rsidR="001F60FB" w:rsidRPr="00F014D0" w:rsidRDefault="001F60FB" w:rsidP="007A7906">
      <w:pPr>
        <w:pStyle w:val="Heading6"/>
        <w:rPr>
          <w:lang w:eastAsia="ja-JP"/>
        </w:rPr>
      </w:pPr>
      <w:r w:rsidRPr="00F014D0">
        <w:rPr>
          <w:lang w:eastAsia="ja-JP"/>
        </w:rPr>
        <w:t>Idiosyncratic reactions</w:t>
      </w:r>
    </w:p>
    <w:p w14:paraId="58612EA7" w14:textId="01768469" w:rsidR="001F60FB" w:rsidRPr="00F014D0" w:rsidRDefault="001F60FB" w:rsidP="001F60FB">
      <w:pPr>
        <w:rPr>
          <w:lang w:eastAsia="ja-JP"/>
        </w:rPr>
      </w:pPr>
      <w:r w:rsidRPr="00F014D0">
        <w:rPr>
          <w:lang w:eastAsia="ja-JP"/>
        </w:rPr>
        <w:t>A number of rare, unpredictable adverse events have been reported with brentuximab vedotin therapy. A clear causal relationship has not been identified for all of the complications listed below but they have been recognised as important risks (‘identified’ or ‘potential’). Cumulative reviews performed in 2015 have strengthened the concerns related to hepato</w:t>
      </w:r>
      <w:r w:rsidR="007A7906">
        <w:rPr>
          <w:lang w:eastAsia="ja-JP"/>
        </w:rPr>
        <w:t>to</w:t>
      </w:r>
      <w:r w:rsidRPr="00F014D0">
        <w:rPr>
          <w:lang w:eastAsia="ja-JP"/>
        </w:rPr>
        <w:t>xicity and pulmonary toxicity. Gastrointestinal complications were recognised as an important potential risk, also in 2015. The complications listed here have all been associated with fatal outcome:</w:t>
      </w:r>
    </w:p>
    <w:p w14:paraId="2347A5F2" w14:textId="77777777" w:rsidR="001F60FB" w:rsidRPr="00F014D0" w:rsidRDefault="001F60FB" w:rsidP="001F60FB">
      <w:pPr>
        <w:pStyle w:val="ListBullet"/>
        <w:numPr>
          <w:ilvl w:val="0"/>
          <w:numId w:val="3"/>
        </w:numPr>
        <w:rPr>
          <w:lang w:eastAsia="ja-JP"/>
        </w:rPr>
      </w:pPr>
      <w:r w:rsidRPr="00F014D0">
        <w:rPr>
          <w:lang w:eastAsia="ja-JP"/>
        </w:rPr>
        <w:t>Acute pancreatitis</w:t>
      </w:r>
    </w:p>
    <w:p w14:paraId="0EB5F043" w14:textId="77777777" w:rsidR="001F60FB" w:rsidRPr="00F014D0" w:rsidRDefault="001F60FB" w:rsidP="001F60FB">
      <w:pPr>
        <w:pStyle w:val="ListBullet"/>
        <w:numPr>
          <w:ilvl w:val="0"/>
          <w:numId w:val="3"/>
        </w:numPr>
        <w:rPr>
          <w:lang w:eastAsia="ja-JP"/>
        </w:rPr>
      </w:pPr>
      <w:r w:rsidRPr="00F014D0">
        <w:rPr>
          <w:lang w:eastAsia="ja-JP"/>
        </w:rPr>
        <w:t>Hepatotoxicity. This may occur in 1% of patients receiving brentuximab vedotin and is usually a mild, reversible hepatocellular injury. However, fulminant hepatitis has also been described in patients receiving brentuximab vedotin.</w:t>
      </w:r>
    </w:p>
    <w:p w14:paraId="74CEE86B" w14:textId="2150A646" w:rsidR="001F60FB" w:rsidRPr="00F014D0" w:rsidRDefault="00F90A7D" w:rsidP="001F60FB">
      <w:pPr>
        <w:pStyle w:val="ListBullet"/>
        <w:numPr>
          <w:ilvl w:val="0"/>
          <w:numId w:val="3"/>
        </w:numPr>
        <w:rPr>
          <w:lang w:eastAsia="ja-JP"/>
        </w:rPr>
      </w:pPr>
      <w:r>
        <w:rPr>
          <w:lang w:eastAsia="ja-JP"/>
        </w:rPr>
        <w:t>SJS</w:t>
      </w:r>
      <w:r w:rsidR="00B80A2C">
        <w:rPr>
          <w:lang w:eastAsia="ja-JP"/>
        </w:rPr>
        <w:t xml:space="preserve"> and t</w:t>
      </w:r>
      <w:r w:rsidR="00EF5E91">
        <w:rPr>
          <w:lang w:eastAsia="ja-JP"/>
        </w:rPr>
        <w:t>oxic epidermal n</w:t>
      </w:r>
      <w:r w:rsidR="001F60FB" w:rsidRPr="00F014D0">
        <w:rPr>
          <w:lang w:eastAsia="ja-JP"/>
        </w:rPr>
        <w:t>ecrolysis</w:t>
      </w:r>
      <w:r w:rsidR="00EF5E91">
        <w:rPr>
          <w:lang w:eastAsia="ja-JP"/>
        </w:rPr>
        <w:t>.</w:t>
      </w:r>
    </w:p>
    <w:p w14:paraId="40B745E9" w14:textId="5599F9A8" w:rsidR="001F60FB" w:rsidRPr="00F014D0" w:rsidRDefault="001F60FB" w:rsidP="001F60FB">
      <w:pPr>
        <w:pStyle w:val="ListBullet"/>
        <w:numPr>
          <w:ilvl w:val="0"/>
          <w:numId w:val="3"/>
        </w:numPr>
        <w:rPr>
          <w:lang w:eastAsia="ja-JP"/>
        </w:rPr>
      </w:pPr>
      <w:r w:rsidRPr="00F014D0">
        <w:rPr>
          <w:lang w:eastAsia="ja-JP"/>
        </w:rPr>
        <w:t>PML</w:t>
      </w:r>
    </w:p>
    <w:p w14:paraId="5201CAFE" w14:textId="77777777" w:rsidR="001F60FB" w:rsidRPr="00F014D0" w:rsidRDefault="001F60FB" w:rsidP="001F60FB">
      <w:pPr>
        <w:pStyle w:val="ListBullet"/>
        <w:numPr>
          <w:ilvl w:val="0"/>
          <w:numId w:val="3"/>
        </w:numPr>
        <w:rPr>
          <w:lang w:eastAsia="ja-JP"/>
        </w:rPr>
      </w:pPr>
      <w:r w:rsidRPr="00F014D0">
        <w:rPr>
          <w:lang w:eastAsia="ja-JP"/>
        </w:rPr>
        <w:t>Infusion related reactions, including life-threatening anaphylaxis</w:t>
      </w:r>
    </w:p>
    <w:p w14:paraId="29D559D3" w14:textId="369DB9E6" w:rsidR="001F60FB" w:rsidRPr="00F014D0" w:rsidRDefault="001F60FB" w:rsidP="001F60FB">
      <w:pPr>
        <w:pStyle w:val="ListBullet"/>
        <w:numPr>
          <w:ilvl w:val="0"/>
          <w:numId w:val="3"/>
        </w:numPr>
        <w:rPr>
          <w:lang w:eastAsia="ja-JP"/>
        </w:rPr>
      </w:pPr>
      <w:r w:rsidRPr="00F014D0">
        <w:rPr>
          <w:lang w:eastAsia="ja-JP"/>
        </w:rPr>
        <w:lastRenderedPageBreak/>
        <w:t>Pulmonary toxicity with cough, dyspnoea and lung infiltrates. AR</w:t>
      </w:r>
      <w:r w:rsidR="00F05D55">
        <w:rPr>
          <w:lang w:eastAsia="ja-JP"/>
        </w:rPr>
        <w:t>DS</w:t>
      </w:r>
      <w:r w:rsidRPr="00F014D0">
        <w:rPr>
          <w:lang w:eastAsia="ja-JP"/>
        </w:rPr>
        <w:t xml:space="preserve"> has also been reported.</w:t>
      </w:r>
    </w:p>
    <w:p w14:paraId="78E3CE8A" w14:textId="77777777" w:rsidR="001F60FB" w:rsidRPr="00F014D0" w:rsidRDefault="001F60FB" w:rsidP="001F60FB">
      <w:pPr>
        <w:pStyle w:val="ListBullet"/>
        <w:numPr>
          <w:ilvl w:val="0"/>
          <w:numId w:val="3"/>
        </w:numPr>
        <w:rPr>
          <w:lang w:eastAsia="ja-JP"/>
        </w:rPr>
      </w:pPr>
      <w:r w:rsidRPr="00F014D0">
        <w:rPr>
          <w:lang w:eastAsia="ja-JP"/>
        </w:rPr>
        <w:t>Gastrointestinal complications</w:t>
      </w:r>
    </w:p>
    <w:p w14:paraId="56776AA2" w14:textId="77777777" w:rsidR="001F60FB" w:rsidRPr="00F014D0" w:rsidRDefault="001F60FB" w:rsidP="001F60FB">
      <w:pPr>
        <w:pStyle w:val="ListBullet"/>
        <w:numPr>
          <w:ilvl w:val="0"/>
          <w:numId w:val="3"/>
        </w:numPr>
        <w:rPr>
          <w:lang w:eastAsia="ja-JP"/>
        </w:rPr>
      </w:pPr>
      <w:r w:rsidRPr="00F014D0">
        <w:rPr>
          <w:lang w:eastAsia="ja-JP"/>
        </w:rPr>
        <w:t>Secondary malignancies</w:t>
      </w:r>
    </w:p>
    <w:p w14:paraId="3E42B546" w14:textId="77777777" w:rsidR="001F60FB" w:rsidRPr="00F014D0" w:rsidRDefault="001F60FB" w:rsidP="001F60FB">
      <w:pPr>
        <w:rPr>
          <w:lang w:eastAsia="ja-JP"/>
        </w:rPr>
      </w:pPr>
      <w:r w:rsidRPr="00F014D0">
        <w:rPr>
          <w:lang w:eastAsia="ja-JP"/>
        </w:rPr>
        <w:t>The risk of death from each of these adverse events or reactions is small. The cumulative risk of death from these possible complications of brentuximab vedotin treatment can be approximated from data provided in the most recent PSUR (PSUR 6) and data from the cumulative reviews provided by the sponsor in response to clinical questions.</w:t>
      </w:r>
    </w:p>
    <w:p w14:paraId="203111E7" w14:textId="531617CD" w:rsidR="001F60FB" w:rsidRPr="00F014D0" w:rsidRDefault="001F60FB" w:rsidP="001F60FB">
      <w:pPr>
        <w:pStyle w:val="Tabletitle0"/>
        <w:rPr>
          <w:lang w:eastAsia="ja-JP"/>
        </w:rPr>
      </w:pPr>
      <w:bookmarkStart w:id="88" w:name="_Toc449884462"/>
      <w:r w:rsidRPr="00F014D0">
        <w:rPr>
          <w:lang w:eastAsia="ja-JP"/>
        </w:rPr>
        <w:t xml:space="preserve">Table </w:t>
      </w:r>
      <w:r w:rsidR="00832E73">
        <w:rPr>
          <w:lang w:eastAsia="ja-JP"/>
        </w:rPr>
        <w:t>2</w:t>
      </w:r>
      <w:r w:rsidRPr="00F014D0">
        <w:rPr>
          <w:lang w:eastAsia="ja-JP"/>
        </w:rPr>
        <w:t>. Approximate risk of death due to adverse events with fatal outcome reported with use of brentuximab vedotin</w:t>
      </w:r>
      <w:bookmarkEnd w:id="88"/>
    </w:p>
    <w:tbl>
      <w:tblPr>
        <w:tblStyle w:val="TableTGAblue"/>
        <w:tblW w:w="8658" w:type="dxa"/>
        <w:tblLook w:val="04A0" w:firstRow="1" w:lastRow="0" w:firstColumn="1" w:lastColumn="0" w:noHBand="0" w:noVBand="1"/>
      </w:tblPr>
      <w:tblGrid>
        <w:gridCol w:w="3549"/>
        <w:gridCol w:w="1258"/>
        <w:gridCol w:w="3851"/>
      </w:tblGrid>
      <w:tr w:rsidR="001F60FB" w:rsidRPr="00E97E63" w14:paraId="18E55FAB" w14:textId="77777777" w:rsidTr="00971ECA">
        <w:trPr>
          <w:cnfStyle w:val="100000000000" w:firstRow="1" w:lastRow="0" w:firstColumn="0" w:lastColumn="0" w:oddVBand="0" w:evenVBand="0" w:oddHBand="0" w:evenHBand="0" w:firstRowFirstColumn="0" w:firstRowLastColumn="0" w:lastRowFirstColumn="0" w:lastRowLastColumn="0"/>
        </w:trPr>
        <w:tc>
          <w:tcPr>
            <w:tcW w:w="3596" w:type="dxa"/>
            <w:vAlign w:val="center"/>
          </w:tcPr>
          <w:p w14:paraId="15888BBC" w14:textId="77777777" w:rsidR="001F60FB" w:rsidRPr="00E97E63" w:rsidRDefault="001F60FB" w:rsidP="00E97E63">
            <w:pPr>
              <w:rPr>
                <w:sz w:val="20"/>
                <w:szCs w:val="20"/>
                <w:lang w:eastAsia="ja-JP"/>
              </w:rPr>
            </w:pPr>
            <w:r w:rsidRPr="00E97E63">
              <w:rPr>
                <w:sz w:val="20"/>
                <w:szCs w:val="20"/>
                <w:lang w:eastAsia="ja-JP"/>
              </w:rPr>
              <w:t>Complication</w:t>
            </w:r>
          </w:p>
        </w:tc>
        <w:tc>
          <w:tcPr>
            <w:tcW w:w="1102" w:type="dxa"/>
            <w:vAlign w:val="center"/>
          </w:tcPr>
          <w:p w14:paraId="32656358" w14:textId="77777777" w:rsidR="001F60FB" w:rsidRPr="00E97E63" w:rsidRDefault="001F60FB" w:rsidP="00E97E63">
            <w:pPr>
              <w:rPr>
                <w:sz w:val="20"/>
                <w:szCs w:val="20"/>
                <w:lang w:eastAsia="ja-JP"/>
              </w:rPr>
            </w:pPr>
            <w:r w:rsidRPr="00E97E63">
              <w:rPr>
                <w:sz w:val="20"/>
                <w:szCs w:val="20"/>
                <w:lang w:eastAsia="ja-JP"/>
              </w:rPr>
              <w:t>Fatality rate (%)</w:t>
            </w:r>
          </w:p>
        </w:tc>
        <w:tc>
          <w:tcPr>
            <w:tcW w:w="3960" w:type="dxa"/>
            <w:vAlign w:val="center"/>
          </w:tcPr>
          <w:p w14:paraId="76A0FBB6" w14:textId="77777777" w:rsidR="001F60FB" w:rsidRPr="00E97E63" w:rsidRDefault="001F60FB" w:rsidP="00E97E63">
            <w:pPr>
              <w:rPr>
                <w:sz w:val="20"/>
                <w:szCs w:val="20"/>
                <w:lang w:eastAsia="ja-JP"/>
              </w:rPr>
            </w:pPr>
            <w:r w:rsidRPr="00E97E63">
              <w:rPr>
                <w:sz w:val="20"/>
                <w:szCs w:val="20"/>
                <w:lang w:eastAsia="ja-JP"/>
              </w:rPr>
              <w:t>Source, number of fatal events/population</w:t>
            </w:r>
          </w:p>
        </w:tc>
      </w:tr>
      <w:tr w:rsidR="001F60FB" w:rsidRPr="00E97E63" w14:paraId="5422937C" w14:textId="77777777" w:rsidTr="00971ECA">
        <w:tc>
          <w:tcPr>
            <w:tcW w:w="3596" w:type="dxa"/>
          </w:tcPr>
          <w:p w14:paraId="3293E1FD" w14:textId="77777777" w:rsidR="001F60FB" w:rsidRPr="00E97E63" w:rsidRDefault="001F60FB" w:rsidP="00E97E63">
            <w:pPr>
              <w:rPr>
                <w:sz w:val="20"/>
                <w:szCs w:val="20"/>
                <w:lang w:eastAsia="ja-JP"/>
              </w:rPr>
            </w:pPr>
            <w:r w:rsidRPr="00E97E63">
              <w:rPr>
                <w:sz w:val="20"/>
                <w:szCs w:val="20"/>
                <w:lang w:eastAsia="ja-JP"/>
              </w:rPr>
              <w:t>Peripheral neuropathy</w:t>
            </w:r>
          </w:p>
        </w:tc>
        <w:tc>
          <w:tcPr>
            <w:tcW w:w="1102" w:type="dxa"/>
          </w:tcPr>
          <w:p w14:paraId="6E516998" w14:textId="77777777" w:rsidR="001F60FB" w:rsidRPr="00E97E63" w:rsidRDefault="001F60FB" w:rsidP="00E97E63">
            <w:pPr>
              <w:rPr>
                <w:sz w:val="20"/>
                <w:szCs w:val="20"/>
                <w:lang w:eastAsia="ja-JP"/>
              </w:rPr>
            </w:pPr>
            <w:r w:rsidRPr="00E97E63">
              <w:rPr>
                <w:sz w:val="20"/>
                <w:szCs w:val="20"/>
                <w:lang w:eastAsia="ja-JP"/>
              </w:rPr>
              <w:t>0.006</w:t>
            </w:r>
          </w:p>
        </w:tc>
        <w:tc>
          <w:tcPr>
            <w:tcW w:w="3960" w:type="dxa"/>
          </w:tcPr>
          <w:p w14:paraId="444CDF62" w14:textId="77777777" w:rsidR="001F60FB" w:rsidRPr="00E97E63" w:rsidRDefault="001F60FB" w:rsidP="00E97E63">
            <w:pPr>
              <w:rPr>
                <w:sz w:val="20"/>
                <w:szCs w:val="20"/>
                <w:lang w:eastAsia="ja-JP"/>
              </w:rPr>
            </w:pPr>
            <w:r w:rsidRPr="00E97E63">
              <w:rPr>
                <w:sz w:val="20"/>
                <w:szCs w:val="20"/>
                <w:lang w:eastAsia="ja-JP"/>
              </w:rPr>
              <w:t>Post marketing sources 1/16238</w:t>
            </w:r>
          </w:p>
        </w:tc>
      </w:tr>
      <w:tr w:rsidR="001F60FB" w:rsidRPr="00E97E63" w14:paraId="04B982A4" w14:textId="77777777" w:rsidTr="00971ECA">
        <w:tc>
          <w:tcPr>
            <w:tcW w:w="3596" w:type="dxa"/>
          </w:tcPr>
          <w:p w14:paraId="4D80D091" w14:textId="77777777" w:rsidR="001F60FB" w:rsidRPr="00E97E63" w:rsidRDefault="001F60FB" w:rsidP="00E97E63">
            <w:pPr>
              <w:rPr>
                <w:sz w:val="20"/>
                <w:szCs w:val="20"/>
                <w:lang w:eastAsia="ja-JP"/>
              </w:rPr>
            </w:pPr>
            <w:r w:rsidRPr="00E97E63">
              <w:rPr>
                <w:sz w:val="20"/>
                <w:szCs w:val="20"/>
                <w:lang w:eastAsia="ja-JP"/>
              </w:rPr>
              <w:t>Tumour lysis syndrome</w:t>
            </w:r>
          </w:p>
        </w:tc>
        <w:tc>
          <w:tcPr>
            <w:tcW w:w="1102" w:type="dxa"/>
          </w:tcPr>
          <w:p w14:paraId="61CE2051" w14:textId="77777777" w:rsidR="001F60FB" w:rsidRPr="00E97E63" w:rsidRDefault="001F60FB" w:rsidP="00E97E63">
            <w:pPr>
              <w:rPr>
                <w:sz w:val="20"/>
                <w:szCs w:val="20"/>
                <w:lang w:eastAsia="ja-JP"/>
              </w:rPr>
            </w:pPr>
            <w:r w:rsidRPr="00E97E63">
              <w:rPr>
                <w:sz w:val="20"/>
                <w:szCs w:val="20"/>
                <w:lang w:eastAsia="ja-JP"/>
              </w:rPr>
              <w:t>0.012</w:t>
            </w:r>
          </w:p>
        </w:tc>
        <w:tc>
          <w:tcPr>
            <w:tcW w:w="3960" w:type="dxa"/>
          </w:tcPr>
          <w:p w14:paraId="3BBAB4DE" w14:textId="77777777" w:rsidR="001F60FB" w:rsidRPr="00E97E63" w:rsidRDefault="001F60FB" w:rsidP="00E97E63">
            <w:pPr>
              <w:rPr>
                <w:sz w:val="20"/>
                <w:szCs w:val="20"/>
                <w:lang w:eastAsia="ja-JP"/>
              </w:rPr>
            </w:pPr>
            <w:r w:rsidRPr="00E97E63">
              <w:rPr>
                <w:sz w:val="20"/>
                <w:szCs w:val="20"/>
                <w:lang w:eastAsia="ja-JP"/>
              </w:rPr>
              <w:t>Post marketing sources 2/16238</w:t>
            </w:r>
          </w:p>
        </w:tc>
      </w:tr>
      <w:tr w:rsidR="001F60FB" w:rsidRPr="00E97E63" w14:paraId="72A9D07C" w14:textId="77777777" w:rsidTr="009D0F0F">
        <w:trPr>
          <w:cantSplit/>
        </w:trPr>
        <w:tc>
          <w:tcPr>
            <w:tcW w:w="3596" w:type="dxa"/>
          </w:tcPr>
          <w:p w14:paraId="5BD586D2" w14:textId="77777777" w:rsidR="001F60FB" w:rsidRPr="00E97E63" w:rsidRDefault="001F60FB" w:rsidP="00E97E63">
            <w:pPr>
              <w:rPr>
                <w:sz w:val="20"/>
                <w:szCs w:val="20"/>
                <w:lang w:eastAsia="ja-JP"/>
              </w:rPr>
            </w:pPr>
            <w:r w:rsidRPr="00E97E63">
              <w:rPr>
                <w:sz w:val="20"/>
                <w:szCs w:val="20"/>
                <w:lang w:eastAsia="ja-JP"/>
              </w:rPr>
              <w:t>Febrile neutropaenia</w:t>
            </w:r>
          </w:p>
        </w:tc>
        <w:tc>
          <w:tcPr>
            <w:tcW w:w="1102" w:type="dxa"/>
          </w:tcPr>
          <w:p w14:paraId="29A21DCD" w14:textId="77777777" w:rsidR="001F60FB" w:rsidRPr="00E97E63" w:rsidRDefault="001F60FB" w:rsidP="00E97E63">
            <w:pPr>
              <w:rPr>
                <w:sz w:val="20"/>
                <w:szCs w:val="20"/>
                <w:lang w:eastAsia="ja-JP"/>
              </w:rPr>
            </w:pPr>
            <w:r w:rsidRPr="00E97E63">
              <w:rPr>
                <w:sz w:val="20"/>
                <w:szCs w:val="20"/>
                <w:lang w:eastAsia="ja-JP"/>
              </w:rPr>
              <w:t>0.07</w:t>
            </w:r>
          </w:p>
        </w:tc>
        <w:tc>
          <w:tcPr>
            <w:tcW w:w="3960" w:type="dxa"/>
          </w:tcPr>
          <w:p w14:paraId="4B5E1072" w14:textId="77777777" w:rsidR="001F60FB" w:rsidRPr="00E97E63" w:rsidRDefault="001F60FB" w:rsidP="00E97E63">
            <w:pPr>
              <w:rPr>
                <w:sz w:val="20"/>
                <w:szCs w:val="20"/>
                <w:lang w:eastAsia="ja-JP"/>
              </w:rPr>
            </w:pPr>
            <w:r w:rsidRPr="00E97E63">
              <w:rPr>
                <w:sz w:val="20"/>
                <w:szCs w:val="20"/>
                <w:lang w:eastAsia="ja-JP"/>
              </w:rPr>
              <w:t>Clinical Study Programme 2/2962</w:t>
            </w:r>
          </w:p>
        </w:tc>
      </w:tr>
      <w:tr w:rsidR="001F60FB" w:rsidRPr="00E97E63" w14:paraId="1E00F882" w14:textId="77777777" w:rsidTr="00971ECA">
        <w:tc>
          <w:tcPr>
            <w:tcW w:w="3596" w:type="dxa"/>
          </w:tcPr>
          <w:p w14:paraId="77B01489" w14:textId="77777777" w:rsidR="001F60FB" w:rsidRPr="00E97E63" w:rsidRDefault="001F60FB" w:rsidP="00E97E63">
            <w:pPr>
              <w:rPr>
                <w:sz w:val="20"/>
                <w:szCs w:val="20"/>
                <w:lang w:eastAsia="ja-JP"/>
              </w:rPr>
            </w:pPr>
            <w:r w:rsidRPr="00E97E63">
              <w:rPr>
                <w:sz w:val="20"/>
                <w:szCs w:val="20"/>
                <w:lang w:eastAsia="ja-JP"/>
              </w:rPr>
              <w:t>Anaemia, thrombocytopenia</w:t>
            </w:r>
          </w:p>
        </w:tc>
        <w:tc>
          <w:tcPr>
            <w:tcW w:w="1102" w:type="dxa"/>
          </w:tcPr>
          <w:p w14:paraId="3910D6C3" w14:textId="77777777" w:rsidR="001F60FB" w:rsidRPr="00E97E63" w:rsidRDefault="001F60FB" w:rsidP="00E97E63">
            <w:pPr>
              <w:rPr>
                <w:sz w:val="20"/>
                <w:szCs w:val="20"/>
                <w:lang w:eastAsia="ja-JP"/>
              </w:rPr>
            </w:pPr>
            <w:r w:rsidRPr="00E97E63">
              <w:rPr>
                <w:sz w:val="20"/>
                <w:szCs w:val="20"/>
                <w:lang w:eastAsia="ja-JP"/>
              </w:rPr>
              <w:t>0.03</w:t>
            </w:r>
          </w:p>
        </w:tc>
        <w:tc>
          <w:tcPr>
            <w:tcW w:w="3960" w:type="dxa"/>
          </w:tcPr>
          <w:p w14:paraId="560BCE94" w14:textId="77777777" w:rsidR="001F60FB" w:rsidRPr="00E97E63" w:rsidRDefault="001F60FB" w:rsidP="00E97E63">
            <w:pPr>
              <w:rPr>
                <w:sz w:val="20"/>
                <w:szCs w:val="20"/>
                <w:lang w:eastAsia="ja-JP"/>
              </w:rPr>
            </w:pPr>
            <w:r w:rsidRPr="00E97E63">
              <w:rPr>
                <w:sz w:val="20"/>
                <w:szCs w:val="20"/>
                <w:lang w:eastAsia="ja-JP"/>
              </w:rPr>
              <w:t>Post marketing sources 5/16238</w:t>
            </w:r>
          </w:p>
        </w:tc>
      </w:tr>
      <w:tr w:rsidR="001F60FB" w:rsidRPr="00E97E63" w14:paraId="4CA09CB6" w14:textId="77777777" w:rsidTr="00971ECA">
        <w:tc>
          <w:tcPr>
            <w:tcW w:w="3596" w:type="dxa"/>
          </w:tcPr>
          <w:p w14:paraId="264A468E" w14:textId="77777777" w:rsidR="001F60FB" w:rsidRPr="00E97E63" w:rsidRDefault="001F60FB" w:rsidP="00E97E63">
            <w:pPr>
              <w:rPr>
                <w:sz w:val="20"/>
                <w:szCs w:val="20"/>
                <w:lang w:eastAsia="ja-JP"/>
              </w:rPr>
            </w:pPr>
            <w:r w:rsidRPr="00E97E63">
              <w:rPr>
                <w:bCs/>
                <w:sz w:val="20"/>
                <w:szCs w:val="20"/>
                <w:lang w:eastAsia="ja-JP"/>
              </w:rPr>
              <w:t>Infection Including Bacteraemia/Sepsis/Septic Shock</w:t>
            </w:r>
          </w:p>
        </w:tc>
        <w:tc>
          <w:tcPr>
            <w:tcW w:w="1102" w:type="dxa"/>
          </w:tcPr>
          <w:p w14:paraId="0A817953" w14:textId="77777777" w:rsidR="001F60FB" w:rsidRPr="00E97E63" w:rsidRDefault="001F60FB" w:rsidP="00E97E63">
            <w:pPr>
              <w:rPr>
                <w:sz w:val="20"/>
                <w:szCs w:val="20"/>
                <w:lang w:eastAsia="ja-JP"/>
              </w:rPr>
            </w:pPr>
            <w:r w:rsidRPr="00E97E63">
              <w:rPr>
                <w:sz w:val="20"/>
                <w:szCs w:val="20"/>
                <w:lang w:eastAsia="ja-JP"/>
              </w:rPr>
              <w:t>0.6</w:t>
            </w:r>
          </w:p>
        </w:tc>
        <w:tc>
          <w:tcPr>
            <w:tcW w:w="3960" w:type="dxa"/>
          </w:tcPr>
          <w:p w14:paraId="2418206C" w14:textId="77777777" w:rsidR="001F60FB" w:rsidRPr="00E97E63" w:rsidRDefault="001F60FB" w:rsidP="00E97E63">
            <w:pPr>
              <w:rPr>
                <w:sz w:val="20"/>
                <w:szCs w:val="20"/>
                <w:lang w:eastAsia="ja-JP"/>
              </w:rPr>
            </w:pPr>
            <w:r w:rsidRPr="00E97E63">
              <w:rPr>
                <w:sz w:val="20"/>
                <w:szCs w:val="20"/>
                <w:lang w:eastAsia="ja-JP"/>
              </w:rPr>
              <w:t>Clinical Study Programme 18/2962</w:t>
            </w:r>
          </w:p>
        </w:tc>
      </w:tr>
      <w:tr w:rsidR="001F60FB" w:rsidRPr="00E97E63" w14:paraId="01BA2C54" w14:textId="77777777" w:rsidTr="00971ECA">
        <w:tc>
          <w:tcPr>
            <w:tcW w:w="3596" w:type="dxa"/>
          </w:tcPr>
          <w:p w14:paraId="48A8C4EA" w14:textId="77777777" w:rsidR="001F60FB" w:rsidRPr="00E97E63" w:rsidRDefault="001F60FB" w:rsidP="00E97E63">
            <w:pPr>
              <w:rPr>
                <w:sz w:val="20"/>
                <w:szCs w:val="20"/>
                <w:lang w:eastAsia="ja-JP"/>
              </w:rPr>
            </w:pPr>
            <w:r w:rsidRPr="00E97E63">
              <w:rPr>
                <w:sz w:val="20"/>
                <w:szCs w:val="20"/>
                <w:lang w:eastAsia="ja-JP"/>
              </w:rPr>
              <w:t>Opportunistic infection</w:t>
            </w:r>
          </w:p>
        </w:tc>
        <w:tc>
          <w:tcPr>
            <w:tcW w:w="1102" w:type="dxa"/>
          </w:tcPr>
          <w:p w14:paraId="0D9713D6" w14:textId="77777777" w:rsidR="001F60FB" w:rsidRPr="00E97E63" w:rsidRDefault="001F60FB" w:rsidP="00E97E63">
            <w:pPr>
              <w:rPr>
                <w:sz w:val="20"/>
                <w:szCs w:val="20"/>
                <w:lang w:eastAsia="ja-JP"/>
              </w:rPr>
            </w:pPr>
            <w:r w:rsidRPr="00E97E63">
              <w:rPr>
                <w:sz w:val="20"/>
                <w:szCs w:val="20"/>
                <w:lang w:eastAsia="ja-JP"/>
              </w:rPr>
              <w:t>0.07</w:t>
            </w:r>
          </w:p>
        </w:tc>
        <w:tc>
          <w:tcPr>
            <w:tcW w:w="3960" w:type="dxa"/>
          </w:tcPr>
          <w:p w14:paraId="77E0AF83" w14:textId="77777777" w:rsidR="001F60FB" w:rsidRPr="00E97E63" w:rsidRDefault="001F60FB" w:rsidP="00E97E63">
            <w:pPr>
              <w:rPr>
                <w:sz w:val="20"/>
                <w:szCs w:val="20"/>
                <w:lang w:eastAsia="ja-JP"/>
              </w:rPr>
            </w:pPr>
            <w:r w:rsidRPr="00E97E63">
              <w:rPr>
                <w:sz w:val="20"/>
                <w:szCs w:val="20"/>
                <w:lang w:eastAsia="ja-JP"/>
              </w:rPr>
              <w:t>Clinical Study Programme 2/2962</w:t>
            </w:r>
          </w:p>
        </w:tc>
      </w:tr>
      <w:tr w:rsidR="001F60FB" w:rsidRPr="00E97E63" w14:paraId="18831D70" w14:textId="77777777" w:rsidTr="00971ECA">
        <w:tc>
          <w:tcPr>
            <w:tcW w:w="3596" w:type="dxa"/>
          </w:tcPr>
          <w:p w14:paraId="5E43502E" w14:textId="77777777" w:rsidR="001F60FB" w:rsidRPr="00E97E63" w:rsidRDefault="001F60FB" w:rsidP="00E97E63">
            <w:pPr>
              <w:rPr>
                <w:sz w:val="20"/>
                <w:szCs w:val="20"/>
                <w:lang w:eastAsia="ja-JP"/>
              </w:rPr>
            </w:pPr>
            <w:r w:rsidRPr="00E97E63">
              <w:rPr>
                <w:sz w:val="20"/>
                <w:szCs w:val="20"/>
                <w:lang w:eastAsia="ja-JP"/>
              </w:rPr>
              <w:t>Infusion related reactions</w:t>
            </w:r>
          </w:p>
        </w:tc>
        <w:tc>
          <w:tcPr>
            <w:tcW w:w="1102" w:type="dxa"/>
          </w:tcPr>
          <w:p w14:paraId="5767E15C" w14:textId="77777777" w:rsidR="001F60FB" w:rsidRPr="00E97E63" w:rsidRDefault="001F60FB" w:rsidP="00E97E63">
            <w:pPr>
              <w:rPr>
                <w:sz w:val="20"/>
                <w:szCs w:val="20"/>
                <w:lang w:eastAsia="ja-JP"/>
              </w:rPr>
            </w:pPr>
            <w:r w:rsidRPr="00E97E63">
              <w:rPr>
                <w:sz w:val="20"/>
                <w:szCs w:val="20"/>
                <w:lang w:eastAsia="ja-JP"/>
              </w:rPr>
              <w:t>0.07</w:t>
            </w:r>
          </w:p>
        </w:tc>
        <w:tc>
          <w:tcPr>
            <w:tcW w:w="3960" w:type="dxa"/>
          </w:tcPr>
          <w:p w14:paraId="473D5F70" w14:textId="77777777" w:rsidR="001F60FB" w:rsidRPr="00E97E63" w:rsidRDefault="001F60FB" w:rsidP="00E97E63">
            <w:pPr>
              <w:rPr>
                <w:sz w:val="20"/>
                <w:szCs w:val="20"/>
                <w:lang w:eastAsia="ja-JP"/>
              </w:rPr>
            </w:pPr>
            <w:r w:rsidRPr="00E97E63">
              <w:rPr>
                <w:sz w:val="20"/>
                <w:szCs w:val="20"/>
                <w:lang w:eastAsia="ja-JP"/>
              </w:rPr>
              <w:t>Clinical Study Programme 2/2962</w:t>
            </w:r>
          </w:p>
        </w:tc>
      </w:tr>
      <w:tr w:rsidR="001F60FB" w:rsidRPr="00E97E63" w14:paraId="380746EF" w14:textId="77777777" w:rsidTr="00971ECA">
        <w:tc>
          <w:tcPr>
            <w:tcW w:w="3596" w:type="dxa"/>
          </w:tcPr>
          <w:p w14:paraId="790D0BAE" w14:textId="77777777" w:rsidR="001F60FB" w:rsidRPr="00E97E63" w:rsidRDefault="001F60FB" w:rsidP="00E97E63">
            <w:pPr>
              <w:rPr>
                <w:sz w:val="20"/>
                <w:szCs w:val="20"/>
                <w:lang w:eastAsia="ja-JP"/>
              </w:rPr>
            </w:pPr>
            <w:r w:rsidRPr="00E97E63">
              <w:rPr>
                <w:sz w:val="20"/>
                <w:szCs w:val="20"/>
                <w:lang w:eastAsia="ja-JP"/>
              </w:rPr>
              <w:t>PML</w:t>
            </w:r>
          </w:p>
        </w:tc>
        <w:tc>
          <w:tcPr>
            <w:tcW w:w="1102" w:type="dxa"/>
          </w:tcPr>
          <w:p w14:paraId="048602AF" w14:textId="77777777" w:rsidR="001F60FB" w:rsidRPr="00E97E63" w:rsidRDefault="001F60FB" w:rsidP="00E97E63">
            <w:pPr>
              <w:rPr>
                <w:sz w:val="20"/>
                <w:szCs w:val="20"/>
                <w:lang w:eastAsia="ja-JP"/>
              </w:rPr>
            </w:pPr>
            <w:r w:rsidRPr="00E97E63">
              <w:rPr>
                <w:sz w:val="20"/>
                <w:szCs w:val="20"/>
                <w:lang w:eastAsia="ja-JP"/>
              </w:rPr>
              <w:t>0.04</w:t>
            </w:r>
          </w:p>
        </w:tc>
        <w:tc>
          <w:tcPr>
            <w:tcW w:w="3960" w:type="dxa"/>
          </w:tcPr>
          <w:p w14:paraId="2421996A" w14:textId="77777777" w:rsidR="001F60FB" w:rsidRPr="00E97E63" w:rsidRDefault="001F60FB" w:rsidP="00E97E63">
            <w:pPr>
              <w:rPr>
                <w:sz w:val="20"/>
                <w:szCs w:val="20"/>
                <w:lang w:eastAsia="ja-JP"/>
              </w:rPr>
            </w:pPr>
            <w:r w:rsidRPr="00E97E63">
              <w:rPr>
                <w:sz w:val="20"/>
                <w:szCs w:val="20"/>
                <w:lang w:eastAsia="ja-JP"/>
              </w:rPr>
              <w:t>All sources 9/22240</w:t>
            </w:r>
          </w:p>
        </w:tc>
      </w:tr>
      <w:tr w:rsidR="001F60FB" w:rsidRPr="00E97E63" w14:paraId="66539711" w14:textId="77777777" w:rsidTr="00971ECA">
        <w:tc>
          <w:tcPr>
            <w:tcW w:w="3596" w:type="dxa"/>
          </w:tcPr>
          <w:p w14:paraId="0A3906FC" w14:textId="77777777" w:rsidR="001F60FB" w:rsidRPr="00E97E63" w:rsidRDefault="001F60FB" w:rsidP="00E97E63">
            <w:pPr>
              <w:rPr>
                <w:sz w:val="20"/>
                <w:szCs w:val="20"/>
                <w:lang w:eastAsia="ja-JP"/>
              </w:rPr>
            </w:pPr>
            <w:r w:rsidRPr="00E97E63">
              <w:rPr>
                <w:sz w:val="20"/>
                <w:szCs w:val="20"/>
                <w:lang w:eastAsia="ja-JP"/>
              </w:rPr>
              <w:t>SJS/TEN</w:t>
            </w:r>
          </w:p>
        </w:tc>
        <w:tc>
          <w:tcPr>
            <w:tcW w:w="1102" w:type="dxa"/>
          </w:tcPr>
          <w:p w14:paraId="48CDA1F3" w14:textId="77777777" w:rsidR="001F60FB" w:rsidRPr="00E97E63" w:rsidRDefault="001F60FB" w:rsidP="00E97E63">
            <w:pPr>
              <w:rPr>
                <w:sz w:val="20"/>
                <w:szCs w:val="20"/>
                <w:lang w:eastAsia="ja-JP"/>
              </w:rPr>
            </w:pPr>
            <w:r w:rsidRPr="00E97E63">
              <w:rPr>
                <w:sz w:val="20"/>
                <w:szCs w:val="20"/>
                <w:lang w:eastAsia="ja-JP"/>
              </w:rPr>
              <w:t>0.03</w:t>
            </w:r>
          </w:p>
        </w:tc>
        <w:tc>
          <w:tcPr>
            <w:tcW w:w="3960" w:type="dxa"/>
          </w:tcPr>
          <w:p w14:paraId="13CACE28" w14:textId="77777777" w:rsidR="001F60FB" w:rsidRPr="00E97E63" w:rsidRDefault="001F60FB" w:rsidP="00E97E63">
            <w:pPr>
              <w:rPr>
                <w:sz w:val="20"/>
                <w:szCs w:val="20"/>
                <w:lang w:eastAsia="ja-JP"/>
              </w:rPr>
            </w:pPr>
            <w:r w:rsidRPr="00E97E63">
              <w:rPr>
                <w:sz w:val="20"/>
                <w:szCs w:val="20"/>
                <w:lang w:eastAsia="ja-JP"/>
              </w:rPr>
              <w:t>Clinical Study Programme 1/2962</w:t>
            </w:r>
          </w:p>
        </w:tc>
      </w:tr>
      <w:tr w:rsidR="001F60FB" w:rsidRPr="00E97E63" w14:paraId="2BC83F93" w14:textId="77777777" w:rsidTr="00971ECA">
        <w:tc>
          <w:tcPr>
            <w:tcW w:w="3596" w:type="dxa"/>
          </w:tcPr>
          <w:p w14:paraId="2FD74C68" w14:textId="77777777" w:rsidR="001F60FB" w:rsidRPr="00E97E63" w:rsidRDefault="001F60FB" w:rsidP="00E97E63">
            <w:pPr>
              <w:rPr>
                <w:sz w:val="20"/>
                <w:szCs w:val="20"/>
                <w:lang w:eastAsia="ja-JP"/>
              </w:rPr>
            </w:pPr>
            <w:r w:rsidRPr="00E97E63">
              <w:rPr>
                <w:sz w:val="20"/>
                <w:szCs w:val="20"/>
                <w:lang w:eastAsia="ja-JP"/>
              </w:rPr>
              <w:t>Acute pancreatitis</w:t>
            </w:r>
          </w:p>
        </w:tc>
        <w:tc>
          <w:tcPr>
            <w:tcW w:w="1102" w:type="dxa"/>
          </w:tcPr>
          <w:p w14:paraId="719AF477" w14:textId="77777777" w:rsidR="001F60FB" w:rsidRPr="00E97E63" w:rsidRDefault="001F60FB" w:rsidP="00E97E63">
            <w:pPr>
              <w:rPr>
                <w:sz w:val="20"/>
                <w:szCs w:val="20"/>
                <w:lang w:eastAsia="ja-JP"/>
              </w:rPr>
            </w:pPr>
            <w:r w:rsidRPr="00E97E63">
              <w:rPr>
                <w:sz w:val="20"/>
                <w:szCs w:val="20"/>
                <w:lang w:eastAsia="ja-JP"/>
              </w:rPr>
              <w:t>0.04</w:t>
            </w:r>
          </w:p>
        </w:tc>
        <w:tc>
          <w:tcPr>
            <w:tcW w:w="3960" w:type="dxa"/>
          </w:tcPr>
          <w:p w14:paraId="60A16C65" w14:textId="77777777" w:rsidR="001F60FB" w:rsidRPr="00E97E63" w:rsidRDefault="001F60FB" w:rsidP="00E97E63">
            <w:pPr>
              <w:rPr>
                <w:sz w:val="20"/>
                <w:szCs w:val="20"/>
                <w:lang w:eastAsia="ja-JP"/>
              </w:rPr>
            </w:pPr>
            <w:r w:rsidRPr="00E97E63">
              <w:rPr>
                <w:sz w:val="20"/>
                <w:szCs w:val="20"/>
                <w:lang w:eastAsia="ja-JP"/>
              </w:rPr>
              <w:t>Post marketing sources 7/16238</w:t>
            </w:r>
          </w:p>
        </w:tc>
      </w:tr>
      <w:tr w:rsidR="001F60FB" w:rsidRPr="00E97E63" w14:paraId="71984269" w14:textId="77777777" w:rsidTr="00971ECA">
        <w:tc>
          <w:tcPr>
            <w:tcW w:w="3596" w:type="dxa"/>
          </w:tcPr>
          <w:p w14:paraId="3C3BBEEC" w14:textId="77777777" w:rsidR="001F60FB" w:rsidRPr="00E97E63" w:rsidRDefault="001F60FB" w:rsidP="00E97E63">
            <w:pPr>
              <w:rPr>
                <w:sz w:val="20"/>
                <w:szCs w:val="20"/>
                <w:lang w:eastAsia="ja-JP"/>
              </w:rPr>
            </w:pPr>
            <w:r w:rsidRPr="00E97E63">
              <w:rPr>
                <w:sz w:val="20"/>
                <w:szCs w:val="20"/>
                <w:lang w:eastAsia="ja-JP"/>
              </w:rPr>
              <w:t>Hepatotoxicity*</w:t>
            </w:r>
          </w:p>
        </w:tc>
        <w:tc>
          <w:tcPr>
            <w:tcW w:w="1102" w:type="dxa"/>
          </w:tcPr>
          <w:p w14:paraId="5B183960" w14:textId="77777777" w:rsidR="001F60FB" w:rsidRPr="00E97E63" w:rsidRDefault="001F60FB" w:rsidP="00E97E63">
            <w:pPr>
              <w:rPr>
                <w:sz w:val="20"/>
                <w:szCs w:val="20"/>
                <w:lang w:eastAsia="ja-JP"/>
              </w:rPr>
            </w:pPr>
            <w:r w:rsidRPr="00E97E63">
              <w:rPr>
                <w:sz w:val="20"/>
                <w:szCs w:val="20"/>
                <w:lang w:eastAsia="ja-JP"/>
              </w:rPr>
              <w:t>0.11</w:t>
            </w:r>
          </w:p>
        </w:tc>
        <w:tc>
          <w:tcPr>
            <w:tcW w:w="3960" w:type="dxa"/>
          </w:tcPr>
          <w:p w14:paraId="4B5E0951" w14:textId="77777777" w:rsidR="001F60FB" w:rsidRPr="00E97E63" w:rsidRDefault="001F60FB" w:rsidP="00E97E63">
            <w:pPr>
              <w:rPr>
                <w:sz w:val="20"/>
                <w:szCs w:val="20"/>
                <w:lang w:eastAsia="ja-JP"/>
              </w:rPr>
            </w:pPr>
            <w:r w:rsidRPr="00E97E63">
              <w:rPr>
                <w:sz w:val="20"/>
                <w:szCs w:val="20"/>
                <w:lang w:eastAsia="ja-JP"/>
              </w:rPr>
              <w:t>‘Solicited sources’ 6/5475</w:t>
            </w:r>
          </w:p>
        </w:tc>
      </w:tr>
      <w:tr w:rsidR="001F60FB" w:rsidRPr="00E97E63" w14:paraId="781052D2" w14:textId="77777777" w:rsidTr="00971ECA">
        <w:tc>
          <w:tcPr>
            <w:tcW w:w="3596" w:type="dxa"/>
          </w:tcPr>
          <w:p w14:paraId="7938BC1D" w14:textId="77777777" w:rsidR="001F60FB" w:rsidRPr="00E97E63" w:rsidRDefault="001F60FB" w:rsidP="00E97E63">
            <w:pPr>
              <w:rPr>
                <w:sz w:val="20"/>
                <w:szCs w:val="20"/>
                <w:lang w:eastAsia="ja-JP"/>
              </w:rPr>
            </w:pPr>
            <w:r w:rsidRPr="00E97E63">
              <w:rPr>
                <w:sz w:val="20"/>
                <w:szCs w:val="20"/>
                <w:lang w:eastAsia="ja-JP"/>
              </w:rPr>
              <w:t>Pulmonary toxicity (monotherapy)*</w:t>
            </w:r>
          </w:p>
        </w:tc>
        <w:tc>
          <w:tcPr>
            <w:tcW w:w="1102" w:type="dxa"/>
          </w:tcPr>
          <w:p w14:paraId="10959C0D" w14:textId="77777777" w:rsidR="001F60FB" w:rsidRPr="00E97E63" w:rsidRDefault="001F60FB" w:rsidP="00E97E63">
            <w:pPr>
              <w:rPr>
                <w:sz w:val="20"/>
                <w:szCs w:val="20"/>
                <w:lang w:eastAsia="ja-JP"/>
              </w:rPr>
            </w:pPr>
            <w:r w:rsidRPr="00E97E63">
              <w:rPr>
                <w:sz w:val="20"/>
                <w:szCs w:val="20"/>
                <w:lang w:eastAsia="ja-JP"/>
              </w:rPr>
              <w:t>0.53</w:t>
            </w:r>
          </w:p>
        </w:tc>
        <w:tc>
          <w:tcPr>
            <w:tcW w:w="3960" w:type="dxa"/>
          </w:tcPr>
          <w:p w14:paraId="56904768" w14:textId="77777777" w:rsidR="001F60FB" w:rsidRPr="00E97E63" w:rsidRDefault="001F60FB" w:rsidP="00E97E63">
            <w:pPr>
              <w:rPr>
                <w:sz w:val="20"/>
                <w:szCs w:val="20"/>
                <w:lang w:eastAsia="ja-JP"/>
              </w:rPr>
            </w:pPr>
            <w:r w:rsidRPr="00E97E63">
              <w:rPr>
                <w:sz w:val="20"/>
                <w:szCs w:val="20"/>
                <w:lang w:eastAsia="ja-JP"/>
              </w:rPr>
              <w:t>Company sponsored studies (monotherapy) 3/562</w:t>
            </w:r>
          </w:p>
        </w:tc>
      </w:tr>
      <w:tr w:rsidR="001F60FB" w:rsidRPr="00E97E63" w14:paraId="03C04996" w14:textId="77777777" w:rsidTr="00971ECA">
        <w:tc>
          <w:tcPr>
            <w:tcW w:w="3596" w:type="dxa"/>
          </w:tcPr>
          <w:p w14:paraId="25462DAA" w14:textId="77777777" w:rsidR="001F60FB" w:rsidRPr="00E97E63" w:rsidRDefault="001F60FB" w:rsidP="00E97E63">
            <w:pPr>
              <w:rPr>
                <w:sz w:val="20"/>
                <w:szCs w:val="20"/>
                <w:lang w:eastAsia="ja-JP"/>
              </w:rPr>
            </w:pPr>
            <w:r w:rsidRPr="00E97E63">
              <w:rPr>
                <w:sz w:val="20"/>
                <w:szCs w:val="20"/>
                <w:lang w:eastAsia="ja-JP"/>
              </w:rPr>
              <w:t>Gastrointestinal complications</w:t>
            </w:r>
          </w:p>
        </w:tc>
        <w:tc>
          <w:tcPr>
            <w:tcW w:w="1102" w:type="dxa"/>
          </w:tcPr>
          <w:p w14:paraId="1052917A" w14:textId="77777777" w:rsidR="001F60FB" w:rsidRPr="00E97E63" w:rsidRDefault="001F60FB" w:rsidP="00E97E63">
            <w:pPr>
              <w:rPr>
                <w:sz w:val="20"/>
                <w:szCs w:val="20"/>
                <w:lang w:eastAsia="ja-JP"/>
              </w:rPr>
            </w:pPr>
            <w:r w:rsidRPr="00E97E63">
              <w:rPr>
                <w:sz w:val="20"/>
                <w:szCs w:val="20"/>
                <w:lang w:eastAsia="ja-JP"/>
              </w:rPr>
              <w:t>0.11</w:t>
            </w:r>
          </w:p>
        </w:tc>
        <w:tc>
          <w:tcPr>
            <w:tcW w:w="3960" w:type="dxa"/>
          </w:tcPr>
          <w:p w14:paraId="4AA3AA12" w14:textId="77777777" w:rsidR="001F60FB" w:rsidRPr="00E97E63" w:rsidRDefault="001F60FB" w:rsidP="00E97E63">
            <w:pPr>
              <w:rPr>
                <w:sz w:val="20"/>
                <w:szCs w:val="20"/>
                <w:lang w:eastAsia="ja-JP"/>
              </w:rPr>
            </w:pPr>
            <w:r w:rsidRPr="00E97E63">
              <w:rPr>
                <w:sz w:val="20"/>
                <w:szCs w:val="20"/>
                <w:lang w:eastAsia="ja-JP"/>
              </w:rPr>
              <w:t>Clinical trials 6/5748</w:t>
            </w:r>
          </w:p>
        </w:tc>
      </w:tr>
      <w:tr w:rsidR="001F60FB" w:rsidRPr="00E97E63" w14:paraId="7C479246" w14:textId="77777777" w:rsidTr="00971ECA">
        <w:tc>
          <w:tcPr>
            <w:tcW w:w="3596" w:type="dxa"/>
          </w:tcPr>
          <w:p w14:paraId="02D3B931" w14:textId="77777777" w:rsidR="001F60FB" w:rsidRPr="00E97E63" w:rsidRDefault="001F60FB" w:rsidP="00E97E63">
            <w:pPr>
              <w:rPr>
                <w:sz w:val="20"/>
                <w:szCs w:val="20"/>
                <w:lang w:eastAsia="ja-JP"/>
              </w:rPr>
            </w:pPr>
            <w:r w:rsidRPr="00E97E63">
              <w:rPr>
                <w:sz w:val="20"/>
                <w:szCs w:val="20"/>
                <w:lang w:eastAsia="ja-JP"/>
              </w:rPr>
              <w:t>Secondary malignancy</w:t>
            </w:r>
          </w:p>
        </w:tc>
        <w:tc>
          <w:tcPr>
            <w:tcW w:w="1102" w:type="dxa"/>
          </w:tcPr>
          <w:p w14:paraId="0F743B09" w14:textId="77777777" w:rsidR="001F60FB" w:rsidRPr="00E97E63" w:rsidRDefault="001F60FB" w:rsidP="00E97E63">
            <w:pPr>
              <w:rPr>
                <w:sz w:val="20"/>
                <w:szCs w:val="20"/>
                <w:lang w:eastAsia="ja-JP"/>
              </w:rPr>
            </w:pPr>
            <w:r w:rsidRPr="00E97E63">
              <w:rPr>
                <w:sz w:val="20"/>
                <w:szCs w:val="20"/>
                <w:lang w:eastAsia="ja-JP"/>
              </w:rPr>
              <w:t>?</w:t>
            </w:r>
          </w:p>
        </w:tc>
        <w:tc>
          <w:tcPr>
            <w:tcW w:w="3960" w:type="dxa"/>
          </w:tcPr>
          <w:p w14:paraId="79097E84" w14:textId="77777777" w:rsidR="001F60FB" w:rsidRPr="00E97E63" w:rsidRDefault="001F60FB" w:rsidP="00E97E63">
            <w:pPr>
              <w:rPr>
                <w:sz w:val="20"/>
                <w:szCs w:val="20"/>
                <w:lang w:eastAsia="ja-JP"/>
              </w:rPr>
            </w:pPr>
            <w:r w:rsidRPr="00E97E63">
              <w:rPr>
                <w:sz w:val="20"/>
                <w:szCs w:val="20"/>
                <w:lang w:eastAsia="ja-JP"/>
              </w:rPr>
              <w:t>?</w:t>
            </w:r>
          </w:p>
        </w:tc>
      </w:tr>
      <w:tr w:rsidR="001F60FB" w:rsidRPr="00E97E63" w14:paraId="5B5EC4F2" w14:textId="77777777" w:rsidTr="00971ECA">
        <w:tc>
          <w:tcPr>
            <w:tcW w:w="3596" w:type="dxa"/>
          </w:tcPr>
          <w:p w14:paraId="60C37F3D" w14:textId="77777777" w:rsidR="001F60FB" w:rsidRPr="00E97E63" w:rsidRDefault="001F60FB" w:rsidP="00E97E63">
            <w:pPr>
              <w:rPr>
                <w:sz w:val="20"/>
                <w:szCs w:val="20"/>
                <w:lang w:eastAsia="ja-JP"/>
              </w:rPr>
            </w:pPr>
            <w:r w:rsidRPr="00E97E63">
              <w:rPr>
                <w:sz w:val="20"/>
                <w:szCs w:val="20"/>
                <w:lang w:eastAsia="ja-JP"/>
              </w:rPr>
              <w:t>Total</w:t>
            </w:r>
          </w:p>
        </w:tc>
        <w:tc>
          <w:tcPr>
            <w:tcW w:w="1102" w:type="dxa"/>
          </w:tcPr>
          <w:p w14:paraId="46F53215" w14:textId="77777777" w:rsidR="001F60FB" w:rsidRPr="00E97E63" w:rsidRDefault="001F60FB" w:rsidP="00E97E63">
            <w:pPr>
              <w:rPr>
                <w:sz w:val="20"/>
                <w:szCs w:val="20"/>
                <w:lang w:eastAsia="ja-JP"/>
              </w:rPr>
            </w:pPr>
            <w:r w:rsidRPr="00E97E63">
              <w:rPr>
                <w:sz w:val="20"/>
                <w:szCs w:val="20"/>
                <w:lang w:eastAsia="ja-JP"/>
              </w:rPr>
              <w:t>1.68</w:t>
            </w:r>
          </w:p>
        </w:tc>
        <w:tc>
          <w:tcPr>
            <w:tcW w:w="3960" w:type="dxa"/>
          </w:tcPr>
          <w:p w14:paraId="478F312F" w14:textId="77777777" w:rsidR="001F60FB" w:rsidRPr="00E97E63" w:rsidRDefault="001F60FB" w:rsidP="00E97E63">
            <w:pPr>
              <w:rPr>
                <w:sz w:val="20"/>
                <w:szCs w:val="20"/>
                <w:lang w:eastAsia="ja-JP"/>
              </w:rPr>
            </w:pPr>
          </w:p>
        </w:tc>
      </w:tr>
      <w:tr w:rsidR="001F60FB" w:rsidRPr="00E97E63" w14:paraId="7B9B18AB" w14:textId="77777777" w:rsidTr="00971ECA">
        <w:tc>
          <w:tcPr>
            <w:tcW w:w="8658" w:type="dxa"/>
            <w:gridSpan w:val="3"/>
          </w:tcPr>
          <w:p w14:paraId="35FB0FD4" w14:textId="77777777" w:rsidR="001F60FB" w:rsidRPr="00E97E63" w:rsidRDefault="001F60FB" w:rsidP="00E97E63">
            <w:pPr>
              <w:rPr>
                <w:i/>
                <w:sz w:val="20"/>
                <w:szCs w:val="20"/>
                <w:lang w:eastAsia="ja-JP"/>
              </w:rPr>
            </w:pPr>
            <w:r w:rsidRPr="00E97E63">
              <w:rPr>
                <w:i/>
                <w:sz w:val="20"/>
                <w:szCs w:val="20"/>
                <w:lang w:eastAsia="ja-JP"/>
              </w:rPr>
              <w:t>Analysis assumes 1) all deaths were due to the reported AE and that these, in turn, were due to brentuximab vedotin; 2) individual cases were not reported for more than one category; 3) no data regarding the incidence and fatality rate of secondary malignancies was available</w:t>
            </w:r>
          </w:p>
        </w:tc>
      </w:tr>
    </w:tbl>
    <w:p w14:paraId="080E6477" w14:textId="77777777" w:rsidR="001F60FB" w:rsidRPr="00F014D0" w:rsidRDefault="001F60FB" w:rsidP="001F60FB">
      <w:pPr>
        <w:rPr>
          <w:lang w:eastAsia="ja-JP"/>
        </w:rPr>
      </w:pPr>
      <w:r w:rsidRPr="00F014D0">
        <w:rPr>
          <w:lang w:eastAsia="ja-JP"/>
        </w:rPr>
        <w:t xml:space="preserve">Other risks due to complications of brentuximab vedotin therapy relate to missing information. Safety in the elderly, children, and patients with cardiac impairment has not </w:t>
      </w:r>
      <w:r w:rsidRPr="00F014D0">
        <w:rPr>
          <w:lang w:eastAsia="ja-JP"/>
        </w:rPr>
        <w:lastRenderedPageBreak/>
        <w:t>been established. The safety in the setting of possible risk factors for complications such as pre-existing hepatic impairment and hepatotoxicity and pre-existing lymphomatous involvement of the gastro-intestinal tract and bowel perforation has not been established. The relationship of anti-therapeutic antibodies to safety and efficacy has not been determined. Given that brentuximab vedotin has only been available commercially for 4 years, there may be other rare complications and delayed complications that have yet to be identified.</w:t>
      </w:r>
    </w:p>
    <w:p w14:paraId="2B30E4F3" w14:textId="77777777" w:rsidR="001F60FB" w:rsidRPr="00F014D0" w:rsidRDefault="001F60FB" w:rsidP="00EF5E91">
      <w:pPr>
        <w:pStyle w:val="Heading5"/>
      </w:pPr>
      <w:r w:rsidRPr="00F014D0">
        <w:t>Quality of life</w:t>
      </w:r>
    </w:p>
    <w:p w14:paraId="0DCC0F34" w14:textId="1A4FC698" w:rsidR="001F60FB" w:rsidRPr="00832E73" w:rsidRDefault="001F60FB" w:rsidP="00832E73">
      <w:pPr>
        <w:rPr>
          <w:lang w:val="en-GB" w:eastAsia="ja-JP"/>
        </w:rPr>
      </w:pPr>
      <w:r w:rsidRPr="00F014D0">
        <w:rPr>
          <w:lang w:eastAsia="ja-JP"/>
        </w:rPr>
        <w:t xml:space="preserve">This was assessed in Study SGN35-005. According to the instrument used (EQ-5D), quality of life reported by study participants for the 24 month duration of the study was no better for the patients who received brentuximab vedotin compared to placebo. The ability of this instrument to detect changes in quality of life must be questioned, though, as there was minimal change in quality of life across the study for all patients who did not develop progressive disease. This is surprising as the baseline measure was taken within 30-45 days of autologous stem cell transplant and an improvement in quality of life may have been expected as patients recovered from this. Other markers of the quality of life impact of brentuximab vedotin therapy in this study may be the number of patients who discontinued treatment due to adverse events and any changes in the </w:t>
      </w:r>
      <w:r w:rsidR="00832E73" w:rsidRPr="00832E73">
        <w:rPr>
          <w:lang w:val="en-GB" w:eastAsia="ja-JP"/>
        </w:rPr>
        <w:t>Eastern Cooperative Oncology Group</w:t>
      </w:r>
      <w:r w:rsidR="00832E73">
        <w:rPr>
          <w:lang w:val="en-GB" w:eastAsia="ja-JP"/>
        </w:rPr>
        <w:t xml:space="preserve"> (</w:t>
      </w:r>
      <w:r w:rsidRPr="00F014D0">
        <w:rPr>
          <w:lang w:eastAsia="ja-JP"/>
        </w:rPr>
        <w:t>ECOG</w:t>
      </w:r>
      <w:r w:rsidR="00832E73">
        <w:rPr>
          <w:lang w:eastAsia="ja-JP"/>
        </w:rPr>
        <w:t>)</w:t>
      </w:r>
      <w:r w:rsidRPr="00F014D0">
        <w:rPr>
          <w:lang w:eastAsia="ja-JP"/>
        </w:rPr>
        <w:t xml:space="preserve"> status of patients during the study. Of the patients receiving brentuximab vedotin, 32% discontinued treatment due to AEs, compared to 6% in the placebo arm. Peripheral neuropathy (motor and/or sensory) was the most common reason for patients in the brentuximab vedotin arm to cease treatment (21%). The severity of peripheral neuropathy is variable but is usually reversible. This may, however, take some months and could be expected to impact on the patient’s quality of life during this time. Each patient’s ECOG status was assessed regularly throughout the study. In comparison to baseline, ECOG status remained unchanged for many patients. However, it was noted to worsen in 59 patients (36%) in the brentuximab vedotin arm compared to 39 patients (25%) in the placebo arm and to improve in 36 patients (22%) in the brentuximab vedotin arm compared to 43 patients (27%) in the placebo arm.</w:t>
      </w:r>
    </w:p>
    <w:p w14:paraId="686FF7F5" w14:textId="77777777" w:rsidR="001F60FB" w:rsidRPr="00F014D0" w:rsidRDefault="001F60FB" w:rsidP="00EF5E91">
      <w:pPr>
        <w:pStyle w:val="Heading4"/>
      </w:pPr>
      <w:bookmarkStart w:id="89" w:name="_Toc272414711"/>
      <w:bookmarkStart w:id="90" w:name="_Toc290846351"/>
      <w:bookmarkStart w:id="91" w:name="_Toc449884371"/>
      <w:bookmarkStart w:id="92" w:name="_Toc484462228"/>
      <w:r w:rsidRPr="00F014D0">
        <w:t>Second round assessment of benefit-risk balance</w:t>
      </w:r>
      <w:bookmarkEnd w:id="89"/>
      <w:bookmarkEnd w:id="90"/>
      <w:bookmarkEnd w:id="91"/>
      <w:bookmarkEnd w:id="92"/>
    </w:p>
    <w:p w14:paraId="2A886971" w14:textId="77777777" w:rsidR="001F60FB" w:rsidRPr="00F014D0" w:rsidRDefault="001F60FB" w:rsidP="001F60FB">
      <w:pPr>
        <w:rPr>
          <w:lang w:eastAsia="ja-JP"/>
        </w:rPr>
      </w:pPr>
      <w:r w:rsidRPr="00F014D0">
        <w:rPr>
          <w:lang w:eastAsia="ja-JP"/>
        </w:rPr>
        <w:t>The benefit-risk balance of brentuximab vedotin is unfavourable for the proposed usage, but could become favourable if the changes recommended in this section</w:t>
      </w:r>
      <w:r>
        <w:rPr>
          <w:lang w:eastAsia="ja-JP"/>
        </w:rPr>
        <w:t xml:space="preserve"> (Second round assessment of benefit-risk balance)</w:t>
      </w:r>
      <w:r w:rsidRPr="00F014D0">
        <w:rPr>
          <w:lang w:eastAsia="ja-JP"/>
        </w:rPr>
        <w:t xml:space="preserve"> and </w:t>
      </w:r>
      <w:r>
        <w:rPr>
          <w:lang w:eastAsia="ja-JP"/>
        </w:rPr>
        <w:t xml:space="preserve">changes recommended regarding the draft PI [not included in this document] </w:t>
      </w:r>
      <w:r w:rsidRPr="00F014D0">
        <w:rPr>
          <w:lang w:eastAsia="ja-JP"/>
        </w:rPr>
        <w:t>are adopted.</w:t>
      </w:r>
    </w:p>
    <w:p w14:paraId="4E41DC0E" w14:textId="77777777" w:rsidR="001F60FB" w:rsidRPr="00F014D0" w:rsidRDefault="001F60FB" w:rsidP="001F60FB">
      <w:pPr>
        <w:rPr>
          <w:lang w:eastAsia="ja-JP"/>
        </w:rPr>
      </w:pPr>
      <w:r w:rsidRPr="00F014D0">
        <w:rPr>
          <w:lang w:eastAsia="ja-JP"/>
        </w:rPr>
        <w:t>The evaluator recognises the importance of the improved progression free survival demonstrated in the pivotal study but is concerned by the lack of improvement in quality of life and the lack of benefit in overall survival. It is not clear to the evaluator that the use of brentuximab vedotin as adjuvant therapy offers a meaningful improvement over its use as rescue therapy. The evaluator is also concerned that, with the proposed usage, there will inevitably be patients who would otherwise have been cured by ASCT who will be exposed to the potentially fatal complications associated with brentuximab vedotin. Individually these potentially fatal adverse effects are rare. However, together they add up to a substantial risk to the patients.</w:t>
      </w:r>
    </w:p>
    <w:p w14:paraId="4FA3F447" w14:textId="77777777" w:rsidR="001F60FB" w:rsidRPr="00F014D0" w:rsidRDefault="001F60FB" w:rsidP="001F60FB">
      <w:pPr>
        <w:rPr>
          <w:lang w:eastAsia="ja-JP"/>
        </w:rPr>
      </w:pPr>
      <w:r w:rsidRPr="00F014D0">
        <w:rPr>
          <w:lang w:eastAsia="ja-JP"/>
        </w:rPr>
        <w:t xml:space="preserve">The evaluator is also of the opinion that the potential risks associated with brentuximab vedotin have not, as yet, been fully characterised. Brentuximab vedotin has been available in the wider non-trial population for only a few years – it was first approved for marketing in the US in 2011. During this time, the concerns regarding toxicity of brentuximab vedotin have increased considerably due to the progressive recognition of many of the life-threatening complications associated with treatment that have been detailed above. An </w:t>
      </w:r>
      <w:r w:rsidRPr="00F014D0">
        <w:rPr>
          <w:lang w:eastAsia="ja-JP"/>
        </w:rPr>
        <w:lastRenderedPageBreak/>
        <w:t>example of this is the identification of the association with potentially fatal gastrointestinal complications that has occurred in just the last few months.</w:t>
      </w:r>
    </w:p>
    <w:p w14:paraId="5FDF36E9" w14:textId="77777777" w:rsidR="001F60FB" w:rsidRPr="00F014D0" w:rsidRDefault="001F60FB" w:rsidP="001F60FB">
      <w:pPr>
        <w:rPr>
          <w:lang w:eastAsia="ja-JP"/>
        </w:rPr>
      </w:pPr>
      <w:r w:rsidRPr="00F014D0">
        <w:rPr>
          <w:lang w:eastAsia="ja-JP"/>
        </w:rPr>
        <w:t>Under the currently approved indications, patients receiving brentuximab vedotin have poor prognosis and no other less toxic therapeutic options. At the time of this approval in December 2013, the Delegate noted:</w:t>
      </w:r>
    </w:p>
    <w:p w14:paraId="114A70CC" w14:textId="48A5E989" w:rsidR="001F60FB" w:rsidRPr="00F014D0" w:rsidRDefault="001F60FB" w:rsidP="001F60FB">
      <w:pPr>
        <w:ind w:left="720"/>
        <w:rPr>
          <w:i/>
          <w:lang w:eastAsia="ja-JP"/>
        </w:rPr>
      </w:pPr>
      <w:r w:rsidRPr="00F014D0">
        <w:rPr>
          <w:lang w:eastAsia="ja-JP"/>
        </w:rPr>
        <w:t>‘</w:t>
      </w:r>
      <w:r w:rsidRPr="00F014D0">
        <w:rPr>
          <w:i/>
          <w:lang w:eastAsia="ja-JP"/>
        </w:rPr>
        <w:t>The most significant common toxicity was peripheral neuropathy, which may detract from quality of life and may require discontinuation from treatment. There were rarer, more serious AEs, f</w:t>
      </w:r>
      <w:r w:rsidR="00866AB4">
        <w:rPr>
          <w:i/>
          <w:lang w:eastAsia="ja-JP"/>
        </w:rPr>
        <w:t>or example anaphylaxis; Stevens-</w:t>
      </w:r>
      <w:r w:rsidRPr="00F014D0">
        <w:rPr>
          <w:i/>
          <w:lang w:eastAsia="ja-JP"/>
        </w:rPr>
        <w:t>Johnson syndrome (SJS)/TEN; possibly PML (the signal for this latter AE was difficult to distinguish from baseline).’</w:t>
      </w:r>
    </w:p>
    <w:p w14:paraId="6FD60804" w14:textId="2CAAFB15" w:rsidR="001F60FB" w:rsidRPr="00F014D0" w:rsidRDefault="001F60FB" w:rsidP="001F60FB">
      <w:pPr>
        <w:rPr>
          <w:lang w:eastAsia="ja-JP"/>
        </w:rPr>
      </w:pPr>
      <w:r w:rsidRPr="00F014D0">
        <w:rPr>
          <w:lang w:eastAsia="ja-JP"/>
        </w:rPr>
        <w:t xml:space="preserve">As detailed above, the risk profile for brentuximab vedotin has worsened since the approval as a </w:t>
      </w:r>
      <w:r w:rsidR="0039049C">
        <w:rPr>
          <w:lang w:eastAsia="ja-JP"/>
        </w:rPr>
        <w:t>new chemical entity (</w:t>
      </w:r>
      <w:r w:rsidRPr="00F014D0">
        <w:rPr>
          <w:lang w:eastAsia="ja-JP"/>
        </w:rPr>
        <w:t>NCE</w:t>
      </w:r>
      <w:r w:rsidR="0039049C">
        <w:rPr>
          <w:lang w:eastAsia="ja-JP"/>
        </w:rPr>
        <w:t>)</w:t>
      </w:r>
      <w:r w:rsidRPr="00F014D0">
        <w:rPr>
          <w:lang w:eastAsia="ja-JP"/>
        </w:rPr>
        <w:t>. In those patients who are treated under the current indications, and for whom the prognosis is very poor and alternative therapies of little benefit, the risks associated with brentuximab vedotin would remain acceptable. However, with the proposed usage, patients who would be cured by ASCT alone will be exposed to brentuximab vedotin. The risks to these patients are considerable and the benefit nil. Unfortunately, with the information provided by the sponsor, those patients who would not benefit from this adjuvan</w:t>
      </w:r>
      <w:r w:rsidR="00866AB4">
        <w:rPr>
          <w:lang w:eastAsia="ja-JP"/>
        </w:rPr>
        <w:t>t therapy cannot be identified.</w:t>
      </w:r>
    </w:p>
    <w:p w14:paraId="00FE6D5B" w14:textId="77777777" w:rsidR="001F60FB" w:rsidRPr="00F014D0" w:rsidRDefault="001F60FB" w:rsidP="001F60FB">
      <w:pPr>
        <w:rPr>
          <w:lang w:eastAsia="ja-JP"/>
        </w:rPr>
      </w:pPr>
      <w:r w:rsidRPr="00F014D0">
        <w:rPr>
          <w:lang w:eastAsia="ja-JP"/>
        </w:rPr>
        <w:t>For brentuximab vedotin to be considered for adjuvant therapy, several measures are required to ensure that appropriately informed prescribing (within the limits of current knowledge) occurs, that patients are fully cognisant of the potential risks and benefits and that timely emergency care is provided to patients developing potentially life-threatening complications. This will require:</w:t>
      </w:r>
    </w:p>
    <w:p w14:paraId="3BB5DEC0" w14:textId="77777777" w:rsidR="001F60FB" w:rsidRPr="00F014D0" w:rsidRDefault="001F60FB" w:rsidP="001F60FB">
      <w:pPr>
        <w:pStyle w:val="ListBullet"/>
        <w:numPr>
          <w:ilvl w:val="0"/>
          <w:numId w:val="3"/>
        </w:numPr>
        <w:rPr>
          <w:lang w:eastAsia="ja-JP"/>
        </w:rPr>
      </w:pPr>
      <w:r w:rsidRPr="00F014D0">
        <w:rPr>
          <w:lang w:eastAsia="ja-JP"/>
        </w:rPr>
        <w:t>Substantial rewording of the proposed indication to:</w:t>
      </w:r>
    </w:p>
    <w:p w14:paraId="4B2F4969" w14:textId="77777777" w:rsidR="001F60FB" w:rsidRPr="00F014D0" w:rsidRDefault="001F60FB" w:rsidP="001F60FB">
      <w:pPr>
        <w:ind w:left="720"/>
        <w:rPr>
          <w:i/>
          <w:lang w:eastAsia="ja-JP"/>
        </w:rPr>
      </w:pPr>
      <w:r w:rsidRPr="00F014D0">
        <w:rPr>
          <w:i/>
          <w:lang w:eastAsia="ja-JP"/>
        </w:rPr>
        <w:t>‘Treatment of adult patients with CD30+ HL at high risk of relapse or progression following ASCT, as shown by the presence of two or more risk factors (see Clinical Trials).</w:t>
      </w:r>
    </w:p>
    <w:p w14:paraId="70202865" w14:textId="77777777" w:rsidR="001F60FB" w:rsidRPr="00F014D0" w:rsidRDefault="001F60FB" w:rsidP="001F60FB">
      <w:pPr>
        <w:ind w:left="720"/>
        <w:rPr>
          <w:i/>
          <w:lang w:eastAsia="ja-JP"/>
        </w:rPr>
      </w:pPr>
      <w:r w:rsidRPr="00F014D0">
        <w:rPr>
          <w:i/>
          <w:lang w:eastAsia="ja-JP"/>
        </w:rPr>
        <w:t>This indication was approved based on promising progression free survival in a placebo controlled trial. The data did not demonstrate an increased survival or improved quality of life with Adcetris’.</w:t>
      </w:r>
    </w:p>
    <w:p w14:paraId="1CBA9012" w14:textId="77777777" w:rsidR="001F60FB" w:rsidRPr="00F014D0" w:rsidRDefault="001F60FB" w:rsidP="001F60FB">
      <w:pPr>
        <w:pStyle w:val="ListBullet"/>
        <w:numPr>
          <w:ilvl w:val="0"/>
          <w:numId w:val="3"/>
        </w:numPr>
        <w:rPr>
          <w:lang w:eastAsia="ja-JP"/>
        </w:rPr>
      </w:pPr>
      <w:r w:rsidRPr="00F014D0">
        <w:rPr>
          <w:lang w:eastAsia="ja-JP"/>
        </w:rPr>
        <w:t>Explicit recognition of the risks associated with the use of brentuximab vedotin is required in both the PI and CMI is essential to ensure most appropriate prescribing and informed consent. This should include a boxed warning at the beginning of the PI and CMI as shown:</w:t>
      </w:r>
    </w:p>
    <w:p w14:paraId="3C35D33D" w14:textId="696F4C91" w:rsidR="001F60FB" w:rsidRPr="00F014D0" w:rsidRDefault="001F60FB" w:rsidP="001F60FB">
      <w:pPr>
        <w:pStyle w:val="FigureTitle"/>
        <w:rPr>
          <w:lang w:eastAsia="ja-JP"/>
        </w:rPr>
      </w:pPr>
      <w:r>
        <w:rPr>
          <w:lang w:eastAsia="ja-JP"/>
        </w:rPr>
        <w:t>Figu</w:t>
      </w:r>
      <w:r w:rsidR="00832E73">
        <w:rPr>
          <w:lang w:eastAsia="ja-JP"/>
        </w:rPr>
        <w:t>re 4.</w:t>
      </w:r>
      <w:r w:rsidRPr="00F014D0">
        <w:rPr>
          <w:lang w:eastAsia="ja-JP"/>
        </w:rPr>
        <w:t xml:space="preserve"> Boxed warning for the PI</w:t>
      </w:r>
    </w:p>
    <w:p w14:paraId="77F596AF" w14:textId="77777777" w:rsidR="001F60FB" w:rsidRPr="00F014D0" w:rsidRDefault="001F60FB" w:rsidP="001F60FB">
      <w:pPr>
        <w:rPr>
          <w:lang w:eastAsia="ja-JP"/>
        </w:rPr>
      </w:pPr>
      <w:r w:rsidRPr="00F014D0">
        <w:rPr>
          <w:noProof/>
          <w:lang w:eastAsia="en-AU"/>
        </w:rPr>
        <mc:AlternateContent>
          <mc:Choice Requires="wps">
            <w:drawing>
              <wp:inline distT="0" distB="0" distL="0" distR="0" wp14:anchorId="03FE95CB" wp14:editId="58C540BF">
                <wp:extent cx="5114925" cy="1746280"/>
                <wp:effectExtent l="0" t="0" r="15875" b="31750"/>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746280"/>
                        </a:xfrm>
                        <a:prstGeom prst="rect">
                          <a:avLst/>
                        </a:prstGeom>
                        <a:solidFill>
                          <a:srgbClr val="FFFFFF"/>
                        </a:solidFill>
                        <a:ln w="9525">
                          <a:solidFill>
                            <a:srgbClr val="000000"/>
                          </a:solidFill>
                          <a:miter lim="800000"/>
                          <a:headEnd/>
                          <a:tailEnd/>
                        </a:ln>
                      </wps:spPr>
                      <wps:txbx>
                        <w:txbxContent>
                          <w:p w14:paraId="76EF598D" w14:textId="77777777" w:rsidR="009701A0" w:rsidRPr="0039049C" w:rsidRDefault="009701A0" w:rsidP="001F60FB">
                            <w:pPr>
                              <w:rPr>
                                <w:rFonts w:asciiTheme="minorHAnsi" w:hAnsiTheme="minorHAnsi"/>
                                <w:b/>
                                <w:sz w:val="20"/>
                                <w:szCs w:val="20"/>
                              </w:rPr>
                            </w:pPr>
                            <w:r w:rsidRPr="0039049C">
                              <w:rPr>
                                <w:rFonts w:asciiTheme="minorHAnsi" w:hAnsiTheme="minorHAnsi"/>
                                <w:b/>
                                <w:sz w:val="20"/>
                                <w:szCs w:val="20"/>
                              </w:rPr>
                              <w:t>Serious Warnings and Precautions</w:t>
                            </w:r>
                          </w:p>
                          <w:p w14:paraId="574B5A8D" w14:textId="77777777" w:rsidR="009701A0" w:rsidRPr="0039049C" w:rsidRDefault="009701A0" w:rsidP="001F60FB">
                            <w:pPr>
                              <w:rPr>
                                <w:rFonts w:asciiTheme="minorHAnsi" w:hAnsiTheme="minorHAnsi"/>
                                <w:sz w:val="20"/>
                                <w:szCs w:val="20"/>
                              </w:rPr>
                            </w:pPr>
                            <w:r w:rsidRPr="0039049C">
                              <w:rPr>
                                <w:rFonts w:asciiTheme="minorHAnsi" w:hAnsiTheme="minorHAnsi"/>
                                <w:sz w:val="20"/>
                                <w:szCs w:val="20"/>
                              </w:rPr>
                              <w:t>Clinically significant and/or life threatening and/or fatal adverse events have been reported with the use of Adcetris.</w:t>
                            </w:r>
                          </w:p>
                          <w:p w14:paraId="00DDB575" w14:textId="77777777" w:rsidR="009701A0" w:rsidRPr="0039049C" w:rsidRDefault="009701A0" w:rsidP="001F60FB">
                            <w:pPr>
                              <w:rPr>
                                <w:rFonts w:asciiTheme="minorHAnsi" w:hAnsiTheme="minorHAnsi"/>
                                <w:color w:val="000000"/>
                                <w:sz w:val="20"/>
                                <w:szCs w:val="20"/>
                                <w:lang w:eastAsia="zh-TW"/>
                              </w:rPr>
                            </w:pPr>
                            <w:r w:rsidRPr="0039049C">
                              <w:rPr>
                                <w:rFonts w:asciiTheme="minorHAnsi" w:hAnsiTheme="minorHAnsi"/>
                                <w:sz w:val="20"/>
                                <w:szCs w:val="20"/>
                              </w:rPr>
                              <w:t xml:space="preserve">These include: </w:t>
                            </w:r>
                            <w:r w:rsidRPr="0039049C">
                              <w:rPr>
                                <w:rFonts w:asciiTheme="minorHAnsi" w:hAnsiTheme="minorHAnsi"/>
                                <w:color w:val="000000"/>
                                <w:sz w:val="20"/>
                                <w:szCs w:val="20"/>
                                <w:lang w:eastAsia="zh-TW"/>
                              </w:rPr>
                              <w:t>JC virus infection resulting in progressive multifocal leukoencephalopathy (PML), serious and opportunistic infections, Stevens-Johnson Syndrome/Toxic Epidermal Necrolysis, hepatotoxicity, pulmonary toxicity, acute pancreatitis and gastrointestinal complications</w:t>
                            </w:r>
                          </w:p>
                          <w:p w14:paraId="54870200" w14:textId="4A85362D" w:rsidR="009701A0" w:rsidRPr="0039049C" w:rsidRDefault="009701A0" w:rsidP="001F60FB">
                            <w:pPr>
                              <w:rPr>
                                <w:rFonts w:asciiTheme="minorHAnsi" w:hAnsiTheme="minorHAnsi"/>
                                <w:i/>
                                <w:iCs/>
                                <w:color w:val="000000"/>
                                <w:sz w:val="20"/>
                                <w:szCs w:val="20"/>
                                <w:lang w:eastAsia="zh-TW"/>
                              </w:rPr>
                            </w:pPr>
                            <w:r w:rsidRPr="0039049C">
                              <w:rPr>
                                <w:rFonts w:asciiTheme="minorHAnsi" w:hAnsiTheme="minorHAnsi"/>
                                <w:color w:val="000000"/>
                                <w:sz w:val="20"/>
                                <w:szCs w:val="20"/>
                                <w:lang w:eastAsia="zh-TW"/>
                              </w:rPr>
                              <w:t xml:space="preserve"> (</w:t>
                            </w:r>
                            <w:r w:rsidRPr="0039049C">
                              <w:rPr>
                                <w:rFonts w:asciiTheme="minorHAnsi" w:hAnsiTheme="minorHAnsi"/>
                                <w:iCs/>
                                <w:color w:val="000000"/>
                                <w:sz w:val="20"/>
                                <w:szCs w:val="20"/>
                                <w:lang w:eastAsia="zh-TW"/>
                              </w:rPr>
                              <w:t>see</w:t>
                            </w:r>
                            <w:r w:rsidRPr="0039049C">
                              <w:rPr>
                                <w:rFonts w:asciiTheme="minorHAnsi" w:hAnsiTheme="minorHAnsi"/>
                                <w:i/>
                                <w:iCs/>
                                <w:color w:val="000000"/>
                                <w:sz w:val="20"/>
                                <w:szCs w:val="20"/>
                                <w:lang w:eastAsia="zh-TW"/>
                              </w:rPr>
                              <w:t xml:space="preserve"> </w:t>
                            </w:r>
                            <w:r w:rsidRPr="0039049C">
                              <w:rPr>
                                <w:rFonts w:asciiTheme="minorHAnsi" w:hAnsiTheme="minorHAnsi"/>
                                <w:iCs/>
                                <w:color w:val="000000"/>
                                <w:sz w:val="20"/>
                                <w:szCs w:val="20"/>
                                <w:lang w:eastAsia="zh-TW"/>
                              </w:rPr>
                              <w:t>Precautions</w:t>
                            </w:r>
                            <w:r w:rsidRPr="0039049C">
                              <w:rPr>
                                <w:rFonts w:asciiTheme="minorHAnsi" w:hAnsiTheme="minorHAnsi"/>
                                <w:i/>
                                <w:iCs/>
                                <w:color w:val="000000"/>
                                <w:sz w:val="20"/>
                                <w:szCs w:val="20"/>
                                <w:lang w:eastAsia="zh-TW"/>
                              </w:rPr>
                              <w: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02.75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">
                <v:textbox>
                  <w:txbxContent>
                    <w:p w14:paraId="76EF598D" w14:textId="77777777" w:rsidR="009701A0" w:rsidRPr="0039049C" w:rsidRDefault="009701A0" w:rsidP="001F60FB">
                      <w:pPr>
                        <w:rPr>
                          <w:rFonts w:asciiTheme="minorHAnsi" w:hAnsiTheme="minorHAnsi"/>
                          <w:b/>
                          <w:sz w:val="20"/>
                          <w:szCs w:val="20"/>
                        </w:rPr>
                      </w:pPr>
                      <w:r w:rsidRPr="0039049C">
                        <w:rPr>
                          <w:rFonts w:asciiTheme="minorHAnsi" w:hAnsiTheme="minorHAnsi"/>
                          <w:b/>
                          <w:sz w:val="20"/>
                          <w:szCs w:val="20"/>
                        </w:rPr>
                        <w:t>Serious Warnings and Precautions</w:t>
                      </w:r>
                    </w:p>
                    <w:p w14:paraId="574B5A8D" w14:textId="77777777" w:rsidR="009701A0" w:rsidRPr="0039049C" w:rsidRDefault="009701A0" w:rsidP="001F60FB">
                      <w:pPr>
                        <w:rPr>
                          <w:rFonts w:asciiTheme="minorHAnsi" w:hAnsiTheme="minorHAnsi"/>
                          <w:sz w:val="20"/>
                          <w:szCs w:val="20"/>
                        </w:rPr>
                      </w:pPr>
                      <w:r w:rsidRPr="0039049C">
                        <w:rPr>
                          <w:rFonts w:asciiTheme="minorHAnsi" w:hAnsiTheme="minorHAnsi"/>
                          <w:sz w:val="20"/>
                          <w:szCs w:val="20"/>
                        </w:rPr>
                        <w:t>Clinically significant and/or life threatening and/or fatal adverse events have been reported with the use of Adcetris.</w:t>
                      </w:r>
                    </w:p>
                    <w:p w14:paraId="00DDB575" w14:textId="77777777" w:rsidR="009701A0" w:rsidRPr="0039049C" w:rsidRDefault="009701A0" w:rsidP="001F60FB">
                      <w:pPr>
                        <w:rPr>
                          <w:rFonts w:asciiTheme="minorHAnsi" w:hAnsiTheme="minorHAnsi"/>
                          <w:color w:val="000000"/>
                          <w:sz w:val="20"/>
                          <w:szCs w:val="20"/>
                          <w:lang w:eastAsia="zh-TW"/>
                        </w:rPr>
                      </w:pPr>
                      <w:r w:rsidRPr="0039049C">
                        <w:rPr>
                          <w:rFonts w:asciiTheme="minorHAnsi" w:hAnsiTheme="minorHAnsi"/>
                          <w:sz w:val="20"/>
                          <w:szCs w:val="20"/>
                        </w:rPr>
                        <w:t xml:space="preserve">These include: </w:t>
                      </w:r>
                      <w:r w:rsidRPr="0039049C">
                        <w:rPr>
                          <w:rFonts w:asciiTheme="minorHAnsi" w:hAnsiTheme="minorHAnsi"/>
                          <w:color w:val="000000"/>
                          <w:sz w:val="20"/>
                          <w:szCs w:val="20"/>
                          <w:lang w:eastAsia="zh-TW"/>
                        </w:rPr>
                        <w:t>JC virus infection resulting in progressive multifocal leukoencephalopathy (PML), serious and opportunistic infections, Stevens-Johnson Syndrome/Toxic Epidermal Necrolysis, hepatotoxicity, pulmonary toxicity, acute pancreatitis and gastrointestinal complications</w:t>
                      </w:r>
                    </w:p>
                    <w:p w14:paraId="54870200" w14:textId="4A85362D" w:rsidR="009701A0" w:rsidRPr="0039049C" w:rsidRDefault="009701A0" w:rsidP="001F60FB">
                      <w:pPr>
                        <w:rPr>
                          <w:rFonts w:asciiTheme="minorHAnsi" w:hAnsiTheme="minorHAnsi"/>
                          <w:i/>
                          <w:iCs/>
                          <w:color w:val="000000"/>
                          <w:sz w:val="20"/>
                          <w:szCs w:val="20"/>
                          <w:lang w:eastAsia="zh-TW"/>
                        </w:rPr>
                      </w:pPr>
                      <w:r w:rsidRPr="0039049C">
                        <w:rPr>
                          <w:rFonts w:asciiTheme="minorHAnsi" w:hAnsiTheme="minorHAnsi"/>
                          <w:color w:val="000000"/>
                          <w:sz w:val="20"/>
                          <w:szCs w:val="20"/>
                          <w:lang w:eastAsia="zh-TW"/>
                        </w:rPr>
                        <w:t xml:space="preserve"> (</w:t>
                      </w:r>
                      <w:r w:rsidRPr="0039049C">
                        <w:rPr>
                          <w:rFonts w:asciiTheme="minorHAnsi" w:hAnsiTheme="minorHAnsi"/>
                          <w:iCs/>
                          <w:color w:val="000000"/>
                          <w:sz w:val="20"/>
                          <w:szCs w:val="20"/>
                          <w:lang w:eastAsia="zh-TW"/>
                        </w:rPr>
                        <w:t>see</w:t>
                      </w:r>
                      <w:r w:rsidRPr="0039049C">
                        <w:rPr>
                          <w:rFonts w:asciiTheme="minorHAnsi" w:hAnsiTheme="minorHAnsi"/>
                          <w:i/>
                          <w:iCs/>
                          <w:color w:val="000000"/>
                          <w:sz w:val="20"/>
                          <w:szCs w:val="20"/>
                          <w:lang w:eastAsia="zh-TW"/>
                        </w:rPr>
                        <w:t xml:space="preserve"> </w:t>
                      </w:r>
                      <w:r w:rsidRPr="0039049C">
                        <w:rPr>
                          <w:rFonts w:asciiTheme="minorHAnsi" w:hAnsiTheme="minorHAnsi"/>
                          <w:iCs/>
                          <w:color w:val="000000"/>
                          <w:sz w:val="20"/>
                          <w:szCs w:val="20"/>
                          <w:lang w:eastAsia="zh-TW"/>
                        </w:rPr>
                        <w:t>Precautions</w:t>
                      </w:r>
                      <w:r w:rsidRPr="0039049C">
                        <w:rPr>
                          <w:rFonts w:asciiTheme="minorHAnsi" w:hAnsiTheme="minorHAnsi"/>
                          <w:i/>
                          <w:iCs/>
                          <w:color w:val="000000"/>
                          <w:sz w:val="20"/>
                          <w:szCs w:val="20"/>
                          <w:lang w:eastAsia="zh-TW"/>
                        </w:rPr>
                        <w:t>)</w:t>
                      </w:r>
                    </w:p>
                  </w:txbxContent>
                </v:textbox>
                <w10:anchorlock/>
              </v:shape>
            </w:pict>
          </mc:Fallback>
        </mc:AlternateContent>
      </w:r>
    </w:p>
    <w:p w14:paraId="23A2BB60" w14:textId="41DED5D7" w:rsidR="001F60FB" w:rsidRPr="00F014D0" w:rsidRDefault="00832E73" w:rsidP="001F60FB">
      <w:pPr>
        <w:pStyle w:val="FigureTitle"/>
        <w:rPr>
          <w:lang w:eastAsia="ja-JP"/>
        </w:rPr>
      </w:pPr>
      <w:r>
        <w:rPr>
          <w:lang w:eastAsia="ja-JP"/>
        </w:rPr>
        <w:lastRenderedPageBreak/>
        <w:t xml:space="preserve">Figure </w:t>
      </w:r>
      <w:r w:rsidR="001F60FB">
        <w:rPr>
          <w:lang w:eastAsia="ja-JP"/>
        </w:rPr>
        <w:t>5</w:t>
      </w:r>
      <w:r w:rsidR="001F60FB" w:rsidRPr="00F014D0">
        <w:rPr>
          <w:lang w:eastAsia="ja-JP"/>
        </w:rPr>
        <w:t>. Boxed warning for the CMI</w:t>
      </w:r>
    </w:p>
    <w:p w14:paraId="34FB18D5" w14:textId="77777777" w:rsidR="001F60FB" w:rsidRPr="00F014D0" w:rsidRDefault="001F60FB" w:rsidP="001F60FB">
      <w:pPr>
        <w:rPr>
          <w:lang w:eastAsia="ja-JP"/>
        </w:rPr>
      </w:pPr>
      <w:r w:rsidRPr="00F014D0">
        <w:rPr>
          <w:noProof/>
          <w:lang w:eastAsia="en-AU"/>
        </w:rPr>
        <mc:AlternateContent>
          <mc:Choice Requires="wps">
            <w:drawing>
              <wp:inline distT="0" distB="0" distL="0" distR="0" wp14:anchorId="2251BB7A" wp14:editId="3491F3DD">
                <wp:extent cx="5314315" cy="794666"/>
                <wp:effectExtent l="0" t="0" r="19685" b="18415"/>
                <wp:docPr id="11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315" cy="794666"/>
                        </a:xfrm>
                        <a:prstGeom prst="rect">
                          <a:avLst/>
                        </a:prstGeom>
                        <a:solidFill>
                          <a:srgbClr val="FFFFFF"/>
                        </a:solidFill>
                        <a:ln w="9525">
                          <a:solidFill>
                            <a:srgbClr val="000000"/>
                          </a:solidFill>
                          <a:miter lim="800000"/>
                          <a:headEnd/>
                          <a:tailEnd/>
                        </a:ln>
                      </wps:spPr>
                      <wps:txbx>
                        <w:txbxContent>
                          <w:p w14:paraId="5F493F16" w14:textId="77777777" w:rsidR="009701A0" w:rsidRPr="0039049C" w:rsidRDefault="009701A0" w:rsidP="001F60FB">
                            <w:pPr>
                              <w:rPr>
                                <w:rFonts w:asciiTheme="minorHAnsi" w:hAnsiTheme="minorHAnsi"/>
                                <w:sz w:val="20"/>
                                <w:szCs w:val="20"/>
                                <w:lang w:eastAsia="zh-TW"/>
                              </w:rPr>
                            </w:pPr>
                            <w:r w:rsidRPr="0039049C">
                              <w:rPr>
                                <w:rFonts w:asciiTheme="minorHAnsi" w:hAnsiTheme="minorHAnsi"/>
                                <w:sz w:val="20"/>
                                <w:szCs w:val="20"/>
                              </w:rPr>
                              <w:t xml:space="preserve">Fatal complications have occurred with brentuximab vedotin treatment. These include lung injury, liver injury, serious infections, pancreatitis, allergic reactions, blistering skin reactions and a rare brain infection called </w:t>
                            </w:r>
                            <w:r w:rsidRPr="0039049C">
                              <w:rPr>
                                <w:rFonts w:asciiTheme="minorHAnsi" w:hAnsiTheme="minorHAnsi"/>
                                <w:sz w:val="20"/>
                                <w:szCs w:val="20"/>
                                <w:lang w:eastAsia="zh-TW"/>
                              </w:rPr>
                              <w:t>progressive multifocal leukoencephalopathy (PML). Ask your doctor to find out more about these and to discuss your personal situation.</w:t>
                            </w:r>
                          </w:p>
                        </w:txbxContent>
                      </wps:txbx>
                      <wps:bodyPr rot="0" vert="horz" wrap="square" lIns="91440" tIns="45720" rIns="91440" bIns="45720" anchor="t" anchorCtr="0" upright="1">
                        <a:noAutofit/>
                      </wps:bodyPr>
                    </wps:wsp>
                  </a:graphicData>
                </a:graphic>
              </wp:inline>
            </w:drawing>
          </mc:Choice>
          <mc:Fallback>
            <w:pict>
              <v:shape id="Text Box 303" o:spid="_x0000_s1027" type="#_x0000_t202" style="width:418.45pt;height: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">
                <v:textbox>
                  <w:txbxContent>
                    <w:p w14:paraId="5F493F16" w14:textId="77777777" w:rsidR="009701A0" w:rsidRPr="0039049C" w:rsidRDefault="009701A0" w:rsidP="001F60FB">
                      <w:pPr>
                        <w:rPr>
                          <w:rFonts w:asciiTheme="minorHAnsi" w:hAnsiTheme="minorHAnsi"/>
                          <w:sz w:val="20"/>
                          <w:szCs w:val="20"/>
                          <w:lang w:eastAsia="zh-TW"/>
                        </w:rPr>
                      </w:pPr>
                      <w:r w:rsidRPr="0039049C">
                        <w:rPr>
                          <w:rFonts w:asciiTheme="minorHAnsi" w:hAnsiTheme="minorHAnsi"/>
                          <w:sz w:val="20"/>
                          <w:szCs w:val="20"/>
                        </w:rPr>
                        <w:t xml:space="preserve">Fatal complications have occurred with brentuximab vedotin treatment. These include lung injury, liver injury, serious infections, pancreatitis, allergic reactions, blistering skin reactions and a rare brain infection called </w:t>
                      </w:r>
                      <w:r w:rsidRPr="0039049C">
                        <w:rPr>
                          <w:rFonts w:asciiTheme="minorHAnsi" w:hAnsiTheme="minorHAnsi"/>
                          <w:sz w:val="20"/>
                          <w:szCs w:val="20"/>
                          <w:lang w:eastAsia="zh-TW"/>
                        </w:rPr>
                        <w:t>progressive multifocal leukoencephalopathy (PML). Ask your doctor to find out more about these and to discuss your personal situation.</w:t>
                      </w:r>
                    </w:p>
                  </w:txbxContent>
                </v:textbox>
                <w10:anchorlock/>
              </v:shape>
            </w:pict>
          </mc:Fallback>
        </mc:AlternateContent>
      </w:r>
    </w:p>
    <w:p w14:paraId="711A2DC8" w14:textId="77777777" w:rsidR="009701A0" w:rsidRDefault="001F60FB" w:rsidP="001F60FB">
      <w:pPr>
        <w:rPr>
          <w:lang w:eastAsia="ja-JP"/>
        </w:rPr>
      </w:pPr>
      <w:r w:rsidRPr="00F014D0">
        <w:rPr>
          <w:lang w:eastAsia="ja-JP"/>
        </w:rPr>
        <w:t>Other changes to the proposed PI and CMI as recommended by the evaluator [are beyond the scope of this document]</w:t>
      </w:r>
      <w:r w:rsidR="009701A0">
        <w:rPr>
          <w:lang w:eastAsia="ja-JP"/>
        </w:rPr>
        <w:t>.</w:t>
      </w:r>
    </w:p>
    <w:p w14:paraId="1FF47DBF" w14:textId="4126305D" w:rsidR="001F60FB" w:rsidRPr="00F014D0" w:rsidRDefault="001F60FB" w:rsidP="001F60FB">
      <w:pPr>
        <w:rPr>
          <w:lang w:eastAsia="ja-JP"/>
        </w:rPr>
      </w:pPr>
      <w:r w:rsidRPr="00F014D0">
        <w:rPr>
          <w:lang w:eastAsia="ja-JP"/>
        </w:rPr>
        <w:t>To assist the prescriber in providing the necessary information to the patient, the PI should include a ‘Patient Counselling Section’.</w:t>
      </w:r>
    </w:p>
    <w:p w14:paraId="0188BE1D" w14:textId="77777777" w:rsidR="001F60FB" w:rsidRPr="00F014D0" w:rsidRDefault="001F60FB" w:rsidP="001F60FB">
      <w:pPr>
        <w:pStyle w:val="ListBullet"/>
        <w:numPr>
          <w:ilvl w:val="0"/>
          <w:numId w:val="3"/>
        </w:numPr>
        <w:rPr>
          <w:lang w:eastAsia="ja-JP"/>
        </w:rPr>
      </w:pPr>
      <w:r w:rsidRPr="00F014D0">
        <w:rPr>
          <w:lang w:eastAsia="ja-JP"/>
        </w:rPr>
        <w:t>A registry of the use of brentuximab vedotin as both rescue and adjuvant use in the Australian population. This will provide ‘real-world data’ of safety and efficacy and may assist in better characterisation of identified safety concerns and in the recognition of any new safety concerns. Reliance on voluntary reporting of adverse events is inadequate for this. The financial cost of this registry should be borne by the sponsor.</w:t>
      </w:r>
    </w:p>
    <w:p w14:paraId="75F21B13" w14:textId="77777777" w:rsidR="001F60FB" w:rsidRPr="00F014D0" w:rsidRDefault="001F60FB" w:rsidP="001F60FB">
      <w:pPr>
        <w:pStyle w:val="ListBullet"/>
        <w:numPr>
          <w:ilvl w:val="0"/>
          <w:numId w:val="3"/>
        </w:numPr>
        <w:rPr>
          <w:lang w:eastAsia="ja-JP"/>
        </w:rPr>
      </w:pPr>
      <w:r w:rsidRPr="00F014D0">
        <w:rPr>
          <w:lang w:eastAsia="ja-JP"/>
        </w:rPr>
        <w:t>A patient safety card with information on one side that advises the patient of when to seek urgent medical attention and information on the other side to advise medical practitioners providing emergency care of the complications unique to this medication. [Further discussion of this is beyond the scope of this document].</w:t>
      </w:r>
    </w:p>
    <w:p w14:paraId="64059F1D" w14:textId="642214F2" w:rsidR="001F60FB" w:rsidRPr="00F014D0" w:rsidRDefault="001F60FB" w:rsidP="001F60FB">
      <w:pPr>
        <w:pStyle w:val="ListBullet"/>
        <w:numPr>
          <w:ilvl w:val="0"/>
          <w:numId w:val="3"/>
        </w:numPr>
        <w:rPr>
          <w:lang w:eastAsia="ja-JP"/>
        </w:rPr>
      </w:pPr>
      <w:r w:rsidRPr="00F014D0">
        <w:rPr>
          <w:lang w:eastAsia="ja-JP"/>
        </w:rPr>
        <w:t>A healthcare professional information brochure to provide easily accessible information for all healthcare professionals involved in the care of the patients receiving brentuximab vedotin should be available. This should supplement but not replace the PI and should be provided for display in locations in which brentuxima</w:t>
      </w:r>
      <w:r w:rsidR="003040AF">
        <w:rPr>
          <w:lang w:eastAsia="ja-JP"/>
        </w:rPr>
        <w:t>b vedotin will be administered.</w:t>
      </w:r>
    </w:p>
    <w:p w14:paraId="46B6009D" w14:textId="77777777" w:rsidR="001F60FB" w:rsidRPr="00F014D0" w:rsidRDefault="001F60FB" w:rsidP="001F60FB">
      <w:pPr>
        <w:rPr>
          <w:lang w:eastAsia="ja-JP"/>
        </w:rPr>
      </w:pPr>
      <w:r w:rsidRPr="00F014D0">
        <w:rPr>
          <w:lang w:eastAsia="ja-JP"/>
        </w:rPr>
        <w:t>In addition, further studies to assist in identification of the group that progress early and receive little benefit from brentuximab vedotin and the group that respond well to ASCT alone would enable those patients most likely to benefit receive the therapy and those least likely to benefit, or who may be harmed by the therapy, do not receive it.</w:t>
      </w:r>
    </w:p>
    <w:p w14:paraId="4F426226" w14:textId="77777777" w:rsidR="001F60FB" w:rsidRPr="00F014D0" w:rsidRDefault="001F60FB" w:rsidP="001F60FB">
      <w:pPr>
        <w:pStyle w:val="Heading2"/>
        <w:tabs>
          <w:tab w:val="num" w:pos="567"/>
        </w:tabs>
        <w:adjustRightInd w:val="0"/>
        <w:snapToGrid w:val="0"/>
        <w:ind w:left="567" w:hanging="567"/>
      </w:pPr>
      <w:bookmarkStart w:id="93" w:name="_Toc484462229"/>
      <w:bookmarkStart w:id="94" w:name="_Toc495400788"/>
      <w:r w:rsidRPr="00F014D0">
        <w:t>Second round recommendation regarding authorisation</w:t>
      </w:r>
      <w:bookmarkEnd w:id="93"/>
      <w:bookmarkEnd w:id="94"/>
    </w:p>
    <w:p w14:paraId="40BC20D9" w14:textId="4CE8D8E1" w:rsidR="001F60FB" w:rsidRPr="00F014D0" w:rsidRDefault="001F60FB" w:rsidP="001F60FB">
      <w:pPr>
        <w:rPr>
          <w:lang w:eastAsia="ja-JP"/>
        </w:rPr>
      </w:pPr>
      <w:r w:rsidRPr="00F014D0">
        <w:rPr>
          <w:lang w:eastAsia="ja-JP"/>
        </w:rPr>
        <w:t xml:space="preserve">The second round recommendation regarding authorisations is unfavourable but could become favourable if the changes recommended in above and changes recommended to the product documentation are adopted. The evaluator is also of the opinion that it may be helpful to obtain advice from independent Australian specialists experienced in the care of patients with relapsed/refractory </w:t>
      </w:r>
      <w:r w:rsidR="003040AF">
        <w:rPr>
          <w:lang w:eastAsia="ja-JP"/>
        </w:rPr>
        <w:t>HL</w:t>
      </w:r>
      <w:r w:rsidRPr="00F014D0">
        <w:rPr>
          <w:lang w:eastAsia="ja-JP"/>
        </w:rPr>
        <w:t xml:space="preserve"> to assist in the decision making process.</w:t>
      </w:r>
    </w:p>
    <w:p w14:paraId="0C4504E5" w14:textId="77777777" w:rsidR="001F60FB" w:rsidRPr="00F014D0" w:rsidRDefault="001F60FB" w:rsidP="001F60FB">
      <w:pPr>
        <w:rPr>
          <w:lang w:eastAsia="ja-JP"/>
        </w:rPr>
      </w:pPr>
      <w:r w:rsidRPr="00F014D0">
        <w:rPr>
          <w:lang w:eastAsia="ja-JP"/>
        </w:rPr>
        <w:t xml:space="preserve">The evaluator considers that the decision regarding approval of brentuximab vedotin for the proposed extension of indication is complex. Of note is that submissions for the same extension of indication and using the same dataset were made to the FDA on 18 February 2015 and to the EMA on </w:t>
      </w:r>
      <w:r>
        <w:rPr>
          <w:lang w:eastAsia="ja-JP"/>
        </w:rPr>
        <w:t>11 March</w:t>
      </w:r>
      <w:r w:rsidRPr="00F014D0">
        <w:rPr>
          <w:lang w:eastAsia="ja-JP"/>
        </w:rPr>
        <w:t xml:space="preserve"> 2015. From publically available information, these submissions have had different outcomes.</w:t>
      </w:r>
    </w:p>
    <w:p w14:paraId="4ED9736C" w14:textId="77777777" w:rsidR="001F60FB" w:rsidRPr="00F014D0" w:rsidRDefault="001F60FB" w:rsidP="001F60FB">
      <w:pPr>
        <w:pStyle w:val="ListBullet"/>
        <w:numPr>
          <w:ilvl w:val="0"/>
          <w:numId w:val="3"/>
        </w:numPr>
        <w:rPr>
          <w:i/>
          <w:lang w:eastAsia="ja-JP"/>
        </w:rPr>
      </w:pPr>
      <w:r w:rsidRPr="00F014D0">
        <w:rPr>
          <w:lang w:eastAsia="ja-JP"/>
        </w:rPr>
        <w:t xml:space="preserve">The extension of indication was approved in August 2015 by the FDA with the wording: </w:t>
      </w:r>
      <w:r w:rsidRPr="00F014D0">
        <w:rPr>
          <w:i/>
          <w:lang w:eastAsia="ja-JP"/>
        </w:rPr>
        <w:t xml:space="preserve">‘Classical HL at high risk of relapse or progression as post-auto-HSCT consolidation’. </w:t>
      </w:r>
      <w:r w:rsidRPr="00F014D0">
        <w:rPr>
          <w:lang w:eastAsia="ja-JP"/>
        </w:rPr>
        <w:t>In the approved labelling, the reader is referred to the Clinical Trials section where ‘</w:t>
      </w:r>
      <w:r w:rsidRPr="00F014D0">
        <w:rPr>
          <w:i/>
          <w:lang w:eastAsia="ja-JP"/>
        </w:rPr>
        <w:t>High risk of post-auto-HSCT relapse or progression was defined according to status following frontline therapy: refractory, relapse within 12 months, or relapse ≥ 12 months with extra</w:t>
      </w:r>
      <w:r>
        <w:rPr>
          <w:i/>
          <w:lang w:eastAsia="ja-JP"/>
        </w:rPr>
        <w:t>-</w:t>
      </w:r>
      <w:r w:rsidRPr="00F014D0">
        <w:rPr>
          <w:i/>
          <w:lang w:eastAsia="ja-JP"/>
        </w:rPr>
        <w:t>nodal disease. Patients were required to have obtained a CR, PR, or stable disease (SD) to most recent pre-auto-HSCT salvage therapy</w:t>
      </w:r>
      <w:r w:rsidRPr="00F014D0">
        <w:rPr>
          <w:lang w:eastAsia="ja-JP"/>
        </w:rPr>
        <w:t>’.</w:t>
      </w:r>
    </w:p>
    <w:p w14:paraId="7809A05A" w14:textId="734FD9EB" w:rsidR="00605AD4" w:rsidRPr="000F7222" w:rsidRDefault="00C14EE7" w:rsidP="000F7222">
      <w:pPr>
        <w:pStyle w:val="ListBullet"/>
        <w:numPr>
          <w:ilvl w:val="0"/>
          <w:numId w:val="3"/>
        </w:numPr>
        <w:rPr>
          <w:lang w:val="en-GB" w:eastAsia="ja-JP"/>
        </w:rPr>
      </w:pPr>
      <w:r>
        <w:rPr>
          <w:lang w:eastAsia="ja-JP"/>
        </w:rPr>
        <w:lastRenderedPageBreak/>
        <w:t>At the time of this evaluation, n</w:t>
      </w:r>
      <w:r w:rsidR="001F60FB" w:rsidRPr="00F014D0">
        <w:rPr>
          <w:lang w:eastAsia="ja-JP"/>
        </w:rPr>
        <w:t>o decision ha</w:t>
      </w:r>
      <w:r>
        <w:rPr>
          <w:lang w:eastAsia="ja-JP"/>
        </w:rPr>
        <w:t>d been</w:t>
      </w:r>
      <w:r w:rsidR="001F60FB" w:rsidRPr="00F014D0">
        <w:rPr>
          <w:lang w:eastAsia="ja-JP"/>
        </w:rPr>
        <w:t xml:space="preserve"> reached by the EMA and no final recommendation has been made by the </w:t>
      </w:r>
      <w:r w:rsidR="000F7222" w:rsidRPr="000F7222">
        <w:rPr>
          <w:lang w:val="en-GB" w:eastAsia="ja-JP"/>
        </w:rPr>
        <w:t>Committee for Medicinal Products for Human Use</w:t>
      </w:r>
      <w:r w:rsidR="000F7222">
        <w:rPr>
          <w:lang w:val="en-GB" w:eastAsia="ja-JP"/>
        </w:rPr>
        <w:t xml:space="preserve"> (</w:t>
      </w:r>
      <w:r w:rsidR="001F60FB" w:rsidRPr="00F014D0">
        <w:rPr>
          <w:lang w:eastAsia="ja-JP"/>
        </w:rPr>
        <w:t>CHMP</w:t>
      </w:r>
      <w:r w:rsidR="000F7222">
        <w:rPr>
          <w:lang w:eastAsia="ja-JP"/>
        </w:rPr>
        <w:t>)</w:t>
      </w:r>
      <w:r w:rsidR="001F60FB" w:rsidRPr="00F014D0">
        <w:rPr>
          <w:lang w:eastAsia="ja-JP"/>
        </w:rPr>
        <w:t xml:space="preserve">. </w:t>
      </w:r>
      <w:r w:rsidR="001F60FB" w:rsidRPr="000F7222">
        <w:rPr>
          <w:iCs/>
          <w:lang w:eastAsia="ja-JP"/>
        </w:rPr>
        <w:t>According to publically available documents, the sponsor’s application was discussed at both the June 2015 and October 2015 CHMP meetings and is to be discussed again at the April 2016 meeting. The June 2015 meeting minutes note that the ‘</w:t>
      </w:r>
      <w:r w:rsidR="001F60FB" w:rsidRPr="000F7222">
        <w:rPr>
          <w:i/>
          <w:lang w:eastAsia="ja-JP"/>
        </w:rPr>
        <w:t xml:space="preserve">The Committee agreed to seek clarification on the benefit/risk in the proposed extension of indication with specific focus on the target population’. </w:t>
      </w:r>
      <w:r w:rsidR="001F60FB" w:rsidRPr="00F014D0">
        <w:rPr>
          <w:lang w:eastAsia="ja-JP"/>
        </w:rPr>
        <w:t>The October meeting minutes note that a discussion of issues identified in the application focussed on ‘</w:t>
      </w:r>
      <w:r w:rsidR="001F60FB" w:rsidRPr="000F7222">
        <w:rPr>
          <w:i/>
          <w:lang w:eastAsia="ja-JP"/>
        </w:rPr>
        <w:t xml:space="preserve">the clinical efficacy and the outcome seen for progression free survival versus overall survival. Furthermore the safety profile was discussed in relation to the drop-out rate of the clinical trial.’ </w:t>
      </w:r>
      <w:r w:rsidR="001F60FB" w:rsidRPr="00F014D0">
        <w:rPr>
          <w:lang w:eastAsia="ja-JP"/>
        </w:rPr>
        <w:t xml:space="preserve">The publically available agenda for the April 2016 CHMP meeting has the proposed extension of indication for discussion again, with this including an </w:t>
      </w:r>
      <w:r w:rsidR="001F60FB" w:rsidRPr="000F7222">
        <w:rPr>
          <w:i/>
          <w:lang w:eastAsia="ja-JP"/>
        </w:rPr>
        <w:t xml:space="preserve">‘Oral explanation, report by </w:t>
      </w:r>
      <w:r w:rsidR="00FF008A">
        <w:rPr>
          <w:i/>
          <w:lang w:eastAsia="ja-JP"/>
        </w:rPr>
        <w:t>[information redacted]</w:t>
      </w:r>
      <w:r w:rsidR="001F60FB" w:rsidRPr="000F7222">
        <w:rPr>
          <w:i/>
          <w:lang w:eastAsia="ja-JP"/>
        </w:rPr>
        <w:t xml:space="preserve"> from SAG Oncology meeting held on 14 April 2016’</w:t>
      </w:r>
      <w:r w:rsidR="001F60FB" w:rsidRPr="00F014D0">
        <w:rPr>
          <w:lang w:eastAsia="ja-JP"/>
        </w:rPr>
        <w:t xml:space="preserve"> and notes that an additional request for supplementary information was made in January 2016.</w:t>
      </w:r>
    </w:p>
    <w:p w14:paraId="79E659F4" w14:textId="25571FFD" w:rsidR="00546154" w:rsidRPr="00FC1FCA" w:rsidRDefault="008E7846" w:rsidP="000F7222">
      <w:pPr>
        <w:pStyle w:val="Heading2"/>
      </w:pPr>
      <w:bookmarkStart w:id="95" w:name="_Toc495400789"/>
      <w:r w:rsidRPr="00E41208">
        <w:t xml:space="preserve">V. Pharmacovigilance </w:t>
      </w:r>
      <w:r>
        <w:t>f</w:t>
      </w:r>
      <w:r w:rsidRPr="00E41208">
        <w:t>indings</w:t>
      </w:r>
      <w:bookmarkStart w:id="96" w:name="_Toc247691526"/>
      <w:bookmarkStart w:id="97" w:name="_Toc314842509"/>
      <w:bookmarkEnd w:id="66"/>
      <w:bookmarkEnd w:id="67"/>
      <w:bookmarkEnd w:id="95"/>
    </w:p>
    <w:p w14:paraId="1515DD61" w14:textId="77777777" w:rsidR="008E7846" w:rsidRDefault="00386150" w:rsidP="008E7846">
      <w:pPr>
        <w:pStyle w:val="Heading3"/>
        <w:rPr>
          <w:lang w:eastAsia="en-AU"/>
        </w:rPr>
      </w:pPr>
      <w:bookmarkStart w:id="98" w:name="_Toc495400790"/>
      <w:r>
        <w:rPr>
          <w:lang w:eastAsia="en-AU"/>
        </w:rPr>
        <w:t>Risk m</w:t>
      </w:r>
      <w:r w:rsidR="008E7846">
        <w:rPr>
          <w:lang w:eastAsia="en-AU"/>
        </w:rPr>
        <w:t xml:space="preserve">anagement </w:t>
      </w:r>
      <w:r>
        <w:rPr>
          <w:lang w:eastAsia="en-AU"/>
        </w:rPr>
        <w:t>p</w:t>
      </w:r>
      <w:r w:rsidR="008E7846">
        <w:rPr>
          <w:lang w:eastAsia="en-AU"/>
        </w:rPr>
        <w:t>lan</w:t>
      </w:r>
      <w:bookmarkEnd w:id="96"/>
      <w:bookmarkEnd w:id="97"/>
      <w:bookmarkEnd w:id="98"/>
    </w:p>
    <w:p w14:paraId="02DA8FE9" w14:textId="5708593D" w:rsidR="008E7846" w:rsidRDefault="008E7846" w:rsidP="008E7846">
      <w:pPr>
        <w:rPr>
          <w:lang w:eastAsia="en-AU"/>
        </w:rPr>
      </w:pPr>
      <w:r>
        <w:rPr>
          <w:lang w:eastAsia="en-AU"/>
        </w:rPr>
        <w:t>The sponsor submitted a Risk Management Plan</w:t>
      </w:r>
      <w:r w:rsidR="00646F6C">
        <w:rPr>
          <w:lang w:eastAsia="en-AU"/>
        </w:rPr>
        <w:t xml:space="preserve">, </w:t>
      </w:r>
      <w:r w:rsidR="00646F6C" w:rsidRPr="00646F6C">
        <w:rPr>
          <w:lang w:eastAsia="en-AU"/>
        </w:rPr>
        <w:t>EU-RMP Version 5.2 (dated 23 February 2015, D</w:t>
      </w:r>
      <w:r w:rsidR="00646F6C">
        <w:rPr>
          <w:lang w:eastAsia="en-AU"/>
        </w:rPr>
        <w:t xml:space="preserve">ata </w:t>
      </w:r>
      <w:r w:rsidR="00646F6C" w:rsidRPr="00646F6C">
        <w:rPr>
          <w:lang w:eastAsia="en-AU"/>
        </w:rPr>
        <w:t>L</w:t>
      </w:r>
      <w:r w:rsidR="00646F6C">
        <w:rPr>
          <w:lang w:eastAsia="en-AU"/>
        </w:rPr>
        <w:t xml:space="preserve">ock </w:t>
      </w:r>
      <w:r w:rsidR="00646F6C" w:rsidRPr="00646F6C">
        <w:rPr>
          <w:lang w:eastAsia="en-AU"/>
        </w:rPr>
        <w:t>P</w:t>
      </w:r>
      <w:r w:rsidR="00646F6C">
        <w:rPr>
          <w:lang w:eastAsia="en-AU"/>
        </w:rPr>
        <w:t>oint</w:t>
      </w:r>
      <w:r w:rsidR="00646F6C" w:rsidRPr="00646F6C">
        <w:rPr>
          <w:lang w:eastAsia="en-AU"/>
        </w:rPr>
        <w:t xml:space="preserve"> 18 August 2014) and Australian-specific annex (ASA) Version 5.0 (dated July 2015) </w:t>
      </w:r>
      <w:r>
        <w:rPr>
          <w:lang w:eastAsia="en-AU"/>
        </w:rPr>
        <w:t xml:space="preserve">which was reviewed by the </w:t>
      </w:r>
      <w:r w:rsidR="00FC1FCA">
        <w:rPr>
          <w:lang w:eastAsia="en-AU"/>
        </w:rPr>
        <w:t>RMP evaluator.</w:t>
      </w:r>
    </w:p>
    <w:p w14:paraId="15CF7D91" w14:textId="77777777" w:rsidR="008E7846" w:rsidRDefault="003A7F6C" w:rsidP="008E7846">
      <w:pPr>
        <w:pStyle w:val="Heading4"/>
        <w:rPr>
          <w:lang w:eastAsia="en-AU"/>
        </w:rPr>
      </w:pPr>
      <w:r>
        <w:rPr>
          <w:lang w:eastAsia="en-AU"/>
        </w:rPr>
        <w:t>Safety s</w:t>
      </w:r>
      <w:r w:rsidR="008E7846">
        <w:rPr>
          <w:lang w:eastAsia="en-AU"/>
        </w:rPr>
        <w:t>pecification</w:t>
      </w:r>
    </w:p>
    <w:p w14:paraId="5410E5B0" w14:textId="1586B4B8"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w:t>
      </w:r>
      <w:r w:rsidR="00600B50">
        <w:rPr>
          <w:lang w:eastAsia="en-AU"/>
        </w:rPr>
        <w:t>in Table 3, as follows.</w:t>
      </w:r>
    </w:p>
    <w:p w14:paraId="168018F2" w14:textId="69E4289C" w:rsidR="00A607F9" w:rsidRDefault="000F7222" w:rsidP="00600B50">
      <w:pPr>
        <w:pStyle w:val="Tabletitle0"/>
        <w:rPr>
          <w:lang w:eastAsia="en-AU"/>
        </w:rPr>
      </w:pPr>
      <w:r>
        <w:rPr>
          <w:lang w:eastAsia="en-AU"/>
        </w:rPr>
        <w:t>Table 3</w:t>
      </w:r>
      <w:r w:rsidR="00A607F9">
        <w:rPr>
          <w:lang w:eastAsia="en-AU"/>
        </w:rPr>
        <w:t>. Summary of ongoing safety concerns identified by sponsor</w:t>
      </w:r>
    </w:p>
    <w:tbl>
      <w:tblPr>
        <w:tblStyle w:val="TableTGAblue"/>
        <w:tblW w:w="0" w:type="auto"/>
        <w:tblLook w:val="04A0" w:firstRow="1" w:lastRow="0" w:firstColumn="1" w:lastColumn="0" w:noHBand="0" w:noVBand="1"/>
      </w:tblPr>
      <w:tblGrid>
        <w:gridCol w:w="2991"/>
        <w:gridCol w:w="5729"/>
      </w:tblGrid>
      <w:tr w:rsidR="00355704" w:rsidRPr="00AD0D2A" w14:paraId="411EA8E2" w14:textId="77777777" w:rsidTr="00AD0D2A">
        <w:trPr>
          <w:cnfStyle w:val="100000000000" w:firstRow="1" w:lastRow="0" w:firstColumn="0" w:lastColumn="0" w:oddVBand="0" w:evenVBand="0" w:oddHBand="0" w:evenHBand="0" w:firstRowFirstColumn="0" w:firstRowLastColumn="0" w:lastRowFirstColumn="0" w:lastRowLastColumn="0"/>
        </w:trPr>
        <w:tc>
          <w:tcPr>
            <w:tcW w:w="2991" w:type="dxa"/>
          </w:tcPr>
          <w:p w14:paraId="1DD48FAD" w14:textId="78F27B2B" w:rsidR="00971ECA" w:rsidRPr="00AD0D2A" w:rsidRDefault="00AD0D2A" w:rsidP="00AD0D2A">
            <w:pPr>
              <w:rPr>
                <w:sz w:val="20"/>
                <w:szCs w:val="20"/>
              </w:rPr>
            </w:pPr>
            <w:r>
              <w:rPr>
                <w:sz w:val="20"/>
                <w:szCs w:val="20"/>
              </w:rPr>
              <w:t>Safety concern</w:t>
            </w:r>
          </w:p>
        </w:tc>
        <w:tc>
          <w:tcPr>
            <w:tcW w:w="5729" w:type="dxa"/>
          </w:tcPr>
          <w:p w14:paraId="7E98A5D4" w14:textId="096C2699" w:rsidR="00971ECA" w:rsidRPr="00AD0D2A" w:rsidRDefault="00AD0D2A" w:rsidP="00AD0D2A">
            <w:pPr>
              <w:rPr>
                <w:sz w:val="20"/>
                <w:szCs w:val="20"/>
              </w:rPr>
            </w:pPr>
            <w:r>
              <w:rPr>
                <w:sz w:val="20"/>
                <w:szCs w:val="20"/>
              </w:rPr>
              <w:t>Details</w:t>
            </w:r>
          </w:p>
        </w:tc>
      </w:tr>
      <w:tr w:rsidR="00355704" w:rsidRPr="00AD0D2A" w14:paraId="0D81307F" w14:textId="77777777" w:rsidTr="00AD0D2A">
        <w:tc>
          <w:tcPr>
            <w:tcW w:w="2991" w:type="dxa"/>
          </w:tcPr>
          <w:p w14:paraId="5041AB1C" w14:textId="791DC2AA" w:rsidR="00971ECA" w:rsidRPr="00AD0D2A" w:rsidRDefault="00CF00F1" w:rsidP="00AD0D2A">
            <w:pPr>
              <w:rPr>
                <w:sz w:val="20"/>
                <w:szCs w:val="20"/>
              </w:rPr>
            </w:pPr>
            <w:r w:rsidRPr="00AD0D2A">
              <w:rPr>
                <w:sz w:val="20"/>
                <w:szCs w:val="20"/>
              </w:rPr>
              <w:t>Important identified risks</w:t>
            </w:r>
          </w:p>
        </w:tc>
        <w:tc>
          <w:tcPr>
            <w:tcW w:w="5729" w:type="dxa"/>
          </w:tcPr>
          <w:p w14:paraId="43D9542E" w14:textId="77777777" w:rsidR="00971ECA" w:rsidRPr="00AD0D2A" w:rsidRDefault="006F4573" w:rsidP="00AD0D2A">
            <w:pPr>
              <w:rPr>
                <w:sz w:val="20"/>
                <w:szCs w:val="20"/>
              </w:rPr>
            </w:pPr>
            <w:r w:rsidRPr="00AD0D2A">
              <w:rPr>
                <w:sz w:val="20"/>
                <w:szCs w:val="20"/>
              </w:rPr>
              <w:t>Progressive multi</w:t>
            </w:r>
            <w:r w:rsidR="00355704" w:rsidRPr="00AD0D2A">
              <w:rPr>
                <w:sz w:val="20"/>
                <w:szCs w:val="20"/>
              </w:rPr>
              <w:t>focal leukoencephalopathy</w:t>
            </w:r>
          </w:p>
          <w:p w14:paraId="085D6B8C" w14:textId="77777777" w:rsidR="00355704" w:rsidRPr="00AD0D2A" w:rsidRDefault="00355704" w:rsidP="00AD0D2A">
            <w:pPr>
              <w:rPr>
                <w:sz w:val="20"/>
                <w:szCs w:val="20"/>
              </w:rPr>
            </w:pPr>
            <w:r w:rsidRPr="00AD0D2A">
              <w:rPr>
                <w:sz w:val="20"/>
                <w:szCs w:val="20"/>
              </w:rPr>
              <w:t>Pulmonary toxicity associated with combination use of bleomycin and brentuximab vedotin</w:t>
            </w:r>
          </w:p>
          <w:p w14:paraId="54F7C89C" w14:textId="77777777" w:rsidR="00355704" w:rsidRPr="00AD0D2A" w:rsidRDefault="00355704" w:rsidP="00AD0D2A">
            <w:pPr>
              <w:rPr>
                <w:sz w:val="20"/>
                <w:szCs w:val="20"/>
              </w:rPr>
            </w:pPr>
            <w:r w:rsidRPr="00AD0D2A">
              <w:rPr>
                <w:sz w:val="20"/>
                <w:szCs w:val="20"/>
              </w:rPr>
              <w:t>Peripheral neuropathy (sensory and motor)</w:t>
            </w:r>
          </w:p>
          <w:p w14:paraId="38751D99" w14:textId="77777777" w:rsidR="00355704" w:rsidRPr="00AD0D2A" w:rsidRDefault="00355704" w:rsidP="00AD0D2A">
            <w:pPr>
              <w:rPr>
                <w:sz w:val="20"/>
                <w:szCs w:val="20"/>
              </w:rPr>
            </w:pPr>
            <w:r w:rsidRPr="00AD0D2A">
              <w:rPr>
                <w:sz w:val="20"/>
                <w:szCs w:val="20"/>
              </w:rPr>
              <w:t>Neutropaenia</w:t>
            </w:r>
          </w:p>
          <w:p w14:paraId="31E6A938" w14:textId="77777777" w:rsidR="00355704" w:rsidRPr="00AD0D2A" w:rsidRDefault="00355704" w:rsidP="00AD0D2A">
            <w:pPr>
              <w:rPr>
                <w:sz w:val="20"/>
                <w:szCs w:val="20"/>
              </w:rPr>
            </w:pPr>
            <w:r w:rsidRPr="00AD0D2A">
              <w:rPr>
                <w:sz w:val="20"/>
                <w:szCs w:val="20"/>
              </w:rPr>
              <w:t>Febrile neutropaenia</w:t>
            </w:r>
          </w:p>
          <w:p w14:paraId="29F30755" w14:textId="77777777" w:rsidR="00355704" w:rsidRPr="00AD0D2A" w:rsidRDefault="00355704" w:rsidP="00AD0D2A">
            <w:pPr>
              <w:rPr>
                <w:sz w:val="20"/>
                <w:szCs w:val="20"/>
              </w:rPr>
            </w:pPr>
            <w:r w:rsidRPr="00AD0D2A">
              <w:rPr>
                <w:sz w:val="20"/>
                <w:szCs w:val="20"/>
              </w:rPr>
              <w:t>Thrombocytopaenia</w:t>
            </w:r>
          </w:p>
          <w:p w14:paraId="52DBF6B9" w14:textId="77777777" w:rsidR="00355704" w:rsidRPr="00AD0D2A" w:rsidRDefault="00355704" w:rsidP="00AD0D2A">
            <w:pPr>
              <w:rPr>
                <w:sz w:val="20"/>
                <w:szCs w:val="20"/>
              </w:rPr>
            </w:pPr>
            <w:r w:rsidRPr="00AD0D2A">
              <w:rPr>
                <w:sz w:val="20"/>
                <w:szCs w:val="20"/>
              </w:rPr>
              <w:t>Anaemia</w:t>
            </w:r>
          </w:p>
          <w:p w14:paraId="7F7102AE" w14:textId="77777777" w:rsidR="00355704" w:rsidRPr="00AD0D2A" w:rsidRDefault="00355704" w:rsidP="00AD0D2A">
            <w:pPr>
              <w:rPr>
                <w:sz w:val="20"/>
                <w:szCs w:val="20"/>
              </w:rPr>
            </w:pPr>
            <w:r w:rsidRPr="00AD0D2A">
              <w:rPr>
                <w:sz w:val="20"/>
                <w:szCs w:val="20"/>
              </w:rPr>
              <w:t>Infection including bacteraemia/sepsis/septic shock</w:t>
            </w:r>
          </w:p>
          <w:p w14:paraId="3E4D102C" w14:textId="77777777" w:rsidR="00355704" w:rsidRPr="00AD0D2A" w:rsidRDefault="00355704" w:rsidP="00AD0D2A">
            <w:pPr>
              <w:rPr>
                <w:sz w:val="20"/>
                <w:szCs w:val="20"/>
              </w:rPr>
            </w:pPr>
            <w:r w:rsidRPr="00AD0D2A">
              <w:rPr>
                <w:sz w:val="20"/>
                <w:szCs w:val="20"/>
              </w:rPr>
              <w:t>Opportunistic infection</w:t>
            </w:r>
          </w:p>
          <w:p w14:paraId="1453E1D1" w14:textId="77777777" w:rsidR="00355704" w:rsidRPr="00AD0D2A" w:rsidRDefault="00355704" w:rsidP="00AD0D2A">
            <w:pPr>
              <w:rPr>
                <w:sz w:val="20"/>
                <w:szCs w:val="20"/>
              </w:rPr>
            </w:pPr>
            <w:r w:rsidRPr="00AD0D2A">
              <w:rPr>
                <w:sz w:val="20"/>
                <w:szCs w:val="20"/>
              </w:rPr>
              <w:t>Infusion-related reaction</w:t>
            </w:r>
          </w:p>
          <w:p w14:paraId="47463EC4" w14:textId="77777777" w:rsidR="00355704" w:rsidRPr="00AD0D2A" w:rsidRDefault="00355704" w:rsidP="00AD0D2A">
            <w:pPr>
              <w:rPr>
                <w:sz w:val="20"/>
                <w:szCs w:val="20"/>
              </w:rPr>
            </w:pPr>
            <w:r w:rsidRPr="00AD0D2A">
              <w:rPr>
                <w:sz w:val="20"/>
                <w:szCs w:val="20"/>
              </w:rPr>
              <w:t>Hyperglycaemia</w:t>
            </w:r>
          </w:p>
          <w:p w14:paraId="5473FBE3" w14:textId="77777777" w:rsidR="00355704" w:rsidRPr="00AD0D2A" w:rsidRDefault="00355704" w:rsidP="00AD0D2A">
            <w:pPr>
              <w:rPr>
                <w:sz w:val="20"/>
                <w:szCs w:val="20"/>
              </w:rPr>
            </w:pPr>
            <w:r w:rsidRPr="00AD0D2A">
              <w:rPr>
                <w:sz w:val="20"/>
                <w:szCs w:val="20"/>
              </w:rPr>
              <w:t>Stevens-Johnson syndrome/Toxic epidermal necrolysis</w:t>
            </w:r>
          </w:p>
          <w:p w14:paraId="26DF1F13" w14:textId="77777777" w:rsidR="00355704" w:rsidRPr="00AD0D2A" w:rsidRDefault="00355704" w:rsidP="00AD0D2A">
            <w:pPr>
              <w:rPr>
                <w:sz w:val="20"/>
                <w:szCs w:val="20"/>
              </w:rPr>
            </w:pPr>
            <w:r w:rsidRPr="00AD0D2A">
              <w:rPr>
                <w:sz w:val="20"/>
                <w:szCs w:val="20"/>
              </w:rPr>
              <w:t>Tumour lysis syndrome</w:t>
            </w:r>
          </w:p>
          <w:p w14:paraId="024E362E" w14:textId="71C81049" w:rsidR="00355704" w:rsidRPr="00AD0D2A" w:rsidRDefault="00355704" w:rsidP="00AD0D2A">
            <w:pPr>
              <w:rPr>
                <w:sz w:val="20"/>
                <w:szCs w:val="20"/>
              </w:rPr>
            </w:pPr>
            <w:r w:rsidRPr="00AD0D2A">
              <w:rPr>
                <w:sz w:val="20"/>
                <w:szCs w:val="20"/>
              </w:rPr>
              <w:lastRenderedPageBreak/>
              <w:t>Anti-therapeutic antibodies</w:t>
            </w:r>
          </w:p>
        </w:tc>
      </w:tr>
      <w:tr w:rsidR="00355704" w:rsidRPr="00AD0D2A" w14:paraId="7E63736C" w14:textId="77777777" w:rsidTr="00AD0D2A">
        <w:tc>
          <w:tcPr>
            <w:tcW w:w="2991" w:type="dxa"/>
          </w:tcPr>
          <w:p w14:paraId="302E2AF1" w14:textId="58B7ED80" w:rsidR="00971ECA" w:rsidRPr="00AD0D2A" w:rsidRDefault="006F4573" w:rsidP="00AD0D2A">
            <w:pPr>
              <w:rPr>
                <w:sz w:val="20"/>
                <w:szCs w:val="20"/>
              </w:rPr>
            </w:pPr>
            <w:r w:rsidRPr="00AD0D2A">
              <w:rPr>
                <w:sz w:val="20"/>
                <w:szCs w:val="20"/>
              </w:rPr>
              <w:lastRenderedPageBreak/>
              <w:t>Important potential risks</w:t>
            </w:r>
          </w:p>
        </w:tc>
        <w:tc>
          <w:tcPr>
            <w:tcW w:w="5729" w:type="dxa"/>
          </w:tcPr>
          <w:p w14:paraId="2325B87B" w14:textId="77777777" w:rsidR="00971ECA" w:rsidRPr="00AD0D2A" w:rsidRDefault="00355704" w:rsidP="00AD0D2A">
            <w:pPr>
              <w:rPr>
                <w:sz w:val="20"/>
                <w:szCs w:val="20"/>
              </w:rPr>
            </w:pPr>
            <w:r w:rsidRPr="00AD0D2A">
              <w:rPr>
                <w:sz w:val="20"/>
                <w:szCs w:val="20"/>
              </w:rPr>
              <w:t>Pancreatitis acute</w:t>
            </w:r>
          </w:p>
          <w:p w14:paraId="5289D306" w14:textId="77777777" w:rsidR="00355704" w:rsidRPr="00AD0D2A" w:rsidRDefault="00355704" w:rsidP="00AD0D2A">
            <w:pPr>
              <w:rPr>
                <w:sz w:val="20"/>
                <w:szCs w:val="20"/>
              </w:rPr>
            </w:pPr>
            <w:r w:rsidRPr="00AD0D2A">
              <w:rPr>
                <w:sz w:val="20"/>
                <w:szCs w:val="20"/>
              </w:rPr>
              <w:t>Hepatotoxicity</w:t>
            </w:r>
          </w:p>
          <w:p w14:paraId="7880DA58" w14:textId="77777777" w:rsidR="00355704" w:rsidRPr="00AD0D2A" w:rsidRDefault="00355704" w:rsidP="00AD0D2A">
            <w:pPr>
              <w:rPr>
                <w:sz w:val="20"/>
                <w:szCs w:val="20"/>
              </w:rPr>
            </w:pPr>
            <w:r w:rsidRPr="00AD0D2A">
              <w:rPr>
                <w:sz w:val="20"/>
                <w:szCs w:val="20"/>
              </w:rPr>
              <w:t>Pulmonary toxicity</w:t>
            </w:r>
          </w:p>
          <w:p w14:paraId="38B1DC4E" w14:textId="77777777" w:rsidR="00355704" w:rsidRPr="00AD0D2A" w:rsidRDefault="00355704" w:rsidP="00AD0D2A">
            <w:pPr>
              <w:rPr>
                <w:sz w:val="20"/>
                <w:szCs w:val="20"/>
              </w:rPr>
            </w:pPr>
            <w:r w:rsidRPr="00AD0D2A">
              <w:rPr>
                <w:sz w:val="20"/>
                <w:szCs w:val="20"/>
              </w:rPr>
              <w:t>Reproductive toxicity</w:t>
            </w:r>
          </w:p>
          <w:p w14:paraId="60699A5E" w14:textId="77777777" w:rsidR="00355704" w:rsidRPr="00AD0D2A" w:rsidRDefault="00355704" w:rsidP="00AD0D2A">
            <w:pPr>
              <w:rPr>
                <w:sz w:val="20"/>
                <w:szCs w:val="20"/>
              </w:rPr>
            </w:pPr>
            <w:r w:rsidRPr="00AD0D2A">
              <w:rPr>
                <w:sz w:val="20"/>
                <w:szCs w:val="20"/>
              </w:rPr>
              <w:t>Thymus depletion (paediatric)</w:t>
            </w:r>
          </w:p>
          <w:p w14:paraId="76322FDF" w14:textId="052DE046" w:rsidR="00355704" w:rsidRPr="00AD0D2A" w:rsidRDefault="00355704" w:rsidP="00AD0D2A">
            <w:pPr>
              <w:rPr>
                <w:sz w:val="20"/>
                <w:szCs w:val="20"/>
              </w:rPr>
            </w:pPr>
            <w:r w:rsidRPr="00AD0D2A">
              <w:rPr>
                <w:sz w:val="20"/>
                <w:szCs w:val="20"/>
              </w:rPr>
              <w:t>Infection with drugs modifying CYP3A4 activity</w:t>
            </w:r>
          </w:p>
        </w:tc>
      </w:tr>
      <w:tr w:rsidR="00355704" w:rsidRPr="00AD0D2A" w14:paraId="376AD73D" w14:textId="77777777" w:rsidTr="00AD0D2A">
        <w:tc>
          <w:tcPr>
            <w:tcW w:w="2991" w:type="dxa"/>
          </w:tcPr>
          <w:p w14:paraId="484FE85A" w14:textId="4E53F013" w:rsidR="00971ECA" w:rsidRPr="00AD0D2A" w:rsidRDefault="006F4573" w:rsidP="00AD0D2A">
            <w:pPr>
              <w:rPr>
                <w:sz w:val="20"/>
                <w:szCs w:val="20"/>
              </w:rPr>
            </w:pPr>
            <w:r w:rsidRPr="00AD0D2A">
              <w:rPr>
                <w:sz w:val="20"/>
                <w:szCs w:val="20"/>
              </w:rPr>
              <w:t>Missing information</w:t>
            </w:r>
          </w:p>
        </w:tc>
        <w:tc>
          <w:tcPr>
            <w:tcW w:w="5729" w:type="dxa"/>
          </w:tcPr>
          <w:p w14:paraId="46FDD95A" w14:textId="77777777" w:rsidR="00971ECA" w:rsidRPr="00AD0D2A" w:rsidRDefault="00301177" w:rsidP="00AD0D2A">
            <w:pPr>
              <w:rPr>
                <w:sz w:val="20"/>
                <w:szCs w:val="20"/>
              </w:rPr>
            </w:pPr>
            <w:r w:rsidRPr="00AD0D2A">
              <w:rPr>
                <w:sz w:val="20"/>
                <w:szCs w:val="20"/>
              </w:rPr>
              <w:t>Safety in paediatrics</w:t>
            </w:r>
          </w:p>
          <w:p w14:paraId="6AF50D30" w14:textId="77777777" w:rsidR="00301177" w:rsidRPr="00AD0D2A" w:rsidRDefault="00301177" w:rsidP="00AD0D2A">
            <w:pPr>
              <w:rPr>
                <w:sz w:val="20"/>
                <w:szCs w:val="20"/>
              </w:rPr>
            </w:pPr>
            <w:r w:rsidRPr="00AD0D2A">
              <w:rPr>
                <w:sz w:val="20"/>
                <w:szCs w:val="20"/>
              </w:rPr>
              <w:t>Safety in the elderly</w:t>
            </w:r>
          </w:p>
          <w:p w14:paraId="06B35EEC" w14:textId="77777777" w:rsidR="00301177" w:rsidRPr="00AD0D2A" w:rsidRDefault="00301177" w:rsidP="00AD0D2A">
            <w:pPr>
              <w:rPr>
                <w:sz w:val="20"/>
                <w:szCs w:val="20"/>
              </w:rPr>
            </w:pPr>
            <w:r w:rsidRPr="00AD0D2A">
              <w:rPr>
                <w:sz w:val="20"/>
                <w:szCs w:val="20"/>
              </w:rPr>
              <w:t>Safety in patients with hepatic, cardiac or renal impairment</w:t>
            </w:r>
          </w:p>
          <w:p w14:paraId="3C9190C0" w14:textId="6D439BB2" w:rsidR="00301177" w:rsidRPr="00AD0D2A" w:rsidRDefault="00301177" w:rsidP="00AD0D2A">
            <w:pPr>
              <w:rPr>
                <w:sz w:val="20"/>
                <w:szCs w:val="20"/>
              </w:rPr>
            </w:pPr>
            <w:r w:rsidRPr="00AD0D2A">
              <w:rPr>
                <w:sz w:val="20"/>
                <w:szCs w:val="20"/>
              </w:rPr>
              <w:t>Long term safety</w:t>
            </w:r>
          </w:p>
        </w:tc>
      </w:tr>
    </w:tbl>
    <w:p w14:paraId="23CCFC95"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1B6F8AE9" w14:textId="1075DC52" w:rsidR="00231213" w:rsidRDefault="00231213" w:rsidP="00231213">
      <w:pPr>
        <w:rPr>
          <w:lang w:eastAsia="en-AU"/>
        </w:rPr>
      </w:pPr>
      <w:r w:rsidRPr="00A53A6E">
        <w:rPr>
          <w:lang w:eastAsia="en-AU"/>
        </w:rPr>
        <w:t xml:space="preserve">The sponsor proposes routine </w:t>
      </w:r>
      <w:r w:rsidR="00A53A6E" w:rsidRPr="00A53A6E">
        <w:rPr>
          <w:lang w:eastAsia="en-AU"/>
        </w:rPr>
        <w:t xml:space="preserve">and additional </w:t>
      </w:r>
      <w:r w:rsidRPr="00A53A6E">
        <w:rPr>
          <w:lang w:eastAsia="en-AU"/>
        </w:rPr>
        <w:t>pharmacovigilance activities. These activ</w:t>
      </w:r>
      <w:r w:rsidR="00087676" w:rsidRPr="00A53A6E">
        <w:rPr>
          <w:lang w:eastAsia="en-AU"/>
        </w:rPr>
        <w:t>ities are summarised in Table 4</w:t>
      </w:r>
      <w:r w:rsidRPr="00A53A6E">
        <w:rPr>
          <w:lang w:eastAsia="en-AU"/>
        </w:rPr>
        <w:t>, below.</w:t>
      </w:r>
    </w:p>
    <w:p w14:paraId="0B183E72" w14:textId="7A0CF4B5" w:rsidR="00231213" w:rsidRDefault="00087676" w:rsidP="00231213">
      <w:pPr>
        <w:pStyle w:val="Tabletitle0"/>
        <w:rPr>
          <w:lang w:eastAsia="en-AU"/>
        </w:rPr>
      </w:pPr>
      <w:r>
        <w:rPr>
          <w:lang w:eastAsia="en-AU"/>
        </w:rPr>
        <w:lastRenderedPageBreak/>
        <w:t>Table 4</w:t>
      </w:r>
      <w:r w:rsidR="00231213">
        <w:rPr>
          <w:lang w:eastAsia="en-AU"/>
        </w:rPr>
        <w:t>. Summary of proposed pharmacovigilance activities</w:t>
      </w:r>
    </w:p>
    <w:p w14:paraId="12668680" w14:textId="5FDA5807" w:rsidR="00231213" w:rsidRPr="00231213" w:rsidRDefault="00231213" w:rsidP="00231213">
      <w:pPr>
        <w:rPr>
          <w:lang w:eastAsia="en-AU"/>
        </w:rPr>
      </w:pPr>
      <w:r w:rsidRPr="00231213">
        <w:rPr>
          <w:noProof/>
          <w:lang w:eastAsia="en-AU"/>
        </w:rPr>
        <w:drawing>
          <wp:inline distT="0" distB="0" distL="0" distR="0" wp14:anchorId="566FF370" wp14:editId="0BE9B9A9">
            <wp:extent cx="5428807" cy="6487885"/>
            <wp:effectExtent l="0" t="0" r="635" b="8255"/>
            <wp:docPr id="3" name="Picture 3" descr="Table 4. Summary of proposed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5435364" cy="6495721"/>
                    </a:xfrm>
                    <a:prstGeom prst="rect">
                      <a:avLst/>
                    </a:prstGeom>
                  </pic:spPr>
                </pic:pic>
              </a:graphicData>
            </a:graphic>
          </wp:inline>
        </w:drawing>
      </w:r>
    </w:p>
    <w:p w14:paraId="236C0A60"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2EB49AF1" w14:textId="4996939B" w:rsidR="00D870EC" w:rsidRPr="00D870EC" w:rsidRDefault="00D870EC" w:rsidP="00D870EC">
      <w:pPr>
        <w:rPr>
          <w:lang w:eastAsia="en-AU"/>
        </w:rPr>
      </w:pPr>
      <w:r>
        <w:rPr>
          <w:lang w:eastAsia="en-AU"/>
        </w:rPr>
        <w:t>At the first round stage, t</w:t>
      </w:r>
      <w:r w:rsidRPr="00D870EC">
        <w:rPr>
          <w:lang w:eastAsia="en-AU"/>
        </w:rPr>
        <w:t>he sponsor is not planning any additional risk minimisation activities.</w:t>
      </w:r>
    </w:p>
    <w:p w14:paraId="65A25DBE" w14:textId="77777777" w:rsidR="009701A0" w:rsidRDefault="006F25B8" w:rsidP="006F25B8">
      <w:pPr>
        <w:pStyle w:val="Heading4"/>
        <w:rPr>
          <w:lang w:eastAsia="en-AU"/>
        </w:rPr>
      </w:pPr>
      <w:bookmarkStart w:id="99" w:name="_Toc247691527"/>
      <w:r w:rsidRPr="006F25B8">
        <w:rPr>
          <w:lang w:eastAsia="en-AU"/>
        </w:rPr>
        <w:t>Reconciliation of issues outlined in the RMP report</w:t>
      </w:r>
    </w:p>
    <w:p w14:paraId="01EC971F" w14:textId="3416B173" w:rsidR="006F25B8" w:rsidRDefault="00EE33A1" w:rsidP="006F25B8">
      <w:pPr>
        <w:rPr>
          <w:lang w:eastAsia="en-AU"/>
        </w:rPr>
      </w:pPr>
      <w:r>
        <w:rPr>
          <w:lang w:eastAsia="en-AU"/>
        </w:rPr>
        <w:t>Table 5 (below)</w:t>
      </w:r>
      <w:r w:rsidR="006F25B8">
        <w:rPr>
          <w:lang w:eastAsia="en-AU"/>
        </w:rPr>
        <w:t xml:space="preserve"> summarises the </w:t>
      </w:r>
      <w:r w:rsidR="00D870EC">
        <w:rPr>
          <w:lang w:eastAsia="en-AU"/>
        </w:rPr>
        <w:t>TGA</w:t>
      </w:r>
      <w:r w:rsidR="006F25B8">
        <w:rPr>
          <w:lang w:eastAsia="en-AU"/>
        </w:rPr>
        <w:t xml:space="preserve">’s first round evaluation of the RMP, the sponsor’s responses to issues raised by the </w:t>
      </w:r>
      <w:r w:rsidR="00D870EC">
        <w:rPr>
          <w:lang w:eastAsia="en-AU"/>
        </w:rPr>
        <w:t>TGA</w:t>
      </w:r>
      <w:r w:rsidR="006F25B8">
        <w:rPr>
          <w:lang w:eastAsia="en-AU"/>
        </w:rPr>
        <w:t xml:space="preserve"> and the </w:t>
      </w:r>
      <w:r w:rsidR="00D870EC">
        <w:rPr>
          <w:lang w:eastAsia="en-AU"/>
        </w:rPr>
        <w:t>TGA</w:t>
      </w:r>
      <w:r w:rsidR="006F25B8">
        <w:rPr>
          <w:lang w:eastAsia="en-AU"/>
        </w:rPr>
        <w:t>’s evaluat</w:t>
      </w:r>
      <w:r w:rsidR="00D870EC">
        <w:rPr>
          <w:lang w:eastAsia="en-AU"/>
        </w:rPr>
        <w:t>ion of the sponsor’s responses.</w:t>
      </w:r>
    </w:p>
    <w:p w14:paraId="5294B2FB" w14:textId="2DA3333B" w:rsidR="00CB6076" w:rsidRDefault="00CB6076" w:rsidP="00CB6076">
      <w:pPr>
        <w:pStyle w:val="Tabletitle0"/>
        <w:rPr>
          <w:lang w:eastAsia="en-AU"/>
        </w:rPr>
      </w:pPr>
      <w:r>
        <w:rPr>
          <w:lang w:eastAsia="en-AU"/>
        </w:rPr>
        <w:lastRenderedPageBreak/>
        <w:t>Table 5. Reconciliation of issues outlined in the RMP report</w:t>
      </w:r>
    </w:p>
    <w:tbl>
      <w:tblPr>
        <w:tblStyle w:val="TableTGAblue"/>
        <w:tblW w:w="9113" w:type="dxa"/>
        <w:tblLayout w:type="fixed"/>
        <w:tblLook w:val="04A0" w:firstRow="1" w:lastRow="0" w:firstColumn="1" w:lastColumn="0" w:noHBand="0" w:noVBand="1"/>
      </w:tblPr>
      <w:tblGrid>
        <w:gridCol w:w="2943"/>
        <w:gridCol w:w="4730"/>
        <w:gridCol w:w="1440"/>
      </w:tblGrid>
      <w:tr w:rsidR="003F50B8" w:rsidRPr="00FF008A" w14:paraId="2CF54B8D" w14:textId="77777777" w:rsidTr="00E97E63">
        <w:trPr>
          <w:cnfStyle w:val="100000000000" w:firstRow="1" w:lastRow="0" w:firstColumn="0" w:lastColumn="0" w:oddVBand="0" w:evenVBand="0" w:oddHBand="0" w:evenHBand="0" w:firstRowFirstColumn="0" w:firstRowLastColumn="0" w:lastRowFirstColumn="0" w:lastRowLastColumn="0"/>
        </w:trPr>
        <w:tc>
          <w:tcPr>
            <w:tcW w:w="2943" w:type="dxa"/>
          </w:tcPr>
          <w:p w14:paraId="31754548" w14:textId="111B3940" w:rsidR="005B7C26" w:rsidRPr="00FF008A" w:rsidRDefault="00F21B57" w:rsidP="00E926E1">
            <w:pPr>
              <w:spacing w:before="100" w:beforeAutospacing="1" w:after="100" w:afterAutospacing="1"/>
              <w:ind w:left="0" w:right="0"/>
              <w:rPr>
                <w:rFonts w:asciiTheme="minorHAnsi" w:hAnsiTheme="minorHAnsi"/>
                <w:sz w:val="20"/>
                <w:szCs w:val="20"/>
              </w:rPr>
            </w:pPr>
            <w:r w:rsidRPr="00FF008A">
              <w:rPr>
                <w:rFonts w:asciiTheme="minorHAnsi" w:hAnsiTheme="minorHAnsi"/>
                <w:bCs/>
                <w:sz w:val="20"/>
                <w:szCs w:val="20"/>
                <w:lang w:val="en-GB"/>
              </w:rPr>
              <w:t xml:space="preserve">Recommendation in RMP </w:t>
            </w:r>
            <w:r w:rsidR="00E926E1" w:rsidRPr="00FF008A">
              <w:rPr>
                <w:rFonts w:asciiTheme="minorHAnsi" w:hAnsiTheme="minorHAnsi"/>
                <w:bCs/>
                <w:sz w:val="20"/>
                <w:szCs w:val="20"/>
                <w:lang w:val="en-GB"/>
              </w:rPr>
              <w:t>report</w:t>
            </w:r>
          </w:p>
        </w:tc>
        <w:tc>
          <w:tcPr>
            <w:tcW w:w="4730" w:type="dxa"/>
          </w:tcPr>
          <w:p w14:paraId="7AEFA7A8" w14:textId="1F09D794" w:rsidR="005B7C26" w:rsidRPr="00FF008A" w:rsidRDefault="00F21B57" w:rsidP="00E926E1">
            <w:pPr>
              <w:spacing w:before="100" w:beforeAutospacing="1" w:after="100" w:afterAutospacing="1"/>
              <w:ind w:left="0" w:right="0"/>
              <w:rPr>
                <w:rFonts w:asciiTheme="minorHAnsi" w:hAnsiTheme="minorHAnsi"/>
                <w:sz w:val="20"/>
                <w:szCs w:val="20"/>
              </w:rPr>
            </w:pPr>
            <w:r w:rsidRPr="00FF008A">
              <w:rPr>
                <w:rFonts w:asciiTheme="minorHAnsi" w:hAnsiTheme="minorHAnsi"/>
                <w:bCs/>
                <w:sz w:val="20"/>
                <w:szCs w:val="20"/>
                <w:lang w:val="en-GB"/>
              </w:rPr>
              <w:t>Sponsor’s response</w:t>
            </w:r>
          </w:p>
        </w:tc>
        <w:tc>
          <w:tcPr>
            <w:tcW w:w="1440" w:type="dxa"/>
          </w:tcPr>
          <w:p w14:paraId="56FFC354" w14:textId="562D922C" w:rsidR="005B7C26" w:rsidRPr="00FF008A" w:rsidRDefault="00E926E1"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RMP evaluator’s comment</w:t>
            </w:r>
          </w:p>
        </w:tc>
      </w:tr>
      <w:tr w:rsidR="003F50B8" w:rsidRPr="00FF008A" w14:paraId="185849A8" w14:textId="77777777" w:rsidTr="00E97E63">
        <w:tc>
          <w:tcPr>
            <w:tcW w:w="2943" w:type="dxa"/>
          </w:tcPr>
          <w:p w14:paraId="5960387D" w14:textId="7387093D" w:rsidR="005B7C26" w:rsidRPr="00FF008A" w:rsidRDefault="00E926E1"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 xml:space="preserve">1. </w:t>
            </w:r>
            <w:r w:rsidR="005B7C26" w:rsidRPr="00FF008A">
              <w:rPr>
                <w:rFonts w:asciiTheme="minorHAnsi" w:hAnsiTheme="minorHAnsi"/>
                <w:sz w:val="20"/>
                <w:szCs w:val="20"/>
              </w:rPr>
              <w:t xml:space="preserve">Safety considerations may be raised by the clinical evaluators through </w:t>
            </w:r>
            <w:r w:rsidRPr="00FF008A">
              <w:rPr>
                <w:rFonts w:asciiTheme="minorHAnsi" w:hAnsiTheme="minorHAnsi"/>
                <w:sz w:val="20"/>
                <w:szCs w:val="20"/>
              </w:rPr>
              <w:t xml:space="preserve">TGA </w:t>
            </w:r>
            <w:r w:rsidR="005B7C26" w:rsidRPr="00FF008A">
              <w:rPr>
                <w:rFonts w:asciiTheme="minorHAnsi" w:hAnsiTheme="minorHAnsi"/>
                <w:sz w:val="20"/>
                <w:szCs w:val="20"/>
              </w:rPr>
              <w:t>request</w:t>
            </w:r>
            <w:r w:rsidRPr="00FF008A">
              <w:rPr>
                <w:rFonts w:asciiTheme="minorHAnsi" w:hAnsiTheme="minorHAnsi"/>
                <w:sz w:val="20"/>
                <w:szCs w:val="20"/>
              </w:rPr>
              <w:t>s</w:t>
            </w:r>
            <w:r w:rsidR="005B7C26" w:rsidRPr="00FF008A">
              <w:rPr>
                <w:rFonts w:asciiTheme="minorHAnsi" w:hAnsiTheme="minorHAnsi"/>
                <w:sz w:val="20"/>
                <w:szCs w:val="20"/>
              </w:rPr>
              <w:t xml:space="preserve"> and/or th</w:t>
            </w:r>
            <w:r w:rsidRPr="00FF008A">
              <w:rPr>
                <w:rFonts w:asciiTheme="minorHAnsi" w:hAnsiTheme="minorHAnsi"/>
                <w:sz w:val="20"/>
                <w:szCs w:val="20"/>
              </w:rPr>
              <w:t>e Clinical Evaluation Report.</w:t>
            </w:r>
            <w:r w:rsidR="005B7C26" w:rsidRPr="00FF008A">
              <w:rPr>
                <w:rFonts w:asciiTheme="minorHAnsi" w:hAnsiTheme="minorHAnsi"/>
                <w:sz w:val="20"/>
                <w:szCs w:val="20"/>
              </w:rPr>
              <w:t xml:space="preserve"> It is important to ensure that the information provided in response to these includes a consideration of the relevance for the </w:t>
            </w:r>
            <w:r w:rsidRPr="00FF008A">
              <w:rPr>
                <w:rFonts w:asciiTheme="minorHAnsi" w:hAnsiTheme="minorHAnsi"/>
                <w:sz w:val="20"/>
                <w:szCs w:val="20"/>
              </w:rPr>
              <w:t>RMP</w:t>
            </w:r>
            <w:r w:rsidR="005B7C26" w:rsidRPr="00FF008A">
              <w:rPr>
                <w:rFonts w:asciiTheme="minorHAnsi" w:hAnsiTheme="minorHAnsi"/>
                <w:sz w:val="20"/>
                <w:szCs w:val="20"/>
              </w:rPr>
              <w:t>, and any specific information needed to address this issue in the RMP. For any safety considerations so raised, please provide information that is relevant and necessary to address the issue in the RMP.</w:t>
            </w:r>
          </w:p>
        </w:tc>
        <w:tc>
          <w:tcPr>
            <w:tcW w:w="4730" w:type="dxa"/>
          </w:tcPr>
          <w:p w14:paraId="5B63EC33" w14:textId="1F673057" w:rsidR="005B7C26" w:rsidRPr="00FF008A" w:rsidRDefault="005B7C26"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The sponsor acknowledges that further change to the RMP may be requested and commits to responding to these as they occur.</w:t>
            </w:r>
          </w:p>
        </w:tc>
        <w:tc>
          <w:tcPr>
            <w:tcW w:w="1440" w:type="dxa"/>
          </w:tcPr>
          <w:p w14:paraId="236943BC" w14:textId="1F2CEE7D" w:rsidR="005B7C26" w:rsidRPr="00FF008A" w:rsidRDefault="005B7C26"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This is considered acceptable in the context of this application for RMP purposes.</w:t>
            </w:r>
          </w:p>
        </w:tc>
      </w:tr>
      <w:tr w:rsidR="003F50B8" w:rsidRPr="00FF008A" w14:paraId="5076B155" w14:textId="77777777" w:rsidTr="00E97E63">
        <w:tc>
          <w:tcPr>
            <w:tcW w:w="2943" w:type="dxa"/>
          </w:tcPr>
          <w:p w14:paraId="0E0E7B04" w14:textId="38443388" w:rsidR="005B7C26" w:rsidRPr="00FF008A" w:rsidRDefault="0094783C" w:rsidP="0094783C">
            <w:pPr>
              <w:spacing w:before="100" w:beforeAutospacing="1" w:after="100" w:afterAutospacing="1"/>
              <w:ind w:left="0" w:right="0"/>
              <w:rPr>
                <w:rFonts w:asciiTheme="minorHAnsi" w:hAnsiTheme="minorHAnsi"/>
                <w:sz w:val="20"/>
                <w:szCs w:val="20"/>
              </w:rPr>
            </w:pPr>
            <w:r>
              <w:rPr>
                <w:rFonts w:asciiTheme="minorHAnsi" w:hAnsiTheme="minorHAnsi"/>
                <w:sz w:val="20"/>
                <w:szCs w:val="20"/>
              </w:rPr>
              <w:t>2-3</w:t>
            </w:r>
            <w:r w:rsidR="00600B50" w:rsidRPr="00FF008A">
              <w:rPr>
                <w:rFonts w:asciiTheme="minorHAnsi" w:hAnsiTheme="minorHAnsi"/>
                <w:sz w:val="20"/>
                <w:szCs w:val="20"/>
              </w:rPr>
              <w:t xml:space="preserve">. </w:t>
            </w:r>
            <w:r>
              <w:rPr>
                <w:rFonts w:asciiTheme="minorHAnsi" w:hAnsiTheme="minorHAnsi"/>
                <w:sz w:val="20"/>
                <w:szCs w:val="20"/>
              </w:rPr>
              <w:t xml:space="preserve">Administrative questions and recommendations. </w:t>
            </w:r>
          </w:p>
        </w:tc>
        <w:tc>
          <w:tcPr>
            <w:tcW w:w="4730" w:type="dxa"/>
          </w:tcPr>
          <w:p w14:paraId="5C91F8C8" w14:textId="2AEC5244" w:rsidR="005B7C26" w:rsidRPr="00FF008A" w:rsidRDefault="005B7C26"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 xml:space="preserve">An updated </w:t>
            </w:r>
            <w:r w:rsidR="00E926E1" w:rsidRPr="00FF008A">
              <w:rPr>
                <w:rFonts w:asciiTheme="minorHAnsi" w:hAnsiTheme="minorHAnsi"/>
                <w:sz w:val="20"/>
                <w:szCs w:val="20"/>
              </w:rPr>
              <w:t>ASA</w:t>
            </w:r>
            <w:r w:rsidR="0094783C">
              <w:rPr>
                <w:rFonts w:asciiTheme="minorHAnsi" w:hAnsiTheme="minorHAnsi"/>
                <w:sz w:val="20"/>
                <w:szCs w:val="20"/>
              </w:rPr>
              <w:t xml:space="preserve"> wa</w:t>
            </w:r>
            <w:r w:rsidRPr="00FF008A">
              <w:rPr>
                <w:rFonts w:asciiTheme="minorHAnsi" w:hAnsiTheme="minorHAnsi"/>
                <w:sz w:val="20"/>
                <w:szCs w:val="20"/>
              </w:rPr>
              <w:t>s included as requested</w:t>
            </w:r>
          </w:p>
        </w:tc>
        <w:tc>
          <w:tcPr>
            <w:tcW w:w="1440" w:type="dxa"/>
          </w:tcPr>
          <w:p w14:paraId="6701F090" w14:textId="1B1B872C" w:rsidR="005B7C26" w:rsidRPr="00FF008A" w:rsidRDefault="005B7C26"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This is considered acceptable in the context of this application for RMP purposes.</w:t>
            </w:r>
          </w:p>
        </w:tc>
      </w:tr>
      <w:tr w:rsidR="003F50B8" w:rsidRPr="00FF008A" w14:paraId="77F03219" w14:textId="77777777" w:rsidTr="00E97E63">
        <w:tc>
          <w:tcPr>
            <w:tcW w:w="2943" w:type="dxa"/>
          </w:tcPr>
          <w:p w14:paraId="315C550D" w14:textId="55F2A2F7" w:rsidR="005B7C26" w:rsidRPr="00FF008A" w:rsidRDefault="00600B50"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 xml:space="preserve">4. </w:t>
            </w:r>
            <w:r w:rsidR="005B7C26" w:rsidRPr="00FF008A">
              <w:rPr>
                <w:rFonts w:asciiTheme="minorHAnsi" w:hAnsiTheme="minorHAnsi"/>
                <w:sz w:val="20"/>
                <w:szCs w:val="20"/>
              </w:rPr>
              <w:t>The spons</w:t>
            </w:r>
            <w:r w:rsidR="00E926E1" w:rsidRPr="00FF008A">
              <w:rPr>
                <w:rFonts w:asciiTheme="minorHAnsi" w:hAnsiTheme="minorHAnsi"/>
                <w:sz w:val="20"/>
                <w:szCs w:val="20"/>
              </w:rPr>
              <w:t>or should provide an update on S</w:t>
            </w:r>
            <w:r w:rsidR="005B7C26" w:rsidRPr="00FF008A">
              <w:rPr>
                <w:rFonts w:asciiTheme="minorHAnsi" w:hAnsiTheme="minorHAnsi"/>
                <w:sz w:val="20"/>
                <w:szCs w:val="20"/>
              </w:rPr>
              <w:t>tudies NCT01780662, C25003, SGN35-011, SGN35-014, and X25001 with regard to interactions with other anticancer agents.</w:t>
            </w:r>
          </w:p>
        </w:tc>
        <w:tc>
          <w:tcPr>
            <w:tcW w:w="4730" w:type="dxa"/>
          </w:tcPr>
          <w:p w14:paraId="3E37A1CC" w14:textId="320A353F" w:rsidR="005B7C26" w:rsidRPr="00FF008A" w:rsidRDefault="00A53A6E" w:rsidP="00A53A6E">
            <w:pPr>
              <w:spacing w:before="100" w:beforeAutospacing="1" w:after="100" w:afterAutospacing="1"/>
              <w:ind w:left="0" w:right="0"/>
              <w:rPr>
                <w:rFonts w:asciiTheme="minorHAnsi" w:hAnsiTheme="minorHAnsi"/>
                <w:sz w:val="20"/>
                <w:szCs w:val="20"/>
              </w:rPr>
            </w:pPr>
            <w:r>
              <w:rPr>
                <w:rFonts w:asciiTheme="minorHAnsi" w:hAnsiTheme="minorHAnsi"/>
                <w:sz w:val="20"/>
                <w:szCs w:val="20"/>
              </w:rPr>
              <w:t xml:space="preserve">An update </w:t>
            </w:r>
            <w:r w:rsidR="005B7C26" w:rsidRPr="00FF008A">
              <w:rPr>
                <w:rFonts w:asciiTheme="minorHAnsi" w:hAnsiTheme="minorHAnsi"/>
                <w:sz w:val="20"/>
                <w:szCs w:val="20"/>
              </w:rPr>
              <w:t>on the request</w:t>
            </w:r>
            <w:r w:rsidR="00E926E1" w:rsidRPr="00FF008A">
              <w:rPr>
                <w:rFonts w:asciiTheme="minorHAnsi" w:hAnsiTheme="minorHAnsi"/>
                <w:sz w:val="20"/>
                <w:szCs w:val="20"/>
              </w:rPr>
              <w:t>ed studies</w:t>
            </w:r>
            <w:r>
              <w:rPr>
                <w:rFonts w:asciiTheme="minorHAnsi" w:hAnsiTheme="minorHAnsi"/>
                <w:sz w:val="20"/>
                <w:szCs w:val="20"/>
              </w:rPr>
              <w:t xml:space="preserve"> was provided</w:t>
            </w:r>
            <w:r w:rsidR="00E926E1" w:rsidRPr="00FF008A">
              <w:rPr>
                <w:rFonts w:asciiTheme="minorHAnsi" w:hAnsiTheme="minorHAnsi"/>
                <w:sz w:val="20"/>
                <w:szCs w:val="20"/>
              </w:rPr>
              <w:t>.</w:t>
            </w:r>
          </w:p>
        </w:tc>
        <w:tc>
          <w:tcPr>
            <w:tcW w:w="1440" w:type="dxa"/>
          </w:tcPr>
          <w:p w14:paraId="7746F349" w14:textId="023AF0C3" w:rsidR="005B7C26" w:rsidRPr="00FF008A" w:rsidRDefault="005B7C26"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The sponsor’s response has been noted.</w:t>
            </w:r>
          </w:p>
        </w:tc>
      </w:tr>
      <w:tr w:rsidR="003F50B8" w:rsidRPr="00FF008A" w14:paraId="6FA52D9A" w14:textId="77777777" w:rsidTr="00E97E63">
        <w:tc>
          <w:tcPr>
            <w:tcW w:w="2943" w:type="dxa"/>
          </w:tcPr>
          <w:p w14:paraId="1132146F" w14:textId="5862D3E4" w:rsidR="008B59F0" w:rsidRPr="00FF008A" w:rsidRDefault="00600B50"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 xml:space="preserve">5. </w:t>
            </w:r>
            <w:r w:rsidR="008B59F0" w:rsidRPr="00FF008A">
              <w:rPr>
                <w:rFonts w:asciiTheme="minorHAnsi" w:hAnsiTheme="minorHAnsi"/>
                <w:sz w:val="20"/>
                <w:szCs w:val="20"/>
              </w:rPr>
              <w:t>The sponsor should provide a summary of the post-market experience with overdose.</w:t>
            </w:r>
          </w:p>
        </w:tc>
        <w:tc>
          <w:tcPr>
            <w:tcW w:w="4730" w:type="dxa"/>
          </w:tcPr>
          <w:p w14:paraId="0C86855A" w14:textId="77777777" w:rsidR="00E97E63" w:rsidRDefault="0054121B" w:rsidP="00E926E1">
            <w:pPr>
              <w:spacing w:before="0" w:after="0"/>
              <w:ind w:left="0" w:right="0"/>
              <w:rPr>
                <w:rFonts w:asciiTheme="minorHAnsi" w:hAnsiTheme="minorHAnsi"/>
                <w:sz w:val="20"/>
                <w:szCs w:val="20"/>
              </w:rPr>
            </w:pPr>
            <w:r w:rsidRPr="00FF008A">
              <w:rPr>
                <w:rFonts w:asciiTheme="minorHAnsi" w:hAnsiTheme="minorHAnsi"/>
                <w:i/>
                <w:sz w:val="20"/>
                <w:szCs w:val="20"/>
              </w:rPr>
              <w:t>Background</w:t>
            </w:r>
            <w:r w:rsidRPr="00FF008A">
              <w:rPr>
                <w:rFonts w:asciiTheme="minorHAnsi" w:hAnsiTheme="minorHAnsi"/>
                <w:sz w:val="20"/>
                <w:szCs w:val="20"/>
              </w:rPr>
              <w:t>: Overdose is the administration of a quantity of a medicinal product given per administration or day that is above the maximal recommende</w:t>
            </w:r>
            <w:r w:rsidR="00827EC2" w:rsidRPr="00FF008A">
              <w:rPr>
                <w:rFonts w:asciiTheme="minorHAnsi" w:hAnsiTheme="minorHAnsi"/>
                <w:sz w:val="20"/>
                <w:szCs w:val="20"/>
              </w:rPr>
              <w:t>d dose according to the authoris</w:t>
            </w:r>
            <w:r w:rsidRPr="00FF008A">
              <w:rPr>
                <w:rFonts w:asciiTheme="minorHAnsi" w:hAnsiTheme="minorHAnsi"/>
                <w:sz w:val="20"/>
                <w:szCs w:val="20"/>
              </w:rPr>
              <w:t xml:space="preserve">ed </w:t>
            </w:r>
            <w:r w:rsidR="00827EC2" w:rsidRPr="00FF008A">
              <w:rPr>
                <w:rFonts w:asciiTheme="minorHAnsi" w:hAnsiTheme="minorHAnsi"/>
                <w:sz w:val="20"/>
                <w:szCs w:val="20"/>
              </w:rPr>
              <w:t>PI</w:t>
            </w:r>
            <w:r w:rsidRPr="00FF008A">
              <w:rPr>
                <w:rFonts w:asciiTheme="minorHAnsi" w:hAnsiTheme="minorHAnsi"/>
                <w:sz w:val="20"/>
                <w:szCs w:val="20"/>
              </w:rPr>
              <w:t>. Overdose can be accidental, prescribed or intentional, with clear labe</w:t>
            </w:r>
            <w:r w:rsidR="00E926E1" w:rsidRPr="00FF008A">
              <w:rPr>
                <w:rFonts w:asciiTheme="minorHAnsi" w:hAnsiTheme="minorHAnsi"/>
                <w:sz w:val="20"/>
                <w:szCs w:val="20"/>
              </w:rPr>
              <w:t>lling guidelines a key in minimis</w:t>
            </w:r>
            <w:r w:rsidRPr="00FF008A">
              <w:rPr>
                <w:rFonts w:asciiTheme="minorHAnsi" w:hAnsiTheme="minorHAnsi"/>
                <w:sz w:val="20"/>
                <w:szCs w:val="20"/>
              </w:rPr>
              <w:t>ing medication errors. Depending on the therapeutic index of the drug and the dose given to the patient, an adverse drug reaction may or may not be the outcome of an overdose.</w:t>
            </w:r>
            <w:bookmarkStart w:id="100" w:name="List_of_Appendices"/>
            <w:bookmarkStart w:id="101" w:name="bookmark1"/>
            <w:bookmarkEnd w:id="100"/>
            <w:bookmarkEnd w:id="101"/>
          </w:p>
          <w:p w14:paraId="127E9D3C" w14:textId="1FB6769C" w:rsidR="0054121B" w:rsidRPr="00FF008A" w:rsidRDefault="0054121B" w:rsidP="00E926E1">
            <w:pPr>
              <w:spacing w:before="0" w:after="0"/>
              <w:ind w:left="0" w:right="0"/>
              <w:rPr>
                <w:rFonts w:asciiTheme="minorHAnsi" w:hAnsiTheme="minorHAnsi"/>
                <w:sz w:val="20"/>
                <w:szCs w:val="20"/>
              </w:rPr>
            </w:pPr>
            <w:r w:rsidRPr="00FF008A">
              <w:rPr>
                <w:rFonts w:asciiTheme="minorHAnsi" w:hAnsiTheme="minorHAnsi"/>
                <w:sz w:val="20"/>
                <w:szCs w:val="20"/>
              </w:rPr>
              <w:t>A post-market analysis</w:t>
            </w:r>
            <w:r w:rsidR="007D3418" w:rsidRPr="00FF008A">
              <w:rPr>
                <w:rFonts w:asciiTheme="minorHAnsi" w:hAnsiTheme="minorHAnsi"/>
                <w:sz w:val="20"/>
                <w:szCs w:val="20"/>
              </w:rPr>
              <w:t xml:space="preserve"> of the Global Safety Database</w:t>
            </w:r>
            <w:r w:rsidR="00A246FD" w:rsidRPr="00FF008A">
              <w:rPr>
                <w:rFonts w:asciiTheme="minorHAnsi" w:hAnsiTheme="minorHAnsi"/>
                <w:sz w:val="20"/>
                <w:szCs w:val="20"/>
              </w:rPr>
              <w:t xml:space="preserve"> (GSDB)</w:t>
            </w:r>
            <w:r w:rsidR="007D3418" w:rsidRPr="00FF008A">
              <w:rPr>
                <w:rFonts w:asciiTheme="minorHAnsi" w:hAnsiTheme="minorHAnsi"/>
                <w:sz w:val="20"/>
                <w:szCs w:val="20"/>
              </w:rPr>
              <w:t xml:space="preserve"> </w:t>
            </w:r>
            <w:r w:rsidRPr="00FF008A">
              <w:rPr>
                <w:rFonts w:asciiTheme="minorHAnsi" w:hAnsiTheme="minorHAnsi"/>
                <w:sz w:val="20"/>
                <w:szCs w:val="20"/>
              </w:rPr>
              <w:t xml:space="preserve">for brentuximab vedotin was </w:t>
            </w:r>
            <w:bookmarkStart w:id="102" w:name="Appendix_1_By-Patient_Listing_of_Noninfe"/>
            <w:bookmarkEnd w:id="102"/>
            <w:r w:rsidRPr="00FF008A">
              <w:rPr>
                <w:rFonts w:asciiTheme="minorHAnsi" w:hAnsiTheme="minorHAnsi"/>
                <w:sz w:val="20"/>
                <w:szCs w:val="20"/>
              </w:rPr>
              <w:t>performed to provide a summary of the post-marketing experience with overdose and to determine if there is an association of overdose and adverse events.</w:t>
            </w:r>
          </w:p>
          <w:p w14:paraId="517E188E" w14:textId="7607CE47" w:rsidR="0054121B" w:rsidRPr="00FF008A" w:rsidRDefault="0054121B" w:rsidP="00E926E1">
            <w:pPr>
              <w:spacing w:before="0" w:after="0"/>
              <w:ind w:left="0" w:right="0"/>
              <w:rPr>
                <w:rFonts w:asciiTheme="minorHAnsi" w:hAnsiTheme="minorHAnsi"/>
                <w:sz w:val="20"/>
                <w:szCs w:val="20"/>
              </w:rPr>
            </w:pPr>
            <w:r w:rsidRPr="00FF008A">
              <w:rPr>
                <w:rFonts w:asciiTheme="minorHAnsi" w:hAnsiTheme="minorHAnsi"/>
                <w:i/>
                <w:sz w:val="20"/>
                <w:szCs w:val="20"/>
              </w:rPr>
              <w:t>Methodology</w:t>
            </w:r>
            <w:r w:rsidRPr="00FF008A">
              <w:rPr>
                <w:rFonts w:asciiTheme="minorHAnsi" w:hAnsiTheme="minorHAnsi"/>
                <w:sz w:val="20"/>
                <w:szCs w:val="20"/>
              </w:rPr>
              <w:t xml:space="preserve">: The </w:t>
            </w:r>
            <w:r w:rsidR="00827EC2" w:rsidRPr="00FF008A">
              <w:rPr>
                <w:rFonts w:asciiTheme="minorHAnsi" w:hAnsiTheme="minorHAnsi"/>
                <w:sz w:val="20"/>
                <w:szCs w:val="20"/>
              </w:rPr>
              <w:t>Marketing Authorisation Holder (</w:t>
            </w:r>
            <w:r w:rsidRPr="00FF008A">
              <w:rPr>
                <w:rFonts w:asciiTheme="minorHAnsi" w:hAnsiTheme="minorHAnsi"/>
                <w:sz w:val="20"/>
                <w:szCs w:val="20"/>
              </w:rPr>
              <w:t>MAH</w:t>
            </w:r>
            <w:r w:rsidR="00827EC2" w:rsidRPr="00FF008A">
              <w:rPr>
                <w:rFonts w:asciiTheme="minorHAnsi" w:hAnsiTheme="minorHAnsi"/>
                <w:sz w:val="20"/>
                <w:szCs w:val="20"/>
              </w:rPr>
              <w:t>)</w:t>
            </w:r>
            <w:r w:rsidRPr="00FF008A">
              <w:rPr>
                <w:rFonts w:asciiTheme="minorHAnsi" w:hAnsiTheme="minorHAnsi"/>
                <w:sz w:val="20"/>
                <w:szCs w:val="20"/>
              </w:rPr>
              <w:t xml:space="preserve"> performed a cumulative review of the GS</w:t>
            </w:r>
            <w:r w:rsidR="007D3418" w:rsidRPr="00FF008A">
              <w:rPr>
                <w:rFonts w:asciiTheme="minorHAnsi" w:hAnsiTheme="minorHAnsi"/>
                <w:sz w:val="20"/>
                <w:szCs w:val="20"/>
              </w:rPr>
              <w:t>DB with a data lock point of 15 Jan</w:t>
            </w:r>
            <w:r w:rsidR="00827EC2" w:rsidRPr="00FF008A">
              <w:rPr>
                <w:rFonts w:asciiTheme="minorHAnsi" w:hAnsiTheme="minorHAnsi"/>
                <w:sz w:val="20"/>
                <w:szCs w:val="20"/>
              </w:rPr>
              <w:t>uary</w:t>
            </w:r>
            <w:r w:rsidR="007D3418" w:rsidRPr="00FF008A">
              <w:rPr>
                <w:rFonts w:asciiTheme="minorHAnsi" w:hAnsiTheme="minorHAnsi"/>
                <w:sz w:val="20"/>
                <w:szCs w:val="20"/>
              </w:rPr>
              <w:t xml:space="preserve"> </w:t>
            </w:r>
            <w:r w:rsidRPr="00FF008A">
              <w:rPr>
                <w:rFonts w:asciiTheme="minorHAnsi" w:hAnsiTheme="minorHAnsi"/>
                <w:sz w:val="20"/>
                <w:szCs w:val="20"/>
              </w:rPr>
              <w:t>2016 for all cases from post</w:t>
            </w:r>
            <w:r w:rsidR="007D3418" w:rsidRPr="00FF008A">
              <w:rPr>
                <w:rFonts w:asciiTheme="minorHAnsi" w:hAnsiTheme="minorHAnsi"/>
                <w:sz w:val="20"/>
                <w:szCs w:val="20"/>
              </w:rPr>
              <w:t>-</w:t>
            </w:r>
            <w:r w:rsidRPr="00FF008A">
              <w:rPr>
                <w:rFonts w:asciiTheme="minorHAnsi" w:hAnsiTheme="minorHAnsi"/>
                <w:sz w:val="20"/>
                <w:szCs w:val="20"/>
              </w:rPr>
              <w:t>marketing sources (literature, spontaneous, post-marketing surveys and regulatory authorities’ reports) that met an Overdose specialized search query</w:t>
            </w:r>
            <w:bookmarkStart w:id="103" w:name="Table_1_Literature_Survey:_Proportion_of"/>
            <w:bookmarkEnd w:id="103"/>
            <w:r w:rsidR="007D3418" w:rsidRPr="00FF008A">
              <w:rPr>
                <w:rFonts w:asciiTheme="minorHAnsi" w:hAnsiTheme="minorHAnsi"/>
                <w:sz w:val="20"/>
                <w:szCs w:val="20"/>
              </w:rPr>
              <w:t xml:space="preserve"> </w:t>
            </w:r>
            <w:r w:rsidRPr="00FF008A">
              <w:rPr>
                <w:rFonts w:asciiTheme="minorHAnsi" w:hAnsiTheme="minorHAnsi"/>
                <w:sz w:val="20"/>
                <w:szCs w:val="20"/>
              </w:rPr>
              <w:t>criteria, which encompasses the following 4 preferred terms:</w:t>
            </w:r>
            <w:r w:rsidR="007D3418" w:rsidRPr="00FF008A">
              <w:rPr>
                <w:rFonts w:asciiTheme="minorHAnsi" w:hAnsiTheme="minorHAnsi"/>
                <w:sz w:val="20"/>
                <w:szCs w:val="20"/>
              </w:rPr>
              <w:t xml:space="preserve"> </w:t>
            </w:r>
            <w:r w:rsidR="00827EC2" w:rsidRPr="00FF008A">
              <w:rPr>
                <w:rFonts w:asciiTheme="minorHAnsi" w:hAnsiTheme="minorHAnsi"/>
                <w:sz w:val="20"/>
                <w:szCs w:val="20"/>
              </w:rPr>
              <w:t xml:space="preserve">High </w:t>
            </w:r>
            <w:r w:rsidR="00827EC2" w:rsidRPr="00FF008A">
              <w:rPr>
                <w:rFonts w:asciiTheme="minorHAnsi" w:hAnsiTheme="minorHAnsi"/>
                <w:sz w:val="20"/>
                <w:szCs w:val="20"/>
              </w:rPr>
              <w:lastRenderedPageBreak/>
              <w:t>Level Term (</w:t>
            </w:r>
            <w:r w:rsidRPr="00FF008A">
              <w:rPr>
                <w:rFonts w:asciiTheme="minorHAnsi" w:hAnsiTheme="minorHAnsi"/>
                <w:sz w:val="20"/>
                <w:szCs w:val="20"/>
              </w:rPr>
              <w:t>HLT</w:t>
            </w:r>
            <w:r w:rsidR="00827EC2" w:rsidRPr="00FF008A">
              <w:rPr>
                <w:rFonts w:asciiTheme="minorHAnsi" w:hAnsiTheme="minorHAnsi"/>
                <w:sz w:val="20"/>
                <w:szCs w:val="20"/>
              </w:rPr>
              <w:t>)</w:t>
            </w:r>
            <w:r w:rsidRPr="00FF008A">
              <w:rPr>
                <w:rFonts w:asciiTheme="minorHAnsi" w:hAnsiTheme="minorHAnsi"/>
                <w:sz w:val="20"/>
                <w:szCs w:val="20"/>
              </w:rPr>
              <w:t xml:space="preserve">: Overdose </w:t>
            </w:r>
            <w:r w:rsidR="00827EC2" w:rsidRPr="00FF008A">
              <w:rPr>
                <w:rFonts w:asciiTheme="minorHAnsi" w:hAnsiTheme="minorHAnsi"/>
                <w:sz w:val="20"/>
                <w:szCs w:val="20"/>
              </w:rPr>
              <w:t>Not Otherwise Classified (</w:t>
            </w:r>
            <w:r w:rsidRPr="00FF008A">
              <w:rPr>
                <w:rFonts w:asciiTheme="minorHAnsi" w:hAnsiTheme="minorHAnsi"/>
                <w:sz w:val="20"/>
                <w:szCs w:val="20"/>
              </w:rPr>
              <w:t>NEC</w:t>
            </w:r>
            <w:r w:rsidR="00827EC2" w:rsidRPr="00FF008A">
              <w:rPr>
                <w:rFonts w:asciiTheme="minorHAnsi" w:hAnsiTheme="minorHAnsi"/>
                <w:sz w:val="20"/>
                <w:szCs w:val="20"/>
              </w:rPr>
              <w:t>)</w:t>
            </w:r>
            <w:r w:rsidR="007D3418" w:rsidRPr="00FF008A">
              <w:rPr>
                <w:rFonts w:asciiTheme="minorHAnsi" w:hAnsiTheme="minorHAnsi"/>
                <w:sz w:val="20"/>
                <w:szCs w:val="20"/>
              </w:rPr>
              <w:t>;</w:t>
            </w:r>
            <w:bookmarkStart w:id="104" w:name="List_of_Figures"/>
            <w:bookmarkEnd w:id="104"/>
            <w:r w:rsidR="007D3418" w:rsidRPr="00FF008A">
              <w:rPr>
                <w:rFonts w:asciiTheme="minorHAnsi" w:hAnsiTheme="minorHAnsi"/>
                <w:sz w:val="20"/>
                <w:szCs w:val="20"/>
              </w:rPr>
              <w:t xml:space="preserve"> </w:t>
            </w:r>
            <w:r w:rsidR="00827EC2" w:rsidRPr="00FF008A">
              <w:rPr>
                <w:rFonts w:asciiTheme="minorHAnsi" w:hAnsiTheme="minorHAnsi"/>
                <w:sz w:val="20"/>
                <w:szCs w:val="20"/>
              </w:rPr>
              <w:t>Preferred Term (</w:t>
            </w:r>
            <w:r w:rsidRPr="00FF008A">
              <w:rPr>
                <w:rFonts w:asciiTheme="minorHAnsi" w:hAnsiTheme="minorHAnsi"/>
                <w:sz w:val="20"/>
                <w:szCs w:val="20"/>
              </w:rPr>
              <w:t>PT</w:t>
            </w:r>
            <w:r w:rsidR="00827EC2" w:rsidRPr="00FF008A">
              <w:rPr>
                <w:rFonts w:asciiTheme="minorHAnsi" w:hAnsiTheme="minorHAnsi"/>
                <w:sz w:val="20"/>
                <w:szCs w:val="20"/>
              </w:rPr>
              <w:t>)</w:t>
            </w:r>
            <w:r w:rsidRPr="00FF008A">
              <w:rPr>
                <w:rFonts w:asciiTheme="minorHAnsi" w:hAnsiTheme="minorHAnsi"/>
                <w:sz w:val="20"/>
                <w:szCs w:val="20"/>
              </w:rPr>
              <w:t>: Overdose</w:t>
            </w:r>
            <w:r w:rsidR="007D3418" w:rsidRPr="00FF008A">
              <w:rPr>
                <w:rFonts w:asciiTheme="minorHAnsi" w:hAnsiTheme="minorHAnsi"/>
                <w:sz w:val="20"/>
                <w:szCs w:val="20"/>
              </w:rPr>
              <w:t xml:space="preserve">; </w:t>
            </w:r>
            <w:r w:rsidRPr="00FF008A">
              <w:rPr>
                <w:rFonts w:asciiTheme="minorHAnsi" w:hAnsiTheme="minorHAnsi"/>
                <w:sz w:val="20"/>
                <w:szCs w:val="20"/>
              </w:rPr>
              <w:t>PT: Intentional Overdose</w:t>
            </w:r>
            <w:r w:rsidR="007D3418" w:rsidRPr="00FF008A">
              <w:rPr>
                <w:rFonts w:asciiTheme="minorHAnsi" w:hAnsiTheme="minorHAnsi"/>
                <w:sz w:val="20"/>
                <w:szCs w:val="20"/>
              </w:rPr>
              <w:t xml:space="preserve">; </w:t>
            </w:r>
            <w:r w:rsidRPr="00FF008A">
              <w:rPr>
                <w:rFonts w:asciiTheme="minorHAnsi" w:hAnsiTheme="minorHAnsi"/>
                <w:sz w:val="20"/>
                <w:szCs w:val="20"/>
              </w:rPr>
              <w:t>PT: Prescribed Overdose</w:t>
            </w:r>
            <w:r w:rsidR="00827EC2" w:rsidRPr="00FF008A">
              <w:rPr>
                <w:rFonts w:asciiTheme="minorHAnsi" w:hAnsiTheme="minorHAnsi"/>
                <w:sz w:val="20"/>
                <w:szCs w:val="20"/>
              </w:rPr>
              <w:t xml:space="preserve">; </w:t>
            </w:r>
            <w:r w:rsidRPr="00FF008A">
              <w:rPr>
                <w:rFonts w:asciiTheme="minorHAnsi" w:hAnsiTheme="minorHAnsi"/>
                <w:sz w:val="20"/>
                <w:szCs w:val="20"/>
              </w:rPr>
              <w:t>PT: accidental overdose</w:t>
            </w:r>
            <w:r w:rsidR="007D3418" w:rsidRPr="00FF008A">
              <w:rPr>
                <w:rFonts w:asciiTheme="minorHAnsi" w:hAnsiTheme="minorHAnsi"/>
                <w:sz w:val="20"/>
                <w:szCs w:val="20"/>
              </w:rPr>
              <w:t xml:space="preserve">. </w:t>
            </w:r>
            <w:r w:rsidRPr="00FF008A">
              <w:rPr>
                <w:rFonts w:asciiTheme="minorHAnsi" w:hAnsiTheme="minorHAnsi"/>
                <w:sz w:val="20"/>
                <w:szCs w:val="20"/>
              </w:rPr>
              <w:t>As of 18 November 2015 (last exposure data cut prior to risk assessment), it was estimated that a total of 24041 patients had received at least 1 dose of brentuximab vedotin. Of these patients 17</w:t>
            </w:r>
            <w:r w:rsidR="00827EC2" w:rsidRPr="00FF008A">
              <w:rPr>
                <w:rFonts w:asciiTheme="minorHAnsi" w:hAnsiTheme="minorHAnsi"/>
                <w:sz w:val="20"/>
                <w:szCs w:val="20"/>
              </w:rPr>
              <w:t>,</w:t>
            </w:r>
            <w:r w:rsidRPr="00FF008A">
              <w:rPr>
                <w:rFonts w:asciiTheme="minorHAnsi" w:hAnsiTheme="minorHAnsi"/>
                <w:sz w:val="20"/>
                <w:szCs w:val="20"/>
              </w:rPr>
              <w:t xml:space="preserve">938 had been treated in the </w:t>
            </w:r>
            <w:r w:rsidR="007D3418" w:rsidRPr="00FF008A">
              <w:rPr>
                <w:rFonts w:asciiTheme="minorHAnsi" w:hAnsiTheme="minorHAnsi"/>
                <w:sz w:val="20"/>
                <w:szCs w:val="20"/>
              </w:rPr>
              <w:t>post marketing</w:t>
            </w:r>
            <w:r w:rsidRPr="00FF008A">
              <w:rPr>
                <w:rFonts w:asciiTheme="minorHAnsi" w:hAnsiTheme="minorHAnsi"/>
                <w:sz w:val="20"/>
                <w:szCs w:val="20"/>
              </w:rPr>
              <w:t xml:space="preserve"> setting.</w:t>
            </w:r>
          </w:p>
          <w:p w14:paraId="465A1ABD" w14:textId="4A8362FC" w:rsidR="0054121B" w:rsidRPr="00FF008A" w:rsidRDefault="0054121B" w:rsidP="00E926E1">
            <w:pPr>
              <w:spacing w:before="0" w:after="0"/>
              <w:ind w:left="0" w:right="0"/>
              <w:rPr>
                <w:rFonts w:asciiTheme="minorHAnsi" w:hAnsiTheme="minorHAnsi"/>
                <w:sz w:val="20"/>
                <w:szCs w:val="20"/>
              </w:rPr>
            </w:pPr>
            <w:r w:rsidRPr="00FF008A">
              <w:rPr>
                <w:rFonts w:asciiTheme="minorHAnsi" w:hAnsiTheme="minorHAnsi"/>
                <w:i/>
                <w:sz w:val="20"/>
                <w:szCs w:val="20"/>
              </w:rPr>
              <w:t>Results</w:t>
            </w:r>
            <w:r w:rsidRPr="00FF008A">
              <w:rPr>
                <w:rFonts w:asciiTheme="minorHAnsi" w:hAnsiTheme="minorHAnsi"/>
                <w:sz w:val="20"/>
                <w:szCs w:val="20"/>
              </w:rPr>
              <w:t>: As of 15 January 2016 (the data cut</w:t>
            </w:r>
            <w:r w:rsidR="00FA46B3" w:rsidRPr="00FF008A">
              <w:rPr>
                <w:rFonts w:asciiTheme="minorHAnsi" w:hAnsiTheme="minorHAnsi"/>
                <w:sz w:val="20"/>
                <w:szCs w:val="20"/>
              </w:rPr>
              <w:t>-</w:t>
            </w:r>
            <w:r w:rsidRPr="00FF008A">
              <w:rPr>
                <w:rFonts w:asciiTheme="minorHAnsi" w:hAnsiTheme="minorHAnsi"/>
                <w:sz w:val="20"/>
                <w:szCs w:val="20"/>
              </w:rPr>
              <w:t>off date for this analysis), 63 cases had met the Overdose SSQ criteria, including:</w:t>
            </w:r>
            <w:r w:rsidR="007D3418" w:rsidRPr="00FF008A">
              <w:rPr>
                <w:rFonts w:asciiTheme="minorHAnsi" w:hAnsiTheme="minorHAnsi"/>
                <w:sz w:val="20"/>
                <w:szCs w:val="20"/>
              </w:rPr>
              <w:t xml:space="preserve"> </w:t>
            </w:r>
            <w:r w:rsidRPr="00FF008A">
              <w:rPr>
                <w:rFonts w:asciiTheme="minorHAnsi" w:hAnsiTheme="minorHAnsi"/>
                <w:sz w:val="20"/>
                <w:szCs w:val="20"/>
              </w:rPr>
              <w:t xml:space="preserve">62 </w:t>
            </w:r>
            <w:r w:rsidR="007D3418" w:rsidRPr="00FF008A">
              <w:rPr>
                <w:rFonts w:asciiTheme="minorHAnsi" w:hAnsiTheme="minorHAnsi"/>
                <w:sz w:val="20"/>
                <w:szCs w:val="20"/>
              </w:rPr>
              <w:t>non-serious</w:t>
            </w:r>
            <w:r w:rsidRPr="00FF008A">
              <w:rPr>
                <w:rFonts w:asciiTheme="minorHAnsi" w:hAnsiTheme="minorHAnsi"/>
                <w:sz w:val="20"/>
                <w:szCs w:val="20"/>
              </w:rPr>
              <w:t xml:space="preserve"> case reports (PT: overdose) received from post</w:t>
            </w:r>
            <w:r w:rsidR="007D3418" w:rsidRPr="00FF008A">
              <w:rPr>
                <w:rFonts w:asciiTheme="minorHAnsi" w:hAnsiTheme="minorHAnsi"/>
                <w:sz w:val="20"/>
                <w:szCs w:val="20"/>
              </w:rPr>
              <w:t xml:space="preserve"> </w:t>
            </w:r>
            <w:r w:rsidRPr="00FF008A">
              <w:rPr>
                <w:rFonts w:asciiTheme="minorHAnsi" w:hAnsiTheme="minorHAnsi"/>
                <w:sz w:val="20"/>
                <w:szCs w:val="20"/>
              </w:rPr>
              <w:t>marketing surveys; no AEs were reported in association with these reports</w:t>
            </w:r>
            <w:r w:rsidR="00827EC2" w:rsidRPr="00FF008A">
              <w:rPr>
                <w:rFonts w:asciiTheme="minorHAnsi" w:hAnsiTheme="minorHAnsi"/>
                <w:sz w:val="20"/>
                <w:szCs w:val="20"/>
              </w:rPr>
              <w:t xml:space="preserve">. </w:t>
            </w:r>
            <w:r w:rsidRPr="00FF008A">
              <w:rPr>
                <w:rFonts w:asciiTheme="minorHAnsi" w:hAnsiTheme="minorHAnsi"/>
                <w:sz w:val="20"/>
                <w:szCs w:val="20"/>
              </w:rPr>
              <w:t>1 non</w:t>
            </w:r>
            <w:r w:rsidR="007D3418" w:rsidRPr="00FF008A">
              <w:rPr>
                <w:rFonts w:asciiTheme="minorHAnsi" w:hAnsiTheme="minorHAnsi"/>
                <w:sz w:val="20"/>
                <w:szCs w:val="20"/>
              </w:rPr>
              <w:t>-</w:t>
            </w:r>
            <w:r w:rsidRPr="00FF008A">
              <w:rPr>
                <w:rFonts w:asciiTheme="minorHAnsi" w:hAnsiTheme="minorHAnsi"/>
                <w:sz w:val="20"/>
                <w:szCs w:val="20"/>
              </w:rPr>
              <w:t>serious case report (PT: prescribed overdose)</w:t>
            </w:r>
            <w:r w:rsidR="00827EC2" w:rsidRPr="00FF008A">
              <w:rPr>
                <w:rFonts w:asciiTheme="minorHAnsi" w:hAnsiTheme="minorHAnsi"/>
                <w:sz w:val="20"/>
                <w:szCs w:val="20"/>
              </w:rPr>
              <w:t xml:space="preserve"> was</w:t>
            </w:r>
            <w:r w:rsidRPr="00FF008A">
              <w:rPr>
                <w:rFonts w:asciiTheme="minorHAnsi" w:hAnsiTheme="minorHAnsi"/>
                <w:sz w:val="20"/>
                <w:szCs w:val="20"/>
              </w:rPr>
              <w:t xml:space="preserve"> received from a</w:t>
            </w:r>
            <w:r w:rsidR="008B59F0" w:rsidRPr="00FF008A">
              <w:rPr>
                <w:rFonts w:asciiTheme="minorHAnsi" w:hAnsiTheme="minorHAnsi"/>
                <w:sz w:val="20"/>
                <w:szCs w:val="20"/>
              </w:rPr>
              <w:t xml:space="preserve"> </w:t>
            </w:r>
            <w:r w:rsidRPr="00FF008A">
              <w:rPr>
                <w:rFonts w:asciiTheme="minorHAnsi" w:hAnsiTheme="minorHAnsi"/>
                <w:sz w:val="20"/>
                <w:szCs w:val="20"/>
              </w:rPr>
              <w:t>spontaneous literature source. The patient was receiving Adcetris at an unknown dose for T-cell lymphoma. During treatment, the patient experienced a 13 kg weight loss reported as non</w:t>
            </w:r>
            <w:r w:rsidR="007D3418" w:rsidRPr="00FF008A">
              <w:rPr>
                <w:rFonts w:asciiTheme="minorHAnsi" w:hAnsiTheme="minorHAnsi"/>
                <w:sz w:val="20"/>
                <w:szCs w:val="20"/>
              </w:rPr>
              <w:t>-</w:t>
            </w:r>
            <w:r w:rsidRPr="00FF008A">
              <w:rPr>
                <w:rFonts w:asciiTheme="minorHAnsi" w:hAnsiTheme="minorHAnsi"/>
                <w:sz w:val="20"/>
                <w:szCs w:val="20"/>
              </w:rPr>
              <w:t xml:space="preserve">serious. It was reported that the Adcetris dose was not adjusted according to the patient’s reduced weight. According </w:t>
            </w:r>
            <w:bookmarkStart w:id="105" w:name="bookmark2"/>
            <w:bookmarkEnd w:id="105"/>
            <w:r w:rsidRPr="00FF008A">
              <w:rPr>
                <w:rFonts w:asciiTheme="minorHAnsi" w:hAnsiTheme="minorHAnsi"/>
                <w:sz w:val="20"/>
                <w:szCs w:val="20"/>
              </w:rPr>
              <w:t>to the Adcetris SmPC Section 4.2</w:t>
            </w:r>
            <w:r w:rsidR="00827EC2" w:rsidRPr="00FF008A">
              <w:rPr>
                <w:rFonts w:asciiTheme="minorHAnsi" w:hAnsiTheme="minorHAnsi"/>
                <w:sz w:val="20"/>
                <w:szCs w:val="20"/>
              </w:rPr>
              <w:t>,</w:t>
            </w:r>
            <w:r w:rsidRPr="00FF008A">
              <w:rPr>
                <w:rFonts w:asciiTheme="minorHAnsi" w:hAnsiTheme="minorHAnsi"/>
                <w:sz w:val="20"/>
                <w:szCs w:val="20"/>
              </w:rPr>
              <w:t xml:space="preserve"> Posology and method of administration, the recom</w:t>
            </w:r>
            <w:r w:rsidR="007D3418" w:rsidRPr="00FF008A">
              <w:rPr>
                <w:rFonts w:asciiTheme="minorHAnsi" w:hAnsiTheme="minorHAnsi"/>
                <w:sz w:val="20"/>
                <w:szCs w:val="20"/>
              </w:rPr>
              <w:t>mended dose for Adcetris is 1.8 </w:t>
            </w:r>
            <w:r w:rsidRPr="00FF008A">
              <w:rPr>
                <w:rFonts w:asciiTheme="minorHAnsi" w:hAnsiTheme="minorHAnsi"/>
                <w:sz w:val="20"/>
                <w:szCs w:val="20"/>
              </w:rPr>
              <w:t xml:space="preserve">mg/kg administered as an </w:t>
            </w:r>
            <w:r w:rsidR="00827EC2" w:rsidRPr="00FF008A">
              <w:rPr>
                <w:rFonts w:asciiTheme="minorHAnsi" w:hAnsiTheme="minorHAnsi"/>
                <w:sz w:val="20"/>
                <w:szCs w:val="20"/>
              </w:rPr>
              <w:t>IV</w:t>
            </w:r>
            <w:r w:rsidRPr="00FF008A">
              <w:rPr>
                <w:rFonts w:asciiTheme="minorHAnsi" w:hAnsiTheme="minorHAnsi"/>
                <w:sz w:val="20"/>
                <w:szCs w:val="20"/>
              </w:rPr>
              <w:t xml:space="preserve"> infusion over 30 minutes every 3 weeks. The patient, therefore, was thought to have received a higher dose of Adcetris in Cycle 6. A reduced dose of Adcetris was administered in Cycle 7. The patient presented with a sensory neuropathy in Cycle 6 and developed a Grade 4 motor neuropathy in Cycle 7. The events of sensory and motor neuropathy were attributed to study drug. Peripheral neuropathy, including sensory and motor neuropathy, is a well</w:t>
            </w:r>
            <w:r w:rsidR="00FF008A">
              <w:rPr>
                <w:rFonts w:asciiTheme="minorHAnsi" w:hAnsiTheme="minorHAnsi"/>
                <w:sz w:val="20"/>
                <w:szCs w:val="20"/>
              </w:rPr>
              <w:noBreakHyphen/>
            </w:r>
            <w:r w:rsidRPr="00FF008A">
              <w:rPr>
                <w:rFonts w:asciiTheme="minorHAnsi" w:hAnsiTheme="minorHAnsi"/>
                <w:sz w:val="20"/>
                <w:szCs w:val="20"/>
              </w:rPr>
              <w:t xml:space="preserve"> known risk of Adcetris and is described in the labe</w:t>
            </w:r>
            <w:r w:rsidR="007D3418" w:rsidRPr="00FF008A">
              <w:rPr>
                <w:rFonts w:asciiTheme="minorHAnsi" w:hAnsiTheme="minorHAnsi"/>
                <w:sz w:val="20"/>
                <w:szCs w:val="20"/>
              </w:rPr>
              <w:t>l</w:t>
            </w:r>
            <w:r w:rsidRPr="00FF008A">
              <w:rPr>
                <w:rFonts w:asciiTheme="minorHAnsi" w:hAnsiTheme="minorHAnsi"/>
                <w:sz w:val="20"/>
                <w:szCs w:val="20"/>
              </w:rPr>
              <w:t>ling reference documents as very common adverse reaction.</w:t>
            </w:r>
          </w:p>
          <w:p w14:paraId="4946A7A9" w14:textId="731D2E84" w:rsidR="008B59F0" w:rsidRPr="00FF008A" w:rsidRDefault="0054121B" w:rsidP="00E926E1">
            <w:pPr>
              <w:spacing w:before="0" w:after="0"/>
              <w:ind w:left="0" w:right="0"/>
              <w:rPr>
                <w:rFonts w:asciiTheme="minorHAnsi" w:hAnsiTheme="minorHAnsi"/>
                <w:sz w:val="20"/>
                <w:szCs w:val="20"/>
              </w:rPr>
            </w:pPr>
            <w:r w:rsidRPr="00FF008A">
              <w:rPr>
                <w:rFonts w:asciiTheme="minorHAnsi" w:hAnsiTheme="minorHAnsi"/>
                <w:sz w:val="20"/>
                <w:szCs w:val="20"/>
              </w:rPr>
              <w:t>Conclusion: The MAH conducted an analysis of the GSDB and provided the summary of post</w:t>
            </w:r>
            <w:r w:rsidR="007D3418" w:rsidRPr="00FF008A">
              <w:rPr>
                <w:rFonts w:asciiTheme="minorHAnsi" w:hAnsiTheme="minorHAnsi"/>
                <w:sz w:val="20"/>
                <w:szCs w:val="20"/>
              </w:rPr>
              <w:t>-</w:t>
            </w:r>
            <w:r w:rsidRPr="00FF008A">
              <w:rPr>
                <w:rFonts w:asciiTheme="minorHAnsi" w:hAnsiTheme="minorHAnsi"/>
                <w:sz w:val="20"/>
                <w:szCs w:val="20"/>
              </w:rPr>
              <w:t>marketing experience with overdose. The vast majority of cases did not report an adverse event in association with an overdose. The MAH will continue to monitor for and evaluate cases of overdose events and associations of adverse drug events reported with brentuximab vedotin use.</w:t>
            </w:r>
          </w:p>
        </w:tc>
        <w:tc>
          <w:tcPr>
            <w:tcW w:w="1440" w:type="dxa"/>
          </w:tcPr>
          <w:p w14:paraId="369AE738" w14:textId="09E610C4" w:rsidR="008B59F0" w:rsidRPr="00FF008A" w:rsidRDefault="008B59F0"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lastRenderedPageBreak/>
              <w:t>The sponsor’s response has been noted.</w:t>
            </w:r>
          </w:p>
        </w:tc>
      </w:tr>
      <w:tr w:rsidR="003F50B8" w:rsidRPr="00FF008A" w14:paraId="34B0FAB5" w14:textId="77777777" w:rsidTr="00E97E63">
        <w:tc>
          <w:tcPr>
            <w:tcW w:w="2943" w:type="dxa"/>
          </w:tcPr>
          <w:p w14:paraId="3DA66236" w14:textId="6267BCD3" w:rsidR="008B59F0" w:rsidRPr="00FF008A" w:rsidRDefault="00600B50"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lastRenderedPageBreak/>
              <w:t xml:space="preserve">6. </w:t>
            </w:r>
            <w:r w:rsidR="0054121B" w:rsidRPr="00FF008A">
              <w:rPr>
                <w:rFonts w:asciiTheme="minorHAnsi" w:hAnsiTheme="minorHAnsi"/>
                <w:sz w:val="20"/>
                <w:szCs w:val="20"/>
              </w:rPr>
              <w:t>In the ‘Indications’ section, the Delegate may wish to consider including a statement that brentuximab is indicated as monotherapy only (or a statement to that effect).</w:t>
            </w:r>
          </w:p>
        </w:tc>
        <w:tc>
          <w:tcPr>
            <w:tcW w:w="4730" w:type="dxa"/>
          </w:tcPr>
          <w:p w14:paraId="33128A1C" w14:textId="40253B25" w:rsidR="008B59F0" w:rsidRPr="00FF008A" w:rsidRDefault="007D3418" w:rsidP="007D3418">
            <w:pPr>
              <w:spacing w:before="0" w:after="0"/>
              <w:ind w:left="0" w:right="0"/>
              <w:rPr>
                <w:rFonts w:asciiTheme="minorHAnsi" w:hAnsiTheme="minorHAnsi"/>
                <w:sz w:val="20"/>
                <w:szCs w:val="20"/>
                <w:lang w:val="en-GB"/>
              </w:rPr>
            </w:pPr>
            <w:r w:rsidRPr="00FF008A">
              <w:rPr>
                <w:rFonts w:asciiTheme="minorHAnsi" w:hAnsiTheme="minorHAnsi"/>
                <w:sz w:val="20"/>
                <w:szCs w:val="20"/>
              </w:rPr>
              <w:t>The sponsor</w:t>
            </w:r>
            <w:r w:rsidR="0054121B" w:rsidRPr="00FF008A">
              <w:rPr>
                <w:rFonts w:asciiTheme="minorHAnsi" w:hAnsiTheme="minorHAnsi"/>
                <w:sz w:val="20"/>
                <w:szCs w:val="20"/>
              </w:rPr>
              <w:t xml:space="preserve"> maintain</w:t>
            </w:r>
            <w:r w:rsidRPr="00FF008A">
              <w:rPr>
                <w:rFonts w:asciiTheme="minorHAnsi" w:hAnsiTheme="minorHAnsi"/>
                <w:sz w:val="20"/>
                <w:szCs w:val="20"/>
              </w:rPr>
              <w:t>s</w:t>
            </w:r>
            <w:r w:rsidR="0054121B" w:rsidRPr="00FF008A">
              <w:rPr>
                <w:rFonts w:asciiTheme="minorHAnsi" w:hAnsiTheme="minorHAnsi"/>
                <w:sz w:val="20"/>
                <w:szCs w:val="20"/>
              </w:rPr>
              <w:t xml:space="preserve"> that the indication as proposed remains appropriate. This item will be addressed in the pre-</w:t>
            </w:r>
            <w:r w:rsidRPr="00FF008A">
              <w:rPr>
                <w:rFonts w:asciiTheme="minorHAnsi" w:hAnsiTheme="minorHAnsi"/>
                <w:sz w:val="20"/>
                <w:szCs w:val="20"/>
              </w:rPr>
              <w:t>ACPM</w:t>
            </w:r>
            <w:r w:rsidR="0054121B" w:rsidRPr="00FF008A">
              <w:rPr>
                <w:rFonts w:asciiTheme="minorHAnsi" w:hAnsiTheme="minorHAnsi"/>
                <w:sz w:val="20"/>
                <w:szCs w:val="20"/>
              </w:rPr>
              <w:t xml:space="preserve"> response if required.</w:t>
            </w:r>
          </w:p>
        </w:tc>
        <w:tc>
          <w:tcPr>
            <w:tcW w:w="1440" w:type="dxa"/>
          </w:tcPr>
          <w:p w14:paraId="69491B80" w14:textId="14D78C72" w:rsidR="008B59F0" w:rsidRPr="00FF008A" w:rsidRDefault="0054121B"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 xml:space="preserve">This is considered acceptable in the context of this application for RMP purposes subject to approval by </w:t>
            </w:r>
            <w:r w:rsidRPr="00FF008A">
              <w:rPr>
                <w:rFonts w:asciiTheme="minorHAnsi" w:hAnsiTheme="minorHAnsi"/>
                <w:sz w:val="20"/>
                <w:szCs w:val="20"/>
              </w:rPr>
              <w:lastRenderedPageBreak/>
              <w:t>the Delegate.</w:t>
            </w:r>
          </w:p>
        </w:tc>
      </w:tr>
      <w:tr w:rsidR="003F50B8" w:rsidRPr="00FF008A" w14:paraId="5AA48CF3" w14:textId="77777777" w:rsidTr="00E97E63">
        <w:tc>
          <w:tcPr>
            <w:tcW w:w="2943" w:type="dxa"/>
          </w:tcPr>
          <w:p w14:paraId="54BEEF94" w14:textId="33894E19" w:rsidR="008B59F0" w:rsidRPr="00FF008A" w:rsidRDefault="00600B50"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lastRenderedPageBreak/>
              <w:t xml:space="preserve">7. </w:t>
            </w:r>
            <w:r w:rsidR="0054121B" w:rsidRPr="00FF008A">
              <w:rPr>
                <w:rFonts w:asciiTheme="minorHAnsi" w:hAnsiTheme="minorHAnsi"/>
                <w:sz w:val="20"/>
                <w:szCs w:val="20"/>
              </w:rPr>
              <w:t>In the ‘Interaction with other Medicines’ section, the PI should clearly state that brentuximab should not be used concomitantly with other anticancer agents (or a statement to that effect).</w:t>
            </w:r>
          </w:p>
        </w:tc>
        <w:tc>
          <w:tcPr>
            <w:tcW w:w="4730" w:type="dxa"/>
          </w:tcPr>
          <w:p w14:paraId="0C219500" w14:textId="24C7315E" w:rsidR="008B59F0" w:rsidRPr="00FF008A" w:rsidRDefault="00E61195"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The sponsor</w:t>
            </w:r>
            <w:r w:rsidR="008B59F0" w:rsidRPr="00FF008A">
              <w:rPr>
                <w:rFonts w:asciiTheme="minorHAnsi" w:hAnsiTheme="minorHAnsi"/>
                <w:sz w:val="20"/>
                <w:szCs w:val="20"/>
                <w:lang w:val="en-GB"/>
              </w:rPr>
              <w:t xml:space="preserve"> disagree</w:t>
            </w:r>
            <w:r w:rsidRPr="00FF008A">
              <w:rPr>
                <w:rFonts w:asciiTheme="minorHAnsi" w:hAnsiTheme="minorHAnsi"/>
                <w:sz w:val="20"/>
                <w:szCs w:val="20"/>
                <w:lang w:val="en-GB"/>
              </w:rPr>
              <w:t>s with the e</w:t>
            </w:r>
            <w:r w:rsidR="008B59F0" w:rsidRPr="00FF008A">
              <w:rPr>
                <w:rFonts w:asciiTheme="minorHAnsi" w:hAnsiTheme="minorHAnsi"/>
                <w:sz w:val="20"/>
                <w:szCs w:val="20"/>
                <w:lang w:val="en-GB"/>
              </w:rPr>
              <w:t>valuator’s recommendation. Evidence exists suggesting that concomitant bleomycin, as currently contraindicated, should be avoided due to an increased rate of pulmonar</w:t>
            </w:r>
            <w:r w:rsidR="007D3418" w:rsidRPr="00FF008A">
              <w:rPr>
                <w:rFonts w:asciiTheme="minorHAnsi" w:hAnsiTheme="minorHAnsi"/>
                <w:sz w:val="20"/>
                <w:szCs w:val="20"/>
                <w:lang w:val="en-GB"/>
              </w:rPr>
              <w:t>y toxicity. However, completed Phase I studies and ongoing Phase III</w:t>
            </w:r>
            <w:r w:rsidR="008B59F0" w:rsidRPr="00FF008A">
              <w:rPr>
                <w:rFonts w:asciiTheme="minorHAnsi" w:hAnsiTheme="minorHAnsi"/>
                <w:sz w:val="20"/>
                <w:szCs w:val="20"/>
                <w:lang w:val="en-GB"/>
              </w:rPr>
              <w:t xml:space="preserve"> studies of brentuximab vedotin in combination with other multi</w:t>
            </w:r>
            <w:r w:rsidR="007D3418" w:rsidRPr="00FF008A">
              <w:rPr>
                <w:rFonts w:asciiTheme="minorHAnsi" w:hAnsiTheme="minorHAnsi"/>
                <w:sz w:val="20"/>
                <w:szCs w:val="20"/>
                <w:lang w:val="en-GB"/>
              </w:rPr>
              <w:t>-</w:t>
            </w:r>
            <w:r w:rsidR="008B59F0" w:rsidRPr="00FF008A">
              <w:rPr>
                <w:rFonts w:asciiTheme="minorHAnsi" w:hAnsiTheme="minorHAnsi"/>
                <w:sz w:val="20"/>
                <w:szCs w:val="20"/>
                <w:lang w:val="en-GB"/>
              </w:rPr>
              <w:t>agent chemotherapy regimens suggests a manageable safety profile in these combinations as follows:</w:t>
            </w:r>
          </w:p>
          <w:p w14:paraId="4ACD6E2C" w14:textId="4FD7EAF2"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 xml:space="preserve">Completed Phase </w:t>
            </w:r>
            <w:r w:rsidR="007D3418" w:rsidRPr="00FF008A">
              <w:rPr>
                <w:rFonts w:asciiTheme="minorHAnsi" w:hAnsiTheme="minorHAnsi"/>
                <w:sz w:val="20"/>
                <w:szCs w:val="20"/>
                <w:lang w:val="en-GB"/>
              </w:rPr>
              <w:t>I</w:t>
            </w:r>
            <w:r w:rsidRPr="00FF008A">
              <w:rPr>
                <w:rFonts w:asciiTheme="minorHAnsi" w:hAnsiTheme="minorHAnsi"/>
                <w:sz w:val="20"/>
                <w:szCs w:val="20"/>
                <w:lang w:val="en-GB"/>
              </w:rPr>
              <w:t xml:space="preserve"> Study SGN35-009</w:t>
            </w:r>
            <w:r w:rsidR="00E61195" w:rsidRPr="00FF008A">
              <w:rPr>
                <w:rFonts w:asciiTheme="minorHAnsi" w:hAnsiTheme="minorHAnsi"/>
                <w:sz w:val="20"/>
                <w:szCs w:val="20"/>
                <w:lang w:val="en-GB"/>
              </w:rPr>
              <w:t>;</w:t>
            </w:r>
            <w:r w:rsidRPr="00FF008A">
              <w:rPr>
                <w:rFonts w:asciiTheme="minorHAnsi" w:hAnsiTheme="minorHAnsi"/>
                <w:sz w:val="20"/>
                <w:szCs w:val="20"/>
                <w:lang w:val="en-GB"/>
              </w:rPr>
              <w:t xml:space="preserve"> and </w:t>
            </w:r>
            <w:r w:rsidR="00E61195" w:rsidRPr="00FF008A">
              <w:rPr>
                <w:rFonts w:asciiTheme="minorHAnsi" w:hAnsiTheme="minorHAnsi"/>
                <w:sz w:val="20"/>
                <w:szCs w:val="20"/>
                <w:lang w:val="en-GB"/>
              </w:rPr>
              <w:t>o</w:t>
            </w:r>
            <w:r w:rsidRPr="00FF008A">
              <w:rPr>
                <w:rFonts w:asciiTheme="minorHAnsi" w:hAnsiTheme="minorHAnsi"/>
                <w:sz w:val="20"/>
                <w:szCs w:val="20"/>
                <w:lang w:val="en-GB"/>
              </w:rPr>
              <w:t xml:space="preserve">ngoing </w:t>
            </w:r>
            <w:r w:rsidR="00E61195" w:rsidRPr="00FF008A">
              <w:rPr>
                <w:rFonts w:asciiTheme="minorHAnsi" w:hAnsiTheme="minorHAnsi"/>
                <w:sz w:val="20"/>
                <w:szCs w:val="20"/>
                <w:lang w:val="en-GB"/>
              </w:rPr>
              <w:t>but fully enrolled Phase III</w:t>
            </w:r>
            <w:r w:rsidRPr="00FF008A">
              <w:rPr>
                <w:rFonts w:asciiTheme="minorHAnsi" w:hAnsiTheme="minorHAnsi"/>
                <w:sz w:val="20"/>
                <w:szCs w:val="20"/>
                <w:lang w:val="en-GB"/>
              </w:rPr>
              <w:t xml:space="preserve"> Study C2500</w:t>
            </w:r>
            <w:r w:rsidR="00E61195" w:rsidRPr="00FF008A">
              <w:rPr>
                <w:rFonts w:asciiTheme="minorHAnsi" w:hAnsiTheme="minorHAnsi"/>
                <w:sz w:val="20"/>
                <w:szCs w:val="20"/>
                <w:lang w:val="en-GB"/>
              </w:rPr>
              <w:t>3: Evidence of pulmonary toxicity w</w:t>
            </w:r>
            <w:r w:rsidRPr="00FF008A">
              <w:rPr>
                <w:rFonts w:asciiTheme="minorHAnsi" w:hAnsiTheme="minorHAnsi"/>
                <w:sz w:val="20"/>
                <w:szCs w:val="20"/>
                <w:lang w:val="en-GB"/>
              </w:rPr>
              <w:t xml:space="preserve">ith </w:t>
            </w:r>
            <w:r w:rsidR="00E61195" w:rsidRPr="00FF008A">
              <w:rPr>
                <w:rFonts w:asciiTheme="minorHAnsi" w:hAnsiTheme="minorHAnsi"/>
                <w:sz w:val="20"/>
                <w:szCs w:val="20"/>
                <w:lang w:val="en-GB"/>
              </w:rPr>
              <w:t>concomitant bleomycin; evidence of a manageable safety profile combination with AVD (d</w:t>
            </w:r>
            <w:r w:rsidRPr="00FF008A">
              <w:rPr>
                <w:rFonts w:asciiTheme="minorHAnsi" w:hAnsiTheme="minorHAnsi"/>
                <w:sz w:val="20"/>
                <w:szCs w:val="20"/>
                <w:lang w:val="en-GB"/>
              </w:rPr>
              <w:t xml:space="preserve">oxorubicin, </w:t>
            </w:r>
            <w:r w:rsidR="00E61195" w:rsidRPr="00FF008A">
              <w:rPr>
                <w:rFonts w:asciiTheme="minorHAnsi" w:hAnsiTheme="minorHAnsi"/>
                <w:sz w:val="20"/>
                <w:szCs w:val="20"/>
                <w:lang w:val="en-GB"/>
              </w:rPr>
              <w:t>v</w:t>
            </w:r>
            <w:r w:rsidRPr="00FF008A">
              <w:rPr>
                <w:rFonts w:asciiTheme="minorHAnsi" w:hAnsiTheme="minorHAnsi"/>
                <w:sz w:val="20"/>
                <w:szCs w:val="20"/>
                <w:lang w:val="en-GB"/>
              </w:rPr>
              <w:t xml:space="preserve">inblastine, and </w:t>
            </w:r>
            <w:r w:rsidR="00E61195" w:rsidRPr="00FF008A">
              <w:rPr>
                <w:rFonts w:asciiTheme="minorHAnsi" w:hAnsiTheme="minorHAnsi"/>
                <w:sz w:val="20"/>
                <w:szCs w:val="20"/>
                <w:lang w:val="en-GB"/>
              </w:rPr>
              <w:t>d</w:t>
            </w:r>
            <w:r w:rsidRPr="00FF008A">
              <w:rPr>
                <w:rFonts w:asciiTheme="minorHAnsi" w:hAnsiTheme="minorHAnsi"/>
                <w:sz w:val="20"/>
                <w:szCs w:val="20"/>
                <w:lang w:val="en-GB"/>
              </w:rPr>
              <w:t>acarbazine)</w:t>
            </w:r>
            <w:r w:rsidR="00E61195" w:rsidRPr="00FF008A">
              <w:rPr>
                <w:rFonts w:asciiTheme="minorHAnsi" w:hAnsiTheme="minorHAnsi"/>
                <w:sz w:val="20"/>
                <w:szCs w:val="20"/>
                <w:lang w:val="en-GB"/>
              </w:rPr>
              <w:t>.</w:t>
            </w:r>
          </w:p>
          <w:p w14:paraId="460870AA" w14:textId="41191F24"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 xml:space="preserve">The combination of doxorubicin, bleomycin, vinblastine, and dacarbazine (ABVD) and brentuximab vedotin was explored in patients with advanced-stage, newly diagnosed HL in completed Study SGN35-009. In this study, pulmonary toxicity was observed with the concomitant use of bleomycin, leading to its contraindication in combination with brentuximab vedotin. The study was amended to continue with the </w:t>
            </w:r>
            <w:r w:rsidR="00E61195" w:rsidRPr="00FF008A">
              <w:rPr>
                <w:rFonts w:asciiTheme="minorHAnsi" w:hAnsiTheme="minorHAnsi"/>
                <w:sz w:val="20"/>
                <w:szCs w:val="20"/>
                <w:lang w:val="en-GB"/>
              </w:rPr>
              <w:t xml:space="preserve">AVD </w:t>
            </w:r>
            <w:r w:rsidRPr="00FF008A">
              <w:rPr>
                <w:rFonts w:asciiTheme="minorHAnsi" w:hAnsiTheme="minorHAnsi"/>
                <w:sz w:val="20"/>
                <w:szCs w:val="20"/>
                <w:lang w:val="en-GB"/>
              </w:rPr>
              <w:t>combination and brentuximab vedotin, and further instances of pulmonary toxicity were not observed. During the trial, 51 patients received ≥</w:t>
            </w:r>
            <w:r w:rsidR="00E61195" w:rsidRPr="00FF008A">
              <w:rPr>
                <w:rFonts w:asciiTheme="minorHAnsi" w:hAnsiTheme="minorHAnsi"/>
                <w:sz w:val="20"/>
                <w:szCs w:val="20"/>
                <w:lang w:val="en-GB"/>
              </w:rPr>
              <w:t> </w:t>
            </w:r>
            <w:r w:rsidRPr="00FF008A">
              <w:rPr>
                <w:rFonts w:asciiTheme="minorHAnsi" w:hAnsiTheme="minorHAnsi"/>
                <w:sz w:val="20"/>
                <w:szCs w:val="20"/>
                <w:lang w:val="en-GB"/>
              </w:rPr>
              <w:t>1 dose of brentuximab vedotin. The maximum tolerated dose of brentuximab vedotin when combined with ABVD</w:t>
            </w:r>
            <w:r w:rsidR="007D3418" w:rsidRPr="00FF008A">
              <w:rPr>
                <w:rFonts w:asciiTheme="minorHAnsi" w:hAnsiTheme="minorHAnsi"/>
                <w:sz w:val="20"/>
                <w:szCs w:val="20"/>
                <w:lang w:val="en-GB"/>
              </w:rPr>
              <w:t xml:space="preserve"> or AVD was not exceeded at 1.2 </w:t>
            </w:r>
            <w:r w:rsidRPr="00FF008A">
              <w:rPr>
                <w:rFonts w:asciiTheme="minorHAnsi" w:hAnsiTheme="minorHAnsi"/>
                <w:sz w:val="20"/>
                <w:szCs w:val="20"/>
                <w:lang w:val="en-GB"/>
              </w:rPr>
              <w:t>mg/kg. After completion of frontline therapy, a total of 21 (95%) of the 22 patients who received brentuximab vedotin</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ABVD achieved CR, as did 24 (96%) of the 25 patients who received brentuximab vedotin</w:t>
            </w:r>
            <w:r w:rsidR="00417C51"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417C51" w:rsidRPr="00FF008A">
              <w:rPr>
                <w:rFonts w:asciiTheme="minorHAnsi" w:hAnsiTheme="minorHAnsi"/>
                <w:sz w:val="20"/>
                <w:szCs w:val="20"/>
                <w:lang w:val="en-GB"/>
              </w:rPr>
              <w:t xml:space="preserve"> </w:t>
            </w:r>
            <w:r w:rsidRPr="00FF008A">
              <w:rPr>
                <w:rFonts w:asciiTheme="minorHAnsi" w:hAnsiTheme="minorHAnsi"/>
                <w:sz w:val="20"/>
                <w:szCs w:val="20"/>
                <w:lang w:val="en-GB"/>
              </w:rPr>
              <w:t>AVD.</w:t>
            </w:r>
          </w:p>
          <w:p w14:paraId="70F6A7A3" w14:textId="14C02DB0"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TEAEs were generally ≤</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Grade 2. SAEs occur</w:t>
            </w:r>
            <w:r w:rsidR="007D3418" w:rsidRPr="00FF008A">
              <w:rPr>
                <w:rFonts w:asciiTheme="minorHAnsi" w:hAnsiTheme="minorHAnsi"/>
                <w:sz w:val="20"/>
                <w:szCs w:val="20"/>
                <w:lang w:val="en-GB"/>
              </w:rPr>
              <w:t>red in 41% of all patients (14 (56%)</w:t>
            </w:r>
            <w:r w:rsidRPr="00FF008A">
              <w:rPr>
                <w:rFonts w:asciiTheme="minorHAnsi" w:hAnsiTheme="minorHAnsi"/>
                <w:sz w:val="20"/>
                <w:szCs w:val="20"/>
                <w:lang w:val="en-GB"/>
              </w:rPr>
              <w:t xml:space="preserve"> in the brentu</w:t>
            </w:r>
            <w:r w:rsidR="007D3418" w:rsidRPr="00FF008A">
              <w:rPr>
                <w:rFonts w:asciiTheme="minorHAnsi" w:hAnsiTheme="minorHAnsi"/>
                <w:sz w:val="20"/>
                <w:szCs w:val="20"/>
                <w:lang w:val="en-GB"/>
              </w:rPr>
              <w:t>ximab vedotin</w:t>
            </w:r>
            <w:r w:rsidR="00417C51" w:rsidRPr="00FF008A">
              <w:rPr>
                <w:rFonts w:asciiTheme="minorHAnsi" w:hAnsiTheme="minorHAnsi"/>
                <w:sz w:val="20"/>
                <w:szCs w:val="20"/>
                <w:lang w:val="en-GB"/>
              </w:rPr>
              <w:t xml:space="preserve"> </w:t>
            </w:r>
            <w:r w:rsidR="007D3418" w:rsidRPr="00FF008A">
              <w:rPr>
                <w:rFonts w:asciiTheme="minorHAnsi" w:hAnsiTheme="minorHAnsi"/>
                <w:sz w:val="20"/>
                <w:szCs w:val="20"/>
                <w:lang w:val="en-GB"/>
              </w:rPr>
              <w:t>+</w:t>
            </w:r>
            <w:r w:rsidR="00417C51" w:rsidRPr="00FF008A">
              <w:rPr>
                <w:rFonts w:asciiTheme="minorHAnsi" w:hAnsiTheme="minorHAnsi"/>
                <w:sz w:val="20"/>
                <w:szCs w:val="20"/>
                <w:lang w:val="en-GB"/>
              </w:rPr>
              <w:t xml:space="preserve"> </w:t>
            </w:r>
            <w:r w:rsidR="007D3418" w:rsidRPr="00FF008A">
              <w:rPr>
                <w:rFonts w:asciiTheme="minorHAnsi" w:hAnsiTheme="minorHAnsi"/>
                <w:sz w:val="20"/>
                <w:szCs w:val="20"/>
                <w:lang w:val="en-GB"/>
              </w:rPr>
              <w:t>ABVD group and 7 (27%)</w:t>
            </w:r>
            <w:r w:rsidRPr="00FF008A">
              <w:rPr>
                <w:rFonts w:asciiTheme="minorHAnsi" w:hAnsiTheme="minorHAnsi"/>
                <w:sz w:val="20"/>
                <w:szCs w:val="20"/>
                <w:lang w:val="en-GB"/>
              </w:rPr>
              <w:t xml:space="preserve"> in the brentuximab vedotin</w:t>
            </w:r>
            <w:r w:rsidR="00417C51"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417C51" w:rsidRPr="00FF008A">
              <w:rPr>
                <w:rFonts w:asciiTheme="minorHAnsi" w:hAnsiTheme="minorHAnsi"/>
                <w:sz w:val="20"/>
                <w:szCs w:val="20"/>
                <w:lang w:val="en-GB"/>
              </w:rPr>
              <w:t xml:space="preserve"> </w:t>
            </w:r>
            <w:r w:rsidRPr="00FF008A">
              <w:rPr>
                <w:rFonts w:asciiTheme="minorHAnsi" w:hAnsiTheme="minorHAnsi"/>
                <w:sz w:val="20"/>
                <w:szCs w:val="20"/>
                <w:lang w:val="en-GB"/>
              </w:rPr>
              <w:t>AVD group). SAEs reported in ≥</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10% of patients overall included febrile neutrop</w:t>
            </w:r>
            <w:r w:rsidR="007D3418" w:rsidRPr="00FF008A">
              <w:rPr>
                <w:rFonts w:asciiTheme="minorHAnsi" w:hAnsiTheme="minorHAnsi"/>
                <w:sz w:val="20"/>
                <w:szCs w:val="20"/>
                <w:lang w:val="en-GB"/>
              </w:rPr>
              <w:t>aenia (4 (16%)</w:t>
            </w:r>
            <w:r w:rsidRPr="00FF008A">
              <w:rPr>
                <w:rFonts w:asciiTheme="minorHAnsi" w:hAnsiTheme="minorHAnsi"/>
                <w:sz w:val="20"/>
                <w:szCs w:val="20"/>
                <w:lang w:val="en-GB"/>
              </w:rPr>
              <w:t xml:space="preserve"> in the brentuximab vedotin</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ABVD group v</w:t>
            </w:r>
            <w:r w:rsidR="007D3418" w:rsidRPr="00FF008A">
              <w:rPr>
                <w:rFonts w:asciiTheme="minorHAnsi" w:hAnsiTheme="minorHAnsi"/>
                <w:sz w:val="20"/>
                <w:szCs w:val="20"/>
                <w:lang w:val="en-GB"/>
              </w:rPr>
              <w:t>ersus 2 (8%)</w:t>
            </w:r>
            <w:r w:rsidRPr="00FF008A">
              <w:rPr>
                <w:rFonts w:asciiTheme="minorHAnsi" w:hAnsiTheme="minorHAnsi"/>
                <w:sz w:val="20"/>
                <w:szCs w:val="20"/>
                <w:lang w:val="en-GB"/>
              </w:rPr>
              <w:t xml:space="preserve"> in the brentuximab vedotin</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AVD group).</w:t>
            </w:r>
          </w:p>
          <w:p w14:paraId="5F853A37" w14:textId="2486B502"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 xml:space="preserve">The increased incidence of pulmonary toxicity noted in the </w:t>
            </w:r>
            <w:r w:rsidR="00FA46B3" w:rsidRPr="00FF008A">
              <w:rPr>
                <w:rFonts w:asciiTheme="minorHAnsi" w:hAnsiTheme="minorHAnsi"/>
                <w:sz w:val="20"/>
                <w:szCs w:val="20"/>
                <w:lang w:val="en-GB"/>
              </w:rPr>
              <w:t>brentuximab vedotin</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ABVD group compa</w:t>
            </w:r>
            <w:r w:rsidR="00FA46B3" w:rsidRPr="00FF008A">
              <w:rPr>
                <w:rFonts w:asciiTheme="minorHAnsi" w:hAnsiTheme="minorHAnsi"/>
                <w:sz w:val="20"/>
                <w:szCs w:val="20"/>
                <w:lang w:val="en-GB"/>
              </w:rPr>
              <w:t>red with the brentuximab vedotin +AVD was attributed to the brentuximab vedotin</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bleomycin combination and resulted in the current labe</w:t>
            </w:r>
            <w:r w:rsidR="007D3418" w:rsidRPr="00FF008A">
              <w:rPr>
                <w:rFonts w:asciiTheme="minorHAnsi" w:hAnsiTheme="minorHAnsi"/>
                <w:sz w:val="20"/>
                <w:szCs w:val="20"/>
                <w:lang w:val="en-GB"/>
              </w:rPr>
              <w:t>l</w:t>
            </w:r>
            <w:r w:rsidRPr="00FF008A">
              <w:rPr>
                <w:rFonts w:asciiTheme="minorHAnsi" w:hAnsiTheme="minorHAnsi"/>
                <w:sz w:val="20"/>
                <w:szCs w:val="20"/>
                <w:lang w:val="en-GB"/>
              </w:rPr>
              <w:t>led contraindication for this co</w:t>
            </w:r>
            <w:r w:rsidR="00FA46B3" w:rsidRPr="00FF008A">
              <w:rPr>
                <w:rFonts w:asciiTheme="minorHAnsi" w:hAnsiTheme="minorHAnsi"/>
                <w:sz w:val="20"/>
                <w:szCs w:val="20"/>
                <w:lang w:val="en-GB"/>
              </w:rPr>
              <w:t>mbination. The combination of brentuximab vedotin</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AVD administered in this study was considered generally well tolerated.</w:t>
            </w:r>
          </w:p>
          <w:p w14:paraId="362A7DC3" w14:textId="0DADA5F7"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This study supported the initiation of the company-</w:t>
            </w:r>
            <w:r w:rsidRPr="00FF008A">
              <w:rPr>
                <w:rFonts w:asciiTheme="minorHAnsi" w:hAnsiTheme="minorHAnsi"/>
                <w:sz w:val="20"/>
                <w:szCs w:val="20"/>
                <w:lang w:val="en-GB"/>
              </w:rPr>
              <w:lastRenderedPageBreak/>
              <w:t xml:space="preserve">sponsored </w:t>
            </w:r>
            <w:r w:rsidR="007D3418" w:rsidRPr="00FF008A">
              <w:rPr>
                <w:rFonts w:asciiTheme="minorHAnsi" w:hAnsiTheme="minorHAnsi"/>
                <w:sz w:val="20"/>
                <w:szCs w:val="20"/>
                <w:lang w:val="en-GB"/>
              </w:rPr>
              <w:t>Phase III Study C25003</w:t>
            </w:r>
            <w:r w:rsidRPr="00FF008A">
              <w:rPr>
                <w:rFonts w:asciiTheme="minorHAnsi" w:hAnsiTheme="minorHAnsi"/>
                <w:sz w:val="20"/>
                <w:szCs w:val="20"/>
                <w:lang w:val="en-GB"/>
              </w:rPr>
              <w:t xml:space="preserve"> of brentuximab vedotin</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7D3418" w:rsidRPr="00FF008A">
              <w:rPr>
                <w:rFonts w:asciiTheme="minorHAnsi" w:hAnsiTheme="minorHAnsi"/>
                <w:sz w:val="20"/>
                <w:szCs w:val="20"/>
                <w:lang w:val="en-GB"/>
              </w:rPr>
              <w:t xml:space="preserve"> </w:t>
            </w:r>
            <w:r w:rsidRPr="00FF008A">
              <w:rPr>
                <w:rFonts w:asciiTheme="minorHAnsi" w:hAnsiTheme="minorHAnsi"/>
                <w:sz w:val="20"/>
                <w:szCs w:val="20"/>
                <w:lang w:val="en-GB"/>
              </w:rPr>
              <w:t>doxorubicin, vinblastine and dacarbazine (A</w:t>
            </w:r>
            <w:r w:rsidR="00FA46B3" w:rsidRPr="00FF008A">
              <w:rPr>
                <w:rFonts w:asciiTheme="minorHAnsi" w:hAnsiTheme="minorHAnsi"/>
                <w:sz w:val="20"/>
                <w:szCs w:val="20"/>
                <w:lang w:val="en-GB"/>
              </w:rPr>
              <w:t> </w:t>
            </w:r>
            <w:r w:rsidRPr="00FF008A">
              <w:rPr>
                <w:rFonts w:asciiTheme="minorHAnsi" w:hAnsiTheme="minorHAnsi"/>
                <w:sz w:val="20"/>
                <w:szCs w:val="20"/>
                <w:lang w:val="en-GB"/>
              </w:rPr>
              <w:t>+</w:t>
            </w:r>
            <w:r w:rsidR="00FA46B3" w:rsidRPr="00FF008A">
              <w:rPr>
                <w:rFonts w:asciiTheme="minorHAnsi" w:hAnsiTheme="minorHAnsi"/>
                <w:sz w:val="20"/>
                <w:szCs w:val="20"/>
                <w:lang w:val="en-GB"/>
              </w:rPr>
              <w:t> </w:t>
            </w:r>
            <w:r w:rsidRPr="00FF008A">
              <w:rPr>
                <w:rFonts w:asciiTheme="minorHAnsi" w:hAnsiTheme="minorHAnsi"/>
                <w:sz w:val="20"/>
                <w:szCs w:val="20"/>
                <w:lang w:val="en-GB"/>
              </w:rPr>
              <w:t>AVD) v</w:t>
            </w:r>
            <w:r w:rsidR="007D3418" w:rsidRPr="00FF008A">
              <w:rPr>
                <w:rFonts w:asciiTheme="minorHAnsi" w:hAnsiTheme="minorHAnsi"/>
                <w:sz w:val="20"/>
                <w:szCs w:val="20"/>
                <w:lang w:val="en-GB"/>
              </w:rPr>
              <w:t>ersu</w:t>
            </w:r>
            <w:r w:rsidRPr="00FF008A">
              <w:rPr>
                <w:rFonts w:asciiTheme="minorHAnsi" w:hAnsiTheme="minorHAnsi"/>
                <w:sz w:val="20"/>
                <w:szCs w:val="20"/>
                <w:lang w:val="en-GB"/>
              </w:rPr>
              <w:t>s doxorubicin, bleomycin, vinblastine and dacarbazine (ABVD) as a frontline treatment for advanced classical HL (ECHELON-1 study).</w:t>
            </w:r>
          </w:p>
          <w:p w14:paraId="44E62047" w14:textId="0BF223EA"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Data from Study SGN-009 are referen</w:t>
            </w:r>
            <w:r w:rsidR="00417C51" w:rsidRPr="00FF008A">
              <w:rPr>
                <w:rFonts w:asciiTheme="minorHAnsi" w:hAnsiTheme="minorHAnsi"/>
                <w:sz w:val="20"/>
                <w:szCs w:val="20"/>
                <w:lang w:val="en-GB"/>
              </w:rPr>
              <w:t>ced in the 4</w:t>
            </w:r>
            <w:r w:rsidR="005B24AC" w:rsidRPr="00FF008A">
              <w:rPr>
                <w:rFonts w:asciiTheme="minorHAnsi" w:hAnsiTheme="minorHAnsi"/>
                <w:sz w:val="20"/>
                <w:szCs w:val="20"/>
                <w:lang w:val="en-GB"/>
              </w:rPr>
              <w:t xml:space="preserve"> </w:t>
            </w:r>
            <w:r w:rsidR="00417C51" w:rsidRPr="00FF008A">
              <w:rPr>
                <w:rFonts w:asciiTheme="minorHAnsi" w:hAnsiTheme="minorHAnsi"/>
                <w:sz w:val="20"/>
                <w:szCs w:val="20"/>
                <w:lang w:val="en-GB"/>
              </w:rPr>
              <w:t>articles</w:t>
            </w:r>
            <w:r w:rsidR="005B24AC" w:rsidRPr="00FF008A">
              <w:rPr>
                <w:rFonts w:asciiTheme="minorHAnsi" w:hAnsiTheme="minorHAnsi"/>
                <w:sz w:val="20"/>
                <w:szCs w:val="20"/>
                <w:lang w:val="en-GB"/>
              </w:rPr>
              <w:t xml:space="preserve"> footnoted below</w:t>
            </w:r>
            <w:r w:rsidR="00417C51" w:rsidRPr="00FF008A">
              <w:rPr>
                <w:rFonts w:asciiTheme="minorHAnsi" w:hAnsiTheme="minorHAnsi"/>
                <w:sz w:val="20"/>
                <w:szCs w:val="20"/>
                <w:lang w:val="en-GB"/>
              </w:rPr>
              <w:t>.</w:t>
            </w:r>
            <w:r w:rsidR="00417C51" w:rsidRPr="00FF008A">
              <w:rPr>
                <w:rStyle w:val="FootnoteReference"/>
                <w:rFonts w:asciiTheme="minorHAnsi" w:hAnsiTheme="minorHAnsi"/>
                <w:sz w:val="20"/>
                <w:szCs w:val="20"/>
                <w:lang w:val="en-GB"/>
              </w:rPr>
              <w:footnoteReference w:id="9"/>
            </w:r>
            <w:r w:rsidR="00417C51" w:rsidRPr="00FF008A">
              <w:rPr>
                <w:rStyle w:val="FootnoteReference"/>
                <w:rFonts w:asciiTheme="minorHAnsi" w:hAnsiTheme="minorHAnsi"/>
                <w:sz w:val="20"/>
                <w:szCs w:val="20"/>
                <w:lang w:val="en-GB"/>
              </w:rPr>
              <w:footnoteReference w:id="10"/>
            </w:r>
            <w:r w:rsidR="00417C51" w:rsidRPr="00FF008A">
              <w:rPr>
                <w:rStyle w:val="FootnoteReference"/>
                <w:rFonts w:asciiTheme="minorHAnsi" w:hAnsiTheme="minorHAnsi"/>
                <w:sz w:val="20"/>
                <w:szCs w:val="20"/>
                <w:lang w:val="en-GB"/>
              </w:rPr>
              <w:footnoteReference w:id="11"/>
            </w:r>
            <w:r w:rsidR="00417C51" w:rsidRPr="00FF008A">
              <w:rPr>
                <w:rStyle w:val="FootnoteReference"/>
                <w:rFonts w:asciiTheme="minorHAnsi" w:hAnsiTheme="minorHAnsi"/>
                <w:sz w:val="20"/>
                <w:szCs w:val="20"/>
                <w:lang w:val="en-GB"/>
              </w:rPr>
              <w:footnoteReference w:id="12"/>
            </w:r>
            <w:r w:rsidR="00417C51" w:rsidRPr="00FF008A">
              <w:rPr>
                <w:rFonts w:asciiTheme="minorHAnsi" w:hAnsiTheme="minorHAnsi"/>
                <w:sz w:val="20"/>
                <w:szCs w:val="20"/>
                <w:lang w:val="en-GB"/>
              </w:rPr>
              <w:t xml:space="preserve"> </w:t>
            </w:r>
            <w:r w:rsidRPr="00FF008A">
              <w:rPr>
                <w:rFonts w:asciiTheme="minorHAnsi" w:hAnsiTheme="minorHAnsi"/>
                <w:sz w:val="20"/>
                <w:szCs w:val="20"/>
                <w:lang w:val="en-GB"/>
              </w:rPr>
              <w:t>The combination of AVD and brentuximab vedotin is currently being explored versus ABVD alone in randomi</w:t>
            </w:r>
            <w:r w:rsidR="00417C51" w:rsidRPr="00FF008A">
              <w:rPr>
                <w:rFonts w:asciiTheme="minorHAnsi" w:hAnsiTheme="minorHAnsi"/>
                <w:sz w:val="20"/>
                <w:szCs w:val="20"/>
                <w:lang w:val="en-GB"/>
              </w:rPr>
              <w:t>s</w:t>
            </w:r>
            <w:r w:rsidRPr="00FF008A">
              <w:rPr>
                <w:rFonts w:asciiTheme="minorHAnsi" w:hAnsiTheme="minorHAnsi"/>
                <w:sz w:val="20"/>
                <w:szCs w:val="20"/>
                <w:lang w:val="en-GB"/>
              </w:rPr>
              <w:t xml:space="preserve">ed </w:t>
            </w:r>
            <w:r w:rsidR="00417C51" w:rsidRPr="00FF008A">
              <w:rPr>
                <w:rFonts w:asciiTheme="minorHAnsi" w:hAnsiTheme="minorHAnsi"/>
                <w:sz w:val="20"/>
                <w:szCs w:val="20"/>
                <w:lang w:val="en-GB"/>
              </w:rPr>
              <w:t>Phase III</w:t>
            </w:r>
            <w:r w:rsidRPr="00FF008A">
              <w:rPr>
                <w:rFonts w:asciiTheme="minorHAnsi" w:hAnsiTheme="minorHAnsi"/>
                <w:sz w:val="20"/>
                <w:szCs w:val="20"/>
                <w:lang w:val="en-GB"/>
              </w:rPr>
              <w:t xml:space="preserve"> Study C25003; the primary endpoint is modified </w:t>
            </w:r>
            <w:r w:rsidR="00417C51" w:rsidRPr="00FF008A">
              <w:rPr>
                <w:rFonts w:asciiTheme="minorHAnsi" w:hAnsiTheme="minorHAnsi"/>
                <w:sz w:val="20"/>
                <w:szCs w:val="20"/>
                <w:lang w:val="en-GB"/>
              </w:rPr>
              <w:t>PFS</w:t>
            </w:r>
            <w:r w:rsidRPr="00FF008A">
              <w:rPr>
                <w:rFonts w:asciiTheme="minorHAnsi" w:hAnsiTheme="minorHAnsi"/>
                <w:sz w:val="20"/>
                <w:szCs w:val="20"/>
                <w:lang w:val="en-GB"/>
              </w:rPr>
              <w:t>, and study completion is ant</w:t>
            </w:r>
            <w:r w:rsidR="00417C51" w:rsidRPr="00FF008A">
              <w:rPr>
                <w:rFonts w:asciiTheme="minorHAnsi" w:hAnsiTheme="minorHAnsi"/>
                <w:sz w:val="20"/>
                <w:szCs w:val="20"/>
                <w:lang w:val="en-GB"/>
              </w:rPr>
              <w:t>icipated in 2018. This ongoing S</w:t>
            </w:r>
            <w:r w:rsidRPr="00FF008A">
              <w:rPr>
                <w:rFonts w:asciiTheme="minorHAnsi" w:hAnsiTheme="minorHAnsi"/>
                <w:sz w:val="20"/>
                <w:szCs w:val="20"/>
                <w:lang w:val="en-GB"/>
              </w:rPr>
              <w:t>tudy C25003 is being monitored by an Independent Data Monitoring Committ</w:t>
            </w:r>
            <w:r w:rsidR="005B24AC" w:rsidRPr="00FF008A">
              <w:rPr>
                <w:rFonts w:asciiTheme="minorHAnsi" w:hAnsiTheme="minorHAnsi"/>
                <w:sz w:val="20"/>
                <w:szCs w:val="20"/>
                <w:lang w:val="en-GB"/>
              </w:rPr>
              <w:t>ee (IDMC). In March 2015, an ad-</w:t>
            </w:r>
            <w:r w:rsidRPr="00FF008A">
              <w:rPr>
                <w:rFonts w:asciiTheme="minorHAnsi" w:hAnsiTheme="minorHAnsi"/>
                <w:sz w:val="20"/>
                <w:szCs w:val="20"/>
                <w:lang w:val="en-GB"/>
              </w:rPr>
              <w:t>hoc IDMC meeting was convened to review safety data from the first 827 patients enrolled in Study C25003. Based on this review, the IDMC recommended that the trial should continue unmodified. The IDMC also recommended t</w:t>
            </w:r>
            <w:r w:rsidR="00417C51" w:rsidRPr="00FF008A">
              <w:rPr>
                <w:rFonts w:asciiTheme="minorHAnsi" w:hAnsiTheme="minorHAnsi"/>
                <w:sz w:val="20"/>
                <w:szCs w:val="20"/>
                <w:lang w:val="en-GB"/>
              </w:rPr>
              <w:t>hat colony-stimulating factors</w:t>
            </w:r>
            <w:r w:rsidR="00C219AC" w:rsidRPr="00FF008A">
              <w:rPr>
                <w:rFonts w:asciiTheme="minorHAnsi" w:hAnsiTheme="minorHAnsi"/>
                <w:sz w:val="20"/>
                <w:szCs w:val="20"/>
                <w:lang w:val="en-GB"/>
              </w:rPr>
              <w:t xml:space="preserve"> (CSF)</w:t>
            </w:r>
            <w:r w:rsidR="00417C51" w:rsidRPr="00FF008A">
              <w:rPr>
                <w:rFonts w:asciiTheme="minorHAnsi" w:hAnsiTheme="minorHAnsi"/>
                <w:sz w:val="20"/>
                <w:szCs w:val="20"/>
                <w:lang w:val="en-GB"/>
              </w:rPr>
              <w:t xml:space="preserve"> </w:t>
            </w:r>
            <w:r w:rsidRPr="00FF008A">
              <w:rPr>
                <w:rFonts w:asciiTheme="minorHAnsi" w:hAnsiTheme="minorHAnsi"/>
                <w:sz w:val="20"/>
                <w:szCs w:val="20"/>
                <w:lang w:val="en-GB"/>
              </w:rPr>
              <w:t>be given prophylactica</w:t>
            </w:r>
            <w:r w:rsidR="00C219AC" w:rsidRPr="00FF008A">
              <w:rPr>
                <w:rFonts w:asciiTheme="minorHAnsi" w:hAnsiTheme="minorHAnsi"/>
                <w:sz w:val="20"/>
                <w:szCs w:val="20"/>
                <w:lang w:val="en-GB"/>
              </w:rPr>
              <w:t>lly to all new patients randomis</w:t>
            </w:r>
            <w:r w:rsidRPr="00FF008A">
              <w:rPr>
                <w:rFonts w:asciiTheme="minorHAnsi" w:hAnsiTheme="minorHAnsi"/>
                <w:sz w:val="20"/>
                <w:szCs w:val="20"/>
                <w:lang w:val="en-GB"/>
              </w:rPr>
              <w:t xml:space="preserve">ed to the </w:t>
            </w:r>
            <w:r w:rsidR="005B24AC" w:rsidRPr="00FF008A">
              <w:rPr>
                <w:rFonts w:asciiTheme="minorHAnsi" w:hAnsiTheme="minorHAnsi"/>
                <w:sz w:val="20"/>
                <w:szCs w:val="20"/>
                <w:lang w:val="en-GB"/>
              </w:rPr>
              <w:t xml:space="preserve">brentuximab vedotin </w:t>
            </w:r>
            <w:r w:rsidRPr="00FF008A">
              <w:rPr>
                <w:rFonts w:asciiTheme="minorHAnsi" w:hAnsiTheme="minorHAnsi"/>
                <w:sz w:val="20"/>
                <w:szCs w:val="20"/>
                <w:lang w:val="en-GB"/>
              </w:rPr>
              <w:t>+AVD arm beginning with treatment Cycle 1. The IDMC noted that the overall rate of febrile neutrop</w:t>
            </w:r>
            <w:r w:rsidR="00C219AC" w:rsidRPr="00FF008A">
              <w:rPr>
                <w:rFonts w:asciiTheme="minorHAnsi" w:hAnsiTheme="minorHAnsi"/>
                <w:sz w:val="20"/>
                <w:szCs w:val="20"/>
                <w:lang w:val="en-GB"/>
              </w:rPr>
              <w:t>a</w:t>
            </w:r>
            <w:r w:rsidRPr="00FF008A">
              <w:rPr>
                <w:rFonts w:asciiTheme="minorHAnsi" w:hAnsiTheme="minorHAnsi"/>
                <w:sz w:val="20"/>
                <w:szCs w:val="20"/>
                <w:lang w:val="en-GB"/>
              </w:rPr>
              <w:t>enia reported in the BV</w:t>
            </w:r>
            <w:r w:rsidR="00C219AC"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C219AC" w:rsidRPr="00FF008A">
              <w:rPr>
                <w:rFonts w:asciiTheme="minorHAnsi" w:hAnsiTheme="minorHAnsi"/>
                <w:sz w:val="20"/>
                <w:szCs w:val="20"/>
                <w:lang w:val="en-GB"/>
              </w:rPr>
              <w:t xml:space="preserve"> </w:t>
            </w:r>
            <w:r w:rsidRPr="00FF008A">
              <w:rPr>
                <w:rFonts w:asciiTheme="minorHAnsi" w:hAnsiTheme="minorHAnsi"/>
                <w:sz w:val="20"/>
                <w:szCs w:val="20"/>
                <w:lang w:val="en-GB"/>
              </w:rPr>
              <w:t>AVD arm was 18%, which approximates the 20% ris</w:t>
            </w:r>
            <w:r w:rsidR="005B24AC" w:rsidRPr="00FF008A">
              <w:rPr>
                <w:rFonts w:asciiTheme="minorHAnsi" w:hAnsiTheme="minorHAnsi"/>
                <w:sz w:val="20"/>
                <w:szCs w:val="20"/>
                <w:lang w:val="en-GB"/>
              </w:rPr>
              <w:t xml:space="preserve">k level for prophylactic growth </w:t>
            </w:r>
            <w:r w:rsidRPr="00FF008A">
              <w:rPr>
                <w:rFonts w:asciiTheme="minorHAnsi" w:hAnsiTheme="minorHAnsi"/>
                <w:sz w:val="20"/>
                <w:szCs w:val="20"/>
                <w:lang w:val="en-GB"/>
              </w:rPr>
              <w:t>factor use that is recommended by the American Society of Clinical Oncology (ASCO) and the European Organization for Research and Treatment of Cancer (EORTC). Following the IDMC’s recommendations, MAH issued a Dear Investigator Letter to the study principal investigators on 10</w:t>
            </w:r>
            <w:r w:rsidR="00C219AC" w:rsidRPr="00FF008A">
              <w:rPr>
                <w:rFonts w:asciiTheme="minorHAnsi" w:hAnsiTheme="minorHAnsi"/>
                <w:sz w:val="20"/>
                <w:szCs w:val="20"/>
                <w:lang w:val="en-GB"/>
              </w:rPr>
              <w:t xml:space="preserve"> April 2015 to recommend that </w:t>
            </w:r>
            <w:r w:rsidRPr="00FF008A">
              <w:rPr>
                <w:rFonts w:asciiTheme="minorHAnsi" w:hAnsiTheme="minorHAnsi"/>
                <w:sz w:val="20"/>
                <w:szCs w:val="20"/>
                <w:lang w:val="en-GB"/>
              </w:rPr>
              <w:t>CSF be given prophylactically to all new patients randomized to the BV</w:t>
            </w:r>
            <w:r w:rsidR="00C219AC"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C219AC" w:rsidRPr="00FF008A">
              <w:rPr>
                <w:rFonts w:asciiTheme="minorHAnsi" w:hAnsiTheme="minorHAnsi"/>
                <w:sz w:val="20"/>
                <w:szCs w:val="20"/>
                <w:lang w:val="en-GB"/>
              </w:rPr>
              <w:t xml:space="preserve"> </w:t>
            </w:r>
            <w:r w:rsidRPr="00FF008A">
              <w:rPr>
                <w:rFonts w:asciiTheme="minorHAnsi" w:hAnsiTheme="minorHAnsi"/>
                <w:sz w:val="20"/>
                <w:szCs w:val="20"/>
                <w:lang w:val="en-GB"/>
              </w:rPr>
              <w:t>AVD arm beginning with treatment Cycle 1.</w:t>
            </w:r>
          </w:p>
          <w:p w14:paraId="27D007DC" w14:textId="77777777" w:rsidR="00D23407"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Data from ongoing Study C25003 (ECHELON-1) are referen</w:t>
            </w:r>
            <w:r w:rsidR="00C219AC" w:rsidRPr="00FF008A">
              <w:rPr>
                <w:rFonts w:asciiTheme="minorHAnsi" w:hAnsiTheme="minorHAnsi"/>
                <w:sz w:val="20"/>
                <w:szCs w:val="20"/>
                <w:lang w:val="en-GB"/>
              </w:rPr>
              <w:t>ced in the following 4 articles</w:t>
            </w:r>
            <w:r w:rsidR="005B24AC" w:rsidRPr="00FF008A">
              <w:rPr>
                <w:rFonts w:asciiTheme="minorHAnsi" w:hAnsiTheme="minorHAnsi"/>
                <w:sz w:val="20"/>
                <w:szCs w:val="20"/>
                <w:lang w:val="en-GB"/>
              </w:rPr>
              <w:t xml:space="preserve"> footnoted below</w:t>
            </w:r>
            <w:r w:rsidR="00C219AC" w:rsidRPr="00FF008A">
              <w:rPr>
                <w:rFonts w:asciiTheme="minorHAnsi" w:hAnsiTheme="minorHAnsi"/>
                <w:sz w:val="20"/>
                <w:szCs w:val="20"/>
                <w:lang w:val="en-GB"/>
              </w:rPr>
              <w:t>.</w:t>
            </w:r>
            <w:r w:rsidR="00C219AC" w:rsidRPr="00FF008A">
              <w:rPr>
                <w:rStyle w:val="FootnoteReference"/>
                <w:rFonts w:asciiTheme="minorHAnsi" w:hAnsiTheme="minorHAnsi"/>
                <w:sz w:val="20"/>
                <w:szCs w:val="20"/>
                <w:lang w:val="en-GB"/>
              </w:rPr>
              <w:footnoteReference w:id="13"/>
            </w:r>
            <w:r w:rsidR="005653F9" w:rsidRPr="00FF008A">
              <w:rPr>
                <w:rStyle w:val="FootnoteReference"/>
                <w:rFonts w:asciiTheme="minorHAnsi" w:hAnsiTheme="minorHAnsi"/>
                <w:sz w:val="20"/>
                <w:szCs w:val="20"/>
                <w:lang w:val="en-GB"/>
              </w:rPr>
              <w:footnoteReference w:id="14"/>
            </w:r>
            <w:r w:rsidR="005653F9" w:rsidRPr="00FF008A">
              <w:rPr>
                <w:rStyle w:val="FootnoteReference"/>
                <w:rFonts w:asciiTheme="minorHAnsi" w:hAnsiTheme="minorHAnsi"/>
                <w:sz w:val="20"/>
                <w:szCs w:val="20"/>
                <w:lang w:val="en-GB"/>
              </w:rPr>
              <w:footnoteReference w:id="15"/>
            </w:r>
            <w:r w:rsidR="005653F9" w:rsidRPr="00FF008A">
              <w:rPr>
                <w:rStyle w:val="FootnoteReference"/>
                <w:rFonts w:asciiTheme="minorHAnsi" w:hAnsiTheme="minorHAnsi"/>
                <w:sz w:val="20"/>
                <w:szCs w:val="20"/>
                <w:lang w:val="en-GB"/>
              </w:rPr>
              <w:footnoteReference w:id="16"/>
            </w:r>
          </w:p>
          <w:p w14:paraId="4CECA11C" w14:textId="46491DFF" w:rsidR="008B59F0" w:rsidRPr="00FF008A" w:rsidRDefault="00D23407"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lastRenderedPageBreak/>
              <w:t>The o</w:t>
            </w:r>
            <w:r w:rsidR="008B59F0" w:rsidRPr="00FF008A">
              <w:rPr>
                <w:rFonts w:asciiTheme="minorHAnsi" w:hAnsiTheme="minorHAnsi"/>
                <w:sz w:val="20"/>
                <w:szCs w:val="20"/>
                <w:lang w:val="en-GB"/>
              </w:rPr>
              <w:t xml:space="preserve">ngoing Phase </w:t>
            </w:r>
            <w:r w:rsidRPr="00FF008A">
              <w:rPr>
                <w:rFonts w:asciiTheme="minorHAnsi" w:hAnsiTheme="minorHAnsi"/>
                <w:sz w:val="20"/>
                <w:szCs w:val="20"/>
                <w:lang w:val="en-GB"/>
              </w:rPr>
              <w:t>I</w:t>
            </w:r>
            <w:r w:rsidR="008B59F0" w:rsidRPr="00FF008A">
              <w:rPr>
                <w:rFonts w:asciiTheme="minorHAnsi" w:hAnsiTheme="minorHAnsi"/>
                <w:sz w:val="20"/>
                <w:szCs w:val="20"/>
                <w:lang w:val="en-GB"/>
              </w:rPr>
              <w:t xml:space="preserve"> Study SGN35-011 and Phase </w:t>
            </w:r>
            <w:r w:rsidRPr="00FF008A">
              <w:rPr>
                <w:rFonts w:asciiTheme="minorHAnsi" w:hAnsiTheme="minorHAnsi"/>
                <w:sz w:val="20"/>
                <w:szCs w:val="20"/>
                <w:lang w:val="en-GB"/>
              </w:rPr>
              <w:t>III</w:t>
            </w:r>
            <w:r w:rsidR="008B59F0" w:rsidRPr="00FF008A">
              <w:rPr>
                <w:rFonts w:asciiTheme="minorHAnsi" w:hAnsiTheme="minorHAnsi"/>
                <w:sz w:val="20"/>
                <w:szCs w:val="20"/>
                <w:lang w:val="en-GB"/>
              </w:rPr>
              <w:t xml:space="preserve"> Study SGN35-014: Evidence </w:t>
            </w:r>
            <w:r w:rsidRPr="00FF008A">
              <w:rPr>
                <w:rFonts w:asciiTheme="minorHAnsi" w:hAnsiTheme="minorHAnsi"/>
                <w:sz w:val="20"/>
                <w:szCs w:val="20"/>
                <w:lang w:val="en-GB"/>
              </w:rPr>
              <w:t>of a manageable safety profile in sequential use with</w:t>
            </w:r>
            <w:r w:rsidR="008B59F0" w:rsidRPr="00FF008A">
              <w:rPr>
                <w:rFonts w:asciiTheme="minorHAnsi" w:hAnsiTheme="minorHAnsi"/>
                <w:sz w:val="20"/>
                <w:szCs w:val="20"/>
                <w:lang w:val="en-GB"/>
              </w:rPr>
              <w:t xml:space="preserve"> CHOP or in </w:t>
            </w:r>
            <w:r w:rsidRPr="00FF008A">
              <w:rPr>
                <w:rFonts w:asciiTheme="minorHAnsi" w:hAnsiTheme="minorHAnsi"/>
                <w:sz w:val="20"/>
                <w:szCs w:val="20"/>
                <w:lang w:val="en-GB"/>
              </w:rPr>
              <w:t>combination with</w:t>
            </w:r>
            <w:r w:rsidR="008B59F0" w:rsidRPr="00FF008A">
              <w:rPr>
                <w:rFonts w:asciiTheme="minorHAnsi" w:hAnsiTheme="minorHAnsi"/>
                <w:sz w:val="20"/>
                <w:szCs w:val="20"/>
                <w:lang w:val="en-GB"/>
              </w:rPr>
              <w:t xml:space="preserve"> CH-P</w:t>
            </w:r>
            <w:r w:rsidRPr="00FF008A">
              <w:rPr>
                <w:rFonts w:asciiTheme="minorHAnsi" w:hAnsiTheme="minorHAnsi"/>
                <w:sz w:val="20"/>
                <w:szCs w:val="20"/>
                <w:lang w:val="en-GB"/>
              </w:rPr>
              <w:t xml:space="preserve">, </w:t>
            </w:r>
            <w:r w:rsidR="008B59F0" w:rsidRPr="00FF008A">
              <w:rPr>
                <w:rFonts w:asciiTheme="minorHAnsi" w:hAnsiTheme="minorHAnsi"/>
                <w:sz w:val="20"/>
                <w:szCs w:val="20"/>
                <w:lang w:val="en-GB"/>
              </w:rPr>
              <w:t xml:space="preserve">Findings of ongoing </w:t>
            </w:r>
            <w:r w:rsidRPr="00FF008A">
              <w:rPr>
                <w:rFonts w:asciiTheme="minorHAnsi" w:hAnsiTheme="minorHAnsi"/>
                <w:sz w:val="20"/>
                <w:szCs w:val="20"/>
                <w:lang w:val="en-GB"/>
              </w:rPr>
              <w:t>P</w:t>
            </w:r>
            <w:r w:rsidR="008B59F0" w:rsidRPr="00FF008A">
              <w:rPr>
                <w:rFonts w:asciiTheme="minorHAnsi" w:hAnsiTheme="minorHAnsi"/>
                <w:sz w:val="20"/>
                <w:szCs w:val="20"/>
                <w:lang w:val="en-GB"/>
              </w:rPr>
              <w:t xml:space="preserve">hase </w:t>
            </w:r>
            <w:r w:rsidRPr="00FF008A">
              <w:rPr>
                <w:rFonts w:asciiTheme="minorHAnsi" w:hAnsiTheme="minorHAnsi"/>
                <w:sz w:val="20"/>
                <w:szCs w:val="20"/>
                <w:lang w:val="en-GB"/>
              </w:rPr>
              <w:t>I</w:t>
            </w:r>
            <w:r w:rsidR="00CA229C" w:rsidRPr="00FF008A">
              <w:rPr>
                <w:rFonts w:asciiTheme="minorHAnsi" w:hAnsiTheme="minorHAnsi"/>
                <w:sz w:val="20"/>
                <w:szCs w:val="20"/>
                <w:lang w:val="en-GB"/>
              </w:rPr>
              <w:t xml:space="preserve"> Study SGN35-011, an open </w:t>
            </w:r>
            <w:r w:rsidR="008B59F0" w:rsidRPr="00FF008A">
              <w:rPr>
                <w:rFonts w:asciiTheme="minorHAnsi" w:hAnsiTheme="minorHAnsi"/>
                <w:sz w:val="20"/>
                <w:szCs w:val="20"/>
                <w:lang w:val="en-GB"/>
              </w:rPr>
              <w:t>label, 3-arm study exploring combinations of brentuximab vedotin with cyclophosphamide, doxorubicin, vincristine, and prednisone (CHOP) or cyclophosphamide, doxorubicin, and prednisone (CH-P) in patients with treatment-naïve CD30+ mature T-cell and NK cell neoplasms, led to the selection of brentuximab vedotin in combination with CH-P as a regimen for further study. Interim data from the Study SGN35-011 were referen</w:t>
            </w:r>
            <w:r w:rsidR="00803939" w:rsidRPr="00FF008A">
              <w:rPr>
                <w:rFonts w:asciiTheme="minorHAnsi" w:hAnsiTheme="minorHAnsi"/>
                <w:sz w:val="20"/>
                <w:szCs w:val="20"/>
                <w:lang w:val="en-GB"/>
              </w:rPr>
              <w:t>ced in the following 2 articles.</w:t>
            </w:r>
            <w:r w:rsidR="00803939" w:rsidRPr="00FF008A">
              <w:rPr>
                <w:rStyle w:val="FootnoteReference"/>
                <w:rFonts w:asciiTheme="minorHAnsi" w:hAnsiTheme="minorHAnsi"/>
                <w:sz w:val="20"/>
                <w:szCs w:val="20"/>
                <w:lang w:val="en-GB"/>
              </w:rPr>
              <w:footnoteReference w:id="17"/>
            </w:r>
            <w:r w:rsidRPr="00FF008A">
              <w:rPr>
                <w:rFonts w:asciiTheme="minorHAnsi" w:hAnsiTheme="minorHAnsi"/>
                <w:sz w:val="20"/>
                <w:szCs w:val="20"/>
                <w:lang w:val="en-GB"/>
              </w:rPr>
              <w:t xml:space="preserve"> </w:t>
            </w:r>
            <w:r w:rsidR="008B59F0" w:rsidRPr="00FF008A">
              <w:rPr>
                <w:rFonts w:asciiTheme="minorHAnsi" w:hAnsiTheme="minorHAnsi"/>
                <w:sz w:val="20"/>
                <w:szCs w:val="20"/>
                <w:lang w:val="en-GB"/>
              </w:rPr>
              <w:t xml:space="preserve">This </w:t>
            </w:r>
            <w:r w:rsidRPr="00FF008A">
              <w:rPr>
                <w:rFonts w:asciiTheme="minorHAnsi" w:hAnsiTheme="minorHAnsi"/>
                <w:sz w:val="20"/>
                <w:szCs w:val="20"/>
                <w:lang w:val="en-GB"/>
              </w:rPr>
              <w:t>P</w:t>
            </w:r>
            <w:r w:rsidR="00CA229C" w:rsidRPr="00FF008A">
              <w:rPr>
                <w:rFonts w:asciiTheme="minorHAnsi" w:hAnsiTheme="minorHAnsi"/>
                <w:sz w:val="20"/>
                <w:szCs w:val="20"/>
                <w:lang w:val="en-GB"/>
              </w:rPr>
              <w:t xml:space="preserve">hase I open </w:t>
            </w:r>
            <w:r w:rsidR="008B59F0" w:rsidRPr="00FF008A">
              <w:rPr>
                <w:rFonts w:asciiTheme="minorHAnsi" w:hAnsiTheme="minorHAnsi"/>
                <w:sz w:val="20"/>
                <w:szCs w:val="20"/>
                <w:lang w:val="en-GB"/>
              </w:rPr>
              <w:t>label study evaluated the safety and activity of brentuximab vedotin administered sequentially with C</w:t>
            </w:r>
            <w:r w:rsidRPr="00FF008A">
              <w:rPr>
                <w:rFonts w:asciiTheme="minorHAnsi" w:hAnsiTheme="minorHAnsi"/>
                <w:sz w:val="20"/>
                <w:szCs w:val="20"/>
                <w:lang w:val="en-GB"/>
              </w:rPr>
              <w:t>HOP or in combination with CH-</w:t>
            </w:r>
            <w:r w:rsidR="008B59F0" w:rsidRPr="00FF008A">
              <w:rPr>
                <w:rFonts w:asciiTheme="minorHAnsi" w:hAnsiTheme="minorHAnsi"/>
                <w:sz w:val="20"/>
                <w:szCs w:val="20"/>
                <w:lang w:val="en-GB"/>
              </w:rPr>
              <w:t>P (CHOP without vincristine) as front-line treatment in patients with CD30+ PTCL. Patients received sequential treatment (once every 3 week</w:t>
            </w:r>
            <w:r w:rsidRPr="00FF008A">
              <w:rPr>
                <w:rFonts w:asciiTheme="minorHAnsi" w:hAnsiTheme="minorHAnsi"/>
                <w:sz w:val="20"/>
                <w:szCs w:val="20"/>
                <w:lang w:val="en-GB"/>
              </w:rPr>
              <w:t>s) with brentuximab vedotin 1.8 </w:t>
            </w:r>
            <w:r w:rsidR="008B59F0" w:rsidRPr="00FF008A">
              <w:rPr>
                <w:rFonts w:asciiTheme="minorHAnsi" w:hAnsiTheme="minorHAnsi"/>
                <w:sz w:val="20"/>
                <w:szCs w:val="20"/>
                <w:lang w:val="en-GB"/>
              </w:rPr>
              <w:t>mg/kg (2 treatme</w:t>
            </w:r>
            <w:r w:rsidRPr="00FF008A">
              <w:rPr>
                <w:rFonts w:asciiTheme="minorHAnsi" w:hAnsiTheme="minorHAnsi"/>
                <w:sz w:val="20"/>
                <w:szCs w:val="20"/>
                <w:lang w:val="en-GB"/>
              </w:rPr>
              <w:t>nt cycles) followed by CHOP (6 </w:t>
            </w:r>
            <w:r w:rsidR="008B59F0" w:rsidRPr="00FF008A">
              <w:rPr>
                <w:rFonts w:asciiTheme="minorHAnsi" w:hAnsiTheme="minorHAnsi"/>
                <w:sz w:val="20"/>
                <w:szCs w:val="20"/>
                <w:lang w:val="en-GB"/>
              </w:rPr>
              <w:t>cycles) or b</w:t>
            </w:r>
            <w:r w:rsidRPr="00FF008A">
              <w:rPr>
                <w:rFonts w:asciiTheme="minorHAnsi" w:hAnsiTheme="minorHAnsi"/>
                <w:sz w:val="20"/>
                <w:szCs w:val="20"/>
                <w:lang w:val="en-GB"/>
              </w:rPr>
              <w:t>rentuximab vedotin 1.8 mg/kg + CH-</w:t>
            </w:r>
            <w:r w:rsidR="008B59F0" w:rsidRPr="00FF008A">
              <w:rPr>
                <w:rFonts w:asciiTheme="minorHAnsi" w:hAnsiTheme="minorHAnsi"/>
                <w:sz w:val="20"/>
                <w:szCs w:val="20"/>
                <w:lang w:val="en-GB"/>
              </w:rPr>
              <w:t>P (</w:t>
            </w:r>
            <w:r w:rsidRPr="00FF008A">
              <w:rPr>
                <w:rFonts w:asciiTheme="minorHAnsi" w:hAnsiTheme="minorHAnsi"/>
                <w:sz w:val="20"/>
                <w:szCs w:val="20"/>
                <w:lang w:val="en-GB"/>
              </w:rPr>
              <w:t xml:space="preserve">brentuximab vedotin </w:t>
            </w:r>
            <w:r w:rsidR="008B59F0" w:rsidRPr="00FF008A">
              <w:rPr>
                <w:rFonts w:asciiTheme="minorHAnsi" w:hAnsiTheme="minorHAnsi"/>
                <w:sz w:val="20"/>
                <w:szCs w:val="20"/>
                <w:lang w:val="en-GB"/>
              </w:rPr>
              <w:t>+</w:t>
            </w:r>
            <w:r w:rsidRPr="00FF008A">
              <w:rPr>
                <w:rFonts w:asciiTheme="minorHAnsi" w:hAnsiTheme="minorHAnsi"/>
                <w:sz w:val="20"/>
                <w:szCs w:val="20"/>
                <w:lang w:val="en-GB"/>
              </w:rPr>
              <w:t xml:space="preserve"> CH-</w:t>
            </w:r>
            <w:r w:rsidR="008B59F0" w:rsidRPr="00FF008A">
              <w:rPr>
                <w:rFonts w:asciiTheme="minorHAnsi" w:hAnsiTheme="minorHAnsi"/>
                <w:sz w:val="20"/>
                <w:szCs w:val="20"/>
                <w:lang w:val="en-GB"/>
              </w:rPr>
              <w:t>P) for 6 cycles (once every 3 wee</w:t>
            </w:r>
            <w:r w:rsidRPr="00FF008A">
              <w:rPr>
                <w:rFonts w:asciiTheme="minorHAnsi" w:hAnsiTheme="minorHAnsi"/>
                <w:sz w:val="20"/>
                <w:szCs w:val="20"/>
                <w:lang w:val="en-GB"/>
              </w:rPr>
              <w:t xml:space="preserve">ks). Responders received single </w:t>
            </w:r>
            <w:r w:rsidR="008B59F0" w:rsidRPr="00FF008A">
              <w:rPr>
                <w:rFonts w:asciiTheme="minorHAnsi" w:hAnsiTheme="minorHAnsi"/>
                <w:sz w:val="20"/>
                <w:szCs w:val="20"/>
                <w:lang w:val="en-GB"/>
              </w:rPr>
              <w:t>agent brentuximab vedotin for 8 to 10 additional cycles (total of 16 treatment cycles). Again, both treatment arms in this trial co</w:t>
            </w:r>
            <w:r w:rsidRPr="00FF008A">
              <w:rPr>
                <w:rFonts w:asciiTheme="minorHAnsi" w:hAnsiTheme="minorHAnsi"/>
                <w:sz w:val="20"/>
                <w:szCs w:val="20"/>
                <w:lang w:val="en-GB"/>
              </w:rPr>
              <w:t>ntained brentuximab vedotin</w:t>
            </w:r>
            <w:r w:rsidR="008B59F0" w:rsidRPr="00FF008A">
              <w:rPr>
                <w:rFonts w:asciiTheme="minorHAnsi" w:hAnsiTheme="minorHAnsi"/>
                <w:sz w:val="20"/>
                <w:szCs w:val="20"/>
                <w:lang w:val="en-GB"/>
              </w:rPr>
              <w:t xml:space="preserve"> plus an alkylator agent (cyclophosphamide) and, therefore, the study lacks a comparator group to evaluate whether the combination was associated with an increased risk.</w:t>
            </w:r>
          </w:p>
          <w:p w14:paraId="623F9E36" w14:textId="0B607A86"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 xml:space="preserve">The primary objective of Study SGN35-011 is the assessment of safety. Secondary endpoints include </w:t>
            </w:r>
            <w:r w:rsidR="00123DBF" w:rsidRPr="00FF008A">
              <w:rPr>
                <w:rFonts w:asciiTheme="minorHAnsi" w:hAnsiTheme="minorHAnsi"/>
                <w:sz w:val="20"/>
                <w:szCs w:val="20"/>
                <w:lang w:val="en-GB"/>
              </w:rPr>
              <w:t>objective response rate (</w:t>
            </w:r>
            <w:r w:rsidRPr="00FF008A">
              <w:rPr>
                <w:rFonts w:asciiTheme="minorHAnsi" w:hAnsiTheme="minorHAnsi"/>
                <w:sz w:val="20"/>
                <w:szCs w:val="20"/>
                <w:lang w:val="en-GB"/>
              </w:rPr>
              <w:t>ORR</w:t>
            </w:r>
            <w:r w:rsidR="00123DBF" w:rsidRPr="00FF008A">
              <w:rPr>
                <w:rFonts w:asciiTheme="minorHAnsi" w:hAnsiTheme="minorHAnsi"/>
                <w:sz w:val="20"/>
                <w:szCs w:val="20"/>
                <w:lang w:val="en-GB"/>
              </w:rPr>
              <w:t>)</w:t>
            </w:r>
            <w:r w:rsidRPr="00FF008A">
              <w:rPr>
                <w:rFonts w:asciiTheme="minorHAnsi" w:hAnsiTheme="minorHAnsi"/>
                <w:sz w:val="20"/>
                <w:szCs w:val="20"/>
                <w:lang w:val="en-GB"/>
              </w:rPr>
              <w:t>, complete remission (CR) rate, PFS rate, and OS. There are no pre</w:t>
            </w:r>
            <w:r w:rsidR="003F50B8" w:rsidRPr="00FF008A">
              <w:rPr>
                <w:rFonts w:asciiTheme="minorHAnsi" w:hAnsiTheme="minorHAnsi"/>
                <w:sz w:val="20"/>
                <w:szCs w:val="20"/>
                <w:lang w:val="en-GB"/>
              </w:rPr>
              <w:t>-</w:t>
            </w:r>
            <w:r w:rsidRPr="00FF008A">
              <w:rPr>
                <w:rFonts w:asciiTheme="minorHAnsi" w:hAnsiTheme="minorHAnsi"/>
                <w:sz w:val="20"/>
                <w:szCs w:val="20"/>
                <w:lang w:val="en-GB"/>
              </w:rPr>
              <w:t>specified comparisons of the 2 treatment arms. After sequential treatment, 11 (85%) of 13 patients achieved an objective response (CR rate, 62%; estimated 1-year PFS rate, 77%).</w:t>
            </w:r>
            <w:r w:rsidR="00803939" w:rsidRPr="00FF008A">
              <w:rPr>
                <w:rFonts w:asciiTheme="minorHAnsi" w:hAnsiTheme="minorHAnsi"/>
                <w:sz w:val="20"/>
                <w:szCs w:val="20"/>
                <w:lang w:val="en-GB"/>
              </w:rPr>
              <w:t xml:space="preserve"> </w:t>
            </w:r>
            <w:r w:rsidRPr="00FF008A">
              <w:rPr>
                <w:rFonts w:asciiTheme="minorHAnsi" w:hAnsiTheme="minorHAnsi"/>
                <w:sz w:val="20"/>
                <w:szCs w:val="20"/>
                <w:lang w:val="en-GB"/>
              </w:rPr>
              <w:t>Grade 3/4 AEs have occurred in 8 (62%) of the 13 treated patients. At the end of combination treatment, all patients (n</w:t>
            </w:r>
            <w:r w:rsidR="00CA229C"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CA229C" w:rsidRPr="00FF008A">
              <w:rPr>
                <w:rFonts w:asciiTheme="minorHAnsi" w:hAnsiTheme="minorHAnsi"/>
                <w:sz w:val="20"/>
                <w:szCs w:val="20"/>
                <w:lang w:val="en-GB"/>
              </w:rPr>
              <w:t xml:space="preserve"> </w:t>
            </w:r>
            <w:r w:rsidRPr="00FF008A">
              <w:rPr>
                <w:rFonts w:asciiTheme="minorHAnsi" w:hAnsiTheme="minorHAnsi"/>
                <w:sz w:val="20"/>
                <w:szCs w:val="20"/>
                <w:lang w:val="en-GB"/>
              </w:rPr>
              <w:t>26) have achieved an objective response (CR rate, 88%; estimated</w:t>
            </w:r>
            <w:r w:rsidR="00081D51" w:rsidRPr="00FF008A">
              <w:rPr>
                <w:rFonts w:asciiTheme="minorHAnsi" w:hAnsiTheme="minorHAnsi"/>
                <w:sz w:val="20"/>
                <w:szCs w:val="20"/>
                <w:lang w:val="en-GB"/>
              </w:rPr>
              <w:t xml:space="preserve"> </w:t>
            </w:r>
            <w:r w:rsidRPr="00FF008A">
              <w:rPr>
                <w:rFonts w:asciiTheme="minorHAnsi" w:hAnsiTheme="minorHAnsi"/>
                <w:sz w:val="20"/>
                <w:szCs w:val="20"/>
                <w:lang w:val="en-GB"/>
              </w:rPr>
              <w:t>1-year PFS rate, 71%). All 7 patients who did not have anaplastic large-cell lymphoma achieved CR.</w:t>
            </w:r>
          </w:p>
          <w:p w14:paraId="4D2C1826" w14:textId="5EC07CA6"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Grade 3/4 AEs reported in ≥</w:t>
            </w:r>
            <w:r w:rsidR="00CA229C" w:rsidRPr="00FF008A">
              <w:rPr>
                <w:rFonts w:asciiTheme="minorHAnsi" w:hAnsiTheme="minorHAnsi"/>
                <w:sz w:val="20"/>
                <w:szCs w:val="20"/>
                <w:lang w:val="en-GB"/>
              </w:rPr>
              <w:t xml:space="preserve"> </w:t>
            </w:r>
            <w:r w:rsidRPr="00FF008A">
              <w:rPr>
                <w:rFonts w:asciiTheme="minorHAnsi" w:hAnsiTheme="minorHAnsi"/>
                <w:sz w:val="20"/>
                <w:szCs w:val="20"/>
                <w:lang w:val="en-GB"/>
              </w:rPr>
              <w:t>10%</w:t>
            </w:r>
            <w:r w:rsidR="00CA229C" w:rsidRPr="00FF008A">
              <w:rPr>
                <w:rFonts w:asciiTheme="minorHAnsi" w:hAnsiTheme="minorHAnsi"/>
                <w:sz w:val="20"/>
                <w:szCs w:val="20"/>
                <w:lang w:val="en-GB"/>
              </w:rPr>
              <w:t xml:space="preserve"> of patients in the combination </w:t>
            </w:r>
            <w:r w:rsidRPr="00FF008A">
              <w:rPr>
                <w:rFonts w:asciiTheme="minorHAnsi" w:hAnsiTheme="minorHAnsi"/>
                <w:sz w:val="20"/>
                <w:szCs w:val="20"/>
                <w:lang w:val="en-GB"/>
              </w:rPr>
              <w:t xml:space="preserve">treatment group included febrile </w:t>
            </w:r>
            <w:r w:rsidRPr="00FF008A">
              <w:rPr>
                <w:rFonts w:asciiTheme="minorHAnsi" w:hAnsiTheme="minorHAnsi"/>
                <w:sz w:val="20"/>
                <w:szCs w:val="20"/>
                <w:lang w:val="en-GB"/>
              </w:rPr>
              <w:lastRenderedPageBreak/>
              <w:t>neutrop</w:t>
            </w:r>
            <w:r w:rsidR="00CA229C" w:rsidRPr="00FF008A">
              <w:rPr>
                <w:rFonts w:asciiTheme="minorHAnsi" w:hAnsiTheme="minorHAnsi"/>
                <w:sz w:val="20"/>
                <w:szCs w:val="20"/>
                <w:lang w:val="en-GB"/>
              </w:rPr>
              <w:t>a</w:t>
            </w:r>
            <w:r w:rsidRPr="00FF008A">
              <w:rPr>
                <w:rFonts w:asciiTheme="minorHAnsi" w:hAnsiTheme="minorHAnsi"/>
                <w:sz w:val="20"/>
                <w:szCs w:val="20"/>
                <w:lang w:val="en-GB"/>
              </w:rPr>
              <w:t>enia (31%), neutrop</w:t>
            </w:r>
            <w:r w:rsidR="00CA229C" w:rsidRPr="00FF008A">
              <w:rPr>
                <w:rFonts w:asciiTheme="minorHAnsi" w:hAnsiTheme="minorHAnsi"/>
                <w:sz w:val="20"/>
                <w:szCs w:val="20"/>
                <w:lang w:val="en-GB"/>
              </w:rPr>
              <w:t>a</w:t>
            </w:r>
            <w:r w:rsidRPr="00FF008A">
              <w:rPr>
                <w:rFonts w:asciiTheme="minorHAnsi" w:hAnsiTheme="minorHAnsi"/>
                <w:sz w:val="20"/>
                <w:szCs w:val="20"/>
                <w:lang w:val="en-GB"/>
              </w:rPr>
              <w:t>enia (23%), anaemia (15%), and pulmonary embolism (12%).</w:t>
            </w:r>
            <w:r w:rsidR="00803939" w:rsidRPr="00FF008A">
              <w:rPr>
                <w:rFonts w:asciiTheme="minorHAnsi" w:hAnsiTheme="minorHAnsi"/>
                <w:sz w:val="20"/>
                <w:szCs w:val="20"/>
                <w:lang w:val="en-GB"/>
              </w:rPr>
              <w:t xml:space="preserve"> </w:t>
            </w:r>
            <w:r w:rsidRPr="00FF008A">
              <w:rPr>
                <w:rFonts w:asciiTheme="minorHAnsi" w:hAnsiTheme="minorHAnsi"/>
                <w:sz w:val="20"/>
                <w:szCs w:val="20"/>
                <w:lang w:val="en-GB"/>
              </w:rPr>
              <w:t>Based on study results, it was concluded that brentuximab vedotin, when administered sequentially with</w:t>
            </w:r>
            <w:r w:rsidR="00CA229C" w:rsidRPr="00FF008A">
              <w:rPr>
                <w:rFonts w:asciiTheme="minorHAnsi" w:hAnsiTheme="minorHAnsi"/>
                <w:sz w:val="20"/>
                <w:szCs w:val="20"/>
                <w:lang w:val="en-GB"/>
              </w:rPr>
              <w:t xml:space="preserve"> CHOP or in combination with CH-</w:t>
            </w:r>
            <w:r w:rsidRPr="00FF008A">
              <w:rPr>
                <w:rFonts w:asciiTheme="minorHAnsi" w:hAnsiTheme="minorHAnsi"/>
                <w:sz w:val="20"/>
                <w:szCs w:val="20"/>
                <w:lang w:val="en-GB"/>
              </w:rPr>
              <w:t>P, had a manageable safety profile and exhibited substantial antitumor activity in newly diagnosed patients with CD30+ PTCL.</w:t>
            </w:r>
            <w:r w:rsidR="00803939" w:rsidRPr="00FF008A">
              <w:rPr>
                <w:rFonts w:asciiTheme="minorHAnsi" w:hAnsiTheme="minorHAnsi"/>
                <w:sz w:val="20"/>
                <w:szCs w:val="20"/>
                <w:lang w:val="en-GB"/>
              </w:rPr>
              <w:t xml:space="preserve"> T</w:t>
            </w:r>
            <w:r w:rsidRPr="00FF008A">
              <w:rPr>
                <w:rFonts w:asciiTheme="minorHAnsi" w:hAnsiTheme="minorHAnsi"/>
                <w:sz w:val="20"/>
                <w:szCs w:val="20"/>
                <w:lang w:val="en-GB"/>
              </w:rPr>
              <w:t>he data from this study supporte</w:t>
            </w:r>
            <w:r w:rsidR="00081D51" w:rsidRPr="00FF008A">
              <w:rPr>
                <w:rFonts w:asciiTheme="minorHAnsi" w:hAnsiTheme="minorHAnsi"/>
                <w:sz w:val="20"/>
                <w:szCs w:val="20"/>
                <w:lang w:val="en-GB"/>
              </w:rPr>
              <w:t xml:space="preserve">d the initiation of the company </w:t>
            </w:r>
            <w:r w:rsidRPr="00FF008A">
              <w:rPr>
                <w:rFonts w:asciiTheme="minorHAnsi" w:hAnsiTheme="minorHAnsi"/>
                <w:sz w:val="20"/>
                <w:szCs w:val="20"/>
                <w:lang w:val="en-GB"/>
              </w:rPr>
              <w:t xml:space="preserve">sponsored </w:t>
            </w:r>
            <w:r w:rsidR="00081D51" w:rsidRPr="00FF008A">
              <w:rPr>
                <w:rFonts w:asciiTheme="minorHAnsi" w:hAnsiTheme="minorHAnsi"/>
                <w:sz w:val="20"/>
                <w:szCs w:val="20"/>
                <w:lang w:val="en-GB"/>
              </w:rPr>
              <w:t>Phase </w:t>
            </w:r>
            <w:r w:rsidR="00CA229C" w:rsidRPr="00FF008A">
              <w:rPr>
                <w:rFonts w:asciiTheme="minorHAnsi" w:hAnsiTheme="minorHAnsi"/>
                <w:sz w:val="20"/>
                <w:szCs w:val="20"/>
                <w:lang w:val="en-GB"/>
              </w:rPr>
              <w:t>III</w:t>
            </w:r>
            <w:r w:rsidRPr="00FF008A">
              <w:rPr>
                <w:rFonts w:asciiTheme="minorHAnsi" w:hAnsiTheme="minorHAnsi"/>
                <w:sz w:val="20"/>
                <w:szCs w:val="20"/>
                <w:lang w:val="en-GB"/>
              </w:rPr>
              <w:t xml:space="preserve"> </w:t>
            </w:r>
            <w:r w:rsidR="00081D51" w:rsidRPr="00FF008A">
              <w:rPr>
                <w:rFonts w:asciiTheme="minorHAnsi" w:hAnsiTheme="minorHAnsi"/>
                <w:sz w:val="20"/>
                <w:szCs w:val="20"/>
                <w:lang w:val="en-GB"/>
              </w:rPr>
              <w:t xml:space="preserve">Study SGN35-014 that compares brentuximab vedotin </w:t>
            </w:r>
            <w:r w:rsidRPr="00FF008A">
              <w:rPr>
                <w:rFonts w:asciiTheme="minorHAnsi" w:hAnsiTheme="minorHAnsi"/>
                <w:sz w:val="20"/>
                <w:szCs w:val="20"/>
                <w:lang w:val="en-GB"/>
              </w:rPr>
              <w:t>+</w:t>
            </w:r>
            <w:r w:rsidR="00081D51" w:rsidRPr="00FF008A">
              <w:rPr>
                <w:rFonts w:asciiTheme="minorHAnsi" w:hAnsiTheme="minorHAnsi"/>
                <w:sz w:val="20"/>
                <w:szCs w:val="20"/>
                <w:lang w:val="en-GB"/>
              </w:rPr>
              <w:t xml:space="preserve"> </w:t>
            </w:r>
            <w:r w:rsidRPr="00FF008A">
              <w:rPr>
                <w:rFonts w:asciiTheme="minorHAnsi" w:hAnsiTheme="minorHAnsi"/>
                <w:sz w:val="20"/>
                <w:szCs w:val="20"/>
                <w:lang w:val="en-GB"/>
              </w:rPr>
              <w:t>CH</w:t>
            </w:r>
            <w:r w:rsidR="00081D51" w:rsidRPr="00FF008A">
              <w:rPr>
                <w:rFonts w:asciiTheme="minorHAnsi" w:hAnsiTheme="minorHAnsi"/>
                <w:sz w:val="20"/>
                <w:szCs w:val="20"/>
                <w:lang w:val="en-GB"/>
              </w:rPr>
              <w:t>-</w:t>
            </w:r>
            <w:r w:rsidRPr="00FF008A">
              <w:rPr>
                <w:rFonts w:asciiTheme="minorHAnsi" w:hAnsiTheme="minorHAnsi"/>
                <w:sz w:val="20"/>
                <w:szCs w:val="20"/>
                <w:lang w:val="en-GB"/>
              </w:rPr>
              <w:t>P with CHOP.</w:t>
            </w:r>
            <w:r w:rsidR="00081D51" w:rsidRPr="00FF008A">
              <w:rPr>
                <w:rFonts w:asciiTheme="minorHAnsi" w:hAnsiTheme="minorHAnsi"/>
                <w:sz w:val="20"/>
                <w:szCs w:val="20"/>
                <w:lang w:val="en-GB"/>
              </w:rPr>
              <w:t xml:space="preserve"> </w:t>
            </w:r>
            <w:r w:rsidRPr="00FF008A">
              <w:rPr>
                <w:rFonts w:asciiTheme="minorHAnsi" w:hAnsiTheme="minorHAnsi"/>
                <w:sz w:val="20"/>
                <w:szCs w:val="20"/>
                <w:lang w:val="en-GB"/>
              </w:rPr>
              <w:t>Study SGN3</w:t>
            </w:r>
            <w:r w:rsidR="00CA229C" w:rsidRPr="00FF008A">
              <w:rPr>
                <w:rFonts w:asciiTheme="minorHAnsi" w:hAnsiTheme="minorHAnsi"/>
                <w:sz w:val="20"/>
                <w:szCs w:val="20"/>
                <w:lang w:val="en-GB"/>
              </w:rPr>
              <w:t xml:space="preserve">5-014 in patients with mature T </w:t>
            </w:r>
            <w:r w:rsidRPr="00FF008A">
              <w:rPr>
                <w:rFonts w:asciiTheme="minorHAnsi" w:hAnsiTheme="minorHAnsi"/>
                <w:sz w:val="20"/>
                <w:szCs w:val="20"/>
                <w:lang w:val="en-GB"/>
              </w:rPr>
              <w:t xml:space="preserve">cell lymphoma </w:t>
            </w:r>
            <w:r w:rsidR="00CA229C" w:rsidRPr="00FF008A">
              <w:rPr>
                <w:rFonts w:asciiTheme="minorHAnsi" w:hAnsiTheme="minorHAnsi"/>
                <w:sz w:val="20"/>
                <w:szCs w:val="20"/>
                <w:lang w:val="en-GB"/>
              </w:rPr>
              <w:t xml:space="preserve">is a randomised, double </w:t>
            </w:r>
            <w:r w:rsidR="00803939" w:rsidRPr="00FF008A">
              <w:rPr>
                <w:rFonts w:asciiTheme="minorHAnsi" w:hAnsiTheme="minorHAnsi"/>
                <w:sz w:val="20"/>
                <w:szCs w:val="20"/>
                <w:lang w:val="en-GB"/>
              </w:rPr>
              <w:t>blind, Phase III</w:t>
            </w:r>
            <w:r w:rsidRPr="00FF008A">
              <w:rPr>
                <w:rFonts w:asciiTheme="minorHAnsi" w:hAnsiTheme="minorHAnsi"/>
                <w:sz w:val="20"/>
                <w:szCs w:val="20"/>
                <w:lang w:val="en-GB"/>
              </w:rPr>
              <w:t xml:space="preserve"> study of brentuximab vedotin in combination with CH-P versus CHOP in patients with</w:t>
            </w:r>
            <w:r w:rsidR="00CA229C" w:rsidRPr="00FF008A">
              <w:rPr>
                <w:rFonts w:asciiTheme="minorHAnsi" w:hAnsiTheme="minorHAnsi"/>
                <w:sz w:val="20"/>
                <w:szCs w:val="20"/>
                <w:lang w:val="en-GB"/>
              </w:rPr>
              <w:t xml:space="preserve"> treatment-naïve CD30+ mature T </w:t>
            </w:r>
            <w:r w:rsidRPr="00FF008A">
              <w:rPr>
                <w:rFonts w:asciiTheme="minorHAnsi" w:hAnsiTheme="minorHAnsi"/>
                <w:sz w:val="20"/>
                <w:szCs w:val="20"/>
                <w:lang w:val="en-GB"/>
              </w:rPr>
              <w:t>cell lymphomas.</w:t>
            </w:r>
            <w:r w:rsidR="00604D46" w:rsidRPr="00FF008A">
              <w:rPr>
                <w:rStyle w:val="FootnoteReference"/>
                <w:rFonts w:asciiTheme="minorHAnsi" w:hAnsiTheme="minorHAnsi"/>
                <w:sz w:val="20"/>
                <w:szCs w:val="20"/>
                <w:lang w:val="en-GB"/>
              </w:rPr>
              <w:footnoteReference w:id="18"/>
            </w:r>
            <w:r w:rsidRPr="00FF008A">
              <w:rPr>
                <w:rFonts w:asciiTheme="minorHAnsi" w:hAnsiTheme="minorHAnsi"/>
                <w:sz w:val="20"/>
                <w:szCs w:val="20"/>
                <w:lang w:val="en-GB"/>
              </w:rPr>
              <w:t xml:space="preserve"> This recently initiated study uses a PFS primary endpoint and is anticipated to complete in 2017. The study is being monitored by an IDMC. No published reports are available at this time.</w:t>
            </w:r>
          </w:p>
          <w:p w14:paraId="351AD2DD" w14:textId="13E23447" w:rsidR="008B59F0" w:rsidRPr="00FF008A" w:rsidRDefault="00803939" w:rsidP="00604D46">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Investigator-i</w:t>
            </w:r>
            <w:r w:rsidR="008B59F0" w:rsidRPr="00FF008A">
              <w:rPr>
                <w:rFonts w:asciiTheme="minorHAnsi" w:hAnsiTheme="minorHAnsi"/>
                <w:sz w:val="20"/>
                <w:szCs w:val="20"/>
                <w:lang w:val="en-GB"/>
              </w:rPr>
              <w:t xml:space="preserve">nitiated Study X25001: Evidence of a </w:t>
            </w:r>
            <w:r w:rsidR="00604D46" w:rsidRPr="00FF008A">
              <w:rPr>
                <w:rFonts w:asciiTheme="minorHAnsi" w:hAnsiTheme="minorHAnsi"/>
                <w:sz w:val="20"/>
                <w:szCs w:val="20"/>
                <w:lang w:val="en-GB"/>
              </w:rPr>
              <w:t xml:space="preserve">manageable safety profile in combination with modified </w:t>
            </w:r>
            <w:r w:rsidR="00BC00B3" w:rsidRPr="00FF008A">
              <w:rPr>
                <w:rFonts w:asciiTheme="minorHAnsi" w:hAnsiTheme="minorHAnsi"/>
                <w:sz w:val="20"/>
                <w:szCs w:val="20"/>
                <w:lang w:val="en-GB"/>
              </w:rPr>
              <w:t>bleomycin, etoposide, doxorubicin, cyclophosphamide, vincristine, procarbazine, and prednisone (</w:t>
            </w:r>
            <w:r w:rsidR="008B59F0" w:rsidRPr="00FF008A">
              <w:rPr>
                <w:rFonts w:asciiTheme="minorHAnsi" w:hAnsiTheme="minorHAnsi"/>
                <w:sz w:val="20"/>
                <w:szCs w:val="20"/>
                <w:lang w:val="en-GB"/>
              </w:rPr>
              <w:t>BEACOPP</w:t>
            </w:r>
            <w:r w:rsidR="00BC00B3" w:rsidRPr="00FF008A">
              <w:rPr>
                <w:rFonts w:asciiTheme="minorHAnsi" w:hAnsiTheme="minorHAnsi"/>
                <w:sz w:val="20"/>
                <w:szCs w:val="20"/>
                <w:lang w:val="en-GB"/>
              </w:rPr>
              <w:t>)</w:t>
            </w:r>
            <w:r w:rsidR="00604D46" w:rsidRPr="00FF008A">
              <w:rPr>
                <w:rFonts w:asciiTheme="minorHAnsi" w:hAnsiTheme="minorHAnsi"/>
                <w:sz w:val="20"/>
                <w:szCs w:val="20"/>
                <w:lang w:val="en-GB"/>
              </w:rPr>
              <w:t xml:space="preserve"> r</w:t>
            </w:r>
            <w:r w:rsidR="008B59F0" w:rsidRPr="00FF008A">
              <w:rPr>
                <w:rFonts w:asciiTheme="minorHAnsi" w:hAnsiTheme="minorHAnsi"/>
                <w:sz w:val="20"/>
                <w:szCs w:val="20"/>
                <w:lang w:val="en-GB"/>
              </w:rPr>
              <w:t>egimens</w:t>
            </w:r>
            <w:r w:rsidR="00604D46" w:rsidRPr="00FF008A">
              <w:rPr>
                <w:rFonts w:asciiTheme="minorHAnsi" w:hAnsiTheme="minorHAnsi"/>
                <w:sz w:val="20"/>
                <w:szCs w:val="20"/>
                <w:lang w:val="en-GB"/>
              </w:rPr>
              <w:t>. Study X25001 is</w:t>
            </w:r>
            <w:r w:rsidR="008B59F0" w:rsidRPr="00FF008A">
              <w:rPr>
                <w:rFonts w:asciiTheme="minorHAnsi" w:hAnsiTheme="minorHAnsi"/>
                <w:sz w:val="20"/>
                <w:szCs w:val="20"/>
                <w:lang w:val="en-GB"/>
              </w:rPr>
              <w:t xml:space="preserve"> a randomi</w:t>
            </w:r>
            <w:r w:rsidR="00604D46" w:rsidRPr="00FF008A">
              <w:rPr>
                <w:rFonts w:asciiTheme="minorHAnsi" w:hAnsiTheme="minorHAnsi"/>
                <w:sz w:val="20"/>
                <w:szCs w:val="20"/>
                <w:lang w:val="en-GB"/>
              </w:rPr>
              <w:t>s</w:t>
            </w:r>
            <w:r w:rsidR="008B59F0" w:rsidRPr="00FF008A">
              <w:rPr>
                <w:rFonts w:asciiTheme="minorHAnsi" w:hAnsiTheme="minorHAnsi"/>
                <w:sz w:val="20"/>
                <w:szCs w:val="20"/>
                <w:lang w:val="en-GB"/>
              </w:rPr>
              <w:t xml:space="preserve">ed, </w:t>
            </w:r>
            <w:r w:rsidR="00604D46" w:rsidRPr="00FF008A">
              <w:rPr>
                <w:rFonts w:asciiTheme="minorHAnsi" w:hAnsiTheme="minorHAnsi"/>
                <w:sz w:val="20"/>
                <w:szCs w:val="20"/>
                <w:lang w:val="en-GB"/>
              </w:rPr>
              <w:t xml:space="preserve">Phase II, investigator </w:t>
            </w:r>
            <w:r w:rsidR="008B59F0" w:rsidRPr="00FF008A">
              <w:rPr>
                <w:rFonts w:asciiTheme="minorHAnsi" w:hAnsiTheme="minorHAnsi"/>
                <w:sz w:val="20"/>
                <w:szCs w:val="20"/>
                <w:lang w:val="en-GB"/>
              </w:rPr>
              <w:t>initiated study, is currently being conducted by the German Hodgkin Study Group to explore combinations of brentuximab vedotin with modified BEACOPP regimens versus escalated BEACOPP. Two experimental reg</w:t>
            </w:r>
            <w:r w:rsidR="00604D46" w:rsidRPr="00FF008A">
              <w:rPr>
                <w:rFonts w:asciiTheme="minorHAnsi" w:hAnsiTheme="minorHAnsi"/>
                <w:sz w:val="20"/>
                <w:szCs w:val="20"/>
                <w:lang w:val="en-GB"/>
              </w:rPr>
              <w:t xml:space="preserve">imens are under investigation: </w:t>
            </w:r>
            <w:r w:rsidR="008B59F0" w:rsidRPr="00FF008A">
              <w:rPr>
                <w:rFonts w:asciiTheme="minorHAnsi" w:hAnsiTheme="minorHAnsi"/>
                <w:sz w:val="20"/>
                <w:szCs w:val="20"/>
                <w:lang w:val="en-GB"/>
              </w:rPr>
              <w:t>brentuximab ved</w:t>
            </w:r>
            <w:r w:rsidR="00604D46" w:rsidRPr="00FF008A">
              <w:rPr>
                <w:rFonts w:asciiTheme="minorHAnsi" w:hAnsiTheme="minorHAnsi"/>
                <w:sz w:val="20"/>
                <w:szCs w:val="20"/>
                <w:lang w:val="en-GB"/>
              </w:rPr>
              <w:t>otin plus etoposide, adriamycin</w:t>
            </w:r>
            <w:r w:rsidR="008B59F0" w:rsidRPr="00FF008A">
              <w:rPr>
                <w:rFonts w:asciiTheme="minorHAnsi" w:hAnsiTheme="minorHAnsi"/>
                <w:sz w:val="20"/>
                <w:szCs w:val="20"/>
                <w:lang w:val="en-GB"/>
              </w:rPr>
              <w:t>, cyclophosphamide,</w:t>
            </w:r>
            <w:r w:rsidR="00604D46" w:rsidRPr="00FF008A">
              <w:rPr>
                <w:rFonts w:asciiTheme="minorHAnsi" w:hAnsiTheme="minorHAnsi"/>
                <w:sz w:val="20"/>
                <w:szCs w:val="20"/>
                <w:lang w:val="en-GB"/>
              </w:rPr>
              <w:t xml:space="preserve"> </w:t>
            </w:r>
            <w:r w:rsidR="008B59F0" w:rsidRPr="00FF008A">
              <w:rPr>
                <w:rFonts w:asciiTheme="minorHAnsi" w:hAnsiTheme="minorHAnsi"/>
                <w:sz w:val="20"/>
                <w:szCs w:val="20"/>
                <w:lang w:val="en-GB"/>
              </w:rPr>
              <w:t>procarba</w:t>
            </w:r>
            <w:r w:rsidR="00604D46" w:rsidRPr="00FF008A">
              <w:rPr>
                <w:rFonts w:asciiTheme="minorHAnsi" w:hAnsiTheme="minorHAnsi"/>
                <w:sz w:val="20"/>
                <w:szCs w:val="20"/>
                <w:lang w:val="en-GB"/>
              </w:rPr>
              <w:t>zine, and prednisone (BrECAPP); and</w:t>
            </w:r>
            <w:r w:rsidR="008B59F0" w:rsidRPr="00FF008A">
              <w:rPr>
                <w:rFonts w:asciiTheme="minorHAnsi" w:hAnsiTheme="minorHAnsi"/>
                <w:sz w:val="20"/>
                <w:szCs w:val="20"/>
                <w:lang w:val="en-GB"/>
              </w:rPr>
              <w:t xml:space="preserve"> brentuximab ved</w:t>
            </w:r>
            <w:r w:rsidR="00604D46" w:rsidRPr="00FF008A">
              <w:rPr>
                <w:rFonts w:asciiTheme="minorHAnsi" w:hAnsiTheme="minorHAnsi"/>
                <w:sz w:val="20"/>
                <w:szCs w:val="20"/>
                <w:lang w:val="en-GB"/>
              </w:rPr>
              <w:t>otin plus etoposide, adriamycin</w:t>
            </w:r>
            <w:r w:rsidR="008B59F0" w:rsidRPr="00FF008A">
              <w:rPr>
                <w:rFonts w:asciiTheme="minorHAnsi" w:hAnsiTheme="minorHAnsi"/>
                <w:sz w:val="20"/>
                <w:szCs w:val="20"/>
                <w:lang w:val="en-GB"/>
              </w:rPr>
              <w:t xml:space="preserve">, cyclophosphamide, dacarbazine, and dexamethasone (BrECADD). This study is closed to enrolment. The following data </w:t>
            </w:r>
            <w:r w:rsidR="00081D51" w:rsidRPr="00FF008A">
              <w:rPr>
                <w:rFonts w:asciiTheme="minorHAnsi" w:hAnsiTheme="minorHAnsi"/>
                <w:sz w:val="20"/>
                <w:szCs w:val="20"/>
                <w:lang w:val="en-GB"/>
              </w:rPr>
              <w:t xml:space="preserve">[not included in this document] </w:t>
            </w:r>
            <w:r w:rsidR="008B59F0" w:rsidRPr="00FF008A">
              <w:rPr>
                <w:rFonts w:asciiTheme="minorHAnsi" w:hAnsiTheme="minorHAnsi"/>
                <w:sz w:val="20"/>
                <w:szCs w:val="20"/>
                <w:lang w:val="en-GB"/>
              </w:rPr>
              <w:t xml:space="preserve">was presented at </w:t>
            </w:r>
            <w:r w:rsidR="00081D51" w:rsidRPr="00FF008A">
              <w:rPr>
                <w:rFonts w:asciiTheme="minorHAnsi" w:hAnsiTheme="minorHAnsi"/>
                <w:sz w:val="20"/>
                <w:szCs w:val="20"/>
                <w:lang w:val="en-GB"/>
              </w:rPr>
              <w:t xml:space="preserve">American Society of Hematology conference </w:t>
            </w:r>
            <w:r w:rsidR="008B59F0" w:rsidRPr="00FF008A">
              <w:rPr>
                <w:rFonts w:asciiTheme="minorHAnsi" w:hAnsiTheme="minorHAnsi"/>
                <w:sz w:val="20"/>
                <w:szCs w:val="20"/>
                <w:lang w:val="en-GB"/>
              </w:rPr>
              <w:t>in Dec</w:t>
            </w:r>
            <w:r w:rsidR="00604D46" w:rsidRPr="00FF008A">
              <w:rPr>
                <w:rFonts w:asciiTheme="minorHAnsi" w:hAnsiTheme="minorHAnsi"/>
                <w:sz w:val="20"/>
                <w:szCs w:val="20"/>
                <w:lang w:val="en-GB"/>
              </w:rPr>
              <w:t>ember</w:t>
            </w:r>
            <w:r w:rsidR="008B59F0" w:rsidRPr="00FF008A">
              <w:rPr>
                <w:rFonts w:asciiTheme="minorHAnsi" w:hAnsiTheme="minorHAnsi"/>
                <w:sz w:val="20"/>
                <w:szCs w:val="20"/>
                <w:lang w:val="en-GB"/>
              </w:rPr>
              <w:t xml:space="preserve"> </w:t>
            </w:r>
            <w:r w:rsidR="00BC00B3" w:rsidRPr="00FF008A">
              <w:rPr>
                <w:rFonts w:asciiTheme="minorHAnsi" w:hAnsiTheme="minorHAnsi"/>
                <w:sz w:val="20"/>
                <w:szCs w:val="20"/>
                <w:lang w:val="en-GB"/>
              </w:rPr>
              <w:t>2015.</w:t>
            </w:r>
          </w:p>
          <w:p w14:paraId="61183503" w14:textId="1FBBB1DE"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i/>
                <w:sz w:val="20"/>
                <w:szCs w:val="20"/>
                <w:lang w:val="en-GB"/>
              </w:rPr>
              <w:t>Rationale</w:t>
            </w:r>
            <w:r w:rsidRPr="00FF008A">
              <w:rPr>
                <w:rFonts w:asciiTheme="minorHAnsi" w:hAnsiTheme="minorHAnsi"/>
                <w:sz w:val="20"/>
                <w:szCs w:val="20"/>
                <w:lang w:val="en-GB"/>
              </w:rPr>
              <w:t>: The intensified BEACOPP</w:t>
            </w:r>
            <w:r w:rsidR="00BC00B3" w:rsidRPr="00FF008A">
              <w:rPr>
                <w:rFonts w:asciiTheme="minorHAnsi" w:hAnsiTheme="minorHAnsi"/>
                <w:sz w:val="20"/>
                <w:szCs w:val="20"/>
                <w:lang w:val="en-GB"/>
              </w:rPr>
              <w:t xml:space="preserve"> escalated</w:t>
            </w:r>
            <w:r w:rsidRPr="00FF008A">
              <w:rPr>
                <w:rFonts w:asciiTheme="minorHAnsi" w:hAnsiTheme="minorHAnsi"/>
                <w:sz w:val="20"/>
                <w:szCs w:val="20"/>
                <w:lang w:val="en-GB"/>
              </w:rPr>
              <w:t xml:space="preserve"> regimen has substantially improved the survival of advanced stage HL patients. However, the efficacy of this regimen comes along with severe acute toxic</w:t>
            </w:r>
            <w:r w:rsidR="00BC00B3" w:rsidRPr="00FF008A">
              <w:rPr>
                <w:rFonts w:asciiTheme="minorHAnsi" w:hAnsiTheme="minorHAnsi"/>
                <w:sz w:val="20"/>
                <w:szCs w:val="20"/>
                <w:lang w:val="en-GB"/>
              </w:rPr>
              <w:t xml:space="preserve">ities. Brentuximab vedotin </w:t>
            </w:r>
            <w:r w:rsidRPr="00FF008A">
              <w:rPr>
                <w:rFonts w:asciiTheme="minorHAnsi" w:hAnsiTheme="minorHAnsi"/>
                <w:sz w:val="20"/>
                <w:szCs w:val="20"/>
                <w:lang w:val="en-GB"/>
              </w:rPr>
              <w:t xml:space="preserve">is an anti-CD30 directed </w:t>
            </w:r>
            <w:r w:rsidR="00BC00B3" w:rsidRPr="00FF008A">
              <w:rPr>
                <w:rFonts w:asciiTheme="minorHAnsi" w:hAnsiTheme="minorHAnsi"/>
                <w:sz w:val="20"/>
                <w:szCs w:val="20"/>
                <w:lang w:val="en-GB"/>
              </w:rPr>
              <w:t>ADC</w:t>
            </w:r>
            <w:r w:rsidRPr="00FF008A">
              <w:rPr>
                <w:rFonts w:asciiTheme="minorHAnsi" w:hAnsiTheme="minorHAnsi"/>
                <w:sz w:val="20"/>
                <w:szCs w:val="20"/>
                <w:lang w:val="en-GB"/>
              </w:rPr>
              <w:t xml:space="preserve"> that has shown very promising single-agent activity and good tolerability in relapsed/refractory HL. </w:t>
            </w:r>
            <w:r w:rsidR="00BC00B3" w:rsidRPr="00FF008A">
              <w:rPr>
                <w:rFonts w:asciiTheme="minorHAnsi" w:hAnsiTheme="minorHAnsi"/>
                <w:sz w:val="20"/>
                <w:szCs w:val="20"/>
                <w:lang w:val="en-GB"/>
              </w:rPr>
              <w:t>Introduction of</w:t>
            </w:r>
            <w:r w:rsidRPr="00FF008A">
              <w:rPr>
                <w:rFonts w:asciiTheme="minorHAnsi" w:hAnsiTheme="minorHAnsi"/>
                <w:sz w:val="20"/>
                <w:szCs w:val="20"/>
                <w:lang w:val="en-GB"/>
              </w:rPr>
              <w:t xml:space="preserve"> </w:t>
            </w:r>
            <w:r w:rsidR="00BC00B3" w:rsidRPr="00FF008A">
              <w:rPr>
                <w:rFonts w:asciiTheme="minorHAnsi" w:hAnsiTheme="minorHAnsi"/>
                <w:sz w:val="20"/>
                <w:szCs w:val="20"/>
                <w:lang w:val="en-GB"/>
              </w:rPr>
              <w:t>brentuximab vedotin</w:t>
            </w:r>
            <w:r w:rsidRPr="00FF008A">
              <w:rPr>
                <w:rFonts w:asciiTheme="minorHAnsi" w:hAnsiTheme="minorHAnsi"/>
                <w:sz w:val="20"/>
                <w:szCs w:val="20"/>
                <w:lang w:val="en-GB"/>
              </w:rPr>
              <w:t xml:space="preserve"> into the BEACOPP regimen in order to improve its toxicity profile while maintaining its efficacy.</w:t>
            </w:r>
          </w:p>
          <w:p w14:paraId="4C5836DA" w14:textId="735024C0"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i/>
                <w:sz w:val="20"/>
                <w:szCs w:val="20"/>
                <w:lang w:val="en-GB"/>
              </w:rPr>
              <w:t>Methods</w:t>
            </w:r>
            <w:r w:rsidRPr="00FF008A">
              <w:rPr>
                <w:rFonts w:asciiTheme="minorHAnsi" w:hAnsiTheme="minorHAnsi"/>
                <w:sz w:val="20"/>
                <w:szCs w:val="20"/>
                <w:lang w:val="en-GB"/>
              </w:rPr>
              <w:t xml:space="preserve">: Two modified BEACOPP regimens were </w:t>
            </w:r>
            <w:r w:rsidRPr="00FF008A">
              <w:rPr>
                <w:rFonts w:asciiTheme="minorHAnsi" w:hAnsiTheme="minorHAnsi"/>
                <w:sz w:val="20"/>
                <w:szCs w:val="20"/>
                <w:lang w:val="en-GB"/>
              </w:rPr>
              <w:lastRenderedPageBreak/>
              <w:t>developed. In a more conservative variant (BrECAPP</w:t>
            </w:r>
            <w:r w:rsidR="00BC00B3" w:rsidRPr="00FF008A">
              <w:rPr>
                <w:rFonts w:asciiTheme="minorHAnsi" w:hAnsiTheme="minorHAnsi"/>
                <w:sz w:val="20"/>
                <w:szCs w:val="20"/>
                <w:lang w:val="en-GB"/>
              </w:rPr>
              <w:t>), vincristine was replaced by brentuximab vedotin</w:t>
            </w:r>
            <w:r w:rsidRPr="00FF008A">
              <w:rPr>
                <w:rFonts w:asciiTheme="minorHAnsi" w:hAnsiTheme="minorHAnsi"/>
                <w:sz w:val="20"/>
                <w:szCs w:val="20"/>
                <w:lang w:val="en-GB"/>
              </w:rPr>
              <w:t xml:space="preserve"> and bleomycin omitted. A more experimental variant (BrECADD</w:t>
            </w:r>
            <w:r w:rsidR="00BC00B3" w:rsidRPr="00FF008A">
              <w:rPr>
                <w:rFonts w:asciiTheme="minorHAnsi" w:hAnsiTheme="minorHAnsi"/>
                <w:sz w:val="20"/>
                <w:szCs w:val="20"/>
                <w:lang w:val="en-GB"/>
              </w:rPr>
              <w:t xml:space="preserve">) </w:t>
            </w:r>
            <w:r w:rsidRPr="00FF008A">
              <w:rPr>
                <w:rFonts w:asciiTheme="minorHAnsi" w:hAnsiTheme="minorHAnsi"/>
                <w:sz w:val="20"/>
                <w:szCs w:val="20"/>
                <w:lang w:val="en-GB"/>
              </w:rPr>
              <w:t xml:space="preserve">was designed to reduce procarbazine induced gonadal toxicity. Both regimens are administered </w:t>
            </w:r>
            <w:r w:rsidR="00BC00B3" w:rsidRPr="00FF008A">
              <w:rPr>
                <w:rFonts w:asciiTheme="minorHAnsi" w:hAnsiTheme="minorHAnsi"/>
                <w:sz w:val="20"/>
                <w:szCs w:val="20"/>
                <w:lang w:val="en-GB"/>
              </w:rPr>
              <w:t>every 21 days</w:t>
            </w:r>
            <w:r w:rsidRPr="00FF008A">
              <w:rPr>
                <w:rFonts w:asciiTheme="minorHAnsi" w:hAnsiTheme="minorHAnsi"/>
                <w:sz w:val="20"/>
                <w:szCs w:val="20"/>
                <w:lang w:val="en-GB"/>
              </w:rPr>
              <w:t xml:space="preserve"> </w:t>
            </w:r>
            <w:r w:rsidR="00BC00B3" w:rsidRPr="00FF008A">
              <w:rPr>
                <w:rFonts w:asciiTheme="minorHAnsi" w:hAnsiTheme="minorHAnsi"/>
                <w:sz w:val="20"/>
                <w:szCs w:val="20"/>
                <w:lang w:val="en-GB"/>
              </w:rPr>
              <w:t>for 6 cycles. This is a randomis</w:t>
            </w:r>
            <w:r w:rsidRPr="00FF008A">
              <w:rPr>
                <w:rFonts w:asciiTheme="minorHAnsi" w:hAnsiTheme="minorHAnsi"/>
                <w:sz w:val="20"/>
                <w:szCs w:val="20"/>
                <w:lang w:val="en-GB"/>
              </w:rPr>
              <w:t xml:space="preserve">ed </w:t>
            </w:r>
            <w:r w:rsidR="00BC00B3" w:rsidRPr="00FF008A">
              <w:rPr>
                <w:rFonts w:asciiTheme="minorHAnsi" w:hAnsiTheme="minorHAnsi"/>
                <w:sz w:val="20"/>
                <w:szCs w:val="20"/>
                <w:lang w:val="en-GB"/>
              </w:rPr>
              <w:t>Phase II</w:t>
            </w:r>
            <w:r w:rsidRPr="00FF008A">
              <w:rPr>
                <w:rFonts w:asciiTheme="minorHAnsi" w:hAnsiTheme="minorHAnsi"/>
                <w:sz w:val="20"/>
                <w:szCs w:val="20"/>
                <w:lang w:val="en-GB"/>
              </w:rPr>
              <w:t xml:space="preserve"> study with the combined</w:t>
            </w:r>
            <w:r w:rsidR="00BC00B3" w:rsidRPr="00FF008A">
              <w:rPr>
                <w:rFonts w:asciiTheme="minorHAnsi" w:hAnsiTheme="minorHAnsi"/>
                <w:sz w:val="20"/>
                <w:szCs w:val="20"/>
                <w:lang w:val="en-GB"/>
              </w:rPr>
              <w:t xml:space="preserve"> primary endpoint being the PET </w:t>
            </w:r>
            <w:r w:rsidR="00EA0934" w:rsidRPr="00FF008A">
              <w:rPr>
                <w:rFonts w:asciiTheme="minorHAnsi" w:hAnsiTheme="minorHAnsi"/>
                <w:sz w:val="20"/>
                <w:szCs w:val="20"/>
                <w:lang w:val="en-GB"/>
              </w:rPr>
              <w:t>based complete response rate</w:t>
            </w:r>
            <w:r w:rsidR="00D2566E" w:rsidRPr="00FF008A">
              <w:rPr>
                <w:rFonts w:asciiTheme="minorHAnsi" w:hAnsiTheme="minorHAnsi"/>
                <w:sz w:val="20"/>
                <w:szCs w:val="20"/>
                <w:lang w:val="en-GB"/>
              </w:rPr>
              <w:t xml:space="preserve"> (CRR)</w:t>
            </w:r>
            <w:r w:rsidR="00EA0934" w:rsidRPr="00FF008A">
              <w:rPr>
                <w:rFonts w:asciiTheme="minorHAnsi" w:hAnsiTheme="minorHAnsi"/>
                <w:sz w:val="20"/>
                <w:szCs w:val="20"/>
                <w:lang w:val="en-GB"/>
              </w:rPr>
              <w:t xml:space="preserve"> </w:t>
            </w:r>
            <w:r w:rsidRPr="00FF008A">
              <w:rPr>
                <w:rFonts w:asciiTheme="minorHAnsi" w:hAnsiTheme="minorHAnsi"/>
                <w:sz w:val="20"/>
                <w:szCs w:val="20"/>
                <w:lang w:val="en-GB"/>
              </w:rPr>
              <w:t>after chemotherapy a</w:t>
            </w:r>
            <w:r w:rsidR="00EA0934" w:rsidRPr="00FF008A">
              <w:rPr>
                <w:rFonts w:asciiTheme="minorHAnsi" w:hAnsiTheme="minorHAnsi"/>
                <w:sz w:val="20"/>
                <w:szCs w:val="20"/>
                <w:lang w:val="en-GB"/>
              </w:rPr>
              <w:t xml:space="preserve">nd the complete remission rate </w:t>
            </w:r>
            <w:r w:rsidR="00D2566E" w:rsidRPr="00FF008A">
              <w:rPr>
                <w:rFonts w:asciiTheme="minorHAnsi" w:hAnsiTheme="minorHAnsi"/>
                <w:sz w:val="20"/>
                <w:szCs w:val="20"/>
                <w:lang w:val="en-GB"/>
              </w:rPr>
              <w:t>(</w:t>
            </w:r>
            <w:r w:rsidR="00D2566E" w:rsidRPr="00FF008A">
              <w:rPr>
                <w:rFonts w:asciiTheme="minorHAnsi" w:hAnsiTheme="minorHAnsi"/>
                <w:sz w:val="20"/>
                <w:szCs w:val="20"/>
              </w:rPr>
              <w:t>CR/CRu rate</w:t>
            </w:r>
            <w:r w:rsidR="00D2566E" w:rsidRPr="00FF008A">
              <w:rPr>
                <w:rFonts w:asciiTheme="minorHAnsi" w:hAnsiTheme="minorHAnsi"/>
                <w:sz w:val="20"/>
                <w:szCs w:val="20"/>
                <w:lang w:val="en-GB"/>
              </w:rPr>
              <w:t xml:space="preserve">) </w:t>
            </w:r>
            <w:r w:rsidRPr="00FF008A">
              <w:rPr>
                <w:rFonts w:asciiTheme="minorHAnsi" w:hAnsiTheme="minorHAnsi"/>
                <w:sz w:val="20"/>
                <w:szCs w:val="20"/>
                <w:lang w:val="en-GB"/>
              </w:rPr>
              <w:t>at final restaging including early follow-up for each of the regimens. Safety and feasibility are secondary trial objectives.</w:t>
            </w:r>
          </w:p>
          <w:p w14:paraId="2FDAA479" w14:textId="13A673C5" w:rsidR="008B59F0" w:rsidRPr="00FF008A" w:rsidRDefault="008B59F0" w:rsidP="00081D51">
            <w:pPr>
              <w:spacing w:before="0" w:after="0"/>
              <w:ind w:left="0"/>
              <w:rPr>
                <w:rFonts w:asciiTheme="minorHAnsi" w:hAnsiTheme="minorHAnsi"/>
                <w:sz w:val="20"/>
                <w:szCs w:val="20"/>
                <w:lang w:val="en-GB"/>
              </w:rPr>
            </w:pPr>
            <w:r w:rsidRPr="00FF008A">
              <w:rPr>
                <w:rFonts w:asciiTheme="minorHAnsi" w:hAnsiTheme="minorHAnsi"/>
                <w:i/>
                <w:sz w:val="20"/>
                <w:szCs w:val="20"/>
                <w:lang w:val="en-GB"/>
              </w:rPr>
              <w:t>Results</w:t>
            </w:r>
            <w:r w:rsidRPr="00FF008A">
              <w:rPr>
                <w:rFonts w:asciiTheme="minorHAnsi" w:hAnsiTheme="minorHAnsi"/>
                <w:sz w:val="20"/>
                <w:szCs w:val="20"/>
                <w:lang w:val="en-GB"/>
              </w:rPr>
              <w:t>: From October 2012 to May 2014, 104 patients have been enrolled and are evaluable for this analysis (52 patients in each treatment arm). M</w:t>
            </w:r>
            <w:r w:rsidR="00EA0934" w:rsidRPr="00FF008A">
              <w:rPr>
                <w:rFonts w:asciiTheme="minorHAnsi" w:hAnsiTheme="minorHAnsi"/>
                <w:sz w:val="20"/>
                <w:szCs w:val="20"/>
                <w:lang w:val="en-GB"/>
              </w:rPr>
              <w:t xml:space="preserve">edian age is 29 years (range 18 to </w:t>
            </w:r>
            <w:r w:rsidRPr="00FF008A">
              <w:rPr>
                <w:rFonts w:asciiTheme="minorHAnsi" w:hAnsiTheme="minorHAnsi"/>
                <w:sz w:val="20"/>
                <w:szCs w:val="20"/>
                <w:lang w:val="en-GB"/>
              </w:rPr>
              <w:t>60 years), 61% are male, and 83% have Ann</w:t>
            </w:r>
            <w:r w:rsidR="00EA0934" w:rsidRPr="00FF008A">
              <w:rPr>
                <w:rFonts w:asciiTheme="minorHAnsi" w:hAnsiTheme="minorHAnsi"/>
                <w:sz w:val="20"/>
                <w:szCs w:val="20"/>
                <w:lang w:val="en-GB"/>
              </w:rPr>
              <w:t> </w:t>
            </w:r>
            <w:r w:rsidRPr="00FF008A">
              <w:rPr>
                <w:rFonts w:asciiTheme="minorHAnsi" w:hAnsiTheme="minorHAnsi"/>
                <w:sz w:val="20"/>
                <w:szCs w:val="20"/>
                <w:lang w:val="en-GB"/>
              </w:rPr>
              <w:t xml:space="preserve">Arbor stage III or IV disease. Overall, risk </w:t>
            </w:r>
            <w:r w:rsidRPr="00FF008A">
              <w:rPr>
                <w:rFonts w:asciiTheme="minorHAnsi" w:hAnsiTheme="minorHAnsi"/>
                <w:sz w:val="20"/>
                <w:szCs w:val="20"/>
              </w:rPr>
              <w:t xml:space="preserve">factors were well balanced between the treatment arms and in line with the previous </w:t>
            </w:r>
            <w:r w:rsidR="00081D51" w:rsidRPr="00FF008A">
              <w:rPr>
                <w:rFonts w:asciiTheme="minorHAnsi" w:hAnsiTheme="minorHAnsi"/>
                <w:sz w:val="20"/>
                <w:szCs w:val="20"/>
                <w:lang w:val="en-GB"/>
              </w:rPr>
              <w:t>German Hodgkin Study Group</w:t>
            </w:r>
            <w:r w:rsidR="00D2566E" w:rsidRPr="00FF008A">
              <w:rPr>
                <w:rFonts w:asciiTheme="minorHAnsi" w:hAnsiTheme="minorHAnsi"/>
                <w:sz w:val="20"/>
                <w:szCs w:val="20"/>
                <w:lang w:val="en-GB"/>
              </w:rPr>
              <w:t xml:space="preserve"> (GHSG)</w:t>
            </w:r>
            <w:r w:rsidR="00081D51" w:rsidRPr="00FF008A">
              <w:rPr>
                <w:rFonts w:asciiTheme="minorHAnsi" w:hAnsiTheme="minorHAnsi"/>
                <w:sz w:val="20"/>
                <w:szCs w:val="20"/>
                <w:lang w:val="en-GB"/>
              </w:rPr>
              <w:t xml:space="preserve"> </w:t>
            </w:r>
            <w:r w:rsidRPr="00FF008A">
              <w:rPr>
                <w:rFonts w:asciiTheme="minorHAnsi" w:hAnsiTheme="minorHAnsi"/>
                <w:sz w:val="20"/>
                <w:szCs w:val="20"/>
                <w:lang w:val="en-GB"/>
              </w:rPr>
              <w:t>studies besides a higher number of patients presenting with large mediastinal mass (40% in each treatment arm). 102 patients qualify for the safety analysis (BrECADD n</w:t>
            </w:r>
            <w:r w:rsidR="00EA0934" w:rsidRPr="00FF008A">
              <w:rPr>
                <w:rFonts w:asciiTheme="minorHAnsi" w:hAnsiTheme="minorHAnsi"/>
                <w:sz w:val="20"/>
                <w:szCs w:val="20"/>
                <w:lang w:val="en-GB"/>
              </w:rPr>
              <w:t> </w:t>
            </w:r>
            <w:r w:rsidRPr="00FF008A">
              <w:rPr>
                <w:rFonts w:asciiTheme="minorHAnsi" w:hAnsiTheme="minorHAnsi"/>
                <w:sz w:val="20"/>
                <w:szCs w:val="20"/>
                <w:lang w:val="en-GB"/>
              </w:rPr>
              <w:t>=</w:t>
            </w:r>
            <w:r w:rsidR="00EA0934" w:rsidRPr="00FF008A">
              <w:rPr>
                <w:rFonts w:asciiTheme="minorHAnsi" w:hAnsiTheme="minorHAnsi"/>
                <w:sz w:val="20"/>
                <w:szCs w:val="20"/>
                <w:lang w:val="en-GB"/>
              </w:rPr>
              <w:t> </w:t>
            </w:r>
            <w:r w:rsidRPr="00FF008A">
              <w:rPr>
                <w:rFonts w:asciiTheme="minorHAnsi" w:hAnsiTheme="minorHAnsi"/>
                <w:sz w:val="20"/>
                <w:szCs w:val="20"/>
                <w:lang w:val="en-GB"/>
              </w:rPr>
              <w:t>52, BrECAPP n</w:t>
            </w:r>
            <w:r w:rsidR="00EA0934" w:rsidRPr="00FF008A">
              <w:rPr>
                <w:rFonts w:asciiTheme="minorHAnsi" w:hAnsiTheme="minorHAnsi"/>
                <w:sz w:val="20"/>
                <w:szCs w:val="20"/>
                <w:lang w:val="en-GB"/>
              </w:rPr>
              <w:t> </w:t>
            </w:r>
            <w:r w:rsidRPr="00FF008A">
              <w:rPr>
                <w:rFonts w:asciiTheme="minorHAnsi" w:hAnsiTheme="minorHAnsi"/>
                <w:sz w:val="20"/>
                <w:szCs w:val="20"/>
                <w:lang w:val="en-GB"/>
              </w:rPr>
              <w:t>=</w:t>
            </w:r>
            <w:r w:rsidR="00EA0934" w:rsidRPr="00FF008A">
              <w:rPr>
                <w:rFonts w:asciiTheme="minorHAnsi" w:hAnsiTheme="minorHAnsi"/>
                <w:sz w:val="20"/>
                <w:szCs w:val="20"/>
                <w:lang w:val="en-GB"/>
              </w:rPr>
              <w:t> </w:t>
            </w:r>
            <w:r w:rsidRPr="00FF008A">
              <w:rPr>
                <w:rFonts w:asciiTheme="minorHAnsi" w:hAnsiTheme="minorHAnsi"/>
                <w:sz w:val="20"/>
                <w:szCs w:val="20"/>
                <w:lang w:val="en-GB"/>
              </w:rPr>
              <w:t>50) with two patients</w:t>
            </w:r>
            <w:r w:rsidR="00EA0934" w:rsidRPr="00FF008A">
              <w:rPr>
                <w:rFonts w:asciiTheme="minorHAnsi" w:hAnsiTheme="minorHAnsi"/>
                <w:sz w:val="20"/>
                <w:szCs w:val="20"/>
                <w:lang w:val="en-GB"/>
              </w:rPr>
              <w:t xml:space="preserve"> </w:t>
            </w:r>
            <w:r w:rsidRPr="00FF008A">
              <w:rPr>
                <w:rFonts w:asciiTheme="minorHAnsi" w:hAnsiTheme="minorHAnsi"/>
                <w:sz w:val="20"/>
                <w:szCs w:val="20"/>
                <w:lang w:val="en-GB"/>
              </w:rPr>
              <w:t>not having commenced treatment in the latter group. All 52 patients with BrECADD received the planned number of cycles, 2/50 terminated BrECAPP after 2 and 3 cycles due to toxicity and revision of initial staging by expert panel, respectively. 70% and 60% with complete cycles of BrECADD and BrECAPP received the last treatment cycle at full dose level. The majority of patients did not have treatment delays.</w:t>
            </w:r>
            <w:r w:rsidR="00EA0934" w:rsidRPr="00FF008A">
              <w:rPr>
                <w:rFonts w:asciiTheme="minorHAnsi" w:hAnsiTheme="minorHAnsi"/>
                <w:sz w:val="20"/>
                <w:szCs w:val="20"/>
                <w:lang w:val="en-GB"/>
              </w:rPr>
              <w:t xml:space="preserve"> </w:t>
            </w:r>
            <w:r w:rsidRPr="00FF008A">
              <w:rPr>
                <w:rFonts w:asciiTheme="minorHAnsi" w:hAnsiTheme="minorHAnsi"/>
                <w:sz w:val="20"/>
                <w:szCs w:val="20"/>
                <w:lang w:val="en-GB"/>
              </w:rPr>
              <w:t>101 patients qualify for the efficacy analysis (BrECADD</w:t>
            </w:r>
            <w:r w:rsidR="00EA0934" w:rsidRPr="00FF008A">
              <w:rPr>
                <w:rFonts w:asciiTheme="minorHAnsi" w:hAnsiTheme="minorHAnsi"/>
                <w:sz w:val="20"/>
                <w:szCs w:val="20"/>
                <w:lang w:val="en-GB"/>
              </w:rPr>
              <w:t>,</w:t>
            </w:r>
            <w:r w:rsidRPr="00FF008A">
              <w:rPr>
                <w:rFonts w:asciiTheme="minorHAnsi" w:hAnsiTheme="minorHAnsi"/>
                <w:sz w:val="20"/>
                <w:szCs w:val="20"/>
                <w:lang w:val="en-GB"/>
              </w:rPr>
              <w:t xml:space="preserve"> n</w:t>
            </w:r>
            <w:r w:rsidR="00EA0934" w:rsidRPr="00FF008A">
              <w:rPr>
                <w:rFonts w:asciiTheme="minorHAnsi" w:hAnsiTheme="minorHAnsi"/>
                <w:sz w:val="20"/>
                <w:szCs w:val="20"/>
                <w:lang w:val="en-GB"/>
              </w:rPr>
              <w:t> </w:t>
            </w:r>
            <w:r w:rsidRPr="00FF008A">
              <w:rPr>
                <w:rFonts w:asciiTheme="minorHAnsi" w:hAnsiTheme="minorHAnsi"/>
                <w:sz w:val="20"/>
                <w:szCs w:val="20"/>
                <w:lang w:val="en-GB"/>
              </w:rPr>
              <w:t>=</w:t>
            </w:r>
            <w:r w:rsidR="00EA0934" w:rsidRPr="00FF008A">
              <w:rPr>
                <w:rFonts w:asciiTheme="minorHAnsi" w:hAnsiTheme="minorHAnsi"/>
                <w:sz w:val="20"/>
                <w:szCs w:val="20"/>
                <w:lang w:val="en-GB"/>
              </w:rPr>
              <w:t xml:space="preserve"> 52; </w:t>
            </w:r>
            <w:r w:rsidRPr="00FF008A">
              <w:rPr>
                <w:rFonts w:asciiTheme="minorHAnsi" w:hAnsiTheme="minorHAnsi"/>
                <w:sz w:val="20"/>
                <w:szCs w:val="20"/>
                <w:lang w:val="en-GB"/>
              </w:rPr>
              <w:t>BrECAPP</w:t>
            </w:r>
            <w:r w:rsidR="00EA0934" w:rsidRPr="00FF008A">
              <w:rPr>
                <w:rFonts w:asciiTheme="minorHAnsi" w:hAnsiTheme="minorHAnsi"/>
                <w:sz w:val="20"/>
                <w:szCs w:val="20"/>
                <w:lang w:val="en-GB"/>
              </w:rPr>
              <w:t>,</w:t>
            </w:r>
            <w:r w:rsidRPr="00FF008A">
              <w:rPr>
                <w:rFonts w:asciiTheme="minorHAnsi" w:hAnsiTheme="minorHAnsi"/>
                <w:sz w:val="20"/>
                <w:szCs w:val="20"/>
                <w:lang w:val="en-GB"/>
              </w:rPr>
              <w:t xml:space="preserve"> n</w:t>
            </w:r>
            <w:r w:rsidR="00EA0934"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EA0934" w:rsidRPr="00FF008A">
              <w:rPr>
                <w:rFonts w:asciiTheme="minorHAnsi" w:hAnsiTheme="minorHAnsi"/>
                <w:sz w:val="20"/>
                <w:szCs w:val="20"/>
                <w:lang w:val="en-GB"/>
              </w:rPr>
              <w:t xml:space="preserve"> </w:t>
            </w:r>
            <w:r w:rsidRPr="00FF008A">
              <w:rPr>
                <w:rFonts w:asciiTheme="minorHAnsi" w:hAnsiTheme="minorHAnsi"/>
                <w:sz w:val="20"/>
                <w:szCs w:val="20"/>
                <w:lang w:val="en-GB"/>
              </w:rPr>
              <w:t>49). C</w:t>
            </w:r>
            <w:r w:rsidR="003F50B8" w:rsidRPr="00FF008A">
              <w:rPr>
                <w:rFonts w:asciiTheme="minorHAnsi" w:hAnsiTheme="minorHAnsi"/>
                <w:sz w:val="20"/>
                <w:szCs w:val="20"/>
                <w:lang w:val="en-GB"/>
              </w:rPr>
              <w:t>omplete response rate (C</w:t>
            </w:r>
            <w:r w:rsidR="00081D51" w:rsidRPr="00FF008A">
              <w:rPr>
                <w:rFonts w:asciiTheme="minorHAnsi" w:hAnsiTheme="minorHAnsi"/>
                <w:sz w:val="20"/>
                <w:szCs w:val="20"/>
                <w:lang w:val="en-GB"/>
              </w:rPr>
              <w:t>RR</w:t>
            </w:r>
            <w:r w:rsidR="003F50B8" w:rsidRPr="00FF008A">
              <w:rPr>
                <w:rFonts w:asciiTheme="minorHAnsi" w:hAnsiTheme="minorHAnsi"/>
                <w:sz w:val="20"/>
                <w:szCs w:val="20"/>
                <w:lang w:val="en-GB"/>
              </w:rPr>
              <w:t>)</w:t>
            </w:r>
            <w:r w:rsidR="00081D51" w:rsidRPr="00FF008A">
              <w:rPr>
                <w:rFonts w:asciiTheme="minorHAnsi" w:hAnsiTheme="minorHAnsi"/>
                <w:sz w:val="20"/>
                <w:szCs w:val="20"/>
                <w:lang w:val="en-GB"/>
              </w:rPr>
              <w:t xml:space="preserve"> is 88% (95% CI: 77%,</w:t>
            </w:r>
            <w:r w:rsidRPr="00FF008A">
              <w:rPr>
                <w:rFonts w:asciiTheme="minorHAnsi" w:hAnsiTheme="minorHAnsi"/>
                <w:sz w:val="20"/>
                <w:szCs w:val="20"/>
                <w:lang w:val="en-GB"/>
              </w:rPr>
              <w:t xml:space="preserve"> 96%) for t</w:t>
            </w:r>
            <w:r w:rsidR="00081D51" w:rsidRPr="00FF008A">
              <w:rPr>
                <w:rFonts w:asciiTheme="minorHAnsi" w:hAnsiTheme="minorHAnsi"/>
                <w:sz w:val="20"/>
                <w:szCs w:val="20"/>
                <w:lang w:val="en-GB"/>
              </w:rPr>
              <w:t>he BrECADD regimen and 86% (95% CI: 73%,</w:t>
            </w:r>
            <w:r w:rsidRPr="00FF008A">
              <w:rPr>
                <w:rFonts w:asciiTheme="minorHAnsi" w:hAnsiTheme="minorHAnsi"/>
                <w:sz w:val="20"/>
                <w:szCs w:val="20"/>
                <w:lang w:val="en-GB"/>
              </w:rPr>
              <w:t xml:space="preserve"> 94%) for BrECAPP with both groups achieving the required number of 42 patients with CRR demanded by the protocol. Regarding the co-primary endpoint CR/CRu, the corresponding </w:t>
            </w:r>
            <w:r w:rsidR="00DB4D4F" w:rsidRPr="00FF008A">
              <w:rPr>
                <w:rFonts w:asciiTheme="minorHAnsi" w:hAnsiTheme="minorHAnsi"/>
                <w:sz w:val="20"/>
                <w:szCs w:val="20"/>
                <w:lang w:val="en-GB"/>
              </w:rPr>
              <w:t xml:space="preserve">rates were 88% for BrECADD (95% CI: 77%, 96%), and 94% (95% CI: 83%, </w:t>
            </w:r>
            <w:r w:rsidRPr="00FF008A">
              <w:rPr>
                <w:rFonts w:asciiTheme="minorHAnsi" w:hAnsiTheme="minorHAnsi"/>
                <w:sz w:val="20"/>
                <w:szCs w:val="20"/>
                <w:lang w:val="en-GB"/>
              </w:rPr>
              <w:t>99%) for BrECAPP. Survival analyses for the BrECADD regimen reveale</w:t>
            </w:r>
            <w:r w:rsidR="00D2566E" w:rsidRPr="00FF008A">
              <w:rPr>
                <w:rFonts w:asciiTheme="minorHAnsi" w:hAnsiTheme="minorHAnsi"/>
                <w:sz w:val="20"/>
                <w:szCs w:val="20"/>
                <w:lang w:val="en-GB"/>
              </w:rPr>
              <w:t>d a PFS of 94% (95% CI: </w:t>
            </w:r>
            <w:r w:rsidR="00DB4D4F" w:rsidRPr="00FF008A">
              <w:rPr>
                <w:rFonts w:asciiTheme="minorHAnsi" w:hAnsiTheme="minorHAnsi"/>
                <w:sz w:val="20"/>
                <w:szCs w:val="20"/>
                <w:lang w:val="en-GB"/>
              </w:rPr>
              <w:t xml:space="preserve">87%, </w:t>
            </w:r>
            <w:r w:rsidRPr="00FF008A">
              <w:rPr>
                <w:rFonts w:asciiTheme="minorHAnsi" w:hAnsiTheme="minorHAnsi"/>
                <w:sz w:val="20"/>
                <w:szCs w:val="20"/>
                <w:lang w:val="en-GB"/>
              </w:rPr>
              <w:t>1</w:t>
            </w:r>
            <w:r w:rsidR="00DB4D4F" w:rsidRPr="00FF008A">
              <w:rPr>
                <w:rFonts w:asciiTheme="minorHAnsi" w:hAnsiTheme="minorHAnsi"/>
                <w:sz w:val="20"/>
                <w:szCs w:val="20"/>
                <w:lang w:val="en-GB"/>
              </w:rPr>
              <w:t xml:space="preserve">00%) at 12 months, and 89% (95% CI: 77%, </w:t>
            </w:r>
            <w:r w:rsidRPr="00FF008A">
              <w:rPr>
                <w:rFonts w:asciiTheme="minorHAnsi" w:hAnsiTheme="minorHAnsi"/>
                <w:sz w:val="20"/>
                <w:szCs w:val="20"/>
                <w:lang w:val="en-GB"/>
              </w:rPr>
              <w:t>100%) at 18 months. Corresponding nu</w:t>
            </w:r>
            <w:r w:rsidR="00DB4D4F" w:rsidRPr="00FF008A">
              <w:rPr>
                <w:rFonts w:asciiTheme="minorHAnsi" w:hAnsiTheme="minorHAnsi"/>
                <w:sz w:val="20"/>
                <w:szCs w:val="20"/>
                <w:lang w:val="en-GB"/>
              </w:rPr>
              <w:t xml:space="preserve">mbers for BrECAPP were 98% (95% CI: 94%, </w:t>
            </w:r>
            <w:r w:rsidR="00D2566E" w:rsidRPr="00FF008A">
              <w:rPr>
                <w:rFonts w:asciiTheme="minorHAnsi" w:hAnsiTheme="minorHAnsi"/>
                <w:sz w:val="20"/>
                <w:szCs w:val="20"/>
                <w:lang w:val="en-GB"/>
              </w:rPr>
              <w:t>100%), and 93% (95% </w:t>
            </w:r>
            <w:r w:rsidRPr="00FF008A">
              <w:rPr>
                <w:rFonts w:asciiTheme="minorHAnsi" w:hAnsiTheme="minorHAnsi"/>
                <w:sz w:val="20"/>
                <w:szCs w:val="20"/>
                <w:lang w:val="en-GB"/>
              </w:rPr>
              <w:t>CI: 83%</w:t>
            </w:r>
            <w:r w:rsidR="00DB4D4F" w:rsidRPr="00FF008A">
              <w:rPr>
                <w:rFonts w:asciiTheme="minorHAnsi" w:hAnsiTheme="minorHAnsi"/>
                <w:sz w:val="20"/>
                <w:szCs w:val="20"/>
                <w:lang w:val="en-GB"/>
              </w:rPr>
              <w:t xml:space="preserve">, </w:t>
            </w:r>
            <w:r w:rsidRPr="00FF008A">
              <w:rPr>
                <w:rFonts w:asciiTheme="minorHAnsi" w:hAnsiTheme="minorHAnsi"/>
                <w:sz w:val="20"/>
                <w:szCs w:val="20"/>
                <w:lang w:val="en-GB"/>
              </w:rPr>
              <w:t>100%).</w:t>
            </w:r>
          </w:p>
          <w:p w14:paraId="71E48441" w14:textId="0E702839" w:rsidR="008B59F0" w:rsidRPr="00FF008A" w:rsidRDefault="00DB4D4F"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OS</w:t>
            </w:r>
            <w:r w:rsidR="008B59F0" w:rsidRPr="00FF008A">
              <w:rPr>
                <w:rFonts w:asciiTheme="minorHAnsi" w:hAnsiTheme="minorHAnsi"/>
                <w:sz w:val="20"/>
                <w:szCs w:val="20"/>
                <w:lang w:val="en-GB"/>
              </w:rPr>
              <w:t xml:space="preserve"> after a median follow-up time of 18 months for BrECADD was 100%. In the BrECAPP group the median follow-up was 16 months and one patient died. This patient had never received the study treatment. However, this event</w:t>
            </w:r>
            <w:r w:rsidR="005516BC">
              <w:rPr>
                <w:rFonts w:asciiTheme="minorHAnsi" w:hAnsiTheme="minorHAnsi"/>
                <w:sz w:val="20"/>
                <w:szCs w:val="20"/>
                <w:lang w:val="en-GB"/>
              </w:rPr>
              <w:t xml:space="preserve"> led to a 1 </w:t>
            </w:r>
            <w:r w:rsidRPr="00FF008A">
              <w:rPr>
                <w:rFonts w:asciiTheme="minorHAnsi" w:hAnsiTheme="minorHAnsi"/>
                <w:sz w:val="20"/>
                <w:szCs w:val="20"/>
                <w:lang w:val="en-GB"/>
              </w:rPr>
              <w:t xml:space="preserve">year OS of </w:t>
            </w:r>
            <w:r w:rsidRPr="00FF008A">
              <w:rPr>
                <w:rFonts w:asciiTheme="minorHAnsi" w:hAnsiTheme="minorHAnsi"/>
                <w:sz w:val="20"/>
                <w:szCs w:val="20"/>
                <w:lang w:val="en-GB"/>
              </w:rPr>
              <w:lastRenderedPageBreak/>
              <w:t xml:space="preserve">98% (95% CI: 94%, </w:t>
            </w:r>
            <w:r w:rsidR="008B59F0" w:rsidRPr="00FF008A">
              <w:rPr>
                <w:rFonts w:asciiTheme="minorHAnsi" w:hAnsiTheme="minorHAnsi"/>
                <w:sz w:val="20"/>
                <w:szCs w:val="20"/>
                <w:lang w:val="en-GB"/>
              </w:rPr>
              <w:t>100%) in the BrECAPP group.</w:t>
            </w:r>
          </w:p>
          <w:p w14:paraId="66B2B632" w14:textId="5BC1D710"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H</w:t>
            </w:r>
            <w:r w:rsidR="00DB4D4F" w:rsidRPr="00FF008A">
              <w:rPr>
                <w:rFonts w:asciiTheme="minorHAnsi" w:hAnsiTheme="minorHAnsi"/>
                <w:sz w:val="20"/>
                <w:szCs w:val="20"/>
                <w:lang w:val="en-GB"/>
              </w:rPr>
              <w:t>a</w:t>
            </w:r>
            <w:r w:rsidRPr="00FF008A">
              <w:rPr>
                <w:rFonts w:asciiTheme="minorHAnsi" w:hAnsiTheme="minorHAnsi"/>
                <w:sz w:val="20"/>
                <w:szCs w:val="20"/>
                <w:lang w:val="en-GB"/>
              </w:rPr>
              <w:t>ematological toxicity of Grade 3 or 4 occurred in 42/52 (88%) of BrECADD treated patients, and in 47/50 (96%) with BrECAPP. Main h</w:t>
            </w:r>
            <w:r w:rsidR="00D2566E" w:rsidRPr="00FF008A">
              <w:rPr>
                <w:rFonts w:asciiTheme="minorHAnsi" w:hAnsiTheme="minorHAnsi"/>
                <w:sz w:val="20"/>
                <w:szCs w:val="20"/>
                <w:lang w:val="en-GB"/>
              </w:rPr>
              <w:t>aematot</w:t>
            </w:r>
            <w:r w:rsidRPr="00FF008A">
              <w:rPr>
                <w:rFonts w:asciiTheme="minorHAnsi" w:hAnsiTheme="minorHAnsi"/>
                <w:sz w:val="20"/>
                <w:szCs w:val="20"/>
                <w:lang w:val="en-GB"/>
              </w:rPr>
              <w:t>oxicity was leukopenia resulting in 15% (BrECADD) and 8% (BrECAPP) Grade 3 or 4 infections. Organ toxicity of Grade 3 or 4 occurred in 4% of BrECADD treated patients (all events Grade 3), and in 17% in the BrECAPP group (5% Grade 4). Severe neurotoxicity (Grade 3 or 4) was not observed in the BrECADD group and in one patient (2%) in the BrECAPP group (Grade 3 sensory neuropathy). Grade 1 or 2 sensory neuropathy occurred in 35% and 30%, respectively.</w:t>
            </w:r>
          </w:p>
          <w:p w14:paraId="71049911" w14:textId="2D7B1E00"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i/>
                <w:sz w:val="20"/>
                <w:szCs w:val="20"/>
                <w:lang w:val="en-GB"/>
              </w:rPr>
              <w:t>Conclusion</w:t>
            </w:r>
            <w:r w:rsidRPr="00FF008A">
              <w:rPr>
                <w:rFonts w:asciiTheme="minorHAnsi" w:hAnsiTheme="minorHAnsi"/>
                <w:sz w:val="20"/>
                <w:szCs w:val="20"/>
                <w:lang w:val="en-GB"/>
              </w:rPr>
              <w:t xml:space="preserve">: This is the largest study of </w:t>
            </w:r>
            <w:r w:rsidR="00DB4D4F" w:rsidRPr="00FF008A">
              <w:rPr>
                <w:rFonts w:asciiTheme="minorHAnsi" w:hAnsiTheme="minorHAnsi"/>
                <w:sz w:val="20"/>
                <w:szCs w:val="20"/>
                <w:lang w:val="en-GB"/>
              </w:rPr>
              <w:t>brentuximab</w:t>
            </w:r>
            <w:r w:rsidRPr="00FF008A">
              <w:rPr>
                <w:rFonts w:asciiTheme="minorHAnsi" w:hAnsiTheme="minorHAnsi"/>
                <w:sz w:val="20"/>
                <w:szCs w:val="20"/>
                <w:lang w:val="en-GB"/>
              </w:rPr>
              <w:t xml:space="preserve"> in combination with chemotherapy in the first line treatment of HL reported so far. Both targeted BEACOPP variants are active and well feasible. Based on its superior organ toxicity profile, </w:t>
            </w:r>
            <w:r w:rsidR="005516BC">
              <w:rPr>
                <w:rFonts w:asciiTheme="minorHAnsi" w:hAnsiTheme="minorHAnsi"/>
                <w:sz w:val="20"/>
                <w:szCs w:val="20"/>
                <w:lang w:val="en-GB"/>
              </w:rPr>
              <w:t>the sponsor</w:t>
            </w:r>
            <w:r w:rsidRPr="00FF008A">
              <w:rPr>
                <w:rFonts w:asciiTheme="minorHAnsi" w:hAnsiTheme="minorHAnsi"/>
                <w:sz w:val="20"/>
                <w:szCs w:val="20"/>
                <w:lang w:val="en-GB"/>
              </w:rPr>
              <w:t xml:space="preserve"> ha</w:t>
            </w:r>
            <w:r w:rsidR="005516BC">
              <w:rPr>
                <w:rFonts w:asciiTheme="minorHAnsi" w:hAnsiTheme="minorHAnsi"/>
                <w:sz w:val="20"/>
                <w:szCs w:val="20"/>
                <w:lang w:val="en-GB"/>
              </w:rPr>
              <w:t>s</w:t>
            </w:r>
            <w:r w:rsidRPr="00FF008A">
              <w:rPr>
                <w:rFonts w:asciiTheme="minorHAnsi" w:hAnsiTheme="minorHAnsi"/>
                <w:sz w:val="20"/>
                <w:szCs w:val="20"/>
                <w:lang w:val="en-GB"/>
              </w:rPr>
              <w:t xml:space="preserve"> chosen the BrECADD regimen to challenge the GHSG standard of care escalated BEACOPP for advanced stage HL patients in an international, randomi</w:t>
            </w:r>
            <w:r w:rsidR="00DB4D4F" w:rsidRPr="00FF008A">
              <w:rPr>
                <w:rFonts w:asciiTheme="minorHAnsi" w:hAnsiTheme="minorHAnsi"/>
                <w:sz w:val="20"/>
                <w:szCs w:val="20"/>
                <w:lang w:val="en-GB"/>
              </w:rPr>
              <w:t>s</w:t>
            </w:r>
            <w:r w:rsidRPr="00FF008A">
              <w:rPr>
                <w:rFonts w:asciiTheme="minorHAnsi" w:hAnsiTheme="minorHAnsi"/>
                <w:sz w:val="20"/>
                <w:szCs w:val="20"/>
                <w:lang w:val="en-GB"/>
              </w:rPr>
              <w:t xml:space="preserve">ed </w:t>
            </w:r>
            <w:r w:rsidR="00DB4D4F" w:rsidRPr="00FF008A">
              <w:rPr>
                <w:rFonts w:asciiTheme="minorHAnsi" w:hAnsiTheme="minorHAnsi"/>
                <w:sz w:val="20"/>
                <w:szCs w:val="20"/>
                <w:lang w:val="en-GB"/>
              </w:rPr>
              <w:t>Phase III</w:t>
            </w:r>
            <w:r w:rsidRPr="00FF008A">
              <w:rPr>
                <w:rFonts w:asciiTheme="minorHAnsi" w:hAnsiTheme="minorHAnsi"/>
                <w:sz w:val="20"/>
                <w:szCs w:val="20"/>
                <w:lang w:val="en-GB"/>
              </w:rPr>
              <w:t xml:space="preserve"> study.</w:t>
            </w:r>
          </w:p>
          <w:p w14:paraId="7AAF5C95" w14:textId="697662AB"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On the basis of these findings, the MAH believes that contraindication of concomitant chemotherapy is currently warranted only in the instance of bleomycin where clinical evidence suggesting synergistic pulmonary toxicity may exist. The MAH’s past and current sponsored clinical research as well as an ongoing investigator-initiated study of the combination use of brentuximab vedotin and intense combination chemotherapy</w:t>
            </w:r>
            <w:r w:rsidR="0094783C">
              <w:rPr>
                <w:rFonts w:asciiTheme="minorHAnsi" w:hAnsiTheme="minorHAnsi"/>
                <w:sz w:val="20"/>
                <w:szCs w:val="20"/>
                <w:lang w:val="en-GB"/>
              </w:rPr>
              <w:t>,</w:t>
            </w:r>
            <w:r w:rsidRPr="00FF008A">
              <w:rPr>
                <w:rFonts w:asciiTheme="minorHAnsi" w:hAnsiTheme="minorHAnsi"/>
                <w:sz w:val="20"/>
                <w:szCs w:val="20"/>
                <w:lang w:val="en-GB"/>
              </w:rPr>
              <w:t xml:space="preserve"> suggest that most combination uses of brentuximab vedotin studied to date result in manageable safety profiles.</w:t>
            </w:r>
          </w:p>
          <w:p w14:paraId="347FCA5F" w14:textId="4439CAA9"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 xml:space="preserve">Please be advised that there is no evidence that the combined use of brentuximab vedotin </w:t>
            </w:r>
            <w:r w:rsidR="00DB4D4F" w:rsidRPr="00FF008A">
              <w:rPr>
                <w:rFonts w:asciiTheme="minorHAnsi" w:hAnsiTheme="minorHAnsi"/>
                <w:sz w:val="20"/>
                <w:szCs w:val="20"/>
                <w:lang w:val="en-GB"/>
              </w:rPr>
              <w:t>(</w:t>
            </w:r>
            <w:r w:rsidRPr="00FF008A">
              <w:rPr>
                <w:rFonts w:asciiTheme="minorHAnsi" w:hAnsiTheme="minorHAnsi"/>
                <w:sz w:val="20"/>
                <w:szCs w:val="20"/>
                <w:lang w:val="en-GB"/>
              </w:rPr>
              <w:t>SGN-35) and gemcitabine causes pulmonary toxicity.</w:t>
            </w:r>
          </w:p>
          <w:p w14:paraId="406A9DD5" w14:textId="0E4CD9E3"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Pulmonary toxicity has been reported with the combined use of SGN-30 and gemcitabine. SGN-30, the naked (unbound) antibody component of brentuximab vedoti</w:t>
            </w:r>
            <w:r w:rsidR="004F090E" w:rsidRPr="00FF008A">
              <w:rPr>
                <w:rFonts w:asciiTheme="minorHAnsi" w:hAnsiTheme="minorHAnsi"/>
                <w:sz w:val="20"/>
                <w:szCs w:val="20"/>
                <w:lang w:val="en-GB"/>
              </w:rPr>
              <w:t>n, was investigated separately</w:t>
            </w:r>
            <w:r w:rsidRPr="00FF008A">
              <w:rPr>
                <w:rFonts w:asciiTheme="minorHAnsi" w:hAnsiTheme="minorHAnsi"/>
                <w:sz w:val="20"/>
                <w:szCs w:val="20"/>
                <w:lang w:val="en-GB"/>
              </w:rPr>
              <w:t>.</w:t>
            </w:r>
            <w:bookmarkStart w:id="106" w:name="_Ref484784269"/>
            <w:r w:rsidR="004F090E" w:rsidRPr="00FF008A">
              <w:rPr>
                <w:rStyle w:val="FootnoteReference"/>
                <w:rFonts w:asciiTheme="minorHAnsi" w:hAnsiTheme="minorHAnsi"/>
                <w:sz w:val="20"/>
                <w:szCs w:val="20"/>
                <w:lang w:val="en-GB"/>
              </w:rPr>
              <w:footnoteReference w:id="19"/>
            </w:r>
            <w:bookmarkEnd w:id="106"/>
            <w:r w:rsidRPr="00FF008A">
              <w:rPr>
                <w:rFonts w:asciiTheme="minorHAnsi" w:hAnsiTheme="minorHAnsi"/>
                <w:sz w:val="20"/>
                <w:szCs w:val="20"/>
                <w:lang w:val="en-GB"/>
              </w:rPr>
              <w:t xml:space="preserve"> While planned study of concomitant brentuximab vedotin and gemcitabine (</w:t>
            </w:r>
            <w:r w:rsidR="00DB4D4F" w:rsidRPr="00FF008A">
              <w:rPr>
                <w:rFonts w:asciiTheme="minorHAnsi" w:hAnsiTheme="minorHAnsi"/>
                <w:sz w:val="20"/>
                <w:szCs w:val="20"/>
                <w:lang w:val="en-GB"/>
              </w:rPr>
              <w:t xml:space="preserve">Study </w:t>
            </w:r>
            <w:r w:rsidRPr="00FF008A">
              <w:rPr>
                <w:rFonts w:asciiTheme="minorHAnsi" w:hAnsiTheme="minorHAnsi"/>
                <w:sz w:val="20"/>
                <w:szCs w:val="20"/>
                <w:lang w:val="en-GB"/>
              </w:rPr>
              <w:t xml:space="preserve">SG035-0002) was not initiated on the basis of pulmonary toxicity findings obtained with the unbound antibody-gemcitabine combination, currently no clinical data exist to substantiate the concern that combining the brentuximab vedotin </w:t>
            </w:r>
            <w:r w:rsidR="00FE2154" w:rsidRPr="00FF008A">
              <w:rPr>
                <w:rFonts w:asciiTheme="minorHAnsi" w:hAnsiTheme="minorHAnsi"/>
                <w:sz w:val="20"/>
                <w:szCs w:val="20"/>
                <w:lang w:val="en-GB"/>
              </w:rPr>
              <w:t>ADC</w:t>
            </w:r>
            <w:r w:rsidRPr="00FF008A">
              <w:rPr>
                <w:rFonts w:asciiTheme="minorHAnsi" w:hAnsiTheme="minorHAnsi"/>
                <w:sz w:val="20"/>
                <w:szCs w:val="20"/>
                <w:lang w:val="en-GB"/>
              </w:rPr>
              <w:t xml:space="preserve"> and gemcitabine results in increased pulmonary toxicity.</w:t>
            </w:r>
          </w:p>
          <w:p w14:paraId="5535CA52" w14:textId="73847FC0"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sz w:val="20"/>
                <w:szCs w:val="20"/>
                <w:lang w:val="en-GB"/>
              </w:rPr>
              <w:t>Preliminary clinical data with the combination of brentuximab vedotin and gemcitabine show a manageable safety profile. Stu</w:t>
            </w:r>
            <w:r w:rsidR="00FE2154" w:rsidRPr="00FF008A">
              <w:rPr>
                <w:rFonts w:asciiTheme="minorHAnsi" w:hAnsiTheme="minorHAnsi"/>
                <w:sz w:val="20"/>
                <w:szCs w:val="20"/>
                <w:lang w:val="en-GB"/>
              </w:rPr>
              <w:t xml:space="preserve">dy NCT01780662, </w:t>
            </w:r>
            <w:r w:rsidR="00FE2154" w:rsidRPr="00FF008A">
              <w:rPr>
                <w:rFonts w:asciiTheme="minorHAnsi" w:hAnsiTheme="minorHAnsi"/>
                <w:sz w:val="20"/>
                <w:szCs w:val="20"/>
                <w:lang w:val="en-GB"/>
              </w:rPr>
              <w:lastRenderedPageBreak/>
              <w:t>entitled ‘</w:t>
            </w:r>
            <w:r w:rsidRPr="00FF008A">
              <w:rPr>
                <w:rFonts w:asciiTheme="minorHAnsi" w:hAnsiTheme="minorHAnsi"/>
                <w:sz w:val="20"/>
                <w:szCs w:val="20"/>
                <w:lang w:val="en-GB"/>
              </w:rPr>
              <w:t xml:space="preserve">A Phase </w:t>
            </w:r>
            <w:r w:rsidR="00FE2154" w:rsidRPr="00FF008A">
              <w:rPr>
                <w:rFonts w:asciiTheme="minorHAnsi" w:hAnsiTheme="minorHAnsi"/>
                <w:sz w:val="20"/>
                <w:szCs w:val="20"/>
                <w:lang w:val="en-GB"/>
              </w:rPr>
              <w:t>I/II</w:t>
            </w:r>
            <w:r w:rsidRPr="00FF008A">
              <w:rPr>
                <w:rFonts w:asciiTheme="minorHAnsi" w:hAnsiTheme="minorHAnsi"/>
                <w:sz w:val="20"/>
                <w:szCs w:val="20"/>
                <w:lang w:val="en-GB"/>
              </w:rPr>
              <w:t xml:space="preserve"> </w:t>
            </w:r>
            <w:r w:rsidR="00FE2154" w:rsidRPr="00FF008A">
              <w:rPr>
                <w:rFonts w:asciiTheme="minorHAnsi" w:hAnsiTheme="minorHAnsi"/>
                <w:sz w:val="20"/>
                <w:szCs w:val="20"/>
                <w:lang w:val="en-GB"/>
              </w:rPr>
              <w:t>s</w:t>
            </w:r>
            <w:r w:rsidRPr="00FF008A">
              <w:rPr>
                <w:rFonts w:asciiTheme="minorHAnsi" w:hAnsiTheme="minorHAnsi"/>
                <w:sz w:val="20"/>
                <w:szCs w:val="20"/>
                <w:lang w:val="en-GB"/>
              </w:rPr>
              <w:t xml:space="preserve">tudy of </w:t>
            </w:r>
            <w:r w:rsidR="00FE2154" w:rsidRPr="00FF008A">
              <w:rPr>
                <w:rFonts w:asciiTheme="minorHAnsi" w:hAnsiTheme="minorHAnsi"/>
                <w:sz w:val="20"/>
                <w:szCs w:val="20"/>
                <w:lang w:val="en-GB"/>
              </w:rPr>
              <w:t>b</w:t>
            </w:r>
            <w:r w:rsidRPr="00FF008A">
              <w:rPr>
                <w:rFonts w:asciiTheme="minorHAnsi" w:hAnsiTheme="minorHAnsi"/>
                <w:sz w:val="20"/>
                <w:szCs w:val="20"/>
                <w:lang w:val="en-GB"/>
              </w:rPr>
              <w:t xml:space="preserve">rentuximab </w:t>
            </w:r>
            <w:r w:rsidR="00FE2154" w:rsidRPr="00FF008A">
              <w:rPr>
                <w:rFonts w:asciiTheme="minorHAnsi" w:hAnsiTheme="minorHAnsi"/>
                <w:sz w:val="20"/>
                <w:szCs w:val="20"/>
                <w:lang w:val="en-GB"/>
              </w:rPr>
              <w:t xml:space="preserve">vedotin </w:t>
            </w:r>
            <w:r w:rsidRPr="00FF008A">
              <w:rPr>
                <w:rFonts w:asciiTheme="minorHAnsi" w:hAnsiTheme="minorHAnsi"/>
                <w:sz w:val="20"/>
                <w:szCs w:val="20"/>
                <w:lang w:val="en-GB"/>
              </w:rPr>
              <w:t xml:space="preserve">in </w:t>
            </w:r>
            <w:r w:rsidR="00FE2154" w:rsidRPr="00FF008A">
              <w:rPr>
                <w:rFonts w:asciiTheme="minorHAnsi" w:hAnsiTheme="minorHAnsi"/>
                <w:sz w:val="20"/>
                <w:szCs w:val="20"/>
                <w:lang w:val="en-GB"/>
              </w:rPr>
              <w:t>combination with gemcitabine for paediatric and young adult patients with relapsed or refractory Hodgkin lymphoma’</w:t>
            </w:r>
            <w:r w:rsidRPr="00FF008A">
              <w:rPr>
                <w:rFonts w:asciiTheme="minorHAnsi" w:hAnsiTheme="minorHAnsi"/>
                <w:sz w:val="20"/>
                <w:szCs w:val="20"/>
                <w:lang w:val="en-GB"/>
              </w:rPr>
              <w:t xml:space="preserve"> is an ongoing study conducted by the Children’s Oncology Group at the </w:t>
            </w:r>
            <w:r w:rsidR="00FE2154" w:rsidRPr="00FF008A">
              <w:rPr>
                <w:rFonts w:asciiTheme="minorHAnsi" w:hAnsiTheme="minorHAnsi"/>
                <w:sz w:val="20"/>
                <w:szCs w:val="20"/>
                <w:lang w:val="en-GB"/>
              </w:rPr>
              <w:t>US</w:t>
            </w:r>
            <w:r w:rsidRPr="00FF008A">
              <w:rPr>
                <w:rFonts w:asciiTheme="minorHAnsi" w:hAnsiTheme="minorHAnsi"/>
                <w:sz w:val="20"/>
                <w:szCs w:val="20"/>
                <w:lang w:val="en-GB"/>
              </w:rPr>
              <w:t xml:space="preserve"> National Ca</w:t>
            </w:r>
            <w:r w:rsidR="00FE2154" w:rsidRPr="00FF008A">
              <w:rPr>
                <w:rFonts w:asciiTheme="minorHAnsi" w:hAnsiTheme="minorHAnsi"/>
                <w:sz w:val="20"/>
                <w:szCs w:val="20"/>
                <w:lang w:val="en-GB"/>
              </w:rPr>
              <w:t>ncer Institute. As also summaris</w:t>
            </w:r>
            <w:r w:rsidRPr="00FF008A">
              <w:rPr>
                <w:rFonts w:asciiTheme="minorHAnsi" w:hAnsiTheme="minorHAnsi"/>
                <w:sz w:val="20"/>
                <w:szCs w:val="20"/>
                <w:lang w:val="en-GB"/>
              </w:rPr>
              <w:t xml:space="preserve">ed in </w:t>
            </w:r>
            <w:r w:rsidR="00FE2154" w:rsidRPr="00FF008A">
              <w:rPr>
                <w:rFonts w:asciiTheme="minorHAnsi" w:hAnsiTheme="minorHAnsi"/>
                <w:sz w:val="20"/>
                <w:szCs w:val="20"/>
                <w:lang w:val="en-GB"/>
              </w:rPr>
              <w:t>the sponsor’s response</w:t>
            </w:r>
            <w:r w:rsidRPr="00FF008A">
              <w:rPr>
                <w:rFonts w:asciiTheme="minorHAnsi" w:hAnsiTheme="minorHAnsi"/>
                <w:sz w:val="20"/>
                <w:szCs w:val="20"/>
                <w:lang w:val="en-GB"/>
              </w:rPr>
              <w:t xml:space="preserve"> to </w:t>
            </w:r>
            <w:r w:rsidR="00FE2154" w:rsidRPr="00FF008A">
              <w:rPr>
                <w:rFonts w:asciiTheme="minorHAnsi" w:hAnsiTheme="minorHAnsi"/>
                <w:sz w:val="20"/>
                <w:szCs w:val="20"/>
                <w:lang w:val="en-GB"/>
              </w:rPr>
              <w:t xml:space="preserve">a </w:t>
            </w:r>
            <w:r w:rsidRPr="00FF008A">
              <w:rPr>
                <w:rFonts w:asciiTheme="minorHAnsi" w:hAnsiTheme="minorHAnsi"/>
                <w:sz w:val="20"/>
                <w:szCs w:val="20"/>
                <w:lang w:val="en-GB"/>
              </w:rPr>
              <w:t>RMP</w:t>
            </w:r>
            <w:r w:rsidR="00FE2154" w:rsidRPr="00FF008A">
              <w:rPr>
                <w:rFonts w:asciiTheme="minorHAnsi" w:hAnsiTheme="minorHAnsi"/>
                <w:sz w:val="20"/>
                <w:szCs w:val="20"/>
                <w:lang w:val="en-GB"/>
              </w:rPr>
              <w:t xml:space="preserve"> q</w:t>
            </w:r>
            <w:r w:rsidRPr="00FF008A">
              <w:rPr>
                <w:rFonts w:asciiTheme="minorHAnsi" w:hAnsiTheme="minorHAnsi"/>
                <w:sz w:val="20"/>
                <w:szCs w:val="20"/>
                <w:lang w:val="en-GB"/>
              </w:rPr>
              <w:t xml:space="preserve">uestion </w:t>
            </w:r>
            <w:r w:rsidR="00FE2154" w:rsidRPr="00FF008A">
              <w:rPr>
                <w:rFonts w:asciiTheme="minorHAnsi" w:hAnsiTheme="minorHAnsi"/>
                <w:sz w:val="20"/>
                <w:szCs w:val="20"/>
                <w:lang w:val="en-GB"/>
              </w:rPr>
              <w:t>from the TGA</w:t>
            </w:r>
            <w:r w:rsidR="0032354E">
              <w:rPr>
                <w:rFonts w:asciiTheme="minorHAnsi" w:hAnsiTheme="minorHAnsi"/>
                <w:sz w:val="20"/>
                <w:szCs w:val="20"/>
                <w:lang w:val="en-GB"/>
              </w:rPr>
              <w:t xml:space="preserve"> </w:t>
            </w:r>
            <w:r w:rsidRPr="00FF008A">
              <w:rPr>
                <w:rFonts w:asciiTheme="minorHAnsi" w:hAnsiTheme="minorHAnsi"/>
                <w:sz w:val="20"/>
                <w:szCs w:val="20"/>
                <w:lang w:val="en-GB"/>
              </w:rPr>
              <w:t>findings are as follows:</w:t>
            </w:r>
          </w:p>
          <w:p w14:paraId="70E767C9" w14:textId="47F396C5" w:rsidR="008B59F0" w:rsidRPr="00FF008A" w:rsidRDefault="008B59F0" w:rsidP="00E926E1">
            <w:pPr>
              <w:spacing w:before="0" w:after="0"/>
              <w:ind w:left="0" w:right="0"/>
              <w:rPr>
                <w:rFonts w:asciiTheme="minorHAnsi" w:hAnsiTheme="minorHAnsi"/>
                <w:sz w:val="20"/>
                <w:szCs w:val="20"/>
                <w:highlight w:val="yellow"/>
                <w:lang w:val="en-GB"/>
              </w:rPr>
            </w:pPr>
            <w:r w:rsidRPr="00FF008A">
              <w:rPr>
                <w:rFonts w:asciiTheme="minorHAnsi" w:hAnsiTheme="minorHAnsi"/>
                <w:i/>
                <w:sz w:val="20"/>
                <w:szCs w:val="20"/>
                <w:lang w:val="en-GB"/>
              </w:rPr>
              <w:t>Results</w:t>
            </w:r>
            <w:r w:rsidRPr="00FF008A">
              <w:rPr>
                <w:rFonts w:asciiTheme="minorHAnsi" w:hAnsiTheme="minorHAnsi"/>
                <w:sz w:val="20"/>
                <w:szCs w:val="20"/>
                <w:lang w:val="en-GB"/>
              </w:rPr>
              <w:t>:</w:t>
            </w:r>
            <w:r w:rsidR="00FE2154" w:rsidRPr="00FF008A">
              <w:rPr>
                <w:rFonts w:asciiTheme="minorHAnsi" w:hAnsiTheme="minorHAnsi"/>
                <w:sz w:val="20"/>
                <w:szCs w:val="20"/>
                <w:lang w:val="en-GB"/>
              </w:rPr>
              <w:t xml:space="preserve"> </w:t>
            </w:r>
            <w:r w:rsidRPr="00FF008A">
              <w:rPr>
                <w:rFonts w:asciiTheme="minorHAnsi" w:hAnsiTheme="minorHAnsi"/>
                <w:sz w:val="20"/>
                <w:szCs w:val="20"/>
                <w:lang w:val="en-GB"/>
              </w:rPr>
              <w:t>n</w:t>
            </w:r>
            <w:r w:rsidR="00FE2154" w:rsidRPr="00FF008A">
              <w:rPr>
                <w:rFonts w:asciiTheme="minorHAnsi" w:hAnsiTheme="minorHAnsi"/>
                <w:sz w:val="20"/>
                <w:szCs w:val="20"/>
                <w:lang w:val="en-GB"/>
              </w:rPr>
              <w:t xml:space="preserve"> </w:t>
            </w:r>
            <w:r w:rsidRPr="00FF008A">
              <w:rPr>
                <w:rFonts w:asciiTheme="minorHAnsi" w:hAnsiTheme="minorHAnsi"/>
                <w:sz w:val="20"/>
                <w:szCs w:val="20"/>
                <w:lang w:val="en-GB"/>
              </w:rPr>
              <w:t>=</w:t>
            </w:r>
            <w:r w:rsidR="00FE2154" w:rsidRPr="00FF008A">
              <w:rPr>
                <w:rFonts w:asciiTheme="minorHAnsi" w:hAnsiTheme="minorHAnsi"/>
                <w:sz w:val="20"/>
                <w:szCs w:val="20"/>
                <w:lang w:val="en-GB"/>
              </w:rPr>
              <w:t xml:space="preserve"> </w:t>
            </w:r>
            <w:r w:rsidRPr="00FF008A">
              <w:rPr>
                <w:rFonts w:asciiTheme="minorHAnsi" w:hAnsiTheme="minorHAnsi"/>
                <w:sz w:val="20"/>
                <w:szCs w:val="20"/>
                <w:lang w:val="en-GB"/>
              </w:rPr>
              <w:t>15 (14 eval</w:t>
            </w:r>
            <w:r w:rsidR="00FE2154" w:rsidRPr="00FF008A">
              <w:rPr>
                <w:rFonts w:asciiTheme="minorHAnsi" w:hAnsiTheme="minorHAnsi"/>
                <w:sz w:val="20"/>
                <w:szCs w:val="20"/>
                <w:lang w:val="en-GB"/>
              </w:rPr>
              <w:t>uated for haem</w:t>
            </w:r>
            <w:r w:rsidR="00600B50" w:rsidRPr="00FF008A">
              <w:rPr>
                <w:rFonts w:asciiTheme="minorHAnsi" w:hAnsiTheme="minorHAnsi"/>
                <w:sz w:val="20"/>
                <w:szCs w:val="20"/>
                <w:lang w:val="en-GB"/>
              </w:rPr>
              <w:t>ato</w:t>
            </w:r>
            <w:r w:rsidR="00D2566E" w:rsidRPr="00FF008A">
              <w:rPr>
                <w:rFonts w:asciiTheme="minorHAnsi" w:hAnsiTheme="minorHAnsi"/>
                <w:sz w:val="20"/>
                <w:szCs w:val="20"/>
                <w:lang w:val="en-GB"/>
              </w:rPr>
              <w:t>logy</w:t>
            </w:r>
            <w:r w:rsidR="00DC3E1F" w:rsidRPr="00FF008A">
              <w:rPr>
                <w:rFonts w:asciiTheme="minorHAnsi" w:hAnsiTheme="minorHAnsi"/>
                <w:sz w:val="20"/>
                <w:szCs w:val="20"/>
                <w:lang w:val="en-GB"/>
              </w:rPr>
              <w:t xml:space="preserve">); median age 17 years (range: 5 to </w:t>
            </w:r>
            <w:r w:rsidRPr="00FF008A">
              <w:rPr>
                <w:rFonts w:asciiTheme="minorHAnsi" w:hAnsiTheme="minorHAnsi"/>
                <w:sz w:val="20"/>
                <w:szCs w:val="20"/>
                <w:lang w:val="en-GB"/>
              </w:rPr>
              <w:t>28);</w:t>
            </w:r>
            <w:r w:rsidR="00FE2154" w:rsidRPr="00FF008A">
              <w:rPr>
                <w:rFonts w:asciiTheme="minorHAnsi" w:hAnsiTheme="minorHAnsi"/>
                <w:sz w:val="20"/>
                <w:szCs w:val="20"/>
                <w:lang w:val="en-GB"/>
              </w:rPr>
              <w:t xml:space="preserve"> n</w:t>
            </w:r>
            <w:r w:rsidRPr="00FF008A">
              <w:rPr>
                <w:rFonts w:asciiTheme="minorHAnsi" w:hAnsiTheme="minorHAnsi"/>
                <w:sz w:val="20"/>
                <w:szCs w:val="20"/>
                <w:lang w:val="en-GB"/>
              </w:rPr>
              <w:t xml:space="preserve">o </w:t>
            </w:r>
            <w:r w:rsidR="00D2566E" w:rsidRPr="00FF008A">
              <w:rPr>
                <w:rFonts w:asciiTheme="minorHAnsi" w:hAnsiTheme="minorHAnsi"/>
                <w:sz w:val="20"/>
                <w:szCs w:val="20"/>
                <w:lang w:val="en-GB"/>
              </w:rPr>
              <w:t>dose limiting toxicities (DLT)</w:t>
            </w:r>
            <w:r w:rsidRPr="00FF008A">
              <w:rPr>
                <w:rFonts w:asciiTheme="minorHAnsi" w:hAnsiTheme="minorHAnsi"/>
                <w:sz w:val="20"/>
                <w:szCs w:val="20"/>
                <w:lang w:val="en-GB"/>
              </w:rPr>
              <w:t xml:space="preserve"> in 3 patients at </w:t>
            </w:r>
            <w:r w:rsidR="00DC3E1F" w:rsidRPr="00FF008A">
              <w:rPr>
                <w:rFonts w:asciiTheme="minorHAnsi" w:hAnsiTheme="minorHAnsi"/>
                <w:sz w:val="20"/>
                <w:szCs w:val="20"/>
                <w:lang w:val="en-GB"/>
              </w:rPr>
              <w:t>dose level 1 (</w:t>
            </w:r>
            <w:r w:rsidRPr="00FF008A">
              <w:rPr>
                <w:rFonts w:asciiTheme="minorHAnsi" w:hAnsiTheme="minorHAnsi"/>
                <w:sz w:val="20"/>
                <w:szCs w:val="20"/>
                <w:lang w:val="en-GB"/>
              </w:rPr>
              <w:t>DL1</w:t>
            </w:r>
            <w:r w:rsidR="00DC3E1F" w:rsidRPr="00FF008A">
              <w:rPr>
                <w:rFonts w:asciiTheme="minorHAnsi" w:hAnsiTheme="minorHAnsi"/>
                <w:sz w:val="20"/>
                <w:szCs w:val="20"/>
                <w:lang w:val="en-GB"/>
              </w:rPr>
              <w:t>)</w:t>
            </w:r>
            <w:r w:rsidRPr="00FF008A">
              <w:rPr>
                <w:rFonts w:asciiTheme="minorHAnsi" w:hAnsiTheme="minorHAnsi"/>
                <w:sz w:val="20"/>
                <w:szCs w:val="20"/>
                <w:lang w:val="en-GB"/>
              </w:rPr>
              <w:t>; 2 patients non-h</w:t>
            </w:r>
            <w:r w:rsidR="00FE2154" w:rsidRPr="00FF008A">
              <w:rPr>
                <w:rFonts w:asciiTheme="minorHAnsi" w:hAnsiTheme="minorHAnsi"/>
                <w:sz w:val="20"/>
                <w:szCs w:val="20"/>
                <w:lang w:val="en-GB"/>
              </w:rPr>
              <w:t>aem</w:t>
            </w:r>
            <w:r w:rsidR="00DC3E1F" w:rsidRPr="00FF008A">
              <w:rPr>
                <w:rFonts w:asciiTheme="minorHAnsi" w:hAnsiTheme="minorHAnsi"/>
                <w:sz w:val="20"/>
                <w:szCs w:val="20"/>
                <w:lang w:val="en-GB"/>
              </w:rPr>
              <w:t>atologocal</w:t>
            </w:r>
            <w:r w:rsidRPr="00FF008A">
              <w:rPr>
                <w:rFonts w:asciiTheme="minorHAnsi" w:hAnsiTheme="minorHAnsi"/>
                <w:sz w:val="20"/>
                <w:szCs w:val="20"/>
                <w:lang w:val="en-GB"/>
              </w:rPr>
              <w:t xml:space="preserve"> DLTs at </w:t>
            </w:r>
            <w:r w:rsidR="00DC3E1F" w:rsidRPr="00FF008A">
              <w:rPr>
                <w:rFonts w:asciiTheme="minorHAnsi" w:hAnsiTheme="minorHAnsi"/>
                <w:sz w:val="20"/>
                <w:szCs w:val="20"/>
                <w:lang w:val="en-GB"/>
              </w:rPr>
              <w:t>dose level 2 (</w:t>
            </w:r>
            <w:r w:rsidRPr="00FF008A">
              <w:rPr>
                <w:rFonts w:asciiTheme="minorHAnsi" w:hAnsiTheme="minorHAnsi"/>
                <w:sz w:val="20"/>
                <w:szCs w:val="20"/>
                <w:lang w:val="en-GB"/>
              </w:rPr>
              <w:t>DL2</w:t>
            </w:r>
            <w:r w:rsidR="00DC3E1F" w:rsidRPr="00FF008A">
              <w:rPr>
                <w:rFonts w:asciiTheme="minorHAnsi" w:hAnsiTheme="minorHAnsi"/>
                <w:sz w:val="20"/>
                <w:szCs w:val="20"/>
                <w:lang w:val="en-GB"/>
              </w:rPr>
              <w:t>)</w:t>
            </w:r>
            <w:r w:rsidR="00FE2154" w:rsidRPr="00FF008A">
              <w:rPr>
                <w:rFonts w:asciiTheme="minorHAnsi" w:hAnsiTheme="minorHAnsi"/>
                <w:sz w:val="20"/>
                <w:szCs w:val="20"/>
                <w:lang w:val="en-GB"/>
              </w:rPr>
              <w:t xml:space="preserve">, </w:t>
            </w:r>
            <w:r w:rsidRPr="00FF008A">
              <w:rPr>
                <w:rFonts w:asciiTheme="minorHAnsi" w:hAnsiTheme="minorHAnsi"/>
                <w:sz w:val="20"/>
                <w:szCs w:val="20"/>
                <w:lang w:val="en-GB"/>
              </w:rPr>
              <w:t>both had resolution of all tox</w:t>
            </w:r>
            <w:r w:rsidR="00FE2154" w:rsidRPr="00FF008A">
              <w:rPr>
                <w:rFonts w:asciiTheme="minorHAnsi" w:hAnsiTheme="minorHAnsi"/>
                <w:sz w:val="20"/>
                <w:szCs w:val="20"/>
                <w:lang w:val="en-GB"/>
              </w:rPr>
              <w:t xml:space="preserve">icity and continued with brentuximab vedotin </w:t>
            </w:r>
            <w:r w:rsidRPr="00FF008A">
              <w:rPr>
                <w:rFonts w:asciiTheme="minorHAnsi" w:hAnsiTheme="minorHAnsi"/>
                <w:sz w:val="20"/>
                <w:szCs w:val="20"/>
                <w:lang w:val="en-GB"/>
              </w:rPr>
              <w:t>at 1.2 mg/kg;</w:t>
            </w:r>
            <w:r w:rsidR="00DC3E1F" w:rsidRPr="00FF008A">
              <w:rPr>
                <w:rFonts w:asciiTheme="minorHAnsi" w:hAnsiTheme="minorHAnsi"/>
                <w:sz w:val="20"/>
                <w:szCs w:val="20"/>
                <w:lang w:val="en-GB"/>
              </w:rPr>
              <w:t xml:space="preserve"> </w:t>
            </w:r>
            <w:r w:rsidR="00FE2154" w:rsidRPr="00FF008A">
              <w:rPr>
                <w:rFonts w:asciiTheme="minorHAnsi" w:hAnsiTheme="minorHAnsi"/>
                <w:sz w:val="20"/>
                <w:szCs w:val="20"/>
                <w:lang w:val="en-GB"/>
              </w:rPr>
              <w:t>e</w:t>
            </w:r>
            <w:r w:rsidRPr="00FF008A">
              <w:rPr>
                <w:rFonts w:asciiTheme="minorHAnsi" w:hAnsiTheme="minorHAnsi"/>
                <w:sz w:val="20"/>
                <w:szCs w:val="20"/>
                <w:lang w:val="en-GB"/>
              </w:rPr>
              <w:t>xpansion cohort of 6 patients enrolled at DL2; no DLTs;</w:t>
            </w:r>
            <w:r w:rsidR="00DC3E1F" w:rsidRPr="00FF008A">
              <w:rPr>
                <w:rFonts w:asciiTheme="minorHAnsi" w:hAnsiTheme="minorHAnsi"/>
                <w:sz w:val="20"/>
                <w:szCs w:val="20"/>
                <w:lang w:val="en-GB"/>
              </w:rPr>
              <w:t xml:space="preserve"> </w:t>
            </w:r>
            <w:r w:rsidRPr="00FF008A">
              <w:rPr>
                <w:rFonts w:asciiTheme="minorHAnsi" w:hAnsiTheme="minorHAnsi"/>
                <w:sz w:val="20"/>
                <w:szCs w:val="20"/>
                <w:lang w:val="en-GB"/>
              </w:rPr>
              <w:t>G</w:t>
            </w:r>
            <w:r w:rsidR="00FE2154" w:rsidRPr="00FF008A">
              <w:rPr>
                <w:rFonts w:asciiTheme="minorHAnsi" w:hAnsiTheme="minorHAnsi"/>
                <w:sz w:val="20"/>
                <w:szCs w:val="20"/>
                <w:lang w:val="en-GB"/>
              </w:rPr>
              <w:t xml:space="preserve">rade </w:t>
            </w:r>
            <w:r w:rsidRPr="00FF008A">
              <w:rPr>
                <w:rFonts w:asciiTheme="minorHAnsi" w:hAnsiTheme="minorHAnsi"/>
                <w:sz w:val="20"/>
                <w:szCs w:val="20"/>
                <w:lang w:val="en-GB"/>
              </w:rPr>
              <w:t>3/4 neutrop</w:t>
            </w:r>
            <w:r w:rsidR="00FE2154" w:rsidRPr="00FF008A">
              <w:rPr>
                <w:rFonts w:asciiTheme="minorHAnsi" w:hAnsiTheme="minorHAnsi"/>
                <w:sz w:val="20"/>
                <w:szCs w:val="20"/>
                <w:lang w:val="en-GB"/>
              </w:rPr>
              <w:t>a</w:t>
            </w:r>
            <w:r w:rsidRPr="00FF008A">
              <w:rPr>
                <w:rFonts w:asciiTheme="minorHAnsi" w:hAnsiTheme="minorHAnsi"/>
                <w:sz w:val="20"/>
                <w:szCs w:val="20"/>
                <w:lang w:val="en-GB"/>
              </w:rPr>
              <w:t>enia common (13/14 patients during c1) but self-limited; no G</w:t>
            </w:r>
            <w:r w:rsidR="00FE2154" w:rsidRPr="00FF008A">
              <w:rPr>
                <w:rFonts w:asciiTheme="minorHAnsi" w:hAnsiTheme="minorHAnsi"/>
                <w:sz w:val="20"/>
                <w:szCs w:val="20"/>
                <w:lang w:val="en-GB"/>
              </w:rPr>
              <w:t xml:space="preserve">rade </w:t>
            </w:r>
            <w:r w:rsidRPr="00FF008A">
              <w:rPr>
                <w:rFonts w:asciiTheme="minorHAnsi" w:hAnsiTheme="minorHAnsi"/>
                <w:sz w:val="20"/>
                <w:szCs w:val="20"/>
                <w:lang w:val="en-GB"/>
              </w:rPr>
              <w:t>4 non-h</w:t>
            </w:r>
            <w:r w:rsidR="00FE2154" w:rsidRPr="00FF008A">
              <w:rPr>
                <w:rFonts w:asciiTheme="minorHAnsi" w:hAnsiTheme="minorHAnsi"/>
                <w:sz w:val="20"/>
                <w:szCs w:val="20"/>
                <w:lang w:val="en-GB"/>
              </w:rPr>
              <w:t>aem</w:t>
            </w:r>
            <w:r w:rsidRPr="00FF008A">
              <w:rPr>
                <w:rFonts w:asciiTheme="minorHAnsi" w:hAnsiTheme="minorHAnsi"/>
                <w:sz w:val="20"/>
                <w:szCs w:val="20"/>
                <w:lang w:val="en-GB"/>
              </w:rPr>
              <w:t xml:space="preserve"> tox</w:t>
            </w:r>
            <w:r w:rsidR="00FE2154" w:rsidRPr="00FF008A">
              <w:rPr>
                <w:rFonts w:asciiTheme="minorHAnsi" w:hAnsiTheme="minorHAnsi"/>
                <w:sz w:val="20"/>
                <w:szCs w:val="20"/>
                <w:lang w:val="en-GB"/>
              </w:rPr>
              <w:t>icity</w:t>
            </w:r>
            <w:r w:rsidRPr="00FF008A">
              <w:rPr>
                <w:rFonts w:asciiTheme="minorHAnsi" w:hAnsiTheme="minorHAnsi"/>
                <w:sz w:val="20"/>
                <w:szCs w:val="20"/>
                <w:lang w:val="en-GB"/>
              </w:rPr>
              <w:t>; no interstitial pneumonitis or pulmonary toxicity attributable to study therapy observed.</w:t>
            </w:r>
          </w:p>
          <w:p w14:paraId="3BF9DC67" w14:textId="202307B7" w:rsidR="008B59F0" w:rsidRPr="00FF008A" w:rsidRDefault="008B59F0" w:rsidP="00E926E1">
            <w:pPr>
              <w:spacing w:before="0" w:after="0"/>
              <w:ind w:left="0" w:right="0"/>
              <w:rPr>
                <w:rFonts w:asciiTheme="minorHAnsi" w:hAnsiTheme="minorHAnsi"/>
                <w:sz w:val="20"/>
                <w:szCs w:val="20"/>
                <w:lang w:val="en-GB"/>
              </w:rPr>
            </w:pPr>
            <w:r w:rsidRPr="00FF008A">
              <w:rPr>
                <w:rFonts w:asciiTheme="minorHAnsi" w:hAnsiTheme="minorHAnsi"/>
                <w:i/>
                <w:sz w:val="20"/>
                <w:szCs w:val="20"/>
                <w:lang w:val="en-GB"/>
              </w:rPr>
              <w:t>Conclusions</w:t>
            </w:r>
            <w:r w:rsidRPr="00FF008A">
              <w:rPr>
                <w:rFonts w:asciiTheme="minorHAnsi" w:hAnsiTheme="minorHAnsi"/>
                <w:sz w:val="20"/>
                <w:szCs w:val="20"/>
                <w:lang w:val="en-GB"/>
              </w:rPr>
              <w:t>:</w:t>
            </w:r>
            <w:r w:rsidR="00FE2154" w:rsidRPr="00FF008A">
              <w:rPr>
                <w:rFonts w:asciiTheme="minorHAnsi" w:hAnsiTheme="minorHAnsi"/>
                <w:sz w:val="20"/>
                <w:szCs w:val="20"/>
                <w:lang w:val="en-GB"/>
              </w:rPr>
              <w:t xml:space="preserve"> Brentuximab vedotin</w:t>
            </w:r>
            <w:r w:rsidRPr="00FF008A">
              <w:rPr>
                <w:rFonts w:asciiTheme="minorHAnsi" w:hAnsiTheme="minorHAnsi"/>
                <w:sz w:val="20"/>
                <w:szCs w:val="20"/>
                <w:lang w:val="en-GB"/>
              </w:rPr>
              <w:t xml:space="preserve"> can be safely given with gem</w:t>
            </w:r>
            <w:r w:rsidR="00FE2154" w:rsidRPr="00FF008A">
              <w:rPr>
                <w:rFonts w:asciiTheme="minorHAnsi" w:hAnsiTheme="minorHAnsi"/>
                <w:sz w:val="20"/>
                <w:szCs w:val="20"/>
                <w:lang w:val="en-GB"/>
              </w:rPr>
              <w:t>citabine</w:t>
            </w:r>
            <w:r w:rsidRPr="00FF008A">
              <w:rPr>
                <w:rFonts w:asciiTheme="minorHAnsi" w:hAnsiTheme="minorHAnsi"/>
                <w:sz w:val="20"/>
                <w:szCs w:val="20"/>
                <w:lang w:val="en-GB"/>
              </w:rPr>
              <w:t xml:space="preserve">; the recommended </w:t>
            </w:r>
            <w:r w:rsidR="00FE2154" w:rsidRPr="00FF008A">
              <w:rPr>
                <w:rFonts w:asciiTheme="minorHAnsi" w:hAnsiTheme="minorHAnsi"/>
                <w:sz w:val="20"/>
                <w:szCs w:val="20"/>
                <w:lang w:val="en-GB"/>
              </w:rPr>
              <w:t xml:space="preserve">Phase II dose </w:t>
            </w:r>
            <w:r w:rsidR="00807504" w:rsidRPr="00FF008A">
              <w:rPr>
                <w:rFonts w:asciiTheme="minorHAnsi" w:hAnsiTheme="minorHAnsi"/>
                <w:sz w:val="20"/>
                <w:szCs w:val="20"/>
                <w:lang w:val="en-GB"/>
              </w:rPr>
              <w:t>of brentuximab vedotin</w:t>
            </w:r>
            <w:r w:rsidRPr="00FF008A">
              <w:rPr>
                <w:rFonts w:asciiTheme="minorHAnsi" w:hAnsiTheme="minorHAnsi"/>
                <w:sz w:val="20"/>
                <w:szCs w:val="20"/>
                <w:lang w:val="en-GB"/>
              </w:rPr>
              <w:t xml:space="preserve"> is</w:t>
            </w:r>
            <w:r w:rsidR="00807504" w:rsidRPr="00FF008A">
              <w:rPr>
                <w:rFonts w:asciiTheme="minorHAnsi" w:hAnsiTheme="minorHAnsi"/>
                <w:sz w:val="20"/>
                <w:szCs w:val="20"/>
                <w:lang w:val="en-GB"/>
              </w:rPr>
              <w:t xml:space="preserve"> 1.8 mg/kg; ongoing Phase II</w:t>
            </w:r>
            <w:r w:rsidRPr="00FF008A">
              <w:rPr>
                <w:rFonts w:asciiTheme="minorHAnsi" w:hAnsiTheme="minorHAnsi"/>
                <w:sz w:val="20"/>
                <w:szCs w:val="20"/>
                <w:lang w:val="en-GB"/>
              </w:rPr>
              <w:t xml:space="preserve"> trial will describe CR within 4 cycles.</w:t>
            </w:r>
            <w:bookmarkStart w:id="107" w:name="_Ref484784434"/>
            <w:r w:rsidRPr="00FF008A">
              <w:rPr>
                <w:rStyle w:val="FootnoteReference"/>
                <w:rFonts w:asciiTheme="minorHAnsi" w:hAnsiTheme="minorHAnsi"/>
                <w:sz w:val="20"/>
                <w:szCs w:val="20"/>
              </w:rPr>
              <w:footnoteReference w:id="20"/>
            </w:r>
            <w:bookmarkEnd w:id="107"/>
          </w:p>
        </w:tc>
        <w:tc>
          <w:tcPr>
            <w:tcW w:w="1440" w:type="dxa"/>
          </w:tcPr>
          <w:p w14:paraId="7B893AE0" w14:textId="5BC0BE0A" w:rsidR="008B59F0" w:rsidRPr="00FF008A" w:rsidRDefault="0054121B"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lastRenderedPageBreak/>
              <w:t>This is considered acceptable in the context of this application for RMP purposes subject to approval by the Delegate.</w:t>
            </w:r>
          </w:p>
        </w:tc>
      </w:tr>
      <w:tr w:rsidR="003F50B8" w:rsidRPr="00FF008A" w14:paraId="2C9CA54B" w14:textId="77777777" w:rsidTr="00E97E63">
        <w:tc>
          <w:tcPr>
            <w:tcW w:w="2943" w:type="dxa"/>
          </w:tcPr>
          <w:p w14:paraId="75C01D91" w14:textId="3585EC60" w:rsidR="008B59F0" w:rsidRPr="00FF008A" w:rsidRDefault="00600B50"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lastRenderedPageBreak/>
              <w:t xml:space="preserve">8. </w:t>
            </w:r>
            <w:r w:rsidR="0054121B" w:rsidRPr="00FF008A">
              <w:rPr>
                <w:rFonts w:asciiTheme="minorHAnsi" w:hAnsiTheme="minorHAnsi"/>
                <w:sz w:val="20"/>
                <w:szCs w:val="20"/>
              </w:rPr>
              <w:t>In the ‘Interaction with other Medicines’ section, the PI should state that the combined use of brentuximab vedotin and gemcitabine is associated with pulmonary toxicity (or a statement to that effect).</w:t>
            </w:r>
          </w:p>
        </w:tc>
        <w:tc>
          <w:tcPr>
            <w:tcW w:w="4730" w:type="dxa"/>
          </w:tcPr>
          <w:p w14:paraId="1A01CE58" w14:textId="77777777" w:rsidR="003B417C" w:rsidRPr="00FF008A" w:rsidRDefault="0054121B" w:rsidP="00E926E1">
            <w:pPr>
              <w:spacing w:before="0" w:after="0"/>
              <w:ind w:left="0" w:right="0"/>
              <w:rPr>
                <w:rFonts w:asciiTheme="minorHAnsi" w:hAnsiTheme="minorHAnsi"/>
                <w:sz w:val="20"/>
                <w:szCs w:val="20"/>
              </w:rPr>
            </w:pPr>
            <w:r w:rsidRPr="00FF008A">
              <w:rPr>
                <w:rFonts w:asciiTheme="minorHAnsi" w:hAnsiTheme="minorHAnsi"/>
                <w:sz w:val="20"/>
                <w:szCs w:val="20"/>
              </w:rPr>
              <w:t>Please be advised that there is no evidence that the combined use of brentuximab vedotin (SGN-35) and gemcitabine causes pulmonary toxicity.</w:t>
            </w:r>
          </w:p>
          <w:p w14:paraId="73BE6E91" w14:textId="61E37D8F" w:rsidR="0054121B" w:rsidRPr="00FF008A" w:rsidRDefault="0054121B" w:rsidP="00E926E1">
            <w:pPr>
              <w:spacing w:before="0" w:after="0"/>
              <w:ind w:left="0" w:right="0"/>
              <w:rPr>
                <w:rFonts w:asciiTheme="minorHAnsi" w:hAnsiTheme="minorHAnsi"/>
                <w:sz w:val="20"/>
                <w:szCs w:val="20"/>
              </w:rPr>
            </w:pPr>
            <w:r w:rsidRPr="00FF008A">
              <w:rPr>
                <w:rFonts w:asciiTheme="minorHAnsi" w:hAnsiTheme="minorHAnsi"/>
                <w:sz w:val="20"/>
                <w:szCs w:val="20"/>
              </w:rPr>
              <w:t xml:space="preserve">Pulmonary toxicity has been reported with the combined use of SGN-30 and gemcitabine. SGN-30, the naked (unbound) antibody component of brentuximab </w:t>
            </w:r>
            <w:proofErr w:type="spellStart"/>
            <w:r w:rsidRPr="00FF008A">
              <w:rPr>
                <w:rFonts w:asciiTheme="minorHAnsi" w:hAnsiTheme="minorHAnsi"/>
                <w:sz w:val="20"/>
                <w:szCs w:val="20"/>
              </w:rPr>
              <w:t>vedoti</w:t>
            </w:r>
            <w:r w:rsidR="004F090E" w:rsidRPr="00FF008A">
              <w:rPr>
                <w:rFonts w:asciiTheme="minorHAnsi" w:hAnsiTheme="minorHAnsi"/>
                <w:sz w:val="20"/>
                <w:szCs w:val="20"/>
              </w:rPr>
              <w:t>n</w:t>
            </w:r>
            <w:proofErr w:type="spellEnd"/>
            <w:r w:rsidR="004F090E" w:rsidRPr="00FF008A">
              <w:rPr>
                <w:rFonts w:asciiTheme="minorHAnsi" w:hAnsiTheme="minorHAnsi"/>
                <w:sz w:val="20"/>
                <w:szCs w:val="20"/>
              </w:rPr>
              <w:t>, was investigated separately</w:t>
            </w:r>
            <w:r w:rsidRPr="00FF008A">
              <w:rPr>
                <w:rFonts w:asciiTheme="minorHAnsi" w:hAnsiTheme="minorHAnsi"/>
                <w:sz w:val="20"/>
                <w:szCs w:val="20"/>
              </w:rPr>
              <w:t>.</w:t>
            </w:r>
            <w:r w:rsidR="004F090E" w:rsidRPr="00FF008A">
              <w:rPr>
                <w:rFonts w:asciiTheme="minorHAnsi" w:hAnsiTheme="minorHAnsi"/>
                <w:sz w:val="20"/>
                <w:szCs w:val="20"/>
                <w:vertAlign w:val="superscript"/>
              </w:rPr>
              <w:fldChar w:fldCharType="begin"/>
            </w:r>
            <w:r w:rsidR="004F090E" w:rsidRPr="00FF008A">
              <w:rPr>
                <w:rFonts w:asciiTheme="minorHAnsi" w:hAnsiTheme="minorHAnsi"/>
                <w:sz w:val="20"/>
                <w:szCs w:val="20"/>
                <w:vertAlign w:val="superscript"/>
              </w:rPr>
              <w:instrText xml:space="preserve"> NOTEREF _Ref484784269 \h  \* MERGEFORMAT </w:instrText>
            </w:r>
            <w:r w:rsidR="004F090E" w:rsidRPr="00FF008A">
              <w:rPr>
                <w:rFonts w:asciiTheme="minorHAnsi" w:hAnsiTheme="minorHAnsi"/>
                <w:sz w:val="20"/>
                <w:szCs w:val="20"/>
                <w:vertAlign w:val="superscript"/>
              </w:rPr>
            </w:r>
            <w:r w:rsidR="004F090E" w:rsidRPr="00FF008A">
              <w:rPr>
                <w:rFonts w:asciiTheme="minorHAnsi" w:hAnsiTheme="minorHAnsi"/>
                <w:sz w:val="20"/>
                <w:szCs w:val="20"/>
                <w:vertAlign w:val="superscript"/>
              </w:rPr>
              <w:fldChar w:fldCharType="separate"/>
            </w:r>
            <w:r w:rsidR="006633C8">
              <w:rPr>
                <w:rFonts w:asciiTheme="minorHAnsi" w:hAnsiTheme="minorHAnsi"/>
                <w:sz w:val="20"/>
                <w:szCs w:val="20"/>
                <w:vertAlign w:val="superscript"/>
              </w:rPr>
              <w:t>19</w:t>
            </w:r>
            <w:r w:rsidR="004F090E" w:rsidRPr="00FF008A">
              <w:rPr>
                <w:rFonts w:asciiTheme="minorHAnsi" w:hAnsiTheme="minorHAnsi"/>
                <w:sz w:val="20"/>
                <w:szCs w:val="20"/>
                <w:vertAlign w:val="superscript"/>
              </w:rPr>
              <w:fldChar w:fldCharType="end"/>
            </w:r>
            <w:r w:rsidRPr="00FF008A">
              <w:rPr>
                <w:rFonts w:asciiTheme="minorHAnsi" w:hAnsiTheme="minorHAnsi"/>
                <w:sz w:val="20"/>
                <w:szCs w:val="20"/>
              </w:rPr>
              <w:t xml:space="preserve"> While planned study of concomitant brentuximab vedotin and gemcitabine (</w:t>
            </w:r>
            <w:r w:rsidR="003B417C" w:rsidRPr="00FF008A">
              <w:rPr>
                <w:rFonts w:asciiTheme="minorHAnsi" w:hAnsiTheme="minorHAnsi"/>
                <w:sz w:val="20"/>
                <w:szCs w:val="20"/>
              </w:rPr>
              <w:t xml:space="preserve">Study </w:t>
            </w:r>
            <w:r w:rsidRPr="00FF008A">
              <w:rPr>
                <w:rFonts w:asciiTheme="minorHAnsi" w:hAnsiTheme="minorHAnsi"/>
                <w:sz w:val="20"/>
                <w:szCs w:val="20"/>
              </w:rPr>
              <w:t xml:space="preserve">SG035-0002) was not initiated on the basis of pulmonary toxicity findings obtained with the unbound antibody-gemcitabine combination, currently no clinical data exist to substantiate the concern that combining the brentuximab vedotin </w:t>
            </w:r>
            <w:r w:rsidR="003B417C" w:rsidRPr="00FF008A">
              <w:rPr>
                <w:rFonts w:asciiTheme="minorHAnsi" w:hAnsiTheme="minorHAnsi"/>
                <w:sz w:val="20"/>
                <w:szCs w:val="20"/>
              </w:rPr>
              <w:t>ADC</w:t>
            </w:r>
            <w:r w:rsidRPr="00FF008A">
              <w:rPr>
                <w:rFonts w:asciiTheme="minorHAnsi" w:hAnsiTheme="minorHAnsi"/>
                <w:sz w:val="20"/>
                <w:szCs w:val="20"/>
              </w:rPr>
              <w:t xml:space="preserve"> and gemcitabine results in increased pulmonary toxicity.</w:t>
            </w:r>
          </w:p>
          <w:p w14:paraId="663B34F7" w14:textId="051FC228" w:rsidR="008B59F0" w:rsidRPr="00FF008A" w:rsidRDefault="0054121B" w:rsidP="004F090E">
            <w:pPr>
              <w:spacing w:before="0" w:after="0"/>
              <w:ind w:left="0" w:right="0"/>
              <w:rPr>
                <w:rFonts w:asciiTheme="minorHAnsi" w:hAnsiTheme="minorHAnsi"/>
                <w:sz w:val="20"/>
                <w:szCs w:val="20"/>
              </w:rPr>
            </w:pPr>
            <w:r w:rsidRPr="00FF008A">
              <w:rPr>
                <w:rFonts w:asciiTheme="minorHAnsi" w:hAnsiTheme="minorHAnsi"/>
                <w:sz w:val="20"/>
                <w:szCs w:val="20"/>
              </w:rPr>
              <w:t>Preliminary clinical data with the combination of brentuximab vedotin and gemcitabine show a manageable safety profile. Study NCT01780662, entitled</w:t>
            </w:r>
            <w:r w:rsidR="008B59F0" w:rsidRPr="00FF008A">
              <w:rPr>
                <w:rFonts w:asciiTheme="minorHAnsi" w:hAnsiTheme="minorHAnsi"/>
                <w:sz w:val="20"/>
                <w:szCs w:val="20"/>
              </w:rPr>
              <w:t xml:space="preserve"> </w:t>
            </w:r>
            <w:r w:rsidR="003B417C" w:rsidRPr="00FF008A">
              <w:rPr>
                <w:rFonts w:asciiTheme="minorHAnsi" w:hAnsiTheme="minorHAnsi"/>
                <w:sz w:val="20"/>
                <w:szCs w:val="20"/>
              </w:rPr>
              <w:t>‘</w:t>
            </w:r>
            <w:r w:rsidRPr="00FF008A">
              <w:rPr>
                <w:rFonts w:asciiTheme="minorHAnsi" w:hAnsiTheme="minorHAnsi"/>
                <w:sz w:val="20"/>
                <w:szCs w:val="20"/>
              </w:rPr>
              <w:t xml:space="preserve">A Phase </w:t>
            </w:r>
            <w:r w:rsidR="003B417C" w:rsidRPr="00FF008A">
              <w:rPr>
                <w:rFonts w:asciiTheme="minorHAnsi" w:hAnsiTheme="minorHAnsi"/>
                <w:sz w:val="20"/>
                <w:szCs w:val="20"/>
              </w:rPr>
              <w:t>I/II</w:t>
            </w:r>
            <w:r w:rsidRPr="00FF008A">
              <w:rPr>
                <w:rFonts w:asciiTheme="minorHAnsi" w:hAnsiTheme="minorHAnsi"/>
                <w:sz w:val="20"/>
                <w:szCs w:val="20"/>
              </w:rPr>
              <w:t xml:space="preserve"> </w:t>
            </w:r>
            <w:r w:rsidR="003B417C" w:rsidRPr="00FF008A">
              <w:rPr>
                <w:rFonts w:asciiTheme="minorHAnsi" w:hAnsiTheme="minorHAnsi"/>
                <w:sz w:val="20"/>
                <w:szCs w:val="20"/>
              </w:rPr>
              <w:t xml:space="preserve">study of brentuximab vedotin </w:t>
            </w:r>
            <w:r w:rsidRPr="00FF008A">
              <w:rPr>
                <w:rFonts w:asciiTheme="minorHAnsi" w:hAnsiTheme="minorHAnsi"/>
                <w:sz w:val="20"/>
                <w:szCs w:val="20"/>
              </w:rPr>
              <w:t xml:space="preserve">(SGN35) in </w:t>
            </w:r>
            <w:r w:rsidR="003B417C" w:rsidRPr="00FF008A">
              <w:rPr>
                <w:rFonts w:asciiTheme="minorHAnsi" w:hAnsiTheme="minorHAnsi"/>
                <w:sz w:val="20"/>
                <w:szCs w:val="20"/>
              </w:rPr>
              <w:t>combination with gemcitabine for paediatric and young adult patients with relapsed or refractory Hodgkin lymphoma’</w:t>
            </w:r>
            <w:r w:rsidRPr="00FF008A">
              <w:rPr>
                <w:rFonts w:asciiTheme="minorHAnsi" w:hAnsiTheme="minorHAnsi"/>
                <w:sz w:val="20"/>
                <w:szCs w:val="20"/>
              </w:rPr>
              <w:t xml:space="preserve"> is an ongoing study conducted by the Children’s Oncology Group at the United </w:t>
            </w:r>
            <w:r w:rsidR="003B417C" w:rsidRPr="00FF008A">
              <w:rPr>
                <w:rFonts w:asciiTheme="minorHAnsi" w:hAnsiTheme="minorHAnsi"/>
                <w:sz w:val="20"/>
                <w:szCs w:val="20"/>
              </w:rPr>
              <w:t>US</w:t>
            </w:r>
            <w:r w:rsidRPr="00FF008A">
              <w:rPr>
                <w:rFonts w:asciiTheme="minorHAnsi" w:hAnsiTheme="minorHAnsi"/>
                <w:sz w:val="20"/>
                <w:szCs w:val="20"/>
              </w:rPr>
              <w:t xml:space="preserve"> National Cancer Institute.</w:t>
            </w:r>
            <w:r w:rsidR="00F853A3" w:rsidRPr="00FF008A">
              <w:rPr>
                <w:rFonts w:asciiTheme="minorHAnsi" w:hAnsiTheme="minorHAnsi"/>
                <w:sz w:val="20"/>
                <w:szCs w:val="20"/>
                <w:vertAlign w:val="superscript"/>
              </w:rPr>
              <w:fldChar w:fldCharType="begin"/>
            </w:r>
            <w:r w:rsidR="00F853A3" w:rsidRPr="00FF008A">
              <w:rPr>
                <w:rFonts w:asciiTheme="minorHAnsi" w:hAnsiTheme="minorHAnsi"/>
                <w:sz w:val="20"/>
                <w:szCs w:val="20"/>
                <w:vertAlign w:val="superscript"/>
              </w:rPr>
              <w:instrText xml:space="preserve"> NOTEREF _Ref484784434 \h  \* MERGEFORMAT </w:instrText>
            </w:r>
            <w:r w:rsidR="00F853A3" w:rsidRPr="00FF008A">
              <w:rPr>
                <w:rFonts w:asciiTheme="minorHAnsi" w:hAnsiTheme="minorHAnsi"/>
                <w:sz w:val="20"/>
                <w:szCs w:val="20"/>
                <w:vertAlign w:val="superscript"/>
              </w:rPr>
            </w:r>
            <w:r w:rsidR="00F853A3" w:rsidRPr="00FF008A">
              <w:rPr>
                <w:rFonts w:asciiTheme="minorHAnsi" w:hAnsiTheme="minorHAnsi"/>
                <w:sz w:val="20"/>
                <w:szCs w:val="20"/>
                <w:vertAlign w:val="superscript"/>
              </w:rPr>
              <w:fldChar w:fldCharType="separate"/>
            </w:r>
            <w:r w:rsidR="006633C8">
              <w:rPr>
                <w:rFonts w:asciiTheme="minorHAnsi" w:hAnsiTheme="minorHAnsi"/>
                <w:sz w:val="20"/>
                <w:szCs w:val="20"/>
                <w:vertAlign w:val="superscript"/>
              </w:rPr>
              <w:t>20</w:t>
            </w:r>
            <w:r w:rsidR="00F853A3" w:rsidRPr="00FF008A">
              <w:rPr>
                <w:rFonts w:asciiTheme="minorHAnsi" w:hAnsiTheme="minorHAnsi"/>
                <w:sz w:val="20"/>
                <w:szCs w:val="20"/>
                <w:vertAlign w:val="superscript"/>
              </w:rPr>
              <w:fldChar w:fldCharType="end"/>
            </w:r>
            <w:r w:rsidRPr="00FF008A">
              <w:rPr>
                <w:rFonts w:asciiTheme="minorHAnsi" w:hAnsiTheme="minorHAnsi"/>
                <w:sz w:val="20"/>
                <w:szCs w:val="20"/>
              </w:rPr>
              <w:t xml:space="preserve"> </w:t>
            </w:r>
            <w:r w:rsidR="003B417C" w:rsidRPr="00FF008A">
              <w:rPr>
                <w:rFonts w:asciiTheme="minorHAnsi" w:hAnsiTheme="minorHAnsi"/>
                <w:sz w:val="20"/>
                <w:szCs w:val="20"/>
              </w:rPr>
              <w:t>Results and conclusions are as discussed in the answer above.</w:t>
            </w:r>
          </w:p>
        </w:tc>
        <w:tc>
          <w:tcPr>
            <w:tcW w:w="1440" w:type="dxa"/>
          </w:tcPr>
          <w:p w14:paraId="086BDA26" w14:textId="6502DAFE" w:rsidR="008B59F0" w:rsidRPr="00FF008A" w:rsidRDefault="0054121B"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This is considered acceptable in the context of this application for RMP purposes subject to approval by the Delegate.</w:t>
            </w:r>
          </w:p>
        </w:tc>
      </w:tr>
      <w:tr w:rsidR="003F50B8" w:rsidRPr="00FF008A" w14:paraId="31871A7C" w14:textId="77777777" w:rsidTr="00E97E63">
        <w:tc>
          <w:tcPr>
            <w:tcW w:w="2943" w:type="dxa"/>
          </w:tcPr>
          <w:p w14:paraId="107DFEA6" w14:textId="6DC9E9CD" w:rsidR="008B59F0" w:rsidRPr="00FF008A" w:rsidRDefault="00600B50"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 xml:space="preserve">9. </w:t>
            </w:r>
            <w:r w:rsidR="0054121B" w:rsidRPr="00FF008A">
              <w:rPr>
                <w:rFonts w:asciiTheme="minorHAnsi" w:hAnsiTheme="minorHAnsi"/>
                <w:sz w:val="20"/>
                <w:szCs w:val="20"/>
              </w:rPr>
              <w:t xml:space="preserve">In the ‘Dosage and Administration’ section, the </w:t>
            </w:r>
            <w:r w:rsidR="0054121B" w:rsidRPr="00FF008A">
              <w:rPr>
                <w:rFonts w:asciiTheme="minorHAnsi" w:hAnsiTheme="minorHAnsi"/>
                <w:sz w:val="20"/>
                <w:szCs w:val="20"/>
              </w:rPr>
              <w:lastRenderedPageBreak/>
              <w:t xml:space="preserve">sponsor should consider providing dosing information based on body surface area rather </w:t>
            </w:r>
            <w:r w:rsidR="003F5D88" w:rsidRPr="00FF008A">
              <w:rPr>
                <w:rFonts w:asciiTheme="minorHAnsi" w:hAnsiTheme="minorHAnsi"/>
                <w:sz w:val="20"/>
                <w:szCs w:val="20"/>
              </w:rPr>
              <w:t xml:space="preserve">than body weight to avoid overdosing </w:t>
            </w:r>
            <w:r w:rsidR="0054121B" w:rsidRPr="00FF008A">
              <w:rPr>
                <w:rFonts w:asciiTheme="minorHAnsi" w:hAnsiTheme="minorHAnsi"/>
                <w:sz w:val="20"/>
                <w:szCs w:val="20"/>
              </w:rPr>
              <w:t>or underdosing.</w:t>
            </w:r>
          </w:p>
        </w:tc>
        <w:tc>
          <w:tcPr>
            <w:tcW w:w="4730" w:type="dxa"/>
          </w:tcPr>
          <w:p w14:paraId="4C9ED5F5" w14:textId="05FA9628" w:rsidR="008B59F0" w:rsidRPr="00FF008A" w:rsidRDefault="00E926E1" w:rsidP="00E926E1">
            <w:pPr>
              <w:spacing w:before="0" w:after="0"/>
              <w:ind w:left="0" w:right="0"/>
              <w:rPr>
                <w:rFonts w:asciiTheme="minorHAnsi" w:hAnsiTheme="minorHAnsi"/>
                <w:sz w:val="20"/>
                <w:szCs w:val="20"/>
              </w:rPr>
            </w:pPr>
            <w:r w:rsidRPr="00FF008A">
              <w:rPr>
                <w:rFonts w:asciiTheme="minorHAnsi" w:hAnsiTheme="minorHAnsi"/>
                <w:sz w:val="20"/>
                <w:szCs w:val="20"/>
              </w:rPr>
              <w:lastRenderedPageBreak/>
              <w:t>The sponsor</w:t>
            </w:r>
            <w:r w:rsidR="0054121B" w:rsidRPr="00FF008A">
              <w:rPr>
                <w:rFonts w:asciiTheme="minorHAnsi" w:hAnsiTheme="minorHAnsi"/>
                <w:sz w:val="20"/>
                <w:szCs w:val="20"/>
              </w:rPr>
              <w:t xml:space="preserve"> maintain</w:t>
            </w:r>
            <w:r w:rsidR="0094783C">
              <w:rPr>
                <w:rFonts w:asciiTheme="minorHAnsi" w:hAnsiTheme="minorHAnsi"/>
                <w:sz w:val="20"/>
                <w:szCs w:val="20"/>
              </w:rPr>
              <w:t>s</w:t>
            </w:r>
            <w:r w:rsidR="0054121B" w:rsidRPr="00FF008A">
              <w:rPr>
                <w:rFonts w:asciiTheme="minorHAnsi" w:hAnsiTheme="minorHAnsi"/>
                <w:sz w:val="20"/>
                <w:szCs w:val="20"/>
              </w:rPr>
              <w:t xml:space="preserve"> that the current dosage and administration instructions, based on the data from </w:t>
            </w:r>
            <w:r w:rsidR="0054121B" w:rsidRPr="00FF008A">
              <w:rPr>
                <w:rFonts w:asciiTheme="minorHAnsi" w:hAnsiTheme="minorHAnsi"/>
                <w:sz w:val="20"/>
                <w:szCs w:val="20"/>
              </w:rPr>
              <w:lastRenderedPageBreak/>
              <w:t>the clinical development program, remains appropriate. The dosage and administration of Adcetris based on body weight is also consistent across all international markets including Europe and North America.</w:t>
            </w:r>
          </w:p>
        </w:tc>
        <w:tc>
          <w:tcPr>
            <w:tcW w:w="1440" w:type="dxa"/>
          </w:tcPr>
          <w:p w14:paraId="048305ED" w14:textId="55A9BF22" w:rsidR="008B59F0" w:rsidRPr="00FF008A" w:rsidRDefault="0054121B"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lastRenderedPageBreak/>
              <w:t xml:space="preserve">This is considered </w:t>
            </w:r>
            <w:r w:rsidRPr="00FF008A">
              <w:rPr>
                <w:rFonts w:asciiTheme="minorHAnsi" w:hAnsiTheme="minorHAnsi"/>
                <w:sz w:val="20"/>
                <w:szCs w:val="20"/>
              </w:rPr>
              <w:lastRenderedPageBreak/>
              <w:t>acceptable in the context of this application for RMP purposes subject to approval by the Delegate.</w:t>
            </w:r>
          </w:p>
        </w:tc>
      </w:tr>
      <w:tr w:rsidR="003F50B8" w:rsidRPr="00FF008A" w14:paraId="3291F420" w14:textId="77777777" w:rsidTr="00E97E63">
        <w:tc>
          <w:tcPr>
            <w:tcW w:w="2943" w:type="dxa"/>
          </w:tcPr>
          <w:p w14:paraId="650DEEB0" w14:textId="761B4FE3" w:rsidR="008B59F0" w:rsidRPr="00FF008A" w:rsidRDefault="00600B50"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lastRenderedPageBreak/>
              <w:t xml:space="preserve">10. </w:t>
            </w:r>
            <w:r w:rsidR="008B59F0" w:rsidRPr="00FF008A">
              <w:rPr>
                <w:rFonts w:asciiTheme="minorHAnsi" w:hAnsiTheme="minorHAnsi"/>
                <w:sz w:val="20"/>
                <w:szCs w:val="20"/>
              </w:rPr>
              <w:t>It is recommended to the Delegate that the draft consumer medicines information</w:t>
            </w:r>
            <w:r w:rsidR="003F5D88" w:rsidRPr="00FF008A">
              <w:rPr>
                <w:rFonts w:asciiTheme="minorHAnsi" w:hAnsiTheme="minorHAnsi"/>
                <w:sz w:val="20"/>
                <w:szCs w:val="20"/>
              </w:rPr>
              <w:t xml:space="preserve"> (CMI)</w:t>
            </w:r>
            <w:r w:rsidR="008B59F0" w:rsidRPr="00FF008A">
              <w:rPr>
                <w:rFonts w:asciiTheme="minorHAnsi" w:hAnsiTheme="minorHAnsi"/>
                <w:sz w:val="20"/>
                <w:szCs w:val="20"/>
              </w:rPr>
              <w:t xml:space="preserve"> document be revised to accommodate the changes made to the product information document.</w:t>
            </w:r>
          </w:p>
        </w:tc>
        <w:tc>
          <w:tcPr>
            <w:tcW w:w="4730" w:type="dxa"/>
          </w:tcPr>
          <w:p w14:paraId="628AB492" w14:textId="470CE77E" w:rsidR="008B59F0" w:rsidRPr="00FF008A" w:rsidRDefault="008B59F0" w:rsidP="00E926E1">
            <w:pPr>
              <w:spacing w:before="0" w:after="0"/>
              <w:ind w:left="0" w:right="0"/>
              <w:rPr>
                <w:rFonts w:asciiTheme="minorHAnsi" w:hAnsiTheme="minorHAnsi"/>
                <w:sz w:val="20"/>
                <w:szCs w:val="20"/>
              </w:rPr>
            </w:pPr>
            <w:r w:rsidRPr="00FF008A">
              <w:rPr>
                <w:rFonts w:asciiTheme="minorHAnsi" w:hAnsiTheme="minorHAnsi"/>
                <w:sz w:val="20"/>
                <w:szCs w:val="20"/>
              </w:rPr>
              <w:t>The sponsor has updated the CMI in accordance with all proposed revisions to the Product Information document.</w:t>
            </w:r>
          </w:p>
        </w:tc>
        <w:tc>
          <w:tcPr>
            <w:tcW w:w="1440" w:type="dxa"/>
          </w:tcPr>
          <w:p w14:paraId="7E3E2EAF" w14:textId="24960335" w:rsidR="008B59F0" w:rsidRPr="00FF008A" w:rsidRDefault="008B59F0" w:rsidP="00E926E1">
            <w:pPr>
              <w:spacing w:before="100" w:beforeAutospacing="1" w:after="100" w:afterAutospacing="1"/>
              <w:ind w:left="0" w:right="0"/>
              <w:rPr>
                <w:rFonts w:asciiTheme="minorHAnsi" w:hAnsiTheme="minorHAnsi"/>
                <w:sz w:val="20"/>
                <w:szCs w:val="20"/>
              </w:rPr>
            </w:pPr>
            <w:r w:rsidRPr="00FF008A">
              <w:rPr>
                <w:rFonts w:asciiTheme="minorHAnsi" w:hAnsiTheme="minorHAnsi"/>
                <w:sz w:val="20"/>
                <w:szCs w:val="20"/>
              </w:rPr>
              <w:t>This is considered acceptable in the context of this application for RMP purposes subject to approval by the Delegate.</w:t>
            </w:r>
          </w:p>
        </w:tc>
      </w:tr>
    </w:tbl>
    <w:p w14:paraId="6C6E2F2A" w14:textId="77777777"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14:paraId="4F35761F" w14:textId="031E0423" w:rsidR="004D593F" w:rsidRDefault="004D593F" w:rsidP="004D593F">
      <w:pPr>
        <w:rPr>
          <w:lang w:eastAsia="en-AU"/>
        </w:rPr>
      </w:pPr>
      <w:r w:rsidRPr="004D593F">
        <w:rPr>
          <w:lang w:eastAsia="en-AU"/>
        </w:rPr>
        <w:t xml:space="preserve">‘Radiation recall’ should be added as an Important Potential Risk in the </w:t>
      </w:r>
      <w:r w:rsidR="00D434C5">
        <w:rPr>
          <w:lang w:eastAsia="en-AU"/>
        </w:rPr>
        <w:t>ASA</w:t>
      </w:r>
      <w:r w:rsidRPr="004D593F">
        <w:rPr>
          <w:lang w:eastAsia="en-AU"/>
        </w:rPr>
        <w:t xml:space="preserve"> of the RMP. This should be assigned to </w:t>
      </w:r>
      <w:r w:rsidR="00D434C5">
        <w:rPr>
          <w:lang w:eastAsia="en-AU"/>
        </w:rPr>
        <w:t>S</w:t>
      </w:r>
      <w:r w:rsidRPr="004D593F">
        <w:rPr>
          <w:lang w:eastAsia="en-AU"/>
        </w:rPr>
        <w:t xml:space="preserve">tudy MA25101 (PASS) </w:t>
      </w:r>
      <w:r w:rsidR="00D434C5">
        <w:rPr>
          <w:lang w:eastAsia="en-AU"/>
        </w:rPr>
        <w:t>and reported in PSURs (r</w:t>
      </w:r>
      <w:r w:rsidRPr="004D593F">
        <w:rPr>
          <w:lang w:eastAsia="en-AU"/>
        </w:rPr>
        <w:t xml:space="preserve">eference: </w:t>
      </w:r>
      <w:r w:rsidR="00D434C5">
        <w:rPr>
          <w:lang w:eastAsia="en-AU"/>
        </w:rPr>
        <w:t xml:space="preserve">based on </w:t>
      </w:r>
      <w:r w:rsidRPr="004D593F">
        <w:rPr>
          <w:lang w:eastAsia="en-AU"/>
        </w:rPr>
        <w:t>new recommendation based on Clinical Evaluation Report advice).</w:t>
      </w:r>
    </w:p>
    <w:p w14:paraId="2F23BE09" w14:textId="77777777" w:rsidR="009701A0" w:rsidRDefault="00A53A6E" w:rsidP="00A53A6E">
      <w:pPr>
        <w:pStyle w:val="Heading5"/>
      </w:pPr>
      <w:r w:rsidRPr="00502C09">
        <w:t>Suggested wording for conditions of registration</w:t>
      </w:r>
    </w:p>
    <w:p w14:paraId="755860AD" w14:textId="20F3417B" w:rsidR="00A53A6E" w:rsidRPr="006616FF" w:rsidRDefault="00A53A6E" w:rsidP="00A53A6E">
      <w:pPr>
        <w:adjustRightInd w:val="0"/>
        <w:snapToGrid w:val="0"/>
        <w:rPr>
          <w:rFonts w:asciiTheme="minorHAnsi" w:hAnsiTheme="minorHAnsi"/>
          <w:b/>
        </w:rPr>
      </w:pPr>
      <w:r w:rsidRPr="006616FF">
        <w:rPr>
          <w:rFonts w:asciiTheme="minorHAnsi" w:hAnsiTheme="minorHAnsi"/>
          <w:b/>
        </w:rPr>
        <w:t>RMP</w:t>
      </w:r>
    </w:p>
    <w:p w14:paraId="5A81C974" w14:textId="77777777" w:rsidR="00A53A6E" w:rsidRDefault="00A53A6E" w:rsidP="00A53A6E">
      <w:r w:rsidRPr="00502C09">
        <w:t>Any changes to which the sponsor agreed become part of the risk management system, whether they are included in the currently available version of the RMP document, or not included, inadvertently or otherwise.</w:t>
      </w:r>
    </w:p>
    <w:p w14:paraId="4AA32A33" w14:textId="77777777" w:rsidR="00A53A6E" w:rsidRPr="00B23592" w:rsidRDefault="00A53A6E" w:rsidP="00A53A6E">
      <w:r w:rsidRPr="00502C09">
        <w:t>The suggested wording is:</w:t>
      </w:r>
    </w:p>
    <w:p w14:paraId="7096C502" w14:textId="77777777" w:rsidR="00A53A6E" w:rsidRPr="00A53A6E" w:rsidRDefault="00A53A6E" w:rsidP="00A53A6E">
      <w:pPr>
        <w:ind w:left="720"/>
        <w:rPr>
          <w:i/>
        </w:rPr>
      </w:pPr>
      <w:r w:rsidRPr="00A53A6E">
        <w:rPr>
          <w:i/>
        </w:rPr>
        <w:t>Implement EU-RMP Version 5.2 (dated 23 February 2015, DLP 18 August 2014) and Australian-specific annex (ASA) Version 5.0 (dated February 2016), and future updates where TGA approved, as a condition of registration.</w:t>
      </w:r>
    </w:p>
    <w:p w14:paraId="58C990F1" w14:textId="77777777" w:rsidR="008E7846" w:rsidRPr="00792A32" w:rsidRDefault="008E7846" w:rsidP="008E7846">
      <w:pPr>
        <w:pStyle w:val="Heading2"/>
      </w:pPr>
      <w:bookmarkStart w:id="108" w:name="_Toc314842510"/>
      <w:bookmarkStart w:id="109" w:name="_Toc49540079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8"/>
      <w:bookmarkEnd w:id="99"/>
      <w:bookmarkEnd w:id="108"/>
      <w:bookmarkEnd w:id="109"/>
    </w:p>
    <w:p w14:paraId="47CA4238" w14:textId="77777777" w:rsidR="008E7846" w:rsidRDefault="008E7846" w:rsidP="008E7846">
      <w:bookmarkStart w:id="110" w:name="_Toc247691528"/>
      <w:r>
        <w:t xml:space="preserve">The submission was summarised in the following </w:t>
      </w:r>
      <w:r w:rsidRPr="00EF5C48">
        <w:t xml:space="preserve">Delegate’s </w:t>
      </w:r>
      <w:r>
        <w:t>overview</w:t>
      </w:r>
      <w:r w:rsidRPr="00EF5C48">
        <w:t xml:space="preserve"> and recommendation</w:t>
      </w:r>
      <w:r>
        <w:t>s:</w:t>
      </w:r>
    </w:p>
    <w:p w14:paraId="68C1228F" w14:textId="0BAD5E7F" w:rsidR="008E7846" w:rsidRPr="00FC1FCA" w:rsidRDefault="008E7846" w:rsidP="00C70B52">
      <w:pPr>
        <w:pStyle w:val="Heading3"/>
      </w:pPr>
      <w:bookmarkStart w:id="111" w:name="_Toc314842511"/>
      <w:bookmarkStart w:id="112" w:name="_Toc495400792"/>
      <w:r>
        <w:t>Quality</w:t>
      </w:r>
      <w:bookmarkEnd w:id="110"/>
      <w:bookmarkEnd w:id="111"/>
      <w:bookmarkEnd w:id="112"/>
    </w:p>
    <w:p w14:paraId="34878206" w14:textId="636789EB" w:rsidR="00120616" w:rsidRPr="00120616" w:rsidRDefault="008E7846" w:rsidP="00120616">
      <w:r>
        <w:t>There was no requirement for a quality evaluation in a submission of this type.</w:t>
      </w:r>
      <w:r w:rsidR="00155306">
        <w:t xml:space="preserve"> </w:t>
      </w:r>
      <w:r w:rsidR="00120616" w:rsidRPr="00120616">
        <w:t>No changes to the formulation were proposed with this submission.</w:t>
      </w:r>
    </w:p>
    <w:p w14:paraId="18955917" w14:textId="150EEA88" w:rsidR="00120616" w:rsidRDefault="00120616" w:rsidP="003A7F6C">
      <w:r w:rsidRPr="00120616">
        <w:t>Advice of the pharmaceutical sub-committee of ACPM was not sought for this submission.</w:t>
      </w:r>
    </w:p>
    <w:p w14:paraId="4675740A" w14:textId="77777777" w:rsidR="008E7846" w:rsidRDefault="008E7846" w:rsidP="008E7846">
      <w:pPr>
        <w:pStyle w:val="Heading3"/>
      </w:pPr>
      <w:bookmarkStart w:id="113" w:name="_Toc314842512"/>
      <w:bookmarkStart w:id="114" w:name="_Toc495400793"/>
      <w:r>
        <w:lastRenderedPageBreak/>
        <w:t>Nonclinical</w:t>
      </w:r>
      <w:bookmarkEnd w:id="113"/>
      <w:bookmarkEnd w:id="114"/>
    </w:p>
    <w:p w14:paraId="389A93CC" w14:textId="471CB6B8" w:rsidR="00C70B52" w:rsidRPr="00C70B52" w:rsidRDefault="00C70B52" w:rsidP="0094783C">
      <w:r w:rsidRPr="00C70B52">
        <w:t>No new preclinical data was presented</w:t>
      </w:r>
      <w:r w:rsidR="0094783C">
        <w:t>.</w:t>
      </w:r>
    </w:p>
    <w:p w14:paraId="245648EB" w14:textId="77777777" w:rsidR="008E7846" w:rsidRDefault="008E7846" w:rsidP="008E7846">
      <w:r>
        <w:t>There was no requirement for a nonclinical evaluation in a submission of this type.</w:t>
      </w:r>
    </w:p>
    <w:p w14:paraId="1D381A44" w14:textId="77777777" w:rsidR="008E7846" w:rsidRDefault="008E7846" w:rsidP="008E7846">
      <w:pPr>
        <w:pStyle w:val="Heading3"/>
      </w:pPr>
      <w:bookmarkStart w:id="115" w:name="_Toc247691530"/>
      <w:bookmarkStart w:id="116" w:name="_Toc314842513"/>
      <w:bookmarkStart w:id="117" w:name="_Toc495400794"/>
      <w:r>
        <w:t>Clinical</w:t>
      </w:r>
      <w:bookmarkEnd w:id="115"/>
      <w:bookmarkEnd w:id="116"/>
      <w:bookmarkEnd w:id="117"/>
    </w:p>
    <w:p w14:paraId="5071956A" w14:textId="77777777" w:rsidR="00C70B52" w:rsidRPr="00C70B52" w:rsidRDefault="00C70B52" w:rsidP="00C70B52">
      <w:pPr>
        <w:pStyle w:val="Heading4"/>
      </w:pPr>
      <w:bookmarkStart w:id="118" w:name="_Toc314842514"/>
      <w:r w:rsidRPr="00C70B52">
        <w:t>Pharmacology</w:t>
      </w:r>
    </w:p>
    <w:p w14:paraId="723198F8" w14:textId="77777777" w:rsidR="00C70B52" w:rsidRDefault="00C70B52" w:rsidP="00C70B52">
      <w:pPr>
        <w:pStyle w:val="Heading5"/>
      </w:pPr>
      <w:r w:rsidRPr="00C70B52">
        <w:t>Effect</w:t>
      </w:r>
      <w:r>
        <w:t xml:space="preserve"> of renal or hepatic impairment</w:t>
      </w:r>
    </w:p>
    <w:p w14:paraId="69DD7744" w14:textId="77777777" w:rsidR="00C70B52" w:rsidRPr="00C70B52" w:rsidRDefault="00C70B52" w:rsidP="00C70B52">
      <w:r w:rsidRPr="00C70B52">
        <w:t>Study SGN35-008b examined the pharmacokinetics of brentuximab vedotin (ADC and MMAE) in a limited number of patients with renal or hepatic impairment in a single cycle of treatment. Eight patients without hepatic or renal impairment served as a control group.</w:t>
      </w:r>
    </w:p>
    <w:p w14:paraId="70355CFE" w14:textId="4D9E6C87" w:rsidR="00C70B52" w:rsidRPr="00C70B52" w:rsidRDefault="00C70B52" w:rsidP="00C70B52">
      <w:r w:rsidRPr="00C70B52">
        <w:t>Among the 10 patients with renal impairment studied, 4 patients had</w:t>
      </w:r>
      <w:r>
        <w:t xml:space="preserve"> mild impairment (CrCl 50 to </w:t>
      </w:r>
      <w:r w:rsidRPr="00C70B52">
        <w:t>80</w:t>
      </w:r>
      <w:r>
        <w:t xml:space="preserve"> mL/min), 3 with moderate (Cr</w:t>
      </w:r>
      <w:r w:rsidRPr="00C70B52">
        <w:t>Cl = 30</w:t>
      </w:r>
      <w:r>
        <w:t xml:space="preserve"> to 5</w:t>
      </w:r>
      <w:r w:rsidR="00155306">
        <w:t>0 mL/min) and 3 with severe (Cr</w:t>
      </w:r>
      <w:r w:rsidRPr="00C70B52">
        <w:t>Cl &lt;</w:t>
      </w:r>
      <w:r>
        <w:t xml:space="preserve"> </w:t>
      </w:r>
      <w:r w:rsidRPr="00C70B52">
        <w:t>30</w:t>
      </w:r>
      <w:r>
        <w:t xml:space="preserve"> </w:t>
      </w:r>
      <w:r w:rsidRPr="00C70B52">
        <w:t>m</w:t>
      </w:r>
      <w:r>
        <w:t>L</w:t>
      </w:r>
      <w:r w:rsidRPr="00C70B52">
        <w:t>/min)</w:t>
      </w:r>
      <w:r>
        <w:t>.</w:t>
      </w:r>
    </w:p>
    <w:p w14:paraId="4A3D6EB0" w14:textId="77777777" w:rsidR="00C70B52" w:rsidRPr="00C70B52" w:rsidRDefault="00C70B52" w:rsidP="00C70B52">
      <w:r w:rsidRPr="00C70B52">
        <w:t>Of the seven patients with hepatic impairment studied, 1 patient had mild impairment (Child-Pugh A), 5 with moderate (Child-Pugh B) and one with severe (Child-Pugh C).</w:t>
      </w:r>
    </w:p>
    <w:p w14:paraId="036E1EA8" w14:textId="51B6499D" w:rsidR="00C70B52" w:rsidRPr="00C70B52" w:rsidRDefault="00C70B52" w:rsidP="00C70B52">
      <w:r w:rsidRPr="00C70B52">
        <w:t>MMAE exposure was increased with renal and hepatic impairment and associated with a worse adverse event profile.</w:t>
      </w:r>
    </w:p>
    <w:p w14:paraId="758D889B" w14:textId="38E21EC0" w:rsidR="00C70B52" w:rsidRPr="00C70B52" w:rsidRDefault="00C70B52" w:rsidP="00C70B52">
      <w:r w:rsidRPr="00C70B52">
        <w:t xml:space="preserve">The </w:t>
      </w:r>
      <w:r>
        <w:t>D</w:t>
      </w:r>
      <w:r w:rsidRPr="00C70B52">
        <w:t xml:space="preserve">elegate concurs with the evaluator, and consistent with advice in the FDA approved </w:t>
      </w:r>
      <w:r w:rsidR="00D434C5">
        <w:t xml:space="preserve">FDA </w:t>
      </w:r>
      <w:r w:rsidRPr="00C70B52">
        <w:t>Label, in that due to the small number of patients studied with each categorisation of hepatic or renal impairment, the conservative recommendations for dosing should be:</w:t>
      </w:r>
    </w:p>
    <w:p w14:paraId="70BB1CC1" w14:textId="77777777" w:rsidR="00C70B52" w:rsidRDefault="00C70B52" w:rsidP="00C70B52">
      <w:pPr>
        <w:pStyle w:val="ListBullet"/>
      </w:pPr>
      <w:r w:rsidRPr="00C70B52">
        <w:t>Renal impairment</w:t>
      </w:r>
      <w:r>
        <w:t>:</w:t>
      </w:r>
    </w:p>
    <w:p w14:paraId="01FC9ED4" w14:textId="77777777" w:rsidR="00C70B52" w:rsidRDefault="00C70B52" w:rsidP="00C70B52">
      <w:pPr>
        <w:pStyle w:val="ListBullet2"/>
      </w:pPr>
      <w:r w:rsidRPr="00C70B52">
        <w:t>Mild (creatinine cl</w:t>
      </w:r>
      <w:r>
        <w:t xml:space="preserve">earance 50 to </w:t>
      </w:r>
      <w:r w:rsidRPr="00C70B52">
        <w:t xml:space="preserve">80 </w:t>
      </w:r>
      <w:r>
        <w:t>mL/min): 1.8 mg/kg up to 180 mg</w:t>
      </w:r>
    </w:p>
    <w:p w14:paraId="1EDDA715" w14:textId="77777777" w:rsidR="00C70B52" w:rsidRDefault="00C70B52" w:rsidP="00C70B52">
      <w:pPr>
        <w:pStyle w:val="ListBullet2"/>
      </w:pPr>
      <w:r w:rsidRPr="00C70B52">
        <w:t>Mo</w:t>
      </w:r>
      <w:r>
        <w:t xml:space="preserve">derate (creatinine clearance 30 to </w:t>
      </w:r>
      <w:r w:rsidRPr="00C70B52">
        <w:t>50 mL/min): 1.2</w:t>
      </w:r>
      <w:r>
        <w:t xml:space="preserve"> </w:t>
      </w:r>
      <w:r w:rsidRPr="00C70B52">
        <w:t>mg/kg up to 120</w:t>
      </w:r>
      <w:r>
        <w:t xml:space="preserve"> </w:t>
      </w:r>
      <w:r w:rsidRPr="00C70B52">
        <w:t>mg</w:t>
      </w:r>
    </w:p>
    <w:p w14:paraId="42B7E92A" w14:textId="44B7A1D5" w:rsidR="00C70B52" w:rsidRPr="00C70B52" w:rsidRDefault="00C70B52" w:rsidP="00C70B52">
      <w:pPr>
        <w:pStyle w:val="ListBullet2"/>
      </w:pPr>
      <w:r w:rsidRPr="00C70B52">
        <w:t>Severe (creatinine clearance less than 30 mL/min): Avoid use</w:t>
      </w:r>
      <w:r>
        <w:t>.</w:t>
      </w:r>
    </w:p>
    <w:p w14:paraId="227E8363" w14:textId="77777777" w:rsidR="00C70B52" w:rsidRDefault="00C70B52" w:rsidP="00C70B52">
      <w:pPr>
        <w:pStyle w:val="ListBullet"/>
      </w:pPr>
      <w:r w:rsidRPr="00C70B52">
        <w:t>Hepatic impairment</w:t>
      </w:r>
      <w:r>
        <w:t>:</w:t>
      </w:r>
    </w:p>
    <w:p w14:paraId="79C0FC3A" w14:textId="77777777" w:rsidR="00C70B52" w:rsidRDefault="00C70B52" w:rsidP="00C70B52">
      <w:pPr>
        <w:pStyle w:val="ListBullet2"/>
      </w:pPr>
      <w:r w:rsidRPr="00C70B52">
        <w:t>Mild (Child-Pugh A): 1.2 mg/kg up to 120 mg</w:t>
      </w:r>
    </w:p>
    <w:p w14:paraId="6388EE6D" w14:textId="73B402E3" w:rsidR="00C70B52" w:rsidRPr="00C70B52" w:rsidRDefault="00C70B52" w:rsidP="00C70B52">
      <w:pPr>
        <w:pStyle w:val="ListBullet2"/>
      </w:pPr>
      <w:r w:rsidRPr="00C70B52">
        <w:t>Moderate (Child-Pugh B) or severe (Child-Pugh C): Avoid use</w:t>
      </w:r>
      <w:r w:rsidR="003F50B8">
        <w:t>.</w:t>
      </w:r>
    </w:p>
    <w:p w14:paraId="172FC44F" w14:textId="249BAB78" w:rsidR="00C70B52" w:rsidRPr="00C70B52" w:rsidRDefault="00C70B52" w:rsidP="00C70B52">
      <w:pPr>
        <w:pStyle w:val="Heading5"/>
      </w:pPr>
      <w:r w:rsidRPr="00C70B52">
        <w:t>Drug-drug interactions</w:t>
      </w:r>
    </w:p>
    <w:p w14:paraId="1E8AD614" w14:textId="77777777" w:rsidR="00C70B52" w:rsidRPr="00C70B52" w:rsidRDefault="00C70B52" w:rsidP="00C70B52">
      <w:r w:rsidRPr="00C70B52">
        <w:t>The currently approved PI documents:</w:t>
      </w:r>
    </w:p>
    <w:p w14:paraId="4F438CC4" w14:textId="77777777" w:rsidR="00C70B52" w:rsidRPr="00C70B52" w:rsidRDefault="00C70B52" w:rsidP="00C70B52">
      <w:pPr>
        <w:pStyle w:val="Numberbullet0"/>
        <w:numPr>
          <w:ilvl w:val="0"/>
          <w:numId w:val="39"/>
        </w:numPr>
      </w:pPr>
      <w:r w:rsidRPr="00C70B52">
        <w:t>A contraindication for the use of Adcetris and bleomycin owing to pulmonary toxicity</w:t>
      </w:r>
    </w:p>
    <w:p w14:paraId="6D7C0A53" w14:textId="7BFC2BBD" w:rsidR="00C70B52" w:rsidRPr="00C70B52" w:rsidRDefault="00C70B52" w:rsidP="00C70B52">
      <w:pPr>
        <w:pStyle w:val="Numberbullet0"/>
        <w:numPr>
          <w:ilvl w:val="0"/>
          <w:numId w:val="39"/>
        </w:numPr>
      </w:pPr>
      <w:r>
        <w:t xml:space="preserve">An increase in MMAE exposure (around </w:t>
      </w:r>
      <w:r w:rsidRPr="00C70B52">
        <w:t>73%) when Adcetris is concomitantly administered with ketoconazole, leading to an increased risk of neutropaenia</w:t>
      </w:r>
    </w:p>
    <w:p w14:paraId="38AA0B39" w14:textId="1B2C60D9" w:rsidR="00C70B52" w:rsidRPr="00C70B52" w:rsidRDefault="00C70B52" w:rsidP="00C70B52">
      <w:pPr>
        <w:pStyle w:val="Numberbullet0"/>
        <w:numPr>
          <w:ilvl w:val="0"/>
          <w:numId w:val="39"/>
        </w:numPr>
      </w:pPr>
      <w:r w:rsidRPr="00C70B52">
        <w:t>Co-administration of Adcetris and rifampicin reduces exposure of MMAE by approximately 31%</w:t>
      </w:r>
      <w:r>
        <w:t>.</w:t>
      </w:r>
    </w:p>
    <w:p w14:paraId="586705CD" w14:textId="3D25DFF6" w:rsidR="00C70B52" w:rsidRPr="00C70B52" w:rsidRDefault="00C70B52" w:rsidP="00C70B52">
      <w:r>
        <w:t>Evaluation of S</w:t>
      </w:r>
      <w:r w:rsidRPr="00C70B52">
        <w:t xml:space="preserve">tudy SGN35-008a and the exploratory analysis of adverse events arising from </w:t>
      </w:r>
      <w:r w:rsidR="002A12E4">
        <w:t>S</w:t>
      </w:r>
      <w:r w:rsidRPr="00C70B52">
        <w:t>tudy SGN35-005 did not provide any additional data to update the information contained in the PI.</w:t>
      </w:r>
    </w:p>
    <w:p w14:paraId="035674D9" w14:textId="04B68892" w:rsidR="00C70B52" w:rsidRPr="00C70B52" w:rsidRDefault="00C70B52" w:rsidP="00C70B52">
      <w:pPr>
        <w:pStyle w:val="Heading5"/>
      </w:pPr>
      <w:r w:rsidRPr="00C70B52">
        <w:t>Anti-drug anti</w:t>
      </w:r>
      <w:r w:rsidR="00D434C5">
        <w:t>body (Anti-therapeutic antibody</w:t>
      </w:r>
      <w:r w:rsidRPr="00C70B52">
        <w:t>) assessment</w:t>
      </w:r>
    </w:p>
    <w:p w14:paraId="26CD6779" w14:textId="0BBD9001" w:rsidR="00C70B52" w:rsidRPr="00C70B52" w:rsidRDefault="00C70B52" w:rsidP="00C70B52">
      <w:r w:rsidRPr="00C70B52">
        <w:t xml:space="preserve">Two assays have been employed to assess the development of ATA. Both assays are observed to have yielded positive results for previously-unexposed patients, with a </w:t>
      </w:r>
      <w:r w:rsidRPr="00C70B52">
        <w:lastRenderedPageBreak/>
        <w:t xml:space="preserve">specificity reported by the sponsor of 6.5% for patients in </w:t>
      </w:r>
      <w:r>
        <w:t xml:space="preserve">Study </w:t>
      </w:r>
      <w:r w:rsidRPr="00C70B52">
        <w:t>SGN35-005. The evaluator has commented on the test characteristics being not entirely suitable of determining ATA status, given the proportion of patients who were found to have false positive results.</w:t>
      </w:r>
    </w:p>
    <w:p w14:paraId="0324FB9D" w14:textId="024A2D97" w:rsidR="00C70B52" w:rsidRPr="00C70B52" w:rsidRDefault="00C70B52" w:rsidP="00C70B52">
      <w:r w:rsidRPr="00C70B52">
        <w:t>No new information was presented regarding the effect of ATA on efficacy or safety, and hence no update to the information already contained in the PI is recommended.</w:t>
      </w:r>
    </w:p>
    <w:p w14:paraId="3CD56F5B" w14:textId="77777777" w:rsidR="00C70B52" w:rsidRPr="00C70B52" w:rsidRDefault="00C70B52" w:rsidP="00C70B52">
      <w:pPr>
        <w:pStyle w:val="Heading4"/>
      </w:pPr>
      <w:r w:rsidRPr="00C70B52">
        <w:t>Pharmacodynamic effects</w:t>
      </w:r>
    </w:p>
    <w:p w14:paraId="60728B45" w14:textId="72C3A84F" w:rsidR="00C70B52" w:rsidRPr="00C70B52" w:rsidRDefault="00C70B52" w:rsidP="00C70B52">
      <w:r w:rsidRPr="00C70B52">
        <w:t>No new data was presented for evaluation.</w:t>
      </w:r>
    </w:p>
    <w:p w14:paraId="2555C2DD" w14:textId="77777777" w:rsidR="00C70B52" w:rsidRPr="00C70B52" w:rsidRDefault="00C70B52" w:rsidP="00C70B52">
      <w:pPr>
        <w:pStyle w:val="Heading4"/>
      </w:pPr>
      <w:r w:rsidRPr="00C70B52">
        <w:t>Efficacy</w:t>
      </w:r>
    </w:p>
    <w:p w14:paraId="20EA2E6F" w14:textId="5C4AA2CD" w:rsidR="00C70B52" w:rsidRPr="00C70B52" w:rsidRDefault="00C70B52" w:rsidP="00C70B52">
      <w:r w:rsidRPr="00C70B52">
        <w:t>A single pivotal study</w:t>
      </w:r>
      <w:r>
        <w:t xml:space="preserve"> was presented for evaluation, </w:t>
      </w:r>
      <w:r w:rsidRPr="00C70B52">
        <w:t>Study SGN35-005 (AETHERA)</w:t>
      </w:r>
      <w:r>
        <w:t>.</w:t>
      </w:r>
    </w:p>
    <w:p w14:paraId="53041B76" w14:textId="39AA3647" w:rsidR="00C70B52" w:rsidRPr="00C70B52" w:rsidRDefault="00C70B52" w:rsidP="00C70B52">
      <w:r w:rsidRPr="00C70B52">
        <w:t>This was a randomi</w:t>
      </w:r>
      <w:r>
        <w:t>s</w:t>
      </w:r>
      <w:r w:rsidRPr="00C70B52">
        <w:t xml:space="preserve">ed, </w:t>
      </w:r>
      <w:r>
        <w:t xml:space="preserve">double blind, placebo </w:t>
      </w:r>
      <w:r w:rsidRPr="00C70B52">
        <w:t>c</w:t>
      </w:r>
      <w:r>
        <w:t>ontrolled Phase III</w:t>
      </w:r>
      <w:r w:rsidRPr="00C70B52">
        <w:t xml:space="preserve"> study of brentuximab vedotin and </w:t>
      </w:r>
      <w:r w:rsidR="00D434C5">
        <w:t>BSC</w:t>
      </w:r>
      <w:r w:rsidRPr="00C70B52">
        <w:t xml:space="preserve"> versus placebo and BSC in the treatment of patients at high risk of residual </w:t>
      </w:r>
      <w:r w:rsidR="00D434C5">
        <w:t>HL</w:t>
      </w:r>
      <w:r w:rsidRPr="00C70B52">
        <w:t xml:space="preserve"> following </w:t>
      </w:r>
      <w:r w:rsidR="00D434C5">
        <w:t>ASCT.</w:t>
      </w:r>
    </w:p>
    <w:p w14:paraId="5F9E4E1D" w14:textId="382F54FD" w:rsidR="00C70B52" w:rsidRPr="00C70B52" w:rsidRDefault="00C70B52" w:rsidP="00C70B52">
      <w:r w:rsidRPr="00C70B52">
        <w:t>Patients who had received an ASCT for HL in the previous 30</w:t>
      </w:r>
      <w:r w:rsidR="00716E63">
        <w:t xml:space="preserve"> to </w:t>
      </w:r>
      <w:r w:rsidRPr="00C70B52">
        <w:t>45 days were assessed for eligibility according to the presence of risk factors prior to ASCT and the response to salvage therapy. Patients with progressive disease after salvage therapy were excluded from the study.</w:t>
      </w:r>
    </w:p>
    <w:p w14:paraId="25BE18FC" w14:textId="28707687" w:rsidR="00C70B52" w:rsidRPr="00C70B52" w:rsidRDefault="00C70B52" w:rsidP="00C70B52">
      <w:r w:rsidRPr="00C70B52">
        <w:t xml:space="preserve">329 patients </w:t>
      </w:r>
      <w:r w:rsidR="00D434C5">
        <w:t>were randomised:</w:t>
      </w:r>
      <w:r w:rsidR="00716E63">
        <w:t xml:space="preserve"> </w:t>
      </w:r>
      <w:r w:rsidRPr="00C70B52">
        <w:t>165 in the brentuximab vedotin arm; 164 in the placebo arm. Baseline patient characteristics were balanced between the study arms.</w:t>
      </w:r>
    </w:p>
    <w:p w14:paraId="08D1402F" w14:textId="77777777" w:rsidR="00C70B52" w:rsidRPr="00C70B52" w:rsidRDefault="00C70B52" w:rsidP="00C70B52">
      <w:r w:rsidRPr="00C70B52">
        <w:t>Randomisation was stratified by eligibility criteria and response to salvage chemotherapy prior to ASCT:</w:t>
      </w:r>
    </w:p>
    <w:p w14:paraId="5E980D3C" w14:textId="5DB43228" w:rsidR="00C70B52" w:rsidRPr="00C70B52" w:rsidRDefault="00C70B52" w:rsidP="00716E63">
      <w:pPr>
        <w:pStyle w:val="ListBullet"/>
      </w:pPr>
      <w:r w:rsidRPr="00C70B52">
        <w:t>Refractory/relapsed status after the end of frontline standard chemotherapy or a combined modality treatment program:</w:t>
      </w:r>
    </w:p>
    <w:p w14:paraId="0A409F8D" w14:textId="64F50DC2" w:rsidR="00C70B52" w:rsidRPr="00C70B52" w:rsidRDefault="00C70B52" w:rsidP="00716E63">
      <w:pPr>
        <w:pStyle w:val="ListBullet2"/>
      </w:pPr>
      <w:r w:rsidRPr="00C70B52">
        <w:t>Any refractory HL</w:t>
      </w:r>
    </w:p>
    <w:p w14:paraId="6C359526" w14:textId="166D1E47" w:rsidR="00C70B52" w:rsidRPr="00C70B52" w:rsidRDefault="00C70B52" w:rsidP="00716E63">
      <w:pPr>
        <w:pStyle w:val="ListBullet2"/>
      </w:pPr>
      <w:r w:rsidRPr="00C70B52">
        <w:t>Relapsed HL that occurred &lt;</w:t>
      </w:r>
      <w:r w:rsidR="00716E63">
        <w:t xml:space="preserve"> </w:t>
      </w:r>
      <w:r w:rsidRPr="00C70B52">
        <w:t>12 months after the end of frontline therapy</w:t>
      </w:r>
    </w:p>
    <w:p w14:paraId="651ABF22" w14:textId="30F4ED7D" w:rsidR="00C70B52" w:rsidRPr="00C70B52" w:rsidRDefault="00C70B52" w:rsidP="00C70B52">
      <w:pPr>
        <w:pStyle w:val="ListBullet2"/>
      </w:pPr>
      <w:r w:rsidRPr="00C70B52">
        <w:t>Relapsed HL that occurred ≥</w:t>
      </w:r>
      <w:r w:rsidR="00716E63">
        <w:t xml:space="preserve"> </w:t>
      </w:r>
      <w:r w:rsidRPr="00C70B52">
        <w:t>12 months after the end of frontline therapy (with this defined as also having extra-nodal involvement at the time of pre-ASCT relapse)</w:t>
      </w:r>
      <w:r w:rsidR="00716E63">
        <w:t>.</w:t>
      </w:r>
    </w:p>
    <w:p w14:paraId="4E236334" w14:textId="3F47A9C1" w:rsidR="00C70B52" w:rsidRPr="00C70B52" w:rsidRDefault="00C70B52" w:rsidP="00716E63">
      <w:pPr>
        <w:pStyle w:val="ListBullet"/>
      </w:pPr>
      <w:r w:rsidRPr="00C70B52">
        <w:t>Best clinical response, according to the Revised Response Criteria for Malignant Lymphoma, achieved after completion of salvage therapy prior to ASCT:</w:t>
      </w:r>
    </w:p>
    <w:p w14:paraId="3EA1924A" w14:textId="3B4826AF" w:rsidR="00C70B52" w:rsidRPr="00C70B52" w:rsidRDefault="00C70B52" w:rsidP="00716E63">
      <w:pPr>
        <w:pStyle w:val="ListBullet2"/>
      </w:pPr>
      <w:r w:rsidRPr="00C70B52">
        <w:t>Complete response (CR)</w:t>
      </w:r>
    </w:p>
    <w:p w14:paraId="5775F6E6" w14:textId="5A00CBAF" w:rsidR="00C70B52" w:rsidRPr="00C70B52" w:rsidRDefault="00C70B52" w:rsidP="00716E63">
      <w:pPr>
        <w:pStyle w:val="ListBullet2"/>
      </w:pPr>
      <w:r w:rsidRPr="00C70B52">
        <w:t>Partial response (PR)</w:t>
      </w:r>
    </w:p>
    <w:p w14:paraId="638DC379" w14:textId="7B42D6CE" w:rsidR="00C70B52" w:rsidRPr="00C70B52" w:rsidRDefault="00C70B52" w:rsidP="00716E63">
      <w:pPr>
        <w:pStyle w:val="ListBullet2"/>
      </w:pPr>
      <w:r w:rsidRPr="00C70B52">
        <w:t>Stable disease (SD)</w:t>
      </w:r>
      <w:r w:rsidR="00716E63">
        <w:t>.</w:t>
      </w:r>
    </w:p>
    <w:p w14:paraId="61A2AEDF" w14:textId="33180156" w:rsidR="00C70B52" w:rsidRDefault="00C70B52" w:rsidP="00C70B52">
      <w:r w:rsidRPr="00C70B52">
        <w:t xml:space="preserve">The study design is shown in </w:t>
      </w:r>
      <w:r w:rsidR="00C2625B">
        <w:t>F</w:t>
      </w:r>
      <w:r w:rsidRPr="00C70B52">
        <w:t>igure</w:t>
      </w:r>
      <w:r w:rsidR="00C2625B">
        <w:t xml:space="preserve"> 6,</w:t>
      </w:r>
      <w:r w:rsidRPr="00C70B52">
        <w:t xml:space="preserve"> below.</w:t>
      </w:r>
    </w:p>
    <w:p w14:paraId="17939949" w14:textId="1B0C0BBB" w:rsidR="00A30374" w:rsidRPr="00C70B52" w:rsidRDefault="00A30374" w:rsidP="00A30374">
      <w:pPr>
        <w:pStyle w:val="FigureTitle"/>
      </w:pPr>
      <w:r>
        <w:lastRenderedPageBreak/>
        <w:t xml:space="preserve">Figure 6. </w:t>
      </w:r>
      <w:r w:rsidRPr="00C70B52">
        <w:t>Study SGN35-005</w:t>
      </w:r>
      <w:r>
        <w:t xml:space="preserve"> design</w:t>
      </w:r>
    </w:p>
    <w:p w14:paraId="70139A0B" w14:textId="4E3797F1" w:rsidR="00C70B52" w:rsidRPr="00C70B52" w:rsidRDefault="00C70B52" w:rsidP="00C70B52">
      <w:r w:rsidRPr="00C70B52">
        <w:rPr>
          <w:noProof/>
          <w:lang w:eastAsia="en-AU"/>
        </w:rPr>
        <w:drawing>
          <wp:inline distT="0" distB="0" distL="0" distR="0" wp14:anchorId="1E4CF2DD" wp14:editId="3FE3F4DF">
            <wp:extent cx="4613910" cy="1941094"/>
            <wp:effectExtent l="0" t="0" r="0" b="2540"/>
            <wp:docPr id="9" name="Picture 9" descr="Figure 6. Study SGN35-005 design&#10;Study SGN35-005 was a randomised, double-blind, placebo-controlled phase 3 study of brentuximab vedotin and best supportive care versus placebo and best supportive care in the treatment of patients at high risk of residual Hodgkin Lymphoma following autologous stem cell transplant. Patients who had received an ASCT for HL in the previous 30 to 45 days were assessed for eligibility according to the presence of risk factors prior to ASCT and the response to salvage therapy. Patients with progressive disease after salvage therapy were excluded from the study. Eligible patients were randomised in a 1:1 manner to receive brentuximab vedotin or placebo. All patients received best supportive care (BSC). Randomisation was stratified by eligibility criteria and response to salvage chemotherapy (complete remission, partial remission or stable disease) prior to ASCT by investigator assessment."/>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a:lum bright="-20000" contrast="40000"/>
                      <a:extLst>
                        <a:ext uri="{28A0092B-C50C-407E-A947-70E740481C1C}">
                          <a14:useLocalDpi xmlns:a14="http://schemas.microsoft.com/office/drawing/2010/main" val="0"/>
                        </a:ext>
                      </a:extLst>
                    </a:blip>
                    <a:srcRect t="9023"/>
                    <a:stretch/>
                  </pic:blipFill>
                  <pic:spPr bwMode="auto">
                    <a:xfrm>
                      <a:off x="0" y="0"/>
                      <a:ext cx="4613910" cy="1941094"/>
                    </a:xfrm>
                    <a:prstGeom prst="rect">
                      <a:avLst/>
                    </a:prstGeom>
                    <a:noFill/>
                    <a:ln>
                      <a:noFill/>
                    </a:ln>
                    <a:extLst>
                      <a:ext uri="{53640926-AAD7-44D8-BBD7-CCE9431645EC}">
                        <a14:shadowObscured xmlns:a14="http://schemas.microsoft.com/office/drawing/2010/main"/>
                      </a:ext>
                    </a:extLst>
                  </pic:spPr>
                </pic:pic>
              </a:graphicData>
            </a:graphic>
          </wp:inline>
        </w:drawing>
      </w:r>
    </w:p>
    <w:p w14:paraId="3B098C6F" w14:textId="306EC0FF" w:rsidR="00C70B52" w:rsidRPr="00C70B52" w:rsidRDefault="00C70B52" w:rsidP="00C70B52">
      <w:r w:rsidRPr="00C70B52">
        <w:t xml:space="preserve">Randomisation according to stratification factors was balanced between </w:t>
      </w:r>
      <w:r w:rsidR="00716E63">
        <w:t>the two treatment arms.</w:t>
      </w:r>
    </w:p>
    <w:p w14:paraId="319E82D3" w14:textId="2FD96C5B" w:rsidR="00C70B52" w:rsidRPr="00716E63" w:rsidRDefault="00C70B52" w:rsidP="00C70B52">
      <w:r w:rsidRPr="00C70B52">
        <w:t>Patients received brentuximab vedotin 1.8</w:t>
      </w:r>
      <w:r w:rsidR="00716E63">
        <w:t xml:space="preserve"> </w:t>
      </w:r>
      <w:r w:rsidRPr="00C70B52">
        <w:t>mg/kg or placebo, admini</w:t>
      </w:r>
      <w:r w:rsidR="00EE33A1">
        <w:t>stered as a single outpatient IV</w:t>
      </w:r>
      <w:r w:rsidR="003F50B8">
        <w:t xml:space="preserve"> infusion on Day 1 of each 21 </w:t>
      </w:r>
      <w:r w:rsidRPr="00C70B52">
        <w:t>day cycle, to a maximum of 16 cycles. Cross-over was permitted</w:t>
      </w:r>
      <w:r w:rsidR="00EE33A1">
        <w:t xml:space="preserve"> for patients with investigator-</w:t>
      </w:r>
      <w:r w:rsidRPr="00C70B52">
        <w:t>confirmed progressive disease.</w:t>
      </w:r>
    </w:p>
    <w:p w14:paraId="0D40608D" w14:textId="12FA4518" w:rsidR="00C70B52" w:rsidRPr="00C70B52" w:rsidRDefault="00C70B52" w:rsidP="00C70B52">
      <w:r w:rsidRPr="00C70B52">
        <w:t xml:space="preserve">Reasons for study discontinuation were </w:t>
      </w:r>
      <w:r w:rsidR="00716E63">
        <w:t xml:space="preserve">similar between treatment arms, </w:t>
      </w:r>
      <w:r w:rsidRPr="00C70B52">
        <w:t xml:space="preserve">whereas reasons for study treatment discontinuation were dissimilar. </w:t>
      </w:r>
      <w:r w:rsidR="00EE33A1">
        <w:t>AEs</w:t>
      </w:r>
      <w:r w:rsidRPr="00C70B52">
        <w:t xml:space="preserve"> were </w:t>
      </w:r>
      <w:r w:rsidR="002A12E4">
        <w:t xml:space="preserve">more </w:t>
      </w:r>
      <w:r w:rsidRPr="00C70B52">
        <w:t>common among those receiving brentuximab, while disease progression was more common in the placebo arm.</w:t>
      </w:r>
    </w:p>
    <w:p w14:paraId="79C4CA6D" w14:textId="77777777" w:rsidR="00C70B52" w:rsidRPr="00C70B52" w:rsidRDefault="00C70B52" w:rsidP="00C70B52">
      <w:r w:rsidRPr="00C70B52">
        <w:t>Pre-specified risk factors for disease progression were:</w:t>
      </w:r>
    </w:p>
    <w:p w14:paraId="0D96A333" w14:textId="0E55D1E5" w:rsidR="00C70B52" w:rsidRPr="00C70B52" w:rsidRDefault="00C70B52" w:rsidP="00716E63">
      <w:pPr>
        <w:pStyle w:val="ListBullet"/>
      </w:pPr>
      <w:r w:rsidRPr="00C70B52">
        <w:t>Refractory/relapsed status after the end of frontline standard chemotherapy or a combined modality treatment program (refractory HL, relapsed HL that occurred &lt;</w:t>
      </w:r>
      <w:r w:rsidR="00A30374">
        <w:t> 12 </w:t>
      </w:r>
      <w:r w:rsidRPr="00C70B52">
        <w:t>months, and relapsed HL that occurred ≥</w:t>
      </w:r>
      <w:r w:rsidR="00A30374">
        <w:t xml:space="preserve"> </w:t>
      </w:r>
      <w:r w:rsidRPr="00C70B52">
        <w:t>12 months)</w:t>
      </w:r>
      <w:r w:rsidR="00EE33A1">
        <w:t>.</w:t>
      </w:r>
    </w:p>
    <w:p w14:paraId="66FF88B5" w14:textId="0D61E502" w:rsidR="00C70B52" w:rsidRPr="00C70B52" w:rsidRDefault="00C70B52" w:rsidP="00716E63">
      <w:pPr>
        <w:pStyle w:val="ListBullet"/>
      </w:pPr>
      <w:r w:rsidRPr="00C70B52">
        <w:t>Best response of CR, PR or SD after the completion of salvage therapy prior to ASCT, as assessed by the investigator</w:t>
      </w:r>
      <w:r w:rsidR="00EE33A1">
        <w:t>.</w:t>
      </w:r>
    </w:p>
    <w:p w14:paraId="742C75E5" w14:textId="7F9B34A5" w:rsidR="00C70B52" w:rsidRPr="00C70B52" w:rsidRDefault="00C70B52" w:rsidP="00716E63">
      <w:pPr>
        <w:pStyle w:val="ListBullet"/>
      </w:pPr>
      <w:r w:rsidRPr="00C70B52">
        <w:t>Extra</w:t>
      </w:r>
      <w:r w:rsidR="00716E63">
        <w:t>-</w:t>
      </w:r>
      <w:r w:rsidRPr="00C70B52">
        <w:t>nodal disease at the time of pre-ASCT relapse (yes/no)</w:t>
      </w:r>
      <w:r w:rsidR="00EE33A1">
        <w:t>.</w:t>
      </w:r>
    </w:p>
    <w:p w14:paraId="68B3D2D7" w14:textId="003FA39E" w:rsidR="00C70B52" w:rsidRPr="00C70B52" w:rsidRDefault="00C70B52" w:rsidP="00716E63">
      <w:pPr>
        <w:pStyle w:val="ListBullet"/>
      </w:pPr>
      <w:r w:rsidRPr="00C70B52">
        <w:t>Number of treatments (frontline and salvage) prior to ASCT (2, &gt;</w:t>
      </w:r>
      <w:r w:rsidR="00A30374">
        <w:t xml:space="preserve"> </w:t>
      </w:r>
      <w:r w:rsidRPr="00C70B52">
        <w:t>2)</w:t>
      </w:r>
      <w:r w:rsidR="00EE33A1">
        <w:t>.</w:t>
      </w:r>
    </w:p>
    <w:p w14:paraId="55AC7DA9" w14:textId="247499AD" w:rsidR="00C70B52" w:rsidRPr="00C70B52" w:rsidRDefault="00C70B52" w:rsidP="00716E63">
      <w:pPr>
        <w:pStyle w:val="ListBullet"/>
      </w:pPr>
      <w:r w:rsidRPr="00C70B52">
        <w:t>B symptoms after failure of frontline therapy (yes/no)</w:t>
      </w:r>
      <w:r w:rsidR="00EE33A1">
        <w:t>.</w:t>
      </w:r>
    </w:p>
    <w:p w14:paraId="16FB1293" w14:textId="4264D007" w:rsidR="00C70B52" w:rsidRDefault="00C70B52" w:rsidP="00C70B52">
      <w:pPr>
        <w:pStyle w:val="ListBullet"/>
      </w:pPr>
      <w:r w:rsidRPr="00C70B52">
        <w:t>PET status prior to ASCT (positive or negative)</w:t>
      </w:r>
      <w:r w:rsidR="00716E63">
        <w:t>.</w:t>
      </w:r>
    </w:p>
    <w:p w14:paraId="0E73F043" w14:textId="10D4F77C" w:rsidR="00716E63" w:rsidRPr="00C70B52" w:rsidRDefault="00716E63" w:rsidP="00716E63">
      <w:pPr>
        <w:pStyle w:val="Heading5"/>
      </w:pPr>
      <w:r>
        <w:t>Primary outcome</w:t>
      </w:r>
    </w:p>
    <w:p w14:paraId="39045151" w14:textId="308D83A5" w:rsidR="00C70B52" w:rsidRPr="00716E63" w:rsidRDefault="00C70B52" w:rsidP="00716E63">
      <w:r w:rsidRPr="00716E63">
        <w:t>PFS was the primary outcome</w:t>
      </w:r>
      <w:r w:rsidR="00716E63">
        <w:t>.</w:t>
      </w:r>
    </w:p>
    <w:p w14:paraId="75B067F0" w14:textId="103A2784" w:rsidR="00C70B52" w:rsidRPr="00C70B52" w:rsidRDefault="00C70B52" w:rsidP="00C70B52">
      <w:r w:rsidRPr="00C70B52">
        <w:t>The median follow-up time from randomisation to the pri</w:t>
      </w:r>
      <w:r w:rsidR="00A30374">
        <w:t>mary efficacy analysis was 22.1 </w:t>
      </w:r>
      <w:r w:rsidR="00EE33A1">
        <w:t>months (range:</w:t>
      </w:r>
      <w:r w:rsidRPr="00C70B52">
        <w:t xml:space="preserve"> 0 to 49).</w:t>
      </w:r>
    </w:p>
    <w:p w14:paraId="55759883" w14:textId="3C1EC6EA" w:rsidR="00C70B52" w:rsidRPr="00C70B52" w:rsidRDefault="00C70B52" w:rsidP="00C70B52">
      <w:r w:rsidRPr="00C70B52">
        <w:t>The median PFS, a</w:t>
      </w:r>
      <w:r w:rsidR="00EE33A1">
        <w:t xml:space="preserve">ssessed by independent review, </w:t>
      </w:r>
      <w:r w:rsidRPr="00C70B52">
        <w:t>for patients who received brentuximab vedotin was 42.9 months (95% CI 30.4, 42.9) and the median PFS for patients who received placebo was 24.1 months (95%</w:t>
      </w:r>
      <w:r w:rsidR="00716E63">
        <w:t xml:space="preserve"> CI 11.5, (upper limit not defined</w:t>
      </w:r>
      <w:r w:rsidRPr="00C70B52">
        <w:t>)</w:t>
      </w:r>
      <w:r w:rsidR="00A30374">
        <w:t>)</w:t>
      </w:r>
      <w:r w:rsidRPr="00C70B52">
        <w:t>. The difference between the 2 arms was statistically significant i</w:t>
      </w:r>
      <w:r w:rsidR="00EE33A1">
        <w:t>n favour of brentuximab vedotin;</w:t>
      </w:r>
      <w:r w:rsidRPr="00C70B52">
        <w:t xml:space="preserve"> stratified </w:t>
      </w:r>
      <w:r w:rsidR="00EE33A1">
        <w:t>HR</w:t>
      </w:r>
      <w:r w:rsidRPr="00C70B52">
        <w:t xml:space="preserve"> 0.57 (95% CI 0.40, 0.81), p</w:t>
      </w:r>
      <w:r w:rsidR="00716E63">
        <w:t xml:space="preserve"> </w:t>
      </w:r>
      <w:r w:rsidRPr="00C70B52">
        <w:t>=</w:t>
      </w:r>
      <w:r w:rsidR="00716E63">
        <w:t xml:space="preserve"> </w:t>
      </w:r>
      <w:r w:rsidRPr="00C70B52">
        <w:t>0.001.</w:t>
      </w:r>
    </w:p>
    <w:p w14:paraId="1B68C1AB" w14:textId="77777777" w:rsidR="00C70B52" w:rsidRPr="00C70B52" w:rsidRDefault="00C70B52" w:rsidP="00716E63">
      <w:pPr>
        <w:pStyle w:val="Heading5"/>
      </w:pPr>
      <w:r w:rsidRPr="00C70B52">
        <w:t>Secondary outcomes</w:t>
      </w:r>
    </w:p>
    <w:p w14:paraId="1CDA7C10" w14:textId="77777777" w:rsidR="00C70B52" w:rsidRPr="00C70B52" w:rsidRDefault="00C70B52" w:rsidP="00C70B52">
      <w:r w:rsidRPr="00C70B52">
        <w:t>Multiple methods of assessing PFS were reported as secondary outcomes.</w:t>
      </w:r>
    </w:p>
    <w:p w14:paraId="04D63B79" w14:textId="39167D75" w:rsidR="00C70B52" w:rsidRDefault="00C70B52" w:rsidP="00C70B52">
      <w:r w:rsidRPr="00C70B52">
        <w:t>Investigator-assessed PFS differed from the independently determi</w:t>
      </w:r>
      <w:r w:rsidR="00EE33A1">
        <w:t>ned PFS owing to the use of non-</w:t>
      </w:r>
      <w:r w:rsidRPr="00C70B52">
        <w:t xml:space="preserve">scheduled patient investigations. Consequently, the stratified hazard ratio of PFS was </w:t>
      </w:r>
      <w:r w:rsidR="00CB6076">
        <w:t xml:space="preserve">used, as shown </w:t>
      </w:r>
      <w:r w:rsidR="00C2625B">
        <w:t xml:space="preserve">below </w:t>
      </w:r>
      <w:r w:rsidR="00CB6076">
        <w:t>in Table</w:t>
      </w:r>
      <w:r w:rsidR="00C2625B">
        <w:t xml:space="preserve"> 6.</w:t>
      </w:r>
    </w:p>
    <w:p w14:paraId="68F1356C" w14:textId="03381D44" w:rsidR="00CB6076" w:rsidRPr="00C70B52" w:rsidRDefault="00CB6076" w:rsidP="00CB6076">
      <w:pPr>
        <w:pStyle w:val="Tabletitle0"/>
      </w:pPr>
      <w:r>
        <w:lastRenderedPageBreak/>
        <w:t>Table 6. Stratified hazard ratio of PFS</w:t>
      </w:r>
    </w:p>
    <w:tbl>
      <w:tblPr>
        <w:tblStyle w:val="TableTGAblue"/>
        <w:tblW w:w="0" w:type="auto"/>
        <w:tblLook w:val="04A0" w:firstRow="1" w:lastRow="0" w:firstColumn="1" w:lastColumn="0" w:noHBand="0" w:noVBand="1"/>
      </w:tblPr>
      <w:tblGrid>
        <w:gridCol w:w="1951"/>
        <w:gridCol w:w="2693"/>
        <w:gridCol w:w="1701"/>
        <w:gridCol w:w="2375"/>
      </w:tblGrid>
      <w:tr w:rsidR="00C70B52" w:rsidRPr="002A12E4" w14:paraId="24628B56" w14:textId="77777777" w:rsidTr="00E97E63">
        <w:trPr>
          <w:cnfStyle w:val="100000000000" w:firstRow="1" w:lastRow="0" w:firstColumn="0" w:lastColumn="0" w:oddVBand="0" w:evenVBand="0" w:oddHBand="0" w:evenHBand="0" w:firstRowFirstColumn="0" w:firstRowLastColumn="0" w:lastRowFirstColumn="0" w:lastRowLastColumn="0"/>
          <w:cantSplit/>
          <w:trHeight w:val="255"/>
        </w:trPr>
        <w:tc>
          <w:tcPr>
            <w:tcW w:w="1951" w:type="dxa"/>
            <w:vMerge w:val="restart"/>
          </w:tcPr>
          <w:p w14:paraId="29B43347" w14:textId="77777777" w:rsidR="00C70B52" w:rsidRPr="002A12E4" w:rsidRDefault="00C70B52" w:rsidP="00C70B52">
            <w:pPr>
              <w:keepNext w:val="0"/>
              <w:rPr>
                <w:sz w:val="20"/>
                <w:szCs w:val="20"/>
              </w:rPr>
            </w:pPr>
          </w:p>
        </w:tc>
        <w:tc>
          <w:tcPr>
            <w:tcW w:w="2693" w:type="dxa"/>
            <w:vMerge w:val="restart"/>
          </w:tcPr>
          <w:p w14:paraId="011FE59E" w14:textId="77777777" w:rsidR="00C70B52" w:rsidRPr="002A12E4" w:rsidRDefault="00C70B52" w:rsidP="00C70B52">
            <w:pPr>
              <w:keepNext w:val="0"/>
              <w:rPr>
                <w:sz w:val="20"/>
                <w:szCs w:val="20"/>
              </w:rPr>
            </w:pPr>
            <w:r w:rsidRPr="002A12E4">
              <w:rPr>
                <w:sz w:val="20"/>
                <w:szCs w:val="20"/>
              </w:rPr>
              <w:t>Stratified hazard ratio of PFS</w:t>
            </w:r>
          </w:p>
        </w:tc>
        <w:tc>
          <w:tcPr>
            <w:tcW w:w="4076" w:type="dxa"/>
            <w:gridSpan w:val="2"/>
          </w:tcPr>
          <w:p w14:paraId="3FB88211" w14:textId="77777777" w:rsidR="00C70B52" w:rsidRPr="002A12E4" w:rsidRDefault="00C70B52" w:rsidP="00C70B52">
            <w:pPr>
              <w:keepNext w:val="0"/>
              <w:rPr>
                <w:sz w:val="20"/>
                <w:szCs w:val="20"/>
              </w:rPr>
            </w:pPr>
            <w:r w:rsidRPr="002A12E4">
              <w:rPr>
                <w:sz w:val="20"/>
                <w:szCs w:val="20"/>
              </w:rPr>
              <w:t>Median PFS, months (95%CI)</w:t>
            </w:r>
          </w:p>
        </w:tc>
      </w:tr>
      <w:tr w:rsidR="00C70B52" w:rsidRPr="002A12E4" w14:paraId="055271C6" w14:textId="77777777" w:rsidTr="00E97E63">
        <w:trPr>
          <w:cnfStyle w:val="100000000000" w:firstRow="1" w:lastRow="0" w:firstColumn="0" w:lastColumn="0" w:oddVBand="0" w:evenVBand="0" w:oddHBand="0" w:evenHBand="0" w:firstRowFirstColumn="0" w:firstRowLastColumn="0" w:lastRowFirstColumn="0" w:lastRowLastColumn="0"/>
          <w:cantSplit/>
          <w:trHeight w:val="240"/>
        </w:trPr>
        <w:tc>
          <w:tcPr>
            <w:tcW w:w="1951" w:type="dxa"/>
            <w:vMerge/>
          </w:tcPr>
          <w:p w14:paraId="73883A48" w14:textId="77777777" w:rsidR="00C70B52" w:rsidRPr="002A12E4" w:rsidRDefault="00C70B52" w:rsidP="00C70B52">
            <w:pPr>
              <w:rPr>
                <w:sz w:val="20"/>
                <w:szCs w:val="20"/>
              </w:rPr>
            </w:pPr>
          </w:p>
        </w:tc>
        <w:tc>
          <w:tcPr>
            <w:tcW w:w="2693" w:type="dxa"/>
            <w:vMerge/>
          </w:tcPr>
          <w:p w14:paraId="4C30C667" w14:textId="77777777" w:rsidR="00C70B52" w:rsidRPr="002A12E4" w:rsidRDefault="00C70B52" w:rsidP="00C70B52">
            <w:pPr>
              <w:rPr>
                <w:sz w:val="20"/>
                <w:szCs w:val="20"/>
              </w:rPr>
            </w:pPr>
          </w:p>
        </w:tc>
        <w:tc>
          <w:tcPr>
            <w:tcW w:w="1701" w:type="dxa"/>
          </w:tcPr>
          <w:p w14:paraId="06384D24" w14:textId="77777777" w:rsidR="00C70B52" w:rsidRPr="002A12E4" w:rsidRDefault="00C70B52" w:rsidP="00C70B52">
            <w:pPr>
              <w:rPr>
                <w:sz w:val="20"/>
                <w:szCs w:val="20"/>
              </w:rPr>
            </w:pPr>
            <w:r w:rsidRPr="002A12E4">
              <w:rPr>
                <w:sz w:val="20"/>
                <w:szCs w:val="20"/>
              </w:rPr>
              <w:t>Placebo</w:t>
            </w:r>
          </w:p>
        </w:tc>
        <w:tc>
          <w:tcPr>
            <w:tcW w:w="2375" w:type="dxa"/>
          </w:tcPr>
          <w:p w14:paraId="38F40AE3" w14:textId="5600EEDE" w:rsidR="00C70B52" w:rsidRPr="002A12E4" w:rsidRDefault="00C70B52" w:rsidP="00C70B52">
            <w:pPr>
              <w:rPr>
                <w:sz w:val="20"/>
                <w:szCs w:val="20"/>
              </w:rPr>
            </w:pPr>
            <w:r w:rsidRPr="002A12E4">
              <w:rPr>
                <w:sz w:val="20"/>
                <w:szCs w:val="20"/>
              </w:rPr>
              <w:t>Brentuximab vedotin</w:t>
            </w:r>
          </w:p>
        </w:tc>
      </w:tr>
      <w:tr w:rsidR="00C70B52" w:rsidRPr="002A12E4" w14:paraId="067B515F" w14:textId="77777777" w:rsidTr="002A12E4">
        <w:tc>
          <w:tcPr>
            <w:tcW w:w="1951" w:type="dxa"/>
          </w:tcPr>
          <w:p w14:paraId="46E35B19" w14:textId="77777777" w:rsidR="00C70B52" w:rsidRPr="002A12E4" w:rsidRDefault="00C70B52" w:rsidP="00C70B52">
            <w:pPr>
              <w:rPr>
                <w:sz w:val="20"/>
                <w:szCs w:val="20"/>
              </w:rPr>
            </w:pPr>
            <w:r w:rsidRPr="002A12E4">
              <w:rPr>
                <w:sz w:val="20"/>
                <w:szCs w:val="20"/>
              </w:rPr>
              <w:t>Investigator-assessed</w:t>
            </w:r>
          </w:p>
        </w:tc>
        <w:tc>
          <w:tcPr>
            <w:tcW w:w="2693" w:type="dxa"/>
          </w:tcPr>
          <w:p w14:paraId="1B2AA154" w14:textId="55270BEA" w:rsidR="00C70B52" w:rsidRPr="002A12E4" w:rsidRDefault="00C70B52" w:rsidP="00C70B52">
            <w:pPr>
              <w:rPr>
                <w:sz w:val="20"/>
                <w:szCs w:val="20"/>
              </w:rPr>
            </w:pPr>
            <w:r w:rsidRPr="002A12E4">
              <w:rPr>
                <w:sz w:val="20"/>
                <w:szCs w:val="20"/>
              </w:rPr>
              <w:t>0.5 (95% CI</w:t>
            </w:r>
            <w:r w:rsidR="00716E63" w:rsidRPr="002A12E4">
              <w:rPr>
                <w:sz w:val="20"/>
                <w:szCs w:val="20"/>
              </w:rPr>
              <w:t xml:space="preserve"> </w:t>
            </w:r>
            <w:r w:rsidRPr="002A12E4">
              <w:rPr>
                <w:sz w:val="20"/>
                <w:szCs w:val="20"/>
              </w:rPr>
              <w:t>0.36, 0.70)</w:t>
            </w:r>
          </w:p>
        </w:tc>
        <w:tc>
          <w:tcPr>
            <w:tcW w:w="1701" w:type="dxa"/>
          </w:tcPr>
          <w:p w14:paraId="4D7BE5C9" w14:textId="77777777" w:rsidR="00C70B52" w:rsidRPr="002A12E4" w:rsidRDefault="00C70B52" w:rsidP="00C70B52">
            <w:pPr>
              <w:rPr>
                <w:sz w:val="20"/>
                <w:szCs w:val="20"/>
              </w:rPr>
            </w:pPr>
            <w:r w:rsidRPr="002A12E4">
              <w:rPr>
                <w:sz w:val="20"/>
                <w:szCs w:val="20"/>
              </w:rPr>
              <w:t>15.8 (8.5, -)</w:t>
            </w:r>
          </w:p>
        </w:tc>
        <w:tc>
          <w:tcPr>
            <w:tcW w:w="2375" w:type="dxa"/>
          </w:tcPr>
          <w:p w14:paraId="252B3ACB" w14:textId="77777777" w:rsidR="00C70B52" w:rsidRPr="002A12E4" w:rsidRDefault="00C70B52" w:rsidP="00C70B52">
            <w:pPr>
              <w:rPr>
                <w:sz w:val="20"/>
                <w:szCs w:val="20"/>
              </w:rPr>
            </w:pPr>
            <w:r w:rsidRPr="002A12E4">
              <w:rPr>
                <w:sz w:val="20"/>
                <w:szCs w:val="20"/>
              </w:rPr>
              <w:t>- (26.4, -)</w:t>
            </w:r>
          </w:p>
        </w:tc>
      </w:tr>
      <w:tr w:rsidR="00C70B52" w:rsidRPr="002A12E4" w14:paraId="16AA98B8" w14:textId="77777777" w:rsidTr="002A12E4">
        <w:tc>
          <w:tcPr>
            <w:tcW w:w="1951" w:type="dxa"/>
          </w:tcPr>
          <w:p w14:paraId="43ED51E6" w14:textId="77777777" w:rsidR="00C70B52" w:rsidRPr="002A12E4" w:rsidRDefault="00C70B52" w:rsidP="00C70B52">
            <w:pPr>
              <w:rPr>
                <w:sz w:val="20"/>
                <w:szCs w:val="20"/>
              </w:rPr>
            </w:pPr>
            <w:r w:rsidRPr="002A12E4">
              <w:rPr>
                <w:sz w:val="20"/>
                <w:szCs w:val="20"/>
              </w:rPr>
              <w:t>IRF Per-protocol population</w:t>
            </w:r>
          </w:p>
        </w:tc>
        <w:tc>
          <w:tcPr>
            <w:tcW w:w="2693" w:type="dxa"/>
          </w:tcPr>
          <w:p w14:paraId="026BBABA" w14:textId="01B7526E" w:rsidR="00C70B52" w:rsidRPr="002A12E4" w:rsidRDefault="00C70B52" w:rsidP="00C70B52">
            <w:pPr>
              <w:rPr>
                <w:sz w:val="20"/>
                <w:szCs w:val="20"/>
              </w:rPr>
            </w:pPr>
            <w:r w:rsidRPr="002A12E4">
              <w:rPr>
                <w:sz w:val="20"/>
                <w:szCs w:val="20"/>
              </w:rPr>
              <w:t>0.45 (95%</w:t>
            </w:r>
            <w:r w:rsidR="00716E63" w:rsidRPr="002A12E4">
              <w:rPr>
                <w:sz w:val="20"/>
                <w:szCs w:val="20"/>
              </w:rPr>
              <w:t xml:space="preserve"> </w:t>
            </w:r>
            <w:r w:rsidRPr="002A12E4">
              <w:rPr>
                <w:sz w:val="20"/>
                <w:szCs w:val="20"/>
              </w:rPr>
              <w:t>CI 0.30, 0.68)</w:t>
            </w:r>
          </w:p>
        </w:tc>
        <w:tc>
          <w:tcPr>
            <w:tcW w:w="1701" w:type="dxa"/>
          </w:tcPr>
          <w:p w14:paraId="79E720B2" w14:textId="253151A3" w:rsidR="00C70B52" w:rsidRPr="002A12E4" w:rsidRDefault="00716E63" w:rsidP="00C70B52">
            <w:pPr>
              <w:rPr>
                <w:sz w:val="20"/>
                <w:szCs w:val="20"/>
              </w:rPr>
            </w:pPr>
            <w:r w:rsidRPr="002A12E4">
              <w:rPr>
                <w:sz w:val="20"/>
                <w:szCs w:val="20"/>
              </w:rPr>
              <w:t>17.8</w:t>
            </w:r>
            <w:r w:rsidR="00C70B52" w:rsidRPr="002A12E4">
              <w:rPr>
                <w:sz w:val="20"/>
                <w:szCs w:val="20"/>
              </w:rPr>
              <w:t xml:space="preserve"> (6.5,</w:t>
            </w:r>
            <w:r w:rsidRPr="002A12E4">
              <w:rPr>
                <w:sz w:val="20"/>
                <w:szCs w:val="20"/>
              </w:rPr>
              <w:t xml:space="preserve"> </w:t>
            </w:r>
            <w:r w:rsidR="00C70B52" w:rsidRPr="002A12E4">
              <w:rPr>
                <w:sz w:val="20"/>
                <w:szCs w:val="20"/>
              </w:rPr>
              <w:t>-)</w:t>
            </w:r>
          </w:p>
        </w:tc>
        <w:tc>
          <w:tcPr>
            <w:tcW w:w="2375" w:type="dxa"/>
          </w:tcPr>
          <w:p w14:paraId="32DE5689" w14:textId="77777777" w:rsidR="00C70B52" w:rsidRPr="002A12E4" w:rsidRDefault="00C70B52" w:rsidP="00C70B52">
            <w:pPr>
              <w:rPr>
                <w:sz w:val="20"/>
                <w:szCs w:val="20"/>
              </w:rPr>
            </w:pPr>
            <w:r w:rsidRPr="002A12E4">
              <w:rPr>
                <w:sz w:val="20"/>
                <w:szCs w:val="20"/>
              </w:rPr>
              <w:t>Not reached (30.4, -)</w:t>
            </w:r>
          </w:p>
        </w:tc>
      </w:tr>
      <w:tr w:rsidR="00C70B52" w:rsidRPr="002A12E4" w14:paraId="39D03D09" w14:textId="77777777" w:rsidTr="002A12E4">
        <w:trPr>
          <w:trHeight w:val="64"/>
        </w:trPr>
        <w:tc>
          <w:tcPr>
            <w:tcW w:w="1951" w:type="dxa"/>
          </w:tcPr>
          <w:p w14:paraId="29B1813E" w14:textId="77777777" w:rsidR="00C70B52" w:rsidRPr="002A12E4" w:rsidRDefault="00C70B52" w:rsidP="00C70B52">
            <w:pPr>
              <w:rPr>
                <w:sz w:val="20"/>
                <w:szCs w:val="20"/>
              </w:rPr>
            </w:pPr>
            <w:r w:rsidRPr="002A12E4">
              <w:rPr>
                <w:sz w:val="20"/>
                <w:szCs w:val="20"/>
              </w:rPr>
              <w:t>IRF using EMA censoring guidelines</w:t>
            </w:r>
          </w:p>
        </w:tc>
        <w:tc>
          <w:tcPr>
            <w:tcW w:w="2693" w:type="dxa"/>
          </w:tcPr>
          <w:p w14:paraId="19B7FC6B" w14:textId="77777777" w:rsidR="00C70B52" w:rsidRPr="002A12E4" w:rsidRDefault="00C70B52" w:rsidP="00C70B52">
            <w:pPr>
              <w:rPr>
                <w:sz w:val="20"/>
                <w:szCs w:val="20"/>
              </w:rPr>
            </w:pPr>
            <w:r w:rsidRPr="002A12E4">
              <w:rPr>
                <w:sz w:val="20"/>
                <w:szCs w:val="20"/>
              </w:rPr>
              <w:t>0.55 (95% CI 0.39, 0.77)</w:t>
            </w:r>
          </w:p>
        </w:tc>
        <w:tc>
          <w:tcPr>
            <w:tcW w:w="1701" w:type="dxa"/>
          </w:tcPr>
          <w:p w14:paraId="425B66FE" w14:textId="77777777" w:rsidR="00C70B52" w:rsidRPr="002A12E4" w:rsidRDefault="00C70B52" w:rsidP="00C70B52">
            <w:pPr>
              <w:rPr>
                <w:sz w:val="20"/>
                <w:szCs w:val="20"/>
              </w:rPr>
            </w:pPr>
            <w:r w:rsidRPr="002A12E4">
              <w:rPr>
                <w:sz w:val="20"/>
                <w:szCs w:val="20"/>
              </w:rPr>
              <w:t>24.1 (11.5, -)</w:t>
            </w:r>
          </w:p>
        </w:tc>
        <w:tc>
          <w:tcPr>
            <w:tcW w:w="2375" w:type="dxa"/>
          </w:tcPr>
          <w:p w14:paraId="478AFB1C" w14:textId="77777777" w:rsidR="00C70B52" w:rsidRPr="002A12E4" w:rsidRDefault="00C70B52" w:rsidP="00C70B52">
            <w:pPr>
              <w:rPr>
                <w:sz w:val="20"/>
                <w:szCs w:val="20"/>
              </w:rPr>
            </w:pPr>
            <w:r w:rsidRPr="002A12E4">
              <w:rPr>
                <w:sz w:val="20"/>
                <w:szCs w:val="20"/>
              </w:rPr>
              <w:t>39.9 (30.4, 42.9)</w:t>
            </w:r>
          </w:p>
        </w:tc>
      </w:tr>
    </w:tbl>
    <w:p w14:paraId="2D8E4447" w14:textId="70DCE781" w:rsidR="00C70B52" w:rsidRPr="006E6187" w:rsidRDefault="00716E63" w:rsidP="006E6187">
      <w:pPr>
        <w:pStyle w:val="TableDescription"/>
      </w:pPr>
      <w:r>
        <w:t xml:space="preserve">Note: Missing </w:t>
      </w:r>
      <w:r w:rsidR="006E6187">
        <w:t>CI relate that upper/lower bounds could not be estimated.</w:t>
      </w:r>
    </w:p>
    <w:p w14:paraId="45DE3022" w14:textId="032A8072" w:rsidR="00C70B52" w:rsidRPr="00C70B52" w:rsidRDefault="006E6187" w:rsidP="006E6187">
      <w:pPr>
        <w:pStyle w:val="Heading5"/>
      </w:pPr>
      <w:r>
        <w:t>Pre-specified and post-hoc sub</w:t>
      </w:r>
      <w:r w:rsidR="00C70B52" w:rsidRPr="00C70B52">
        <w:t>group analysis of PFS</w:t>
      </w:r>
    </w:p>
    <w:p w14:paraId="504BD941" w14:textId="0397B383" w:rsidR="00C70B52" w:rsidRDefault="00C70B52" w:rsidP="00C70B52">
      <w:r w:rsidRPr="00C70B52">
        <w:t>The pre-specified analysis of P</w:t>
      </w:r>
      <w:r w:rsidR="006E6187">
        <w:t xml:space="preserve">FS is shown </w:t>
      </w:r>
      <w:r w:rsidR="00C2625B">
        <w:t>below in Figure 7.</w:t>
      </w:r>
    </w:p>
    <w:p w14:paraId="4F62E99F" w14:textId="7066875D" w:rsidR="006E6187" w:rsidRPr="006E6187" w:rsidRDefault="00CB6076" w:rsidP="006E6187">
      <w:pPr>
        <w:pStyle w:val="FigureTitle"/>
      </w:pPr>
      <w:r>
        <w:lastRenderedPageBreak/>
        <w:t>Figure 7</w:t>
      </w:r>
      <w:r w:rsidR="006E6187">
        <w:t>. Progression-free survival by prognostic factors and other patient characteristics</w:t>
      </w:r>
    </w:p>
    <w:p w14:paraId="4DB0CE2E" w14:textId="4CFB11A5" w:rsidR="00C70B52" w:rsidRPr="006E6187" w:rsidRDefault="00C70B52" w:rsidP="00C70B52">
      <w:pPr>
        <w:rPr>
          <w:b/>
        </w:rPr>
      </w:pPr>
      <w:r w:rsidRPr="00C70B52">
        <w:rPr>
          <w:noProof/>
          <w:lang w:eastAsia="en-AU"/>
        </w:rPr>
        <w:drawing>
          <wp:inline distT="0" distB="0" distL="0" distR="0" wp14:anchorId="72920F59" wp14:editId="5D4DF9A7">
            <wp:extent cx="5668815" cy="6282777"/>
            <wp:effectExtent l="0" t="0" r="8255" b="3810"/>
            <wp:docPr id="23" name="Picture 23" descr="Figure 7. Progression-free survival by prognostic factors and other pati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t="5463" b="3364"/>
                    <a:stretch/>
                  </pic:blipFill>
                  <pic:spPr bwMode="auto">
                    <a:xfrm>
                      <a:off x="0" y="0"/>
                      <a:ext cx="5687525" cy="6303513"/>
                    </a:xfrm>
                    <a:prstGeom prst="rect">
                      <a:avLst/>
                    </a:prstGeom>
                    <a:noFill/>
                    <a:ln>
                      <a:noFill/>
                    </a:ln>
                    <a:extLst>
                      <a:ext uri="{53640926-AAD7-44D8-BBD7-CCE9431645EC}">
                        <a14:shadowObscured xmlns:a14="http://schemas.microsoft.com/office/drawing/2010/main"/>
                      </a:ext>
                    </a:extLst>
                  </pic:spPr>
                </pic:pic>
              </a:graphicData>
            </a:graphic>
          </wp:inline>
        </w:drawing>
      </w:r>
    </w:p>
    <w:p w14:paraId="191EFA42" w14:textId="76206247" w:rsidR="00C70B52" w:rsidRPr="00C70B52" w:rsidRDefault="00C70B52" w:rsidP="00C70B52">
      <w:r w:rsidRPr="00C70B52">
        <w:t xml:space="preserve">Estimated median duration of PFS according to </w:t>
      </w:r>
      <w:r w:rsidR="006E6187">
        <w:t>risk factors is shown below in T</w:t>
      </w:r>
      <w:r w:rsidRPr="00C70B52">
        <w:t xml:space="preserve">able </w:t>
      </w:r>
      <w:r w:rsidR="00CB6076">
        <w:t>7.</w:t>
      </w:r>
    </w:p>
    <w:p w14:paraId="5473876C" w14:textId="215E0C7F" w:rsidR="00C70B52" w:rsidRPr="00C70B52" w:rsidRDefault="00CB6076" w:rsidP="00E97E63">
      <w:pPr>
        <w:pStyle w:val="TableTitle"/>
      </w:pPr>
      <w:r>
        <w:t>Table 7. Study SGN35-005 sub</w:t>
      </w:r>
      <w:r w:rsidR="00C70B52" w:rsidRPr="00C70B52">
        <w:t>groups and median progression survival</w:t>
      </w:r>
    </w:p>
    <w:tbl>
      <w:tblPr>
        <w:tblStyle w:val="TableTGAblue"/>
        <w:tblW w:w="8472" w:type="dxa"/>
        <w:tblLook w:val="04A0" w:firstRow="1" w:lastRow="0" w:firstColumn="1" w:lastColumn="0" w:noHBand="0" w:noVBand="1"/>
      </w:tblPr>
      <w:tblGrid>
        <w:gridCol w:w="4180"/>
        <w:gridCol w:w="2114"/>
        <w:gridCol w:w="408"/>
        <w:gridCol w:w="1770"/>
      </w:tblGrid>
      <w:tr w:rsidR="00C70B52" w:rsidRPr="00E97E63" w14:paraId="28AA3C0D" w14:textId="77777777" w:rsidTr="00E97E63">
        <w:trPr>
          <w:cnfStyle w:val="100000000000" w:firstRow="1" w:lastRow="0" w:firstColumn="0" w:lastColumn="0" w:oddVBand="0" w:evenVBand="0" w:oddHBand="0" w:evenHBand="0" w:firstRowFirstColumn="0" w:firstRowLastColumn="0" w:lastRowFirstColumn="0" w:lastRowLastColumn="0"/>
          <w:cantSplit/>
        </w:trPr>
        <w:tc>
          <w:tcPr>
            <w:tcW w:w="4219" w:type="dxa"/>
            <w:vMerge w:val="restart"/>
            <w:hideMark/>
          </w:tcPr>
          <w:p w14:paraId="6F1F2514" w14:textId="77777777" w:rsidR="00C70B52" w:rsidRPr="00E97E63" w:rsidRDefault="00C70B52" w:rsidP="00E97E63">
            <w:pPr>
              <w:rPr>
                <w:sz w:val="20"/>
                <w:szCs w:val="20"/>
              </w:rPr>
            </w:pPr>
            <w:r w:rsidRPr="00E97E63">
              <w:rPr>
                <w:sz w:val="20"/>
                <w:szCs w:val="20"/>
              </w:rPr>
              <w:t>Risk factor for progressive disease following ASCT for HL</w:t>
            </w:r>
          </w:p>
        </w:tc>
        <w:tc>
          <w:tcPr>
            <w:tcW w:w="4253" w:type="dxa"/>
            <w:gridSpan w:val="3"/>
            <w:hideMark/>
          </w:tcPr>
          <w:p w14:paraId="18DE7138" w14:textId="62356049" w:rsidR="00C70B52" w:rsidRPr="00E97E63" w:rsidRDefault="00C70B52" w:rsidP="00E97E63">
            <w:pPr>
              <w:rPr>
                <w:sz w:val="20"/>
                <w:szCs w:val="20"/>
              </w:rPr>
            </w:pPr>
            <w:r w:rsidRPr="00E97E63">
              <w:rPr>
                <w:sz w:val="20"/>
                <w:szCs w:val="20"/>
              </w:rPr>
              <w:t>Median PFS by IRF in months</w:t>
            </w:r>
            <w:r w:rsidR="00C2625B" w:rsidRPr="00E97E63">
              <w:rPr>
                <w:sz w:val="20"/>
                <w:szCs w:val="20"/>
              </w:rPr>
              <w:t xml:space="preserve"> </w:t>
            </w:r>
            <w:r w:rsidRPr="00E97E63">
              <w:rPr>
                <w:sz w:val="20"/>
                <w:szCs w:val="20"/>
              </w:rPr>
              <w:t>(95% CI)</w:t>
            </w:r>
          </w:p>
        </w:tc>
      </w:tr>
      <w:tr w:rsidR="00C70B52" w:rsidRPr="00E97E63" w14:paraId="0211A8B0" w14:textId="77777777" w:rsidTr="00E97E63">
        <w:trPr>
          <w:cnfStyle w:val="100000000000" w:firstRow="1" w:lastRow="0" w:firstColumn="0" w:lastColumn="0" w:oddVBand="0" w:evenVBand="0" w:oddHBand="0" w:evenHBand="0" w:firstRowFirstColumn="0" w:firstRowLastColumn="0" w:lastRowFirstColumn="0" w:lastRowLastColumn="0"/>
          <w:cantSplit/>
        </w:trPr>
        <w:tc>
          <w:tcPr>
            <w:tcW w:w="4219" w:type="dxa"/>
            <w:vMerge/>
            <w:hideMark/>
          </w:tcPr>
          <w:p w14:paraId="25CE75DF" w14:textId="77777777" w:rsidR="00C70B52" w:rsidRPr="00E97E63" w:rsidRDefault="00C70B52" w:rsidP="00E97E63">
            <w:pPr>
              <w:rPr>
                <w:b w:val="0"/>
                <w:sz w:val="20"/>
                <w:szCs w:val="20"/>
              </w:rPr>
            </w:pPr>
          </w:p>
        </w:tc>
        <w:tc>
          <w:tcPr>
            <w:tcW w:w="2540" w:type="dxa"/>
            <w:gridSpan w:val="2"/>
            <w:hideMark/>
          </w:tcPr>
          <w:p w14:paraId="7C8CB9DC" w14:textId="23F40E66" w:rsidR="00C70B52" w:rsidRPr="00E97E63" w:rsidRDefault="00C70B52" w:rsidP="00E97E63">
            <w:pPr>
              <w:rPr>
                <w:b w:val="0"/>
                <w:sz w:val="20"/>
                <w:szCs w:val="20"/>
                <w:vertAlign w:val="superscript"/>
              </w:rPr>
            </w:pPr>
            <w:r w:rsidRPr="00E97E63">
              <w:rPr>
                <w:sz w:val="20"/>
                <w:szCs w:val="20"/>
              </w:rPr>
              <w:t>Placebo</w:t>
            </w:r>
            <w:r w:rsidR="00C2625B" w:rsidRPr="00E97E63">
              <w:rPr>
                <w:sz w:val="20"/>
                <w:szCs w:val="20"/>
                <w:vertAlign w:val="superscript"/>
              </w:rPr>
              <w:t>1</w:t>
            </w:r>
          </w:p>
        </w:tc>
        <w:tc>
          <w:tcPr>
            <w:tcW w:w="1713" w:type="dxa"/>
            <w:hideMark/>
          </w:tcPr>
          <w:p w14:paraId="3DC3228F" w14:textId="7B8E04B0" w:rsidR="00C70B52" w:rsidRPr="00E97E63" w:rsidRDefault="00C70B52" w:rsidP="00E97E63">
            <w:pPr>
              <w:rPr>
                <w:b w:val="0"/>
                <w:sz w:val="20"/>
                <w:szCs w:val="20"/>
                <w:vertAlign w:val="superscript"/>
              </w:rPr>
            </w:pPr>
            <w:r w:rsidRPr="00E97E63">
              <w:rPr>
                <w:sz w:val="20"/>
                <w:szCs w:val="20"/>
              </w:rPr>
              <w:t>Brentuximab vedotin</w:t>
            </w:r>
            <w:r w:rsidR="00C2625B" w:rsidRPr="00E97E63">
              <w:rPr>
                <w:sz w:val="20"/>
                <w:szCs w:val="20"/>
                <w:vertAlign w:val="superscript"/>
              </w:rPr>
              <w:t>1</w:t>
            </w:r>
          </w:p>
        </w:tc>
      </w:tr>
      <w:tr w:rsidR="002A12E4" w:rsidRPr="00E97E63" w14:paraId="5C5188DB" w14:textId="77777777" w:rsidTr="002A12E4">
        <w:tc>
          <w:tcPr>
            <w:tcW w:w="8472" w:type="dxa"/>
            <w:gridSpan w:val="4"/>
          </w:tcPr>
          <w:p w14:paraId="27D61E34" w14:textId="59094361" w:rsidR="002A12E4" w:rsidRPr="00E97E63" w:rsidRDefault="002A12E4" w:rsidP="00E97E63">
            <w:pPr>
              <w:rPr>
                <w:sz w:val="20"/>
                <w:szCs w:val="20"/>
              </w:rPr>
            </w:pPr>
            <w:r w:rsidRPr="00E97E63">
              <w:rPr>
                <w:sz w:val="20"/>
                <w:szCs w:val="20"/>
              </w:rPr>
              <w:t>Low risk for progression</w:t>
            </w:r>
          </w:p>
        </w:tc>
      </w:tr>
      <w:tr w:rsidR="00C70B52" w:rsidRPr="00E97E63" w14:paraId="64E2C624" w14:textId="77777777" w:rsidTr="002A12E4">
        <w:tc>
          <w:tcPr>
            <w:tcW w:w="4219" w:type="dxa"/>
            <w:hideMark/>
          </w:tcPr>
          <w:p w14:paraId="3EFC1CD7" w14:textId="77777777" w:rsidR="00C70B52" w:rsidRPr="00E97E63" w:rsidRDefault="00C70B52" w:rsidP="00E97E63">
            <w:pPr>
              <w:rPr>
                <w:sz w:val="20"/>
                <w:szCs w:val="20"/>
              </w:rPr>
            </w:pPr>
            <w:r w:rsidRPr="00E97E63">
              <w:rPr>
                <w:sz w:val="20"/>
                <w:szCs w:val="20"/>
              </w:rPr>
              <w:t>2 treatment lines prior to ASCT</w:t>
            </w:r>
          </w:p>
        </w:tc>
        <w:tc>
          <w:tcPr>
            <w:tcW w:w="2126" w:type="dxa"/>
            <w:hideMark/>
          </w:tcPr>
          <w:p w14:paraId="68EB316E" w14:textId="4B179693" w:rsidR="00C70B52" w:rsidRPr="00E97E63" w:rsidRDefault="003F50B8" w:rsidP="00E97E63">
            <w:pPr>
              <w:rPr>
                <w:sz w:val="20"/>
                <w:szCs w:val="20"/>
              </w:rPr>
            </w:pPr>
            <w:r w:rsidRPr="00E97E63">
              <w:rPr>
                <w:sz w:val="20"/>
                <w:szCs w:val="20"/>
              </w:rPr>
              <w:t>Not yet reached (12.3, —</w:t>
            </w:r>
            <w:r w:rsidR="00C70B52" w:rsidRPr="00E97E63">
              <w:rPr>
                <w:sz w:val="20"/>
                <w:szCs w:val="20"/>
              </w:rPr>
              <w:t>)</w:t>
            </w:r>
          </w:p>
        </w:tc>
        <w:tc>
          <w:tcPr>
            <w:tcW w:w="2127" w:type="dxa"/>
            <w:gridSpan w:val="2"/>
            <w:hideMark/>
          </w:tcPr>
          <w:p w14:paraId="21D4342F" w14:textId="5865187B" w:rsidR="00C70B52" w:rsidRPr="00E97E63" w:rsidRDefault="00C70B52" w:rsidP="00E97E63">
            <w:pPr>
              <w:rPr>
                <w:sz w:val="20"/>
                <w:szCs w:val="20"/>
              </w:rPr>
            </w:pPr>
            <w:r w:rsidRPr="00E97E63">
              <w:rPr>
                <w:sz w:val="20"/>
                <w:szCs w:val="20"/>
              </w:rPr>
              <w:t>34</w:t>
            </w:r>
            <w:r w:rsidR="00C00656" w:rsidRPr="00E97E63">
              <w:rPr>
                <w:sz w:val="20"/>
                <w:szCs w:val="20"/>
              </w:rPr>
              <w:t>.3 (24.8, —</w:t>
            </w:r>
            <w:r w:rsidRPr="00E97E63">
              <w:rPr>
                <w:sz w:val="20"/>
                <w:szCs w:val="20"/>
              </w:rPr>
              <w:t>)</w:t>
            </w:r>
          </w:p>
        </w:tc>
      </w:tr>
      <w:tr w:rsidR="00C70B52" w:rsidRPr="00E97E63" w14:paraId="49515B16" w14:textId="77777777" w:rsidTr="002A12E4">
        <w:tc>
          <w:tcPr>
            <w:tcW w:w="4219" w:type="dxa"/>
            <w:hideMark/>
          </w:tcPr>
          <w:p w14:paraId="6AD82F76" w14:textId="77777777" w:rsidR="00C70B52" w:rsidRPr="00E97E63" w:rsidRDefault="00C70B52" w:rsidP="00E97E63">
            <w:pPr>
              <w:rPr>
                <w:sz w:val="20"/>
                <w:szCs w:val="20"/>
              </w:rPr>
            </w:pPr>
            <w:r w:rsidRPr="00E97E63">
              <w:rPr>
                <w:sz w:val="20"/>
                <w:szCs w:val="20"/>
              </w:rPr>
              <w:lastRenderedPageBreak/>
              <w:t>PET-negative prior to ASCT</w:t>
            </w:r>
          </w:p>
        </w:tc>
        <w:tc>
          <w:tcPr>
            <w:tcW w:w="2126" w:type="dxa"/>
            <w:hideMark/>
          </w:tcPr>
          <w:p w14:paraId="02A1C0A6" w14:textId="32FCC7F2" w:rsidR="00C70B52" w:rsidRPr="00E97E63" w:rsidRDefault="003F50B8" w:rsidP="00E97E63">
            <w:pPr>
              <w:rPr>
                <w:sz w:val="20"/>
                <w:szCs w:val="20"/>
              </w:rPr>
            </w:pPr>
            <w:r w:rsidRPr="00E97E63">
              <w:rPr>
                <w:sz w:val="20"/>
                <w:szCs w:val="20"/>
              </w:rPr>
              <w:t>Not yet reached (18.0, —</w:t>
            </w:r>
            <w:r w:rsidR="00C70B52" w:rsidRPr="00E97E63">
              <w:rPr>
                <w:sz w:val="20"/>
                <w:szCs w:val="20"/>
              </w:rPr>
              <w:t>)</w:t>
            </w:r>
          </w:p>
        </w:tc>
        <w:tc>
          <w:tcPr>
            <w:tcW w:w="2127" w:type="dxa"/>
            <w:gridSpan w:val="2"/>
            <w:hideMark/>
          </w:tcPr>
          <w:p w14:paraId="126860AC" w14:textId="77777777" w:rsidR="00C70B52" w:rsidRPr="00E97E63" w:rsidRDefault="00C70B52" w:rsidP="00E97E63">
            <w:pPr>
              <w:rPr>
                <w:sz w:val="20"/>
                <w:szCs w:val="20"/>
              </w:rPr>
            </w:pPr>
            <w:r w:rsidRPr="00E97E63">
              <w:rPr>
                <w:sz w:val="20"/>
                <w:szCs w:val="20"/>
              </w:rPr>
              <w:t>42.9 (34.3, 42.9)</w:t>
            </w:r>
          </w:p>
        </w:tc>
      </w:tr>
      <w:tr w:rsidR="00C70B52" w:rsidRPr="00E97E63" w14:paraId="58A18751" w14:textId="77777777" w:rsidTr="002A12E4">
        <w:tc>
          <w:tcPr>
            <w:tcW w:w="4219" w:type="dxa"/>
            <w:hideMark/>
          </w:tcPr>
          <w:p w14:paraId="5120391A" w14:textId="77777777" w:rsidR="00C70B52" w:rsidRPr="00E97E63" w:rsidRDefault="00C70B52" w:rsidP="00E97E63">
            <w:pPr>
              <w:rPr>
                <w:sz w:val="20"/>
                <w:szCs w:val="20"/>
              </w:rPr>
            </w:pPr>
            <w:r w:rsidRPr="00E97E63">
              <w:rPr>
                <w:sz w:val="20"/>
                <w:szCs w:val="20"/>
              </w:rPr>
              <w:t>no B symptoms at the time of relapse prior to ASCT</w:t>
            </w:r>
          </w:p>
        </w:tc>
        <w:tc>
          <w:tcPr>
            <w:tcW w:w="2126" w:type="dxa"/>
            <w:hideMark/>
          </w:tcPr>
          <w:p w14:paraId="5C3B79AE" w14:textId="11DE0982" w:rsidR="00C70B52" w:rsidRPr="00E97E63" w:rsidRDefault="00C70B52" w:rsidP="00E97E63">
            <w:pPr>
              <w:rPr>
                <w:sz w:val="20"/>
                <w:szCs w:val="20"/>
              </w:rPr>
            </w:pPr>
            <w:r w:rsidRPr="00E97E63">
              <w:rPr>
                <w:sz w:val="20"/>
                <w:szCs w:val="20"/>
              </w:rPr>
              <w:t>Not yet reached (12.0,</w:t>
            </w:r>
            <w:r w:rsidR="003F50B8" w:rsidRPr="00E97E63">
              <w:rPr>
                <w:sz w:val="20"/>
                <w:szCs w:val="20"/>
              </w:rPr>
              <w:t xml:space="preserve"> —</w:t>
            </w:r>
            <w:r w:rsidRPr="00E97E63">
              <w:rPr>
                <w:sz w:val="20"/>
                <w:szCs w:val="20"/>
              </w:rPr>
              <w:t>)</w:t>
            </w:r>
          </w:p>
        </w:tc>
        <w:tc>
          <w:tcPr>
            <w:tcW w:w="2127" w:type="dxa"/>
            <w:gridSpan w:val="2"/>
            <w:hideMark/>
          </w:tcPr>
          <w:p w14:paraId="70B7DCE1" w14:textId="130117A1" w:rsidR="00C70B52" w:rsidRPr="00E97E63" w:rsidRDefault="003F50B8" w:rsidP="00E97E63">
            <w:pPr>
              <w:rPr>
                <w:sz w:val="20"/>
                <w:szCs w:val="20"/>
              </w:rPr>
            </w:pPr>
            <w:r w:rsidRPr="00E97E63">
              <w:rPr>
                <w:sz w:val="20"/>
                <w:szCs w:val="20"/>
              </w:rPr>
              <w:t>34.3 (26.4, —</w:t>
            </w:r>
            <w:r w:rsidR="00C70B52" w:rsidRPr="00E97E63">
              <w:rPr>
                <w:sz w:val="20"/>
                <w:szCs w:val="20"/>
              </w:rPr>
              <w:t>)</w:t>
            </w:r>
          </w:p>
        </w:tc>
      </w:tr>
      <w:tr w:rsidR="00C70B52" w:rsidRPr="00E97E63" w14:paraId="332C0EB3" w14:textId="77777777" w:rsidTr="002A12E4">
        <w:tc>
          <w:tcPr>
            <w:tcW w:w="4219" w:type="dxa"/>
            <w:hideMark/>
          </w:tcPr>
          <w:p w14:paraId="47D117B3" w14:textId="77777777" w:rsidR="00C70B52" w:rsidRPr="00E97E63" w:rsidRDefault="00C70B52" w:rsidP="00E97E63">
            <w:pPr>
              <w:rPr>
                <w:sz w:val="20"/>
                <w:szCs w:val="20"/>
              </w:rPr>
            </w:pPr>
            <w:r w:rsidRPr="00E97E63">
              <w:rPr>
                <w:sz w:val="20"/>
                <w:szCs w:val="20"/>
              </w:rPr>
              <w:t>Complete response to salvage therapy</w:t>
            </w:r>
          </w:p>
        </w:tc>
        <w:tc>
          <w:tcPr>
            <w:tcW w:w="2126" w:type="dxa"/>
            <w:hideMark/>
          </w:tcPr>
          <w:p w14:paraId="3B870FBC" w14:textId="034399A3" w:rsidR="00C70B52" w:rsidRPr="00E97E63" w:rsidRDefault="003F50B8" w:rsidP="00E97E63">
            <w:pPr>
              <w:rPr>
                <w:sz w:val="20"/>
                <w:szCs w:val="20"/>
              </w:rPr>
            </w:pPr>
            <w:r w:rsidRPr="00E97E63">
              <w:rPr>
                <w:sz w:val="20"/>
                <w:szCs w:val="20"/>
              </w:rPr>
              <w:t>Not yet reached (23.7, —</w:t>
            </w:r>
            <w:r w:rsidR="00C70B52" w:rsidRPr="00E97E63">
              <w:rPr>
                <w:sz w:val="20"/>
                <w:szCs w:val="20"/>
              </w:rPr>
              <w:t>)</w:t>
            </w:r>
          </w:p>
        </w:tc>
        <w:tc>
          <w:tcPr>
            <w:tcW w:w="2127" w:type="dxa"/>
            <w:gridSpan w:val="2"/>
            <w:hideMark/>
          </w:tcPr>
          <w:p w14:paraId="477373BE" w14:textId="77777777" w:rsidR="00C70B52" w:rsidRPr="00E97E63" w:rsidRDefault="00C70B52" w:rsidP="00E97E63">
            <w:pPr>
              <w:rPr>
                <w:sz w:val="20"/>
                <w:szCs w:val="20"/>
              </w:rPr>
            </w:pPr>
            <w:r w:rsidRPr="00E97E63">
              <w:rPr>
                <w:sz w:val="20"/>
                <w:szCs w:val="20"/>
              </w:rPr>
              <w:t>42.9 (34.3, 42.9)</w:t>
            </w:r>
          </w:p>
        </w:tc>
      </w:tr>
      <w:tr w:rsidR="002A12E4" w:rsidRPr="00E97E63" w14:paraId="2C3FFD25" w14:textId="77777777" w:rsidTr="002A12E4">
        <w:tc>
          <w:tcPr>
            <w:tcW w:w="8472" w:type="dxa"/>
            <w:gridSpan w:val="4"/>
          </w:tcPr>
          <w:p w14:paraId="0BFAB6B5" w14:textId="35F26E66" w:rsidR="002A12E4" w:rsidRPr="00E97E63" w:rsidRDefault="002A12E4" w:rsidP="00E97E63">
            <w:pPr>
              <w:rPr>
                <w:sz w:val="20"/>
                <w:szCs w:val="20"/>
              </w:rPr>
            </w:pPr>
            <w:r w:rsidRPr="00E97E63">
              <w:rPr>
                <w:sz w:val="20"/>
                <w:szCs w:val="20"/>
              </w:rPr>
              <w:t>High risk for progression</w:t>
            </w:r>
          </w:p>
        </w:tc>
      </w:tr>
      <w:tr w:rsidR="00C70B52" w:rsidRPr="00E97E63" w14:paraId="1F9ED7B3" w14:textId="77777777" w:rsidTr="002A12E4">
        <w:tc>
          <w:tcPr>
            <w:tcW w:w="4219" w:type="dxa"/>
          </w:tcPr>
          <w:p w14:paraId="2DDF4D0C" w14:textId="77777777" w:rsidR="00C70B52" w:rsidRPr="00E97E63" w:rsidRDefault="00C70B52" w:rsidP="00E97E63">
            <w:pPr>
              <w:rPr>
                <w:sz w:val="20"/>
                <w:szCs w:val="20"/>
              </w:rPr>
            </w:pPr>
            <w:r w:rsidRPr="00E97E63">
              <w:rPr>
                <w:sz w:val="20"/>
                <w:szCs w:val="20"/>
              </w:rPr>
              <w:t>Refractory disease after frontline therapy</w:t>
            </w:r>
          </w:p>
        </w:tc>
        <w:tc>
          <w:tcPr>
            <w:tcW w:w="2126" w:type="dxa"/>
          </w:tcPr>
          <w:p w14:paraId="6A9B83F6" w14:textId="7AD29278" w:rsidR="00C70B52" w:rsidRPr="00E97E63" w:rsidRDefault="003F50B8" w:rsidP="00E97E63">
            <w:pPr>
              <w:rPr>
                <w:sz w:val="20"/>
                <w:szCs w:val="20"/>
              </w:rPr>
            </w:pPr>
            <w:r w:rsidRPr="00E97E63">
              <w:rPr>
                <w:sz w:val="20"/>
                <w:szCs w:val="20"/>
              </w:rPr>
              <w:t>17.8 (6.0, —</w:t>
            </w:r>
            <w:r w:rsidR="00C70B52" w:rsidRPr="00E97E63">
              <w:rPr>
                <w:sz w:val="20"/>
                <w:szCs w:val="20"/>
              </w:rPr>
              <w:t>)</w:t>
            </w:r>
          </w:p>
        </w:tc>
        <w:tc>
          <w:tcPr>
            <w:tcW w:w="2127" w:type="dxa"/>
            <w:gridSpan w:val="2"/>
          </w:tcPr>
          <w:p w14:paraId="6B225835" w14:textId="3855344C" w:rsidR="00C70B52" w:rsidRPr="00E97E63" w:rsidRDefault="003F50B8" w:rsidP="00E97E63">
            <w:pPr>
              <w:rPr>
                <w:sz w:val="20"/>
                <w:szCs w:val="20"/>
              </w:rPr>
            </w:pPr>
            <w:r w:rsidRPr="00E97E63">
              <w:rPr>
                <w:sz w:val="20"/>
                <w:szCs w:val="20"/>
              </w:rPr>
              <w:t>30.4 (18.0, —</w:t>
            </w:r>
            <w:r w:rsidR="00C70B52" w:rsidRPr="00E97E63">
              <w:rPr>
                <w:sz w:val="20"/>
                <w:szCs w:val="20"/>
              </w:rPr>
              <w:t>)</w:t>
            </w:r>
          </w:p>
        </w:tc>
      </w:tr>
      <w:tr w:rsidR="00C70B52" w:rsidRPr="00E97E63" w14:paraId="25D0382C" w14:textId="77777777" w:rsidTr="002A12E4">
        <w:tc>
          <w:tcPr>
            <w:tcW w:w="4219" w:type="dxa"/>
            <w:hideMark/>
          </w:tcPr>
          <w:p w14:paraId="2BC5BDFA" w14:textId="77777777" w:rsidR="00C70B52" w:rsidRPr="00E97E63" w:rsidRDefault="00C70B52" w:rsidP="00E97E63">
            <w:pPr>
              <w:rPr>
                <w:sz w:val="20"/>
                <w:szCs w:val="20"/>
              </w:rPr>
            </w:pPr>
            <w:r w:rsidRPr="00E97E63">
              <w:rPr>
                <w:sz w:val="20"/>
                <w:szCs w:val="20"/>
              </w:rPr>
              <w:t>&gt; 2 treatment lines prior to ASCT</w:t>
            </w:r>
          </w:p>
        </w:tc>
        <w:tc>
          <w:tcPr>
            <w:tcW w:w="2126" w:type="dxa"/>
            <w:hideMark/>
          </w:tcPr>
          <w:p w14:paraId="5C15F264" w14:textId="77777777" w:rsidR="00C70B52" w:rsidRPr="00E97E63" w:rsidRDefault="00C70B52" w:rsidP="00E97E63">
            <w:pPr>
              <w:rPr>
                <w:sz w:val="20"/>
                <w:szCs w:val="20"/>
              </w:rPr>
            </w:pPr>
            <w:r w:rsidRPr="00E97E63">
              <w:rPr>
                <w:sz w:val="20"/>
                <w:szCs w:val="20"/>
              </w:rPr>
              <w:t>7.1 (3.3, 15.3)</w:t>
            </w:r>
          </w:p>
        </w:tc>
        <w:tc>
          <w:tcPr>
            <w:tcW w:w="2127" w:type="dxa"/>
            <w:gridSpan w:val="2"/>
            <w:hideMark/>
          </w:tcPr>
          <w:p w14:paraId="5100C69C" w14:textId="283D53EF" w:rsidR="00C70B52" w:rsidRPr="00E97E63" w:rsidRDefault="003F50B8" w:rsidP="00E97E63">
            <w:pPr>
              <w:rPr>
                <w:sz w:val="20"/>
                <w:szCs w:val="20"/>
              </w:rPr>
            </w:pPr>
            <w:r w:rsidRPr="00E97E63">
              <w:rPr>
                <w:sz w:val="20"/>
                <w:szCs w:val="20"/>
              </w:rPr>
              <w:t>Not yet reached (26.4, —</w:t>
            </w:r>
            <w:r w:rsidR="00C70B52" w:rsidRPr="00E97E63">
              <w:rPr>
                <w:sz w:val="20"/>
                <w:szCs w:val="20"/>
              </w:rPr>
              <w:t>)</w:t>
            </w:r>
          </w:p>
        </w:tc>
      </w:tr>
      <w:tr w:rsidR="00C70B52" w:rsidRPr="00E97E63" w14:paraId="42C1EAC4" w14:textId="77777777" w:rsidTr="002A12E4">
        <w:tc>
          <w:tcPr>
            <w:tcW w:w="4219" w:type="dxa"/>
            <w:hideMark/>
          </w:tcPr>
          <w:p w14:paraId="4007C03C" w14:textId="77777777" w:rsidR="00C70B52" w:rsidRPr="00E97E63" w:rsidRDefault="00C70B52" w:rsidP="00E97E63">
            <w:pPr>
              <w:rPr>
                <w:sz w:val="20"/>
                <w:szCs w:val="20"/>
              </w:rPr>
            </w:pPr>
            <w:r w:rsidRPr="00E97E63">
              <w:rPr>
                <w:sz w:val="20"/>
                <w:szCs w:val="20"/>
              </w:rPr>
              <w:t>B symptoms at the time of relapse prior to ASCT</w:t>
            </w:r>
          </w:p>
        </w:tc>
        <w:tc>
          <w:tcPr>
            <w:tcW w:w="2126" w:type="dxa"/>
            <w:hideMark/>
          </w:tcPr>
          <w:p w14:paraId="046685E2" w14:textId="77777777" w:rsidR="00C70B52" w:rsidRPr="00E97E63" w:rsidRDefault="00C70B52" w:rsidP="00E97E63">
            <w:pPr>
              <w:rPr>
                <w:sz w:val="20"/>
                <w:szCs w:val="20"/>
              </w:rPr>
            </w:pPr>
            <w:r w:rsidRPr="00E97E63">
              <w:rPr>
                <w:sz w:val="20"/>
                <w:szCs w:val="20"/>
              </w:rPr>
              <w:t>12.3 (3.1, 24.5)</w:t>
            </w:r>
          </w:p>
        </w:tc>
        <w:tc>
          <w:tcPr>
            <w:tcW w:w="2127" w:type="dxa"/>
            <w:gridSpan w:val="2"/>
            <w:hideMark/>
          </w:tcPr>
          <w:p w14:paraId="6C2AD889" w14:textId="77777777" w:rsidR="00C70B52" w:rsidRPr="00E97E63" w:rsidRDefault="00C70B52" w:rsidP="00E97E63">
            <w:pPr>
              <w:rPr>
                <w:sz w:val="20"/>
                <w:szCs w:val="20"/>
              </w:rPr>
            </w:pPr>
            <w:r w:rsidRPr="00E97E63">
              <w:rPr>
                <w:sz w:val="20"/>
                <w:szCs w:val="20"/>
              </w:rPr>
              <w:t>42.9 (18.0, 42.9)</w:t>
            </w:r>
          </w:p>
        </w:tc>
      </w:tr>
      <w:tr w:rsidR="00C70B52" w:rsidRPr="00E97E63" w14:paraId="2E85628F" w14:textId="77777777" w:rsidTr="002A12E4">
        <w:tc>
          <w:tcPr>
            <w:tcW w:w="4219" w:type="dxa"/>
            <w:hideMark/>
          </w:tcPr>
          <w:p w14:paraId="245849BB" w14:textId="77777777" w:rsidR="00C70B52" w:rsidRPr="00E97E63" w:rsidRDefault="00C70B52" w:rsidP="00E97E63">
            <w:pPr>
              <w:rPr>
                <w:sz w:val="20"/>
                <w:szCs w:val="20"/>
              </w:rPr>
            </w:pPr>
            <w:r w:rsidRPr="00E97E63">
              <w:rPr>
                <w:sz w:val="20"/>
                <w:szCs w:val="20"/>
              </w:rPr>
              <w:t>PET positive prior to ASCT</w:t>
            </w:r>
          </w:p>
        </w:tc>
        <w:tc>
          <w:tcPr>
            <w:tcW w:w="2126" w:type="dxa"/>
            <w:hideMark/>
          </w:tcPr>
          <w:p w14:paraId="6A114D51" w14:textId="180454EA" w:rsidR="00C70B52" w:rsidRPr="00E97E63" w:rsidRDefault="003F50B8" w:rsidP="00E97E63">
            <w:pPr>
              <w:rPr>
                <w:sz w:val="20"/>
                <w:szCs w:val="20"/>
              </w:rPr>
            </w:pPr>
            <w:r w:rsidRPr="00E97E63">
              <w:rPr>
                <w:sz w:val="20"/>
                <w:szCs w:val="20"/>
              </w:rPr>
              <w:t>12.0 (3.1, —</w:t>
            </w:r>
            <w:r w:rsidR="00C70B52" w:rsidRPr="00E97E63">
              <w:rPr>
                <w:sz w:val="20"/>
                <w:szCs w:val="20"/>
              </w:rPr>
              <w:t>)</w:t>
            </w:r>
          </w:p>
        </w:tc>
        <w:tc>
          <w:tcPr>
            <w:tcW w:w="2127" w:type="dxa"/>
            <w:gridSpan w:val="2"/>
            <w:hideMark/>
          </w:tcPr>
          <w:p w14:paraId="34D01A15" w14:textId="402BC3EA" w:rsidR="00C70B52" w:rsidRPr="00E97E63" w:rsidRDefault="003F50B8" w:rsidP="00E97E63">
            <w:pPr>
              <w:rPr>
                <w:sz w:val="20"/>
                <w:szCs w:val="20"/>
              </w:rPr>
            </w:pPr>
            <w:r w:rsidRPr="00E97E63">
              <w:rPr>
                <w:sz w:val="20"/>
                <w:szCs w:val="20"/>
              </w:rPr>
              <w:t>30.4 (13.9, —</w:t>
            </w:r>
            <w:r w:rsidR="00C70B52" w:rsidRPr="00E97E63">
              <w:rPr>
                <w:sz w:val="20"/>
                <w:szCs w:val="20"/>
              </w:rPr>
              <w:t>)</w:t>
            </w:r>
          </w:p>
        </w:tc>
      </w:tr>
      <w:tr w:rsidR="00C70B52" w:rsidRPr="00E97E63" w14:paraId="4FE5CF3C" w14:textId="77777777" w:rsidTr="002A12E4">
        <w:tc>
          <w:tcPr>
            <w:tcW w:w="4219" w:type="dxa"/>
            <w:hideMark/>
          </w:tcPr>
          <w:p w14:paraId="4E22D400" w14:textId="77777777" w:rsidR="00C70B52" w:rsidRPr="00E97E63" w:rsidRDefault="00C70B52" w:rsidP="00E97E63">
            <w:pPr>
              <w:rPr>
                <w:sz w:val="20"/>
                <w:szCs w:val="20"/>
              </w:rPr>
            </w:pPr>
            <w:r w:rsidRPr="00E97E63">
              <w:rPr>
                <w:sz w:val="20"/>
                <w:szCs w:val="20"/>
              </w:rPr>
              <w:t>Partial response to salvage therapy</w:t>
            </w:r>
          </w:p>
        </w:tc>
        <w:tc>
          <w:tcPr>
            <w:tcW w:w="2126" w:type="dxa"/>
            <w:hideMark/>
          </w:tcPr>
          <w:p w14:paraId="292BEBDA" w14:textId="45C4707D" w:rsidR="00C70B52" w:rsidRPr="00E97E63" w:rsidRDefault="003F50B8" w:rsidP="00E97E63">
            <w:pPr>
              <w:rPr>
                <w:sz w:val="20"/>
                <w:szCs w:val="20"/>
              </w:rPr>
            </w:pPr>
            <w:r w:rsidRPr="00E97E63">
              <w:rPr>
                <w:sz w:val="20"/>
                <w:szCs w:val="20"/>
              </w:rPr>
              <w:t>12.0 (3.3, —</w:t>
            </w:r>
            <w:r w:rsidR="00C70B52" w:rsidRPr="00E97E63">
              <w:rPr>
                <w:sz w:val="20"/>
                <w:szCs w:val="20"/>
              </w:rPr>
              <w:t>)</w:t>
            </w:r>
          </w:p>
        </w:tc>
        <w:tc>
          <w:tcPr>
            <w:tcW w:w="2127" w:type="dxa"/>
            <w:gridSpan w:val="2"/>
            <w:hideMark/>
          </w:tcPr>
          <w:p w14:paraId="1503DA99" w14:textId="67330B8F" w:rsidR="00C70B52" w:rsidRPr="00E97E63" w:rsidRDefault="003F50B8" w:rsidP="00E97E63">
            <w:pPr>
              <w:rPr>
                <w:sz w:val="20"/>
                <w:szCs w:val="20"/>
              </w:rPr>
            </w:pPr>
            <w:r w:rsidRPr="00E97E63">
              <w:rPr>
                <w:sz w:val="20"/>
                <w:szCs w:val="20"/>
              </w:rPr>
              <w:t>Not yet reached (26.4, —</w:t>
            </w:r>
            <w:r w:rsidR="00C70B52" w:rsidRPr="00E97E63">
              <w:rPr>
                <w:sz w:val="20"/>
                <w:szCs w:val="20"/>
              </w:rPr>
              <w:t>)</w:t>
            </w:r>
          </w:p>
        </w:tc>
      </w:tr>
      <w:tr w:rsidR="00C70B52" w:rsidRPr="00E97E63" w14:paraId="5235BF20" w14:textId="77777777" w:rsidTr="002A12E4">
        <w:tc>
          <w:tcPr>
            <w:tcW w:w="4219" w:type="dxa"/>
            <w:hideMark/>
          </w:tcPr>
          <w:p w14:paraId="3E4C1EB8" w14:textId="77777777" w:rsidR="00C70B52" w:rsidRPr="00E97E63" w:rsidRDefault="00C70B52" w:rsidP="00E97E63">
            <w:pPr>
              <w:rPr>
                <w:sz w:val="20"/>
                <w:szCs w:val="20"/>
              </w:rPr>
            </w:pPr>
            <w:r w:rsidRPr="00E97E63">
              <w:rPr>
                <w:sz w:val="20"/>
                <w:szCs w:val="20"/>
              </w:rPr>
              <w:t>≥ 3 risk factors</w:t>
            </w:r>
          </w:p>
        </w:tc>
        <w:tc>
          <w:tcPr>
            <w:tcW w:w="2126" w:type="dxa"/>
            <w:hideMark/>
          </w:tcPr>
          <w:p w14:paraId="09433E3B" w14:textId="77777777" w:rsidR="00C70B52" w:rsidRPr="00E97E63" w:rsidRDefault="00C70B52" w:rsidP="00E97E63">
            <w:pPr>
              <w:rPr>
                <w:sz w:val="20"/>
                <w:szCs w:val="20"/>
              </w:rPr>
            </w:pPr>
            <w:r w:rsidRPr="00E97E63">
              <w:rPr>
                <w:sz w:val="20"/>
                <w:szCs w:val="20"/>
              </w:rPr>
              <w:t>7.1 (3.3, 17.8)</w:t>
            </w:r>
          </w:p>
        </w:tc>
        <w:tc>
          <w:tcPr>
            <w:tcW w:w="2127" w:type="dxa"/>
            <w:gridSpan w:val="2"/>
            <w:hideMark/>
          </w:tcPr>
          <w:p w14:paraId="73B7188D" w14:textId="31FBF798" w:rsidR="00C70B52" w:rsidRPr="00E97E63" w:rsidRDefault="003F50B8" w:rsidP="00E97E63">
            <w:pPr>
              <w:rPr>
                <w:sz w:val="20"/>
                <w:szCs w:val="20"/>
              </w:rPr>
            </w:pPr>
            <w:r w:rsidRPr="00E97E63">
              <w:rPr>
                <w:sz w:val="20"/>
                <w:szCs w:val="20"/>
              </w:rPr>
              <w:t>Not yet reached (18.0, —</w:t>
            </w:r>
            <w:r w:rsidR="00C70B52" w:rsidRPr="00E97E63">
              <w:rPr>
                <w:sz w:val="20"/>
                <w:szCs w:val="20"/>
              </w:rPr>
              <w:t>)</w:t>
            </w:r>
          </w:p>
        </w:tc>
      </w:tr>
    </w:tbl>
    <w:p w14:paraId="124F628A" w14:textId="54CB00ED" w:rsidR="00C70B52" w:rsidRPr="00C70B52" w:rsidRDefault="00C70B52" w:rsidP="00C70B52">
      <w:r w:rsidRPr="00C70B52">
        <w:t xml:space="preserve">For the prognostic factors associated with ‘low risk’ for disease progression, the placebo group </w:t>
      </w:r>
      <w:r w:rsidRPr="00C2625B">
        <w:t>may</w:t>
      </w:r>
      <w:r w:rsidRPr="00C70B52">
        <w:t xml:space="preserve"> have an improved PFS outcome compared to those who received brentuximab vedotin. However, there is no formal statistical analysis presented to test this.</w:t>
      </w:r>
    </w:p>
    <w:p w14:paraId="04BA1CF3" w14:textId="0249064D" w:rsidR="00C70B52" w:rsidRPr="00C70B52" w:rsidRDefault="00C70B52" w:rsidP="00C70B52">
      <w:r w:rsidRPr="00C70B52">
        <w:t xml:space="preserve">Conversely, for the prognostic factors associated with ‘high risk’ of disease progression, there </w:t>
      </w:r>
      <w:r w:rsidRPr="00C2625B">
        <w:t>may</w:t>
      </w:r>
      <w:r w:rsidRPr="00C70B52">
        <w:t xml:space="preserve"> be a benefit for those patients who received brentuximab vedotin.</w:t>
      </w:r>
    </w:p>
    <w:p w14:paraId="72F556A3" w14:textId="2AE4AF2E" w:rsidR="00C70B52" w:rsidRDefault="00C70B52" w:rsidP="00C70B52">
      <w:r w:rsidRPr="00C70B52">
        <w:t>The post-hoc analysis of PFS according to number</w:t>
      </w:r>
      <w:r w:rsidR="000F36CD">
        <w:t xml:space="preserve"> of risk factors is shown below in Table 8.</w:t>
      </w:r>
    </w:p>
    <w:p w14:paraId="1DB9341C" w14:textId="1D29C407" w:rsidR="000F36CD" w:rsidRDefault="000F36CD" w:rsidP="00E97E63">
      <w:pPr>
        <w:pStyle w:val="TableTitle"/>
      </w:pPr>
      <w:proofErr w:type="gramStart"/>
      <w:r>
        <w:lastRenderedPageBreak/>
        <w:t>Table 8.</w:t>
      </w:r>
      <w:proofErr w:type="gramEnd"/>
      <w:r>
        <w:t xml:space="preserve"> </w:t>
      </w:r>
      <w:r w:rsidR="00C2625B">
        <w:t>P</w:t>
      </w:r>
      <w:r w:rsidRPr="00C70B52">
        <w:t>ost-hoc analysis of PFS according to number</w:t>
      </w:r>
      <w:r>
        <w:t xml:space="preserve"> of risk factors</w:t>
      </w:r>
    </w:p>
    <w:p w14:paraId="66520FE4" w14:textId="5C89D9DA" w:rsidR="00E97E63" w:rsidRPr="00C70B52" w:rsidRDefault="00E97E63" w:rsidP="00E97E63">
      <w:r>
        <w:rPr>
          <w:noProof/>
          <w:lang w:eastAsia="en-AU"/>
        </w:rPr>
        <w:drawing>
          <wp:inline distT="0" distB="0" distL="0" distR="0" wp14:anchorId="7DB67E16" wp14:editId="6E289134">
            <wp:extent cx="5243195" cy="3017520"/>
            <wp:effectExtent l="0" t="0" r="0" b="0"/>
            <wp:docPr id="4" name="Picture 4" descr="Table 8. Post-hoc analysis of PFS according to number of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3195" cy="3017520"/>
                    </a:xfrm>
                    <a:prstGeom prst="rect">
                      <a:avLst/>
                    </a:prstGeom>
                    <a:noFill/>
                  </pic:spPr>
                </pic:pic>
              </a:graphicData>
            </a:graphic>
          </wp:inline>
        </w:drawing>
      </w:r>
    </w:p>
    <w:p w14:paraId="2CBE5EA4" w14:textId="376CDEB8" w:rsidR="00C00656" w:rsidRDefault="00C00656" w:rsidP="002A12E4">
      <w:r w:rsidRPr="00C00656">
        <w:t>Of note, the stratified hazard ratio of PFS favours treatment with brentuximab vedotin irrespective of number of categorised risk factors.</w:t>
      </w:r>
    </w:p>
    <w:p w14:paraId="3A168CFF" w14:textId="7DFAEEE0" w:rsidR="00C70B52" w:rsidRPr="00C70B52" w:rsidRDefault="00C70B52" w:rsidP="00C70B52">
      <w:r w:rsidRPr="00C70B52">
        <w:t>Among patients allocated to placebo, approximately half (85/154, 55%) required subsequent therapy for disease progression. For those with no requirement for additional therapy, owing to ASCT success, the median PFS was 30.9 months.</w:t>
      </w:r>
    </w:p>
    <w:p w14:paraId="42A67DD3" w14:textId="29FE8E6B" w:rsidR="00C70B52" w:rsidRPr="00C70B52" w:rsidRDefault="00C70B52" w:rsidP="00C70B52">
      <w:r w:rsidRPr="00C70B52">
        <w:t>The analysis of PFS according to IRF by the number of risk factors is limited by the</w:t>
      </w:r>
      <w:r w:rsidR="008C49B4">
        <w:t xml:space="preserve"> number of patients in each sub</w:t>
      </w:r>
      <w:r w:rsidRPr="00C70B52">
        <w:t>group</w:t>
      </w:r>
      <w:r w:rsidR="008C49B4">
        <w:t xml:space="preserve"> and immaturity of the data.</w:t>
      </w:r>
    </w:p>
    <w:p w14:paraId="1685AB89" w14:textId="02E776F2" w:rsidR="00C70B52" w:rsidRPr="00C70B52" w:rsidRDefault="00C70B52" w:rsidP="00C70B52">
      <w:r w:rsidRPr="00C70B52">
        <w:t>The analysis of OS according to number of risk factors cannot be satisfactorily interpreted for registration purposes owing to the small number of patients in each sub-group and potential for post-pr</w:t>
      </w:r>
      <w:r w:rsidR="00601695">
        <w:t>ogression treatment cross-over.</w:t>
      </w:r>
    </w:p>
    <w:p w14:paraId="211256A7" w14:textId="26EB15F0" w:rsidR="00C70B52" w:rsidRPr="00C70B52" w:rsidRDefault="00C70B52" w:rsidP="00C70B52">
      <w:r w:rsidRPr="00C70B52">
        <w:t>The estimate of median duration of OS could not</w:t>
      </w:r>
      <w:r w:rsidR="008C49B4">
        <w:t xml:space="preserve"> be estimated in either arm. </w:t>
      </w:r>
      <w:r w:rsidRPr="00C70B52">
        <w:t>The immature data presented reveals no survival advantage to brentuximab vedotin use, even with a statistical analysis taking treatment cross-over into consideration.</w:t>
      </w:r>
    </w:p>
    <w:p w14:paraId="13D6F36C" w14:textId="21AA82E7" w:rsidR="00C70B52" w:rsidRPr="008C49B4" w:rsidRDefault="0071377F" w:rsidP="00C70B52">
      <w:r>
        <w:t>OS</w:t>
      </w:r>
      <w:r w:rsidR="00C70B52" w:rsidRPr="00C70B52">
        <w:t xml:space="preserve"> assessed according to numb</w:t>
      </w:r>
      <w:r w:rsidR="008C49B4">
        <w:t>er of risk factors shows no sub</w:t>
      </w:r>
      <w:r w:rsidR="00C70B52" w:rsidRPr="00C70B52">
        <w:t>gro</w:t>
      </w:r>
      <w:r w:rsidR="008C49B4">
        <w:t>up with a benefit from treatment</w:t>
      </w:r>
      <w:r w:rsidR="00C70B52" w:rsidRPr="00C70B52">
        <w:t>.</w:t>
      </w:r>
    </w:p>
    <w:p w14:paraId="52C800FC" w14:textId="6B1CC451" w:rsidR="00C70B52" w:rsidRPr="00C70B52" w:rsidRDefault="00C70B52" w:rsidP="008C49B4">
      <w:pPr>
        <w:pStyle w:val="Heading5"/>
      </w:pPr>
      <w:r w:rsidRPr="00C70B52">
        <w:t>Quality of life assessments</w:t>
      </w:r>
    </w:p>
    <w:p w14:paraId="5DDA9943" w14:textId="4CC9022D" w:rsidR="00C70B52" w:rsidRPr="00C70B52" w:rsidRDefault="00C70B52" w:rsidP="00C70B52">
      <w:r w:rsidRPr="00C70B52">
        <w:t xml:space="preserve">As assessed, by the standardised test </w:t>
      </w:r>
      <w:r w:rsidR="000F36CD">
        <w:t>EQ-5D</w:t>
      </w:r>
      <w:r w:rsidRPr="00C70B52">
        <w:t>, whilst there was no apparent improvement in patient-reported outcomes, there was also no apparent worsening of patient reported outcomes among the arm receiving brentuximab vedotin as compared to placebo. However, the evaluator states that the lack of difference may be attributable to the effect of treatment cross-over.</w:t>
      </w:r>
    </w:p>
    <w:p w14:paraId="1D9B6B62" w14:textId="49A435AF" w:rsidR="00C70B52" w:rsidRPr="008C49B4" w:rsidRDefault="00C70B52" w:rsidP="00C70B52">
      <w:r w:rsidRPr="00C70B52">
        <w:t>For patients who experienced on-study disease progression, there was a not unexpected divergence of patient reported outcomes, worse for those with progression.</w:t>
      </w:r>
    </w:p>
    <w:p w14:paraId="6E735C3A" w14:textId="770EA1AB" w:rsidR="00C70B52" w:rsidRPr="00C70B52" w:rsidRDefault="00C70B52" w:rsidP="008C49B4">
      <w:pPr>
        <w:pStyle w:val="Heading4"/>
      </w:pPr>
      <w:r w:rsidRPr="00C70B52">
        <w:t>Safety</w:t>
      </w:r>
      <w:r w:rsidR="008C49B4">
        <w:t xml:space="preserve"> in the proposed indication</w:t>
      </w:r>
    </w:p>
    <w:p w14:paraId="5AA5FDCD" w14:textId="3F97BE58" w:rsidR="00C70B52" w:rsidRPr="00C70B52" w:rsidRDefault="00C70B52" w:rsidP="00C70B52">
      <w:r w:rsidRPr="00C70B52">
        <w:t xml:space="preserve">Safety was reported for </w:t>
      </w:r>
      <w:r w:rsidR="0071377F">
        <w:t>St</w:t>
      </w:r>
      <w:r w:rsidRPr="00C70B52">
        <w:t xml:space="preserve">udy SGN35-005 and from six </w:t>
      </w:r>
      <w:r w:rsidR="0071377F">
        <w:t>PSURs</w:t>
      </w:r>
      <w:r w:rsidRPr="00C70B52">
        <w:t>. Furthermore, in the sponsors response</w:t>
      </w:r>
      <w:r w:rsidR="000F36CD">
        <w:t xml:space="preserve"> to TGA</w:t>
      </w:r>
      <w:r w:rsidR="00F02B65">
        <w:t>’s</w:t>
      </w:r>
      <w:r w:rsidR="000F36CD">
        <w:t xml:space="preserve"> questions</w:t>
      </w:r>
      <w:r w:rsidRPr="00C70B52">
        <w:t>, further safety data was referred to, which was evaluated as a separate safety related request.</w:t>
      </w:r>
    </w:p>
    <w:p w14:paraId="6F955CA0" w14:textId="61F1D8C8" w:rsidR="00C70B52" w:rsidRPr="00C70B52" w:rsidRDefault="00C70B52" w:rsidP="00C70B52">
      <w:r w:rsidRPr="00C70B52">
        <w:lastRenderedPageBreak/>
        <w:t xml:space="preserve">The proportion of patients who completed 16 cycles of study treatment </w:t>
      </w:r>
      <w:r w:rsidR="000F36CD">
        <w:t>in Study</w:t>
      </w:r>
      <w:r w:rsidRPr="00C70B52">
        <w:t xml:space="preserve"> SGN35-005 were not substantially different </w:t>
      </w:r>
      <w:r w:rsidR="008C49B4">
        <w:t xml:space="preserve">between treatment arms, </w:t>
      </w:r>
      <w:r w:rsidRPr="00C70B52">
        <w:t xml:space="preserve">78/165 (47%) patients in the brentuximab vedotin arm and 81/164 (49%) in the placebo arm. The median number of treatment cycles in </w:t>
      </w:r>
      <w:r w:rsidR="008C49B4">
        <w:t>each arm was 15 cycles (range 1 to 16).</w:t>
      </w:r>
    </w:p>
    <w:p w14:paraId="500F52B2" w14:textId="69BCB287" w:rsidR="00C70B52" w:rsidRPr="00C70B52" w:rsidRDefault="00C70B52" w:rsidP="00C70B52">
      <w:r w:rsidRPr="00C70B52">
        <w:t>The most common reason for premature cessation of study treatment in the brentuximab vedotin arm was adverse events and in the placebo arm, progressive disease.</w:t>
      </w:r>
    </w:p>
    <w:p w14:paraId="31166958" w14:textId="36641873" w:rsidR="00C70B52" w:rsidRDefault="00C70B52" w:rsidP="00C70B52">
      <w:r w:rsidRPr="00C70B52">
        <w:t xml:space="preserve">Dose reductions and delays were more commonly observed in the brentuximab vedotin arm with peripheral sensory or motor neuropathies the most frequently reported AEs leading </w:t>
      </w:r>
      <w:r w:rsidR="000F36CD">
        <w:t>to dose reduction (46 patients), as shown below in Table 9.</w:t>
      </w:r>
    </w:p>
    <w:p w14:paraId="16166E2A" w14:textId="758CFE3F" w:rsidR="000F36CD" w:rsidRPr="00C70B52" w:rsidRDefault="000F36CD" w:rsidP="000F36CD">
      <w:pPr>
        <w:pStyle w:val="Tabletitle0"/>
      </w:pPr>
      <w:r>
        <w:t>Table 9. Dose modification by patient</w:t>
      </w:r>
    </w:p>
    <w:p w14:paraId="43D43002" w14:textId="77777777" w:rsidR="00C70B52" w:rsidRPr="00C70B52" w:rsidRDefault="00C70B52" w:rsidP="00C70B52">
      <w:r w:rsidRPr="00C70B52">
        <w:rPr>
          <w:noProof/>
          <w:lang w:eastAsia="en-AU"/>
        </w:rPr>
        <w:drawing>
          <wp:inline distT="0" distB="0" distL="0" distR="0" wp14:anchorId="16FF99ED" wp14:editId="09DC40B0">
            <wp:extent cx="4048869" cy="1350410"/>
            <wp:effectExtent l="0" t="0" r="0" b="2540"/>
            <wp:docPr id="11" name="Picture 11" descr="Table 9. Dose modification by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t="8772" b="8170"/>
                    <a:stretch/>
                  </pic:blipFill>
                  <pic:spPr bwMode="auto">
                    <a:xfrm>
                      <a:off x="0" y="0"/>
                      <a:ext cx="4059675" cy="1354014"/>
                    </a:xfrm>
                    <a:prstGeom prst="rect">
                      <a:avLst/>
                    </a:prstGeom>
                    <a:noFill/>
                    <a:ln>
                      <a:noFill/>
                    </a:ln>
                    <a:extLst>
                      <a:ext uri="{53640926-AAD7-44D8-BBD7-CCE9431645EC}">
                        <a14:shadowObscured xmlns:a14="http://schemas.microsoft.com/office/drawing/2010/main"/>
                      </a:ext>
                    </a:extLst>
                  </pic:spPr>
                </pic:pic>
              </a:graphicData>
            </a:graphic>
          </wp:inline>
        </w:drawing>
      </w:r>
    </w:p>
    <w:p w14:paraId="19D3BEA8" w14:textId="290E2B12" w:rsidR="00C70B52" w:rsidRPr="00C70B52" w:rsidRDefault="000F36CD" w:rsidP="00C70B52">
      <w:r>
        <w:t xml:space="preserve">General AEs </w:t>
      </w:r>
      <w:r w:rsidR="00C70B52" w:rsidRPr="00C70B52">
        <w:t xml:space="preserve">reported from study </w:t>
      </w:r>
      <w:r w:rsidR="008C49B4">
        <w:t>D</w:t>
      </w:r>
      <w:r w:rsidR="00C70B52" w:rsidRPr="00C70B52">
        <w:t>ay 1, before administration of</w:t>
      </w:r>
      <w:r w:rsidR="0071377F">
        <w:t xml:space="preserve"> the</w:t>
      </w:r>
      <w:r w:rsidR="00C70B52" w:rsidRPr="00C70B52">
        <w:t xml:space="preserve"> first dose of study treatment, through </w:t>
      </w:r>
      <w:r w:rsidR="0071377F">
        <w:t xml:space="preserve">to </w:t>
      </w:r>
      <w:r w:rsidR="008C49B4">
        <w:t xml:space="preserve">Day </w:t>
      </w:r>
      <w:r w:rsidR="00C70B52" w:rsidRPr="00C70B52">
        <w:t>30 post-treatment cessation occurred in 163 (98%) patients in the brentuximab vedotin arm and 142 (89%) in the placebo arm.</w:t>
      </w:r>
    </w:p>
    <w:p w14:paraId="6B45E0E3" w14:textId="001B36F5" w:rsidR="00C70B52" w:rsidRPr="00C70B52" w:rsidRDefault="0071377F" w:rsidP="00C70B52">
      <w:r>
        <w:t>AEs</w:t>
      </w:r>
      <w:r w:rsidR="00C70B52" w:rsidRPr="00C70B52">
        <w:t xml:space="preserve"> occurring in the patients who were initially randomised to placebo, but subsequently received brentuximab vedotin following disease progression were not reported. This usage is consistent with the currently approved indication.</w:t>
      </w:r>
    </w:p>
    <w:p w14:paraId="61417D38" w14:textId="30C736D3" w:rsidR="00C70B52" w:rsidRPr="00C70B52" w:rsidRDefault="00C70B52" w:rsidP="00C70B52">
      <w:r w:rsidRPr="00C70B52">
        <w:t>The incidence of treatm</w:t>
      </w:r>
      <w:r w:rsidR="0071377F">
        <w:t xml:space="preserve">ent </w:t>
      </w:r>
      <w:r w:rsidR="008C49B4">
        <w:t>related AEs was discrepant,</w:t>
      </w:r>
      <w:r w:rsidRPr="00C70B52">
        <w:t xml:space="preserve"> 88% of the AEs in the brentuximab vedotin arm were assessed as treatment related, compared to 49% of those in the placebo arm. The most common of these Grade 3 or higher AEs were neutrop</w:t>
      </w:r>
      <w:r w:rsidR="0071377F">
        <w:t>a</w:t>
      </w:r>
      <w:r w:rsidRPr="00C70B52">
        <w:t>enia (49 patients; 29%), peripheral sensory neuropathy (17 patients; 10%), and peripheral motor neuropathy (10 patients; 6%). A total of 21 (13%) patients in the brentuximab vedotin arm and 10 patients (6%) in the placebo arm had Grade 4 AEs. The most common Grade 4 event was neutrop</w:t>
      </w:r>
      <w:r w:rsidR="0071377F">
        <w:t>a</w:t>
      </w:r>
      <w:r w:rsidRPr="00C70B52">
        <w:t>enia, which occurred in 12 patients (7%) in the brentuximab vedotin arm and 6 patients (4%) in the placebo arm. The only other Grade 4 AE reported in more than 1 patient in either treatment arm was thrombocytop</w:t>
      </w:r>
      <w:r w:rsidR="0071377F">
        <w:t>a</w:t>
      </w:r>
      <w:r w:rsidRPr="00C70B52">
        <w:t>enia, which occurred in 4 patients (2%) in the brentuximab vedotin arm and 3 patients (2%) in the placebo arm.</w:t>
      </w:r>
    </w:p>
    <w:p w14:paraId="286DACE1" w14:textId="5EECF411" w:rsidR="00C70B52" w:rsidRDefault="00C70B52" w:rsidP="00C70B52">
      <w:r w:rsidRPr="00C70B52">
        <w:t xml:space="preserve">The relative risk of specific </w:t>
      </w:r>
      <w:r w:rsidR="00E5051F">
        <w:t xml:space="preserve">TEAEs is shown </w:t>
      </w:r>
      <w:r w:rsidR="000F36CD">
        <w:t>below in Figure</w:t>
      </w:r>
      <w:r w:rsidR="00E97E63">
        <w:t xml:space="preserve"> </w:t>
      </w:r>
      <w:r w:rsidR="000F36CD">
        <w:t>8.</w:t>
      </w:r>
    </w:p>
    <w:p w14:paraId="48607E08" w14:textId="04C95706" w:rsidR="000F36CD" w:rsidRPr="00C70B52" w:rsidRDefault="000F36CD" w:rsidP="00E97E63">
      <w:pPr>
        <w:pStyle w:val="FigureTitle"/>
      </w:pPr>
      <w:r>
        <w:lastRenderedPageBreak/>
        <w:t>Figure 8. Treatment emergent adverse events in ≥ 10% of patients in either treatment arm</w:t>
      </w:r>
    </w:p>
    <w:p w14:paraId="128DFDEC" w14:textId="77777777" w:rsidR="00C70B52" w:rsidRPr="00C70B52" w:rsidRDefault="00C70B52" w:rsidP="00C70B52">
      <w:r w:rsidRPr="00C70B52">
        <w:rPr>
          <w:noProof/>
          <w:lang w:eastAsia="en-AU"/>
        </w:rPr>
        <w:drawing>
          <wp:inline distT="0" distB="0" distL="0" distR="0" wp14:anchorId="0E18CDB5" wp14:editId="3D6EE7D3">
            <wp:extent cx="4828815" cy="5138057"/>
            <wp:effectExtent l="0" t="0" r="0" b="5715"/>
            <wp:docPr id="10" name="Picture 10" descr="Figure 8. Treatment emergent adverse events in ≥ 10% of patients in either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4449" t="4563" r="2310" b="2824"/>
                    <a:stretch/>
                  </pic:blipFill>
                  <pic:spPr bwMode="auto">
                    <a:xfrm>
                      <a:off x="0" y="0"/>
                      <a:ext cx="4834364" cy="5143962"/>
                    </a:xfrm>
                    <a:prstGeom prst="rect">
                      <a:avLst/>
                    </a:prstGeom>
                    <a:noFill/>
                    <a:ln>
                      <a:noFill/>
                    </a:ln>
                    <a:extLst>
                      <a:ext uri="{53640926-AAD7-44D8-BBD7-CCE9431645EC}">
                        <a14:shadowObscured xmlns:a14="http://schemas.microsoft.com/office/drawing/2010/main"/>
                      </a:ext>
                    </a:extLst>
                  </pic:spPr>
                </pic:pic>
              </a:graphicData>
            </a:graphic>
          </wp:inline>
        </w:drawing>
      </w:r>
    </w:p>
    <w:p w14:paraId="455306EE" w14:textId="52381652" w:rsidR="00C70B52" w:rsidRPr="00C70B52" w:rsidRDefault="00C70B52" w:rsidP="00C70B52">
      <w:r w:rsidRPr="00C70B52">
        <w:t xml:space="preserve">Treatment-related deaths were uncommon among the study population, occurring in </w:t>
      </w:r>
      <w:r w:rsidR="009418C7">
        <w:t>2 </w:t>
      </w:r>
      <w:r w:rsidRPr="00C70B52">
        <w:t xml:space="preserve">patients (1%) in the placebo arm and </w:t>
      </w:r>
      <w:r w:rsidR="009418C7">
        <w:t>5 patients</w:t>
      </w:r>
      <w:r w:rsidRPr="00C70B52">
        <w:t xml:space="preserve"> (3%) in the brentuximab vedotin arm.</w:t>
      </w:r>
    </w:p>
    <w:p w14:paraId="4FEEE4FF" w14:textId="77777777" w:rsidR="008C49B4" w:rsidRDefault="00C70B52" w:rsidP="008C49B4">
      <w:pPr>
        <w:pStyle w:val="Heading5"/>
      </w:pPr>
      <w:r w:rsidRPr="00C70B52">
        <w:t>Adverse events of special i</w:t>
      </w:r>
      <w:r w:rsidR="008C49B4">
        <w:t>nterest</w:t>
      </w:r>
    </w:p>
    <w:p w14:paraId="68ADBB6A" w14:textId="728A3460" w:rsidR="00C70B52" w:rsidRPr="00C70B52" w:rsidRDefault="000F36CD" w:rsidP="00C70B52">
      <w:pPr>
        <w:rPr>
          <w:b/>
        </w:rPr>
      </w:pPr>
      <w:r>
        <w:t>AEs</w:t>
      </w:r>
      <w:r w:rsidR="008C49B4">
        <w:t xml:space="preserve"> of special interest for the current submission are outlined below:</w:t>
      </w:r>
    </w:p>
    <w:p w14:paraId="6BFBC99E" w14:textId="77777777" w:rsidR="00C70B52" w:rsidRPr="00C70B52" w:rsidRDefault="00C70B52" w:rsidP="008C49B4">
      <w:pPr>
        <w:pStyle w:val="Heading6"/>
      </w:pPr>
      <w:r w:rsidRPr="00C70B52">
        <w:t>Peripheral neuropathy</w:t>
      </w:r>
    </w:p>
    <w:p w14:paraId="0774E6BC" w14:textId="4CBD369C" w:rsidR="00C70B52" w:rsidRPr="00C70B52" w:rsidRDefault="00C70B52" w:rsidP="00C70B52">
      <w:r w:rsidRPr="00C70B52">
        <w:t>Predominately owing to the effects of prior therapy, peripheral neuropathy was present in 41% in the brentuximab vedotin arm and 34% in the placebo arm. Among those in the brentuximab arm, neuropathy worsened in severity post-baseline in 25 patients but later returned to baseline in 19</w:t>
      </w:r>
      <w:r w:rsidR="009418C7">
        <w:t xml:space="preserve"> patients</w:t>
      </w:r>
      <w:r w:rsidRPr="00C70B52">
        <w:t>.</w:t>
      </w:r>
    </w:p>
    <w:p w14:paraId="4CBCB637" w14:textId="30BE46B8" w:rsidR="00C70B52" w:rsidRPr="00C70B52" w:rsidRDefault="00C70B52" w:rsidP="00C70B52">
      <w:r w:rsidRPr="00C70B52">
        <w:t>Post-marketing experience of peripheral neuropathy, as per the most recent PSUR, docu</w:t>
      </w:r>
      <w:r w:rsidR="000F36CD">
        <w:t xml:space="preserve">ments 1398 (47%) patients with peripheral neuropathy as a </w:t>
      </w:r>
      <w:r w:rsidR="009418C7">
        <w:t>TE</w:t>
      </w:r>
      <w:r w:rsidRPr="00C70B52">
        <w:t>AE in the clinical trials programme</w:t>
      </w:r>
      <w:r w:rsidR="000F36CD">
        <w:t xml:space="preserve">. Of these 32 were reported as </w:t>
      </w:r>
      <w:r w:rsidR="009418C7">
        <w:t>SAEs; 189 were G</w:t>
      </w:r>
      <w:r w:rsidRPr="00C70B52">
        <w:t>rade 3 or 4 events, 1358 were Grade 1 or 2 events and there were no fatal outcomes. There had been a</w:t>
      </w:r>
      <w:r w:rsidR="009418C7">
        <w:t>nother 128 S</w:t>
      </w:r>
      <w:r w:rsidRPr="00C70B52">
        <w:t>AEs reported from other sources. Of these</w:t>
      </w:r>
      <w:r w:rsidR="009418C7">
        <w:t>,</w:t>
      </w:r>
      <w:r w:rsidRPr="00C70B52">
        <w:t xml:space="preserve"> 1</w:t>
      </w:r>
      <w:r w:rsidR="008C49B4">
        <w:t xml:space="preserve">5 were considered to be Grade 3 or </w:t>
      </w:r>
      <w:r w:rsidRPr="00C70B52">
        <w:t>4 in severity and there were 2 with fatal outcome.</w:t>
      </w:r>
    </w:p>
    <w:p w14:paraId="7EA72901" w14:textId="77777777" w:rsidR="00C70B52" w:rsidRPr="00C70B52" w:rsidRDefault="00C70B52" w:rsidP="008C49B4">
      <w:pPr>
        <w:pStyle w:val="Heading6"/>
      </w:pPr>
      <w:r w:rsidRPr="00C70B52">
        <w:lastRenderedPageBreak/>
        <w:t>Pulmonary toxicity (new entry in the PI)</w:t>
      </w:r>
    </w:p>
    <w:p w14:paraId="527F1D87" w14:textId="601A0AEB" w:rsidR="00C70B52" w:rsidRPr="00C70B52" w:rsidRDefault="00C70B52" w:rsidP="00C70B52">
      <w:r w:rsidRPr="00C70B52">
        <w:t xml:space="preserve">Grade 3 to 5 events occurred in </w:t>
      </w:r>
      <w:r w:rsidR="009418C7">
        <w:t>4</w:t>
      </w:r>
      <w:r w:rsidRPr="00C70B52">
        <w:t xml:space="preserve"> patients (2%) of those in the brentuximab vedotin arm as compared to </w:t>
      </w:r>
      <w:r w:rsidR="009418C7">
        <w:t>2 patients</w:t>
      </w:r>
      <w:r w:rsidRPr="00C70B52">
        <w:t xml:space="preserve"> (1.2%) in the placebo arm.</w:t>
      </w:r>
    </w:p>
    <w:p w14:paraId="719CA5F9" w14:textId="77777777" w:rsidR="00C70B52" w:rsidRPr="00C70B52" w:rsidRDefault="00C70B52" w:rsidP="008C49B4">
      <w:pPr>
        <w:pStyle w:val="Heading6"/>
      </w:pPr>
      <w:r w:rsidRPr="00C70B52">
        <w:t>Infusion-related reactions</w:t>
      </w:r>
    </w:p>
    <w:p w14:paraId="65AF09A9" w14:textId="7E7A6E1A" w:rsidR="00C70B52" w:rsidRPr="00C70B52" w:rsidRDefault="00C70B52" w:rsidP="00C70B52">
      <w:r w:rsidRPr="00C70B52">
        <w:t xml:space="preserve">Causally-related infusion-related reactions occurred in 25 patients in the brentuximab vedotin arm; there were no reported event of anaphylaxis or events worse than </w:t>
      </w:r>
      <w:r w:rsidR="009418C7">
        <w:t>G</w:t>
      </w:r>
      <w:r w:rsidRPr="00C70B52">
        <w:t xml:space="preserve">rade 3. The </w:t>
      </w:r>
      <w:r w:rsidR="009418C7">
        <w:t>PI</w:t>
      </w:r>
      <w:r w:rsidRPr="00C70B52">
        <w:t xml:space="preserve"> contains advice regarding patien</w:t>
      </w:r>
      <w:r w:rsidR="008C49B4">
        <w:t xml:space="preserve">t management following an IRR, </w:t>
      </w:r>
      <w:r w:rsidRPr="00C70B52">
        <w:t>this remains satisfactory given the current data.</w:t>
      </w:r>
    </w:p>
    <w:p w14:paraId="071276A8" w14:textId="77777777" w:rsidR="00C70B52" w:rsidRPr="00C70B52" w:rsidRDefault="00C70B52" w:rsidP="008C49B4">
      <w:pPr>
        <w:pStyle w:val="Heading6"/>
      </w:pPr>
      <w:r w:rsidRPr="00C70B52">
        <w:t>Serious and opportunistic infections</w:t>
      </w:r>
    </w:p>
    <w:p w14:paraId="52A4F188" w14:textId="001B7653" w:rsidR="00C70B52" w:rsidRPr="00C70B52" w:rsidRDefault="00C70B52" w:rsidP="00C70B52">
      <w:r w:rsidRPr="00C70B52">
        <w:t>Such events are already described in the PI. In the current study there was an imbalance in the proportion of patients experiencing serious events, with a greater incidence in those receiving brentuximab vedotin.</w:t>
      </w:r>
    </w:p>
    <w:p w14:paraId="1CD2D2BD" w14:textId="77777777" w:rsidR="00C70B52" w:rsidRPr="00C70B52" w:rsidRDefault="00C70B52" w:rsidP="008C49B4">
      <w:pPr>
        <w:pStyle w:val="Heading6"/>
      </w:pPr>
      <w:r w:rsidRPr="00C70B52">
        <w:t>Haematological toxicity</w:t>
      </w:r>
    </w:p>
    <w:p w14:paraId="05AD3209" w14:textId="4B41E1FC" w:rsidR="00C70B52" w:rsidRPr="00C70B52" w:rsidRDefault="00C70B52" w:rsidP="00C70B52">
      <w:r w:rsidRPr="00C70B52">
        <w:t>Neutropaenia occurred in 58 patients (35%) in the brentuximab vedotin arm and 19 patients (12%) in the placebo arm. In the brentuximab vedotin arm, Grade 3 neutropenia was reported in 37 patients (22%), Grade 4 neutrop</w:t>
      </w:r>
      <w:r w:rsidR="00F9357A">
        <w:t>a</w:t>
      </w:r>
      <w:r w:rsidRPr="00C70B52">
        <w:t>enia was reported in 12 patients (7%) and there was a single case of non-serious, treatment-related febrile neutrop</w:t>
      </w:r>
      <w:r w:rsidR="00F9357A">
        <w:t>a</w:t>
      </w:r>
      <w:r w:rsidRPr="00C70B52">
        <w:t>enia.</w:t>
      </w:r>
    </w:p>
    <w:p w14:paraId="2650EACB" w14:textId="27D3A46A" w:rsidR="00C70B52" w:rsidRPr="00C70B52" w:rsidRDefault="00C70B52" w:rsidP="00C70B52">
      <w:r w:rsidRPr="00C70B52">
        <w:t>Thrombocytop</w:t>
      </w:r>
      <w:r w:rsidR="008C49B4">
        <w:t>a</w:t>
      </w:r>
      <w:r w:rsidRPr="00C70B52">
        <w:t>enia of any grade was reported in 12 patients (7%) in the brentuximab vedotin arm and 5 patients (3%) in the placebo arm. In the brentuximab vedotin arm, Grade 3 thrombocytop</w:t>
      </w:r>
      <w:r w:rsidR="00F9357A">
        <w:t>a</w:t>
      </w:r>
      <w:r w:rsidRPr="00C70B52">
        <w:t>enia was reported in 3 patient</w:t>
      </w:r>
      <w:r w:rsidR="00DC576B">
        <w:t>s and Grade 4 was reported in 4 </w:t>
      </w:r>
      <w:r w:rsidRPr="00C70B52">
        <w:t>patients. Thrombocytop</w:t>
      </w:r>
      <w:r w:rsidR="00DC576B">
        <w:t>a</w:t>
      </w:r>
      <w:r w:rsidRPr="00C70B52">
        <w:t xml:space="preserve">enia led to a dose delay for 3 patients in the brentuximab vedotin arm and </w:t>
      </w:r>
      <w:r w:rsidR="00DC576B">
        <w:t>1</w:t>
      </w:r>
      <w:r w:rsidRPr="00C70B52">
        <w:t xml:space="preserve"> patient from each treatment group had treatment discontinued due to thrombocytop</w:t>
      </w:r>
      <w:r w:rsidR="00DC576B">
        <w:t>a</w:t>
      </w:r>
      <w:r w:rsidRPr="00C70B52">
        <w:t>enia.</w:t>
      </w:r>
    </w:p>
    <w:p w14:paraId="4B2FDC06" w14:textId="598EA552" w:rsidR="00C70B52" w:rsidRPr="008C49B4" w:rsidRDefault="00C70B52" w:rsidP="00C70B52">
      <w:r w:rsidRPr="00C70B52">
        <w:t>Anaemia of any grade was reported in 14 patients (8%) in the brentuximab vedotin arm (Grade 3 in 6 patients) and 4 patients (3%) in the placebo arm. No Grade 4 anaemia, dose delay or treatment discontinuation due to anaemia was rep</w:t>
      </w:r>
      <w:r w:rsidR="008C49B4">
        <w:t>orted in either treatment arm.</w:t>
      </w:r>
    </w:p>
    <w:p w14:paraId="06189CD0" w14:textId="77777777" w:rsidR="00C70B52" w:rsidRPr="00C70B52" w:rsidRDefault="00C70B52" w:rsidP="008C49B4">
      <w:pPr>
        <w:pStyle w:val="Heading6"/>
      </w:pPr>
      <w:r w:rsidRPr="00C70B52">
        <w:t>Hyperglycaemia</w:t>
      </w:r>
    </w:p>
    <w:p w14:paraId="551855FE" w14:textId="5069196C" w:rsidR="00C70B52" w:rsidRPr="00C70B52" w:rsidRDefault="00C70B52" w:rsidP="00C70B52">
      <w:r w:rsidRPr="00C70B52">
        <w:t>Among the 5 patients in the brentuximab arm who were reported to have hyperglycaemia, all had pre-existing risk factors. Resolution of hyperglycaemia was observed in 3 of the 5 patients.</w:t>
      </w:r>
    </w:p>
    <w:p w14:paraId="21A7E6B0" w14:textId="77777777" w:rsidR="00C70B52" w:rsidRPr="00C70B52" w:rsidRDefault="00C70B52" w:rsidP="008C49B4">
      <w:pPr>
        <w:pStyle w:val="Heading6"/>
      </w:pPr>
      <w:r w:rsidRPr="00C70B52">
        <w:t>Hepatotoxicity</w:t>
      </w:r>
    </w:p>
    <w:p w14:paraId="4462A768" w14:textId="69A3CE85" w:rsidR="00C70B52" w:rsidRPr="00C70B52" w:rsidRDefault="00C70B52" w:rsidP="00C70B52">
      <w:r w:rsidRPr="00C70B52">
        <w:t>Grade 3 or higher events were reported for 7 patients (4%) in the brentuximab vedotin arm and 4 patients (3%) in the placebo arm. Hepatoto</w:t>
      </w:r>
      <w:r w:rsidR="00DC576B">
        <w:t>xicity SAEs were reported for 3 </w:t>
      </w:r>
      <w:r w:rsidRPr="00C70B52">
        <w:t>patients in the brentuximab vedotin arm and 2 patients in the placebo arm.</w:t>
      </w:r>
    </w:p>
    <w:p w14:paraId="4E5F642A" w14:textId="36A1D572" w:rsidR="00C70B52" w:rsidRPr="00C70B52" w:rsidRDefault="00C70B52" w:rsidP="00C70B52">
      <w:r w:rsidRPr="00C70B52">
        <w:t xml:space="preserve">Post-marketing experience reveals the risk of hepatotoxicity to be highest </w:t>
      </w:r>
      <w:r w:rsidR="008C49B4">
        <w:t xml:space="preserve">during cycles 1 to </w:t>
      </w:r>
      <w:r w:rsidRPr="00C70B52">
        <w:t xml:space="preserve">2, with the majority of events being of </w:t>
      </w:r>
      <w:r w:rsidR="008C49B4">
        <w:t xml:space="preserve">Grade 1 or </w:t>
      </w:r>
      <w:r w:rsidRPr="00C70B52">
        <w:t>2 (756%)</w:t>
      </w:r>
      <w:r w:rsidR="0032354E" w:rsidRPr="00C70B52">
        <w:t>;</w:t>
      </w:r>
      <w:r w:rsidRPr="00C70B52">
        <w:t xml:space="preserve"> </w:t>
      </w:r>
      <w:r w:rsidR="008C49B4">
        <w:t xml:space="preserve">Grades 3 or </w:t>
      </w:r>
      <w:r w:rsidRPr="00C70B52">
        <w:t>4 events were reported for 140 patients (22% of all hepatotoxicity events).</w:t>
      </w:r>
    </w:p>
    <w:p w14:paraId="7E6A5D7C" w14:textId="66E7325F" w:rsidR="00C70B52" w:rsidRPr="00C70B52" w:rsidRDefault="00C70B52" w:rsidP="00C70B52">
      <w:r w:rsidRPr="00C70B52">
        <w:t>The clinical evaluator recommends amendment to the PI regarding hepatotoxicity events.</w:t>
      </w:r>
    </w:p>
    <w:p w14:paraId="51914F43" w14:textId="77777777" w:rsidR="00C70B52" w:rsidRPr="00C70B52" w:rsidRDefault="00C70B52" w:rsidP="003E38B1">
      <w:pPr>
        <w:pStyle w:val="Heading5"/>
      </w:pPr>
      <w:r w:rsidRPr="00C70B52">
        <w:t>Immunogenicity</w:t>
      </w:r>
    </w:p>
    <w:p w14:paraId="62FE4A34" w14:textId="241479EB" w:rsidR="00C70B52" w:rsidRDefault="00C70B52" w:rsidP="007B6132">
      <w:r w:rsidRPr="00C70B52">
        <w:t>As discussed above, the imprecision of the assay used to determine anti-drug antibody status was evaluated as being an impairment to guide the clinical implementation of brentuximab vedotin.</w:t>
      </w:r>
    </w:p>
    <w:p w14:paraId="325D25EA" w14:textId="77777777" w:rsidR="008E7846" w:rsidRDefault="00386150" w:rsidP="007B6132">
      <w:pPr>
        <w:pStyle w:val="Heading3"/>
        <w:rPr>
          <w:lang w:eastAsia="en-AU"/>
        </w:rPr>
      </w:pPr>
      <w:bookmarkStart w:id="119" w:name="_Toc495400795"/>
      <w:r>
        <w:rPr>
          <w:lang w:eastAsia="en-AU"/>
        </w:rPr>
        <w:lastRenderedPageBreak/>
        <w:t>Risk m</w:t>
      </w:r>
      <w:r w:rsidR="008E7846">
        <w:rPr>
          <w:lang w:eastAsia="en-AU"/>
        </w:rPr>
        <w:t xml:space="preserve">anagement </w:t>
      </w:r>
      <w:r>
        <w:rPr>
          <w:lang w:eastAsia="en-AU"/>
        </w:rPr>
        <w:t>p</w:t>
      </w:r>
      <w:r w:rsidR="008E7846">
        <w:rPr>
          <w:lang w:eastAsia="en-AU"/>
        </w:rPr>
        <w:t>lan</w:t>
      </w:r>
      <w:bookmarkEnd w:id="118"/>
      <w:bookmarkEnd w:id="119"/>
    </w:p>
    <w:p w14:paraId="657DB288" w14:textId="22208E77" w:rsidR="003E38B1" w:rsidRPr="00DC576B" w:rsidRDefault="003E38B1" w:rsidP="003E38B1">
      <w:pPr>
        <w:rPr>
          <w:lang w:val="en-GB"/>
        </w:rPr>
      </w:pPr>
      <w:r w:rsidRPr="003E38B1">
        <w:t xml:space="preserve">The advice of </w:t>
      </w:r>
      <w:r w:rsidR="00DC576B">
        <w:t xml:space="preserve">the </w:t>
      </w:r>
      <w:r w:rsidR="00DC576B" w:rsidRPr="00DC576B">
        <w:rPr>
          <w:lang w:val="en-GB"/>
        </w:rPr>
        <w:t>Advisory Committee on the Safety of Medicines</w:t>
      </w:r>
      <w:r w:rsidR="00DC576B">
        <w:rPr>
          <w:lang w:val="en-GB"/>
        </w:rPr>
        <w:t xml:space="preserve"> (</w:t>
      </w:r>
      <w:r w:rsidRPr="003E38B1">
        <w:t>ACSOM</w:t>
      </w:r>
      <w:r w:rsidR="00DC576B">
        <w:t>)</w:t>
      </w:r>
      <w:r w:rsidRPr="003E38B1">
        <w:t xml:space="preserve"> was not sought for this submission.</w:t>
      </w:r>
    </w:p>
    <w:p w14:paraId="3A844A64" w14:textId="3469357C" w:rsidR="008E7846" w:rsidRDefault="003E38B1" w:rsidP="008E7846">
      <w:r w:rsidRPr="003E38B1">
        <w:t>The RMP was evaluated to the satisfaction of the evaluator, with no outstanding issues for the Delegate to consider.</w:t>
      </w:r>
    </w:p>
    <w:p w14:paraId="0026A3A4" w14:textId="77777777" w:rsidR="008E7846" w:rsidRDefault="00AA0ED0" w:rsidP="008E7846">
      <w:pPr>
        <w:pStyle w:val="Heading3"/>
      </w:pPr>
      <w:bookmarkStart w:id="120" w:name="_Toc247691531"/>
      <w:bookmarkStart w:id="121" w:name="_Toc314842515"/>
      <w:bookmarkStart w:id="122" w:name="_Toc196046505"/>
      <w:bookmarkStart w:id="123" w:name="_Toc196046949"/>
      <w:bookmarkStart w:id="124" w:name="_Toc495400796"/>
      <w:r>
        <w:t>Risk-benefit a</w:t>
      </w:r>
      <w:r w:rsidR="008E7846">
        <w:t>nalysis</w:t>
      </w:r>
      <w:bookmarkEnd w:id="120"/>
      <w:bookmarkEnd w:id="121"/>
      <w:bookmarkEnd w:id="124"/>
    </w:p>
    <w:p w14:paraId="65607EBA" w14:textId="6894F245" w:rsidR="00D23139" w:rsidRDefault="003E38B1" w:rsidP="00D23139">
      <w:pPr>
        <w:pStyle w:val="Heading4"/>
      </w:pPr>
      <w:r>
        <w:t>Delegate’s considerations</w:t>
      </w:r>
    </w:p>
    <w:p w14:paraId="351F2AA4" w14:textId="7922741E" w:rsidR="003E38B1" w:rsidRPr="003E38B1" w:rsidRDefault="003E38B1" w:rsidP="0054121B">
      <w:pPr>
        <w:pStyle w:val="Heading5"/>
      </w:pPr>
      <w:r w:rsidRPr="003E38B1">
        <w:t>Efficacy</w:t>
      </w:r>
      <w:r w:rsidR="0054121B">
        <w:t xml:space="preserve"> and</w:t>
      </w:r>
      <w:r w:rsidRPr="003E38B1">
        <w:t xml:space="preserve"> safety</w:t>
      </w:r>
    </w:p>
    <w:p w14:paraId="07B3ACCC" w14:textId="07DFDFE2" w:rsidR="003E38B1" w:rsidRPr="003E38B1" w:rsidRDefault="003E38B1" w:rsidP="003E38B1">
      <w:r w:rsidRPr="003E38B1">
        <w:t xml:space="preserve">The pivotal study demonstrates an advantage for reducing the risk of disease progression in patients with </w:t>
      </w:r>
      <w:r w:rsidR="00911BE5">
        <w:t>HL who have received induction chemotherapy</w:t>
      </w:r>
      <w:r w:rsidRPr="003E38B1">
        <w:t xml:space="preserve"> and an </w:t>
      </w:r>
      <w:r w:rsidR="00911BE5">
        <w:t>ASCT</w:t>
      </w:r>
      <w:r w:rsidRPr="003E38B1">
        <w:t xml:space="preserve">. This result does not however mean that all patients should receive this consolidation regimen owing to the variable risk of disease progression, nor did all patients obtain a complete and durable response. Of the 165 patients who received brentuximab vedotin, 24 (14.5%) </w:t>
      </w:r>
      <w:r w:rsidR="00F9357A">
        <w:t xml:space="preserve">developed disease progression; </w:t>
      </w:r>
      <w:r w:rsidRPr="003E38B1">
        <w:t xml:space="preserve">it cannot be conclusively determined if these patients had the </w:t>
      </w:r>
      <w:r w:rsidR="00F9357A">
        <w:t>‘highest’</w:t>
      </w:r>
      <w:r w:rsidRPr="003E38B1">
        <w:t xml:space="preserve"> risk of relapse. The risk for disease progression post-HSCT may be a continuum but has only been delineated by the categorised risk-factors currently identifiable. The challenge is to satisfactorily identify the level of risk for those patients who may benefit from consolidation therapy from those who will receive no benefit, or potentially be harmed by it. The current submission does not demonstrate an absolute level of acceptable or unacceptable risk.</w:t>
      </w:r>
    </w:p>
    <w:p w14:paraId="6E9FCCB6" w14:textId="6D1B9949" w:rsidR="003E38B1" w:rsidRPr="003E38B1" w:rsidRDefault="003E38B1" w:rsidP="003E38B1">
      <w:r w:rsidRPr="003E38B1">
        <w:t>The pre-specified risk factors (</w:t>
      </w:r>
      <w:r w:rsidR="00F9357A">
        <w:t>for example,</w:t>
      </w:r>
      <w:r w:rsidRPr="003E38B1">
        <w:t xml:space="preserve"> time to refractory/relapsed status after the end of frontline standard chemotherapy) for disease progression, by their clinical utility, are variables which have been categorised that may be more appropriate to be expressed continuously. It is known that dichotomisation of variables reduces the power of a study to detect a relationship between a variable and patient outcome.</w:t>
      </w:r>
      <w:r w:rsidR="00A71EC5">
        <w:rPr>
          <w:rStyle w:val="FootnoteReference"/>
        </w:rPr>
        <w:footnoteReference w:id="21"/>
      </w:r>
      <w:r w:rsidR="002E7C39" w:rsidRPr="002E7C39">
        <w:rPr>
          <w:vertAlign w:val="superscript"/>
        </w:rPr>
        <w:t>,</w:t>
      </w:r>
      <w:r w:rsidR="002E7C39">
        <w:rPr>
          <w:rStyle w:val="FootnoteReference"/>
        </w:rPr>
        <w:footnoteReference w:id="22"/>
      </w:r>
      <w:r w:rsidR="002E7C39" w:rsidRPr="002E7C39">
        <w:t xml:space="preserve"> </w:t>
      </w:r>
      <w:r w:rsidRPr="003E38B1">
        <w:t>For the current study, the ability to determine the patients who may benefit from consolidation therapy with brentuximab vedotin is therefore made more complex as a result.</w:t>
      </w:r>
    </w:p>
    <w:p w14:paraId="037D4999" w14:textId="77777777" w:rsidR="003E38B1" w:rsidRPr="003E38B1" w:rsidRDefault="003E38B1" w:rsidP="003E38B1">
      <w:r w:rsidRPr="003E38B1">
        <w:t>In order to identify a group of patients who may not benefit from consolidation, the risk of disease progression would have to be negligible in this group.</w:t>
      </w:r>
    </w:p>
    <w:p w14:paraId="787D2036" w14:textId="77777777" w:rsidR="003E38B1" w:rsidRPr="003E38B1" w:rsidRDefault="003E38B1" w:rsidP="003E38B1">
      <w:r w:rsidRPr="003E38B1">
        <w:t>The background risk of disease progression for study entrants was evident, whereby 55% of the placebo group experienced disease progression. The treatment of these patients who progressed is fulfilled by the currently approved indication for brentuximab vedotin.</w:t>
      </w:r>
    </w:p>
    <w:p w14:paraId="6BED3E2D" w14:textId="41FAC1E0" w:rsidR="003E38B1" w:rsidRPr="003E38B1" w:rsidRDefault="003E38B1" w:rsidP="003E38B1">
      <w:r w:rsidRPr="003E38B1">
        <w:t>There are insufficient numbers of patients in the categorisation of risk of relapse/disease progression to be satisfied that the indication can be targeted to a particular level of risk.</w:t>
      </w:r>
    </w:p>
    <w:p w14:paraId="0531AB1D" w14:textId="03CE508A" w:rsidR="003E38B1" w:rsidRPr="003E38B1" w:rsidRDefault="003E38B1" w:rsidP="003E38B1">
      <w:r w:rsidRPr="003E38B1">
        <w:t xml:space="preserve">Treatment cross-over has the effect of minimising the apparent difference in efficacy between the active and control treatments and also to exaggerate the difference in safety between the two arms. The lack of difference in patient reported outcomes is reassuring in that the ‘true’ difference between the treatment arms, </w:t>
      </w:r>
      <w:r w:rsidR="00F9357A">
        <w:t>that is,</w:t>
      </w:r>
      <w:r w:rsidRPr="003E38B1">
        <w:t xml:space="preserve"> without cross-over, would be likely to remain without a difference or in favour of brentuximab vedotin, rather than demonstrating superiority of placebo.</w:t>
      </w:r>
    </w:p>
    <w:p w14:paraId="4A031DC2" w14:textId="0C74AA65" w:rsidR="003E38B1" w:rsidRPr="003E38B1" w:rsidRDefault="003E38B1" w:rsidP="003E38B1">
      <w:r w:rsidRPr="003E38B1">
        <w:t>The effect of incomplete consolidation therapy with brentuximab vedotin on risk of developing disease progression is uncertain. Premature discontinuation of study therapy occurred in 54/164 (33%) of those initially randomised to brentuximab ved</w:t>
      </w:r>
      <w:r w:rsidR="00970121">
        <w:t xml:space="preserve">otin. The </w:t>
      </w:r>
      <w:r w:rsidR="00970121">
        <w:lastRenderedPageBreak/>
        <w:t xml:space="preserve">subsequent outcomes such as </w:t>
      </w:r>
      <w:r w:rsidRPr="003E38B1">
        <w:t xml:space="preserve">severity of relapse and </w:t>
      </w:r>
      <w:r w:rsidR="00970121">
        <w:t xml:space="preserve">response to additional therapy </w:t>
      </w:r>
      <w:r w:rsidRPr="003E38B1">
        <w:t>for these pa</w:t>
      </w:r>
      <w:r w:rsidR="00193DEA">
        <w:t>tients have not been presented.</w:t>
      </w:r>
    </w:p>
    <w:p w14:paraId="3BCC71E7" w14:textId="7C60AC5B" w:rsidR="003E38B1" w:rsidRPr="0054121B" w:rsidRDefault="003E38B1" w:rsidP="003E38B1">
      <w:r w:rsidRPr="003E38B1">
        <w:t>Despite the evidence presented in the dossier, the decision to treat an individual patient with a discrete number of risk factors for disease progression following HSCT with brentuximab vedotin will remain a complex one, and one which requires the provision of information of sufficient calibre to obtain informed consent by specialist physicians. In recommending the indication below, the Delegate considers that patients with increased risk for relapse, who have limited treatment options, are provided the opportunity to receive brentuximab vedotin. There has to be the appreci</w:t>
      </w:r>
      <w:r w:rsidR="00970121">
        <w:t>ation that</w:t>
      </w:r>
      <w:r w:rsidRPr="003E38B1">
        <w:t xml:space="preserve"> consolidation treatment does not complet</w:t>
      </w:r>
      <w:r w:rsidR="00970121">
        <w:t>ely abolish the risk of relapse; that it</w:t>
      </w:r>
      <w:r w:rsidRPr="003E38B1">
        <w:t xml:space="preserve"> will likely be accompanied by adverse events whet</w:t>
      </w:r>
      <w:r w:rsidR="00970121">
        <w:t>her or not a benefit is derived;</w:t>
      </w:r>
      <w:r w:rsidRPr="003E38B1">
        <w:t xml:space="preserve"> that no effect on long-term survival has been demonstrated and that premature discontinuation of consolidation therapy has unknown risks for the success of future therapy.</w:t>
      </w:r>
    </w:p>
    <w:p w14:paraId="2D3A880E" w14:textId="77777777" w:rsidR="003E38B1" w:rsidRPr="003E38B1" w:rsidRDefault="003E38B1" w:rsidP="0054121B">
      <w:pPr>
        <w:pStyle w:val="Heading5"/>
      </w:pPr>
      <w:r w:rsidRPr="003E38B1">
        <w:t>Dose</w:t>
      </w:r>
    </w:p>
    <w:p w14:paraId="39825275" w14:textId="77777777" w:rsidR="003E38B1" w:rsidRPr="003E38B1" w:rsidRDefault="003E38B1" w:rsidP="003E38B1">
      <w:r w:rsidRPr="003E38B1">
        <w:t>The proposed dose is considered acceptable for the proposed usage.</w:t>
      </w:r>
    </w:p>
    <w:p w14:paraId="050D2C51" w14:textId="77777777" w:rsidR="003E38B1" w:rsidRPr="003E38B1" w:rsidRDefault="003E38B1" w:rsidP="0054121B">
      <w:pPr>
        <w:pStyle w:val="Heading5"/>
      </w:pPr>
      <w:r w:rsidRPr="003E38B1">
        <w:t>Indication</w:t>
      </w:r>
    </w:p>
    <w:p w14:paraId="6569C351" w14:textId="3F8085A0" w:rsidR="003E38B1" w:rsidRPr="003E38B1" w:rsidRDefault="003E38B1" w:rsidP="003E38B1">
      <w:r w:rsidRPr="003E38B1">
        <w:t>Owing t</w:t>
      </w:r>
      <w:r w:rsidR="00970121">
        <w:t>o the numerical size of the sub</w:t>
      </w:r>
      <w:r w:rsidRPr="003E38B1">
        <w:t>groups according to number of risk factors, and the consequent imprecision of the efficacy outcomes, the Delegate considers that the efficacy data presented in the dossier is not sufficiently robust to specify the degree of risk for relapse that can be categorically documented in the indication.</w:t>
      </w:r>
    </w:p>
    <w:p w14:paraId="2576D47E" w14:textId="77777777" w:rsidR="003E38B1" w:rsidRPr="003E38B1" w:rsidRDefault="003E38B1" w:rsidP="003E38B1">
      <w:r w:rsidRPr="003E38B1">
        <w:t>The registration of brentuximab vedotin for the treatment of patients who are at increased risk of disease progression is not mandatory for all potential patients, but only an option for those who, after a discussion regarding informed consent for treatment, it is considered appropriate.</w:t>
      </w:r>
    </w:p>
    <w:p w14:paraId="337DB4B5" w14:textId="77777777" w:rsidR="009701A0" w:rsidRDefault="003E38B1" w:rsidP="003E38B1">
      <w:r w:rsidRPr="003E38B1">
        <w:t>In addition, the clinical evaluator recommended the inclusion of two additional sentences in the indication:</w:t>
      </w:r>
    </w:p>
    <w:p w14:paraId="1545718A" w14:textId="093E3B83" w:rsidR="003E38B1" w:rsidRPr="00F9357A" w:rsidRDefault="00F9357A" w:rsidP="00F9357A">
      <w:pPr>
        <w:ind w:left="720"/>
        <w:rPr>
          <w:i/>
        </w:rPr>
      </w:pPr>
      <w:r w:rsidRPr="00F9357A">
        <w:rPr>
          <w:i/>
        </w:rPr>
        <w:t>‘</w:t>
      </w:r>
      <w:r w:rsidR="003E38B1" w:rsidRPr="00F9357A">
        <w:rPr>
          <w:i/>
        </w:rPr>
        <w:t xml:space="preserve">This indication was approved based on promising progression free survival in a placebo controlled trial. The data did not demonstrate an increased survival or </w:t>
      </w:r>
      <w:r w:rsidRPr="00F9357A">
        <w:rPr>
          <w:i/>
        </w:rPr>
        <w:t>improved quality of life with Adcetris</w:t>
      </w:r>
      <w:r w:rsidR="003E38B1" w:rsidRPr="00F9357A">
        <w:rPr>
          <w:i/>
        </w:rPr>
        <w:t>.’</w:t>
      </w:r>
    </w:p>
    <w:p w14:paraId="24217C66" w14:textId="060AE859" w:rsidR="003E38B1" w:rsidRPr="003E38B1" w:rsidRDefault="003E38B1" w:rsidP="003E38B1">
      <w:r w:rsidRPr="003E38B1">
        <w:t xml:space="preserve">The Delegate considers that a statement for the indication regarding data limitations should be reserved for submissions that are designed for provisional approval pathways. The demonstration of </w:t>
      </w:r>
      <w:r w:rsidR="00F9357A">
        <w:t>PFS</w:t>
      </w:r>
      <w:r w:rsidRPr="003E38B1">
        <w:t xml:space="preserve"> benefit</w:t>
      </w:r>
      <w:r w:rsidR="00F9357A">
        <w:t xml:space="preserve"> from the pivotal study is not ‘promising’</w:t>
      </w:r>
      <w:r w:rsidRPr="003E38B1">
        <w:t xml:space="preserve"> but a real finding. Furthermore, while there was no demonstrated improvement, there was no material difference in quality of life assessment scores between the active and placebo arms of the pivotal study.</w:t>
      </w:r>
    </w:p>
    <w:p w14:paraId="37BDAD3E" w14:textId="58DC2E66" w:rsidR="003E38B1" w:rsidRPr="003E38B1" w:rsidRDefault="003E38B1" w:rsidP="003E38B1">
      <w:r w:rsidRPr="003E38B1">
        <w:t>What is missing from the data is the demonstration of a beneficial effect on overall survival. In order for clinicians to satisfactorily obtain informed consent, a reference to the lack of overall survival data in this ‘at risk’ population remains pertinent and should be included</w:t>
      </w:r>
      <w:r w:rsidR="006B72AA">
        <w:t xml:space="preserve"> in the indication in the PI</w:t>
      </w:r>
      <w:r w:rsidRPr="003E38B1">
        <w:t xml:space="preserve"> </w:t>
      </w:r>
      <w:r w:rsidRPr="003E38B1">
        <w:rPr>
          <w:i/>
        </w:rPr>
        <w:t>and</w:t>
      </w:r>
      <w:r w:rsidRPr="003E38B1">
        <w:t xml:space="preserve"> </w:t>
      </w:r>
      <w:r w:rsidR="006B72AA">
        <w:t>CMI</w:t>
      </w:r>
      <w:r w:rsidR="00F9357A">
        <w:t>.</w:t>
      </w:r>
    </w:p>
    <w:p w14:paraId="02ABE9F6" w14:textId="77777777" w:rsidR="003E38B1" w:rsidRPr="003E38B1" w:rsidRDefault="003E38B1" w:rsidP="003E38B1">
      <w:r w:rsidRPr="003E38B1">
        <w:t>The Delegate therefore proposes the following indication:</w:t>
      </w:r>
    </w:p>
    <w:p w14:paraId="183B2BF5" w14:textId="69093D5F" w:rsidR="003E38B1" w:rsidRPr="00F9357A" w:rsidRDefault="00F9357A" w:rsidP="00F9357A">
      <w:pPr>
        <w:ind w:left="720"/>
        <w:rPr>
          <w:i/>
        </w:rPr>
      </w:pPr>
      <w:r>
        <w:rPr>
          <w:i/>
        </w:rPr>
        <w:t>‘</w:t>
      </w:r>
      <w:r w:rsidR="003E38B1" w:rsidRPr="00F9357A">
        <w:rPr>
          <w:i/>
        </w:rPr>
        <w:t>Treatment of adult patients with CD30+ HL at increased risk of relapse</w:t>
      </w:r>
      <w:r w:rsidR="00970121">
        <w:rPr>
          <w:i/>
        </w:rPr>
        <w:t xml:space="preserve"> or progression following ASCT.</w:t>
      </w:r>
    </w:p>
    <w:p w14:paraId="62872659" w14:textId="17E5B808" w:rsidR="003E38B1" w:rsidRPr="00F9357A" w:rsidRDefault="003E38B1" w:rsidP="00F9357A">
      <w:pPr>
        <w:ind w:left="720"/>
        <w:rPr>
          <w:i/>
        </w:rPr>
      </w:pPr>
      <w:r w:rsidRPr="00F9357A">
        <w:rPr>
          <w:i/>
        </w:rPr>
        <w:t xml:space="preserve">This indication is based upon an improvement in progression-free survival only; no improvement in overall </w:t>
      </w:r>
      <w:r w:rsidR="00F9357A">
        <w:rPr>
          <w:i/>
        </w:rPr>
        <w:t>survival has been demonstrated.’</w:t>
      </w:r>
    </w:p>
    <w:p w14:paraId="75D71BC4" w14:textId="77777777" w:rsidR="003E38B1" w:rsidRPr="003E38B1" w:rsidRDefault="003E38B1" w:rsidP="0054121B">
      <w:pPr>
        <w:pStyle w:val="Heading5"/>
      </w:pPr>
      <w:r w:rsidRPr="003E38B1">
        <w:t>Deficiencies of the data</w:t>
      </w:r>
    </w:p>
    <w:p w14:paraId="0EE190C7" w14:textId="77777777" w:rsidR="009701A0" w:rsidRDefault="003E38B1" w:rsidP="003E38B1">
      <w:r w:rsidRPr="003E38B1">
        <w:t xml:space="preserve">An improvement in overall survival has not been demonstrated. It remains unlikely that in the event of submission approval, the usage of brentuximab vedotin outside of a clinical </w:t>
      </w:r>
      <w:r w:rsidRPr="003E38B1">
        <w:lastRenderedPageBreak/>
        <w:t xml:space="preserve">trial will be able to demonstrate the unbiased magnitude of survival as patients that are deemed at increased risk and who do not receive consolidation therapy will consequently receive </w:t>
      </w:r>
      <w:proofErr w:type="spellStart"/>
      <w:r w:rsidRPr="003E38B1">
        <w:t>brentuximab</w:t>
      </w:r>
      <w:proofErr w:type="spellEnd"/>
      <w:r w:rsidRPr="003E38B1">
        <w:t xml:space="preserve"> </w:t>
      </w:r>
      <w:proofErr w:type="spellStart"/>
      <w:r w:rsidRPr="003E38B1">
        <w:t>vedotin</w:t>
      </w:r>
      <w:proofErr w:type="spellEnd"/>
      <w:r w:rsidRPr="003E38B1">
        <w:t xml:space="preserve"> upon relapse</w:t>
      </w:r>
      <w:r w:rsidR="009701A0">
        <w:t>.</w:t>
      </w:r>
    </w:p>
    <w:p w14:paraId="3EF9326C" w14:textId="145B553C" w:rsidR="003E38B1" w:rsidRPr="003E38B1" w:rsidRDefault="003E38B1" w:rsidP="003E38B1">
      <w:r w:rsidRPr="003E38B1">
        <w:t xml:space="preserve">Indeed, there are planned or active trials (as seen on </w:t>
      </w:r>
      <w:r w:rsidR="00970121">
        <w:t>Clinicalt</w:t>
      </w:r>
      <w:r w:rsidRPr="003E38B1">
        <w:t>rials.gov</w:t>
      </w:r>
      <w:r w:rsidR="00970121">
        <w:t>;</w:t>
      </w:r>
      <w:r w:rsidRPr="003E38B1">
        <w:t xml:space="preserve"> 29 June 2016) investigating the use of brentuximab vedotin pre-ASCT, in combination with numerous other therapies (including but not li</w:t>
      </w:r>
      <w:r w:rsidR="00F9357A">
        <w:t>mited to rituximab, ipilimumab and</w:t>
      </w:r>
      <w:r w:rsidRPr="003E38B1">
        <w:t xml:space="preserve"> nivolumab) which may render the use of monotherapy brentuximab vedotin, in patients with increased risk of relapse, redundant.</w:t>
      </w:r>
    </w:p>
    <w:p w14:paraId="24479111" w14:textId="11ECE436" w:rsidR="003E38B1" w:rsidRPr="003E38B1" w:rsidRDefault="003E38B1" w:rsidP="003E38B1">
      <w:r w:rsidRPr="003E38B1">
        <w:t>The risks to patients who receive brentuximab vedotin but who prematurely cease therapy owing to adverse events have not been established. It is uncertain if such patients, who later go on to experience disease progression, will obtain an efficacy benefit from brentuximab vedotin and what the magnitude of this effect may be.</w:t>
      </w:r>
    </w:p>
    <w:p w14:paraId="41EA8F98" w14:textId="03E0E7A1" w:rsidR="00D23139" w:rsidRDefault="00D23139" w:rsidP="0054121B">
      <w:pPr>
        <w:pStyle w:val="Heading5"/>
      </w:pPr>
      <w:r w:rsidRPr="00D23139">
        <w:t xml:space="preserve">Proposed </w:t>
      </w:r>
      <w:r w:rsidR="0054121B">
        <w:t xml:space="preserve">regulatory </w:t>
      </w:r>
      <w:r w:rsidRPr="00D23139">
        <w:t>action</w:t>
      </w:r>
    </w:p>
    <w:p w14:paraId="7F4E3155" w14:textId="4880C200" w:rsidR="0054121B" w:rsidRPr="0054121B" w:rsidRDefault="0054121B" w:rsidP="0054121B">
      <w:r w:rsidRPr="0054121B">
        <w:t>The Delegate considers the submission to extend the indications of brentuximab vedotin to have sufficiently demonstrated efficacy and safety in order to be registered in the proposed usage.</w:t>
      </w:r>
    </w:p>
    <w:p w14:paraId="75C777DF" w14:textId="77777777" w:rsidR="0054121B" w:rsidRPr="0054121B" w:rsidRDefault="0054121B" w:rsidP="0054121B">
      <w:r w:rsidRPr="0054121B">
        <w:t>The clinical evaluator recommended that a registry be set up for future patients to further inform the outcomes of patients receiving post-HSCT brentuximab vedotin. The Delegate does not consider a patient registry necessary since the submission is sufficient to register an extension of indications and is not predicated upon the submission of further data.</w:t>
      </w:r>
    </w:p>
    <w:p w14:paraId="6245F501" w14:textId="20649E02" w:rsidR="0054121B" w:rsidRPr="0054121B" w:rsidRDefault="0054121B" w:rsidP="0054121B">
      <w:r w:rsidRPr="0054121B">
        <w:t xml:space="preserve">Provision of a healthcare professional information brochure was also recommended by the clinical evaluator. This is also considered not required, as the </w:t>
      </w:r>
      <w:r w:rsidR="006B72AA">
        <w:t>PI</w:t>
      </w:r>
      <w:r w:rsidRPr="0054121B">
        <w:t xml:space="preserve"> and </w:t>
      </w:r>
      <w:r w:rsidR="006B72AA">
        <w:t>CMI</w:t>
      </w:r>
      <w:r w:rsidRPr="0054121B">
        <w:t xml:space="preserve"> are being updated with this submission.</w:t>
      </w:r>
    </w:p>
    <w:p w14:paraId="30D5149D" w14:textId="298BF70F" w:rsidR="0054121B" w:rsidRDefault="006B72AA" w:rsidP="0054121B">
      <w:r>
        <w:t>The D</w:t>
      </w:r>
      <w:r w:rsidR="0054121B" w:rsidRPr="0054121B">
        <w:t>elegate considers it prudent for the sponsor to produce a patient safety card for patients at risk of disease progression, given that these patients are being treated in a prophylactic manner, the major risks of treatment need to be clearly identifiable. The risks of brentuximab vedotin in a fitter population of patients, while not substantially different from those already described, mean that they are more likely to present to non-specialist centres where attending staff are unlikely to be familiar with the adverse event profile of brentuximab vedotin. Such a patient safety card will supplement the information in the CMI and serve to minimise risks to patients.</w:t>
      </w:r>
    </w:p>
    <w:p w14:paraId="3284C0CD" w14:textId="77777777" w:rsidR="004F2574" w:rsidRDefault="004F2574" w:rsidP="004F2574">
      <w:pPr>
        <w:pStyle w:val="Heading6"/>
      </w:pPr>
      <w:r>
        <w:t>Conditions of registration</w:t>
      </w:r>
    </w:p>
    <w:p w14:paraId="29E55516" w14:textId="77777777" w:rsidR="004F2574" w:rsidRDefault="004F2574" w:rsidP="004F2574">
      <w:pPr>
        <w:spacing w:before="0" w:after="0" w:line="240" w:lineRule="auto"/>
        <w:rPr>
          <w:rFonts w:asciiTheme="minorHAnsi" w:hAnsiTheme="minorHAnsi"/>
        </w:rPr>
      </w:pPr>
      <w:r w:rsidRPr="00355DE6">
        <w:rPr>
          <w:rFonts w:asciiTheme="minorHAnsi" w:hAnsiTheme="minorHAnsi"/>
        </w:rPr>
        <w:t>As per the RMP evaluator:</w:t>
      </w:r>
    </w:p>
    <w:p w14:paraId="72848BA3" w14:textId="5891D63C" w:rsidR="004F2574" w:rsidRPr="004F2574" w:rsidRDefault="004F2574" w:rsidP="006D27FB">
      <w:pPr>
        <w:ind w:left="720"/>
        <w:jc w:val="both"/>
        <w:rPr>
          <w:rFonts w:asciiTheme="minorHAnsi" w:hAnsiTheme="minorHAnsi"/>
          <w:i/>
        </w:rPr>
      </w:pPr>
      <w:r w:rsidRPr="004F2574">
        <w:rPr>
          <w:rFonts w:asciiTheme="minorHAnsi" w:hAnsiTheme="minorHAnsi"/>
          <w:i/>
        </w:rPr>
        <w:t>Implement EU-RMP Version 5.2 (dated 23 February 2015, DLP 18 August 2014) and Australian-specific annex (ASA) Version 5.0 (dated February 2016), and future updates where TGA approved, as a condition of registration.</w:t>
      </w:r>
    </w:p>
    <w:p w14:paraId="3FC83FC9" w14:textId="47E026E0" w:rsidR="0054121B" w:rsidRDefault="0054121B" w:rsidP="0054121B">
      <w:pPr>
        <w:pStyle w:val="Heading4"/>
      </w:pPr>
      <w:r>
        <w:t>Summary of issues</w:t>
      </w:r>
    </w:p>
    <w:p w14:paraId="7D4043A1" w14:textId="77777777" w:rsidR="0054121B" w:rsidRPr="0054121B" w:rsidRDefault="0054121B" w:rsidP="00234864">
      <w:pPr>
        <w:pStyle w:val="ListBullet"/>
      </w:pPr>
      <w:r w:rsidRPr="0054121B">
        <w:t xml:space="preserve">The amendment to the indication moves treatment of patients with </w:t>
      </w:r>
      <w:r w:rsidRPr="00970121">
        <w:t>established</w:t>
      </w:r>
      <w:r w:rsidRPr="0054121B">
        <w:t xml:space="preserve"> relapsed/refractory HL to an earlier phase of those </w:t>
      </w:r>
      <w:r w:rsidRPr="00970121">
        <w:t>at risk of</w:t>
      </w:r>
      <w:r w:rsidRPr="0054121B">
        <w:rPr>
          <w:i/>
        </w:rPr>
        <w:t xml:space="preserve"> </w:t>
      </w:r>
      <w:r w:rsidRPr="0054121B">
        <w:t>relapse or progression.</w:t>
      </w:r>
    </w:p>
    <w:p w14:paraId="256F6110" w14:textId="30D05C5E" w:rsidR="0054121B" w:rsidRPr="0054121B" w:rsidRDefault="0054121B" w:rsidP="00234864">
      <w:pPr>
        <w:pStyle w:val="ListBullet"/>
      </w:pPr>
      <w:r w:rsidRPr="0054121B">
        <w:t>The orphan nature of the disease makes determination of the patient population that has the greatest risk, among those with ‘increased’ risk, of relapse which may benefit from brentuximab ve</w:t>
      </w:r>
      <w:r w:rsidR="00F9357A">
        <w:t>dotin following HSCT difficult.</w:t>
      </w:r>
    </w:p>
    <w:p w14:paraId="3CEB7A1B" w14:textId="77777777" w:rsidR="0054121B" w:rsidRPr="0054121B" w:rsidRDefault="0054121B" w:rsidP="00234864">
      <w:pPr>
        <w:pStyle w:val="ListBullet"/>
      </w:pPr>
      <w:r w:rsidRPr="0054121B">
        <w:t>Conversely, there is no categorical definition as to which patients at ‘increased’ risk of disease progression should not receive consolidation therapy with brentuximab vedotin.</w:t>
      </w:r>
    </w:p>
    <w:p w14:paraId="30B828BD" w14:textId="77777777" w:rsidR="0054121B" w:rsidRPr="0054121B" w:rsidRDefault="0054121B" w:rsidP="00234864">
      <w:pPr>
        <w:pStyle w:val="ListBullet"/>
      </w:pPr>
      <w:r w:rsidRPr="0054121B">
        <w:lastRenderedPageBreak/>
        <w:t>Efficacy was demonstrated by progression-free survival. No effect on overall survival has been reported in the pivotal study.</w:t>
      </w:r>
    </w:p>
    <w:p w14:paraId="23FFA6B7" w14:textId="77777777" w:rsidR="0054121B" w:rsidRPr="0054121B" w:rsidRDefault="0054121B" w:rsidP="00234864">
      <w:pPr>
        <w:pStyle w:val="ListBullet"/>
      </w:pPr>
      <w:r w:rsidRPr="0054121B">
        <w:t>Adverse effects from consolidation use are consistent with those already known, albeit with varying incidence.</w:t>
      </w:r>
    </w:p>
    <w:p w14:paraId="21AB7BF8" w14:textId="41927F27" w:rsidR="0054121B" w:rsidRPr="0054121B" w:rsidRDefault="0054121B" w:rsidP="00234864">
      <w:pPr>
        <w:pStyle w:val="ListBullet"/>
      </w:pPr>
      <w:r w:rsidRPr="0054121B">
        <w:t>Effects of partial treatment of those with ‘increased’ risk are not established</w:t>
      </w:r>
      <w:r w:rsidR="00234864">
        <w:t>.</w:t>
      </w:r>
    </w:p>
    <w:p w14:paraId="0043E621" w14:textId="6978278F" w:rsidR="0054121B" w:rsidRPr="0054121B" w:rsidRDefault="0054121B" w:rsidP="00234864">
      <w:pPr>
        <w:pStyle w:val="ListBullet"/>
      </w:pPr>
      <w:r w:rsidRPr="0054121B">
        <w:t xml:space="preserve">A separate safety-related request was evaluated and incorporated into the clinical </w:t>
      </w:r>
      <w:r w:rsidR="00F9357A" w:rsidRPr="0054121B">
        <w:t>evaluation</w:t>
      </w:r>
      <w:r w:rsidRPr="0054121B">
        <w:t xml:space="preserve"> regarding events of pulmonary toxicity, hepatotoxicity and GI toxicity</w:t>
      </w:r>
      <w:r w:rsidR="00234864">
        <w:t>.</w:t>
      </w:r>
    </w:p>
    <w:p w14:paraId="6622B359" w14:textId="5C474F72" w:rsidR="0054121B" w:rsidRPr="0054121B" w:rsidRDefault="0054121B" w:rsidP="0054121B">
      <w:pPr>
        <w:pStyle w:val="Heading4"/>
      </w:pPr>
      <w:r>
        <w:t>Proposed action</w:t>
      </w:r>
    </w:p>
    <w:p w14:paraId="49DEE321" w14:textId="41FF16AB" w:rsidR="0054121B" w:rsidRPr="0054121B" w:rsidRDefault="0054121B" w:rsidP="0054121B">
      <w:pPr>
        <w:rPr>
          <w:bCs/>
        </w:rPr>
      </w:pPr>
      <w:r>
        <w:rPr>
          <w:bCs/>
        </w:rPr>
        <w:t>The Delegate had</w:t>
      </w:r>
      <w:r w:rsidRPr="0054121B">
        <w:rPr>
          <w:bCs/>
        </w:rPr>
        <w:t xml:space="preserve"> no reason to say, at this time, that the application should no</w:t>
      </w:r>
      <w:r>
        <w:rPr>
          <w:bCs/>
        </w:rPr>
        <w:t>t be approved for registration.</w:t>
      </w:r>
    </w:p>
    <w:p w14:paraId="5E93A344" w14:textId="77777777" w:rsidR="00D23139" w:rsidRDefault="00D23139" w:rsidP="00D23139">
      <w:pPr>
        <w:pStyle w:val="Heading4"/>
      </w:pPr>
      <w:r w:rsidRPr="00D23139">
        <w:t>Request for ACPM advice</w:t>
      </w:r>
    </w:p>
    <w:p w14:paraId="6932694E" w14:textId="2341F23E" w:rsidR="00193DEA" w:rsidRPr="00193DEA" w:rsidRDefault="00193DEA" w:rsidP="00193DEA">
      <w:pPr>
        <w:pStyle w:val="Numberbullet0"/>
        <w:numPr>
          <w:ilvl w:val="0"/>
          <w:numId w:val="40"/>
        </w:numPr>
      </w:pPr>
      <w:r w:rsidRPr="00193DEA">
        <w:t>Given the limitation of the patient population, does the committee consider there sufficient data to specify a degree of risk of relapse of disease progression which can be specified in the indication?</w:t>
      </w:r>
    </w:p>
    <w:p w14:paraId="44A63D0E" w14:textId="33F7030D" w:rsidR="00193DEA" w:rsidRPr="00193DEA" w:rsidRDefault="00193DEA" w:rsidP="00193DEA">
      <w:pPr>
        <w:pStyle w:val="Numberbullet0"/>
        <w:numPr>
          <w:ilvl w:val="0"/>
          <w:numId w:val="40"/>
        </w:numPr>
      </w:pPr>
      <w:r w:rsidRPr="00193DEA">
        <w:t>Does the committee consider there to be a population of patients who should not receive consolidation brentuximab post-HSCT?</w:t>
      </w:r>
    </w:p>
    <w:p w14:paraId="62673172" w14:textId="61D83DA1" w:rsidR="00193DEA" w:rsidRPr="00193DEA" w:rsidRDefault="006B72AA" w:rsidP="00193DEA">
      <w:pPr>
        <w:pStyle w:val="Numberbullet0"/>
        <w:numPr>
          <w:ilvl w:val="0"/>
          <w:numId w:val="40"/>
        </w:numPr>
      </w:pPr>
      <w:r>
        <w:t>What is the opinion of the c</w:t>
      </w:r>
      <w:r w:rsidR="00193DEA" w:rsidRPr="00193DEA">
        <w:t>ommittee regarding the provision of a patient safety card to those patients ‘at risk’ of relapse or disease progression?</w:t>
      </w:r>
    </w:p>
    <w:p w14:paraId="60EB5ADE" w14:textId="6435E0F5" w:rsidR="00D23139" w:rsidRDefault="00D23139" w:rsidP="00D23139">
      <w:pPr>
        <w:pStyle w:val="Heading4"/>
      </w:pPr>
      <w:r w:rsidRPr="00D23139">
        <w:t>R</w:t>
      </w:r>
      <w:r w:rsidR="005D59BC">
        <w:t>esponse from sponsor</w:t>
      </w:r>
    </w:p>
    <w:p w14:paraId="7EF934E7" w14:textId="0771321B" w:rsidR="009C71E8" w:rsidRPr="009C71E8" w:rsidRDefault="0022460D" w:rsidP="009C71E8">
      <w:pPr>
        <w:pStyle w:val="Heading5"/>
        <w:rPr>
          <w:rFonts w:eastAsiaTheme="minorHAnsi"/>
          <w:lang w:val="en-GB"/>
        </w:rPr>
      </w:pPr>
      <w:r>
        <w:rPr>
          <w:rFonts w:eastAsiaTheme="minorHAnsi"/>
          <w:lang w:val="en-GB"/>
        </w:rPr>
        <w:t>Unmet clinical need</w:t>
      </w:r>
    </w:p>
    <w:p w14:paraId="396F75C2" w14:textId="6F7DBECC" w:rsidR="009C71E8" w:rsidRPr="009C71E8" w:rsidRDefault="009C71E8" w:rsidP="009C71E8">
      <w:pPr>
        <w:rPr>
          <w:lang w:val="en-GB"/>
        </w:rPr>
      </w:pPr>
      <w:r w:rsidRPr="009C71E8">
        <w:rPr>
          <w:lang w:val="en-GB"/>
        </w:rPr>
        <w:t>The SGN35-005 (AETHERA) trial was conducted in patients with HL following ASCT. Currently, this treatment setting is managed through watchful waiting. ASCT is used with curative intent, and it is understood that approximately half of HL cases might be cured without further therapy. Yet in the other cases, HL will return with devastating consequences for these typically young and otherwise productive patients who have endured previous aggressive and invasive therapy. Historically, relapse in this setting is associated with a median post-progression survival of only 1.3 years</w:t>
      </w:r>
      <w:r w:rsidR="00B42803">
        <w:rPr>
          <w:lang w:val="en-GB"/>
        </w:rPr>
        <w:t>.</w:t>
      </w:r>
      <w:bookmarkStart w:id="125" w:name="_Ref484782589"/>
      <w:r w:rsidR="00B42803">
        <w:rPr>
          <w:rStyle w:val="FootnoteReference"/>
          <w:lang w:val="en-GB"/>
        </w:rPr>
        <w:footnoteReference w:id="23"/>
      </w:r>
      <w:bookmarkEnd w:id="125"/>
      <w:r w:rsidR="0085094B">
        <w:rPr>
          <w:vertAlign w:val="superscript"/>
          <w:lang w:val="en-GB"/>
        </w:rPr>
        <w:t>,</w:t>
      </w:r>
      <w:bookmarkStart w:id="126" w:name="_Ref484782845"/>
      <w:r w:rsidR="0085094B">
        <w:rPr>
          <w:rStyle w:val="FootnoteReference"/>
          <w:lang w:val="en-GB"/>
        </w:rPr>
        <w:footnoteReference w:id="24"/>
      </w:r>
      <w:bookmarkEnd w:id="126"/>
      <w:r w:rsidRPr="009C71E8">
        <w:rPr>
          <w:lang w:val="en-GB"/>
        </w:rPr>
        <w:t xml:space="preserve"> The AETHERA study demonstrated that Adcetris treatment produced a statistically significant benefit in PFS. PFS was selected as the primary endpoint of the study because it represents a clinically relevant measure of benefit in this population of patients who are typically in a very productive and responsible phase of their careers and personal lives. For these patients, delaying or preventing relapse is an important treatment goal, and as will be shown in the analyses that follow, this PFS benefit can translate to other objectiv</w:t>
      </w:r>
      <w:r>
        <w:rPr>
          <w:lang w:val="en-GB"/>
        </w:rPr>
        <w:t>e measures of clinical benefit.</w:t>
      </w:r>
    </w:p>
    <w:p w14:paraId="0405666D" w14:textId="4403F960" w:rsidR="009C71E8" w:rsidRPr="009C71E8" w:rsidRDefault="009C71E8" w:rsidP="009C71E8">
      <w:pPr>
        <w:rPr>
          <w:lang w:val="en-GB"/>
        </w:rPr>
      </w:pPr>
      <w:r w:rsidRPr="009C71E8">
        <w:rPr>
          <w:lang w:val="en-GB"/>
        </w:rPr>
        <w:t>Failure to attain a cure in HL is noted as a burden for patients and caregivers. In the current HL treatment paradigm, despite the advantages offered by Adcetris in the relapsed or refractory setting, ASCT represents patients’ last and best chance of cure. Among all patients requiring ASCT for HL, 50% of patients, cure will not b</w:t>
      </w:r>
      <w:r w:rsidR="00C05EA3">
        <w:rPr>
          <w:lang w:val="en-GB"/>
        </w:rPr>
        <w:t>e attained with ASCT alone</w:t>
      </w:r>
      <w:r w:rsidRPr="009C71E8">
        <w:rPr>
          <w:lang w:val="en-GB"/>
        </w:rPr>
        <w:t>.</w:t>
      </w:r>
      <w:r w:rsidR="0085094B" w:rsidRPr="0085094B">
        <w:rPr>
          <w:vertAlign w:val="superscript"/>
          <w:lang w:val="en-GB"/>
        </w:rPr>
        <w:fldChar w:fldCharType="begin"/>
      </w:r>
      <w:r w:rsidR="0085094B" w:rsidRPr="0085094B">
        <w:rPr>
          <w:vertAlign w:val="superscript"/>
          <w:lang w:val="en-GB"/>
        </w:rPr>
        <w:instrText xml:space="preserve"> NOTEREF _Ref484782589 \h </w:instrText>
      </w:r>
      <w:r w:rsidR="0085094B">
        <w:rPr>
          <w:vertAlign w:val="superscript"/>
          <w:lang w:val="en-GB"/>
        </w:rPr>
        <w:instrText xml:space="preserve"> \* MERGEFORMAT </w:instrText>
      </w:r>
      <w:r w:rsidR="0085094B" w:rsidRPr="0085094B">
        <w:rPr>
          <w:vertAlign w:val="superscript"/>
          <w:lang w:val="en-GB"/>
        </w:rPr>
      </w:r>
      <w:r w:rsidR="0085094B" w:rsidRPr="0085094B">
        <w:rPr>
          <w:vertAlign w:val="superscript"/>
          <w:lang w:val="en-GB"/>
        </w:rPr>
        <w:fldChar w:fldCharType="separate"/>
      </w:r>
      <w:r w:rsidR="006633C8">
        <w:rPr>
          <w:vertAlign w:val="superscript"/>
          <w:lang w:val="en-GB"/>
        </w:rPr>
        <w:t>23</w:t>
      </w:r>
      <w:r w:rsidR="0085094B" w:rsidRPr="0085094B">
        <w:rPr>
          <w:vertAlign w:val="superscript"/>
          <w:lang w:val="en-GB"/>
        </w:rPr>
        <w:fldChar w:fldCharType="end"/>
      </w:r>
      <w:proofErr w:type="gramStart"/>
      <w:r w:rsidR="0085094B">
        <w:rPr>
          <w:vertAlign w:val="superscript"/>
          <w:lang w:val="en-GB"/>
        </w:rPr>
        <w:t>,</w:t>
      </w:r>
      <w:proofErr w:type="gramEnd"/>
      <w:r w:rsidR="00C05EA3">
        <w:rPr>
          <w:vertAlign w:val="superscript"/>
          <w:lang w:val="en-GB"/>
        </w:rPr>
        <w:fldChar w:fldCharType="begin"/>
      </w:r>
      <w:r w:rsidR="00C05EA3">
        <w:rPr>
          <w:vertAlign w:val="superscript"/>
          <w:lang w:val="en-GB"/>
        </w:rPr>
        <w:instrText xml:space="preserve"> NOTEREF _Ref484782845 \h </w:instrText>
      </w:r>
      <w:r w:rsidR="00C05EA3">
        <w:rPr>
          <w:vertAlign w:val="superscript"/>
          <w:lang w:val="en-GB"/>
        </w:rPr>
      </w:r>
      <w:r w:rsidR="00C05EA3">
        <w:rPr>
          <w:vertAlign w:val="superscript"/>
          <w:lang w:val="en-GB"/>
        </w:rPr>
        <w:fldChar w:fldCharType="separate"/>
      </w:r>
      <w:r w:rsidR="006633C8">
        <w:rPr>
          <w:vertAlign w:val="superscript"/>
          <w:lang w:val="en-GB"/>
        </w:rPr>
        <w:t>24</w:t>
      </w:r>
      <w:r w:rsidR="00C05EA3">
        <w:rPr>
          <w:vertAlign w:val="superscript"/>
          <w:lang w:val="en-GB"/>
        </w:rPr>
        <w:fldChar w:fldCharType="end"/>
      </w:r>
      <w:r w:rsidRPr="009C71E8">
        <w:rPr>
          <w:lang w:val="en-GB"/>
        </w:rPr>
        <w:t xml:space="preserve"> For those whose disease is not cured, the human cost is high. As described by </w:t>
      </w:r>
      <w:r w:rsidR="00C05EA3">
        <w:rPr>
          <w:lang w:val="en-GB"/>
        </w:rPr>
        <w:t xml:space="preserve">the </w:t>
      </w:r>
      <w:r w:rsidR="00D360E9">
        <w:rPr>
          <w:lang w:val="en-GB"/>
        </w:rPr>
        <w:t>AETHERA principal i</w:t>
      </w:r>
      <w:r w:rsidRPr="009C71E8">
        <w:rPr>
          <w:lang w:val="en-GB"/>
        </w:rPr>
        <w:t xml:space="preserve">nvestigator from </w:t>
      </w:r>
      <w:r w:rsidR="00D360E9">
        <w:rPr>
          <w:lang w:val="en-GB"/>
        </w:rPr>
        <w:t>their</w:t>
      </w:r>
      <w:r w:rsidRPr="009C71E8">
        <w:rPr>
          <w:lang w:val="en-GB"/>
        </w:rPr>
        <w:t xml:space="preserve"> experience at the Memorial Sloan Kettering </w:t>
      </w:r>
      <w:r w:rsidRPr="009C71E8">
        <w:rPr>
          <w:lang w:val="en-GB"/>
        </w:rPr>
        <w:lastRenderedPageBreak/>
        <w:t xml:space="preserve">Cancer Center, the remainder of these young patients’ lives becomes focused around their treatment. Typical patients with refractory or recurrent disease post ASCT receive a median of 5 investigational agents, without long breaks between those agents, prior to their deaths before age 40 </w:t>
      </w:r>
      <w:r w:rsidR="00C05EA3">
        <w:rPr>
          <w:lang w:val="en-GB"/>
        </w:rPr>
        <w:t>(p</w:t>
      </w:r>
      <w:r w:rsidRPr="009C71E8">
        <w:rPr>
          <w:lang w:val="en-GB"/>
        </w:rPr>
        <w:t>ersonal commun</w:t>
      </w:r>
      <w:r w:rsidR="00C05EA3">
        <w:rPr>
          <w:lang w:val="en-GB"/>
        </w:rPr>
        <w:t xml:space="preserve">ication dated </w:t>
      </w:r>
      <w:r w:rsidRPr="009C71E8">
        <w:rPr>
          <w:lang w:val="en-GB"/>
        </w:rPr>
        <w:t xml:space="preserve">5 May 2015). As illustrated by the AETHERA data, approximately 55% of placebo patients at increased risk of relapse were not cured by ASCT alone, as opposed to approximately 35% of patients receiving consolidation treatment with Adcetris (PFS per investigator with clinical lymphoma assessments beyond 24 months to define events and censor patients who had not yet progressed). The analysis of PFS per investigator including clinical lymphoma assessments demonstrates that each arm appears to have reached a stable plateau beyond 24 months with marked separation between the curves. This analysis yielded a stratified </w:t>
      </w:r>
      <w:r w:rsidR="00C05EA3">
        <w:rPr>
          <w:lang w:val="en-GB"/>
        </w:rPr>
        <w:t>HR of 0.50 (95% CI (0.36, 0.70)</w:t>
      </w:r>
      <w:r w:rsidRPr="009C71E8">
        <w:rPr>
          <w:lang w:val="en-GB"/>
        </w:rPr>
        <w:t>). The 55% of placebo patients with disease progression in the plateau phase represents a greater proportion than the 50% it is expected will not be cured by ASCT alone, suggesting that patients risk factors for relapse or progression present a higher unmet medical need. Further, in the relapsed or refractory setting post ASCT, despite the use of Adcetris to extend such patients</w:t>
      </w:r>
      <w:r w:rsidR="00A525B1">
        <w:rPr>
          <w:lang w:val="en-GB"/>
        </w:rPr>
        <w:t>’ lives, very few can be cured.</w:t>
      </w:r>
    </w:p>
    <w:p w14:paraId="1AF01298" w14:textId="29E72DBC" w:rsidR="009C71E8" w:rsidRPr="009C71E8" w:rsidRDefault="00C05EA3" w:rsidP="009C71E8">
      <w:pPr>
        <w:rPr>
          <w:lang w:val="en-GB"/>
        </w:rPr>
      </w:pPr>
      <w:r>
        <w:rPr>
          <w:i/>
          <w:lang w:val="en-GB"/>
        </w:rPr>
        <w:t>Long-term f</w:t>
      </w:r>
      <w:r w:rsidR="009C71E8" w:rsidRPr="00A525B1">
        <w:rPr>
          <w:i/>
          <w:lang w:val="en-GB"/>
        </w:rPr>
        <w:t>ollow</w:t>
      </w:r>
      <w:r>
        <w:rPr>
          <w:i/>
          <w:lang w:val="en-GB"/>
        </w:rPr>
        <w:t>-up of Study SG035-00</w:t>
      </w:r>
      <w:r w:rsidR="00A525B1" w:rsidRPr="00A525B1">
        <w:rPr>
          <w:i/>
          <w:lang w:val="en-GB"/>
        </w:rPr>
        <w:t>03</w:t>
      </w:r>
      <w:r w:rsidR="00A525B1">
        <w:rPr>
          <w:lang w:val="en-GB"/>
        </w:rPr>
        <w:t xml:space="preserve">: </w:t>
      </w:r>
      <w:r w:rsidR="009C71E8" w:rsidRPr="009C71E8">
        <w:rPr>
          <w:lang w:val="en-GB"/>
        </w:rPr>
        <w:t>The earlier clinical investigation in patients with HL that had been refractory to or relapsed after ASCT (Study SG035-0003) suggests that Adcetris delays but does not ultimately prevent disease progression or death in most patients who receive the drug later in their treatment course. At the time</w:t>
      </w:r>
      <w:r w:rsidR="00A525B1">
        <w:rPr>
          <w:lang w:val="en-GB"/>
        </w:rPr>
        <w:t xml:space="preserve"> of termination of Study SG035-</w:t>
      </w:r>
      <w:r w:rsidR="00E61B50">
        <w:rPr>
          <w:lang w:val="en-GB"/>
        </w:rPr>
        <w:t xml:space="preserve">0003, the estimated 5 </w:t>
      </w:r>
      <w:r w:rsidR="009C71E8" w:rsidRPr="009C71E8">
        <w:rPr>
          <w:lang w:val="en-GB"/>
        </w:rPr>
        <w:t>year investigator-assessed PFS r</w:t>
      </w:r>
      <w:r w:rsidR="00E61B50">
        <w:rPr>
          <w:lang w:val="en-GB"/>
        </w:rPr>
        <w:t xml:space="preserve">ate was 22% and the estimated 5 </w:t>
      </w:r>
      <w:r w:rsidR="009C71E8" w:rsidRPr="009C71E8">
        <w:rPr>
          <w:lang w:val="en-GB"/>
        </w:rPr>
        <w:t xml:space="preserve">year </w:t>
      </w:r>
      <w:r>
        <w:rPr>
          <w:lang w:val="en-GB"/>
        </w:rPr>
        <w:t>OS</w:t>
      </w:r>
      <w:r w:rsidR="00A525B1">
        <w:rPr>
          <w:lang w:val="en-GB"/>
        </w:rPr>
        <w:t xml:space="preserve"> rate per Kaplan-Meier </w:t>
      </w:r>
      <w:r w:rsidR="009C71E8" w:rsidRPr="009C71E8">
        <w:rPr>
          <w:lang w:val="en-GB"/>
        </w:rPr>
        <w:t>a</w:t>
      </w:r>
      <w:r>
        <w:rPr>
          <w:lang w:val="en-GB"/>
        </w:rPr>
        <w:t xml:space="preserve">nalysis was 41% (Study SG035-0003 Clinical Study Report, </w:t>
      </w:r>
      <w:r w:rsidR="009C71E8" w:rsidRPr="009C71E8">
        <w:rPr>
          <w:lang w:val="en-GB"/>
        </w:rPr>
        <w:t xml:space="preserve">Addendum 2). This study’s finding of a median OS duration of 40.5 months in the relapsed or refractory setting also corroborates the likelihood that the AETHERA OS data will remain immature for years to come. Ultimately at the time of closure of the </w:t>
      </w:r>
      <w:r>
        <w:rPr>
          <w:lang w:val="en-GB"/>
        </w:rPr>
        <w:t>Study </w:t>
      </w:r>
      <w:r w:rsidR="009C71E8" w:rsidRPr="009C71E8">
        <w:rPr>
          <w:lang w:val="en-GB"/>
        </w:rPr>
        <w:t xml:space="preserve">SG035-0003 study, 15 of its 102 patients (15%) were known to be in remission. The majority of these patients with sustained remissions (13 of 15 patients with sustained remissions, 87%) had attained a </w:t>
      </w:r>
      <w:r>
        <w:rPr>
          <w:lang w:val="en-GB"/>
        </w:rPr>
        <w:t>CR</w:t>
      </w:r>
      <w:r w:rsidR="009C71E8" w:rsidRPr="009C71E8">
        <w:rPr>
          <w:lang w:val="en-GB"/>
        </w:rPr>
        <w:t xml:space="preserve"> with initial Adcetris treatment. These data illustrate that achieving complete remission is of vital importance to curing HL and to patients’ long-term survival (</w:t>
      </w:r>
      <w:r>
        <w:rPr>
          <w:lang w:val="en-GB"/>
        </w:rPr>
        <w:t>Study </w:t>
      </w:r>
      <w:r w:rsidR="009C71E8" w:rsidRPr="009C71E8">
        <w:rPr>
          <w:lang w:val="en-GB"/>
        </w:rPr>
        <w:t>SG035-0003 Clinical Study Report Addendum 2). Further, of these 15 patients still alive and in remission at study closure, 6 patients (40%) had received a later consolidative allogeneic stem cell transplant. Thus, in the treatment of relapsed or recurrent HL, Adcetris alone does not result in cure in &gt;</w:t>
      </w:r>
      <w:r>
        <w:rPr>
          <w:lang w:val="en-GB"/>
        </w:rPr>
        <w:t xml:space="preserve"> </w:t>
      </w:r>
      <w:r w:rsidR="009C71E8" w:rsidRPr="009C71E8">
        <w:rPr>
          <w:lang w:val="en-GB"/>
        </w:rPr>
        <w:t xml:space="preserve">90% of patients. The very poor prognosis for patients with HL that returns post ASCT underscores the vital importance of increasing cure rates </w:t>
      </w:r>
      <w:r w:rsidR="00A0799F">
        <w:rPr>
          <w:lang w:val="en-GB"/>
        </w:rPr>
        <w:t>earlier in therapy.</w:t>
      </w:r>
      <w:r w:rsidR="0085094B">
        <w:rPr>
          <w:rStyle w:val="FootnoteReference"/>
          <w:lang w:val="en-GB"/>
        </w:rPr>
        <w:footnoteReference w:id="25"/>
      </w:r>
    </w:p>
    <w:p w14:paraId="07060FB6" w14:textId="1E94AC60" w:rsidR="009C71E8" w:rsidRPr="009C71E8" w:rsidRDefault="009C71E8" w:rsidP="009C71E8">
      <w:pPr>
        <w:rPr>
          <w:lang w:val="en-GB"/>
        </w:rPr>
      </w:pPr>
      <w:r w:rsidRPr="00A525B1">
        <w:rPr>
          <w:i/>
          <w:lang w:val="en-GB"/>
        </w:rPr>
        <w:t xml:space="preserve">Analysis for </w:t>
      </w:r>
      <w:r w:rsidR="00D360E9">
        <w:rPr>
          <w:i/>
          <w:lang w:val="en-GB"/>
        </w:rPr>
        <w:t>d</w:t>
      </w:r>
      <w:r w:rsidR="00A525B1" w:rsidRPr="00A525B1">
        <w:rPr>
          <w:i/>
          <w:lang w:val="en-GB"/>
        </w:rPr>
        <w:t xml:space="preserve">elay of </w:t>
      </w:r>
      <w:r w:rsidR="00C05EA3">
        <w:rPr>
          <w:i/>
          <w:lang w:val="en-GB"/>
        </w:rPr>
        <w:t>n</w:t>
      </w:r>
      <w:r w:rsidR="00A525B1" w:rsidRPr="00A525B1">
        <w:rPr>
          <w:i/>
          <w:lang w:val="en-GB"/>
        </w:rPr>
        <w:t xml:space="preserve">ext </w:t>
      </w:r>
      <w:r w:rsidR="00C05EA3">
        <w:rPr>
          <w:i/>
          <w:lang w:val="en-GB"/>
        </w:rPr>
        <w:t>s</w:t>
      </w:r>
      <w:r w:rsidR="00A525B1" w:rsidRPr="00A525B1">
        <w:rPr>
          <w:i/>
          <w:lang w:val="en-GB"/>
        </w:rPr>
        <w:t xml:space="preserve">ubsequent </w:t>
      </w:r>
      <w:r w:rsidR="00C05EA3">
        <w:rPr>
          <w:i/>
          <w:lang w:val="en-GB"/>
        </w:rPr>
        <w:t>t</w:t>
      </w:r>
      <w:r w:rsidR="00A525B1" w:rsidRPr="00A525B1">
        <w:rPr>
          <w:i/>
          <w:lang w:val="en-GB"/>
        </w:rPr>
        <w:t>herapy</w:t>
      </w:r>
      <w:r w:rsidR="00A525B1">
        <w:rPr>
          <w:lang w:val="en-GB"/>
        </w:rPr>
        <w:t xml:space="preserve">: </w:t>
      </w:r>
      <w:r w:rsidR="00A0799F">
        <w:rPr>
          <w:lang w:val="en-GB"/>
        </w:rPr>
        <w:t>In this post-</w:t>
      </w:r>
      <w:r w:rsidRPr="009C71E8">
        <w:rPr>
          <w:lang w:val="en-GB"/>
        </w:rPr>
        <w:t xml:space="preserve">hoc analysis of </w:t>
      </w:r>
      <w:r w:rsidR="00A0799F">
        <w:rPr>
          <w:lang w:val="en-GB"/>
        </w:rPr>
        <w:t>TTNT</w:t>
      </w:r>
      <w:r w:rsidRPr="009C71E8">
        <w:rPr>
          <w:lang w:val="en-GB"/>
        </w:rPr>
        <w:t>, investigator-reported receipt of therapy for HL subsequent to placebo (placebo arm) or Adcetris (brentuximab vedotin arm) was considered a TTNT event. Patients without a TTNT event were censored at the date of their last follow-up. Fifty-one patients randomized to Adcetris (31%) received subsequent therapy versus 85 patients (52%) randomized to placebo (HR</w:t>
      </w:r>
      <w:r w:rsidR="00A0799F">
        <w:rPr>
          <w:lang w:val="en-GB"/>
        </w:rPr>
        <w:t xml:space="preserve"> </w:t>
      </w:r>
      <w:r w:rsidRPr="009C71E8">
        <w:rPr>
          <w:lang w:val="en-GB"/>
        </w:rPr>
        <w:t>=</w:t>
      </w:r>
      <w:r w:rsidR="00A0799F">
        <w:rPr>
          <w:lang w:val="en-GB"/>
        </w:rPr>
        <w:t xml:space="preserve"> </w:t>
      </w:r>
      <w:r w:rsidRPr="009C71E8">
        <w:rPr>
          <w:lang w:val="en-GB"/>
        </w:rPr>
        <w:t>0.448). This effect appeare</w:t>
      </w:r>
      <w:r w:rsidR="00A0799F">
        <w:rPr>
          <w:lang w:val="en-GB"/>
        </w:rPr>
        <w:t xml:space="preserve">d durable, with an estimated 36 month subsequent </w:t>
      </w:r>
      <w:r w:rsidRPr="009C71E8">
        <w:rPr>
          <w:lang w:val="en-GB"/>
        </w:rPr>
        <w:t>therapy-free rate of 65.6% for patients randomized to Adcetris ve</w:t>
      </w:r>
      <w:r w:rsidR="00A0799F">
        <w:rPr>
          <w:lang w:val="en-GB"/>
        </w:rPr>
        <w:t>rsus 45.8% for patients randomis</w:t>
      </w:r>
      <w:r w:rsidRPr="009C71E8">
        <w:rPr>
          <w:lang w:val="en-GB"/>
        </w:rPr>
        <w:t>ed to placebo. The results of this TTNT analysis show a strong and sustained trend for a reduced risk of receiving subsequent therapy in patients receiving Adcetris. This analysis, although not pre-specified, yielded a positive HR (0.45, 95% CI</w:t>
      </w:r>
      <w:r w:rsidR="00B01F1D">
        <w:rPr>
          <w:lang w:val="en-GB"/>
        </w:rPr>
        <w:t xml:space="preserve"> </w:t>
      </w:r>
      <w:r w:rsidRPr="009C71E8">
        <w:rPr>
          <w:lang w:val="en-GB"/>
        </w:rPr>
        <w:t>0.32, 0.64). After enduring the frontline and salvage therapies, pre-transplantation conditioning regimen, and stem cell transplantation typical of the previous treatments in this setting, achieving sustained remission without the need for further therapy is undoubtedly a m</w:t>
      </w:r>
      <w:r w:rsidR="00A0799F">
        <w:rPr>
          <w:lang w:val="en-GB"/>
        </w:rPr>
        <w:t>eaningful outcome for patients.</w:t>
      </w:r>
    </w:p>
    <w:p w14:paraId="0E957F54" w14:textId="7C98C902" w:rsidR="009C71E8" w:rsidRPr="009C71E8" w:rsidRDefault="009C71E8" w:rsidP="009C71E8">
      <w:pPr>
        <w:rPr>
          <w:lang w:val="en-GB"/>
        </w:rPr>
      </w:pPr>
      <w:r w:rsidRPr="009C71E8">
        <w:rPr>
          <w:lang w:val="en-GB"/>
        </w:rPr>
        <w:lastRenderedPageBreak/>
        <w:t xml:space="preserve">The majority of patients who are not cured by ASCT alone face further disease progression, treatment, and eventually HL-related death. Consolidation therapy with Adcetris offers sustained PFS, and the potential for cure, to approximately 20% more patients, of crucial benefit in this setting where the return of HL is usually repeated until it results in death. Moreover, this clinical benefit is also evidenced by a prolonged time to next therapy. Taken together, these data suggest that post-ASCT consolidation with Adcetris reduces the need for further treatment and offers better outcomes than </w:t>
      </w:r>
      <w:r>
        <w:rPr>
          <w:lang w:val="en-GB"/>
        </w:rPr>
        <w:t>watchful waiting.</w:t>
      </w:r>
    </w:p>
    <w:p w14:paraId="6CA03FA2" w14:textId="77777777" w:rsidR="009701A0" w:rsidRDefault="009C71E8" w:rsidP="009C71E8">
      <w:pPr>
        <w:pStyle w:val="Heading5"/>
        <w:rPr>
          <w:rFonts w:eastAsiaTheme="minorHAnsi"/>
          <w:lang w:val="en-GB"/>
        </w:rPr>
      </w:pPr>
      <w:r w:rsidRPr="009C71E8">
        <w:rPr>
          <w:rFonts w:eastAsiaTheme="minorHAnsi"/>
          <w:lang w:val="en-GB"/>
        </w:rPr>
        <w:t>Use</w:t>
      </w:r>
      <w:r>
        <w:rPr>
          <w:lang w:val="en-GB"/>
        </w:rPr>
        <w:t xml:space="preserve"> </w:t>
      </w:r>
      <w:r w:rsidRPr="009C71E8">
        <w:rPr>
          <w:rFonts w:eastAsiaTheme="minorHAnsi"/>
          <w:lang w:val="en-GB"/>
        </w:rPr>
        <w:t>in</w:t>
      </w:r>
      <w:r>
        <w:rPr>
          <w:rFonts w:eastAsiaTheme="minorHAnsi"/>
          <w:lang w:val="en-GB"/>
        </w:rPr>
        <w:t xml:space="preserve"> renal and h</w:t>
      </w:r>
      <w:r w:rsidRPr="009C71E8">
        <w:rPr>
          <w:rFonts w:eastAsiaTheme="minorHAnsi"/>
          <w:lang w:val="en-GB"/>
        </w:rPr>
        <w:t>epatic</w:t>
      </w:r>
      <w:r>
        <w:rPr>
          <w:rFonts w:eastAsiaTheme="minorHAnsi"/>
          <w:lang w:val="en-GB"/>
        </w:rPr>
        <w:t xml:space="preserve"> i</w:t>
      </w:r>
      <w:r w:rsidRPr="009C71E8">
        <w:rPr>
          <w:rFonts w:eastAsiaTheme="minorHAnsi"/>
          <w:lang w:val="en-GB"/>
        </w:rPr>
        <w:t>mpairment</w:t>
      </w:r>
    </w:p>
    <w:p w14:paraId="487E70E2" w14:textId="788A4C5B" w:rsidR="009C71E8" w:rsidRPr="009C71E8" w:rsidRDefault="00C05EA3" w:rsidP="009C71E8">
      <w:pPr>
        <w:rPr>
          <w:lang w:val="en-GB"/>
        </w:rPr>
      </w:pPr>
      <w:r>
        <w:rPr>
          <w:lang w:val="en-GB"/>
        </w:rPr>
        <w:t>The sponsor</w:t>
      </w:r>
      <w:r w:rsidR="009C71E8" w:rsidRPr="009C71E8">
        <w:rPr>
          <w:lang w:val="en-GB"/>
        </w:rPr>
        <w:t xml:space="preserve"> disagree</w:t>
      </w:r>
      <w:r>
        <w:rPr>
          <w:lang w:val="en-GB"/>
        </w:rPr>
        <w:t>s</w:t>
      </w:r>
      <w:r w:rsidR="009C71E8" w:rsidRPr="009C71E8">
        <w:rPr>
          <w:lang w:val="en-GB"/>
        </w:rPr>
        <w:t xml:space="preserve"> with the Delegate’s proposed revisions to the Dosage and Administration section of the Adcetris PI, which would lower the recommended starting dose for patients with moderate renal impairment and preclude treatment of patients with severe renal impairment and patients with moderate to severe hepatic impairment in </w:t>
      </w:r>
      <w:r w:rsidR="009C71E8">
        <w:rPr>
          <w:lang w:val="en-GB"/>
        </w:rPr>
        <w:t>the setting of active lymphoma.</w:t>
      </w:r>
    </w:p>
    <w:p w14:paraId="35BD6D43" w14:textId="2753A35C" w:rsidR="009C71E8" w:rsidRPr="009C71E8" w:rsidRDefault="00A0799F" w:rsidP="009C71E8">
      <w:pPr>
        <w:rPr>
          <w:lang w:val="en-GB"/>
        </w:rPr>
      </w:pPr>
      <w:r>
        <w:rPr>
          <w:lang w:val="en-GB"/>
        </w:rPr>
        <w:t>The sponsor</w:t>
      </w:r>
      <w:r w:rsidR="009C71E8" w:rsidRPr="009C71E8">
        <w:rPr>
          <w:lang w:val="en-GB"/>
        </w:rPr>
        <w:t xml:space="preserve"> acknowledge</w:t>
      </w:r>
      <w:r w:rsidR="00C05EA3">
        <w:rPr>
          <w:lang w:val="en-GB"/>
        </w:rPr>
        <w:t>s</w:t>
      </w:r>
      <w:r w:rsidR="009C71E8" w:rsidRPr="009C71E8">
        <w:rPr>
          <w:lang w:val="en-GB"/>
        </w:rPr>
        <w:t xml:space="preserve"> that a small sample of patients comprise the dataset supporting the use of brentuximab vedotin in patients with renal and hepatic impairment. However, the previously agreed starting dose and guidelines for use in the setting of active lymphoma remain relevant for patients with active disease. For such patients, brentuximab vedotin represents an important treatment option that, subject to clinical judgment and </w:t>
      </w:r>
      <w:r>
        <w:rPr>
          <w:lang w:val="en-GB"/>
        </w:rPr>
        <w:t xml:space="preserve">a careful evaluation of benefit to </w:t>
      </w:r>
      <w:r w:rsidR="009C71E8" w:rsidRPr="009C71E8">
        <w:rPr>
          <w:lang w:val="en-GB"/>
        </w:rPr>
        <w:t>risk</w:t>
      </w:r>
      <w:r>
        <w:rPr>
          <w:lang w:val="en-GB"/>
        </w:rPr>
        <w:t xml:space="preserve"> ratio</w:t>
      </w:r>
      <w:r w:rsidR="009C71E8" w:rsidRPr="009C71E8">
        <w:rPr>
          <w:lang w:val="en-GB"/>
        </w:rPr>
        <w:t xml:space="preserve">, should be available to patients for whom effective treatment options are few. For these patients, </w:t>
      </w:r>
      <w:r>
        <w:rPr>
          <w:lang w:val="en-GB"/>
        </w:rPr>
        <w:t>the sponsor</w:t>
      </w:r>
      <w:r w:rsidR="009C71E8" w:rsidRPr="009C71E8">
        <w:rPr>
          <w:lang w:val="en-GB"/>
        </w:rPr>
        <w:t xml:space="preserve"> recommend</w:t>
      </w:r>
      <w:r>
        <w:rPr>
          <w:lang w:val="en-GB"/>
        </w:rPr>
        <w:t>s</w:t>
      </w:r>
      <w:r w:rsidR="009C71E8" w:rsidRPr="009C71E8">
        <w:rPr>
          <w:lang w:val="en-GB"/>
        </w:rPr>
        <w:t xml:space="preserve"> retaining the dosage and administration guidelines currently stated within the Adcetris PI. Of note, these recommendations are consistent with those approved in the EU as presented in the </w:t>
      </w:r>
      <w:r>
        <w:rPr>
          <w:lang w:val="en-GB"/>
        </w:rPr>
        <w:t>SmPC</w:t>
      </w:r>
      <w:r w:rsidR="00D360E9">
        <w:rPr>
          <w:lang w:val="en-GB"/>
        </w:rPr>
        <w:t>. D</w:t>
      </w:r>
      <w:r w:rsidR="009C71E8" w:rsidRPr="009C71E8">
        <w:rPr>
          <w:lang w:val="en-GB"/>
        </w:rPr>
        <w:t xml:space="preserve">ata summaries </w:t>
      </w:r>
      <w:r w:rsidR="00D360E9">
        <w:rPr>
          <w:lang w:val="en-GB"/>
        </w:rPr>
        <w:t xml:space="preserve">[from previous Adcetris submissions to the TGA] </w:t>
      </w:r>
      <w:r w:rsidR="009C71E8" w:rsidRPr="009C71E8">
        <w:rPr>
          <w:lang w:val="en-GB"/>
        </w:rPr>
        <w:t>underlie the current recommendations for patients with relapsed o</w:t>
      </w:r>
      <w:r w:rsidR="00D360E9">
        <w:rPr>
          <w:lang w:val="en-GB"/>
        </w:rPr>
        <w:t>r refractory (active) lymphoma.</w:t>
      </w:r>
    </w:p>
    <w:p w14:paraId="770E316E" w14:textId="36E2B56B" w:rsidR="0022460D" w:rsidRPr="0022460D" w:rsidRDefault="0022460D" w:rsidP="0022460D">
      <w:pPr>
        <w:rPr>
          <w:lang w:val="en-GB"/>
        </w:rPr>
      </w:pPr>
      <w:r w:rsidRPr="00A0799F">
        <w:rPr>
          <w:i/>
          <w:lang w:val="en-GB"/>
        </w:rPr>
        <w:t>Renal Impairment</w:t>
      </w:r>
      <w:r>
        <w:rPr>
          <w:lang w:val="en-GB"/>
        </w:rPr>
        <w:t xml:space="preserve">: </w:t>
      </w:r>
      <w:r w:rsidR="009C71E8" w:rsidRPr="009C71E8">
        <w:rPr>
          <w:lang w:val="en-GB"/>
        </w:rPr>
        <w:t xml:space="preserve">In </w:t>
      </w:r>
      <w:r w:rsidR="00123DBF">
        <w:rPr>
          <w:lang w:val="en-GB"/>
        </w:rPr>
        <w:t>S</w:t>
      </w:r>
      <w:r w:rsidR="009C71E8" w:rsidRPr="009C71E8">
        <w:rPr>
          <w:lang w:val="en-GB"/>
        </w:rPr>
        <w:t>tudy SGN35-008 Part B, brentuximab vedotin was given at a starting dose of 1.2 mg/kg. Severe renal impairment (n = 3) was associated with increased MMAE exposures. Mild or moderate renal impairment (n = 6) did not meaningfully change the pharmacokinetics of MMAE. Further, patients with mild (CrCL</w:t>
      </w:r>
      <w:r w:rsidR="00A0799F">
        <w:rPr>
          <w:lang w:val="en-GB"/>
        </w:rPr>
        <w:t xml:space="preserve"> </w:t>
      </w:r>
      <w:r w:rsidR="009C71E8" w:rsidRPr="009C71E8">
        <w:rPr>
          <w:lang w:val="en-GB"/>
        </w:rPr>
        <w:t>&gt;</w:t>
      </w:r>
      <w:r w:rsidR="00A0799F">
        <w:rPr>
          <w:lang w:val="en-GB"/>
        </w:rPr>
        <w:t xml:space="preserve"> </w:t>
      </w:r>
      <w:r w:rsidR="009C71E8" w:rsidRPr="009C71E8">
        <w:rPr>
          <w:lang w:val="en-GB"/>
        </w:rPr>
        <w:t>50 to 80 mL/min) and moderate (CrCL 30 to 50 mL/min) renal impa</w:t>
      </w:r>
      <w:r w:rsidR="00A0799F">
        <w:rPr>
          <w:lang w:val="en-GB"/>
        </w:rPr>
        <w:t xml:space="preserve">irment were permitted to enrol </w:t>
      </w:r>
      <w:r w:rsidR="009C71E8" w:rsidRPr="009C71E8">
        <w:rPr>
          <w:lang w:val="en-GB"/>
        </w:rPr>
        <w:t xml:space="preserve">in pivotal </w:t>
      </w:r>
      <w:r w:rsidR="00A0799F">
        <w:rPr>
          <w:lang w:val="en-GB"/>
        </w:rPr>
        <w:t>S</w:t>
      </w:r>
      <w:r w:rsidR="009C71E8" w:rsidRPr="009C71E8">
        <w:rPr>
          <w:lang w:val="en-GB"/>
        </w:rPr>
        <w:t xml:space="preserve">tudies SG035-0003 and SG035-0004, received a starting dose of 1.8 mg/kg brentuximab vedotin, and did not experience an appreciably altered safety profile compared with patients with normal kidney function. It is thus recommended that only patients with severe renal impairment receive a reduced starting dose of 1.2 mg/kg </w:t>
      </w:r>
      <w:r w:rsidRPr="0022460D">
        <w:rPr>
          <w:lang w:val="en-GB"/>
        </w:rPr>
        <w:t>brentuximab ve</w:t>
      </w:r>
      <w:r w:rsidR="00A0799F">
        <w:rPr>
          <w:lang w:val="en-GB"/>
        </w:rPr>
        <w:t>dotin.</w:t>
      </w:r>
    </w:p>
    <w:p w14:paraId="768B5167" w14:textId="0F0E7A67" w:rsidR="0022460D" w:rsidRPr="0022460D" w:rsidRDefault="0022460D" w:rsidP="0022460D">
      <w:pPr>
        <w:rPr>
          <w:lang w:val="en-GB"/>
        </w:rPr>
      </w:pPr>
      <w:r w:rsidRPr="0022460D">
        <w:rPr>
          <w:i/>
          <w:lang w:val="en-GB"/>
        </w:rPr>
        <w:t>Hepatic Impairment</w:t>
      </w:r>
      <w:r>
        <w:rPr>
          <w:lang w:val="en-GB"/>
        </w:rPr>
        <w:t xml:space="preserve">: </w:t>
      </w:r>
      <w:r w:rsidRPr="0022460D">
        <w:rPr>
          <w:lang w:val="en-GB"/>
        </w:rPr>
        <w:t>At a reduced dose of 1.2 mg/kg brentuximab vedotin, MMAE exposure data in patients with hepatic impairment suggest the possibility of a somewhat increased risk of adverse events whereas corresponding ADC exposures suggest a potential f</w:t>
      </w:r>
      <w:r w:rsidR="00A0799F">
        <w:rPr>
          <w:lang w:val="en-GB"/>
        </w:rPr>
        <w:t xml:space="preserve">or slight decreases in efficacy, </w:t>
      </w:r>
      <w:r w:rsidRPr="0022460D">
        <w:rPr>
          <w:lang w:val="en-GB"/>
        </w:rPr>
        <w:t xml:space="preserve">However, the relapsed and refractory patient population has no alternative treatment option that has shown efficacy remotely as high as was demonstrated by brentuximab vedotin. Brentuximab vedotin at 1.2 mg/kg thus appears to be a treatment option that remains clinically useful for patients with active lymphoma </w:t>
      </w:r>
      <w:r w:rsidR="00A0799F">
        <w:rPr>
          <w:lang w:val="en-GB"/>
        </w:rPr>
        <w:t>and no other treatment options.</w:t>
      </w:r>
    </w:p>
    <w:p w14:paraId="59BED3C7" w14:textId="02502E97" w:rsidR="0022460D" w:rsidRPr="0022460D" w:rsidRDefault="00A0799F" w:rsidP="0022460D">
      <w:pPr>
        <w:rPr>
          <w:lang w:val="en-GB"/>
        </w:rPr>
      </w:pPr>
      <w:r>
        <w:rPr>
          <w:lang w:val="en-GB"/>
        </w:rPr>
        <w:t>The sponsor</w:t>
      </w:r>
      <w:r w:rsidR="0022460D" w:rsidRPr="0022460D">
        <w:rPr>
          <w:lang w:val="en-GB"/>
        </w:rPr>
        <w:t xml:space="preserve"> agree</w:t>
      </w:r>
      <w:r>
        <w:rPr>
          <w:lang w:val="en-GB"/>
        </w:rPr>
        <w:t>s</w:t>
      </w:r>
      <w:r w:rsidR="0022460D" w:rsidRPr="0022460D">
        <w:rPr>
          <w:lang w:val="en-GB"/>
        </w:rPr>
        <w:t xml:space="preserve"> to restrict use in patients with severe renal impairment and in patients with moderate or severe hepatic impairme</w:t>
      </w:r>
      <w:r>
        <w:rPr>
          <w:lang w:val="en-GB"/>
        </w:rPr>
        <w:t>nt to patients with ‘</w:t>
      </w:r>
      <w:r w:rsidR="0022460D" w:rsidRPr="0022460D">
        <w:rPr>
          <w:lang w:val="en-GB"/>
        </w:rPr>
        <w:t xml:space="preserve">active disease </w:t>
      </w:r>
      <w:r>
        <w:rPr>
          <w:lang w:val="en-GB"/>
        </w:rPr>
        <w:t>and no other treatment options.’</w:t>
      </w:r>
      <w:r w:rsidR="0022460D" w:rsidRPr="0022460D">
        <w:rPr>
          <w:lang w:val="en-GB"/>
        </w:rPr>
        <w:t xml:space="preserve"> </w:t>
      </w:r>
      <w:r>
        <w:rPr>
          <w:lang w:val="en-GB"/>
        </w:rPr>
        <w:t>The sponsor has</w:t>
      </w:r>
      <w:r w:rsidR="0022460D" w:rsidRPr="0022460D">
        <w:rPr>
          <w:lang w:val="en-GB"/>
        </w:rPr>
        <w:t xml:space="preserve"> revised the text included in both the ‘Precautions’ and ‘Dosage </w:t>
      </w:r>
      <w:r w:rsidR="00E61B50">
        <w:rPr>
          <w:lang w:val="en-GB"/>
        </w:rPr>
        <w:t>and</w:t>
      </w:r>
      <w:r w:rsidR="0022460D" w:rsidRPr="0022460D">
        <w:rPr>
          <w:lang w:val="en-GB"/>
        </w:rPr>
        <w:t xml:space="preserve"> Administration’ sections of the Adcetris PI to more explicitly inform the treating physician that the data are limited, monitoring and oversight are required, and that use in patients with severe renal impairment and use in patients with </w:t>
      </w:r>
      <w:r w:rsidR="0022460D" w:rsidRPr="0022460D">
        <w:rPr>
          <w:lang w:val="en-GB"/>
        </w:rPr>
        <w:lastRenderedPageBreak/>
        <w:t xml:space="preserve">moderate or severe hepatic impairment </w:t>
      </w:r>
      <w:r w:rsidR="00E61B50">
        <w:rPr>
          <w:lang w:val="en-GB"/>
        </w:rPr>
        <w:t>is restricted to patients with ‘</w:t>
      </w:r>
      <w:r w:rsidR="0022460D" w:rsidRPr="0022460D">
        <w:rPr>
          <w:lang w:val="en-GB"/>
        </w:rPr>
        <w:t>active disease and no other treatment options</w:t>
      </w:r>
      <w:r>
        <w:rPr>
          <w:lang w:val="en-GB"/>
        </w:rPr>
        <w:t>’.</w:t>
      </w:r>
    </w:p>
    <w:p w14:paraId="08CF60C6" w14:textId="442D1DFB" w:rsidR="0022460D" w:rsidRPr="0022460D" w:rsidRDefault="0022460D" w:rsidP="0022460D">
      <w:pPr>
        <w:pStyle w:val="Heading5"/>
        <w:rPr>
          <w:rFonts w:eastAsiaTheme="minorHAnsi"/>
          <w:lang w:val="en-GB"/>
        </w:rPr>
      </w:pPr>
      <w:r w:rsidRPr="0022460D">
        <w:rPr>
          <w:rFonts w:eastAsiaTheme="minorHAnsi"/>
          <w:lang w:val="en-GB"/>
        </w:rPr>
        <w:t>Patient</w:t>
      </w:r>
      <w:r>
        <w:rPr>
          <w:lang w:val="en-GB"/>
        </w:rPr>
        <w:t xml:space="preserve"> s</w:t>
      </w:r>
      <w:r w:rsidRPr="0022460D">
        <w:rPr>
          <w:rFonts w:eastAsiaTheme="minorHAnsi"/>
          <w:lang w:val="en-GB"/>
        </w:rPr>
        <w:t>afety</w:t>
      </w:r>
      <w:r>
        <w:rPr>
          <w:lang w:val="en-GB"/>
        </w:rPr>
        <w:t xml:space="preserve"> c</w:t>
      </w:r>
      <w:r>
        <w:rPr>
          <w:rFonts w:eastAsiaTheme="minorHAnsi"/>
          <w:lang w:val="en-GB"/>
        </w:rPr>
        <w:t>ard</w:t>
      </w:r>
    </w:p>
    <w:p w14:paraId="16C0397D" w14:textId="798639EC" w:rsidR="0022460D" w:rsidRPr="0022460D" w:rsidRDefault="00A0799F" w:rsidP="0022460D">
      <w:pPr>
        <w:rPr>
          <w:lang w:val="en-GB"/>
        </w:rPr>
      </w:pPr>
      <w:r>
        <w:rPr>
          <w:lang w:val="en-GB"/>
        </w:rPr>
        <w:t xml:space="preserve">The sponsor </w:t>
      </w:r>
      <w:r w:rsidR="0022460D" w:rsidRPr="0022460D">
        <w:rPr>
          <w:lang w:val="en-GB"/>
        </w:rPr>
        <w:t>note</w:t>
      </w:r>
      <w:r>
        <w:rPr>
          <w:lang w:val="en-GB"/>
        </w:rPr>
        <w:t>s</w:t>
      </w:r>
      <w:r w:rsidR="0022460D" w:rsidRPr="0022460D">
        <w:rPr>
          <w:lang w:val="en-GB"/>
        </w:rPr>
        <w:t xml:space="preserve"> the Delegate’s comments regarding the prov</w:t>
      </w:r>
      <w:r>
        <w:rPr>
          <w:lang w:val="en-GB"/>
        </w:rPr>
        <w:t>ision of a patient safety card</w:t>
      </w:r>
      <w:r w:rsidR="0022460D" w:rsidRPr="0022460D">
        <w:rPr>
          <w:lang w:val="en-GB"/>
        </w:rPr>
        <w:t xml:space="preserve">. Whilst </w:t>
      </w:r>
      <w:r w:rsidR="00A525B1">
        <w:rPr>
          <w:lang w:val="en-GB"/>
        </w:rPr>
        <w:t>the sponsor</w:t>
      </w:r>
      <w:r w:rsidR="0022460D" w:rsidRPr="0022460D">
        <w:rPr>
          <w:lang w:val="en-GB"/>
        </w:rPr>
        <w:t xml:space="preserve"> acknowledge</w:t>
      </w:r>
      <w:r w:rsidR="00A525B1">
        <w:rPr>
          <w:lang w:val="en-GB"/>
        </w:rPr>
        <w:t>s</w:t>
      </w:r>
      <w:r w:rsidR="0022460D" w:rsidRPr="0022460D">
        <w:rPr>
          <w:lang w:val="en-GB"/>
        </w:rPr>
        <w:t xml:space="preserve"> that there may be differences in the characteristics of the current relapsed and/or refractory HL patient population and those </w:t>
      </w:r>
      <w:r w:rsidR="0032354E">
        <w:rPr>
          <w:lang w:val="en-GB"/>
        </w:rPr>
        <w:t xml:space="preserve">patients </w:t>
      </w:r>
      <w:r w:rsidR="0022460D" w:rsidRPr="0022460D">
        <w:rPr>
          <w:lang w:val="en-GB"/>
        </w:rPr>
        <w:t xml:space="preserve">post-ASCT at increased risk of relapse </w:t>
      </w:r>
      <w:r w:rsidR="00E61B50">
        <w:rPr>
          <w:lang w:val="en-GB"/>
        </w:rPr>
        <w:t>the sponsor</w:t>
      </w:r>
      <w:r w:rsidR="0022460D" w:rsidRPr="0022460D">
        <w:rPr>
          <w:lang w:val="en-GB"/>
        </w:rPr>
        <w:t xml:space="preserve"> do</w:t>
      </w:r>
      <w:r w:rsidR="00E61B50">
        <w:rPr>
          <w:lang w:val="en-GB"/>
        </w:rPr>
        <w:t>es</w:t>
      </w:r>
      <w:r w:rsidR="0022460D" w:rsidRPr="0022460D">
        <w:rPr>
          <w:lang w:val="en-GB"/>
        </w:rPr>
        <w:t xml:space="preserve"> not believe these to be of sufficient magnitude to warrant a patient safety card for the HL consolidation patients. Regardless of whether a patient has relapsed and/or refractory HL or is at inc</w:t>
      </w:r>
      <w:r w:rsidR="00A525B1">
        <w:rPr>
          <w:lang w:val="en-GB"/>
        </w:rPr>
        <w:t xml:space="preserve">reased risk of HL relapse post-ASCT, </w:t>
      </w:r>
      <w:r w:rsidR="0022460D" w:rsidRPr="0022460D">
        <w:rPr>
          <w:lang w:val="en-GB"/>
        </w:rPr>
        <w:t xml:space="preserve">both patient groups are likely to be under the principal supervision of a specialist haematologist overseeing their care. </w:t>
      </w:r>
      <w:r w:rsidR="00A525B1">
        <w:rPr>
          <w:lang w:val="en-GB"/>
        </w:rPr>
        <w:t>The sponsor</w:t>
      </w:r>
      <w:r w:rsidR="0022460D" w:rsidRPr="0022460D">
        <w:rPr>
          <w:lang w:val="en-GB"/>
        </w:rPr>
        <w:t xml:space="preserve"> believe</w:t>
      </w:r>
      <w:r w:rsidR="00A525B1">
        <w:rPr>
          <w:lang w:val="en-GB"/>
        </w:rPr>
        <w:t>s</w:t>
      </w:r>
      <w:r w:rsidR="0022460D" w:rsidRPr="0022460D">
        <w:rPr>
          <w:lang w:val="en-GB"/>
        </w:rPr>
        <w:t xml:space="preserve"> that it is therefore unlikely that the post-ASCT at increased risk of HL relapse patients are likely to present at non-specialist centres as proposed by the Delegate. Furthermore, Adcetris is an IV administered product which must infused under the supervision of specialist healthcare professionals who are well </w:t>
      </w:r>
      <w:r w:rsidR="00A525B1">
        <w:rPr>
          <w:lang w:val="en-GB"/>
        </w:rPr>
        <w:t>versed in it</w:t>
      </w:r>
      <w:r w:rsidR="0022460D" w:rsidRPr="0022460D">
        <w:rPr>
          <w:lang w:val="en-GB"/>
        </w:rPr>
        <w:t>s benefit risk profile. Patients are typically treated as out-patients and must present every 3 weeks for treatment to infusion centres/hospitals for treatmen</w:t>
      </w:r>
      <w:r w:rsidR="00A525B1">
        <w:rPr>
          <w:lang w:val="en-GB"/>
        </w:rPr>
        <w:t xml:space="preserve">t. Unlike other jurisdictions, </w:t>
      </w:r>
      <w:r w:rsidR="0022460D" w:rsidRPr="0022460D">
        <w:rPr>
          <w:lang w:val="en-GB"/>
        </w:rPr>
        <w:t>in Australia there is also a maximum limit of 16 cycles for Adcetris treatment, therefore the treatment duration is limited and well-defined. Collectively, the manner of prescribing, nature of administration, duration of disease and/or limitations on use help to ensure that post-ASCT patients at risk of HL relapse are not subjected to any additional risk than the current</w:t>
      </w:r>
      <w:r w:rsidR="00A525B1">
        <w:rPr>
          <w:lang w:val="en-GB"/>
        </w:rPr>
        <w:t>ly approved patient population.</w:t>
      </w:r>
    </w:p>
    <w:p w14:paraId="676A34AB" w14:textId="4CC0160F" w:rsidR="0022460D" w:rsidRPr="0022460D" w:rsidRDefault="0022460D" w:rsidP="0022460D">
      <w:pPr>
        <w:rPr>
          <w:lang w:val="en-GB"/>
        </w:rPr>
      </w:pPr>
      <w:r w:rsidRPr="0022460D">
        <w:rPr>
          <w:lang w:val="en-GB"/>
        </w:rPr>
        <w:t xml:space="preserve">Although </w:t>
      </w:r>
      <w:r w:rsidR="00A525B1">
        <w:rPr>
          <w:lang w:val="en-GB"/>
        </w:rPr>
        <w:t>the sponsor</w:t>
      </w:r>
      <w:r w:rsidRPr="0022460D">
        <w:rPr>
          <w:lang w:val="en-GB"/>
        </w:rPr>
        <w:t xml:space="preserve"> do</w:t>
      </w:r>
      <w:r w:rsidR="00A525B1">
        <w:rPr>
          <w:lang w:val="en-GB"/>
        </w:rPr>
        <w:t>es</w:t>
      </w:r>
      <w:r w:rsidRPr="0022460D">
        <w:rPr>
          <w:lang w:val="en-GB"/>
        </w:rPr>
        <w:t xml:space="preserve"> not believe a patient safety card is warranted, </w:t>
      </w:r>
      <w:r w:rsidR="00E61B50">
        <w:rPr>
          <w:lang w:val="en-GB"/>
        </w:rPr>
        <w:t>the sponsor does</w:t>
      </w:r>
      <w:r w:rsidRPr="0022460D">
        <w:rPr>
          <w:lang w:val="en-GB"/>
        </w:rPr>
        <w:t xml:space="preserve"> appreciate that there could be benefit to further enhancing the information contained within the PI and CMI with respect to highlighting the importance of physicians counselling patients and the need for vigilance. To this end </w:t>
      </w:r>
      <w:r w:rsidR="00E61B50">
        <w:rPr>
          <w:lang w:val="en-GB"/>
        </w:rPr>
        <w:t>the sponsor</w:t>
      </w:r>
      <w:r w:rsidRPr="0022460D">
        <w:rPr>
          <w:lang w:val="en-GB"/>
        </w:rPr>
        <w:t xml:space="preserve"> would be willing to supplement these documents through the addition of a ‘Patient Counselling’ section in the PI and more patient directed language in the CMI if the Delegate an</w:t>
      </w:r>
      <w:r w:rsidR="00A525B1">
        <w:rPr>
          <w:lang w:val="en-GB"/>
        </w:rPr>
        <w:t>d ACPM deemed this appropriate.</w:t>
      </w:r>
    </w:p>
    <w:p w14:paraId="17B7C103" w14:textId="77777777" w:rsidR="009701A0" w:rsidRDefault="0022460D" w:rsidP="0022460D">
      <w:pPr>
        <w:pStyle w:val="Heading5"/>
        <w:rPr>
          <w:rFonts w:eastAsiaTheme="minorHAnsi"/>
          <w:lang w:val="en-GB"/>
        </w:rPr>
      </w:pPr>
      <w:r w:rsidRPr="0022460D">
        <w:rPr>
          <w:rFonts w:eastAsiaTheme="minorHAnsi"/>
          <w:lang w:val="en-GB"/>
        </w:rPr>
        <w:t>Indication</w:t>
      </w:r>
    </w:p>
    <w:p w14:paraId="17A2F89E" w14:textId="5AB61E5D" w:rsidR="0022460D" w:rsidRPr="0022460D" w:rsidRDefault="0022460D" w:rsidP="0022460D">
      <w:pPr>
        <w:rPr>
          <w:lang w:val="en-GB"/>
        </w:rPr>
      </w:pPr>
      <w:r w:rsidRPr="0022460D">
        <w:rPr>
          <w:lang w:val="en-GB"/>
        </w:rPr>
        <w:t>T</w:t>
      </w:r>
      <w:r w:rsidR="00A525B1">
        <w:rPr>
          <w:lang w:val="en-GB"/>
        </w:rPr>
        <w:t>he sponsor</w:t>
      </w:r>
      <w:r w:rsidRPr="0022460D">
        <w:rPr>
          <w:lang w:val="en-GB"/>
        </w:rPr>
        <w:t xml:space="preserve"> accept</w:t>
      </w:r>
      <w:r w:rsidR="00A525B1">
        <w:rPr>
          <w:lang w:val="en-GB"/>
        </w:rPr>
        <w:t>s</w:t>
      </w:r>
      <w:r w:rsidRPr="0022460D">
        <w:rPr>
          <w:lang w:val="en-GB"/>
        </w:rPr>
        <w:t xml:space="preserve"> the Delegate’s proposed indication, although propose that the qualifier regarding PFS is more appropriate for inclusion in the </w:t>
      </w:r>
      <w:r w:rsidR="00123DBF">
        <w:rPr>
          <w:lang w:val="en-GB"/>
        </w:rPr>
        <w:t>‘</w:t>
      </w:r>
      <w:r w:rsidRPr="0022460D">
        <w:rPr>
          <w:lang w:val="en-GB"/>
        </w:rPr>
        <w:t>Clinical Trial</w:t>
      </w:r>
      <w:r w:rsidR="00A525B1">
        <w:rPr>
          <w:lang w:val="en-GB"/>
        </w:rPr>
        <w:t>s</w:t>
      </w:r>
      <w:r w:rsidR="00123DBF">
        <w:rPr>
          <w:lang w:val="en-GB"/>
        </w:rPr>
        <w:t>’</w:t>
      </w:r>
      <w:r w:rsidR="00A525B1">
        <w:rPr>
          <w:lang w:val="en-GB"/>
        </w:rPr>
        <w:t xml:space="preserve"> section of the PI</w:t>
      </w:r>
      <w:r>
        <w:rPr>
          <w:lang w:val="en-GB"/>
        </w:rPr>
        <w:t>.</w:t>
      </w:r>
      <w:r>
        <w:rPr>
          <w:rStyle w:val="FootnoteReference"/>
          <w:lang w:val="en-GB"/>
        </w:rPr>
        <w:footnoteReference w:id="26"/>
      </w:r>
    </w:p>
    <w:p w14:paraId="549B710E" w14:textId="6C2D00C9" w:rsidR="008E7846" w:rsidRDefault="005D59BC" w:rsidP="008E7846">
      <w:pPr>
        <w:pStyle w:val="Heading4"/>
      </w:pPr>
      <w:r>
        <w:t>Advisory Committee c</w:t>
      </w:r>
      <w:r w:rsidR="008E7846">
        <w:t>onsiderations</w:t>
      </w:r>
    </w:p>
    <w:p w14:paraId="15C24480" w14:textId="517C0DEC" w:rsidR="00DD5663" w:rsidRPr="005D59BC" w:rsidRDefault="00DD5663" w:rsidP="00DD5663">
      <w:pPr>
        <w:rPr>
          <w:bCs/>
          <w:lang w:val="en-GB"/>
        </w:rPr>
      </w:pPr>
      <w:r w:rsidRPr="00DD5663">
        <w:rPr>
          <w:bCs/>
          <w:lang w:val="en-GB"/>
        </w:rPr>
        <w:t xml:space="preserve">The </w:t>
      </w:r>
      <w:r w:rsidR="005D59BC">
        <w:rPr>
          <w:bCs/>
          <w:lang w:val="en-GB"/>
        </w:rPr>
        <w:t>Advisory Committee on Prescription Medicines (ACPM)</w:t>
      </w:r>
      <w:r w:rsidRPr="00DD5663">
        <w:rPr>
          <w:bCs/>
          <w:lang w:val="en-GB"/>
        </w:rPr>
        <w:t xml:space="preserve"> taking into account the submitted evidence of efficacy, safety and quality, agreed with the Delegate and considered A</w:t>
      </w:r>
      <w:r w:rsidR="005D59BC">
        <w:rPr>
          <w:bCs/>
          <w:lang w:val="en-GB"/>
        </w:rPr>
        <w:t>dcetris</w:t>
      </w:r>
      <w:r w:rsidRPr="00DD5663">
        <w:rPr>
          <w:bCs/>
          <w:lang w:val="en-GB"/>
        </w:rPr>
        <w:t xml:space="preserve"> vial for reconstitution and injection containing 50mg of brentuximab vedotin</w:t>
      </w:r>
      <w:r w:rsidRPr="00DD5663">
        <w:rPr>
          <w:b/>
          <w:bCs/>
          <w:lang w:val="en-GB"/>
        </w:rPr>
        <w:t xml:space="preserve"> </w:t>
      </w:r>
      <w:r w:rsidRPr="00DD5663">
        <w:rPr>
          <w:bCs/>
          <w:lang w:val="en-GB"/>
        </w:rPr>
        <w:t>to have an overall positive benefit–risk profile for the Delegate’s amended indication</w:t>
      </w:r>
      <w:r w:rsidR="005D59BC">
        <w:rPr>
          <w:bCs/>
          <w:lang w:val="en-GB"/>
        </w:rPr>
        <w:t>:</w:t>
      </w:r>
    </w:p>
    <w:p w14:paraId="58CAAEB3" w14:textId="2FE2414F" w:rsidR="00DD5663" w:rsidRPr="005D59BC" w:rsidRDefault="005D59BC" w:rsidP="005D59BC">
      <w:pPr>
        <w:ind w:left="720"/>
        <w:rPr>
          <w:bCs/>
          <w:lang w:val="en-GB"/>
        </w:rPr>
      </w:pPr>
      <w:r>
        <w:rPr>
          <w:bCs/>
          <w:i/>
          <w:lang w:val="en-GB"/>
        </w:rPr>
        <w:t>‘</w:t>
      </w:r>
      <w:r w:rsidRPr="005D59BC">
        <w:rPr>
          <w:bCs/>
          <w:i/>
          <w:lang w:val="en-GB"/>
        </w:rPr>
        <w:t>Adcetris</w:t>
      </w:r>
      <w:r w:rsidR="00DD5663" w:rsidRPr="005D59BC">
        <w:rPr>
          <w:bCs/>
          <w:i/>
          <w:lang w:val="en-GB"/>
        </w:rPr>
        <w:t xml:space="preserve"> is indicated in the treatment of patients with CD30+ Hodgkin lymphoma at high risk of relapse or progression following ASCT.</w:t>
      </w:r>
      <w:r>
        <w:rPr>
          <w:bCs/>
          <w:i/>
          <w:lang w:val="en-GB"/>
        </w:rPr>
        <w:t>’</w:t>
      </w:r>
    </w:p>
    <w:p w14:paraId="729CFED0" w14:textId="15F04B38" w:rsidR="00DD5663" w:rsidRPr="00DD5663" w:rsidRDefault="00DD5663" w:rsidP="00DD5663">
      <w:pPr>
        <w:rPr>
          <w:bCs/>
          <w:lang w:val="en-GB"/>
        </w:rPr>
      </w:pPr>
      <w:r w:rsidRPr="00DD5663">
        <w:rPr>
          <w:bCs/>
          <w:lang w:val="en-GB"/>
        </w:rPr>
        <w:lastRenderedPageBreak/>
        <w:t>In making this recommendation the ACPM</w:t>
      </w:r>
      <w:r w:rsidR="005D59BC">
        <w:rPr>
          <w:bCs/>
          <w:lang w:val="en-GB"/>
        </w:rPr>
        <w:t>:</w:t>
      </w:r>
    </w:p>
    <w:p w14:paraId="0BE86016" w14:textId="77777777" w:rsidR="00DD5663" w:rsidRPr="00DD5663" w:rsidRDefault="00DD5663" w:rsidP="005D59BC">
      <w:pPr>
        <w:pStyle w:val="ListBullet"/>
        <w:rPr>
          <w:lang w:val="en-GB"/>
        </w:rPr>
      </w:pPr>
      <w:r w:rsidRPr="00DD5663">
        <w:rPr>
          <w:lang w:val="en-GB"/>
        </w:rPr>
        <w:t>noted that this current submission moves treatment from those with established relapse (as per the currently approved indication), to those at risk of relapse following stem cell transplant.</w:t>
      </w:r>
    </w:p>
    <w:p w14:paraId="6CBADC78" w14:textId="77777777" w:rsidR="00DD5663" w:rsidRPr="00DD5663" w:rsidRDefault="00DD5663" w:rsidP="005D59BC">
      <w:pPr>
        <w:pStyle w:val="ListBullet"/>
        <w:rPr>
          <w:lang w:val="en-GB"/>
        </w:rPr>
      </w:pPr>
      <w:r w:rsidRPr="00DD5663">
        <w:rPr>
          <w:lang w:val="en-GB"/>
        </w:rPr>
        <w:t>noted that the nature of the disease makes determination of the patient population at 'increased risk' difficult to ascertain.</w:t>
      </w:r>
    </w:p>
    <w:p w14:paraId="57A8D570" w14:textId="77777777" w:rsidR="00DD5663" w:rsidRPr="00DD5663" w:rsidRDefault="00DD5663" w:rsidP="005D59BC">
      <w:pPr>
        <w:pStyle w:val="ListBullet"/>
        <w:rPr>
          <w:lang w:val="en-GB"/>
        </w:rPr>
      </w:pPr>
      <w:r w:rsidRPr="00DD5663">
        <w:rPr>
          <w:lang w:val="en-GB"/>
        </w:rPr>
        <w:t>noted that brentuximab demonstrated efficacy by an increase in median duration of progression-free survival as compared to placebo. Treatment with brentuximab showed no effect on overall survival.</w:t>
      </w:r>
    </w:p>
    <w:p w14:paraId="03110E9F" w14:textId="77777777" w:rsidR="00DD5663" w:rsidRDefault="00DD5663" w:rsidP="005D59BC">
      <w:pPr>
        <w:pStyle w:val="ListBullet"/>
        <w:rPr>
          <w:lang w:val="en-GB"/>
        </w:rPr>
      </w:pPr>
      <w:r w:rsidRPr="00DD5663">
        <w:rPr>
          <w:lang w:val="en-GB"/>
        </w:rPr>
        <w:t>noted that patients should be closely monitored for the serious hepatotoxicity during therapy, especially in patients with pre-existing hepatic impairment.</w:t>
      </w:r>
    </w:p>
    <w:p w14:paraId="65E79810" w14:textId="77777777" w:rsidR="00E77C45" w:rsidRPr="00D724FC" w:rsidRDefault="00E77C45" w:rsidP="00E77C45">
      <w:pPr>
        <w:spacing w:after="0"/>
        <w:rPr>
          <w:b/>
          <w:bCs/>
          <w:i/>
        </w:rPr>
      </w:pPr>
      <w:r w:rsidRPr="00D724FC">
        <w:rPr>
          <w:b/>
          <w:bCs/>
          <w:i/>
        </w:rPr>
        <w:t>Proposed conditions of registration</w:t>
      </w:r>
    </w:p>
    <w:p w14:paraId="00C18AD6" w14:textId="77777777" w:rsidR="00E77C45" w:rsidRPr="002848CC" w:rsidRDefault="00E77C45" w:rsidP="00E77C45">
      <w:pPr>
        <w:rPr>
          <w:bCs/>
        </w:rPr>
      </w:pPr>
      <w:r>
        <w:rPr>
          <w:bCs/>
        </w:rPr>
        <w:t>The ACPM agreed with the D</w:t>
      </w:r>
      <w:r w:rsidRPr="002848CC">
        <w:rPr>
          <w:bCs/>
        </w:rPr>
        <w:t>elegate on the propo</w:t>
      </w:r>
      <w:r>
        <w:rPr>
          <w:bCs/>
        </w:rPr>
        <w:t>sed conditions of registration.</w:t>
      </w:r>
    </w:p>
    <w:p w14:paraId="1BF7F23C" w14:textId="77777777" w:rsidR="00E77C45" w:rsidRPr="00D724FC" w:rsidRDefault="00E77C45" w:rsidP="00E77C45">
      <w:pPr>
        <w:spacing w:after="0"/>
        <w:rPr>
          <w:b/>
          <w:bCs/>
          <w:i/>
          <w:u w:val="single"/>
        </w:rPr>
      </w:pPr>
      <w:r w:rsidRPr="00D724FC">
        <w:rPr>
          <w:b/>
          <w:bCs/>
          <w:i/>
        </w:rPr>
        <w:t>Proposed Product Information (PI)/Consumer Medicine Information (CMI) amendments</w:t>
      </w:r>
    </w:p>
    <w:p w14:paraId="1214AE02" w14:textId="77777777" w:rsidR="00E77C45" w:rsidRPr="009E62BC" w:rsidRDefault="00E77C45" w:rsidP="00E77C45">
      <w:r w:rsidRPr="009E62BC">
        <w:t>The ACPM agreed with the Delegate to the proposed amendments to the Product Information (PI) and Consumer Medicine Information (CMI) and specifically advised on the inclusion of the following:</w:t>
      </w:r>
    </w:p>
    <w:p w14:paraId="3E644946" w14:textId="77777777" w:rsidR="00E77C45" w:rsidRDefault="00E77C45" w:rsidP="00E77C45">
      <w:pPr>
        <w:pStyle w:val="ListBullet"/>
      </w:pPr>
      <w:r>
        <w:t>a statement in the PI about the monthly liver function tests</w:t>
      </w:r>
    </w:p>
    <w:p w14:paraId="4774C648" w14:textId="005198A0" w:rsidR="00E77C45" w:rsidRPr="00DD5663" w:rsidRDefault="00E77C45" w:rsidP="00E77C45">
      <w:pPr>
        <w:pStyle w:val="ListBullet"/>
        <w:rPr>
          <w:lang w:val="en-GB"/>
        </w:rPr>
      </w:pPr>
      <w:r>
        <w:t>PI could specify high and low risk based on the pivotal study to make it clear for prescribers.</w:t>
      </w:r>
    </w:p>
    <w:p w14:paraId="07E8C6BD" w14:textId="6C5B6A50" w:rsidR="005D59BC" w:rsidRPr="005D59BC" w:rsidRDefault="005D59BC" w:rsidP="005D59BC">
      <w:pPr>
        <w:pStyle w:val="Heading5"/>
        <w:rPr>
          <w:lang w:val="en-GB"/>
        </w:rPr>
      </w:pPr>
      <w:r>
        <w:rPr>
          <w:lang w:val="en-GB"/>
        </w:rPr>
        <w:t>Specific a</w:t>
      </w:r>
      <w:r w:rsidRPr="005D59BC">
        <w:rPr>
          <w:lang w:val="en-GB"/>
        </w:rPr>
        <w:t>d</w:t>
      </w:r>
      <w:r w:rsidRPr="005D59BC">
        <w:rPr>
          <w:rFonts w:eastAsia="Cambria"/>
          <w:lang w:val="en-GB"/>
        </w:rPr>
        <w:t>v</w:t>
      </w:r>
      <w:r w:rsidRPr="005D59BC">
        <w:rPr>
          <w:lang w:val="en-GB"/>
        </w:rPr>
        <w:t>ice</w:t>
      </w:r>
    </w:p>
    <w:p w14:paraId="081CEB39" w14:textId="77777777" w:rsidR="005D59BC" w:rsidRPr="005D59BC" w:rsidRDefault="005D59BC" w:rsidP="005D59BC">
      <w:pPr>
        <w:rPr>
          <w:b/>
          <w:bCs/>
          <w:iCs/>
          <w:lang w:val="en-GB"/>
        </w:rPr>
      </w:pPr>
      <w:r w:rsidRPr="005D59BC">
        <w:rPr>
          <w:lang w:val="en-GB"/>
        </w:rPr>
        <w:t>The ACPM advised the following in response to the Delegate’s specific questions on this submission:</w:t>
      </w:r>
    </w:p>
    <w:p w14:paraId="5878A3C6" w14:textId="77777777" w:rsidR="005D59BC" w:rsidRPr="004642FB" w:rsidRDefault="005D59BC" w:rsidP="005D59BC">
      <w:pPr>
        <w:pStyle w:val="Numberbullet0"/>
        <w:numPr>
          <w:ilvl w:val="0"/>
          <w:numId w:val="43"/>
        </w:numPr>
        <w:rPr>
          <w:i/>
          <w:lang w:val="en-GB"/>
        </w:rPr>
      </w:pPr>
      <w:r w:rsidRPr="004642FB">
        <w:rPr>
          <w:i/>
          <w:lang w:val="en-GB"/>
        </w:rPr>
        <w:t>Given the limitation of the patient population, does the committee consider there sufficient data to specify a degree of risk of relapse of disease progression which can be specified in the indication?</w:t>
      </w:r>
    </w:p>
    <w:p w14:paraId="272FDA5E" w14:textId="77777777" w:rsidR="005D59BC" w:rsidRPr="005D59BC" w:rsidRDefault="005D59BC" w:rsidP="005D59BC">
      <w:pPr>
        <w:rPr>
          <w:lang w:val="en-GB"/>
        </w:rPr>
      </w:pPr>
      <w:r w:rsidRPr="005D59BC">
        <w:rPr>
          <w:lang w:val="en-GB"/>
        </w:rPr>
        <w:t>Those with 'high risk' factors should be considered suitable for treatment, whereas those with 'low risk' factors are not considered eligible.</w:t>
      </w:r>
    </w:p>
    <w:p w14:paraId="71D91027" w14:textId="77777777" w:rsidR="005D59BC" w:rsidRPr="004642FB" w:rsidRDefault="005D59BC" w:rsidP="005D59BC">
      <w:pPr>
        <w:pStyle w:val="Numberbullet0"/>
        <w:rPr>
          <w:i/>
          <w:lang w:val="en-GB"/>
        </w:rPr>
      </w:pPr>
      <w:r w:rsidRPr="004642FB">
        <w:rPr>
          <w:i/>
          <w:lang w:val="en-GB"/>
        </w:rPr>
        <w:t>Does the committee consider there to be a population of patients who should not receive consolidation brentuximab post-HSCT?</w:t>
      </w:r>
    </w:p>
    <w:p w14:paraId="2F4D975D" w14:textId="77777777" w:rsidR="005D59BC" w:rsidRPr="005D59BC" w:rsidRDefault="005D59BC" w:rsidP="005D59BC">
      <w:pPr>
        <w:rPr>
          <w:lang w:val="en-GB"/>
        </w:rPr>
      </w:pPr>
      <w:r w:rsidRPr="005D59BC">
        <w:rPr>
          <w:lang w:val="en-GB"/>
        </w:rPr>
        <w:t>The ACPM recommends that patients who do not have any high-risk features for progressive disease should not receive consolidation brentuximab treatment post-HSCT.</w:t>
      </w:r>
    </w:p>
    <w:p w14:paraId="4EB4938A" w14:textId="77777777" w:rsidR="005D59BC" w:rsidRPr="004642FB" w:rsidRDefault="005D59BC" w:rsidP="005D59BC">
      <w:pPr>
        <w:pStyle w:val="Numberbullet0"/>
        <w:rPr>
          <w:i/>
          <w:lang w:val="en-GB"/>
        </w:rPr>
      </w:pPr>
      <w:r w:rsidRPr="004642FB">
        <w:rPr>
          <w:i/>
          <w:lang w:val="en-GB"/>
        </w:rPr>
        <w:t>What is the opinion of the committee regarding the provision of a patient safety card to those patients ‘at risk’ of relapse or disease progression?</w:t>
      </w:r>
    </w:p>
    <w:p w14:paraId="1B6A4F53" w14:textId="62C5E06F" w:rsidR="00DD5663" w:rsidRDefault="005D59BC" w:rsidP="008E7846">
      <w:pPr>
        <w:rPr>
          <w:lang w:val="en-GB"/>
        </w:rPr>
      </w:pPr>
      <w:r w:rsidRPr="005D59BC">
        <w:rPr>
          <w:lang w:val="en-GB"/>
        </w:rPr>
        <w:t xml:space="preserve">The ACPM </w:t>
      </w:r>
      <w:r w:rsidR="0032354E" w:rsidRPr="005D59BC">
        <w:rPr>
          <w:lang w:val="en-GB"/>
        </w:rPr>
        <w:t>agreed that</w:t>
      </w:r>
      <w:r w:rsidRPr="005D59BC">
        <w:rPr>
          <w:lang w:val="en-GB"/>
        </w:rPr>
        <w:t xml:space="preserve"> a patient safety card is reasonable, especially for patients living in rural or remote are</w:t>
      </w:r>
      <w:r>
        <w:rPr>
          <w:lang w:val="en-GB"/>
        </w:rPr>
        <w:t>a</w:t>
      </w:r>
      <w:r w:rsidRPr="005D59BC">
        <w:rPr>
          <w:lang w:val="en-GB"/>
        </w:rPr>
        <w:t>s.</w:t>
      </w:r>
    </w:p>
    <w:p w14:paraId="461CADF0" w14:textId="6F6DE82B" w:rsidR="00E77C45" w:rsidRPr="005D59BC" w:rsidRDefault="00E77C45" w:rsidP="008E7846">
      <w:pPr>
        <w:rPr>
          <w:lang w:val="en-GB"/>
        </w:rPr>
      </w:pPr>
      <w:r w:rsidRPr="00E77C45">
        <w:rPr>
          <w:lang w:val="en-GB"/>
        </w:rPr>
        <w:t>The ACPM advised that implementation by the sponsor of the recommendations outlined above to the satisfaction of the TGA, in addition to the evidence of efficacy and safety provided would support the safe and effective use of this product.</w:t>
      </w:r>
    </w:p>
    <w:p w14:paraId="270018E7" w14:textId="77777777" w:rsidR="008E7846" w:rsidRPr="002E238E" w:rsidRDefault="008E7846" w:rsidP="008E7846">
      <w:pPr>
        <w:pStyle w:val="Heading3"/>
      </w:pPr>
      <w:bookmarkStart w:id="127" w:name="_Toc247691532"/>
      <w:bookmarkStart w:id="128" w:name="_Toc314842516"/>
      <w:bookmarkStart w:id="129" w:name="_Toc495400797"/>
      <w:bookmarkEnd w:id="69"/>
      <w:bookmarkEnd w:id="122"/>
      <w:bookmarkEnd w:id="123"/>
      <w:r>
        <w:t>Outcome</w:t>
      </w:r>
      <w:bookmarkEnd w:id="127"/>
      <w:bookmarkEnd w:id="128"/>
      <w:bookmarkEnd w:id="129"/>
    </w:p>
    <w:p w14:paraId="49C80D11" w14:textId="1B586F89" w:rsidR="00D23139" w:rsidRPr="00D23139" w:rsidRDefault="00D23139" w:rsidP="00D23139">
      <w:bookmarkStart w:id="130" w:name="_Toc247691533"/>
      <w:bookmarkStart w:id="131" w:name="_Toc314842517"/>
      <w:r w:rsidRPr="00D23139">
        <w:t xml:space="preserve">Based on a review of quality, safety and efficacy, TGA approved the registration of </w:t>
      </w:r>
      <w:r w:rsidR="00C7543F">
        <w:t>Adce</w:t>
      </w:r>
      <w:r w:rsidR="00FA60A9">
        <w:t xml:space="preserve">tris </w:t>
      </w:r>
      <w:r w:rsidR="00C7543F">
        <w:t>brentuximab vedotin vial for reconstitution and injection for the new indication of</w:t>
      </w:r>
      <w:r w:rsidRPr="00D23139">
        <w:t>:</w:t>
      </w:r>
    </w:p>
    <w:p w14:paraId="0771D757" w14:textId="5DA5D77B" w:rsidR="00C7543F" w:rsidRPr="00C7543F" w:rsidRDefault="00C7543F" w:rsidP="00C7543F">
      <w:pPr>
        <w:ind w:left="720"/>
        <w:rPr>
          <w:lang w:val="en-GB"/>
        </w:rPr>
      </w:pPr>
      <w:r>
        <w:rPr>
          <w:lang w:val="en-GB"/>
        </w:rPr>
        <w:lastRenderedPageBreak/>
        <w:t>‘</w:t>
      </w:r>
      <w:r w:rsidRPr="00C7543F">
        <w:rPr>
          <w:i/>
          <w:iCs/>
          <w:lang w:val="en-GB"/>
        </w:rPr>
        <w:t>A</w:t>
      </w:r>
      <w:r>
        <w:rPr>
          <w:i/>
          <w:iCs/>
          <w:lang w:val="en-GB"/>
        </w:rPr>
        <w:t>dcetris</w:t>
      </w:r>
      <w:r w:rsidRPr="00C7543F">
        <w:rPr>
          <w:i/>
          <w:iCs/>
          <w:lang w:val="en-GB"/>
        </w:rPr>
        <w:t xml:space="preserve"> is indicated in the treatment of</w:t>
      </w:r>
      <w:r>
        <w:rPr>
          <w:i/>
          <w:iCs/>
          <w:lang w:val="en-GB"/>
        </w:rPr>
        <w:t xml:space="preserve"> </w:t>
      </w:r>
      <w:r w:rsidRPr="00C7543F">
        <w:rPr>
          <w:i/>
          <w:iCs/>
          <w:lang w:val="en-GB"/>
        </w:rPr>
        <w:t>patients with CD30+ Hodgkin lymphoma at higher risk of</w:t>
      </w:r>
      <w:r>
        <w:rPr>
          <w:i/>
          <w:iCs/>
          <w:lang w:val="en-GB"/>
        </w:rPr>
        <w:t xml:space="preserve"> </w:t>
      </w:r>
      <w:r w:rsidRPr="00C7543F">
        <w:rPr>
          <w:i/>
          <w:iCs/>
          <w:lang w:val="en-GB"/>
        </w:rPr>
        <w:t xml:space="preserve">relapse or </w:t>
      </w:r>
      <w:r>
        <w:rPr>
          <w:i/>
          <w:iCs/>
          <w:lang w:val="en-GB"/>
        </w:rPr>
        <w:t xml:space="preserve">progression </w:t>
      </w:r>
      <w:r w:rsidRPr="00C7543F">
        <w:rPr>
          <w:i/>
          <w:iCs/>
          <w:lang w:val="en-GB"/>
        </w:rPr>
        <w:t xml:space="preserve">following </w:t>
      </w:r>
      <w:r>
        <w:rPr>
          <w:i/>
          <w:iCs/>
          <w:lang w:val="en-GB"/>
        </w:rPr>
        <w:t>ASCT (see 'Clinical Trials)</w:t>
      </w:r>
      <w:proofErr w:type="gramStart"/>
      <w:r>
        <w:rPr>
          <w:i/>
          <w:iCs/>
          <w:lang w:val="en-GB"/>
        </w:rPr>
        <w:t>.‘</w:t>
      </w:r>
      <w:proofErr w:type="gramEnd"/>
    </w:p>
    <w:p w14:paraId="466B491B" w14:textId="77FF3C0C" w:rsidR="00C7543F" w:rsidRPr="00C7543F" w:rsidRDefault="00C7543F" w:rsidP="00C7543F">
      <w:pPr>
        <w:rPr>
          <w:lang w:val="en-GB"/>
        </w:rPr>
      </w:pPr>
      <w:r>
        <w:rPr>
          <w:lang w:val="en-GB"/>
        </w:rPr>
        <w:t>The full indications are now:</w:t>
      </w:r>
    </w:p>
    <w:p w14:paraId="0BD8C582" w14:textId="300D4364" w:rsidR="00C7543F" w:rsidRPr="00C7543F" w:rsidRDefault="00C7543F" w:rsidP="00C7543F">
      <w:pPr>
        <w:ind w:left="720"/>
        <w:rPr>
          <w:i/>
          <w:lang w:val="en-GB"/>
        </w:rPr>
      </w:pPr>
      <w:r>
        <w:rPr>
          <w:i/>
          <w:lang w:val="en-GB"/>
        </w:rPr>
        <w:t>‘</w:t>
      </w:r>
      <w:r w:rsidRPr="00C7543F">
        <w:rPr>
          <w:i/>
          <w:lang w:val="en-GB"/>
        </w:rPr>
        <w:t>Treatment of adult patients with relapsed or refractory CD30+ Hodgkin lymphoma (HL):</w:t>
      </w:r>
    </w:p>
    <w:p w14:paraId="21EBAB52" w14:textId="77777777" w:rsidR="00C7543F" w:rsidRPr="00C7543F" w:rsidRDefault="00C7543F" w:rsidP="00C7543F">
      <w:pPr>
        <w:ind w:left="720"/>
        <w:rPr>
          <w:rFonts w:ascii="MS Mincho" w:eastAsia="MS Mincho" w:hAnsi="MS Mincho" w:cs="MS Mincho"/>
          <w:i/>
          <w:lang w:val="en-GB"/>
        </w:rPr>
      </w:pPr>
      <w:r w:rsidRPr="00C7543F">
        <w:rPr>
          <w:i/>
          <w:lang w:val="en-GB"/>
        </w:rPr>
        <w:t>1. following autologous stem cell transplant (ASCT) or</w:t>
      </w:r>
    </w:p>
    <w:p w14:paraId="1CE06003" w14:textId="466A977C" w:rsidR="00C7543F" w:rsidRPr="00C7543F" w:rsidRDefault="00C7543F" w:rsidP="00C7543F">
      <w:pPr>
        <w:ind w:left="720"/>
        <w:rPr>
          <w:i/>
          <w:lang w:val="en-GB"/>
        </w:rPr>
      </w:pPr>
      <w:r w:rsidRPr="00C7543F">
        <w:rPr>
          <w:i/>
          <w:lang w:val="en-GB"/>
        </w:rPr>
        <w:t>2. following at least two prior therapies when ASCT or multi-agent chemotherapy is not a treatment option.</w:t>
      </w:r>
    </w:p>
    <w:p w14:paraId="45D6E717" w14:textId="29A9EE1D" w:rsidR="00C7543F" w:rsidRPr="00C7543F" w:rsidRDefault="00C7543F" w:rsidP="00C7543F">
      <w:pPr>
        <w:ind w:left="720"/>
        <w:rPr>
          <w:rFonts w:ascii="MS Mincho" w:eastAsia="MS Mincho" w:hAnsi="MS Mincho" w:cs="MS Mincho"/>
          <w:i/>
          <w:lang w:val="en-GB"/>
        </w:rPr>
      </w:pPr>
      <w:r w:rsidRPr="00C7543F">
        <w:rPr>
          <w:i/>
          <w:lang w:val="en-GB"/>
        </w:rPr>
        <w:t xml:space="preserve">Treatment of adult patients with CD30+ HL at higher risk </w:t>
      </w:r>
      <w:r w:rsidR="0032354E" w:rsidRPr="00C7543F">
        <w:rPr>
          <w:i/>
          <w:lang w:val="en-GB"/>
        </w:rPr>
        <w:t>of relapse</w:t>
      </w:r>
      <w:r w:rsidRPr="00C7543F">
        <w:rPr>
          <w:i/>
          <w:lang w:val="en-GB"/>
        </w:rPr>
        <w:t xml:space="preserve"> or progression following ASCT (see 'Clinical Trials').</w:t>
      </w:r>
    </w:p>
    <w:p w14:paraId="09A8C2D2" w14:textId="3E48779B" w:rsidR="00D23139" w:rsidRPr="00C7543F" w:rsidRDefault="00C7543F" w:rsidP="00C7543F">
      <w:pPr>
        <w:ind w:left="720"/>
        <w:rPr>
          <w:i/>
          <w:lang w:val="en-GB"/>
        </w:rPr>
      </w:pPr>
      <w:r w:rsidRPr="00C7543F">
        <w:rPr>
          <w:i/>
          <w:lang w:val="en-GB"/>
        </w:rPr>
        <w:t>Treatment of adult patients with relapsed or refractory systemic anaplastic large cell lymphoma (sALCL).</w:t>
      </w:r>
      <w:r>
        <w:rPr>
          <w:i/>
          <w:lang w:val="en-GB"/>
        </w:rPr>
        <w:t>’</w:t>
      </w:r>
    </w:p>
    <w:p w14:paraId="2A46AC83" w14:textId="77777777" w:rsidR="00D23139" w:rsidRDefault="00D23139" w:rsidP="00D23139">
      <w:pPr>
        <w:pStyle w:val="Heading4"/>
      </w:pPr>
      <w:r w:rsidRPr="00D23139">
        <w:t>Specific conditions of registration applying to these goods</w:t>
      </w:r>
    </w:p>
    <w:p w14:paraId="5EADD3A2" w14:textId="0BA87B78" w:rsidR="00C7543F" w:rsidRPr="00C7543F" w:rsidRDefault="00C7543F" w:rsidP="00C7543F">
      <w:pPr>
        <w:pStyle w:val="ListBullet"/>
        <w:rPr>
          <w:lang w:val="en-GB"/>
        </w:rPr>
      </w:pPr>
      <w:r w:rsidRPr="00C7543F">
        <w:rPr>
          <w:lang w:val="en-GB"/>
        </w:rPr>
        <w:t>A</w:t>
      </w:r>
      <w:r>
        <w:rPr>
          <w:lang w:val="en-GB"/>
        </w:rPr>
        <w:t>dcetris</w:t>
      </w:r>
      <w:r w:rsidRPr="00C7543F">
        <w:rPr>
          <w:lang w:val="en-GB"/>
        </w:rPr>
        <w:t xml:space="preserve"> EU-RMP Version 5.2 (dated 23 February 2015, DLP 18 August 2014) a</w:t>
      </w:r>
      <w:r>
        <w:rPr>
          <w:lang w:val="en-GB"/>
        </w:rPr>
        <w:t>nd Australian Specific Annex (AS</w:t>
      </w:r>
      <w:r w:rsidRPr="00C7543F">
        <w:rPr>
          <w:lang w:val="en-GB"/>
        </w:rPr>
        <w:t>A) Version 5.0 (dated February 2016), and future updates where TGA approved wi</w:t>
      </w:r>
      <w:r>
        <w:rPr>
          <w:lang w:val="en-GB"/>
        </w:rPr>
        <w:t>ll be implemented in Australia.</w:t>
      </w:r>
    </w:p>
    <w:p w14:paraId="5D2A48C5" w14:textId="77777777" w:rsidR="008E7846" w:rsidRDefault="00A80B5B" w:rsidP="00D23139">
      <w:pPr>
        <w:pStyle w:val="Heading2"/>
      </w:pPr>
      <w:bookmarkStart w:id="132" w:name="_Toc495400798"/>
      <w:r>
        <w:t xml:space="preserve">Attachment 1. </w:t>
      </w:r>
      <w:r w:rsidR="008E7846">
        <w:t xml:space="preserve">Product </w:t>
      </w:r>
      <w:r w:rsidR="00AA0ED0">
        <w:t>I</w:t>
      </w:r>
      <w:r w:rsidR="008E7846">
        <w:t>nformation</w:t>
      </w:r>
      <w:bookmarkEnd w:id="130"/>
      <w:bookmarkEnd w:id="131"/>
      <w:bookmarkEnd w:id="132"/>
    </w:p>
    <w:p w14:paraId="3A368B3A" w14:textId="6DBB92ED" w:rsidR="00C80137" w:rsidRDefault="006136D7" w:rsidP="00C80137">
      <w:pPr>
        <w:rPr>
          <w:color w:val="000000"/>
          <w:lang w:eastAsia="en-AU"/>
        </w:rPr>
      </w:pPr>
      <w:r w:rsidRPr="002B3624">
        <w:t xml:space="preserve">The </w:t>
      </w:r>
      <w:r>
        <w:t>PI</w:t>
      </w:r>
      <w:r w:rsidRPr="002B3624">
        <w:t xml:space="preserve"> for </w:t>
      </w:r>
      <w:r w:rsidR="00A525B1">
        <w:t>Adcetris</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7" w:history="1">
        <w:r w:rsidR="007C6B9B" w:rsidRPr="007C6B9B">
          <w:rPr>
            <w:rStyle w:val="Hyperlink"/>
          </w:rPr>
          <w:t>https://www.tga.gov.au/product-information-pi</w:t>
        </w:r>
      </w:hyperlink>
      <w:r w:rsidR="00A525B1">
        <w:t>&gt;.</w:t>
      </w:r>
    </w:p>
    <w:p w14:paraId="59880BDB" w14:textId="77777777" w:rsidR="00C80137" w:rsidRDefault="00C80137" w:rsidP="00C80137">
      <w:pPr>
        <w:pStyle w:val="Heading2"/>
        <w:rPr>
          <w:lang w:eastAsia="en-AU"/>
        </w:rPr>
      </w:pPr>
      <w:bookmarkStart w:id="133" w:name="_Toc495400799"/>
      <w:r>
        <w:rPr>
          <w:lang w:eastAsia="en-AU"/>
        </w:rPr>
        <w:t>Attachment 2.</w:t>
      </w:r>
      <w:r w:rsidR="00A80B5B">
        <w:rPr>
          <w:lang w:eastAsia="en-AU"/>
        </w:rPr>
        <w:t xml:space="preserve"> </w:t>
      </w:r>
      <w:r>
        <w:rPr>
          <w:lang w:eastAsia="en-AU"/>
        </w:rPr>
        <w:t>Extract from the Clinical Evaluation Report</w:t>
      </w:r>
      <w:bookmarkEnd w:id="133"/>
    </w:p>
    <w:p w14:paraId="281DE336" w14:textId="426B4A2F" w:rsidR="00291957" w:rsidRDefault="00291957" w:rsidP="00A525B1">
      <w:pPr>
        <w:autoSpaceDE w:val="0"/>
        <w:autoSpaceDN w:val="0"/>
        <w:adjustRightInd w:val="0"/>
        <w:spacing w:after="0"/>
        <w:rPr>
          <w:lang w:eastAsia="ja-JP"/>
        </w:rPr>
      </w:pPr>
    </w:p>
    <w:p w14:paraId="1DA24E02" w14:textId="77777777"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AA9EE56" w14:textId="77777777" w:rsidTr="00A05FA4">
        <w:trPr>
          <w:trHeight w:hRule="exact" w:val="704"/>
        </w:trPr>
        <w:tc>
          <w:tcPr>
            <w:tcW w:w="9175" w:type="dxa"/>
          </w:tcPr>
          <w:p w14:paraId="76976FD3" w14:textId="77777777" w:rsidR="001C32CD" w:rsidRPr="00487162" w:rsidRDefault="001C32CD" w:rsidP="00A05FA4">
            <w:pPr>
              <w:pStyle w:val="TGASignoff"/>
            </w:pPr>
            <w:r w:rsidRPr="00487162">
              <w:lastRenderedPageBreak/>
              <w:t>Therapeutic Goods Administration</w:t>
            </w:r>
          </w:p>
        </w:tc>
      </w:tr>
      <w:tr w:rsidR="001C32CD" w:rsidRPr="004C239D" w14:paraId="4EBA5526" w14:textId="77777777" w:rsidTr="00A05FA4">
        <w:trPr>
          <w:trHeight w:val="1221"/>
        </w:trPr>
        <w:tc>
          <w:tcPr>
            <w:tcW w:w="9175" w:type="dxa"/>
            <w:tcMar>
              <w:top w:w="28" w:type="dxa"/>
            </w:tcMar>
          </w:tcPr>
          <w:p w14:paraId="5429164F" w14:textId="77777777" w:rsidR="001C32CD" w:rsidRPr="00487162" w:rsidRDefault="001C32CD" w:rsidP="00A05FA4">
            <w:pPr>
              <w:pStyle w:val="Address"/>
            </w:pPr>
            <w:r w:rsidRPr="00487162">
              <w:t>PO Box 100 Woden ACT 2606 Australia</w:t>
            </w:r>
          </w:p>
          <w:p w14:paraId="4749AFF6" w14:textId="77777777" w:rsidR="001C32CD" w:rsidRPr="00487162" w:rsidRDefault="001C32CD" w:rsidP="00A05FA4">
            <w:pPr>
              <w:pStyle w:val="Address"/>
            </w:pPr>
            <w:r w:rsidRPr="00487162">
              <w:t xml:space="preserve">Email: </w:t>
            </w:r>
            <w:hyperlink r:id="rId32" w:history="1">
              <w:r w:rsidRPr="004C239D">
                <w:rPr>
                  <w:rStyle w:val="Hyperlink"/>
                </w:rPr>
                <w:t>info@tga.gov.au</w:t>
              </w:r>
            </w:hyperlink>
            <w:r w:rsidRPr="00487162">
              <w:t xml:space="preserve">  Phone: 1800 020 653  Fax: 02 6232 8605</w:t>
            </w:r>
          </w:p>
          <w:p w14:paraId="70F05358" w14:textId="77777777" w:rsidR="001C32CD" w:rsidRPr="004C239D" w:rsidRDefault="009701A0"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14:paraId="5D616826"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5F7545" w15:done="0"/>
  <w15:commentEx w15:paraId="6A5CBAC0" w15:done="0"/>
  <w15:commentEx w15:paraId="0DEB4F93" w15:done="0"/>
  <w15:commentEx w15:paraId="437B6116" w15:done="0"/>
  <w15:commentEx w15:paraId="31D5C512" w15:done="0"/>
  <w15:commentEx w15:paraId="742C40D6" w15:done="0"/>
  <w15:commentEx w15:paraId="628CFA5D" w15:done="0"/>
  <w15:commentEx w15:paraId="224084FC" w15:done="0"/>
  <w15:commentEx w15:paraId="146CA2AE" w15:done="0"/>
  <w15:commentEx w15:paraId="27E0EBD9" w15:done="0"/>
  <w15:commentEx w15:paraId="755B6F83" w15:done="0"/>
  <w15:commentEx w15:paraId="11F19CB8" w15:done="0"/>
  <w15:commentEx w15:paraId="54A91512" w15:done="0"/>
  <w15:commentEx w15:paraId="5B95120C" w15:done="0"/>
  <w15:commentEx w15:paraId="7A7BE196" w15:done="0"/>
  <w15:commentEx w15:paraId="237B4E5F" w15:done="0"/>
  <w15:commentEx w15:paraId="03E99051" w15:done="0"/>
  <w15:commentEx w15:paraId="4B67B941" w15:done="0"/>
  <w15:commentEx w15:paraId="01828B43" w15:done="0"/>
  <w15:commentEx w15:paraId="7360F32A" w15:done="0"/>
  <w15:commentEx w15:paraId="3177A2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5F7545" w16cid:durableId="1D5265AC"/>
  <w16cid:commentId w16cid:paraId="6A5CBAC0" w16cid:durableId="1D5279CE"/>
  <w16cid:commentId w16cid:paraId="0DEB4F93" w16cid:durableId="1D526B3F"/>
  <w16cid:commentId w16cid:paraId="437B6116" w16cid:durableId="1D526B86"/>
  <w16cid:commentId w16cid:paraId="31D5C512" w16cid:durableId="1D5265AD"/>
  <w16cid:commentId w16cid:paraId="742C40D6" w16cid:durableId="1D526C29"/>
  <w16cid:commentId w16cid:paraId="628CFA5D" w16cid:durableId="1D526D34"/>
  <w16cid:commentId w16cid:paraId="224084FC" w16cid:durableId="1D526FCD"/>
  <w16cid:commentId w16cid:paraId="146CA2AE" w16cid:durableId="1D527589"/>
  <w16cid:commentId w16cid:paraId="27E0EBD9" w16cid:durableId="1D5265AE"/>
  <w16cid:commentId w16cid:paraId="755B6F83" w16cid:durableId="1D5265AF"/>
  <w16cid:commentId w16cid:paraId="11F19CB8" w16cid:durableId="1D5265B0"/>
  <w16cid:commentId w16cid:paraId="54A91512" w16cid:durableId="1D527849"/>
  <w16cid:commentId w16cid:paraId="5B95120C" w16cid:durableId="1D527935"/>
  <w16cid:commentId w16cid:paraId="7A7BE196" w16cid:durableId="1D527ADF"/>
  <w16cid:commentId w16cid:paraId="237B4E5F" w16cid:durableId="1D5265B1"/>
  <w16cid:commentId w16cid:paraId="03E99051" w16cid:durableId="1D527D99"/>
  <w16cid:commentId w16cid:paraId="4B67B941" w16cid:durableId="1D5265B2"/>
  <w16cid:commentId w16cid:paraId="01828B43" w16cid:durableId="1D527EF5"/>
  <w16cid:commentId w16cid:paraId="7360F32A" w16cid:durableId="1D5265B3"/>
  <w16cid:commentId w16cid:paraId="3177A22F" w16cid:durableId="1D5265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B9E22" w14:textId="77777777" w:rsidR="009701A0" w:rsidRDefault="009701A0" w:rsidP="00C40A36">
      <w:pPr>
        <w:spacing w:after="0"/>
      </w:pPr>
      <w:r>
        <w:separator/>
      </w:r>
    </w:p>
  </w:endnote>
  <w:endnote w:type="continuationSeparator" w:id="0">
    <w:p w14:paraId="14D385D6" w14:textId="77777777" w:rsidR="009701A0" w:rsidRDefault="009701A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701A0" w:rsidRPr="00487162" w14:paraId="428D40FA" w14:textId="77777777" w:rsidTr="00DB750B">
      <w:trPr>
        <w:trHeight w:val="269"/>
      </w:trPr>
      <w:tc>
        <w:tcPr>
          <w:tcW w:w="7371" w:type="dxa"/>
          <w:tcMar>
            <w:top w:w="142" w:type="dxa"/>
            <w:bottom w:w="0" w:type="dxa"/>
          </w:tcMar>
        </w:tcPr>
        <w:p w14:paraId="0175C25E" w14:textId="7D1A6A5D" w:rsidR="009701A0" w:rsidRPr="00487162" w:rsidRDefault="009701A0" w:rsidP="00C14EE7">
          <w:pPr>
            <w:pStyle w:val="Footer"/>
          </w:pPr>
          <w:r w:rsidRPr="00487162">
            <w:t>AusPA</w:t>
          </w:r>
          <w:r>
            <w:t>R Adcetris Brentuximab vedotin Takeda Pharmaceuticals Australia Pty Ltd</w:t>
          </w:r>
          <w:r>
            <w:br/>
          </w:r>
          <w:r w:rsidRPr="00C630DD">
            <w:t>PM-2015-01529-1-4</w:t>
          </w:r>
          <w:r>
            <w:t xml:space="preserve"> Final 14 September 2017</w:t>
          </w:r>
        </w:p>
      </w:tc>
      <w:tc>
        <w:tcPr>
          <w:tcW w:w="1490" w:type="dxa"/>
          <w:tcMar>
            <w:top w:w="142" w:type="dxa"/>
            <w:bottom w:w="0" w:type="dxa"/>
          </w:tcMar>
        </w:tcPr>
        <w:p w14:paraId="1DAE4B58" w14:textId="59FFCC3C" w:rsidR="009701A0" w:rsidRPr="00487162" w:rsidRDefault="009701A0" w:rsidP="00DB750B">
          <w:pPr>
            <w:pStyle w:val="Footer"/>
            <w:jc w:val="right"/>
          </w:pPr>
          <w:r w:rsidRPr="00487162">
            <w:t xml:space="preserve">Page </w:t>
          </w:r>
          <w:r>
            <w:fldChar w:fldCharType="begin"/>
          </w:r>
          <w:r>
            <w:instrText xml:space="preserve"> PAGE  \* Arabic </w:instrText>
          </w:r>
          <w:r>
            <w:fldChar w:fldCharType="separate"/>
          </w:r>
          <w:r w:rsidR="006D27FB">
            <w:rPr>
              <w:noProof/>
            </w:rPr>
            <w:t>3</w:t>
          </w:r>
          <w:r>
            <w:fldChar w:fldCharType="end"/>
          </w:r>
          <w:r w:rsidRPr="00487162">
            <w:t xml:space="preserve"> of </w:t>
          </w:r>
          <w:r>
            <w:fldChar w:fldCharType="begin"/>
          </w:r>
          <w:r>
            <w:instrText xml:space="preserve"> NUMPAGES  \* Arabic </w:instrText>
          </w:r>
          <w:r>
            <w:fldChar w:fldCharType="separate"/>
          </w:r>
          <w:r w:rsidR="006D27FB">
            <w:rPr>
              <w:noProof/>
            </w:rPr>
            <w:t>63</w:t>
          </w:r>
          <w:r>
            <w:rPr>
              <w:noProof/>
            </w:rPr>
            <w:fldChar w:fldCharType="end"/>
          </w:r>
        </w:p>
      </w:tc>
    </w:tr>
  </w:tbl>
  <w:p w14:paraId="40028562" w14:textId="77777777" w:rsidR="009701A0" w:rsidRDefault="009701A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701A0" w:rsidRPr="00487162" w14:paraId="152BA376" w14:textId="77777777" w:rsidTr="00E45619">
      <w:trPr>
        <w:trHeight w:val="269"/>
      </w:trPr>
      <w:tc>
        <w:tcPr>
          <w:tcW w:w="4519" w:type="dxa"/>
          <w:tcBorders>
            <w:top w:val="single" w:sz="4" w:space="0" w:color="auto"/>
          </w:tcBorders>
          <w:tcMar>
            <w:top w:w="142" w:type="dxa"/>
            <w:bottom w:w="0" w:type="dxa"/>
          </w:tcMar>
        </w:tcPr>
        <w:p w14:paraId="6E657507" w14:textId="77777777" w:rsidR="009701A0" w:rsidRPr="00487162" w:rsidRDefault="009701A0" w:rsidP="00FE1DEE">
          <w:pPr>
            <w:pStyle w:val="Footer"/>
          </w:pPr>
          <w:r w:rsidRPr="00487162">
            <w:t>Document title, Part #, Section # - Section title</w:t>
          </w:r>
        </w:p>
        <w:p w14:paraId="454787C0" w14:textId="77777777" w:rsidR="009701A0" w:rsidRPr="00487162" w:rsidRDefault="009701A0" w:rsidP="00FE1DEE">
          <w:pPr>
            <w:pStyle w:val="Footer"/>
          </w:pPr>
          <w:r w:rsidRPr="00487162">
            <w:t>V1.0 October 2010</w:t>
          </w:r>
        </w:p>
      </w:tc>
      <w:tc>
        <w:tcPr>
          <w:tcW w:w="4342" w:type="dxa"/>
          <w:tcBorders>
            <w:top w:val="single" w:sz="4" w:space="0" w:color="auto"/>
          </w:tcBorders>
          <w:tcMar>
            <w:top w:w="142" w:type="dxa"/>
            <w:bottom w:w="0" w:type="dxa"/>
          </w:tcMar>
        </w:tcPr>
        <w:p w14:paraId="642FB47A" w14:textId="77777777" w:rsidR="009701A0" w:rsidRPr="00487162" w:rsidRDefault="009701A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462A9200" w14:textId="77777777" w:rsidR="009701A0" w:rsidRDefault="009701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9F2B4" w14:textId="77777777" w:rsidR="009701A0" w:rsidRPr="001C32CD" w:rsidRDefault="009701A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701A0" w14:paraId="798F3563" w14:textId="77777777" w:rsidTr="0010601F">
      <w:trPr>
        <w:trHeight w:val="108"/>
      </w:trPr>
      <w:tc>
        <w:tcPr>
          <w:tcW w:w="8875" w:type="dxa"/>
          <w:gridSpan w:val="2"/>
          <w:tcBorders>
            <w:bottom w:val="single" w:sz="4" w:space="0" w:color="auto"/>
          </w:tcBorders>
          <w:tcMar>
            <w:right w:w="284" w:type="dxa"/>
          </w:tcMar>
        </w:tcPr>
        <w:p w14:paraId="4C6E3B58" w14:textId="77777777" w:rsidR="009701A0" w:rsidRDefault="009701A0" w:rsidP="006E08B3">
          <w:pPr>
            <w:pStyle w:val="Heading3"/>
          </w:pPr>
          <w:r>
            <w:t>Copyright</w:t>
          </w:r>
        </w:p>
        <w:p w14:paraId="3BE7901C" w14:textId="77777777" w:rsidR="009701A0" w:rsidRDefault="009701A0" w:rsidP="006E08B3">
          <w:r>
            <w:rPr>
              <w:rFonts w:cs="Arial"/>
            </w:rPr>
            <w:t>©</w:t>
          </w:r>
          <w:r>
            <w:t xml:space="preserve"> Commonwealth of Australia [add year]</w:t>
          </w:r>
        </w:p>
        <w:p w14:paraId="3D9066A7" w14:textId="77777777" w:rsidR="009701A0" w:rsidRDefault="009701A0" w:rsidP="006E08B3"/>
        <w:p w14:paraId="67BEDE65" w14:textId="77777777" w:rsidR="009701A0" w:rsidRDefault="009701A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066BEB5" w14:textId="77777777" w:rsidR="009701A0" w:rsidRDefault="009701A0" w:rsidP="006E08B3"/>
        <w:p w14:paraId="20AEDC74" w14:textId="77777777" w:rsidR="009701A0" w:rsidRDefault="009701A0" w:rsidP="006E08B3">
          <w:pPr>
            <w:pStyle w:val="Heading3"/>
          </w:pPr>
          <w:r>
            <w:t>Confidentiality</w:t>
          </w:r>
        </w:p>
        <w:p w14:paraId="6F4C188B" w14:textId="77777777" w:rsidR="009701A0" w:rsidRDefault="009701A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556747F" w14:textId="77777777" w:rsidR="009701A0" w:rsidRDefault="009701A0" w:rsidP="006E08B3"/>
        <w:p w14:paraId="70C00A78" w14:textId="77777777" w:rsidR="009701A0" w:rsidRDefault="009701A0" w:rsidP="006E08B3">
          <w:r>
            <w:t>For submission made by individuals, all personal details, other than your name, will be removed from your submission before it is published on the TGA’s Internet site.</w:t>
          </w:r>
        </w:p>
        <w:p w14:paraId="125E91BC" w14:textId="77777777" w:rsidR="009701A0" w:rsidRDefault="009701A0" w:rsidP="006E08B3"/>
        <w:p w14:paraId="5109A1C0" w14:textId="77777777" w:rsidR="009701A0" w:rsidRDefault="009701A0" w:rsidP="006E08B3">
          <w:r>
            <w:t>In addition, a list of parties making submissions will be published. If you do not wish to be identified with your submission you must specifically request this in the space provided ib the submission coversheet.</w:t>
          </w:r>
        </w:p>
      </w:tc>
    </w:tr>
    <w:tr w:rsidR="009701A0" w14:paraId="79484800" w14:textId="77777777" w:rsidTr="0010601F">
      <w:trPr>
        <w:trHeight w:val="417"/>
      </w:trPr>
      <w:tc>
        <w:tcPr>
          <w:tcW w:w="4519" w:type="dxa"/>
          <w:tcBorders>
            <w:top w:val="single" w:sz="4" w:space="0" w:color="auto"/>
          </w:tcBorders>
          <w:tcMar>
            <w:top w:w="142" w:type="dxa"/>
            <w:bottom w:w="0" w:type="dxa"/>
          </w:tcMar>
        </w:tcPr>
        <w:p w14:paraId="060013B9" w14:textId="77777777" w:rsidR="009701A0" w:rsidRDefault="009701A0" w:rsidP="006E08B3">
          <w:r>
            <w:t>Document title, Part #, Section # - Section title</w:t>
          </w:r>
        </w:p>
        <w:p w14:paraId="4C016451" w14:textId="77777777" w:rsidR="009701A0" w:rsidRDefault="009701A0" w:rsidP="006E08B3">
          <w:r>
            <w:t>V1.0 October 2010</w:t>
          </w:r>
        </w:p>
      </w:tc>
      <w:tc>
        <w:tcPr>
          <w:tcW w:w="4356" w:type="dxa"/>
          <w:tcBorders>
            <w:top w:val="single" w:sz="4" w:space="0" w:color="auto"/>
          </w:tcBorders>
          <w:tcMar>
            <w:top w:w="142" w:type="dxa"/>
            <w:bottom w:w="0" w:type="dxa"/>
          </w:tcMar>
        </w:tcPr>
        <w:p w14:paraId="6C725589" w14:textId="77777777" w:rsidR="009701A0" w:rsidRDefault="009701A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14:paraId="64FF231B" w14:textId="77777777" w:rsidR="009701A0" w:rsidRDefault="009701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78C36" w14:textId="77777777" w:rsidR="009701A0" w:rsidRDefault="009701A0" w:rsidP="00C40A36">
      <w:pPr>
        <w:spacing w:after="0"/>
      </w:pPr>
      <w:r>
        <w:separator/>
      </w:r>
    </w:p>
  </w:footnote>
  <w:footnote w:type="continuationSeparator" w:id="0">
    <w:p w14:paraId="5152CEDE" w14:textId="77777777" w:rsidR="009701A0" w:rsidRDefault="009701A0" w:rsidP="00C40A36">
      <w:pPr>
        <w:spacing w:after="0"/>
      </w:pPr>
      <w:r>
        <w:continuationSeparator/>
      </w:r>
    </w:p>
  </w:footnote>
  <w:footnote w:id="1">
    <w:p w14:paraId="7EE4219A" w14:textId="0C06FE7B" w:rsidR="009701A0" w:rsidRPr="00E23C1E" w:rsidRDefault="009701A0" w:rsidP="009701A0">
      <w:pPr>
        <w:pStyle w:val="FootnoteText"/>
        <w:rPr>
          <w:lang w:val="en-GB"/>
        </w:rPr>
      </w:pPr>
      <w:r>
        <w:rPr>
          <w:rStyle w:val="FootnoteReference"/>
        </w:rPr>
        <w:footnoteRef/>
      </w:r>
      <w:r>
        <w:t xml:space="preserve"> </w:t>
      </w:r>
      <w:r w:rsidRPr="00E23C1E">
        <w:t>Australasian Bone Marrow Transplant Recipient Society Annual Data S</w:t>
      </w:r>
      <w:r>
        <w:t>ummary 2014 provided by the s</w:t>
      </w:r>
      <w:r w:rsidRPr="00E23C1E">
        <w:t>ponsor.</w:t>
      </w:r>
    </w:p>
  </w:footnote>
  <w:footnote w:id="2">
    <w:p w14:paraId="10EA120D" w14:textId="77777777" w:rsidR="009701A0" w:rsidRPr="00BE65AB" w:rsidRDefault="009701A0" w:rsidP="008239F9">
      <w:pPr>
        <w:pStyle w:val="FootnoteText"/>
      </w:pPr>
      <w:r>
        <w:rPr>
          <w:rStyle w:val="FootnoteReference"/>
        </w:rPr>
        <w:footnoteRef/>
      </w:r>
      <w:r>
        <w:t xml:space="preserve"> </w:t>
      </w:r>
      <w:proofErr w:type="spellStart"/>
      <w:proofErr w:type="gramStart"/>
      <w:r w:rsidRPr="00670125">
        <w:rPr>
          <w:sz w:val="20"/>
        </w:rPr>
        <w:t>Vaklavas</w:t>
      </w:r>
      <w:proofErr w:type="spellEnd"/>
      <w:r w:rsidRPr="00670125">
        <w:rPr>
          <w:sz w:val="20"/>
        </w:rPr>
        <w:t xml:space="preserve"> C et al. Safety and efficacy of brentuximab vedotin in patients with Hodgkin lymphoma or systemic anaplastic large cell lymphoma.</w:t>
      </w:r>
      <w:proofErr w:type="gramEnd"/>
      <w:r w:rsidRPr="00670125">
        <w:rPr>
          <w:sz w:val="20"/>
        </w:rPr>
        <w:t xml:space="preserve"> </w:t>
      </w:r>
      <w:proofErr w:type="spellStart"/>
      <w:r w:rsidRPr="00670125">
        <w:rPr>
          <w:sz w:val="20"/>
        </w:rPr>
        <w:t>Ther</w:t>
      </w:r>
      <w:proofErr w:type="spellEnd"/>
      <w:r w:rsidRPr="00670125">
        <w:rPr>
          <w:sz w:val="20"/>
        </w:rPr>
        <w:t xml:space="preserve"> </w:t>
      </w:r>
      <w:proofErr w:type="spellStart"/>
      <w:r w:rsidRPr="00670125">
        <w:rPr>
          <w:sz w:val="20"/>
        </w:rPr>
        <w:t>Adv</w:t>
      </w:r>
      <w:proofErr w:type="spellEnd"/>
      <w:r w:rsidRPr="00670125">
        <w:rPr>
          <w:sz w:val="20"/>
        </w:rPr>
        <w:t xml:space="preserve"> </w:t>
      </w:r>
      <w:proofErr w:type="spellStart"/>
      <w:r w:rsidRPr="00670125">
        <w:rPr>
          <w:sz w:val="20"/>
        </w:rPr>
        <w:t>Hematol</w:t>
      </w:r>
      <w:proofErr w:type="spellEnd"/>
      <w:r w:rsidRPr="00670125">
        <w:rPr>
          <w:sz w:val="20"/>
        </w:rPr>
        <w:t xml:space="preserve"> (2012) 3(4) 209–225.</w:t>
      </w:r>
    </w:p>
  </w:footnote>
  <w:footnote w:id="3">
    <w:p w14:paraId="2B006712" w14:textId="4C489C63" w:rsidR="009701A0" w:rsidRPr="00952D4A" w:rsidRDefault="009701A0">
      <w:pPr>
        <w:pStyle w:val="FootnoteText"/>
        <w:rPr>
          <w:szCs w:val="18"/>
          <w:lang w:val="en-GB"/>
        </w:rPr>
      </w:pPr>
      <w:r w:rsidRPr="00952D4A">
        <w:rPr>
          <w:rStyle w:val="FootnoteReference"/>
          <w:szCs w:val="18"/>
        </w:rPr>
        <w:footnoteRef/>
      </w:r>
      <w:r w:rsidRPr="00952D4A">
        <w:rPr>
          <w:szCs w:val="18"/>
        </w:rPr>
        <w:t xml:space="preserve"> </w:t>
      </w:r>
      <w:r w:rsidRPr="00952D4A">
        <w:rPr>
          <w:szCs w:val="18"/>
          <w:lang w:val="en-GB"/>
        </w:rPr>
        <w:t>Directive 2001/20/EC of the European Parliament and of the Council of 4 April 2001 on the approximation of the laws, regulations and administrative provisions of the Member States relating to the implementation of good clinical practice in the conduct of clinical trials on medicinal products for human use.</w:t>
      </w:r>
    </w:p>
  </w:footnote>
  <w:footnote w:id="4">
    <w:p w14:paraId="4E91AEBD" w14:textId="78D953BB" w:rsidR="009701A0" w:rsidRPr="00952D4A" w:rsidRDefault="009701A0">
      <w:pPr>
        <w:pStyle w:val="FootnoteText"/>
        <w:rPr>
          <w:b/>
          <w:bCs/>
          <w:szCs w:val="18"/>
          <w:lang w:val="en-GB"/>
        </w:rPr>
      </w:pPr>
      <w:r w:rsidRPr="00952D4A">
        <w:rPr>
          <w:rStyle w:val="FootnoteReference"/>
          <w:szCs w:val="18"/>
        </w:rPr>
        <w:footnoteRef/>
      </w:r>
      <w:r w:rsidRPr="00952D4A">
        <w:rPr>
          <w:szCs w:val="18"/>
        </w:rPr>
        <w:t xml:space="preserve"> CFR 21 Part 10: </w:t>
      </w:r>
      <w:r w:rsidRPr="00952D4A">
        <w:rPr>
          <w:szCs w:val="18"/>
          <w:lang w:val="en-GB"/>
        </w:rPr>
        <w:t xml:space="preserve">Electronic records and electronic signature related; Part 50: Protection of human subjects in clinical trials; Part 54: Financial Disclosure by Clinical Investigators, Part 316: </w:t>
      </w:r>
      <w:r w:rsidRPr="00952D4A">
        <w:rPr>
          <w:bCs/>
          <w:szCs w:val="18"/>
          <w:lang w:val="en-GB"/>
        </w:rPr>
        <w:t>Orphan Drug &amp; the Orphan Drug Act 1983. US FDA</w:t>
      </w:r>
    </w:p>
  </w:footnote>
  <w:footnote w:id="5">
    <w:p w14:paraId="7AF1ED36" w14:textId="6141FA84" w:rsidR="009701A0" w:rsidRPr="00952D4A" w:rsidRDefault="009701A0">
      <w:pPr>
        <w:pStyle w:val="FootnoteText"/>
        <w:rPr>
          <w:szCs w:val="18"/>
          <w:lang w:val="en-GB"/>
        </w:rPr>
      </w:pPr>
      <w:r w:rsidRPr="00952D4A">
        <w:rPr>
          <w:rStyle w:val="FootnoteReference"/>
          <w:szCs w:val="18"/>
        </w:rPr>
        <w:footnoteRef/>
      </w:r>
      <w:r w:rsidRPr="00952D4A">
        <w:rPr>
          <w:szCs w:val="18"/>
        </w:rPr>
        <w:t xml:space="preserve"> </w:t>
      </w:r>
      <w:r w:rsidRPr="00952D4A">
        <w:rPr>
          <w:bCs/>
          <w:szCs w:val="18"/>
          <w:lang w:val="en-GB"/>
        </w:rPr>
        <w:t xml:space="preserve">ICH harmonised tripartite guideline </w:t>
      </w:r>
      <w:proofErr w:type="spellStart"/>
      <w:r w:rsidRPr="00952D4A">
        <w:rPr>
          <w:bCs/>
          <w:szCs w:val="18"/>
          <w:lang w:val="en-GB"/>
        </w:rPr>
        <w:t>guideline</w:t>
      </w:r>
      <w:proofErr w:type="spellEnd"/>
      <w:r w:rsidRPr="00952D4A">
        <w:rPr>
          <w:bCs/>
          <w:szCs w:val="18"/>
          <w:lang w:val="en-GB"/>
        </w:rPr>
        <w:t xml:space="preserve"> for good clinical practice E6(R1); </w:t>
      </w:r>
      <w:r w:rsidRPr="00952D4A">
        <w:rPr>
          <w:szCs w:val="18"/>
          <w:lang w:val="en-GB"/>
        </w:rPr>
        <w:t xml:space="preserve">Current </w:t>
      </w:r>
      <w:r w:rsidRPr="00952D4A">
        <w:rPr>
          <w:iCs/>
          <w:szCs w:val="18"/>
          <w:lang w:val="en-GB"/>
        </w:rPr>
        <w:t>Step 4</w:t>
      </w:r>
      <w:r w:rsidRPr="00952D4A">
        <w:rPr>
          <w:i/>
          <w:iCs/>
          <w:szCs w:val="18"/>
          <w:lang w:val="en-GB"/>
        </w:rPr>
        <w:t xml:space="preserve"> </w:t>
      </w:r>
      <w:r w:rsidRPr="00952D4A">
        <w:rPr>
          <w:szCs w:val="18"/>
          <w:lang w:val="en-GB"/>
        </w:rPr>
        <w:t xml:space="preserve">version dated 10 June 1996 </w:t>
      </w:r>
    </w:p>
  </w:footnote>
  <w:footnote w:id="6">
    <w:p w14:paraId="1239FA41" w14:textId="77777777" w:rsidR="009701A0" w:rsidRPr="00952D4A" w:rsidRDefault="009701A0" w:rsidP="005D49BA">
      <w:pPr>
        <w:pStyle w:val="FootnoteText"/>
        <w:rPr>
          <w:szCs w:val="18"/>
          <w:lang w:val="en-GB"/>
        </w:rPr>
      </w:pPr>
      <w:r w:rsidRPr="00952D4A">
        <w:rPr>
          <w:rStyle w:val="FootnoteReference"/>
          <w:szCs w:val="18"/>
        </w:rPr>
        <w:footnoteRef/>
      </w:r>
      <w:r w:rsidRPr="00952D4A">
        <w:rPr>
          <w:szCs w:val="18"/>
        </w:rPr>
        <w:t xml:space="preserve"> Section VI. Overall conclusion and risk/benefit assessment,</w:t>
      </w:r>
      <w:r w:rsidRPr="00952D4A">
        <w:rPr>
          <w:b/>
          <w:bCs/>
          <w:szCs w:val="18"/>
        </w:rPr>
        <w:t xml:space="preserve"> </w:t>
      </w:r>
      <w:r w:rsidRPr="00952D4A">
        <w:rPr>
          <w:szCs w:val="18"/>
        </w:rPr>
        <w:t>Australian Public Assessment Report for brentuximab vedotin; Proprietary Product Name: Adcetris. Sponsor: Takeda Pharmaceuticals Australia Pty Ltd. Date of AusPAR May 2014. Therapeutic Goods Administration, Canberra.</w:t>
      </w:r>
    </w:p>
  </w:footnote>
  <w:footnote w:id="7">
    <w:p w14:paraId="55425D2A" w14:textId="77777777" w:rsidR="009701A0" w:rsidRPr="00952D4A" w:rsidRDefault="009701A0" w:rsidP="005D49BA">
      <w:pPr>
        <w:pStyle w:val="FootnoteText"/>
        <w:rPr>
          <w:szCs w:val="18"/>
          <w:lang w:val="en-GB"/>
        </w:rPr>
      </w:pPr>
      <w:r w:rsidRPr="00952D4A">
        <w:rPr>
          <w:rStyle w:val="FootnoteReference"/>
          <w:szCs w:val="18"/>
        </w:rPr>
        <w:footnoteRef/>
      </w:r>
      <w:r w:rsidRPr="00952D4A">
        <w:rPr>
          <w:szCs w:val="18"/>
        </w:rPr>
        <w:t xml:space="preserve"> European Medicines Agency Assessment Report: Adcetris (brentuximab vedotin) dated July 2012.</w:t>
      </w:r>
    </w:p>
  </w:footnote>
  <w:footnote w:id="8">
    <w:p w14:paraId="3CFF899D" w14:textId="3FE8E221" w:rsidR="009701A0" w:rsidRPr="000A401C" w:rsidRDefault="009701A0">
      <w:pPr>
        <w:pStyle w:val="FootnoteText"/>
        <w:rPr>
          <w:lang w:val="en-GB"/>
        </w:rPr>
      </w:pPr>
      <w:r>
        <w:rPr>
          <w:rStyle w:val="FootnoteReference"/>
        </w:rPr>
        <w:footnoteRef/>
      </w:r>
      <w:r>
        <w:t xml:space="preserve"> </w:t>
      </w:r>
      <w:r w:rsidRPr="000A401C">
        <w:t>Australian Public Assessment Report for brentuximab vedotin; Proprietary Product Name: Adcetris. Sponsor: Takeda Pharmaceuticals Australia Pty Ltd. Date of AusPAR May 2014. T</w:t>
      </w:r>
      <w:r>
        <w:t>herapeutic Goods Administration, Canberra.</w:t>
      </w:r>
    </w:p>
  </w:footnote>
  <w:footnote w:id="9">
    <w:p w14:paraId="7761B6A9" w14:textId="4780857F" w:rsidR="009701A0" w:rsidRPr="00417C51" w:rsidRDefault="009701A0">
      <w:pPr>
        <w:pStyle w:val="FootnoteText"/>
        <w:rPr>
          <w:lang w:val="en-GB"/>
        </w:rPr>
      </w:pPr>
      <w:r>
        <w:rPr>
          <w:rStyle w:val="FootnoteReference"/>
        </w:rPr>
        <w:footnoteRef/>
      </w:r>
      <w:r>
        <w:t xml:space="preserve"> </w:t>
      </w:r>
      <w:r>
        <w:rPr>
          <w:lang w:val="en-GB"/>
        </w:rPr>
        <w:t>Connors J</w:t>
      </w:r>
      <w:r w:rsidRPr="005B24AC">
        <w:rPr>
          <w:lang w:val="en-GB"/>
        </w:rPr>
        <w:t>, et al</w:t>
      </w:r>
      <w:r>
        <w:rPr>
          <w:lang w:val="en-GB"/>
        </w:rPr>
        <w:t>.</w:t>
      </w:r>
      <w:r w:rsidRPr="005B24AC">
        <w:rPr>
          <w:lang w:val="en-GB"/>
        </w:rPr>
        <w:t xml:space="preserve"> </w:t>
      </w:r>
      <w:r w:rsidRPr="00417C51">
        <w:rPr>
          <w:lang w:val="en-GB"/>
        </w:rPr>
        <w:t>Brentuximab vedotin combined with ABVD or AVD for patients with newly diagnosed advanced stage Hodgk</w:t>
      </w:r>
      <w:r>
        <w:rPr>
          <w:lang w:val="en-GB"/>
        </w:rPr>
        <w:t>in lymphoma: Long term outcomes</w:t>
      </w:r>
      <w:r w:rsidRPr="00417C51">
        <w:rPr>
          <w:lang w:val="en-GB"/>
        </w:rPr>
        <w:t>. Blood. Dec 2014; 124(21).</w:t>
      </w:r>
    </w:p>
  </w:footnote>
  <w:footnote w:id="10">
    <w:p w14:paraId="53CC2C3B" w14:textId="1F15654A" w:rsidR="009701A0" w:rsidRPr="00417C51" w:rsidRDefault="009701A0">
      <w:pPr>
        <w:pStyle w:val="FootnoteText"/>
        <w:rPr>
          <w:lang w:val="en-GB"/>
        </w:rPr>
      </w:pPr>
      <w:r>
        <w:rPr>
          <w:rStyle w:val="FootnoteReference"/>
        </w:rPr>
        <w:footnoteRef/>
      </w:r>
      <w:r>
        <w:t xml:space="preserve"> </w:t>
      </w:r>
      <w:r w:rsidRPr="005B24AC">
        <w:rPr>
          <w:lang w:val="en-GB"/>
        </w:rPr>
        <w:t xml:space="preserve">Younes A, et al. </w:t>
      </w:r>
      <w:r w:rsidRPr="00417C51">
        <w:rPr>
          <w:lang w:val="en-GB"/>
        </w:rPr>
        <w:t>Brentuximab vedotin combined with ABVD or AVD for patients with newly diagnosed Hodgkin's lymphoma: A phase 1, open-label, dose-escalation study. The Lancet Onco</w:t>
      </w:r>
      <w:r>
        <w:rPr>
          <w:lang w:val="en-GB"/>
        </w:rPr>
        <w:t>logy. Dec 2013; 14(13):1348-56.</w:t>
      </w:r>
    </w:p>
  </w:footnote>
  <w:footnote w:id="11">
    <w:p w14:paraId="4337A4BC" w14:textId="6FB9FDFC" w:rsidR="009701A0" w:rsidRPr="00417C51" w:rsidRDefault="009701A0">
      <w:pPr>
        <w:pStyle w:val="FootnoteText"/>
        <w:rPr>
          <w:lang w:val="en-GB"/>
        </w:rPr>
      </w:pPr>
      <w:r>
        <w:rPr>
          <w:rStyle w:val="FootnoteReference"/>
        </w:rPr>
        <w:footnoteRef/>
      </w:r>
      <w:r>
        <w:t xml:space="preserve"> </w:t>
      </w:r>
      <w:r w:rsidRPr="005B24AC">
        <w:rPr>
          <w:lang w:val="en-GB"/>
        </w:rPr>
        <w:t>Ansell SM, et al</w:t>
      </w:r>
      <w:r>
        <w:rPr>
          <w:lang w:val="en-GB"/>
        </w:rPr>
        <w:t xml:space="preserve">. </w:t>
      </w:r>
      <w:r w:rsidRPr="00417C51">
        <w:rPr>
          <w:lang w:val="en-GB"/>
        </w:rPr>
        <w:t xml:space="preserve">Frontline therapy with brentuximab vedotin combined with ABVD or AVD in patients with newly diagnosed </w:t>
      </w:r>
      <w:r>
        <w:rPr>
          <w:lang w:val="en-GB"/>
        </w:rPr>
        <w:t>advanced stage Hodgkin lymphoma</w:t>
      </w:r>
      <w:r w:rsidRPr="00417C51">
        <w:rPr>
          <w:lang w:val="en-GB"/>
        </w:rPr>
        <w:t xml:space="preserve">. </w:t>
      </w:r>
      <w:proofErr w:type="spellStart"/>
      <w:r w:rsidRPr="00417C51">
        <w:rPr>
          <w:lang w:val="en-GB"/>
        </w:rPr>
        <w:t>Haematologic</w:t>
      </w:r>
      <w:r>
        <w:rPr>
          <w:lang w:val="en-GB"/>
        </w:rPr>
        <w:t>a</w:t>
      </w:r>
      <w:proofErr w:type="spellEnd"/>
      <w:r>
        <w:rPr>
          <w:lang w:val="en-GB"/>
        </w:rPr>
        <w:t>, suppl. 2. Oct 1, 2013; 98:2.</w:t>
      </w:r>
    </w:p>
  </w:footnote>
  <w:footnote w:id="12">
    <w:p w14:paraId="399F0C84" w14:textId="39C68D7F" w:rsidR="009701A0" w:rsidRPr="00417C51" w:rsidRDefault="009701A0">
      <w:pPr>
        <w:pStyle w:val="FootnoteText"/>
        <w:rPr>
          <w:lang w:val="en-GB"/>
        </w:rPr>
      </w:pPr>
      <w:r>
        <w:rPr>
          <w:rStyle w:val="FootnoteReference"/>
        </w:rPr>
        <w:footnoteRef/>
      </w:r>
      <w:r>
        <w:t xml:space="preserve"> </w:t>
      </w:r>
      <w:r w:rsidRPr="00D23407">
        <w:rPr>
          <w:lang w:val="en-GB"/>
        </w:rPr>
        <w:t xml:space="preserve">Ansell SM, et al. </w:t>
      </w:r>
      <w:r w:rsidRPr="00417C51">
        <w:rPr>
          <w:lang w:val="en-GB"/>
        </w:rPr>
        <w:t xml:space="preserve">Frontline Therapy with brentuximab vedotin combined with ABVD or AVD in patients with newly diagnosed advanced stage Hodgkin lymphoma. </w:t>
      </w:r>
      <w:r>
        <w:rPr>
          <w:lang w:val="en-GB"/>
        </w:rPr>
        <w:t>Blood. Nov 2012; 120(21):798.</w:t>
      </w:r>
    </w:p>
  </w:footnote>
  <w:footnote w:id="13">
    <w:p w14:paraId="3E122691" w14:textId="1D7F8761" w:rsidR="009701A0" w:rsidRPr="00C219AC" w:rsidRDefault="009701A0">
      <w:pPr>
        <w:pStyle w:val="FootnoteText"/>
        <w:rPr>
          <w:lang w:val="en-GB"/>
        </w:rPr>
      </w:pPr>
      <w:r>
        <w:rPr>
          <w:rStyle w:val="FootnoteReference"/>
        </w:rPr>
        <w:footnoteRef/>
      </w:r>
      <w:r>
        <w:t xml:space="preserve"> </w:t>
      </w:r>
      <w:r w:rsidRPr="00D23407">
        <w:rPr>
          <w:lang w:val="en-GB"/>
        </w:rPr>
        <w:t xml:space="preserve">Ansell SM, et al. </w:t>
      </w:r>
      <w:r w:rsidRPr="005653F9">
        <w:rPr>
          <w:lang w:val="en-GB"/>
        </w:rPr>
        <w:t>Phase 3 study of brentuximab vedotin plus doxorubicin, vinblastine, and dacarbazine (A+AVD) versus doxorubicin, bleomycin, vinblastine, and dacarbazine (ABVD) as front-line treatment for advanced classical Hodgkin lymphoma (HL):</w:t>
      </w:r>
      <w:r>
        <w:rPr>
          <w:lang w:val="en-GB"/>
        </w:rPr>
        <w:t xml:space="preserve"> Echelon-1 study. </w:t>
      </w:r>
      <w:r w:rsidRPr="005653F9">
        <w:rPr>
          <w:lang w:val="en-GB"/>
        </w:rPr>
        <w:t>Journal of Clinical Oncology, Suppl 1. May 2014; 32(15).</w:t>
      </w:r>
    </w:p>
  </w:footnote>
  <w:footnote w:id="14">
    <w:p w14:paraId="620EB94B" w14:textId="432AF9EF" w:rsidR="009701A0" w:rsidRPr="005653F9" w:rsidRDefault="009701A0">
      <w:pPr>
        <w:pStyle w:val="FootnoteText"/>
        <w:rPr>
          <w:lang w:val="en-GB"/>
        </w:rPr>
      </w:pPr>
      <w:r>
        <w:rPr>
          <w:rStyle w:val="FootnoteReference"/>
        </w:rPr>
        <w:footnoteRef/>
      </w:r>
      <w:r>
        <w:t xml:space="preserve"> </w:t>
      </w:r>
      <w:r w:rsidRPr="00D23407">
        <w:rPr>
          <w:lang w:val="en-GB"/>
        </w:rPr>
        <w:t xml:space="preserve">Radford J, et al. </w:t>
      </w:r>
      <w:r w:rsidRPr="005653F9">
        <w:rPr>
          <w:lang w:val="en-GB"/>
        </w:rPr>
        <w:t xml:space="preserve">Phase 3 study of brentuximab vedotin plus doxorubicin, vinblastine and dacarbazine (A+AVD) vs doxorubicin, bleomycin, vinblastine and dacarbazine (ABVD) as front-line treatment for advanced classical Hodgkin Lymphoma (HL): The Echelon-1 study. </w:t>
      </w:r>
      <w:proofErr w:type="spellStart"/>
      <w:r w:rsidRPr="005653F9">
        <w:rPr>
          <w:lang w:val="en-GB"/>
        </w:rPr>
        <w:t>Haematologic</w:t>
      </w:r>
      <w:r>
        <w:rPr>
          <w:lang w:val="en-GB"/>
        </w:rPr>
        <w:t>a</w:t>
      </w:r>
      <w:proofErr w:type="spellEnd"/>
      <w:r>
        <w:rPr>
          <w:lang w:val="en-GB"/>
        </w:rPr>
        <w:t xml:space="preserve">, </w:t>
      </w:r>
      <w:proofErr w:type="spellStart"/>
      <w:r>
        <w:rPr>
          <w:lang w:val="en-GB"/>
        </w:rPr>
        <w:t>Suppl</w:t>
      </w:r>
      <w:proofErr w:type="spellEnd"/>
      <w:r>
        <w:rPr>
          <w:lang w:val="en-GB"/>
        </w:rPr>
        <w:t xml:space="preserve"> 2. Oct 2013; 98:6-7.</w:t>
      </w:r>
    </w:p>
  </w:footnote>
  <w:footnote w:id="15">
    <w:p w14:paraId="755CD8B6" w14:textId="5E1BB74B" w:rsidR="009701A0" w:rsidRPr="005653F9" w:rsidRDefault="009701A0">
      <w:pPr>
        <w:pStyle w:val="FootnoteText"/>
        <w:rPr>
          <w:lang w:val="en-GB"/>
        </w:rPr>
      </w:pPr>
      <w:r>
        <w:rPr>
          <w:rStyle w:val="FootnoteReference"/>
        </w:rPr>
        <w:footnoteRef/>
      </w:r>
      <w:r>
        <w:t xml:space="preserve"> </w:t>
      </w:r>
      <w:r w:rsidRPr="00D23407">
        <w:rPr>
          <w:lang w:val="en-GB"/>
        </w:rPr>
        <w:t>Connors JM, et al.</w:t>
      </w:r>
      <w:r>
        <w:rPr>
          <w:lang w:val="en-GB"/>
        </w:rPr>
        <w:t xml:space="preserve"> </w:t>
      </w:r>
      <w:r w:rsidRPr="005653F9">
        <w:rPr>
          <w:lang w:val="en-GB"/>
        </w:rPr>
        <w:t>Phase 3 study of brentuximab vedotin plus doxorubicin, vinblastine and dacarbazine (A+AVD) vs doxorubicin, bleomycin, vinblastine and dacarbazine (ABVD) as frontline treatment for advanced stage classical Hodgkin lymphoma (CHL). The Echelon-1 study. Hematological Oncol</w:t>
      </w:r>
      <w:r>
        <w:rPr>
          <w:lang w:val="en-GB"/>
        </w:rPr>
        <w:t>ogy, Suppl 1. Jun 2013; 31:278.</w:t>
      </w:r>
    </w:p>
  </w:footnote>
  <w:footnote w:id="16">
    <w:p w14:paraId="60798376" w14:textId="747E00D3" w:rsidR="009701A0" w:rsidRPr="005653F9" w:rsidRDefault="009701A0">
      <w:pPr>
        <w:pStyle w:val="FootnoteText"/>
        <w:rPr>
          <w:lang w:val="en-GB"/>
        </w:rPr>
      </w:pPr>
      <w:r>
        <w:rPr>
          <w:rStyle w:val="FootnoteReference"/>
        </w:rPr>
        <w:footnoteRef/>
      </w:r>
      <w:r>
        <w:t xml:space="preserve"> </w:t>
      </w:r>
      <w:r w:rsidRPr="00D23407">
        <w:rPr>
          <w:lang w:val="en-GB"/>
        </w:rPr>
        <w:t>Younes A, et al</w:t>
      </w:r>
      <w:r>
        <w:rPr>
          <w:lang w:val="en-GB"/>
        </w:rPr>
        <w:t xml:space="preserve">. </w:t>
      </w:r>
      <w:r w:rsidRPr="005653F9">
        <w:rPr>
          <w:lang w:val="en-GB"/>
        </w:rPr>
        <w:t>Phase III study of brentuximab vedotin plus doxorubicin, vinblastine, and dacarbazine (A+AVD) versus doxorubicin, bleomycin, vinblastine, and dacarbazine (ABVD) as front-line treatment for advanced classical Hodgkin lymphoma (HL). Journal of Clinical Oncolo</w:t>
      </w:r>
      <w:r>
        <w:rPr>
          <w:lang w:val="en-GB"/>
        </w:rPr>
        <w:t>gy, Suppl. 1. May 2013; 31(15).</w:t>
      </w:r>
    </w:p>
  </w:footnote>
  <w:footnote w:id="17">
    <w:p w14:paraId="090A6B24" w14:textId="4E5DEF29" w:rsidR="009701A0" w:rsidRPr="00803939" w:rsidRDefault="009701A0">
      <w:pPr>
        <w:pStyle w:val="FootnoteText"/>
        <w:rPr>
          <w:lang w:val="en-GB"/>
        </w:rPr>
      </w:pPr>
      <w:r>
        <w:rPr>
          <w:rStyle w:val="FootnoteReference"/>
        </w:rPr>
        <w:footnoteRef/>
      </w:r>
      <w:r>
        <w:t xml:space="preserve"> </w:t>
      </w:r>
      <w:proofErr w:type="spellStart"/>
      <w:r>
        <w:rPr>
          <w:lang w:val="en-GB"/>
        </w:rPr>
        <w:t>Fanale</w:t>
      </w:r>
      <w:proofErr w:type="spellEnd"/>
      <w:r>
        <w:rPr>
          <w:lang w:val="en-GB"/>
        </w:rPr>
        <w:t xml:space="preserve"> M</w:t>
      </w:r>
      <w:r w:rsidRPr="00604D46">
        <w:rPr>
          <w:lang w:val="en-GB"/>
        </w:rPr>
        <w:t>, et al.</w:t>
      </w:r>
      <w:r>
        <w:rPr>
          <w:lang w:val="en-GB"/>
        </w:rPr>
        <w:t xml:space="preserve"> </w:t>
      </w:r>
      <w:r w:rsidRPr="00803939">
        <w:rPr>
          <w:lang w:val="en-GB"/>
        </w:rPr>
        <w:t>Brentuximab vedotin in the front-line treatment of patients with CD30+ peripheral t-cell lymphomas: Results of a phase I study. J Clin Oncol. 2014;32(28) 3137-43.</w:t>
      </w:r>
    </w:p>
  </w:footnote>
  <w:footnote w:id="18">
    <w:p w14:paraId="75054A52" w14:textId="507821C5" w:rsidR="009701A0" w:rsidRPr="00604D46" w:rsidRDefault="009701A0">
      <w:pPr>
        <w:pStyle w:val="FootnoteText"/>
        <w:rPr>
          <w:lang w:val="en-GB"/>
        </w:rPr>
      </w:pPr>
      <w:r>
        <w:rPr>
          <w:rStyle w:val="FootnoteReference"/>
        </w:rPr>
        <w:footnoteRef/>
      </w:r>
      <w:r>
        <w:t xml:space="preserve"> </w:t>
      </w:r>
      <w:proofErr w:type="spellStart"/>
      <w:r w:rsidRPr="00604D46">
        <w:rPr>
          <w:lang w:val="en-GB"/>
        </w:rPr>
        <w:t>Fanale</w:t>
      </w:r>
      <w:proofErr w:type="spellEnd"/>
      <w:r w:rsidRPr="00604D46">
        <w:rPr>
          <w:lang w:val="en-GB"/>
        </w:rPr>
        <w:t xml:space="preserve"> M, </w:t>
      </w:r>
      <w:proofErr w:type="gramStart"/>
      <w:r w:rsidRPr="00604D46">
        <w:rPr>
          <w:lang w:val="en-GB"/>
        </w:rPr>
        <w:t>et</w:t>
      </w:r>
      <w:proofErr w:type="gramEnd"/>
      <w:r w:rsidRPr="00604D46">
        <w:rPr>
          <w:lang w:val="en-GB"/>
        </w:rPr>
        <w:t xml:space="preserve"> </w:t>
      </w:r>
      <w:proofErr w:type="spellStart"/>
      <w:r w:rsidRPr="00604D46">
        <w:rPr>
          <w:lang w:val="en-GB"/>
        </w:rPr>
        <w:t>al.Brentuximab</w:t>
      </w:r>
      <w:proofErr w:type="spellEnd"/>
      <w:r w:rsidRPr="00604D46">
        <w:rPr>
          <w:lang w:val="en-GB"/>
        </w:rPr>
        <w:t xml:space="preserve"> vedotin administered concurrently with multi-agent chemotherapy as frontline treatment of ALCL and other CD30-positive mature T-cell and NK-CELL lymphomas. Blood. Nov 2012; 120(21).</w:t>
      </w:r>
    </w:p>
  </w:footnote>
  <w:footnote w:id="19">
    <w:p w14:paraId="0445059D" w14:textId="1AED0335" w:rsidR="009701A0" w:rsidRPr="004F090E" w:rsidRDefault="009701A0">
      <w:pPr>
        <w:pStyle w:val="FootnoteText"/>
      </w:pPr>
      <w:r>
        <w:rPr>
          <w:rStyle w:val="FootnoteReference"/>
        </w:rPr>
        <w:footnoteRef/>
      </w:r>
      <w:r>
        <w:t xml:space="preserve"> </w:t>
      </w:r>
      <w:proofErr w:type="gramStart"/>
      <w:r w:rsidRPr="004F090E">
        <w:t xml:space="preserve">Blum K, et al. Cancer and </w:t>
      </w:r>
      <w:proofErr w:type="spellStart"/>
      <w:r w:rsidRPr="004F090E">
        <w:t>Leukemia</w:t>
      </w:r>
      <w:proofErr w:type="spellEnd"/>
      <w:r w:rsidRPr="004F090E">
        <w:t xml:space="preserve"> Group </w:t>
      </w:r>
      <w:proofErr w:type="spellStart"/>
      <w:r w:rsidRPr="004F090E">
        <w:t>B.Ann</w:t>
      </w:r>
      <w:proofErr w:type="spellEnd"/>
      <w:r w:rsidRPr="004F090E">
        <w:t xml:space="preserve"> </w:t>
      </w:r>
      <w:proofErr w:type="spellStart"/>
      <w:r w:rsidRPr="004F090E">
        <w:t>Oncol</w:t>
      </w:r>
      <w:proofErr w:type="spellEnd"/>
      <w:r w:rsidRPr="004F090E">
        <w:t>.</w:t>
      </w:r>
      <w:proofErr w:type="gramEnd"/>
      <w:r w:rsidRPr="004F090E">
        <w:t xml:space="preserve"> Serious pulmonary toxicity in patients with Hodgkin's lymphoma with SGN-30, gemcitabine, vinorelbine, and liposomal doxorubicin is associated with an FcγRIIIa-158 V/F polymorphism. 2010 Nov;21(11):2246-54.</w:t>
      </w:r>
    </w:p>
  </w:footnote>
  <w:footnote w:id="20">
    <w:p w14:paraId="1E0781A7" w14:textId="58280BA6" w:rsidR="009701A0" w:rsidRPr="00121751" w:rsidRDefault="009701A0" w:rsidP="00121751">
      <w:pPr>
        <w:pStyle w:val="FootnoteText"/>
        <w:rPr>
          <w:lang w:val="en-GB"/>
        </w:rPr>
      </w:pPr>
      <w:r>
        <w:rPr>
          <w:rStyle w:val="FootnoteReference"/>
        </w:rPr>
        <w:footnoteRef/>
      </w:r>
      <w:r>
        <w:t xml:space="preserve"> </w:t>
      </w:r>
      <w:r>
        <w:rPr>
          <w:lang w:val="en-GB"/>
        </w:rPr>
        <w:t>Cole P</w:t>
      </w:r>
      <w:r w:rsidRPr="00121751">
        <w:rPr>
          <w:lang w:val="en-GB"/>
        </w:rPr>
        <w:t>, et al. Phase 1 trial of brentuximab vedotin in combination with gemcitabine for pediatric and young adult patients with relapsed or refractory Hodgkin lymphoma, a Children’s Oncology Group report. J Clin Onco</w:t>
      </w:r>
      <w:r>
        <w:rPr>
          <w:lang w:val="en-GB"/>
        </w:rPr>
        <w:t>l 33, 2015 (</w:t>
      </w:r>
      <w:proofErr w:type="spellStart"/>
      <w:r>
        <w:rPr>
          <w:lang w:val="en-GB"/>
        </w:rPr>
        <w:t>suppl</w:t>
      </w:r>
      <w:proofErr w:type="spellEnd"/>
      <w:r>
        <w:rPr>
          <w:lang w:val="en-GB"/>
        </w:rPr>
        <w:t xml:space="preserve">; </w:t>
      </w:r>
      <w:proofErr w:type="spellStart"/>
      <w:r>
        <w:rPr>
          <w:lang w:val="en-GB"/>
        </w:rPr>
        <w:t>abstr</w:t>
      </w:r>
      <w:proofErr w:type="spellEnd"/>
      <w:r>
        <w:rPr>
          <w:lang w:val="en-GB"/>
        </w:rPr>
        <w:t xml:space="preserve"> 8544).</w:t>
      </w:r>
    </w:p>
  </w:footnote>
  <w:footnote w:id="21">
    <w:p w14:paraId="2F1B0166" w14:textId="4ED0C92A" w:rsidR="009701A0" w:rsidRPr="002E7C39" w:rsidRDefault="009701A0">
      <w:pPr>
        <w:pStyle w:val="FootnoteText"/>
      </w:pPr>
      <w:r>
        <w:rPr>
          <w:rStyle w:val="FootnoteReference"/>
        </w:rPr>
        <w:footnoteRef/>
      </w:r>
      <w:r>
        <w:t xml:space="preserve"> Altman D, et al. </w:t>
      </w:r>
      <w:r w:rsidRPr="00A71EC5">
        <w:t>The cost of dichotomising continuous variables. BMJ 2006 May 6; 332(7549):1080</w:t>
      </w:r>
    </w:p>
  </w:footnote>
  <w:footnote w:id="22">
    <w:p w14:paraId="41D43B0A" w14:textId="15D085F2" w:rsidR="009701A0" w:rsidRPr="002E7C39" w:rsidRDefault="009701A0">
      <w:pPr>
        <w:pStyle w:val="FootnoteText"/>
      </w:pPr>
      <w:r>
        <w:rPr>
          <w:rStyle w:val="FootnoteReference"/>
        </w:rPr>
        <w:footnoteRef/>
      </w:r>
      <w:r>
        <w:t xml:space="preserve"> Haynes R, et al. </w:t>
      </w:r>
      <w:r w:rsidRPr="002E7C39">
        <w:t>Clinical epidemiology. P. 2006 (third edition). Lippincott Williams &amp; Wilkins</w:t>
      </w:r>
    </w:p>
  </w:footnote>
  <w:footnote w:id="23">
    <w:p w14:paraId="447AEA82" w14:textId="25A17907" w:rsidR="009701A0" w:rsidRPr="00B42803" w:rsidRDefault="009701A0">
      <w:pPr>
        <w:pStyle w:val="FootnoteText"/>
        <w:rPr>
          <w:lang w:val="en-GB"/>
        </w:rPr>
      </w:pPr>
      <w:r>
        <w:rPr>
          <w:rStyle w:val="FootnoteReference"/>
        </w:rPr>
        <w:footnoteRef/>
      </w:r>
      <w:r>
        <w:t xml:space="preserve"> </w:t>
      </w:r>
      <w:r w:rsidRPr="0085094B">
        <w:rPr>
          <w:lang w:val="en-GB"/>
        </w:rPr>
        <w:t xml:space="preserve">Arai S, </w:t>
      </w:r>
      <w:r>
        <w:rPr>
          <w:lang w:val="en-GB"/>
        </w:rPr>
        <w:t>et al</w:t>
      </w:r>
      <w:r w:rsidRPr="0085094B">
        <w:rPr>
          <w:lang w:val="en-GB"/>
        </w:rPr>
        <w:t>. Defining a Hodgkin Lymphoma Population for Novel Therapeutics after Relapse from Autologous Hematopoietic Cell Transplantation. Leukemia &amp;</w:t>
      </w:r>
      <w:r>
        <w:rPr>
          <w:lang w:val="en-GB"/>
        </w:rPr>
        <w:t xml:space="preserve"> </w:t>
      </w:r>
      <w:r w:rsidRPr="0085094B">
        <w:rPr>
          <w:lang w:val="en-GB"/>
        </w:rPr>
        <w:t>Lymphoma</w:t>
      </w:r>
      <w:r>
        <w:rPr>
          <w:lang w:val="en-GB"/>
        </w:rPr>
        <w:t xml:space="preserve"> (2013) 54:2531-3.</w:t>
      </w:r>
    </w:p>
  </w:footnote>
  <w:footnote w:id="24">
    <w:p w14:paraId="4D7935D5" w14:textId="36B09AA0" w:rsidR="009701A0" w:rsidRPr="0085094B" w:rsidRDefault="009701A0">
      <w:pPr>
        <w:pStyle w:val="FootnoteText"/>
        <w:rPr>
          <w:lang w:val="en-GB"/>
        </w:rPr>
      </w:pPr>
      <w:r>
        <w:rPr>
          <w:rStyle w:val="FootnoteReference"/>
        </w:rPr>
        <w:footnoteRef/>
      </w:r>
      <w:r>
        <w:t xml:space="preserve"> </w:t>
      </w:r>
      <w:r w:rsidRPr="0085094B">
        <w:rPr>
          <w:lang w:val="en-GB"/>
        </w:rPr>
        <w:t>von Tresckow B, et al. Outcome and risk factors of patients with Hodgkin Lymphoma who relapse or progress after autologous stem cell transplant. Leukemia &amp; Lymphoma (2014); 55: 1922-4.</w:t>
      </w:r>
    </w:p>
  </w:footnote>
  <w:footnote w:id="25">
    <w:p w14:paraId="6BB3AC43" w14:textId="1FC89E52" w:rsidR="009701A0" w:rsidRPr="0085094B" w:rsidRDefault="009701A0">
      <w:pPr>
        <w:pStyle w:val="FootnoteText"/>
        <w:rPr>
          <w:lang w:val="en-GB"/>
        </w:rPr>
      </w:pPr>
      <w:r>
        <w:rPr>
          <w:rStyle w:val="FootnoteReference"/>
        </w:rPr>
        <w:footnoteRef/>
      </w:r>
      <w:r>
        <w:t xml:space="preserve"> </w:t>
      </w:r>
      <w:r w:rsidRPr="0085094B">
        <w:rPr>
          <w:lang w:val="en-GB"/>
        </w:rPr>
        <w:t>Chen R, et al. Five-Year Survival Data Demonstrating Durable Responses from a Pivotal Phase 2 Study of Brentuximab Vedotin in Patients with Relapsed or Refractory Hodgkin Lymphoma. Poster. American Society of Hematology Annual Meeting</w:t>
      </w:r>
      <w:r>
        <w:rPr>
          <w:lang w:val="en-GB"/>
        </w:rPr>
        <w:t xml:space="preserve"> (2015). Orlando, FL; </w:t>
      </w:r>
      <w:r w:rsidRPr="0085094B">
        <w:rPr>
          <w:lang w:val="en-GB"/>
        </w:rPr>
        <w:t>December 2015.</w:t>
      </w:r>
    </w:p>
  </w:footnote>
  <w:footnote w:id="26">
    <w:p w14:paraId="70A7CE05" w14:textId="77777777" w:rsidR="009701A0" w:rsidRDefault="009701A0" w:rsidP="0022460D">
      <w:pPr>
        <w:pStyle w:val="FootnoteText"/>
        <w:rPr>
          <w:lang w:val="en-GB"/>
        </w:rPr>
      </w:pPr>
      <w:r>
        <w:rPr>
          <w:rStyle w:val="FootnoteReference"/>
        </w:rPr>
        <w:footnoteRef/>
      </w:r>
      <w:r>
        <w:t xml:space="preserve"> </w:t>
      </w:r>
      <w:r w:rsidRPr="0022460D">
        <w:rPr>
          <w:lang w:val="en-GB"/>
        </w:rPr>
        <w:t xml:space="preserve">Arai S, </w:t>
      </w:r>
      <w:proofErr w:type="spellStart"/>
      <w:r w:rsidRPr="0022460D">
        <w:rPr>
          <w:lang w:val="en-GB"/>
        </w:rPr>
        <w:t>Fanale</w:t>
      </w:r>
      <w:proofErr w:type="spellEnd"/>
      <w:r w:rsidRPr="0022460D">
        <w:rPr>
          <w:lang w:val="en-GB"/>
        </w:rPr>
        <w:t xml:space="preserve"> M, </w:t>
      </w:r>
      <w:proofErr w:type="spellStart"/>
      <w:r w:rsidRPr="0022460D">
        <w:rPr>
          <w:lang w:val="en-GB"/>
        </w:rPr>
        <w:t>Devos</w:t>
      </w:r>
      <w:proofErr w:type="spellEnd"/>
      <w:r w:rsidRPr="0022460D">
        <w:rPr>
          <w:lang w:val="en-GB"/>
        </w:rPr>
        <w:t xml:space="preserve"> S, </w:t>
      </w:r>
      <w:proofErr w:type="spellStart"/>
      <w:r w:rsidRPr="0022460D">
        <w:rPr>
          <w:lang w:val="en-GB"/>
        </w:rPr>
        <w:t>Engert</w:t>
      </w:r>
      <w:proofErr w:type="spellEnd"/>
      <w:r w:rsidRPr="0022460D">
        <w:rPr>
          <w:lang w:val="en-GB"/>
        </w:rPr>
        <w:t xml:space="preserve"> A, </w:t>
      </w:r>
      <w:proofErr w:type="spellStart"/>
      <w:r w:rsidRPr="0022460D">
        <w:rPr>
          <w:lang w:val="en-GB"/>
        </w:rPr>
        <w:t>Illidge</w:t>
      </w:r>
      <w:proofErr w:type="spellEnd"/>
      <w:r w:rsidRPr="0022460D">
        <w:rPr>
          <w:lang w:val="en-GB"/>
        </w:rPr>
        <w:t xml:space="preserve"> T, </w:t>
      </w:r>
      <w:proofErr w:type="spellStart"/>
      <w:r w:rsidRPr="0022460D">
        <w:rPr>
          <w:lang w:val="en-GB"/>
        </w:rPr>
        <w:t>Borchmann</w:t>
      </w:r>
      <w:proofErr w:type="spellEnd"/>
      <w:r w:rsidRPr="0022460D">
        <w:rPr>
          <w:lang w:val="en-GB"/>
        </w:rPr>
        <w:t xml:space="preserve"> P, </w:t>
      </w:r>
      <w:proofErr w:type="spellStart"/>
      <w:r w:rsidRPr="0022460D">
        <w:rPr>
          <w:lang w:val="en-GB"/>
        </w:rPr>
        <w:t>Younes</w:t>
      </w:r>
      <w:proofErr w:type="spellEnd"/>
      <w:r w:rsidRPr="0022460D">
        <w:rPr>
          <w:lang w:val="en-GB"/>
        </w:rPr>
        <w:t xml:space="preserve"> A, </w:t>
      </w:r>
      <w:proofErr w:type="spellStart"/>
      <w:r w:rsidRPr="0022460D">
        <w:rPr>
          <w:lang w:val="en-GB"/>
        </w:rPr>
        <w:t>Morschhauser</w:t>
      </w:r>
      <w:proofErr w:type="spellEnd"/>
      <w:r w:rsidRPr="0022460D">
        <w:rPr>
          <w:lang w:val="en-GB"/>
        </w:rPr>
        <w:t xml:space="preserve"> F, McMillan A and Horning S (2013). Defining a Hodgkin Lymphoma Population for Novel Therapeutics after Relapse from Autologous Hematopoietic Cell Transplantation. </w:t>
      </w:r>
      <w:proofErr w:type="spellStart"/>
      <w:r w:rsidRPr="0022460D">
        <w:rPr>
          <w:lang w:val="en-GB"/>
        </w:rPr>
        <w:t>Leukemia</w:t>
      </w:r>
      <w:proofErr w:type="spellEnd"/>
      <w:r w:rsidRPr="0022460D">
        <w:rPr>
          <w:lang w:val="en-GB"/>
        </w:rPr>
        <w:t xml:space="preserve"> &amp;Lymphoma 54:2531-3</w:t>
      </w:r>
      <w:r>
        <w:rPr>
          <w:lang w:val="en-GB"/>
        </w:rPr>
        <w:t>.</w:t>
      </w:r>
    </w:p>
    <w:p w14:paraId="49A130CF" w14:textId="7E7BDBAF" w:rsidR="009701A0" w:rsidRPr="0022460D" w:rsidRDefault="009701A0" w:rsidP="0022460D">
      <w:pPr>
        <w:pStyle w:val="FootnoteText"/>
        <w:rPr>
          <w:lang w:val="en-GB"/>
        </w:rPr>
      </w:pPr>
      <w:r w:rsidRPr="0022460D">
        <w:rPr>
          <w:lang w:val="en-GB"/>
        </w:rPr>
        <w:t>Chen R</w:t>
      </w:r>
      <w:r>
        <w:rPr>
          <w:lang w:val="en-GB"/>
        </w:rPr>
        <w:t xml:space="preserve">, et al. </w:t>
      </w:r>
      <w:r w:rsidRPr="0022460D">
        <w:rPr>
          <w:lang w:val="en-GB"/>
        </w:rPr>
        <w:t>Five-Year Survival Data Demonstrating Durable Responses from a Pivotal Phase 2 Study of Brentuximab Vedotin in Patients with Relapsed or Refractory Hodgkin Lymphoma. Poster. American Society of Hematology Annual Meeting. Orlando, FL; 2015. December 20</w:t>
      </w:r>
      <w:r>
        <w:rPr>
          <w:lang w:val="en-GB"/>
        </w:rPr>
        <w:t>15.</w:t>
      </w:r>
    </w:p>
    <w:p w14:paraId="2E21CC43" w14:textId="6A76B5A9" w:rsidR="009701A0" w:rsidRPr="0022460D" w:rsidRDefault="009701A0">
      <w:pPr>
        <w:pStyle w:val="FootnoteText"/>
        <w:rPr>
          <w:lang w:val="en-GB"/>
        </w:rPr>
      </w:pPr>
      <w:r w:rsidRPr="0022460D">
        <w:rPr>
          <w:lang w:val="en-GB"/>
        </w:rPr>
        <w:t xml:space="preserve">von Tresckow B, </w:t>
      </w:r>
      <w:r>
        <w:rPr>
          <w:lang w:val="en-GB"/>
        </w:rPr>
        <w:t>et al.</w:t>
      </w:r>
      <w:r w:rsidRPr="0022460D">
        <w:rPr>
          <w:lang w:val="en-GB"/>
        </w:rPr>
        <w:t xml:space="preserve"> Outcome and risk factors of patients with Hodgkin Lymphoma who relapse or progress after autologous stem cell transplant. </w:t>
      </w:r>
      <w:r>
        <w:rPr>
          <w:lang w:val="en-GB"/>
        </w:rPr>
        <w:t>Leukemia &amp; Lymphoma (2014); 55: 1922-4.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8153D" w14:textId="77777777" w:rsidR="009701A0" w:rsidRDefault="009701A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815F4" w14:textId="77777777" w:rsidR="009701A0" w:rsidRDefault="009701A0">
    <w:pPr>
      <w:rPr>
        <w:noProof/>
        <w:lang w:eastAsia="en-AU"/>
      </w:rPr>
    </w:pPr>
    <w:r w:rsidRPr="00347824">
      <w:rPr>
        <w:noProof/>
        <w:lang w:eastAsia="en-AU"/>
      </w:rPr>
      <w:drawing>
        <wp:anchor distT="0" distB="0" distL="114300" distR="114300" simplePos="0" relativeHeight="251659264" behindDoc="1" locked="0" layoutInCell="1" allowOverlap="1" wp14:anchorId="476EC0B8" wp14:editId="7EE42842">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54F2554" w14:textId="77777777" w:rsidR="009701A0" w:rsidRDefault="009701A0" w:rsidP="00593AD1">
    <w:pPr>
      <w:pStyle w:val="HeaderNoLine"/>
    </w:pPr>
    <w:r>
      <w:rPr>
        <w:noProof/>
        <w:lang w:eastAsia="en-AU"/>
      </w:rPr>
      <w:drawing>
        <wp:inline distT="0" distB="0" distL="0" distR="0" wp14:anchorId="11E96EE1" wp14:editId="434F6DCD">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813BA" w14:textId="77777777" w:rsidR="009701A0" w:rsidRDefault="009701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D696C" w14:textId="77777777" w:rsidR="009701A0" w:rsidRDefault="009701A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D0C8D" w14:textId="77777777" w:rsidR="009701A0" w:rsidRDefault="009701A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061AF" w14:textId="77777777" w:rsidR="009701A0" w:rsidRDefault="009701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B7562" w14:textId="77777777" w:rsidR="009701A0" w:rsidRDefault="009701A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25C74" w14:textId="77777777" w:rsidR="009701A0" w:rsidRDefault="009701A0" w:rsidP="006E08B3">
    <w:r>
      <w:t>Therapeutic Goods Administration</w:t>
    </w:r>
  </w:p>
  <w:p w14:paraId="20E197F2" w14:textId="77777777" w:rsidR="009701A0" w:rsidRDefault="009701A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A606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206E0F4"/>
    <w:lvl w:ilvl="0">
      <w:start w:val="1"/>
      <w:numFmt w:val="decimal"/>
      <w:lvlText w:val="%1."/>
      <w:lvlJc w:val="left"/>
      <w:pPr>
        <w:tabs>
          <w:tab w:val="num" w:pos="1800"/>
        </w:tabs>
        <w:ind w:left="1800" w:hanging="360"/>
      </w:pPr>
    </w:lvl>
  </w:abstractNum>
  <w:abstractNum w:abstractNumId="2">
    <w:nsid w:val="FFFFFF7D"/>
    <w:multiLevelType w:val="singleLevel"/>
    <w:tmpl w:val="28D6F766"/>
    <w:lvl w:ilvl="0">
      <w:start w:val="1"/>
      <w:numFmt w:val="decimal"/>
      <w:lvlText w:val="%1."/>
      <w:lvlJc w:val="left"/>
      <w:pPr>
        <w:tabs>
          <w:tab w:val="num" w:pos="1440"/>
        </w:tabs>
        <w:ind w:left="1440" w:hanging="360"/>
      </w:pPr>
    </w:lvl>
  </w:abstractNum>
  <w:abstractNum w:abstractNumId="3">
    <w:nsid w:val="FFFFFF7E"/>
    <w:multiLevelType w:val="singleLevel"/>
    <w:tmpl w:val="AD1A4730"/>
    <w:lvl w:ilvl="0">
      <w:start w:val="1"/>
      <w:numFmt w:val="decimal"/>
      <w:lvlText w:val="%1."/>
      <w:lvlJc w:val="left"/>
      <w:pPr>
        <w:tabs>
          <w:tab w:val="num" w:pos="1080"/>
        </w:tabs>
        <w:ind w:left="1080" w:hanging="360"/>
      </w:pPr>
    </w:lvl>
  </w:abstractNum>
  <w:abstractNum w:abstractNumId="4">
    <w:nsid w:val="FFFFFF7F"/>
    <w:multiLevelType w:val="singleLevel"/>
    <w:tmpl w:val="5AD4CA1E"/>
    <w:lvl w:ilvl="0">
      <w:start w:val="1"/>
      <w:numFmt w:val="decimal"/>
      <w:lvlText w:val="%1."/>
      <w:lvlJc w:val="left"/>
      <w:pPr>
        <w:tabs>
          <w:tab w:val="num" w:pos="720"/>
        </w:tabs>
        <w:ind w:left="720" w:hanging="360"/>
      </w:pPr>
    </w:lvl>
  </w:abstractNum>
  <w:abstractNum w:abstractNumId="5">
    <w:nsid w:val="FFFFFF80"/>
    <w:multiLevelType w:val="singleLevel"/>
    <w:tmpl w:val="610C946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A92A1D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89027D8"/>
    <w:lvl w:ilvl="0">
      <w:start w:val="1"/>
      <w:numFmt w:val="bullet"/>
      <w:lvlText w:val="–"/>
      <w:lvlJc w:val="left"/>
      <w:pPr>
        <w:ind w:left="643" w:hanging="360"/>
      </w:pPr>
      <w:rPr>
        <w:rFonts w:ascii="Arial" w:hAnsi="Arial" w:hint="default"/>
      </w:rPr>
    </w:lvl>
  </w:abstractNum>
  <w:abstractNum w:abstractNumId="9">
    <w:nsid w:val="FFFFFF88"/>
    <w:multiLevelType w:val="singleLevel"/>
    <w:tmpl w:val="2A78BAB6"/>
    <w:lvl w:ilvl="0">
      <w:start w:val="1"/>
      <w:numFmt w:val="decimal"/>
      <w:lvlText w:val="%1."/>
      <w:lvlJc w:val="left"/>
      <w:pPr>
        <w:tabs>
          <w:tab w:val="num" w:pos="360"/>
        </w:tabs>
        <w:ind w:left="360" w:hanging="360"/>
      </w:pPr>
    </w:lvl>
  </w:abstractNum>
  <w:abstractNum w:abstractNumId="10">
    <w:nsid w:val="FFFFFF89"/>
    <w:multiLevelType w:val="singleLevel"/>
    <w:tmpl w:val="D0E68248"/>
    <w:lvl w:ilvl="0">
      <w:start w:val="1"/>
      <w:numFmt w:val="bullet"/>
      <w:lvlText w:val=""/>
      <w:lvlJc w:val="left"/>
      <w:pPr>
        <w:tabs>
          <w:tab w:val="num" w:pos="360"/>
        </w:tabs>
        <w:ind w:left="360" w:hanging="360"/>
      </w:pPr>
      <w:rPr>
        <w:rFonts w:ascii="Symbol" w:hAnsi="Symbol" w:hint="default"/>
      </w:rPr>
    </w:lvl>
  </w:abstractNum>
  <w:abstractNum w:abstractNumId="11">
    <w:nsid w:val="FFFFFFFE"/>
    <w:multiLevelType w:val="singleLevel"/>
    <w:tmpl w:val="B8320B0A"/>
    <w:lvl w:ilvl="0">
      <w:numFmt w:val="bullet"/>
      <w:lvlText w:val="*"/>
      <w:lvlJc w:val="left"/>
    </w:lvl>
  </w:abstractNum>
  <w:abstractNum w:abstractNumId="12">
    <w:nsid w:val="0E0166AE"/>
    <w:multiLevelType w:val="hybridMultilevel"/>
    <w:tmpl w:val="1EA863DC"/>
    <w:lvl w:ilvl="0" w:tplc="C00400D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91D1C23"/>
    <w:multiLevelType w:val="multilevel"/>
    <w:tmpl w:val="3620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2DA4B8B"/>
    <w:multiLevelType w:val="hybridMultilevel"/>
    <w:tmpl w:val="838E60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AB9165F"/>
    <w:multiLevelType w:val="hybridMultilevel"/>
    <w:tmpl w:val="D28842B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0F0A80"/>
    <w:multiLevelType w:val="hybridMultilevel"/>
    <w:tmpl w:val="A0927230"/>
    <w:lvl w:ilvl="0" w:tplc="43C6692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2122931"/>
    <w:multiLevelType w:val="hybridMultilevel"/>
    <w:tmpl w:val="DD06B0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6A6904AD"/>
    <w:multiLevelType w:val="hybridMultilevel"/>
    <w:tmpl w:val="3AA8B2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14"/>
  </w:num>
  <w:num w:numId="4">
    <w:abstractNumId w:val="14"/>
  </w:num>
  <w:num w:numId="5">
    <w:abstractNumId w:val="7"/>
  </w:num>
  <w:num w:numId="6">
    <w:abstractNumId w:val="14"/>
  </w:num>
  <w:num w:numId="7">
    <w:abstractNumId w:val="14"/>
  </w:num>
  <w:num w:numId="8">
    <w:abstractNumId w:val="13"/>
  </w:num>
  <w:num w:numId="9">
    <w:abstractNumId w:val="13"/>
  </w:num>
  <w:num w:numId="10">
    <w:abstractNumId w:val="13"/>
  </w:num>
  <w:num w:numId="11">
    <w:abstractNumId w:val="13"/>
  </w:num>
  <w:num w:numId="12">
    <w:abstractNumId w:val="11"/>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3"/>
  </w:num>
  <w:num w:numId="17">
    <w:abstractNumId w:val="13"/>
  </w:num>
  <w:num w:numId="18">
    <w:abstractNumId w:val="13"/>
  </w:num>
  <w:num w:numId="19">
    <w:abstractNumId w:val="14"/>
  </w:num>
  <w:num w:numId="20">
    <w:abstractNumId w:val="14"/>
  </w:num>
  <w:num w:numId="21">
    <w:abstractNumId w:val="14"/>
  </w:num>
  <w:num w:numId="22">
    <w:abstractNumId w:val="13"/>
  </w:num>
  <w:num w:numId="23">
    <w:abstractNumId w:val="13"/>
  </w:num>
  <w:num w:numId="24">
    <w:abstractNumId w:val="13"/>
  </w:num>
  <w:num w:numId="25">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7"/>
  </w:num>
  <w:num w:numId="28">
    <w:abstractNumId w:val="16"/>
  </w:num>
  <w:num w:numId="29">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1"/>
  </w:num>
  <w:num w:numId="31">
    <w:abstractNumId w:val="2"/>
  </w:num>
  <w:num w:numId="32">
    <w:abstractNumId w:val="3"/>
  </w:num>
  <w:num w:numId="33">
    <w:abstractNumId w:val="4"/>
  </w:num>
  <w:num w:numId="34">
    <w:abstractNumId w:val="9"/>
  </w:num>
  <w:num w:numId="35">
    <w:abstractNumId w:val="5"/>
  </w:num>
  <w:num w:numId="36">
    <w:abstractNumId w:val="6"/>
  </w:num>
  <w:num w:numId="37">
    <w:abstractNumId w:val="0"/>
  </w:num>
  <w:num w:numId="38">
    <w:abstractNumId w:val="21"/>
  </w:num>
  <w:num w:numId="39">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19"/>
  </w:num>
  <w:num w:numId="42">
    <w:abstractNumId w:val="12"/>
  </w:num>
  <w:num w:numId="43">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15"/>
  </w:num>
  <w:num w:numId="45">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18"/>
  </w:num>
  <w:num w:numId="4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Pembrey">
    <w15:presenceInfo w15:providerId="Windows Live" w15:userId="b7229a980bb7fa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2031"/>
    <w:rsid w:val="00004734"/>
    <w:rsid w:val="00006B22"/>
    <w:rsid w:val="0001276A"/>
    <w:rsid w:val="000246AE"/>
    <w:rsid w:val="00025C67"/>
    <w:rsid w:val="00032D6C"/>
    <w:rsid w:val="00044772"/>
    <w:rsid w:val="0005559E"/>
    <w:rsid w:val="000604D6"/>
    <w:rsid w:val="00064FEB"/>
    <w:rsid w:val="0007133D"/>
    <w:rsid w:val="000734D8"/>
    <w:rsid w:val="00077775"/>
    <w:rsid w:val="00081D51"/>
    <w:rsid w:val="00087676"/>
    <w:rsid w:val="00090471"/>
    <w:rsid w:val="00096AA7"/>
    <w:rsid w:val="000A2092"/>
    <w:rsid w:val="000A3AED"/>
    <w:rsid w:val="000A401C"/>
    <w:rsid w:val="000B04F4"/>
    <w:rsid w:val="000B3532"/>
    <w:rsid w:val="000B3A75"/>
    <w:rsid w:val="000B5047"/>
    <w:rsid w:val="000C00C2"/>
    <w:rsid w:val="000C1EC7"/>
    <w:rsid w:val="000C66DA"/>
    <w:rsid w:val="000C690F"/>
    <w:rsid w:val="000D1295"/>
    <w:rsid w:val="000D391B"/>
    <w:rsid w:val="000D3D6D"/>
    <w:rsid w:val="000D4FC7"/>
    <w:rsid w:val="000D7464"/>
    <w:rsid w:val="000E6196"/>
    <w:rsid w:val="000F36CD"/>
    <w:rsid w:val="000F4869"/>
    <w:rsid w:val="000F5B42"/>
    <w:rsid w:val="000F6E6F"/>
    <w:rsid w:val="000F7222"/>
    <w:rsid w:val="00105115"/>
    <w:rsid w:val="0010601F"/>
    <w:rsid w:val="0010788A"/>
    <w:rsid w:val="00107A31"/>
    <w:rsid w:val="00110EA5"/>
    <w:rsid w:val="0011143E"/>
    <w:rsid w:val="00112F56"/>
    <w:rsid w:val="00120616"/>
    <w:rsid w:val="00121751"/>
    <w:rsid w:val="001226CB"/>
    <w:rsid w:val="00122A54"/>
    <w:rsid w:val="00123DBF"/>
    <w:rsid w:val="00125318"/>
    <w:rsid w:val="001305A2"/>
    <w:rsid w:val="00133238"/>
    <w:rsid w:val="00133A1B"/>
    <w:rsid w:val="0014197B"/>
    <w:rsid w:val="001447CD"/>
    <w:rsid w:val="00144A94"/>
    <w:rsid w:val="001516B1"/>
    <w:rsid w:val="00154EBB"/>
    <w:rsid w:val="00155306"/>
    <w:rsid w:val="00156316"/>
    <w:rsid w:val="00161181"/>
    <w:rsid w:val="00162D14"/>
    <w:rsid w:val="00165389"/>
    <w:rsid w:val="00171A1F"/>
    <w:rsid w:val="0017693F"/>
    <w:rsid w:val="0018110E"/>
    <w:rsid w:val="00181684"/>
    <w:rsid w:val="001843C6"/>
    <w:rsid w:val="001850E0"/>
    <w:rsid w:val="00186948"/>
    <w:rsid w:val="00193DEA"/>
    <w:rsid w:val="001953A3"/>
    <w:rsid w:val="001A2158"/>
    <w:rsid w:val="001A525F"/>
    <w:rsid w:val="001B09F9"/>
    <w:rsid w:val="001B30A8"/>
    <w:rsid w:val="001B5C90"/>
    <w:rsid w:val="001B6448"/>
    <w:rsid w:val="001C32CD"/>
    <w:rsid w:val="001C3F61"/>
    <w:rsid w:val="001D2984"/>
    <w:rsid w:val="001D5323"/>
    <w:rsid w:val="001E07CF"/>
    <w:rsid w:val="001E119A"/>
    <w:rsid w:val="001E17D9"/>
    <w:rsid w:val="001E59F1"/>
    <w:rsid w:val="001F2CEE"/>
    <w:rsid w:val="001F49EB"/>
    <w:rsid w:val="001F60FB"/>
    <w:rsid w:val="001F6CBA"/>
    <w:rsid w:val="00201D4E"/>
    <w:rsid w:val="002076C9"/>
    <w:rsid w:val="00220B8A"/>
    <w:rsid w:val="00221773"/>
    <w:rsid w:val="0022460D"/>
    <w:rsid w:val="00224D2B"/>
    <w:rsid w:val="002257F3"/>
    <w:rsid w:val="0022666C"/>
    <w:rsid w:val="00231213"/>
    <w:rsid w:val="00233456"/>
    <w:rsid w:val="002339A5"/>
    <w:rsid w:val="00234864"/>
    <w:rsid w:val="00243FDA"/>
    <w:rsid w:val="00257848"/>
    <w:rsid w:val="0026663A"/>
    <w:rsid w:val="0027084A"/>
    <w:rsid w:val="00286434"/>
    <w:rsid w:val="00286C59"/>
    <w:rsid w:val="00291957"/>
    <w:rsid w:val="002942D1"/>
    <w:rsid w:val="0029501A"/>
    <w:rsid w:val="002A12E4"/>
    <w:rsid w:val="002A3721"/>
    <w:rsid w:val="002B1638"/>
    <w:rsid w:val="002B3624"/>
    <w:rsid w:val="002D0952"/>
    <w:rsid w:val="002E0D2E"/>
    <w:rsid w:val="002E40B3"/>
    <w:rsid w:val="002E4C9A"/>
    <w:rsid w:val="002E7C39"/>
    <w:rsid w:val="002F11F8"/>
    <w:rsid w:val="002F3F56"/>
    <w:rsid w:val="002F44B5"/>
    <w:rsid w:val="002F567E"/>
    <w:rsid w:val="00301177"/>
    <w:rsid w:val="003040AF"/>
    <w:rsid w:val="00304DDC"/>
    <w:rsid w:val="00311AC0"/>
    <w:rsid w:val="003176FC"/>
    <w:rsid w:val="0032354E"/>
    <w:rsid w:val="0032583B"/>
    <w:rsid w:val="00327883"/>
    <w:rsid w:val="00335504"/>
    <w:rsid w:val="00337A97"/>
    <w:rsid w:val="00340C18"/>
    <w:rsid w:val="003442FD"/>
    <w:rsid w:val="00347824"/>
    <w:rsid w:val="00350567"/>
    <w:rsid w:val="003521E8"/>
    <w:rsid w:val="00355704"/>
    <w:rsid w:val="00357CF8"/>
    <w:rsid w:val="00370CE3"/>
    <w:rsid w:val="003728F3"/>
    <w:rsid w:val="0037496E"/>
    <w:rsid w:val="00383221"/>
    <w:rsid w:val="00386150"/>
    <w:rsid w:val="003874CE"/>
    <w:rsid w:val="0039049C"/>
    <w:rsid w:val="00390900"/>
    <w:rsid w:val="003A1702"/>
    <w:rsid w:val="003A7F6C"/>
    <w:rsid w:val="003B417C"/>
    <w:rsid w:val="003B4D60"/>
    <w:rsid w:val="003B787B"/>
    <w:rsid w:val="003B7E39"/>
    <w:rsid w:val="003C58DC"/>
    <w:rsid w:val="003C7AB5"/>
    <w:rsid w:val="003D0FE3"/>
    <w:rsid w:val="003D1E62"/>
    <w:rsid w:val="003E0B99"/>
    <w:rsid w:val="003E2486"/>
    <w:rsid w:val="003E3208"/>
    <w:rsid w:val="003E38B1"/>
    <w:rsid w:val="003E3A88"/>
    <w:rsid w:val="003F0B04"/>
    <w:rsid w:val="003F50B8"/>
    <w:rsid w:val="003F5D88"/>
    <w:rsid w:val="0040134E"/>
    <w:rsid w:val="00417C51"/>
    <w:rsid w:val="004318EA"/>
    <w:rsid w:val="004334C7"/>
    <w:rsid w:val="00434FBB"/>
    <w:rsid w:val="00435A67"/>
    <w:rsid w:val="00437A54"/>
    <w:rsid w:val="00440A2D"/>
    <w:rsid w:val="00441C3F"/>
    <w:rsid w:val="004564A7"/>
    <w:rsid w:val="004617BF"/>
    <w:rsid w:val="00462D84"/>
    <w:rsid w:val="00463658"/>
    <w:rsid w:val="004637A0"/>
    <w:rsid w:val="00463CE0"/>
    <w:rsid w:val="004642FB"/>
    <w:rsid w:val="004722CC"/>
    <w:rsid w:val="0049075C"/>
    <w:rsid w:val="004936E4"/>
    <w:rsid w:val="00494E60"/>
    <w:rsid w:val="00497487"/>
    <w:rsid w:val="004A169C"/>
    <w:rsid w:val="004A4082"/>
    <w:rsid w:val="004A6189"/>
    <w:rsid w:val="004A7390"/>
    <w:rsid w:val="004B7B76"/>
    <w:rsid w:val="004C239D"/>
    <w:rsid w:val="004C2DCA"/>
    <w:rsid w:val="004C61D2"/>
    <w:rsid w:val="004D593F"/>
    <w:rsid w:val="004F090E"/>
    <w:rsid w:val="004F0C4A"/>
    <w:rsid w:val="004F0F38"/>
    <w:rsid w:val="004F2574"/>
    <w:rsid w:val="004F47D6"/>
    <w:rsid w:val="00501921"/>
    <w:rsid w:val="005147EB"/>
    <w:rsid w:val="00530354"/>
    <w:rsid w:val="00530D7F"/>
    <w:rsid w:val="0053625B"/>
    <w:rsid w:val="0054121B"/>
    <w:rsid w:val="005434C6"/>
    <w:rsid w:val="00543B39"/>
    <w:rsid w:val="00546154"/>
    <w:rsid w:val="00550096"/>
    <w:rsid w:val="005512A2"/>
    <w:rsid w:val="005516BC"/>
    <w:rsid w:val="00555280"/>
    <w:rsid w:val="00557FF9"/>
    <w:rsid w:val="00562327"/>
    <w:rsid w:val="005653F9"/>
    <w:rsid w:val="005711D5"/>
    <w:rsid w:val="00576378"/>
    <w:rsid w:val="00577130"/>
    <w:rsid w:val="00577945"/>
    <w:rsid w:val="00577E38"/>
    <w:rsid w:val="00584683"/>
    <w:rsid w:val="00585322"/>
    <w:rsid w:val="005857C6"/>
    <w:rsid w:val="00592F6E"/>
    <w:rsid w:val="00593AD1"/>
    <w:rsid w:val="005A43D3"/>
    <w:rsid w:val="005A68B6"/>
    <w:rsid w:val="005B11CC"/>
    <w:rsid w:val="005B24AC"/>
    <w:rsid w:val="005B7C26"/>
    <w:rsid w:val="005C47DC"/>
    <w:rsid w:val="005C5570"/>
    <w:rsid w:val="005C5B39"/>
    <w:rsid w:val="005C79A4"/>
    <w:rsid w:val="005D41A2"/>
    <w:rsid w:val="005D49BA"/>
    <w:rsid w:val="005D5442"/>
    <w:rsid w:val="005D59BC"/>
    <w:rsid w:val="005E163E"/>
    <w:rsid w:val="00600B50"/>
    <w:rsid w:val="00601695"/>
    <w:rsid w:val="00603F32"/>
    <w:rsid w:val="00604D46"/>
    <w:rsid w:val="00605AD4"/>
    <w:rsid w:val="006136D7"/>
    <w:rsid w:val="00625A6E"/>
    <w:rsid w:val="00632398"/>
    <w:rsid w:val="00633522"/>
    <w:rsid w:val="00640FC3"/>
    <w:rsid w:val="00642020"/>
    <w:rsid w:val="00646F6C"/>
    <w:rsid w:val="0065337B"/>
    <w:rsid w:val="0065419D"/>
    <w:rsid w:val="006604D8"/>
    <w:rsid w:val="006633C8"/>
    <w:rsid w:val="00664A5B"/>
    <w:rsid w:val="0066735C"/>
    <w:rsid w:val="006763D2"/>
    <w:rsid w:val="00680C08"/>
    <w:rsid w:val="00691264"/>
    <w:rsid w:val="006916A0"/>
    <w:rsid w:val="006931B1"/>
    <w:rsid w:val="006A15C0"/>
    <w:rsid w:val="006B16A5"/>
    <w:rsid w:val="006B19B6"/>
    <w:rsid w:val="006B72AA"/>
    <w:rsid w:val="006C3E2A"/>
    <w:rsid w:val="006C642F"/>
    <w:rsid w:val="006D03E5"/>
    <w:rsid w:val="006D07F6"/>
    <w:rsid w:val="006D27FB"/>
    <w:rsid w:val="006D5D3E"/>
    <w:rsid w:val="006E08B3"/>
    <w:rsid w:val="006E6187"/>
    <w:rsid w:val="006E641E"/>
    <w:rsid w:val="006F17AC"/>
    <w:rsid w:val="006F25B8"/>
    <w:rsid w:val="006F4573"/>
    <w:rsid w:val="006F572E"/>
    <w:rsid w:val="006F7CAF"/>
    <w:rsid w:val="00700EC0"/>
    <w:rsid w:val="007046D6"/>
    <w:rsid w:val="00705DB0"/>
    <w:rsid w:val="00710F24"/>
    <w:rsid w:val="0071377F"/>
    <w:rsid w:val="0071480A"/>
    <w:rsid w:val="007168EB"/>
    <w:rsid w:val="00716E63"/>
    <w:rsid w:val="007212EA"/>
    <w:rsid w:val="00722B57"/>
    <w:rsid w:val="00726896"/>
    <w:rsid w:val="00730F8A"/>
    <w:rsid w:val="00735A8C"/>
    <w:rsid w:val="0074253D"/>
    <w:rsid w:val="0074429B"/>
    <w:rsid w:val="00750125"/>
    <w:rsid w:val="007615BC"/>
    <w:rsid w:val="00762F05"/>
    <w:rsid w:val="007652FF"/>
    <w:rsid w:val="007675B7"/>
    <w:rsid w:val="00770CAC"/>
    <w:rsid w:val="00770EF1"/>
    <w:rsid w:val="00773EF7"/>
    <w:rsid w:val="00774E1D"/>
    <w:rsid w:val="00775FB8"/>
    <w:rsid w:val="007765D8"/>
    <w:rsid w:val="0077675A"/>
    <w:rsid w:val="00776CB5"/>
    <w:rsid w:val="00780355"/>
    <w:rsid w:val="007819FD"/>
    <w:rsid w:val="00783197"/>
    <w:rsid w:val="00785717"/>
    <w:rsid w:val="00785721"/>
    <w:rsid w:val="00793A59"/>
    <w:rsid w:val="007965FD"/>
    <w:rsid w:val="007A7906"/>
    <w:rsid w:val="007B6132"/>
    <w:rsid w:val="007B6438"/>
    <w:rsid w:val="007B6E9F"/>
    <w:rsid w:val="007C1216"/>
    <w:rsid w:val="007C1AF7"/>
    <w:rsid w:val="007C6B9B"/>
    <w:rsid w:val="007D3418"/>
    <w:rsid w:val="007E2F2A"/>
    <w:rsid w:val="007E3065"/>
    <w:rsid w:val="00803939"/>
    <w:rsid w:val="00805D27"/>
    <w:rsid w:val="00806DCB"/>
    <w:rsid w:val="00807504"/>
    <w:rsid w:val="00807932"/>
    <w:rsid w:val="00821776"/>
    <w:rsid w:val="008235DC"/>
    <w:rsid w:val="008239F9"/>
    <w:rsid w:val="00827EC2"/>
    <w:rsid w:val="008321F5"/>
    <w:rsid w:val="00832369"/>
    <w:rsid w:val="00832E73"/>
    <w:rsid w:val="00834660"/>
    <w:rsid w:val="00836BC2"/>
    <w:rsid w:val="0085094B"/>
    <w:rsid w:val="0085156D"/>
    <w:rsid w:val="0085641B"/>
    <w:rsid w:val="00857136"/>
    <w:rsid w:val="00866AB4"/>
    <w:rsid w:val="00875A6B"/>
    <w:rsid w:val="00877E82"/>
    <w:rsid w:val="00885B11"/>
    <w:rsid w:val="00886D15"/>
    <w:rsid w:val="00887DD8"/>
    <w:rsid w:val="00891BA9"/>
    <w:rsid w:val="00896018"/>
    <w:rsid w:val="008960DD"/>
    <w:rsid w:val="0089635C"/>
    <w:rsid w:val="008A2B9D"/>
    <w:rsid w:val="008A3D9F"/>
    <w:rsid w:val="008A5E0B"/>
    <w:rsid w:val="008A6D59"/>
    <w:rsid w:val="008B4B03"/>
    <w:rsid w:val="008B4B13"/>
    <w:rsid w:val="008B596F"/>
    <w:rsid w:val="008B59F0"/>
    <w:rsid w:val="008C159F"/>
    <w:rsid w:val="008C1623"/>
    <w:rsid w:val="008C1850"/>
    <w:rsid w:val="008C491C"/>
    <w:rsid w:val="008C49B4"/>
    <w:rsid w:val="008C51A9"/>
    <w:rsid w:val="008D1F9F"/>
    <w:rsid w:val="008E7846"/>
    <w:rsid w:val="008F02E5"/>
    <w:rsid w:val="008F1CCC"/>
    <w:rsid w:val="008F2967"/>
    <w:rsid w:val="008F6943"/>
    <w:rsid w:val="00902A21"/>
    <w:rsid w:val="00911BE5"/>
    <w:rsid w:val="00920330"/>
    <w:rsid w:val="009211F8"/>
    <w:rsid w:val="009219D7"/>
    <w:rsid w:val="00922D53"/>
    <w:rsid w:val="00923B70"/>
    <w:rsid w:val="00924482"/>
    <w:rsid w:val="00930237"/>
    <w:rsid w:val="00937C17"/>
    <w:rsid w:val="00940A89"/>
    <w:rsid w:val="009418C7"/>
    <w:rsid w:val="00946BCD"/>
    <w:rsid w:val="00946EA5"/>
    <w:rsid w:val="0094783C"/>
    <w:rsid w:val="00952D4A"/>
    <w:rsid w:val="00963C08"/>
    <w:rsid w:val="00963CE6"/>
    <w:rsid w:val="009640D0"/>
    <w:rsid w:val="00970121"/>
    <w:rsid w:val="009701A0"/>
    <w:rsid w:val="00971ECA"/>
    <w:rsid w:val="009752A5"/>
    <w:rsid w:val="0098585A"/>
    <w:rsid w:val="009A1101"/>
    <w:rsid w:val="009A4CED"/>
    <w:rsid w:val="009A690D"/>
    <w:rsid w:val="009B1D12"/>
    <w:rsid w:val="009B416B"/>
    <w:rsid w:val="009C3626"/>
    <w:rsid w:val="009C4BD5"/>
    <w:rsid w:val="009C71E8"/>
    <w:rsid w:val="009D0F0F"/>
    <w:rsid w:val="009D7B77"/>
    <w:rsid w:val="009E0BB0"/>
    <w:rsid w:val="009E3FBB"/>
    <w:rsid w:val="009E6479"/>
    <w:rsid w:val="009F7353"/>
    <w:rsid w:val="00A04F85"/>
    <w:rsid w:val="00A05FA4"/>
    <w:rsid w:val="00A0799F"/>
    <w:rsid w:val="00A102E4"/>
    <w:rsid w:val="00A12C42"/>
    <w:rsid w:val="00A14DF7"/>
    <w:rsid w:val="00A15DB0"/>
    <w:rsid w:val="00A246FD"/>
    <w:rsid w:val="00A30374"/>
    <w:rsid w:val="00A31C7B"/>
    <w:rsid w:val="00A3246D"/>
    <w:rsid w:val="00A36FA7"/>
    <w:rsid w:val="00A44DDB"/>
    <w:rsid w:val="00A475B7"/>
    <w:rsid w:val="00A47AF7"/>
    <w:rsid w:val="00A47C3E"/>
    <w:rsid w:val="00A50226"/>
    <w:rsid w:val="00A525B1"/>
    <w:rsid w:val="00A53A6E"/>
    <w:rsid w:val="00A607F9"/>
    <w:rsid w:val="00A60BAD"/>
    <w:rsid w:val="00A64A55"/>
    <w:rsid w:val="00A71EC5"/>
    <w:rsid w:val="00A80B5B"/>
    <w:rsid w:val="00A83722"/>
    <w:rsid w:val="00A84E36"/>
    <w:rsid w:val="00A964D1"/>
    <w:rsid w:val="00AA0ED0"/>
    <w:rsid w:val="00AA2D64"/>
    <w:rsid w:val="00AC2B40"/>
    <w:rsid w:val="00AC2BB2"/>
    <w:rsid w:val="00AC2C3C"/>
    <w:rsid w:val="00AC512D"/>
    <w:rsid w:val="00AD0083"/>
    <w:rsid w:val="00AD0D2A"/>
    <w:rsid w:val="00AD3935"/>
    <w:rsid w:val="00AD73C6"/>
    <w:rsid w:val="00AE65EB"/>
    <w:rsid w:val="00AE67A7"/>
    <w:rsid w:val="00AF1D94"/>
    <w:rsid w:val="00AF3DAD"/>
    <w:rsid w:val="00AF60C5"/>
    <w:rsid w:val="00B009C6"/>
    <w:rsid w:val="00B01548"/>
    <w:rsid w:val="00B01F1D"/>
    <w:rsid w:val="00B105DD"/>
    <w:rsid w:val="00B13EBD"/>
    <w:rsid w:val="00B21D29"/>
    <w:rsid w:val="00B25034"/>
    <w:rsid w:val="00B31B75"/>
    <w:rsid w:val="00B33588"/>
    <w:rsid w:val="00B33863"/>
    <w:rsid w:val="00B37D17"/>
    <w:rsid w:val="00B4175E"/>
    <w:rsid w:val="00B42803"/>
    <w:rsid w:val="00B452CE"/>
    <w:rsid w:val="00B54C25"/>
    <w:rsid w:val="00B76B91"/>
    <w:rsid w:val="00B77EB1"/>
    <w:rsid w:val="00B80A2C"/>
    <w:rsid w:val="00B811C6"/>
    <w:rsid w:val="00B855B0"/>
    <w:rsid w:val="00B92E08"/>
    <w:rsid w:val="00BA47EE"/>
    <w:rsid w:val="00BC00B3"/>
    <w:rsid w:val="00BC5221"/>
    <w:rsid w:val="00BC622A"/>
    <w:rsid w:val="00BD1549"/>
    <w:rsid w:val="00BD7C2C"/>
    <w:rsid w:val="00BE0A78"/>
    <w:rsid w:val="00BE4333"/>
    <w:rsid w:val="00BE79F0"/>
    <w:rsid w:val="00BF046D"/>
    <w:rsid w:val="00BF1190"/>
    <w:rsid w:val="00BF2EA9"/>
    <w:rsid w:val="00BF5D04"/>
    <w:rsid w:val="00C00656"/>
    <w:rsid w:val="00C009AA"/>
    <w:rsid w:val="00C05EA3"/>
    <w:rsid w:val="00C0787C"/>
    <w:rsid w:val="00C1164D"/>
    <w:rsid w:val="00C14EE7"/>
    <w:rsid w:val="00C16861"/>
    <w:rsid w:val="00C20961"/>
    <w:rsid w:val="00C219AC"/>
    <w:rsid w:val="00C23655"/>
    <w:rsid w:val="00C2625B"/>
    <w:rsid w:val="00C32305"/>
    <w:rsid w:val="00C346AB"/>
    <w:rsid w:val="00C377B8"/>
    <w:rsid w:val="00C404A6"/>
    <w:rsid w:val="00C40A36"/>
    <w:rsid w:val="00C41B62"/>
    <w:rsid w:val="00C44419"/>
    <w:rsid w:val="00C45E7B"/>
    <w:rsid w:val="00C471B1"/>
    <w:rsid w:val="00C6316B"/>
    <w:rsid w:val="00C634A9"/>
    <w:rsid w:val="00C64586"/>
    <w:rsid w:val="00C70B52"/>
    <w:rsid w:val="00C70D53"/>
    <w:rsid w:val="00C73D0B"/>
    <w:rsid w:val="00C7543F"/>
    <w:rsid w:val="00C772FF"/>
    <w:rsid w:val="00C80137"/>
    <w:rsid w:val="00C801AF"/>
    <w:rsid w:val="00C80256"/>
    <w:rsid w:val="00C849CD"/>
    <w:rsid w:val="00C94CD4"/>
    <w:rsid w:val="00C9747E"/>
    <w:rsid w:val="00CA1E5C"/>
    <w:rsid w:val="00CA229C"/>
    <w:rsid w:val="00CA355F"/>
    <w:rsid w:val="00CB6076"/>
    <w:rsid w:val="00CB6BC0"/>
    <w:rsid w:val="00CC1B7C"/>
    <w:rsid w:val="00CC727F"/>
    <w:rsid w:val="00CF00F1"/>
    <w:rsid w:val="00CF15C3"/>
    <w:rsid w:val="00CF2B6F"/>
    <w:rsid w:val="00CF2F3E"/>
    <w:rsid w:val="00CF544D"/>
    <w:rsid w:val="00CF58B6"/>
    <w:rsid w:val="00D0062D"/>
    <w:rsid w:val="00D017ED"/>
    <w:rsid w:val="00D040D3"/>
    <w:rsid w:val="00D04C65"/>
    <w:rsid w:val="00D05EFF"/>
    <w:rsid w:val="00D201D2"/>
    <w:rsid w:val="00D224FE"/>
    <w:rsid w:val="00D23139"/>
    <w:rsid w:val="00D23407"/>
    <w:rsid w:val="00D2566E"/>
    <w:rsid w:val="00D360E9"/>
    <w:rsid w:val="00D425BB"/>
    <w:rsid w:val="00D434C5"/>
    <w:rsid w:val="00D61889"/>
    <w:rsid w:val="00D6493E"/>
    <w:rsid w:val="00D7195D"/>
    <w:rsid w:val="00D720B7"/>
    <w:rsid w:val="00D7301E"/>
    <w:rsid w:val="00D83AE1"/>
    <w:rsid w:val="00D855D4"/>
    <w:rsid w:val="00D85638"/>
    <w:rsid w:val="00D870EC"/>
    <w:rsid w:val="00D902C9"/>
    <w:rsid w:val="00D93466"/>
    <w:rsid w:val="00D9703A"/>
    <w:rsid w:val="00D97148"/>
    <w:rsid w:val="00DA1124"/>
    <w:rsid w:val="00DB4D4F"/>
    <w:rsid w:val="00DB6124"/>
    <w:rsid w:val="00DB750B"/>
    <w:rsid w:val="00DB75B7"/>
    <w:rsid w:val="00DC3E1F"/>
    <w:rsid w:val="00DC576B"/>
    <w:rsid w:val="00DC6E02"/>
    <w:rsid w:val="00DD28CD"/>
    <w:rsid w:val="00DD5663"/>
    <w:rsid w:val="00DE02AE"/>
    <w:rsid w:val="00DF1D7F"/>
    <w:rsid w:val="00DF4BE4"/>
    <w:rsid w:val="00E02FB4"/>
    <w:rsid w:val="00E04D26"/>
    <w:rsid w:val="00E06606"/>
    <w:rsid w:val="00E13FC7"/>
    <w:rsid w:val="00E20571"/>
    <w:rsid w:val="00E235F7"/>
    <w:rsid w:val="00E23659"/>
    <w:rsid w:val="00E239D4"/>
    <w:rsid w:val="00E26130"/>
    <w:rsid w:val="00E378BA"/>
    <w:rsid w:val="00E40B22"/>
    <w:rsid w:val="00E420BF"/>
    <w:rsid w:val="00E44ED1"/>
    <w:rsid w:val="00E45619"/>
    <w:rsid w:val="00E4588F"/>
    <w:rsid w:val="00E46DA3"/>
    <w:rsid w:val="00E5051F"/>
    <w:rsid w:val="00E51BB1"/>
    <w:rsid w:val="00E574A9"/>
    <w:rsid w:val="00E61195"/>
    <w:rsid w:val="00E61B50"/>
    <w:rsid w:val="00E624A5"/>
    <w:rsid w:val="00E64BA4"/>
    <w:rsid w:val="00E65A6D"/>
    <w:rsid w:val="00E7344E"/>
    <w:rsid w:val="00E75C5D"/>
    <w:rsid w:val="00E77C45"/>
    <w:rsid w:val="00E80813"/>
    <w:rsid w:val="00E82665"/>
    <w:rsid w:val="00E926E1"/>
    <w:rsid w:val="00E97E63"/>
    <w:rsid w:val="00EA0934"/>
    <w:rsid w:val="00EB0798"/>
    <w:rsid w:val="00EB40AD"/>
    <w:rsid w:val="00EB586E"/>
    <w:rsid w:val="00EB5FC8"/>
    <w:rsid w:val="00EC463D"/>
    <w:rsid w:val="00EC7A85"/>
    <w:rsid w:val="00ED2922"/>
    <w:rsid w:val="00ED3CAD"/>
    <w:rsid w:val="00ED5A41"/>
    <w:rsid w:val="00EE1DE8"/>
    <w:rsid w:val="00EE27C2"/>
    <w:rsid w:val="00EE33A1"/>
    <w:rsid w:val="00EE3F20"/>
    <w:rsid w:val="00EF4BAD"/>
    <w:rsid w:val="00EF59DC"/>
    <w:rsid w:val="00EF5E91"/>
    <w:rsid w:val="00F02B65"/>
    <w:rsid w:val="00F033EC"/>
    <w:rsid w:val="00F04F68"/>
    <w:rsid w:val="00F05D55"/>
    <w:rsid w:val="00F12670"/>
    <w:rsid w:val="00F14B27"/>
    <w:rsid w:val="00F1550F"/>
    <w:rsid w:val="00F21B57"/>
    <w:rsid w:val="00F24A3E"/>
    <w:rsid w:val="00F3148D"/>
    <w:rsid w:val="00F325C5"/>
    <w:rsid w:val="00F32FE0"/>
    <w:rsid w:val="00F34356"/>
    <w:rsid w:val="00F35298"/>
    <w:rsid w:val="00F47333"/>
    <w:rsid w:val="00F47E37"/>
    <w:rsid w:val="00F53C07"/>
    <w:rsid w:val="00F54B65"/>
    <w:rsid w:val="00F62D54"/>
    <w:rsid w:val="00F640B6"/>
    <w:rsid w:val="00F66DF2"/>
    <w:rsid w:val="00F77284"/>
    <w:rsid w:val="00F80E40"/>
    <w:rsid w:val="00F848D9"/>
    <w:rsid w:val="00F853A3"/>
    <w:rsid w:val="00F90A7D"/>
    <w:rsid w:val="00F9357A"/>
    <w:rsid w:val="00F93740"/>
    <w:rsid w:val="00FA46B3"/>
    <w:rsid w:val="00FA5B82"/>
    <w:rsid w:val="00FA60A9"/>
    <w:rsid w:val="00FA639E"/>
    <w:rsid w:val="00FC064C"/>
    <w:rsid w:val="00FC1FCA"/>
    <w:rsid w:val="00FC25E4"/>
    <w:rsid w:val="00FC3659"/>
    <w:rsid w:val="00FC4EF7"/>
    <w:rsid w:val="00FC637E"/>
    <w:rsid w:val="00FD0824"/>
    <w:rsid w:val="00FD119B"/>
    <w:rsid w:val="00FD1EDC"/>
    <w:rsid w:val="00FE1DEE"/>
    <w:rsid w:val="00FE2154"/>
    <w:rsid w:val="00FE221F"/>
    <w:rsid w:val="00FF008A"/>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2B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21B5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9701A0"/>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24"/>
      </w:numPr>
    </w:pPr>
  </w:style>
  <w:style w:type="paragraph" w:customStyle="1" w:styleId="Numberbullet2">
    <w:name w:val="Number bullet 2"/>
    <w:basedOn w:val="ListBullet2"/>
    <w:uiPriority w:val="3"/>
    <w:qFormat/>
    <w:rsid w:val="004C2DCA"/>
    <w:pPr>
      <w:numPr>
        <w:numId w:val="24"/>
      </w:numPr>
    </w:pPr>
  </w:style>
  <w:style w:type="paragraph" w:customStyle="1" w:styleId="Numberbullet3">
    <w:name w:val="Number bullet 3"/>
    <w:basedOn w:val="ListBullet3"/>
    <w:uiPriority w:val="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437A54"/>
    <w:pPr>
      <w:keepNext/>
      <w:spacing w:after="180"/>
      <w:outlineLvl w:val="4"/>
    </w:pPr>
    <w:rPr>
      <w:rFonts w:cstheme="minorBidi"/>
      <w:b/>
    </w:rPr>
  </w:style>
  <w:style w:type="paragraph" w:styleId="Quote">
    <w:name w:val="Quote"/>
    <w:basedOn w:val="Normal"/>
    <w:next w:val="Normal"/>
    <w:link w:val="QuoteChar"/>
    <w:uiPriority w:val="29"/>
    <w:rsid w:val="0012175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21751"/>
    <w:rPr>
      <w:rFonts w:ascii="Cambria" w:eastAsia="Cambria" w:hAnsi="Cambria" w:cs="Times New Roman"/>
      <w:i/>
      <w:iCs/>
      <w:color w:val="404040" w:themeColor="text1" w:themeTint="BF"/>
    </w:rPr>
  </w:style>
  <w:style w:type="paragraph" w:styleId="NormalWeb">
    <w:name w:val="Normal (Web)"/>
    <w:basedOn w:val="Normal"/>
    <w:uiPriority w:val="99"/>
    <w:unhideWhenUsed/>
    <w:rsid w:val="00243FDA"/>
    <w:pPr>
      <w:spacing w:before="100" w:beforeAutospacing="1" w:after="100" w:afterAutospacing="1" w:line="240" w:lineRule="auto"/>
    </w:pPr>
    <w:rPr>
      <w:rFonts w:ascii="Times New Roman" w:eastAsiaTheme="minorHAnsi" w:hAnsi="Times New Roman"/>
      <w:sz w:val="24"/>
      <w:szCs w:val="24"/>
      <w:lang w:val="en-GB" w:eastAsia="en-GB"/>
    </w:rPr>
  </w:style>
  <w:style w:type="table" w:customStyle="1" w:styleId="TableGridLight1">
    <w:name w:val="Table Grid Light1"/>
    <w:basedOn w:val="TableNormal"/>
    <w:uiPriority w:val="40"/>
    <w:rsid w:val="00E926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A71EC5"/>
    <w:pPr>
      <w:adjustRightInd w:val="0"/>
      <w:snapToGrid w:val="0"/>
      <w:spacing w:before="180" w:after="180"/>
      <w:ind w:left="720"/>
      <w:contextualSpacing/>
    </w:pPr>
    <w:rPr>
      <w:rFonts w:eastAsia="MS Mincho"/>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21B5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9701A0"/>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24"/>
      </w:numPr>
    </w:pPr>
  </w:style>
  <w:style w:type="paragraph" w:customStyle="1" w:styleId="Numberbullet2">
    <w:name w:val="Number bullet 2"/>
    <w:basedOn w:val="ListBullet2"/>
    <w:uiPriority w:val="3"/>
    <w:qFormat/>
    <w:rsid w:val="004C2DCA"/>
    <w:pPr>
      <w:numPr>
        <w:numId w:val="24"/>
      </w:numPr>
    </w:pPr>
  </w:style>
  <w:style w:type="paragraph" w:customStyle="1" w:styleId="Numberbullet3">
    <w:name w:val="Number bullet 3"/>
    <w:basedOn w:val="ListBullet3"/>
    <w:uiPriority w:val="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437A54"/>
    <w:pPr>
      <w:keepNext/>
      <w:spacing w:after="180"/>
      <w:outlineLvl w:val="4"/>
    </w:pPr>
    <w:rPr>
      <w:rFonts w:cstheme="minorBidi"/>
      <w:b/>
    </w:rPr>
  </w:style>
  <w:style w:type="paragraph" w:styleId="Quote">
    <w:name w:val="Quote"/>
    <w:basedOn w:val="Normal"/>
    <w:next w:val="Normal"/>
    <w:link w:val="QuoteChar"/>
    <w:uiPriority w:val="29"/>
    <w:rsid w:val="0012175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21751"/>
    <w:rPr>
      <w:rFonts w:ascii="Cambria" w:eastAsia="Cambria" w:hAnsi="Cambria" w:cs="Times New Roman"/>
      <w:i/>
      <w:iCs/>
      <w:color w:val="404040" w:themeColor="text1" w:themeTint="BF"/>
    </w:rPr>
  </w:style>
  <w:style w:type="paragraph" w:styleId="NormalWeb">
    <w:name w:val="Normal (Web)"/>
    <w:basedOn w:val="Normal"/>
    <w:uiPriority w:val="99"/>
    <w:unhideWhenUsed/>
    <w:rsid w:val="00243FDA"/>
    <w:pPr>
      <w:spacing w:before="100" w:beforeAutospacing="1" w:after="100" w:afterAutospacing="1" w:line="240" w:lineRule="auto"/>
    </w:pPr>
    <w:rPr>
      <w:rFonts w:ascii="Times New Roman" w:eastAsiaTheme="minorHAnsi" w:hAnsi="Times New Roman"/>
      <w:sz w:val="24"/>
      <w:szCs w:val="24"/>
      <w:lang w:val="en-GB" w:eastAsia="en-GB"/>
    </w:rPr>
  </w:style>
  <w:style w:type="table" w:customStyle="1" w:styleId="TableGridLight1">
    <w:name w:val="Table Grid Light1"/>
    <w:basedOn w:val="TableNormal"/>
    <w:uiPriority w:val="40"/>
    <w:rsid w:val="00E926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A71EC5"/>
    <w:pPr>
      <w:adjustRightInd w:val="0"/>
      <w:snapToGrid w:val="0"/>
      <w:spacing w:before="180" w:after="180"/>
      <w:ind w:left="720"/>
      <w:contextualSpacing/>
    </w:pPr>
    <w:rPr>
      <w:rFonts w:eastAsia="MS Mincho"/>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3339">
      <w:bodyDiv w:val="1"/>
      <w:marLeft w:val="0"/>
      <w:marRight w:val="0"/>
      <w:marTop w:val="0"/>
      <w:marBottom w:val="0"/>
      <w:divBdr>
        <w:top w:val="none" w:sz="0" w:space="0" w:color="auto"/>
        <w:left w:val="none" w:sz="0" w:space="0" w:color="auto"/>
        <w:bottom w:val="none" w:sz="0" w:space="0" w:color="auto"/>
        <w:right w:val="none" w:sz="0" w:space="0" w:color="auto"/>
      </w:divBdr>
      <w:divsChild>
        <w:div w:id="551311733">
          <w:marLeft w:val="0"/>
          <w:marRight w:val="0"/>
          <w:marTop w:val="0"/>
          <w:marBottom w:val="0"/>
          <w:divBdr>
            <w:top w:val="none" w:sz="0" w:space="0" w:color="auto"/>
            <w:left w:val="none" w:sz="0" w:space="0" w:color="auto"/>
            <w:bottom w:val="none" w:sz="0" w:space="0" w:color="auto"/>
            <w:right w:val="none" w:sz="0" w:space="0" w:color="auto"/>
          </w:divBdr>
          <w:divsChild>
            <w:div w:id="1082265472">
              <w:marLeft w:val="0"/>
              <w:marRight w:val="0"/>
              <w:marTop w:val="0"/>
              <w:marBottom w:val="0"/>
              <w:divBdr>
                <w:top w:val="none" w:sz="0" w:space="0" w:color="auto"/>
                <w:left w:val="none" w:sz="0" w:space="0" w:color="auto"/>
                <w:bottom w:val="none" w:sz="0" w:space="0" w:color="auto"/>
                <w:right w:val="none" w:sz="0" w:space="0" w:color="auto"/>
              </w:divBdr>
              <w:divsChild>
                <w:div w:id="8868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318">
      <w:bodyDiv w:val="1"/>
      <w:marLeft w:val="0"/>
      <w:marRight w:val="0"/>
      <w:marTop w:val="0"/>
      <w:marBottom w:val="0"/>
      <w:divBdr>
        <w:top w:val="none" w:sz="0" w:space="0" w:color="auto"/>
        <w:left w:val="none" w:sz="0" w:space="0" w:color="auto"/>
        <w:bottom w:val="none" w:sz="0" w:space="0" w:color="auto"/>
        <w:right w:val="none" w:sz="0" w:space="0" w:color="auto"/>
      </w:divBdr>
    </w:div>
    <w:div w:id="183137539">
      <w:bodyDiv w:val="1"/>
      <w:marLeft w:val="0"/>
      <w:marRight w:val="0"/>
      <w:marTop w:val="0"/>
      <w:marBottom w:val="0"/>
      <w:divBdr>
        <w:top w:val="none" w:sz="0" w:space="0" w:color="auto"/>
        <w:left w:val="none" w:sz="0" w:space="0" w:color="auto"/>
        <w:bottom w:val="none" w:sz="0" w:space="0" w:color="auto"/>
        <w:right w:val="none" w:sz="0" w:space="0" w:color="auto"/>
      </w:divBdr>
    </w:div>
    <w:div w:id="292446030">
      <w:bodyDiv w:val="1"/>
      <w:marLeft w:val="0"/>
      <w:marRight w:val="0"/>
      <w:marTop w:val="0"/>
      <w:marBottom w:val="0"/>
      <w:divBdr>
        <w:top w:val="none" w:sz="0" w:space="0" w:color="auto"/>
        <w:left w:val="none" w:sz="0" w:space="0" w:color="auto"/>
        <w:bottom w:val="none" w:sz="0" w:space="0" w:color="auto"/>
        <w:right w:val="none" w:sz="0" w:space="0" w:color="auto"/>
      </w:divBdr>
    </w:div>
    <w:div w:id="311954235">
      <w:bodyDiv w:val="1"/>
      <w:marLeft w:val="0"/>
      <w:marRight w:val="0"/>
      <w:marTop w:val="0"/>
      <w:marBottom w:val="0"/>
      <w:divBdr>
        <w:top w:val="none" w:sz="0" w:space="0" w:color="auto"/>
        <w:left w:val="none" w:sz="0" w:space="0" w:color="auto"/>
        <w:bottom w:val="none" w:sz="0" w:space="0" w:color="auto"/>
        <w:right w:val="none" w:sz="0" w:space="0" w:color="auto"/>
      </w:divBdr>
    </w:div>
    <w:div w:id="361370330">
      <w:bodyDiv w:val="1"/>
      <w:marLeft w:val="0"/>
      <w:marRight w:val="0"/>
      <w:marTop w:val="0"/>
      <w:marBottom w:val="0"/>
      <w:divBdr>
        <w:top w:val="none" w:sz="0" w:space="0" w:color="auto"/>
        <w:left w:val="none" w:sz="0" w:space="0" w:color="auto"/>
        <w:bottom w:val="none" w:sz="0" w:space="0" w:color="auto"/>
        <w:right w:val="none" w:sz="0" w:space="0" w:color="auto"/>
      </w:divBdr>
      <w:divsChild>
        <w:div w:id="557546732">
          <w:marLeft w:val="0"/>
          <w:marRight w:val="0"/>
          <w:marTop w:val="0"/>
          <w:marBottom w:val="0"/>
          <w:divBdr>
            <w:top w:val="none" w:sz="0" w:space="0" w:color="auto"/>
            <w:left w:val="none" w:sz="0" w:space="0" w:color="auto"/>
            <w:bottom w:val="none" w:sz="0" w:space="0" w:color="auto"/>
            <w:right w:val="none" w:sz="0" w:space="0" w:color="auto"/>
          </w:divBdr>
          <w:divsChild>
            <w:div w:id="1362167242">
              <w:marLeft w:val="0"/>
              <w:marRight w:val="0"/>
              <w:marTop w:val="0"/>
              <w:marBottom w:val="0"/>
              <w:divBdr>
                <w:top w:val="none" w:sz="0" w:space="0" w:color="auto"/>
                <w:left w:val="none" w:sz="0" w:space="0" w:color="auto"/>
                <w:bottom w:val="none" w:sz="0" w:space="0" w:color="auto"/>
                <w:right w:val="none" w:sz="0" w:space="0" w:color="auto"/>
              </w:divBdr>
              <w:divsChild>
                <w:div w:id="1110853282">
                  <w:marLeft w:val="0"/>
                  <w:marRight w:val="0"/>
                  <w:marTop w:val="0"/>
                  <w:marBottom w:val="0"/>
                  <w:divBdr>
                    <w:top w:val="none" w:sz="0" w:space="0" w:color="auto"/>
                    <w:left w:val="none" w:sz="0" w:space="0" w:color="auto"/>
                    <w:bottom w:val="none" w:sz="0" w:space="0" w:color="auto"/>
                    <w:right w:val="none" w:sz="0" w:space="0" w:color="auto"/>
                  </w:divBdr>
                  <w:divsChild>
                    <w:div w:id="20792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107644">
      <w:bodyDiv w:val="1"/>
      <w:marLeft w:val="0"/>
      <w:marRight w:val="0"/>
      <w:marTop w:val="0"/>
      <w:marBottom w:val="0"/>
      <w:divBdr>
        <w:top w:val="none" w:sz="0" w:space="0" w:color="auto"/>
        <w:left w:val="none" w:sz="0" w:space="0" w:color="auto"/>
        <w:bottom w:val="none" w:sz="0" w:space="0" w:color="auto"/>
        <w:right w:val="none" w:sz="0" w:space="0" w:color="auto"/>
      </w:divBdr>
    </w:div>
    <w:div w:id="549268749">
      <w:bodyDiv w:val="1"/>
      <w:marLeft w:val="0"/>
      <w:marRight w:val="0"/>
      <w:marTop w:val="0"/>
      <w:marBottom w:val="0"/>
      <w:divBdr>
        <w:top w:val="none" w:sz="0" w:space="0" w:color="auto"/>
        <w:left w:val="none" w:sz="0" w:space="0" w:color="auto"/>
        <w:bottom w:val="none" w:sz="0" w:space="0" w:color="auto"/>
        <w:right w:val="none" w:sz="0" w:space="0" w:color="auto"/>
      </w:divBdr>
    </w:div>
    <w:div w:id="555238380">
      <w:bodyDiv w:val="1"/>
      <w:marLeft w:val="0"/>
      <w:marRight w:val="0"/>
      <w:marTop w:val="0"/>
      <w:marBottom w:val="0"/>
      <w:divBdr>
        <w:top w:val="none" w:sz="0" w:space="0" w:color="auto"/>
        <w:left w:val="none" w:sz="0" w:space="0" w:color="auto"/>
        <w:bottom w:val="none" w:sz="0" w:space="0" w:color="auto"/>
        <w:right w:val="none" w:sz="0" w:space="0" w:color="auto"/>
      </w:divBdr>
    </w:div>
    <w:div w:id="811676047">
      <w:bodyDiv w:val="1"/>
      <w:marLeft w:val="0"/>
      <w:marRight w:val="0"/>
      <w:marTop w:val="0"/>
      <w:marBottom w:val="0"/>
      <w:divBdr>
        <w:top w:val="none" w:sz="0" w:space="0" w:color="auto"/>
        <w:left w:val="none" w:sz="0" w:space="0" w:color="auto"/>
        <w:bottom w:val="none" w:sz="0" w:space="0" w:color="auto"/>
        <w:right w:val="none" w:sz="0" w:space="0" w:color="auto"/>
      </w:divBdr>
    </w:div>
    <w:div w:id="811992991">
      <w:bodyDiv w:val="1"/>
      <w:marLeft w:val="0"/>
      <w:marRight w:val="0"/>
      <w:marTop w:val="0"/>
      <w:marBottom w:val="0"/>
      <w:divBdr>
        <w:top w:val="none" w:sz="0" w:space="0" w:color="auto"/>
        <w:left w:val="none" w:sz="0" w:space="0" w:color="auto"/>
        <w:bottom w:val="none" w:sz="0" w:space="0" w:color="auto"/>
        <w:right w:val="none" w:sz="0" w:space="0" w:color="auto"/>
      </w:divBdr>
    </w:div>
    <w:div w:id="820461788">
      <w:bodyDiv w:val="1"/>
      <w:marLeft w:val="0"/>
      <w:marRight w:val="0"/>
      <w:marTop w:val="0"/>
      <w:marBottom w:val="0"/>
      <w:divBdr>
        <w:top w:val="none" w:sz="0" w:space="0" w:color="auto"/>
        <w:left w:val="none" w:sz="0" w:space="0" w:color="auto"/>
        <w:bottom w:val="none" w:sz="0" w:space="0" w:color="auto"/>
        <w:right w:val="none" w:sz="0" w:space="0" w:color="auto"/>
      </w:divBdr>
    </w:div>
    <w:div w:id="823543682">
      <w:bodyDiv w:val="1"/>
      <w:marLeft w:val="0"/>
      <w:marRight w:val="0"/>
      <w:marTop w:val="0"/>
      <w:marBottom w:val="0"/>
      <w:divBdr>
        <w:top w:val="none" w:sz="0" w:space="0" w:color="auto"/>
        <w:left w:val="none" w:sz="0" w:space="0" w:color="auto"/>
        <w:bottom w:val="none" w:sz="0" w:space="0" w:color="auto"/>
        <w:right w:val="none" w:sz="0" w:space="0" w:color="auto"/>
      </w:divBdr>
    </w:div>
    <w:div w:id="1029989393">
      <w:bodyDiv w:val="1"/>
      <w:marLeft w:val="0"/>
      <w:marRight w:val="0"/>
      <w:marTop w:val="0"/>
      <w:marBottom w:val="0"/>
      <w:divBdr>
        <w:top w:val="none" w:sz="0" w:space="0" w:color="auto"/>
        <w:left w:val="none" w:sz="0" w:space="0" w:color="auto"/>
        <w:bottom w:val="none" w:sz="0" w:space="0" w:color="auto"/>
        <w:right w:val="none" w:sz="0" w:space="0" w:color="auto"/>
      </w:divBdr>
    </w:div>
    <w:div w:id="1159465962">
      <w:bodyDiv w:val="1"/>
      <w:marLeft w:val="0"/>
      <w:marRight w:val="0"/>
      <w:marTop w:val="0"/>
      <w:marBottom w:val="0"/>
      <w:divBdr>
        <w:top w:val="none" w:sz="0" w:space="0" w:color="auto"/>
        <w:left w:val="none" w:sz="0" w:space="0" w:color="auto"/>
        <w:bottom w:val="none" w:sz="0" w:space="0" w:color="auto"/>
        <w:right w:val="none" w:sz="0" w:space="0" w:color="auto"/>
      </w:divBdr>
      <w:divsChild>
        <w:div w:id="1383137298">
          <w:marLeft w:val="0"/>
          <w:marRight w:val="0"/>
          <w:marTop w:val="0"/>
          <w:marBottom w:val="0"/>
          <w:divBdr>
            <w:top w:val="none" w:sz="0" w:space="0" w:color="auto"/>
            <w:left w:val="none" w:sz="0" w:space="0" w:color="auto"/>
            <w:bottom w:val="none" w:sz="0" w:space="0" w:color="auto"/>
            <w:right w:val="none" w:sz="0" w:space="0" w:color="auto"/>
          </w:divBdr>
          <w:divsChild>
            <w:div w:id="646395246">
              <w:marLeft w:val="0"/>
              <w:marRight w:val="0"/>
              <w:marTop w:val="0"/>
              <w:marBottom w:val="0"/>
              <w:divBdr>
                <w:top w:val="none" w:sz="0" w:space="0" w:color="auto"/>
                <w:left w:val="none" w:sz="0" w:space="0" w:color="auto"/>
                <w:bottom w:val="none" w:sz="0" w:space="0" w:color="auto"/>
                <w:right w:val="none" w:sz="0" w:space="0" w:color="auto"/>
              </w:divBdr>
              <w:divsChild>
                <w:div w:id="1106730452">
                  <w:marLeft w:val="0"/>
                  <w:marRight w:val="0"/>
                  <w:marTop w:val="0"/>
                  <w:marBottom w:val="0"/>
                  <w:divBdr>
                    <w:top w:val="none" w:sz="0" w:space="0" w:color="auto"/>
                    <w:left w:val="none" w:sz="0" w:space="0" w:color="auto"/>
                    <w:bottom w:val="none" w:sz="0" w:space="0" w:color="auto"/>
                    <w:right w:val="none" w:sz="0" w:space="0" w:color="auto"/>
                  </w:divBdr>
                  <w:divsChild>
                    <w:div w:id="10287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688559">
      <w:bodyDiv w:val="1"/>
      <w:marLeft w:val="0"/>
      <w:marRight w:val="0"/>
      <w:marTop w:val="0"/>
      <w:marBottom w:val="0"/>
      <w:divBdr>
        <w:top w:val="none" w:sz="0" w:space="0" w:color="auto"/>
        <w:left w:val="none" w:sz="0" w:space="0" w:color="auto"/>
        <w:bottom w:val="none" w:sz="0" w:space="0" w:color="auto"/>
        <w:right w:val="none" w:sz="0" w:space="0" w:color="auto"/>
      </w:divBdr>
    </w:div>
    <w:div w:id="1227842850">
      <w:bodyDiv w:val="1"/>
      <w:marLeft w:val="0"/>
      <w:marRight w:val="0"/>
      <w:marTop w:val="0"/>
      <w:marBottom w:val="0"/>
      <w:divBdr>
        <w:top w:val="none" w:sz="0" w:space="0" w:color="auto"/>
        <w:left w:val="none" w:sz="0" w:space="0" w:color="auto"/>
        <w:bottom w:val="none" w:sz="0" w:space="0" w:color="auto"/>
        <w:right w:val="none" w:sz="0" w:space="0" w:color="auto"/>
      </w:divBdr>
    </w:div>
    <w:div w:id="1279876139">
      <w:bodyDiv w:val="1"/>
      <w:marLeft w:val="0"/>
      <w:marRight w:val="0"/>
      <w:marTop w:val="0"/>
      <w:marBottom w:val="0"/>
      <w:divBdr>
        <w:top w:val="none" w:sz="0" w:space="0" w:color="auto"/>
        <w:left w:val="none" w:sz="0" w:space="0" w:color="auto"/>
        <w:bottom w:val="none" w:sz="0" w:space="0" w:color="auto"/>
        <w:right w:val="none" w:sz="0" w:space="0" w:color="auto"/>
      </w:divBdr>
    </w:div>
    <w:div w:id="1348868193">
      <w:bodyDiv w:val="1"/>
      <w:marLeft w:val="0"/>
      <w:marRight w:val="0"/>
      <w:marTop w:val="0"/>
      <w:marBottom w:val="0"/>
      <w:divBdr>
        <w:top w:val="none" w:sz="0" w:space="0" w:color="auto"/>
        <w:left w:val="none" w:sz="0" w:space="0" w:color="auto"/>
        <w:bottom w:val="none" w:sz="0" w:space="0" w:color="auto"/>
        <w:right w:val="none" w:sz="0" w:space="0" w:color="auto"/>
      </w:divBdr>
    </w:div>
    <w:div w:id="1472671265">
      <w:bodyDiv w:val="1"/>
      <w:marLeft w:val="0"/>
      <w:marRight w:val="0"/>
      <w:marTop w:val="0"/>
      <w:marBottom w:val="0"/>
      <w:divBdr>
        <w:top w:val="none" w:sz="0" w:space="0" w:color="auto"/>
        <w:left w:val="none" w:sz="0" w:space="0" w:color="auto"/>
        <w:bottom w:val="none" w:sz="0" w:space="0" w:color="auto"/>
        <w:right w:val="none" w:sz="0" w:space="0" w:color="auto"/>
      </w:divBdr>
      <w:divsChild>
        <w:div w:id="965237688">
          <w:marLeft w:val="0"/>
          <w:marRight w:val="0"/>
          <w:marTop w:val="0"/>
          <w:marBottom w:val="0"/>
          <w:divBdr>
            <w:top w:val="none" w:sz="0" w:space="0" w:color="auto"/>
            <w:left w:val="none" w:sz="0" w:space="0" w:color="auto"/>
            <w:bottom w:val="none" w:sz="0" w:space="0" w:color="auto"/>
            <w:right w:val="none" w:sz="0" w:space="0" w:color="auto"/>
          </w:divBdr>
          <w:divsChild>
            <w:div w:id="1043285869">
              <w:marLeft w:val="0"/>
              <w:marRight w:val="0"/>
              <w:marTop w:val="0"/>
              <w:marBottom w:val="0"/>
              <w:divBdr>
                <w:top w:val="none" w:sz="0" w:space="0" w:color="auto"/>
                <w:left w:val="none" w:sz="0" w:space="0" w:color="auto"/>
                <w:bottom w:val="none" w:sz="0" w:space="0" w:color="auto"/>
                <w:right w:val="none" w:sz="0" w:space="0" w:color="auto"/>
              </w:divBdr>
              <w:divsChild>
                <w:div w:id="1962226840">
                  <w:marLeft w:val="0"/>
                  <w:marRight w:val="0"/>
                  <w:marTop w:val="0"/>
                  <w:marBottom w:val="0"/>
                  <w:divBdr>
                    <w:top w:val="none" w:sz="0" w:space="0" w:color="auto"/>
                    <w:left w:val="none" w:sz="0" w:space="0" w:color="auto"/>
                    <w:bottom w:val="none" w:sz="0" w:space="0" w:color="auto"/>
                    <w:right w:val="none" w:sz="0" w:space="0" w:color="auto"/>
                  </w:divBdr>
                  <w:divsChild>
                    <w:div w:id="11887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52694">
      <w:bodyDiv w:val="1"/>
      <w:marLeft w:val="0"/>
      <w:marRight w:val="0"/>
      <w:marTop w:val="0"/>
      <w:marBottom w:val="0"/>
      <w:divBdr>
        <w:top w:val="none" w:sz="0" w:space="0" w:color="auto"/>
        <w:left w:val="none" w:sz="0" w:space="0" w:color="auto"/>
        <w:bottom w:val="none" w:sz="0" w:space="0" w:color="auto"/>
        <w:right w:val="none" w:sz="0" w:space="0" w:color="auto"/>
      </w:divBdr>
    </w:div>
    <w:div w:id="1598636242">
      <w:bodyDiv w:val="1"/>
      <w:marLeft w:val="0"/>
      <w:marRight w:val="0"/>
      <w:marTop w:val="0"/>
      <w:marBottom w:val="0"/>
      <w:divBdr>
        <w:top w:val="none" w:sz="0" w:space="0" w:color="auto"/>
        <w:left w:val="none" w:sz="0" w:space="0" w:color="auto"/>
        <w:bottom w:val="none" w:sz="0" w:space="0" w:color="auto"/>
        <w:right w:val="none" w:sz="0" w:space="0" w:color="auto"/>
      </w:divBdr>
    </w:div>
    <w:div w:id="1613974560">
      <w:bodyDiv w:val="1"/>
      <w:marLeft w:val="0"/>
      <w:marRight w:val="0"/>
      <w:marTop w:val="0"/>
      <w:marBottom w:val="0"/>
      <w:divBdr>
        <w:top w:val="none" w:sz="0" w:space="0" w:color="auto"/>
        <w:left w:val="none" w:sz="0" w:space="0" w:color="auto"/>
        <w:bottom w:val="none" w:sz="0" w:space="0" w:color="auto"/>
        <w:right w:val="none" w:sz="0" w:space="0" w:color="auto"/>
      </w:divBdr>
    </w:div>
    <w:div w:id="1622882859">
      <w:bodyDiv w:val="1"/>
      <w:marLeft w:val="0"/>
      <w:marRight w:val="0"/>
      <w:marTop w:val="0"/>
      <w:marBottom w:val="0"/>
      <w:divBdr>
        <w:top w:val="none" w:sz="0" w:space="0" w:color="auto"/>
        <w:left w:val="none" w:sz="0" w:space="0" w:color="auto"/>
        <w:bottom w:val="none" w:sz="0" w:space="0" w:color="auto"/>
        <w:right w:val="none" w:sz="0" w:space="0" w:color="auto"/>
      </w:divBdr>
    </w:div>
    <w:div w:id="1760518620">
      <w:bodyDiv w:val="1"/>
      <w:marLeft w:val="0"/>
      <w:marRight w:val="0"/>
      <w:marTop w:val="0"/>
      <w:marBottom w:val="0"/>
      <w:divBdr>
        <w:top w:val="none" w:sz="0" w:space="0" w:color="auto"/>
        <w:left w:val="none" w:sz="0" w:space="0" w:color="auto"/>
        <w:bottom w:val="none" w:sz="0" w:space="0" w:color="auto"/>
        <w:right w:val="none" w:sz="0" w:space="0" w:color="auto"/>
      </w:divBdr>
      <w:divsChild>
        <w:div w:id="959072861">
          <w:marLeft w:val="0"/>
          <w:marRight w:val="0"/>
          <w:marTop w:val="0"/>
          <w:marBottom w:val="0"/>
          <w:divBdr>
            <w:top w:val="none" w:sz="0" w:space="0" w:color="auto"/>
            <w:left w:val="none" w:sz="0" w:space="0" w:color="auto"/>
            <w:bottom w:val="none" w:sz="0" w:space="0" w:color="auto"/>
            <w:right w:val="none" w:sz="0" w:space="0" w:color="auto"/>
          </w:divBdr>
          <w:divsChild>
            <w:div w:id="650255667">
              <w:marLeft w:val="0"/>
              <w:marRight w:val="0"/>
              <w:marTop w:val="0"/>
              <w:marBottom w:val="0"/>
              <w:divBdr>
                <w:top w:val="none" w:sz="0" w:space="0" w:color="auto"/>
                <w:left w:val="none" w:sz="0" w:space="0" w:color="auto"/>
                <w:bottom w:val="none" w:sz="0" w:space="0" w:color="auto"/>
                <w:right w:val="none" w:sz="0" w:space="0" w:color="auto"/>
              </w:divBdr>
              <w:divsChild>
                <w:div w:id="1856337209">
                  <w:marLeft w:val="0"/>
                  <w:marRight w:val="0"/>
                  <w:marTop w:val="0"/>
                  <w:marBottom w:val="0"/>
                  <w:divBdr>
                    <w:top w:val="none" w:sz="0" w:space="0" w:color="auto"/>
                    <w:left w:val="none" w:sz="0" w:space="0" w:color="auto"/>
                    <w:bottom w:val="none" w:sz="0" w:space="0" w:color="auto"/>
                    <w:right w:val="none" w:sz="0" w:space="0" w:color="auto"/>
                  </w:divBdr>
                  <w:divsChild>
                    <w:div w:id="7945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208410">
      <w:bodyDiv w:val="1"/>
      <w:marLeft w:val="0"/>
      <w:marRight w:val="0"/>
      <w:marTop w:val="0"/>
      <w:marBottom w:val="0"/>
      <w:divBdr>
        <w:top w:val="none" w:sz="0" w:space="0" w:color="auto"/>
        <w:left w:val="none" w:sz="0" w:space="0" w:color="auto"/>
        <w:bottom w:val="none" w:sz="0" w:space="0" w:color="auto"/>
        <w:right w:val="none" w:sz="0" w:space="0" w:color="auto"/>
      </w:divBdr>
    </w:div>
    <w:div w:id="2047024958">
      <w:bodyDiv w:val="1"/>
      <w:marLeft w:val="0"/>
      <w:marRight w:val="0"/>
      <w:marTop w:val="0"/>
      <w:marBottom w:val="0"/>
      <w:divBdr>
        <w:top w:val="none" w:sz="0" w:space="0" w:color="auto"/>
        <w:left w:val="none" w:sz="0" w:space="0" w:color="auto"/>
        <w:bottom w:val="none" w:sz="0" w:space="0" w:color="auto"/>
        <w:right w:val="none" w:sz="0" w:space="0" w:color="auto"/>
      </w:divBdr>
    </w:div>
    <w:div w:id="2059157944">
      <w:bodyDiv w:val="1"/>
      <w:marLeft w:val="0"/>
      <w:marRight w:val="0"/>
      <w:marTop w:val="0"/>
      <w:marBottom w:val="0"/>
      <w:divBdr>
        <w:top w:val="none" w:sz="0" w:space="0" w:color="auto"/>
        <w:left w:val="none" w:sz="0" w:space="0" w:color="auto"/>
        <w:bottom w:val="none" w:sz="0" w:space="0" w:color="auto"/>
        <w:right w:val="none" w:sz="0" w:space="0" w:color="auto"/>
      </w:divBdr>
      <w:divsChild>
        <w:div w:id="1319966748">
          <w:marLeft w:val="0"/>
          <w:marRight w:val="0"/>
          <w:marTop w:val="0"/>
          <w:marBottom w:val="0"/>
          <w:divBdr>
            <w:top w:val="none" w:sz="0" w:space="0" w:color="auto"/>
            <w:left w:val="none" w:sz="0" w:space="0" w:color="auto"/>
            <w:bottom w:val="none" w:sz="0" w:space="0" w:color="auto"/>
            <w:right w:val="none" w:sz="0" w:space="0" w:color="auto"/>
          </w:divBdr>
          <w:divsChild>
            <w:div w:id="276371963">
              <w:marLeft w:val="0"/>
              <w:marRight w:val="0"/>
              <w:marTop w:val="0"/>
              <w:marBottom w:val="0"/>
              <w:divBdr>
                <w:top w:val="none" w:sz="0" w:space="0" w:color="auto"/>
                <w:left w:val="none" w:sz="0" w:space="0" w:color="auto"/>
                <w:bottom w:val="none" w:sz="0" w:space="0" w:color="auto"/>
                <w:right w:val="none" w:sz="0" w:space="0" w:color="auto"/>
              </w:divBdr>
              <w:divsChild>
                <w:div w:id="390661995">
                  <w:marLeft w:val="0"/>
                  <w:marRight w:val="0"/>
                  <w:marTop w:val="0"/>
                  <w:marBottom w:val="0"/>
                  <w:divBdr>
                    <w:top w:val="none" w:sz="0" w:space="0" w:color="auto"/>
                    <w:left w:val="none" w:sz="0" w:space="0" w:color="auto"/>
                    <w:bottom w:val="none" w:sz="0" w:space="0" w:color="auto"/>
                    <w:right w:val="none" w:sz="0" w:space="0" w:color="auto"/>
                  </w:divBdr>
                  <w:divsChild>
                    <w:div w:id="17130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6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microsoft.com/office/2007/relationships/hdphoto" Target="media/hdphoto3.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6.xml"/><Relationship Id="rId42"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2.wdp"/><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microsoft.com/office/2007/relationships/hdphoto" Target="media/hdphoto1.wdp"/><Relationship Id="rId31" Type="http://schemas.openxmlformats.org/officeDocument/2006/relationships/footer" Target="footer2.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 Id="rId43"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F8C5E-458F-4D9D-AFE3-A61B9974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63</Pages>
  <Words>22317</Words>
  <Characters>125422</Characters>
  <Application>Microsoft Office Word</Application>
  <DocSecurity>0</DocSecurity>
  <Lines>2787</Lines>
  <Paragraphs>1779</Paragraphs>
  <ScaleCrop>false</ScaleCrop>
  <HeadingPairs>
    <vt:vector size="2" baseType="variant">
      <vt:variant>
        <vt:lpstr>Title</vt:lpstr>
      </vt:variant>
      <vt:variant>
        <vt:i4>1</vt:i4>
      </vt:variant>
    </vt:vector>
  </HeadingPairs>
  <TitlesOfParts>
    <vt:vector size="1" baseType="lpstr">
      <vt:lpstr>Australian Public Assessment Report for Brentuximab vedotin</vt:lpstr>
    </vt:vector>
  </TitlesOfParts>
  <Company>Department of Health Therapeutic Goods Administration</Company>
  <LinksUpToDate>false</LinksUpToDate>
  <CharactersWithSpaces>145960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Brentuximab vedotin</dc:title>
  <dc:subject>prescription medicines</dc:subject>
  <dc:creator>Therapeutic Goods Administration</dc:creator>
  <cp:keywords>AusPARs</cp:keywords>
  <cp:lastModifiedBy>LACK, Janet</cp:lastModifiedBy>
  <cp:revision>3</cp:revision>
  <cp:lastPrinted>2015-09-22T23:39:00Z</cp:lastPrinted>
  <dcterms:created xsi:type="dcterms:W3CDTF">2017-10-10T00:40:00Z</dcterms:created>
  <dcterms:modified xsi:type="dcterms:W3CDTF">2017-10-10T01:10:00Z</dcterms:modified>
  <cp:category/>
</cp:coreProperties>
</file>