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188" w:rsidRDefault="00051188" w:rsidP="009D78B4">
      <w:pPr>
        <w:widowControl w:val="0"/>
        <w:jc w:val="both"/>
        <w:rPr>
          <w:sz w:val="24"/>
          <w:lang w:val="en-GB"/>
        </w:rPr>
      </w:pPr>
    </w:p>
    <w:p w:rsidR="00051188" w:rsidRDefault="00051188" w:rsidP="009D78B4">
      <w:pPr>
        <w:widowControl w:val="0"/>
        <w:tabs>
          <w:tab w:val="center" w:pos="4513"/>
        </w:tabs>
        <w:spacing w:after="240"/>
        <w:jc w:val="both"/>
        <w:rPr>
          <w:b/>
          <w:sz w:val="24"/>
          <w:lang w:val="en-GB"/>
        </w:rPr>
      </w:pPr>
      <w:r>
        <w:rPr>
          <w:b/>
          <w:sz w:val="24"/>
          <w:lang w:val="en-GB"/>
        </w:rPr>
        <w:t>NAME OF THE MEDICINE</w:t>
      </w:r>
    </w:p>
    <w:p w:rsidR="00051188" w:rsidRDefault="00051188" w:rsidP="009D78B4">
      <w:pPr>
        <w:widowControl w:val="0"/>
        <w:tabs>
          <w:tab w:val="center" w:pos="4513"/>
        </w:tabs>
        <w:jc w:val="both"/>
        <w:rPr>
          <w:b/>
          <w:sz w:val="24"/>
          <w:szCs w:val="24"/>
          <w:lang w:val="en-GB"/>
        </w:rPr>
      </w:pPr>
      <w:r>
        <w:rPr>
          <w:b/>
          <w:sz w:val="24"/>
          <w:lang w:val="en-GB"/>
        </w:rPr>
        <w:t>BOTOX</w:t>
      </w:r>
      <w:r>
        <w:rPr>
          <w:b/>
          <w:position w:val="4"/>
          <w:sz w:val="24"/>
          <w:lang w:val="en-GB"/>
        </w:rPr>
        <w:t>®</w:t>
      </w:r>
      <w:r>
        <w:rPr>
          <w:b/>
          <w:sz w:val="24"/>
          <w:lang w:val="en-GB"/>
        </w:rPr>
        <w:t xml:space="preserve"> </w:t>
      </w:r>
      <w:r>
        <w:rPr>
          <w:b/>
          <w:sz w:val="24"/>
          <w:szCs w:val="24"/>
          <w:lang w:val="en-GB"/>
        </w:rPr>
        <w:t>purified neurotoxin complex injection (</w:t>
      </w:r>
      <w:r w:rsidR="00BE56BD">
        <w:rPr>
          <w:b/>
          <w:sz w:val="24"/>
          <w:szCs w:val="24"/>
          <w:lang w:val="en-GB"/>
        </w:rPr>
        <w:t xml:space="preserve">50U, </w:t>
      </w:r>
      <w:r>
        <w:rPr>
          <w:b/>
          <w:sz w:val="24"/>
          <w:szCs w:val="24"/>
          <w:lang w:val="en-GB"/>
        </w:rPr>
        <w:t>100 U or 200 U)</w:t>
      </w:r>
    </w:p>
    <w:p w:rsidR="00051188" w:rsidRDefault="00051188" w:rsidP="009D78B4">
      <w:pPr>
        <w:widowControl w:val="0"/>
        <w:tabs>
          <w:tab w:val="left" w:pos="3300"/>
        </w:tabs>
        <w:jc w:val="both"/>
        <w:rPr>
          <w:sz w:val="24"/>
          <w:szCs w:val="24"/>
          <w:lang w:val="en-GB"/>
        </w:rPr>
      </w:pPr>
      <w:r>
        <w:rPr>
          <w:sz w:val="24"/>
          <w:szCs w:val="24"/>
          <w:lang w:val="en-GB"/>
        </w:rPr>
        <w:t>(botulinum toxin, type A)</w:t>
      </w:r>
      <w:r>
        <w:rPr>
          <w:sz w:val="24"/>
          <w:szCs w:val="24"/>
          <w:lang w:val="en-GB"/>
        </w:rPr>
        <w:tab/>
      </w:r>
    </w:p>
    <w:p w:rsidR="00051188" w:rsidRDefault="00051188" w:rsidP="009D78B4">
      <w:pPr>
        <w:widowControl w:val="0"/>
        <w:tabs>
          <w:tab w:val="left" w:pos="-720"/>
        </w:tabs>
        <w:jc w:val="both"/>
        <w:rPr>
          <w:sz w:val="24"/>
          <w:lang w:val="en-GB"/>
        </w:rPr>
      </w:pPr>
    </w:p>
    <w:p w:rsidR="00051188" w:rsidRDefault="00051188" w:rsidP="009D78B4">
      <w:pPr>
        <w:widowControl w:val="0"/>
        <w:tabs>
          <w:tab w:val="left" w:pos="-720"/>
        </w:tabs>
        <w:spacing w:after="240"/>
        <w:jc w:val="both"/>
        <w:rPr>
          <w:b/>
          <w:sz w:val="24"/>
          <w:lang w:val="en-GB"/>
        </w:rPr>
      </w:pPr>
      <w:r>
        <w:rPr>
          <w:b/>
          <w:sz w:val="24"/>
          <w:lang w:val="en-GB"/>
        </w:rPr>
        <w:t>DESCRIPTION</w:t>
      </w:r>
    </w:p>
    <w:p w:rsidR="00051188" w:rsidRDefault="00051188" w:rsidP="009D78B4">
      <w:pPr>
        <w:widowControl w:val="0"/>
        <w:tabs>
          <w:tab w:val="left" w:pos="-720"/>
        </w:tabs>
        <w:rPr>
          <w:b/>
          <w:sz w:val="24"/>
          <w:lang w:val="en-GB"/>
        </w:rPr>
      </w:pPr>
      <w:r>
        <w:rPr>
          <w:b/>
          <w:sz w:val="24"/>
          <w:lang w:val="en-GB"/>
        </w:rPr>
        <w:t>Composition</w:t>
      </w:r>
    </w:p>
    <w:p w:rsidR="00051188" w:rsidRDefault="00051188" w:rsidP="009D78B4">
      <w:pPr>
        <w:widowControl w:val="0"/>
        <w:tabs>
          <w:tab w:val="left" w:pos="-720"/>
        </w:tabs>
        <w:rPr>
          <w:b/>
          <w:sz w:val="24"/>
          <w:lang w:val="en-GB"/>
        </w:rPr>
      </w:pPr>
    </w:p>
    <w:p w:rsidR="00051188" w:rsidRDefault="00051188" w:rsidP="009D78B4">
      <w:pPr>
        <w:widowControl w:val="0"/>
        <w:tabs>
          <w:tab w:val="left" w:pos="-720"/>
        </w:tabs>
        <w:rPr>
          <w:sz w:val="24"/>
          <w:lang w:val="en-GB"/>
        </w:rPr>
      </w:pPr>
      <w:r>
        <w:rPr>
          <w:sz w:val="24"/>
          <w:lang w:val="en-GB"/>
        </w:rPr>
        <w:t>Active ingredient:</w:t>
      </w:r>
    </w:p>
    <w:p w:rsidR="00051188" w:rsidRDefault="00051188" w:rsidP="009D78B4">
      <w:pPr>
        <w:widowControl w:val="0"/>
        <w:tabs>
          <w:tab w:val="left" w:pos="-720"/>
        </w:tabs>
        <w:rPr>
          <w:sz w:val="24"/>
          <w:lang w:val="en-GB"/>
        </w:rPr>
      </w:pPr>
      <w:r>
        <w:rPr>
          <w:sz w:val="24"/>
          <w:lang w:val="en-GB"/>
        </w:rPr>
        <w:t xml:space="preserve">Each vial of </w:t>
      </w:r>
      <w:r>
        <w:rPr>
          <w:caps/>
          <w:color w:val="000000"/>
          <w:sz w:val="24"/>
          <w:szCs w:val="24"/>
          <w:lang w:val="en-GB"/>
        </w:rPr>
        <w:t>Botox</w:t>
      </w:r>
      <w:r>
        <w:rPr>
          <w:color w:val="000000"/>
          <w:sz w:val="24"/>
          <w:szCs w:val="24"/>
          <w:vertAlign w:val="superscript"/>
        </w:rPr>
        <w:t>®</w:t>
      </w:r>
      <w:r>
        <w:rPr>
          <w:sz w:val="24"/>
          <w:lang w:val="en-GB"/>
        </w:rPr>
        <w:t xml:space="preserve"> contains either </w:t>
      </w:r>
      <w:r w:rsidR="00BE56BD">
        <w:rPr>
          <w:sz w:val="24"/>
          <w:lang w:val="en-GB"/>
        </w:rPr>
        <w:t xml:space="preserve">50 units (U), </w:t>
      </w:r>
      <w:r>
        <w:rPr>
          <w:sz w:val="24"/>
          <w:lang w:val="en-GB"/>
        </w:rPr>
        <w:t xml:space="preserve">100 </w:t>
      </w:r>
      <w:r>
        <w:rPr>
          <w:sz w:val="24"/>
          <w:szCs w:val="24"/>
          <w:lang w:val="en-GB"/>
        </w:rPr>
        <w:t>units</w:t>
      </w:r>
      <w:r>
        <w:rPr>
          <w:sz w:val="24"/>
          <w:lang w:val="en-GB"/>
        </w:rPr>
        <w:t xml:space="preserve"> (U) or 200 units (U) of </w:t>
      </w:r>
      <w:r>
        <w:rPr>
          <w:sz w:val="24"/>
          <w:szCs w:val="24"/>
          <w:lang w:val="en-GB"/>
        </w:rPr>
        <w:t>botulinum toxin, type A</w:t>
      </w:r>
      <w:r>
        <w:rPr>
          <w:sz w:val="24"/>
          <w:lang w:val="en-GB"/>
        </w:rPr>
        <w:t>, as a haemagglutinin complex.</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sz w:val="24"/>
          <w:lang w:val="en-GB"/>
        </w:rPr>
        <w:t>Excipients:</w:t>
      </w:r>
    </w:p>
    <w:p w:rsidR="00051188" w:rsidRDefault="00051188" w:rsidP="009D78B4">
      <w:pPr>
        <w:widowControl w:val="0"/>
        <w:tabs>
          <w:tab w:val="left" w:pos="-720"/>
        </w:tabs>
        <w:rPr>
          <w:sz w:val="24"/>
          <w:lang w:val="en-GB"/>
        </w:rPr>
      </w:pPr>
      <w:r>
        <w:rPr>
          <w:sz w:val="24"/>
          <w:lang w:val="en-GB"/>
        </w:rPr>
        <w:t xml:space="preserve">Human albumin: </w:t>
      </w:r>
      <w:r w:rsidR="00BE56BD">
        <w:rPr>
          <w:sz w:val="24"/>
          <w:lang w:val="en-GB"/>
        </w:rPr>
        <w:t xml:space="preserve">0.25 mg for 50 U, </w:t>
      </w:r>
      <w:r>
        <w:rPr>
          <w:sz w:val="24"/>
          <w:lang w:val="en-GB"/>
        </w:rPr>
        <w:t>0.5 mg for 100 U or 1.0 mg for 200 U</w:t>
      </w:r>
    </w:p>
    <w:p w:rsidR="00051188" w:rsidRDefault="00051188" w:rsidP="009D78B4">
      <w:pPr>
        <w:widowControl w:val="0"/>
        <w:tabs>
          <w:tab w:val="left" w:pos="-720"/>
        </w:tabs>
        <w:rPr>
          <w:sz w:val="24"/>
          <w:lang w:val="en-GB"/>
        </w:rPr>
      </w:pPr>
      <w:r>
        <w:rPr>
          <w:sz w:val="24"/>
          <w:lang w:val="en-GB"/>
        </w:rPr>
        <w:t xml:space="preserve">Sodium chloride: </w:t>
      </w:r>
      <w:r w:rsidR="00BE56BD">
        <w:rPr>
          <w:sz w:val="24"/>
          <w:lang w:val="en-GB"/>
        </w:rPr>
        <w:t xml:space="preserve">0.45 mg for 50U, </w:t>
      </w:r>
      <w:r>
        <w:rPr>
          <w:sz w:val="24"/>
          <w:lang w:val="en-GB"/>
        </w:rPr>
        <w:t>0.9 mg for 100 U or 1.8 mg for 200 U</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sz w:val="24"/>
          <w:lang w:val="en-GB"/>
        </w:rPr>
        <w:t>BOTOX</w:t>
      </w:r>
      <w:r>
        <w:rPr>
          <w:sz w:val="24"/>
          <w:vertAlign w:val="superscript"/>
          <w:lang w:val="en-GB"/>
        </w:rPr>
        <w:t>®</w:t>
      </w:r>
      <w:r>
        <w:rPr>
          <w:sz w:val="24"/>
          <w:lang w:val="en-GB"/>
        </w:rPr>
        <w:t xml:space="preserve"> (botulinum toxin type A) Neurotoxin complex is produced from the fermentation of </w:t>
      </w:r>
      <w:r>
        <w:rPr>
          <w:i/>
          <w:sz w:val="24"/>
          <w:lang w:val="en-GB"/>
        </w:rPr>
        <w:t>Clostridium botulinum</w:t>
      </w:r>
      <w:r>
        <w:rPr>
          <w:sz w:val="24"/>
          <w:lang w:val="en-GB"/>
        </w:rPr>
        <w:t xml:space="preserve"> type A (Hall strain) and is purified from the culture solution as an approximately 900 kD molecular weight complex consisting of the neurotoxin and several accessory proteins.  The complex is dissolved in sterile sodium chloride solution containing human serum albumin and is sterile filtered (0.2 microns) prior to filling and vacuum-drying.</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sz w:val="24"/>
          <w:lang w:val="en-GB"/>
        </w:rPr>
        <w:t xml:space="preserve">One </w:t>
      </w:r>
      <w:r>
        <w:rPr>
          <w:sz w:val="24"/>
          <w:szCs w:val="24"/>
          <w:lang w:val="en-GB"/>
        </w:rPr>
        <w:t>unit</w:t>
      </w:r>
      <w:r>
        <w:rPr>
          <w:sz w:val="24"/>
          <w:lang w:val="en-GB"/>
        </w:rPr>
        <w:t xml:space="preserve"> (U) of </w:t>
      </w:r>
      <w:r>
        <w:rPr>
          <w:caps/>
          <w:color w:val="000000"/>
          <w:sz w:val="24"/>
          <w:szCs w:val="24"/>
          <w:lang w:val="en-GB"/>
        </w:rPr>
        <w:t>Botox</w:t>
      </w:r>
      <w:r>
        <w:rPr>
          <w:color w:val="000000"/>
          <w:sz w:val="24"/>
          <w:szCs w:val="24"/>
          <w:vertAlign w:val="superscript"/>
        </w:rPr>
        <w:t>®</w:t>
      </w:r>
      <w:r>
        <w:rPr>
          <w:sz w:val="24"/>
          <w:lang w:val="en-GB"/>
        </w:rPr>
        <w:t xml:space="preserve"> corresponds to the calculated median intraperitoneal lethal dose (LD</w:t>
      </w:r>
      <w:r>
        <w:rPr>
          <w:sz w:val="24"/>
          <w:vertAlign w:val="subscript"/>
          <w:lang w:val="en-GB"/>
        </w:rPr>
        <w:t>50</w:t>
      </w:r>
      <w:r>
        <w:rPr>
          <w:sz w:val="24"/>
          <w:lang w:val="en-GB"/>
        </w:rPr>
        <w:t>) in mice, performed in a mouse potency assay.  This assay method is specific to Allergan’s product, BOTOX</w:t>
      </w:r>
      <w:r>
        <w:rPr>
          <w:sz w:val="24"/>
          <w:vertAlign w:val="superscript"/>
          <w:lang w:val="en-GB"/>
        </w:rPr>
        <w:t>®</w:t>
      </w:r>
      <w:r>
        <w:rPr>
          <w:sz w:val="24"/>
          <w:lang w:val="en-GB"/>
        </w:rPr>
        <w:t>.  Due to specific method details such as the vehicle, dilution scheme and laboratory protocols for the various mouse LD</w:t>
      </w:r>
      <w:r>
        <w:rPr>
          <w:sz w:val="24"/>
          <w:vertAlign w:val="subscript"/>
          <w:lang w:val="en-GB"/>
        </w:rPr>
        <w:t>50</w:t>
      </w:r>
      <w:r>
        <w:rPr>
          <w:sz w:val="24"/>
          <w:lang w:val="en-GB"/>
        </w:rPr>
        <w:t xml:space="preserve"> assays, units of biological activity of BOTOX</w:t>
      </w:r>
      <w:r>
        <w:rPr>
          <w:sz w:val="24"/>
          <w:vertAlign w:val="superscript"/>
          <w:lang w:val="en-GB"/>
        </w:rPr>
        <w:t>®</w:t>
      </w:r>
      <w:r>
        <w:rPr>
          <w:sz w:val="24"/>
          <w:lang w:val="en-GB"/>
        </w:rPr>
        <w:t xml:space="preserve"> cannot be compared to or converted into units of any other botulinum toxin activity.</w:t>
      </w:r>
    </w:p>
    <w:p w:rsidR="00051188" w:rsidRDefault="00051188" w:rsidP="009D78B4">
      <w:pPr>
        <w:widowControl w:val="0"/>
        <w:tabs>
          <w:tab w:val="left" w:pos="-720"/>
          <w:tab w:val="left" w:pos="5010"/>
        </w:tabs>
        <w:jc w:val="both"/>
        <w:rPr>
          <w:sz w:val="24"/>
          <w:lang w:val="en-GB"/>
        </w:rPr>
      </w:pPr>
    </w:p>
    <w:p w:rsidR="00051188" w:rsidRDefault="00051188" w:rsidP="009D78B4">
      <w:pPr>
        <w:widowControl w:val="0"/>
        <w:tabs>
          <w:tab w:val="left" w:pos="-720"/>
        </w:tabs>
        <w:spacing w:after="240"/>
        <w:jc w:val="both"/>
        <w:rPr>
          <w:b/>
          <w:sz w:val="24"/>
          <w:lang w:val="en-GB"/>
        </w:rPr>
      </w:pPr>
      <w:r>
        <w:rPr>
          <w:b/>
          <w:sz w:val="24"/>
          <w:lang w:val="en-GB"/>
        </w:rPr>
        <w:t>PHARMACOLOGY</w:t>
      </w:r>
    </w:p>
    <w:p w:rsidR="00051188" w:rsidRDefault="00051188" w:rsidP="009D78B4">
      <w:pPr>
        <w:pStyle w:val="Heading1"/>
        <w:keepNext w:val="0"/>
        <w:widowControl w:val="0"/>
        <w:jc w:val="both"/>
        <w:rPr>
          <w:i w:val="0"/>
        </w:rPr>
      </w:pPr>
      <w:r>
        <w:rPr>
          <w:i w:val="0"/>
        </w:rPr>
        <w:t>Pharmacodynamics</w:t>
      </w:r>
    </w:p>
    <w:p w:rsidR="00051188" w:rsidRDefault="00051188" w:rsidP="009D78B4">
      <w:pPr>
        <w:pStyle w:val="Heading1"/>
        <w:keepNext w:val="0"/>
        <w:widowControl w:val="0"/>
        <w:jc w:val="both"/>
        <w:rPr>
          <w:i w:val="0"/>
        </w:rPr>
      </w:pPr>
    </w:p>
    <w:p w:rsidR="00051188" w:rsidRDefault="00051188" w:rsidP="009D78B4">
      <w:pPr>
        <w:widowControl w:val="0"/>
        <w:tabs>
          <w:tab w:val="left" w:pos="-720"/>
        </w:tabs>
        <w:jc w:val="both"/>
        <w:rPr>
          <w:sz w:val="24"/>
          <w:lang w:val="en-GB"/>
        </w:rPr>
      </w:pPr>
      <w:r>
        <w:rPr>
          <w:sz w:val="24"/>
          <w:lang w:val="en-GB"/>
        </w:rPr>
        <w:t xml:space="preserve">Therapeutic </w:t>
      </w:r>
      <w:r>
        <w:rPr>
          <w:sz w:val="24"/>
          <w:szCs w:val="24"/>
          <w:lang w:val="en-GB"/>
        </w:rPr>
        <w:t>class</w:t>
      </w:r>
      <w:r>
        <w:rPr>
          <w:sz w:val="24"/>
          <w:lang w:val="en-GB"/>
        </w:rPr>
        <w:t xml:space="preserve">:  </w:t>
      </w:r>
      <w:r>
        <w:rPr>
          <w:sz w:val="24"/>
          <w:szCs w:val="24"/>
          <w:lang w:val="en-GB"/>
        </w:rPr>
        <w:t>neuromuscular</w:t>
      </w:r>
      <w:r>
        <w:rPr>
          <w:sz w:val="24"/>
          <w:lang w:val="en-GB"/>
        </w:rPr>
        <w:t xml:space="preserve"> blocking agent.</w:t>
      </w:r>
    </w:p>
    <w:p w:rsidR="00051188" w:rsidRDefault="00051188" w:rsidP="009D78B4">
      <w:pPr>
        <w:widowControl w:val="0"/>
        <w:tabs>
          <w:tab w:val="left" w:pos="-720"/>
        </w:tabs>
        <w:jc w:val="both"/>
        <w:rPr>
          <w:sz w:val="24"/>
          <w:lang w:val="en-GB"/>
        </w:rPr>
      </w:pPr>
    </w:p>
    <w:p w:rsidR="00051188" w:rsidRDefault="00051188" w:rsidP="009D78B4">
      <w:pPr>
        <w:widowControl w:val="0"/>
        <w:tabs>
          <w:tab w:val="left" w:pos="-720"/>
        </w:tabs>
        <w:rPr>
          <w:sz w:val="24"/>
          <w:lang w:val="en-GB"/>
        </w:rPr>
      </w:pPr>
      <w:r>
        <w:rPr>
          <w:i/>
          <w:sz w:val="24"/>
          <w:lang w:val="en-GB"/>
        </w:rPr>
        <w:t>Clostridium botulinum</w:t>
      </w:r>
      <w:r>
        <w:rPr>
          <w:sz w:val="24"/>
          <w:lang w:val="en-GB"/>
        </w:rPr>
        <w:t xml:space="preserve"> type A neurotoxin blocks peripheral acetylcholine release at presynaptic cholinergic nerve terminals by cleaving SNAP-25, a protein integral to the docking and release of acetylcholine from vesicles located within the nerve terminals.  </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sz w:val="24"/>
          <w:lang w:val="en-GB"/>
        </w:rPr>
        <w:t>After injection, there is an initial high-affinity binding of toxin to specific cell surface receptors on cholinergic nerve terminals.  Bound toxin is then internalised by endocytosis, and the catalytic light chain is translocated across the vesicular membrane into the cytosol where it cleaves SNAP-25.  Progressive inhibition of acetylcholine release follows and clinical signs usually manifest within 2-3 days.</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sz w:val="24"/>
          <w:lang w:val="en-GB"/>
        </w:rPr>
        <w:t xml:space="preserve">Recovery after intramuscular injection takes place normally within 12 weeks. Preclinical studies have demonstrated that, new sprouts from the original preterminal axons allow for a </w:t>
      </w:r>
      <w:r>
        <w:rPr>
          <w:sz w:val="24"/>
          <w:lang w:val="en-GB"/>
        </w:rPr>
        <w:lastRenderedPageBreak/>
        <w:t>temporary reconnection of the neuron with the endplates.  These sprouts are only partially effective and subsequently regress while the original nerve terminal at the primary neuromuscular junction becomes functional again.  The relevance of these preclinical observations to the clinical condition remains to be established.</w:t>
      </w:r>
    </w:p>
    <w:p w:rsidR="00051188" w:rsidRDefault="00051188" w:rsidP="009D78B4">
      <w:pPr>
        <w:widowControl w:val="0"/>
        <w:tabs>
          <w:tab w:val="left" w:pos="-720"/>
        </w:tabs>
        <w:rPr>
          <w:sz w:val="24"/>
          <w:lang w:val="en-GB"/>
        </w:rPr>
      </w:pPr>
    </w:p>
    <w:p w:rsidR="00051188" w:rsidRDefault="00051188" w:rsidP="009D78B4">
      <w:pPr>
        <w:widowControl w:val="0"/>
        <w:autoSpaceDE w:val="0"/>
        <w:autoSpaceDN w:val="0"/>
        <w:adjustRightInd w:val="0"/>
        <w:rPr>
          <w:b/>
          <w:color w:val="252525"/>
          <w:sz w:val="24"/>
          <w:szCs w:val="24"/>
        </w:rPr>
      </w:pPr>
      <w:r>
        <w:rPr>
          <w:b/>
          <w:color w:val="252525"/>
          <w:sz w:val="24"/>
          <w:szCs w:val="24"/>
        </w:rPr>
        <w:t>Bladder Dysfunction (Overactive Bladder and Neurogenic Detrusor Overactivity)</w:t>
      </w:r>
    </w:p>
    <w:p w:rsidR="00051188" w:rsidRDefault="00051188" w:rsidP="009D78B4">
      <w:pPr>
        <w:widowControl w:val="0"/>
        <w:tabs>
          <w:tab w:val="left" w:pos="-720"/>
        </w:tabs>
        <w:rPr>
          <w:color w:val="252525"/>
          <w:sz w:val="24"/>
          <w:szCs w:val="24"/>
        </w:rPr>
      </w:pPr>
      <w:r>
        <w:rPr>
          <w:color w:val="252525"/>
          <w:sz w:val="24"/>
          <w:szCs w:val="24"/>
        </w:rPr>
        <w:t>Due to its pharmacological mechanism of action, it is expected that BOTOX</w:t>
      </w:r>
      <w:r>
        <w:rPr>
          <w:color w:val="414141"/>
          <w:sz w:val="24"/>
          <w:szCs w:val="24"/>
          <w:vertAlign w:val="superscript"/>
        </w:rPr>
        <w:t>®</w:t>
      </w:r>
      <w:r>
        <w:rPr>
          <w:color w:val="414141"/>
          <w:sz w:val="24"/>
          <w:szCs w:val="24"/>
        </w:rPr>
        <w:t xml:space="preserve"> </w:t>
      </w:r>
      <w:r>
        <w:rPr>
          <w:color w:val="252525"/>
          <w:sz w:val="24"/>
          <w:szCs w:val="24"/>
        </w:rPr>
        <w:t>affects the efferent pathways of detrusor activity mainly via inhibition of acetylcholine release.</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b/>
          <w:sz w:val="24"/>
          <w:lang w:val="en-GB"/>
        </w:rPr>
      </w:pPr>
      <w:r>
        <w:rPr>
          <w:b/>
          <w:sz w:val="24"/>
          <w:lang w:val="en-GB"/>
        </w:rPr>
        <w:t>Chronic Migraine</w:t>
      </w:r>
    </w:p>
    <w:p w:rsidR="00051188" w:rsidRDefault="00051188" w:rsidP="009D78B4">
      <w:pPr>
        <w:widowControl w:val="0"/>
        <w:tabs>
          <w:tab w:val="left" w:pos="-720"/>
        </w:tabs>
        <w:rPr>
          <w:sz w:val="24"/>
          <w:lang w:val="en-GB"/>
        </w:rPr>
      </w:pPr>
      <w:r>
        <w:rPr>
          <w:sz w:val="24"/>
          <w:lang w:val="en-GB"/>
        </w:rPr>
        <w:t>Limited nonclinical data suggest that BOTOX</w:t>
      </w:r>
      <w:r>
        <w:rPr>
          <w:sz w:val="24"/>
          <w:vertAlign w:val="superscript"/>
          <w:lang w:val="en-GB"/>
        </w:rPr>
        <w:t>®</w:t>
      </w:r>
      <w:r>
        <w:rPr>
          <w:sz w:val="24"/>
          <w:lang w:val="en-GB"/>
        </w:rPr>
        <w:t xml:space="preserve"> may reduce sensitisation processes, but the actual mechanism of action for headache prophylaxis is not known.</w:t>
      </w:r>
    </w:p>
    <w:p w:rsidR="00051188" w:rsidRDefault="00051188" w:rsidP="009D78B4">
      <w:pPr>
        <w:widowControl w:val="0"/>
        <w:tabs>
          <w:tab w:val="left" w:pos="-720"/>
        </w:tabs>
        <w:rPr>
          <w:b/>
          <w:sz w:val="24"/>
          <w:lang w:val="en-GB"/>
        </w:rPr>
      </w:pPr>
    </w:p>
    <w:p w:rsidR="00051188" w:rsidRDefault="00051188" w:rsidP="009D78B4">
      <w:pPr>
        <w:widowControl w:val="0"/>
        <w:tabs>
          <w:tab w:val="left" w:pos="-720"/>
        </w:tabs>
        <w:rPr>
          <w:b/>
          <w:sz w:val="24"/>
          <w:lang w:val="en-GB"/>
        </w:rPr>
      </w:pPr>
      <w:r>
        <w:rPr>
          <w:b/>
          <w:sz w:val="24"/>
          <w:lang w:val="en-GB"/>
        </w:rPr>
        <w:t xml:space="preserve">Blepharospasm                        </w:t>
      </w:r>
    </w:p>
    <w:p w:rsidR="00051188" w:rsidRDefault="00051188" w:rsidP="009D78B4">
      <w:pPr>
        <w:widowControl w:val="0"/>
        <w:tabs>
          <w:tab w:val="left" w:pos="-720"/>
        </w:tabs>
        <w:rPr>
          <w:sz w:val="24"/>
          <w:lang w:val="en-GB"/>
        </w:rPr>
      </w:pPr>
      <w:r>
        <w:rPr>
          <w:sz w:val="24"/>
          <w:lang w:val="en-GB"/>
        </w:rPr>
        <w:t xml:space="preserve">The relaxing effect on muscles injected with </w:t>
      </w:r>
      <w:r>
        <w:rPr>
          <w:caps/>
          <w:color w:val="000000"/>
          <w:sz w:val="24"/>
          <w:szCs w:val="24"/>
          <w:lang w:val="en-GB"/>
        </w:rPr>
        <w:t>Botox</w:t>
      </w:r>
      <w:r>
        <w:rPr>
          <w:color w:val="000000"/>
          <w:sz w:val="24"/>
          <w:szCs w:val="24"/>
          <w:vertAlign w:val="superscript"/>
        </w:rPr>
        <w:t>®</w:t>
      </w:r>
      <w:r>
        <w:rPr>
          <w:sz w:val="24"/>
          <w:lang w:val="en-GB"/>
        </w:rPr>
        <w:t xml:space="preserve"> is useful in reducing the excessive, abnormal contractions associated with blepharospasm.  Following peri-ocular injection of </w:t>
      </w:r>
      <w:r>
        <w:rPr>
          <w:caps/>
          <w:color w:val="000000"/>
          <w:sz w:val="24"/>
          <w:szCs w:val="24"/>
          <w:lang w:val="en-GB"/>
        </w:rPr>
        <w:t>Botox</w:t>
      </w:r>
      <w:r>
        <w:rPr>
          <w:color w:val="000000"/>
          <w:sz w:val="24"/>
          <w:szCs w:val="24"/>
          <w:vertAlign w:val="superscript"/>
        </w:rPr>
        <w:t>®</w:t>
      </w:r>
      <w:r>
        <w:rPr>
          <w:sz w:val="24"/>
          <w:lang w:val="en-GB"/>
        </w:rPr>
        <w:t>, distant muscles show electrophysiological changes but no clinical weakness or other clinical change for a period of several weeks or months, parallel to the duration of local clinical paralysis.</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sz w:val="24"/>
          <w:lang w:val="en-GB"/>
        </w:rPr>
        <w:t>Typically, patients with blepharospasm show improvement lasting an average of 12.5 weeks prior to the need for re-treatment.</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b/>
          <w:sz w:val="24"/>
          <w:lang w:val="en-GB"/>
        </w:rPr>
      </w:pPr>
      <w:r>
        <w:rPr>
          <w:b/>
          <w:sz w:val="24"/>
          <w:lang w:val="en-GB"/>
        </w:rPr>
        <w:t>Strabismus</w:t>
      </w:r>
    </w:p>
    <w:p w:rsidR="00051188" w:rsidRDefault="00051188" w:rsidP="009D78B4">
      <w:pPr>
        <w:widowControl w:val="0"/>
        <w:tabs>
          <w:tab w:val="left" w:pos="-720"/>
        </w:tabs>
        <w:rPr>
          <w:sz w:val="24"/>
          <w:szCs w:val="24"/>
          <w:lang w:val="en-GB"/>
        </w:rPr>
      </w:pPr>
      <w:r>
        <w:rPr>
          <w:sz w:val="24"/>
          <w:szCs w:val="24"/>
          <w:lang w:val="en-GB"/>
        </w:rPr>
        <w:t xml:space="preserve">When used for the treatment of strabismus, it is postulated that the administration of </w:t>
      </w:r>
      <w:r>
        <w:rPr>
          <w:caps/>
          <w:sz w:val="24"/>
          <w:szCs w:val="24"/>
          <w:lang w:val="en-GB"/>
        </w:rPr>
        <w:t>Botox</w:t>
      </w:r>
      <w:r>
        <w:rPr>
          <w:sz w:val="24"/>
          <w:szCs w:val="24"/>
          <w:vertAlign w:val="superscript"/>
          <w:lang w:val="en-GB"/>
        </w:rPr>
        <w:t>®</w:t>
      </w:r>
      <w:r>
        <w:rPr>
          <w:sz w:val="24"/>
          <w:szCs w:val="24"/>
          <w:lang w:val="en-GB"/>
        </w:rPr>
        <w:t xml:space="preserve"> affects muscle pairs by inducing an atrophic lengthening of the injected muscle and a corresponding shortening of the muscle’s antagonist.</w:t>
      </w:r>
    </w:p>
    <w:p w:rsidR="00051188" w:rsidRDefault="00051188" w:rsidP="009D78B4">
      <w:pPr>
        <w:widowControl w:val="0"/>
        <w:tabs>
          <w:tab w:val="left" w:pos="-720"/>
        </w:tabs>
        <w:rPr>
          <w:i/>
          <w:sz w:val="24"/>
          <w:lang w:val="en-GB"/>
        </w:rPr>
      </w:pPr>
    </w:p>
    <w:p w:rsidR="00051188" w:rsidRDefault="00051188" w:rsidP="009D78B4">
      <w:pPr>
        <w:widowControl w:val="0"/>
        <w:tabs>
          <w:tab w:val="left" w:pos="-720"/>
        </w:tabs>
        <w:rPr>
          <w:b/>
          <w:sz w:val="24"/>
          <w:lang w:val="en-GB"/>
        </w:rPr>
      </w:pPr>
      <w:r>
        <w:rPr>
          <w:b/>
          <w:sz w:val="24"/>
          <w:lang w:val="en-GB"/>
        </w:rPr>
        <w:t>Focal Spasticity in adults and children two years and older</w:t>
      </w:r>
    </w:p>
    <w:p w:rsidR="00051188" w:rsidRDefault="00051188" w:rsidP="009D78B4">
      <w:pPr>
        <w:widowControl w:val="0"/>
        <w:rPr>
          <w:b/>
          <w:sz w:val="24"/>
          <w:lang w:val="en-GB"/>
        </w:rPr>
      </w:pPr>
      <w:r>
        <w:rPr>
          <w:caps/>
          <w:color w:val="000000"/>
          <w:sz w:val="24"/>
          <w:szCs w:val="24"/>
          <w:lang w:val="en-GB"/>
        </w:rPr>
        <w:t>Botox</w:t>
      </w:r>
      <w:r>
        <w:rPr>
          <w:color w:val="000000"/>
          <w:sz w:val="24"/>
          <w:szCs w:val="24"/>
          <w:vertAlign w:val="superscript"/>
        </w:rPr>
        <w:t>®</w:t>
      </w:r>
      <w:r>
        <w:rPr>
          <w:sz w:val="24"/>
          <w:lang w:val="en-GB"/>
        </w:rPr>
        <w:t xml:space="preserve"> treatment reduces both the objective signs and subjective symptoms of spasticity.  Improvements include reduction in muscle tone, increase in range of motion, reduction in pain and a reduction of spasticity-related functional disability.</w:t>
      </w:r>
    </w:p>
    <w:p w:rsidR="00051188" w:rsidRDefault="00051188" w:rsidP="009D78B4">
      <w:pPr>
        <w:widowControl w:val="0"/>
        <w:tabs>
          <w:tab w:val="left" w:pos="-720"/>
        </w:tabs>
        <w:jc w:val="both"/>
        <w:rPr>
          <w:i/>
          <w:sz w:val="24"/>
          <w:lang w:val="en-GB"/>
        </w:rPr>
      </w:pPr>
    </w:p>
    <w:p w:rsidR="00051188" w:rsidRDefault="00051188" w:rsidP="009D78B4">
      <w:pPr>
        <w:widowControl w:val="0"/>
        <w:tabs>
          <w:tab w:val="left" w:pos="-720"/>
        </w:tabs>
        <w:rPr>
          <w:b/>
          <w:sz w:val="24"/>
          <w:lang w:val="en-GB"/>
        </w:rPr>
      </w:pPr>
      <w:r>
        <w:rPr>
          <w:b/>
          <w:sz w:val="24"/>
          <w:lang w:val="en-GB"/>
        </w:rPr>
        <w:t>Cervical Dystonia (spasmodic torticollis)</w:t>
      </w:r>
    </w:p>
    <w:p w:rsidR="00051188" w:rsidRDefault="00051188" w:rsidP="009D78B4">
      <w:pPr>
        <w:widowControl w:val="0"/>
        <w:rPr>
          <w:sz w:val="24"/>
          <w:lang w:val="en-GB"/>
        </w:rPr>
      </w:pPr>
      <w:r>
        <w:rPr>
          <w:sz w:val="24"/>
          <w:lang w:val="en-GB"/>
        </w:rPr>
        <w:t xml:space="preserve">When injected into neck muscles, </w:t>
      </w:r>
      <w:r>
        <w:rPr>
          <w:caps/>
          <w:color w:val="000000"/>
          <w:sz w:val="24"/>
          <w:szCs w:val="24"/>
          <w:lang w:val="en-GB"/>
        </w:rPr>
        <w:t>Botox</w:t>
      </w:r>
      <w:r>
        <w:rPr>
          <w:color w:val="000000"/>
          <w:sz w:val="24"/>
          <w:szCs w:val="24"/>
          <w:vertAlign w:val="superscript"/>
        </w:rPr>
        <w:t>®</w:t>
      </w:r>
      <w:r>
        <w:rPr>
          <w:sz w:val="24"/>
          <w:lang w:val="en-GB"/>
        </w:rPr>
        <w:t xml:space="preserve"> reduces both objective signs and subjective symptoms of cervical dystonia (spasmodic torticollis).  These improvements may include reduced pain/discomfort, reduced head rotation, reduced shoulder elevation, decreased size and strength of hypertrophic muscles, and functional disability improvement.  Based on the results of early publications in naïve patients, 40 to 58% of patients with cervical dystonia respond with a significant improvement in their symptoms after initial treatment with </w:t>
      </w:r>
      <w:r>
        <w:rPr>
          <w:caps/>
          <w:color w:val="000000"/>
          <w:sz w:val="24"/>
          <w:szCs w:val="24"/>
          <w:lang w:val="en-GB"/>
        </w:rPr>
        <w:t>Botox</w:t>
      </w:r>
      <w:r>
        <w:rPr>
          <w:color w:val="000000"/>
          <w:sz w:val="24"/>
          <w:szCs w:val="24"/>
          <w:vertAlign w:val="superscript"/>
        </w:rPr>
        <w:t>®</w:t>
      </w:r>
      <w:r>
        <w:rPr>
          <w:sz w:val="24"/>
          <w:lang w:val="en-GB"/>
        </w:rPr>
        <w:t xml:space="preserve">.  Among patients who have previously benefited from </w:t>
      </w:r>
      <w:r>
        <w:rPr>
          <w:caps/>
          <w:color w:val="000000"/>
          <w:sz w:val="24"/>
          <w:szCs w:val="24"/>
          <w:lang w:val="en-GB"/>
        </w:rPr>
        <w:t>Botox</w:t>
      </w:r>
      <w:r>
        <w:rPr>
          <w:color w:val="000000"/>
          <w:sz w:val="24"/>
          <w:szCs w:val="24"/>
          <w:vertAlign w:val="superscript"/>
        </w:rPr>
        <w:t>®</w:t>
      </w:r>
      <w:r>
        <w:rPr>
          <w:sz w:val="24"/>
          <w:lang w:val="en-GB"/>
        </w:rPr>
        <w:t xml:space="preserve"> injection for cervical dystonia, approximately 91% can expect improvement for any given treatment period based on patient withdrawal data in a recent trial.</w:t>
      </w:r>
    </w:p>
    <w:p w:rsidR="00051188" w:rsidRDefault="00051188" w:rsidP="009D78B4">
      <w:pPr>
        <w:widowControl w:val="0"/>
        <w:rPr>
          <w:sz w:val="24"/>
          <w:lang w:val="en-GB"/>
        </w:rPr>
      </w:pPr>
    </w:p>
    <w:p w:rsidR="00051188" w:rsidRDefault="00051188" w:rsidP="009D78B4">
      <w:pPr>
        <w:widowControl w:val="0"/>
        <w:spacing w:line="240" w:lineRule="atLeast"/>
        <w:ind w:right="117"/>
        <w:rPr>
          <w:b/>
          <w:strike/>
          <w:sz w:val="24"/>
        </w:rPr>
      </w:pPr>
      <w:r>
        <w:rPr>
          <w:b/>
          <w:sz w:val="24"/>
        </w:rPr>
        <w:t>Primary Hyperhidrosis of the Axillae</w:t>
      </w:r>
    </w:p>
    <w:p w:rsidR="00051188" w:rsidRDefault="00051188" w:rsidP="009D78B4">
      <w:pPr>
        <w:widowControl w:val="0"/>
        <w:spacing w:line="240" w:lineRule="atLeast"/>
        <w:ind w:right="117"/>
        <w:rPr>
          <w:strike/>
          <w:sz w:val="24"/>
        </w:rPr>
      </w:pPr>
      <w:r>
        <w:rPr>
          <w:sz w:val="24"/>
        </w:rPr>
        <w:t xml:space="preserve">The proposed mechanism of action of </w:t>
      </w:r>
      <w:r>
        <w:rPr>
          <w:caps/>
          <w:color w:val="000000"/>
          <w:sz w:val="24"/>
          <w:szCs w:val="24"/>
          <w:lang w:val="en-GB"/>
        </w:rPr>
        <w:t>Botox</w:t>
      </w:r>
      <w:r>
        <w:rPr>
          <w:color w:val="000000"/>
          <w:sz w:val="24"/>
          <w:szCs w:val="24"/>
          <w:vertAlign w:val="superscript"/>
        </w:rPr>
        <w:t>®</w:t>
      </w:r>
      <w:r>
        <w:rPr>
          <w:caps/>
          <w:position w:val="4"/>
          <w:sz w:val="16"/>
          <w:szCs w:val="16"/>
          <w:lang w:val="en-GB"/>
        </w:rPr>
        <w:t xml:space="preserve"> </w:t>
      </w:r>
      <w:r>
        <w:rPr>
          <w:sz w:val="24"/>
        </w:rPr>
        <w:t xml:space="preserve">in hyperhidrosis is the inhibition of cholinergically driven excessive sweating, by locally blocking the autonomic sympathetic cholinergic nerve fibres innervating sweat glands.  This is achieved by injecting the toxin in the vicinity of the sweat glands, which are located within the dermis of the skin.  Injections </w:t>
      </w:r>
      <w:r>
        <w:rPr>
          <w:sz w:val="24"/>
        </w:rPr>
        <w:lastRenderedPageBreak/>
        <w:t>for this indication must therefore be given intradermally.  Hyperhidrosis is typically treated by multiple intradermal injections given in a grid-like pattern over the affected area.</w:t>
      </w:r>
    </w:p>
    <w:p w:rsidR="00051188" w:rsidRDefault="00051188" w:rsidP="009D78B4">
      <w:pPr>
        <w:widowControl w:val="0"/>
        <w:spacing w:line="240" w:lineRule="atLeast"/>
        <w:ind w:right="117"/>
        <w:rPr>
          <w:sz w:val="24"/>
        </w:rPr>
      </w:pPr>
      <w:r>
        <w:rPr>
          <w:sz w:val="24"/>
        </w:rPr>
        <w:t>The objective of treatment is to reduce sweating to a physiologically normal level which patients find tolerable.  Anhidrosis is not the target.</w:t>
      </w:r>
    </w:p>
    <w:p w:rsidR="00051188" w:rsidRDefault="00051188" w:rsidP="009D78B4">
      <w:pPr>
        <w:widowControl w:val="0"/>
        <w:spacing w:line="240" w:lineRule="atLeast"/>
        <w:ind w:right="117"/>
        <w:rPr>
          <w:sz w:val="24"/>
        </w:rPr>
      </w:pPr>
    </w:p>
    <w:p w:rsidR="00051188" w:rsidRDefault="00051188" w:rsidP="009D78B4">
      <w:pPr>
        <w:widowControl w:val="0"/>
        <w:tabs>
          <w:tab w:val="left" w:pos="-720"/>
        </w:tabs>
        <w:rPr>
          <w:sz w:val="24"/>
          <w:lang w:val="en-GB"/>
        </w:rPr>
      </w:pPr>
      <w:r>
        <w:rPr>
          <w:sz w:val="24"/>
          <w:lang w:val="en-GB"/>
        </w:rPr>
        <w:t>When injected intradermally, BOTOX</w:t>
      </w:r>
      <w:r>
        <w:rPr>
          <w:sz w:val="24"/>
          <w:vertAlign w:val="superscript"/>
          <w:lang w:val="en-GB"/>
        </w:rPr>
        <w:t xml:space="preserve">® </w:t>
      </w:r>
      <w:r>
        <w:rPr>
          <w:sz w:val="24"/>
          <w:lang w:val="en-GB"/>
        </w:rPr>
        <w:t>produces temporary chemical denervation of the sweat gland resulting in local reduction of sweating.</w:t>
      </w:r>
    </w:p>
    <w:p w:rsidR="00051188" w:rsidRDefault="00051188" w:rsidP="009D78B4">
      <w:pPr>
        <w:widowControl w:val="0"/>
        <w:spacing w:line="240" w:lineRule="atLeast"/>
        <w:ind w:right="117"/>
        <w:rPr>
          <w:sz w:val="24"/>
          <w:lang w:val="en-GB"/>
        </w:rPr>
      </w:pPr>
    </w:p>
    <w:p w:rsidR="00051188" w:rsidRDefault="00051188" w:rsidP="009D78B4">
      <w:pPr>
        <w:widowControl w:val="0"/>
        <w:spacing w:line="240" w:lineRule="atLeast"/>
        <w:ind w:right="117"/>
        <w:rPr>
          <w:b/>
          <w:sz w:val="24"/>
        </w:rPr>
      </w:pPr>
      <w:r>
        <w:rPr>
          <w:b/>
          <w:sz w:val="24"/>
        </w:rPr>
        <w:t>Spasmodic Dysphonia</w:t>
      </w:r>
    </w:p>
    <w:p w:rsidR="00051188" w:rsidRDefault="00051188" w:rsidP="009D78B4">
      <w:pPr>
        <w:widowControl w:val="0"/>
        <w:spacing w:line="240" w:lineRule="atLeast"/>
        <w:ind w:right="117"/>
        <w:rPr>
          <w:b/>
          <w:sz w:val="24"/>
          <w:u w:val="single"/>
        </w:rPr>
      </w:pPr>
      <w:r>
        <w:rPr>
          <w:sz w:val="24"/>
        </w:rPr>
        <w:t>Spasmodic dysphonia is a focal laryngeal dystonia with task specific spasms of the vocal cords seriously interfering with communication.  Approximately 90% of the patients have adductor spasmodic dysphonia with spasms of the adductor muscles including thyroarytenoid, lateral cricoarytenoid and interarytenoid muscles.  About 10% of patients have abductor spasmodic dysphonia with spasms of the abductors of the vocal cords, in particular the posterior cricoarytenoid muscles.  Many studies have shown that at least 90% of patients with adductor spasmodic dysphonia obtain a satisfactory or better result with BOTOX</w:t>
      </w:r>
      <w:r>
        <w:rPr>
          <w:sz w:val="24"/>
          <w:vertAlign w:val="superscript"/>
        </w:rPr>
        <w:t>®</w:t>
      </w:r>
      <w:r>
        <w:rPr>
          <w:sz w:val="24"/>
        </w:rPr>
        <w:t xml:space="preserve"> injections.  Treatment of abductor spasmodic dysphonia is more technically difficult and results are less satisfactory, but with a tailored approach most patients still obtain satisfactory improvement with BOTOX</w:t>
      </w:r>
      <w:r>
        <w:rPr>
          <w:sz w:val="24"/>
          <w:vertAlign w:val="superscript"/>
        </w:rPr>
        <w:t>®</w:t>
      </w:r>
      <w:r>
        <w:rPr>
          <w:sz w:val="24"/>
        </w:rPr>
        <w:t xml:space="preserve"> injections.</w:t>
      </w:r>
    </w:p>
    <w:p w:rsidR="00051188" w:rsidRDefault="00051188" w:rsidP="009D78B4">
      <w:pPr>
        <w:widowControl w:val="0"/>
        <w:spacing w:line="240" w:lineRule="atLeast"/>
        <w:ind w:right="117"/>
        <w:rPr>
          <w:b/>
          <w:i/>
          <w:sz w:val="24"/>
        </w:rPr>
      </w:pPr>
    </w:p>
    <w:p w:rsidR="00051188" w:rsidRDefault="00051188" w:rsidP="009D78B4">
      <w:pPr>
        <w:widowControl w:val="0"/>
        <w:spacing w:line="240" w:lineRule="atLeast"/>
        <w:ind w:right="117"/>
        <w:rPr>
          <w:b/>
          <w:sz w:val="24"/>
          <w:lang w:val="en-GB"/>
        </w:rPr>
      </w:pPr>
      <w:r>
        <w:rPr>
          <w:b/>
          <w:sz w:val="24"/>
          <w:lang w:val="en-GB"/>
        </w:rPr>
        <w:t>Glabellar Lines</w:t>
      </w:r>
    </w:p>
    <w:p w:rsidR="00051188" w:rsidRDefault="00051188" w:rsidP="009D78B4">
      <w:pPr>
        <w:widowControl w:val="0"/>
        <w:rPr>
          <w:sz w:val="24"/>
          <w:szCs w:val="24"/>
          <w:lang w:val="en-GB"/>
        </w:rPr>
      </w:pPr>
      <w:r>
        <w:rPr>
          <w:sz w:val="24"/>
          <w:lang w:val="en-GB"/>
        </w:rPr>
        <w:t xml:space="preserve">Glabellar lines are secondary to relative overactivity (or hyperfunctioning) of the muscles associated with frowning.  </w:t>
      </w:r>
      <w:r>
        <w:rPr>
          <w:sz w:val="24"/>
          <w:szCs w:val="24"/>
          <w:lang w:val="en-GB"/>
        </w:rPr>
        <w:t xml:space="preserve">When injected into the corrugator and/or procerus muscles, </w:t>
      </w:r>
      <w:r>
        <w:rPr>
          <w:caps/>
          <w:color w:val="000000"/>
          <w:sz w:val="24"/>
          <w:szCs w:val="24"/>
          <w:lang w:val="en-GB"/>
        </w:rPr>
        <w:t>Botox</w:t>
      </w:r>
      <w:r>
        <w:rPr>
          <w:color w:val="000000"/>
          <w:sz w:val="24"/>
          <w:szCs w:val="24"/>
          <w:vertAlign w:val="superscript"/>
        </w:rPr>
        <w:t>®</w:t>
      </w:r>
      <w:r>
        <w:rPr>
          <w:smallCaps/>
          <w:sz w:val="24"/>
          <w:szCs w:val="24"/>
          <w:lang w:val="en-GB"/>
        </w:rPr>
        <w:t xml:space="preserve"> </w:t>
      </w:r>
      <w:r>
        <w:rPr>
          <w:sz w:val="24"/>
          <w:szCs w:val="24"/>
          <w:lang w:val="en-GB"/>
        </w:rPr>
        <w:t xml:space="preserve">weakens the overactive underlying muscle contraction, decreasing the severity of the glabellar lines and improving appearance.  In controlled clinical trials, onset of action was rapid (effect of </w:t>
      </w:r>
      <w:r>
        <w:rPr>
          <w:caps/>
          <w:color w:val="000000"/>
          <w:sz w:val="24"/>
          <w:szCs w:val="24"/>
          <w:lang w:val="en-GB"/>
        </w:rPr>
        <w:t>Botox</w:t>
      </w:r>
      <w:r>
        <w:rPr>
          <w:color w:val="000000"/>
          <w:sz w:val="24"/>
          <w:szCs w:val="24"/>
          <w:vertAlign w:val="superscript"/>
        </w:rPr>
        <w:t>®</w:t>
      </w:r>
      <w:r>
        <w:rPr>
          <w:sz w:val="24"/>
          <w:szCs w:val="24"/>
          <w:lang w:val="en-GB"/>
        </w:rPr>
        <w:t xml:space="preserve"> was apparent at the first assessment timepoint of 7 days) and lasted at least 4 months for many subjects.</w:t>
      </w:r>
    </w:p>
    <w:p w:rsidR="00051188" w:rsidRDefault="00051188" w:rsidP="009D78B4">
      <w:pPr>
        <w:widowControl w:val="0"/>
        <w:rPr>
          <w:sz w:val="24"/>
          <w:szCs w:val="24"/>
          <w:lang w:val="en-GB"/>
        </w:rPr>
      </w:pPr>
    </w:p>
    <w:p w:rsidR="00051188" w:rsidRDefault="00051188" w:rsidP="009D78B4">
      <w:pPr>
        <w:widowControl w:val="0"/>
        <w:rPr>
          <w:b/>
          <w:sz w:val="24"/>
          <w:lang w:val="en-GB"/>
        </w:rPr>
      </w:pPr>
      <w:r>
        <w:rPr>
          <w:b/>
          <w:sz w:val="24"/>
          <w:lang w:val="en-GB"/>
        </w:rPr>
        <w:t>Crow’s Feet</w:t>
      </w:r>
    </w:p>
    <w:p w:rsidR="00051188" w:rsidRDefault="00051188" w:rsidP="009D78B4">
      <w:pPr>
        <w:widowControl w:val="0"/>
        <w:rPr>
          <w:sz w:val="24"/>
          <w:szCs w:val="24"/>
          <w:lang w:val="en-AU"/>
        </w:rPr>
      </w:pPr>
      <w:r>
        <w:rPr>
          <w:sz w:val="24"/>
          <w:szCs w:val="24"/>
        </w:rPr>
        <w:t>Crow’s feet are well established, deep, radiating, horizontal and oblique furrows at the temporal aspect of each eye and are the direct result of the contraction of the lateral fibers of the orbicularis oculi muscles.  In controlled clinical trials, injections of BOTOX</w:t>
      </w:r>
      <w:r>
        <w:rPr>
          <w:sz w:val="24"/>
          <w:szCs w:val="24"/>
          <w:vertAlign w:val="superscript"/>
        </w:rPr>
        <w:t>®</w:t>
      </w:r>
      <w:r>
        <w:rPr>
          <w:sz w:val="24"/>
          <w:szCs w:val="24"/>
        </w:rPr>
        <w:t xml:space="preserve"> into the lateral orbital area resulted in rapid onset of action (effect of BOTOX</w:t>
      </w:r>
      <w:r>
        <w:rPr>
          <w:sz w:val="24"/>
          <w:szCs w:val="24"/>
          <w:vertAlign w:val="superscript"/>
        </w:rPr>
        <w:t>®</w:t>
      </w:r>
      <w:r>
        <w:rPr>
          <w:sz w:val="24"/>
          <w:szCs w:val="24"/>
        </w:rPr>
        <w:t xml:space="preserve"> was apparent at the first assessment timepoint of 7 days) and reduced the severity of wrinkling in this area for up to 17 weeks.</w:t>
      </w:r>
    </w:p>
    <w:p w:rsidR="00051188" w:rsidRDefault="00051188" w:rsidP="009D78B4">
      <w:pPr>
        <w:widowControl w:val="0"/>
        <w:rPr>
          <w:sz w:val="24"/>
          <w:szCs w:val="24"/>
        </w:rPr>
      </w:pPr>
    </w:p>
    <w:p w:rsidR="00051188" w:rsidRDefault="00051188" w:rsidP="009D78B4">
      <w:pPr>
        <w:widowControl w:val="0"/>
        <w:rPr>
          <w:b/>
          <w:sz w:val="24"/>
        </w:rPr>
      </w:pPr>
      <w:r>
        <w:rPr>
          <w:b/>
          <w:sz w:val="24"/>
        </w:rPr>
        <w:t>Forehead Lines</w:t>
      </w:r>
    </w:p>
    <w:p w:rsidR="00051188" w:rsidRDefault="00051188" w:rsidP="009D78B4">
      <w:pPr>
        <w:widowControl w:val="0"/>
        <w:rPr>
          <w:sz w:val="24"/>
        </w:rPr>
      </w:pPr>
      <w:r>
        <w:rPr>
          <w:sz w:val="24"/>
          <w:szCs w:val="24"/>
        </w:rPr>
        <w:t>Horizontal forehead lines are associated with chronic functional activity of the frontalis muscle.  At two weeks post-injection, 84-95% of BOTOX</w:t>
      </w:r>
      <w:r>
        <w:rPr>
          <w:sz w:val="24"/>
          <w:szCs w:val="24"/>
          <w:vertAlign w:val="superscript"/>
        </w:rPr>
        <w:t>®</w:t>
      </w:r>
      <w:r>
        <w:rPr>
          <w:sz w:val="24"/>
          <w:szCs w:val="24"/>
        </w:rPr>
        <w:t>-treated patients were considered by investigators as treatment responders; 75-80% of patients felt they had improvement (16 or 24 U at four sites in the frontalis muscle).  Higher doses of BOTOX</w:t>
      </w:r>
      <w:r>
        <w:rPr>
          <w:sz w:val="24"/>
          <w:szCs w:val="24"/>
          <w:vertAlign w:val="superscript"/>
        </w:rPr>
        <w:t>®</w:t>
      </w:r>
      <w:r>
        <w:rPr>
          <w:sz w:val="24"/>
          <w:szCs w:val="24"/>
        </w:rPr>
        <w:t xml:space="preserve"> resulted in greater efficacy and longer duration of effect.  Injections of BOTOX</w:t>
      </w:r>
      <w:r>
        <w:rPr>
          <w:sz w:val="24"/>
          <w:szCs w:val="24"/>
          <w:vertAlign w:val="superscript"/>
        </w:rPr>
        <w:t>®</w:t>
      </w:r>
      <w:r>
        <w:rPr>
          <w:sz w:val="24"/>
          <w:szCs w:val="24"/>
        </w:rPr>
        <w:t xml:space="preserve"> reduced the severity of horizontal forehead lines for up to 24 weeks as determined by a trained observer.</w:t>
      </w:r>
    </w:p>
    <w:p w:rsidR="00051188" w:rsidRDefault="00051188" w:rsidP="009D78B4">
      <w:pPr>
        <w:widowControl w:val="0"/>
        <w:rPr>
          <w:sz w:val="24"/>
        </w:rPr>
      </w:pPr>
    </w:p>
    <w:p w:rsidR="00051188" w:rsidRDefault="00051188" w:rsidP="009D78B4">
      <w:pPr>
        <w:widowControl w:val="0"/>
        <w:tabs>
          <w:tab w:val="left" w:pos="-720"/>
        </w:tabs>
        <w:rPr>
          <w:b/>
          <w:sz w:val="24"/>
          <w:szCs w:val="24"/>
          <w:lang w:val="en-GB"/>
        </w:rPr>
      </w:pPr>
      <w:r>
        <w:rPr>
          <w:b/>
          <w:sz w:val="24"/>
          <w:szCs w:val="24"/>
          <w:lang w:val="en-GB"/>
        </w:rPr>
        <w:t>Pharmacokinetics</w:t>
      </w:r>
    </w:p>
    <w:p w:rsidR="001F21BC" w:rsidRDefault="001F21BC" w:rsidP="009D78B4">
      <w:pPr>
        <w:widowControl w:val="0"/>
        <w:tabs>
          <w:tab w:val="left" w:pos="-720"/>
        </w:tabs>
        <w:rPr>
          <w:b/>
          <w:sz w:val="24"/>
          <w:szCs w:val="24"/>
          <w:lang w:val="en-GB"/>
        </w:rPr>
      </w:pPr>
    </w:p>
    <w:p w:rsidR="00051188" w:rsidRDefault="00051188" w:rsidP="009D78B4">
      <w:pPr>
        <w:widowControl w:val="0"/>
        <w:tabs>
          <w:tab w:val="left" w:pos="-720"/>
        </w:tabs>
        <w:rPr>
          <w:sz w:val="24"/>
          <w:lang w:val="en-GB"/>
        </w:rPr>
      </w:pPr>
      <w:r>
        <w:rPr>
          <w:sz w:val="24"/>
          <w:lang w:val="en-GB"/>
        </w:rPr>
        <w:t>Classical absorption, distribution, biotransformation and elimination studies on the active substance have not been performed due to the nature of this product.</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sz w:val="24"/>
          <w:lang w:val="en-GB"/>
        </w:rPr>
        <w:lastRenderedPageBreak/>
        <w:t xml:space="preserve">Distribution in rats was studied following injection of </w:t>
      </w:r>
      <w:r>
        <w:rPr>
          <w:sz w:val="24"/>
          <w:vertAlign w:val="superscript"/>
          <w:lang w:val="en-GB"/>
        </w:rPr>
        <w:t>125</w:t>
      </w:r>
      <w:r>
        <w:rPr>
          <w:sz w:val="24"/>
          <w:lang w:val="en-GB"/>
        </w:rPr>
        <w:t>I-botulinum neurotoxin A complex into the gastrocnemius muscle.  Radioactivity associated with the toxin complex was mostly retained at the injection site, declining with a half-life of approximately 10 hours.  Radioactivity detected in other locations (plasma, muscle, thyroid, skin) was mainly associated with probable breakdown products, indicating minimal systemic exposure to toxin.  Within 24 hours of dosing, 60% of the radioactivity was excreted in the urine.  The toxin is probably metabolised by proteases and the molecular components cycled through normal metabolic pathways.</w:t>
      </w:r>
    </w:p>
    <w:p w:rsidR="00051188" w:rsidRDefault="00051188" w:rsidP="009D78B4">
      <w:pPr>
        <w:widowControl w:val="0"/>
        <w:rPr>
          <w:sz w:val="24"/>
          <w:szCs w:val="24"/>
          <w:lang w:val="en-GB"/>
        </w:rPr>
      </w:pPr>
    </w:p>
    <w:p w:rsidR="00051188" w:rsidRDefault="00051188" w:rsidP="009D78B4">
      <w:pPr>
        <w:pStyle w:val="Heading1"/>
        <w:keepNext w:val="0"/>
        <w:widowControl w:val="0"/>
        <w:spacing w:after="240"/>
        <w:jc w:val="both"/>
        <w:rPr>
          <w:i w:val="0"/>
          <w:szCs w:val="24"/>
        </w:rPr>
      </w:pPr>
      <w:r>
        <w:rPr>
          <w:i w:val="0"/>
          <w:szCs w:val="24"/>
        </w:rPr>
        <w:t>CLINICAL TRIALS – Therapeutic Indications</w:t>
      </w:r>
    </w:p>
    <w:p w:rsidR="00051188" w:rsidRDefault="00051188" w:rsidP="009D78B4">
      <w:pPr>
        <w:widowControl w:val="0"/>
        <w:tabs>
          <w:tab w:val="left" w:pos="-720"/>
        </w:tabs>
        <w:rPr>
          <w:b/>
          <w:sz w:val="24"/>
          <w:lang w:val="en-GB"/>
        </w:rPr>
      </w:pPr>
      <w:r>
        <w:rPr>
          <w:b/>
          <w:sz w:val="24"/>
          <w:lang w:val="en-GB"/>
        </w:rPr>
        <w:t>Overactive Bladder</w:t>
      </w:r>
    </w:p>
    <w:p w:rsidR="006A3147" w:rsidRDefault="00051188" w:rsidP="009D78B4">
      <w:pPr>
        <w:widowControl w:val="0"/>
        <w:autoSpaceDE w:val="0"/>
        <w:autoSpaceDN w:val="0"/>
        <w:adjustRightInd w:val="0"/>
        <w:rPr>
          <w:rFonts w:eastAsia="SimSun"/>
          <w:color w:val="060603"/>
          <w:sz w:val="24"/>
          <w:szCs w:val="24"/>
        </w:rPr>
      </w:pPr>
      <w:r>
        <w:rPr>
          <w:sz w:val="24"/>
          <w:szCs w:val="24"/>
        </w:rPr>
        <w:t>Two double-blind, placebo-controlled, randomi</w:t>
      </w:r>
      <w:r w:rsidR="00CB13AE">
        <w:rPr>
          <w:sz w:val="24"/>
          <w:szCs w:val="24"/>
        </w:rPr>
        <w:t>s</w:t>
      </w:r>
      <w:r>
        <w:rPr>
          <w:sz w:val="24"/>
          <w:szCs w:val="24"/>
        </w:rPr>
        <w:t xml:space="preserve">ed, multi-center, 24-week Phase 3 clinical studies were conducted in patients with OAB </w:t>
      </w:r>
      <w:r w:rsidRPr="00375DD3">
        <w:rPr>
          <w:sz w:val="24"/>
          <w:szCs w:val="24"/>
        </w:rPr>
        <w:t>with symptoms of urinary incontinence, urgency, and frequency.</w:t>
      </w:r>
      <w:r>
        <w:rPr>
          <w:sz w:val="24"/>
          <w:szCs w:val="24"/>
        </w:rPr>
        <w:t xml:space="preserve">  A total of 1105 patients, whose symptoms had not been adequately managed with anticholinergic therapy (inadequate response or intolerable side effects), were randomi</w:t>
      </w:r>
      <w:r w:rsidR="00CB13AE">
        <w:rPr>
          <w:sz w:val="24"/>
          <w:szCs w:val="24"/>
        </w:rPr>
        <w:t>s</w:t>
      </w:r>
      <w:r>
        <w:rPr>
          <w:sz w:val="24"/>
          <w:szCs w:val="24"/>
        </w:rPr>
        <w:t>ed to receive either 100 Units of BOTOX</w:t>
      </w:r>
      <w:r>
        <w:rPr>
          <w:sz w:val="24"/>
          <w:szCs w:val="24"/>
          <w:vertAlign w:val="superscript"/>
        </w:rPr>
        <w:t>®</w:t>
      </w:r>
      <w:r>
        <w:rPr>
          <w:sz w:val="24"/>
          <w:szCs w:val="24"/>
        </w:rPr>
        <w:t xml:space="preserve"> (n=557), or placebo (n=548).</w:t>
      </w:r>
      <w:r w:rsidR="00F61980">
        <w:rPr>
          <w:sz w:val="24"/>
          <w:szCs w:val="24"/>
        </w:rPr>
        <w:t xml:space="preserve"> </w:t>
      </w:r>
      <w:r w:rsidR="00E768B6" w:rsidRPr="00925456">
        <w:rPr>
          <w:rFonts w:eastAsia="SimSun"/>
          <w:color w:val="070703"/>
          <w:sz w:val="24"/>
          <w:szCs w:val="24"/>
        </w:rPr>
        <w:t xml:space="preserve">Patients had to have </w:t>
      </w:r>
      <w:r w:rsidR="00053082" w:rsidRPr="00925456">
        <w:rPr>
          <w:rFonts w:eastAsia="SimSun"/>
          <w:color w:val="070703"/>
          <w:sz w:val="24"/>
          <w:szCs w:val="24"/>
        </w:rPr>
        <w:t xml:space="preserve">at least 3 urinary urgency incontinence episodes and at least 24 micturitions in 3 days, </w:t>
      </w:r>
      <w:r w:rsidR="00E768B6" w:rsidRPr="00925456">
        <w:rPr>
          <w:rFonts w:eastAsia="SimSun"/>
          <w:color w:val="070703"/>
          <w:sz w:val="24"/>
          <w:szCs w:val="24"/>
        </w:rPr>
        <w:t xml:space="preserve">a negative urine dipstick at randomisation and to be willing to use </w:t>
      </w:r>
      <w:r w:rsidR="00053082" w:rsidRPr="00925456">
        <w:rPr>
          <w:rFonts w:eastAsia="SimSun"/>
          <w:color w:val="070703"/>
          <w:sz w:val="24"/>
          <w:szCs w:val="24"/>
        </w:rPr>
        <w:t>C</w:t>
      </w:r>
      <w:r w:rsidR="00E768B6" w:rsidRPr="00925456">
        <w:rPr>
          <w:rFonts w:eastAsia="SimSun"/>
          <w:color w:val="070703"/>
          <w:sz w:val="24"/>
          <w:szCs w:val="24"/>
        </w:rPr>
        <w:t>lean Inte</w:t>
      </w:r>
      <w:r w:rsidR="00053082" w:rsidRPr="00925456">
        <w:rPr>
          <w:rFonts w:eastAsia="SimSun"/>
          <w:color w:val="070703"/>
          <w:sz w:val="24"/>
          <w:szCs w:val="24"/>
        </w:rPr>
        <w:t>rmittent Catheteris</w:t>
      </w:r>
      <w:r w:rsidR="00D347AF" w:rsidRPr="00925456">
        <w:rPr>
          <w:rFonts w:eastAsia="SimSun"/>
          <w:color w:val="070703"/>
          <w:sz w:val="24"/>
          <w:szCs w:val="24"/>
        </w:rPr>
        <w:t>ation (CIC) i</w:t>
      </w:r>
      <w:r w:rsidR="00E768B6" w:rsidRPr="00925456">
        <w:rPr>
          <w:rFonts w:eastAsia="SimSun"/>
          <w:color w:val="070703"/>
          <w:sz w:val="24"/>
          <w:szCs w:val="24"/>
        </w:rPr>
        <w:t>f deemed necessary by the investigator.</w:t>
      </w:r>
      <w:r w:rsidR="00053082" w:rsidRPr="00925456">
        <w:rPr>
          <w:rFonts w:eastAsia="SimSun"/>
          <w:color w:val="070703"/>
          <w:sz w:val="24"/>
          <w:szCs w:val="24"/>
        </w:rPr>
        <w:t xml:space="preserve"> Patients were excluded </w:t>
      </w:r>
      <w:r w:rsidR="00053082" w:rsidRPr="00925456">
        <w:rPr>
          <w:rFonts w:eastAsia="SimSun"/>
          <w:color w:val="060603"/>
          <w:sz w:val="24"/>
          <w:szCs w:val="24"/>
        </w:rPr>
        <w:t xml:space="preserve">if they had </w:t>
      </w:r>
      <w:r w:rsidR="006A3147" w:rsidRPr="00925456">
        <w:rPr>
          <w:rFonts w:eastAsia="SimSun"/>
          <w:color w:val="060603"/>
          <w:sz w:val="24"/>
          <w:szCs w:val="24"/>
        </w:rPr>
        <w:t>other urological conditions</w:t>
      </w:r>
      <w:r w:rsidR="006E53A6" w:rsidRPr="00925456">
        <w:rPr>
          <w:rFonts w:eastAsia="SimSun"/>
          <w:color w:val="060603"/>
          <w:sz w:val="24"/>
          <w:szCs w:val="24"/>
        </w:rPr>
        <w:t xml:space="preserve"> </w:t>
      </w:r>
      <w:r w:rsidR="006A3147" w:rsidRPr="00925456">
        <w:rPr>
          <w:rFonts w:eastAsia="SimSun"/>
          <w:color w:val="060603"/>
          <w:sz w:val="24"/>
          <w:szCs w:val="24"/>
        </w:rPr>
        <w:t xml:space="preserve"> that could confound the</w:t>
      </w:r>
      <w:r w:rsidR="00053082" w:rsidRPr="00925456">
        <w:rPr>
          <w:rFonts w:eastAsia="SimSun"/>
          <w:color w:val="060603"/>
          <w:sz w:val="24"/>
          <w:szCs w:val="24"/>
        </w:rPr>
        <w:t xml:space="preserve"> studies such as</w:t>
      </w:r>
      <w:r w:rsidR="006A3147" w:rsidRPr="00925456">
        <w:rPr>
          <w:rFonts w:eastAsia="SimSun"/>
          <w:color w:val="060603"/>
          <w:sz w:val="24"/>
          <w:szCs w:val="24"/>
        </w:rPr>
        <w:t>:</w:t>
      </w:r>
      <w:r w:rsidR="00D347AF" w:rsidRPr="00925456">
        <w:rPr>
          <w:rFonts w:eastAsia="SimSun"/>
          <w:color w:val="060603"/>
          <w:sz w:val="24"/>
          <w:szCs w:val="24"/>
        </w:rPr>
        <w:t xml:space="preserve"> </w:t>
      </w:r>
      <w:r w:rsidR="006A3147" w:rsidRPr="00925456">
        <w:rPr>
          <w:rFonts w:eastAsia="SimSun"/>
          <w:color w:val="060603"/>
          <w:sz w:val="24"/>
          <w:szCs w:val="24"/>
        </w:rPr>
        <w:t>OAB secondary to any known neurological reason</w:t>
      </w:r>
      <w:r w:rsidR="006A3147" w:rsidRPr="00925456">
        <w:rPr>
          <w:rFonts w:eastAsia="SimSun"/>
          <w:color w:val="2E2E16"/>
          <w:sz w:val="24"/>
          <w:szCs w:val="24"/>
        </w:rPr>
        <w:t xml:space="preserve">, </w:t>
      </w:r>
      <w:r w:rsidR="006A3147" w:rsidRPr="00925456">
        <w:rPr>
          <w:rFonts w:eastAsia="SimSun"/>
          <w:color w:val="060603"/>
          <w:sz w:val="24"/>
          <w:szCs w:val="24"/>
        </w:rPr>
        <w:t>a</w:t>
      </w:r>
      <w:r w:rsidR="006A3147" w:rsidRPr="00925456">
        <w:rPr>
          <w:rFonts w:eastAsia="SimSun"/>
          <w:color w:val="3F3E1E"/>
          <w:sz w:val="24"/>
          <w:szCs w:val="24"/>
        </w:rPr>
        <w:t xml:space="preserve"> </w:t>
      </w:r>
      <w:r w:rsidR="006A3147" w:rsidRPr="00925456">
        <w:rPr>
          <w:rFonts w:eastAsia="SimSun"/>
          <w:color w:val="060603"/>
          <w:sz w:val="24"/>
          <w:szCs w:val="24"/>
        </w:rPr>
        <w:t>predominance of stress incontinence, anticholinergic treatment or any other therapies for OAB within the 7 days prior to baseline , already using CIC or an</w:t>
      </w:r>
      <w:r w:rsidR="006A3147" w:rsidRPr="00925456">
        <w:rPr>
          <w:rFonts w:eastAsia="SimSun"/>
          <w:color w:val="3F3E1E"/>
          <w:sz w:val="24"/>
          <w:szCs w:val="24"/>
        </w:rPr>
        <w:t xml:space="preserve"> in</w:t>
      </w:r>
      <w:r w:rsidR="00D347AF" w:rsidRPr="00925456">
        <w:rPr>
          <w:rFonts w:eastAsia="SimSun"/>
          <w:color w:val="3F3E1E"/>
          <w:sz w:val="24"/>
          <w:szCs w:val="24"/>
        </w:rPr>
        <w:t>-</w:t>
      </w:r>
      <w:r w:rsidR="006A3147" w:rsidRPr="00925456">
        <w:rPr>
          <w:rFonts w:eastAsia="SimSun"/>
          <w:color w:val="3F3E1E"/>
          <w:sz w:val="24"/>
          <w:szCs w:val="24"/>
        </w:rPr>
        <w:t>dwell</w:t>
      </w:r>
      <w:r w:rsidR="006A3147" w:rsidRPr="00925456">
        <w:rPr>
          <w:rFonts w:eastAsia="SimSun"/>
          <w:color w:val="060603"/>
          <w:sz w:val="24"/>
          <w:szCs w:val="24"/>
        </w:rPr>
        <w:t xml:space="preserve">ing catheter, </w:t>
      </w:r>
      <w:r w:rsidR="00D347AF" w:rsidRPr="00925456">
        <w:rPr>
          <w:rFonts w:eastAsia="SimSun"/>
          <w:color w:val="060603"/>
          <w:sz w:val="24"/>
          <w:szCs w:val="24"/>
        </w:rPr>
        <w:t xml:space="preserve"> </w:t>
      </w:r>
      <w:r w:rsidR="006A3147" w:rsidRPr="00925456">
        <w:rPr>
          <w:rFonts w:eastAsia="SimSun"/>
          <w:color w:val="060603"/>
          <w:sz w:val="24"/>
          <w:szCs w:val="24"/>
        </w:rPr>
        <w:t>previous botulinum toxin therapy within the previous 12 weeks or immunisation for any botulinum toxin serotype, significant pelvic or urological abnormalities other than OAB</w:t>
      </w:r>
      <w:r w:rsidR="00053082" w:rsidRPr="00925456">
        <w:rPr>
          <w:rFonts w:eastAsia="SimSun"/>
          <w:color w:val="060603"/>
          <w:sz w:val="24"/>
          <w:szCs w:val="24"/>
        </w:rPr>
        <w:t xml:space="preserve"> or</w:t>
      </w:r>
      <w:r w:rsidR="006A3147" w:rsidRPr="00925456">
        <w:rPr>
          <w:rFonts w:eastAsia="SimSun"/>
          <w:color w:val="060603"/>
          <w:sz w:val="24"/>
          <w:szCs w:val="24"/>
        </w:rPr>
        <w:t xml:space="preserve"> post-void residual (PVR) urine volume</w:t>
      </w:r>
      <w:r w:rsidR="00053082" w:rsidRPr="00925456">
        <w:rPr>
          <w:rFonts w:eastAsia="SimSun"/>
          <w:color w:val="060603"/>
          <w:sz w:val="24"/>
          <w:szCs w:val="24"/>
        </w:rPr>
        <w:t xml:space="preserve"> </w:t>
      </w:r>
      <w:r w:rsidR="006A3147" w:rsidRPr="00925456">
        <w:rPr>
          <w:rFonts w:eastAsia="SimSun"/>
          <w:color w:val="060603"/>
          <w:sz w:val="24"/>
          <w:szCs w:val="24"/>
        </w:rPr>
        <w:t>&gt; 100 ml at screening among others.</w:t>
      </w:r>
    </w:p>
    <w:p w:rsidR="006A3147" w:rsidRDefault="006A3147" w:rsidP="009D78B4">
      <w:pPr>
        <w:widowControl w:val="0"/>
        <w:autoSpaceDE w:val="0"/>
        <w:autoSpaceDN w:val="0"/>
        <w:adjustRightInd w:val="0"/>
        <w:rPr>
          <w:rFonts w:eastAsia="SimSun"/>
          <w:color w:val="060603"/>
          <w:sz w:val="24"/>
          <w:szCs w:val="24"/>
        </w:rPr>
      </w:pPr>
    </w:p>
    <w:p w:rsidR="00E768B6" w:rsidRPr="00E768B6" w:rsidRDefault="00E768B6" w:rsidP="009D78B4">
      <w:pPr>
        <w:widowControl w:val="0"/>
        <w:autoSpaceDE w:val="0"/>
        <w:autoSpaceDN w:val="0"/>
        <w:adjustRightInd w:val="0"/>
        <w:rPr>
          <w:rFonts w:eastAsia="SimSun"/>
          <w:color w:val="2E2E16"/>
          <w:sz w:val="24"/>
          <w:szCs w:val="24"/>
        </w:rPr>
      </w:pPr>
      <w:r w:rsidRPr="00925456">
        <w:rPr>
          <w:rFonts w:eastAsia="SimSun"/>
          <w:color w:val="060603"/>
          <w:sz w:val="24"/>
          <w:szCs w:val="24"/>
        </w:rPr>
        <w:t>Baseline characteristics were similar between the treatment groups i</w:t>
      </w:r>
      <w:r w:rsidR="001A115C" w:rsidRPr="00925456">
        <w:rPr>
          <w:rFonts w:eastAsia="SimSun"/>
          <w:color w:val="060603"/>
          <w:sz w:val="24"/>
          <w:szCs w:val="24"/>
        </w:rPr>
        <w:t xml:space="preserve">n both studies: </w:t>
      </w:r>
      <w:r w:rsidRPr="00925456">
        <w:rPr>
          <w:rFonts w:eastAsia="SimSun"/>
          <w:color w:val="060603"/>
          <w:sz w:val="24"/>
          <w:szCs w:val="24"/>
        </w:rPr>
        <w:t>pooled mean age 60 years, 8</w:t>
      </w:r>
      <w:r w:rsidR="005375FC" w:rsidRPr="00925456">
        <w:rPr>
          <w:rFonts w:eastAsia="SimSun"/>
          <w:color w:val="060603"/>
          <w:sz w:val="24"/>
          <w:szCs w:val="24"/>
        </w:rPr>
        <w:t>7.</w:t>
      </w:r>
      <w:r w:rsidR="00200B01" w:rsidRPr="00925456">
        <w:rPr>
          <w:rFonts w:eastAsia="SimSun"/>
          <w:color w:val="060603"/>
          <w:sz w:val="24"/>
          <w:szCs w:val="24"/>
        </w:rPr>
        <w:t>8</w:t>
      </w:r>
      <w:r w:rsidR="005375FC" w:rsidRPr="00925456">
        <w:rPr>
          <w:rFonts w:eastAsia="SimSun"/>
          <w:color w:val="060603"/>
          <w:sz w:val="24"/>
          <w:szCs w:val="24"/>
        </w:rPr>
        <w:t>% female, 90.</w:t>
      </w:r>
      <w:r w:rsidR="009B5EDA" w:rsidRPr="00925456">
        <w:rPr>
          <w:rFonts w:eastAsia="SimSun"/>
          <w:color w:val="060603"/>
          <w:sz w:val="24"/>
          <w:szCs w:val="24"/>
        </w:rPr>
        <w:t>9</w:t>
      </w:r>
      <w:r w:rsidRPr="00925456">
        <w:rPr>
          <w:rFonts w:eastAsia="SimSun"/>
          <w:color w:val="060603"/>
          <w:sz w:val="24"/>
          <w:szCs w:val="24"/>
        </w:rPr>
        <w:t>% C</w:t>
      </w:r>
      <w:r w:rsidR="001A115C" w:rsidRPr="00925456">
        <w:rPr>
          <w:rFonts w:eastAsia="SimSun"/>
          <w:color w:val="060603"/>
          <w:sz w:val="24"/>
          <w:szCs w:val="24"/>
        </w:rPr>
        <w:t>aucasian,</w:t>
      </w:r>
      <w:r w:rsidR="00F35CF5" w:rsidRPr="00925456" w:rsidDel="00F35CF5">
        <w:rPr>
          <w:rFonts w:eastAsia="SimSun"/>
          <w:color w:val="060603"/>
          <w:sz w:val="24"/>
          <w:szCs w:val="24"/>
        </w:rPr>
        <w:t xml:space="preserve"> </w:t>
      </w:r>
      <w:r w:rsidR="00200B01" w:rsidRPr="00925456">
        <w:rPr>
          <w:rFonts w:eastAsia="SimSun"/>
          <w:color w:val="060603"/>
          <w:sz w:val="24"/>
          <w:szCs w:val="24"/>
        </w:rPr>
        <w:t>13.7</w:t>
      </w:r>
      <w:r w:rsidR="00F35CF5" w:rsidRPr="00925456">
        <w:rPr>
          <w:rFonts w:eastAsia="SimSun"/>
          <w:color w:val="060603"/>
          <w:sz w:val="24"/>
          <w:szCs w:val="24"/>
        </w:rPr>
        <w:t xml:space="preserve">% diabetic patients, </w:t>
      </w:r>
      <w:r w:rsidR="001A115C" w:rsidRPr="00925456">
        <w:rPr>
          <w:rFonts w:eastAsia="SimSun"/>
          <w:color w:val="060603"/>
          <w:sz w:val="24"/>
          <w:szCs w:val="24"/>
        </w:rPr>
        <w:t xml:space="preserve"> mean 5.4 dail</w:t>
      </w:r>
      <w:r w:rsidRPr="00925456">
        <w:rPr>
          <w:rFonts w:eastAsia="SimSun"/>
          <w:color w:val="060603"/>
          <w:sz w:val="24"/>
          <w:szCs w:val="24"/>
        </w:rPr>
        <w:t xml:space="preserve">y episodes of </w:t>
      </w:r>
      <w:r w:rsidR="00F35CF5" w:rsidRPr="00925456">
        <w:rPr>
          <w:rFonts w:eastAsia="SimSun"/>
          <w:color w:val="060603"/>
          <w:sz w:val="24"/>
          <w:szCs w:val="24"/>
        </w:rPr>
        <w:t>urinary incontinence</w:t>
      </w:r>
      <w:r w:rsidRPr="00925456">
        <w:rPr>
          <w:rFonts w:eastAsia="SimSun"/>
          <w:color w:val="060603"/>
          <w:sz w:val="24"/>
          <w:szCs w:val="24"/>
        </w:rPr>
        <w:t xml:space="preserve">, mean 11.7 daily episodes </w:t>
      </w:r>
      <w:r w:rsidR="001A115C" w:rsidRPr="00925456">
        <w:rPr>
          <w:rFonts w:eastAsia="SimSun"/>
          <w:color w:val="060603"/>
          <w:sz w:val="24"/>
          <w:szCs w:val="24"/>
        </w:rPr>
        <w:t>of micturition</w:t>
      </w:r>
      <w:r w:rsidR="00F35CF5" w:rsidRPr="00925456">
        <w:rPr>
          <w:rFonts w:eastAsia="SimSun"/>
          <w:color w:val="060603"/>
          <w:sz w:val="24"/>
          <w:szCs w:val="24"/>
        </w:rPr>
        <w:t xml:space="preserve"> and</w:t>
      </w:r>
      <w:r w:rsidR="00ED493C" w:rsidRPr="00925456">
        <w:rPr>
          <w:rFonts w:eastAsia="SimSun"/>
          <w:color w:val="060603"/>
          <w:sz w:val="24"/>
          <w:szCs w:val="24"/>
        </w:rPr>
        <w:t xml:space="preserve"> </w:t>
      </w:r>
      <w:r w:rsidR="001A115C" w:rsidRPr="00925456">
        <w:rPr>
          <w:rFonts w:eastAsia="SimSun"/>
          <w:color w:val="060603"/>
          <w:sz w:val="24"/>
          <w:szCs w:val="24"/>
        </w:rPr>
        <w:t>mean 8.6 dail</w:t>
      </w:r>
      <w:r w:rsidRPr="00925456">
        <w:rPr>
          <w:rFonts w:eastAsia="SimSun"/>
          <w:color w:val="060603"/>
          <w:sz w:val="24"/>
          <w:szCs w:val="24"/>
        </w:rPr>
        <w:t>y average urgency episodes.</w:t>
      </w:r>
      <w:r w:rsidRPr="00E768B6">
        <w:rPr>
          <w:rFonts w:eastAsia="SimSun"/>
          <w:color w:val="060603"/>
          <w:sz w:val="24"/>
          <w:szCs w:val="24"/>
        </w:rPr>
        <w:t xml:space="preserve"> </w:t>
      </w:r>
    </w:p>
    <w:p w:rsidR="00E768B6" w:rsidRPr="00E768B6" w:rsidRDefault="00E768B6" w:rsidP="009D78B4">
      <w:pPr>
        <w:widowControl w:val="0"/>
        <w:autoSpaceDE w:val="0"/>
        <w:autoSpaceDN w:val="0"/>
        <w:adjustRightInd w:val="0"/>
        <w:rPr>
          <w:rFonts w:eastAsia="SimSun"/>
          <w:color w:val="060603"/>
          <w:sz w:val="24"/>
          <w:szCs w:val="24"/>
        </w:rPr>
      </w:pPr>
    </w:p>
    <w:p w:rsidR="00051188" w:rsidRDefault="00051188" w:rsidP="009D78B4">
      <w:pPr>
        <w:pStyle w:val="Text"/>
        <w:widowControl w:val="0"/>
        <w:spacing w:after="0" w:line="240" w:lineRule="auto"/>
      </w:pPr>
      <w:r>
        <w:t>In both studies, significant improvements compared to placebo in the change from baseline in daily frequency of urinary incontinence episodes were observed for BOTOX</w:t>
      </w:r>
      <w:r>
        <w:rPr>
          <w:vertAlign w:val="superscript"/>
        </w:rPr>
        <w:t xml:space="preserve">® </w:t>
      </w:r>
      <w:r>
        <w:t>(100 U) at the primary time point of week 12, including the proportion of dry patients. Using the Treatment Benefit Scale, the proportion of patients reporting a positive treatment response (their condition has been ‘greatly improved’ or ‘improved’) was significantly greater in the BOTOX</w:t>
      </w:r>
      <w:r>
        <w:rPr>
          <w:vertAlign w:val="superscript"/>
        </w:rPr>
        <w:t>®</w:t>
      </w:r>
      <w:r>
        <w:t xml:space="preserve"> group compared to the placebo group in both studies. Significant improvements compared to placebo were also observed for the daily frequency of micturition, urgency, and nocturia episodes. Volume voided per micturition was also significantly higher. Significant improvements were observed in all OAB symptoms from week 2. </w:t>
      </w:r>
    </w:p>
    <w:p w:rsidR="00051188" w:rsidRDefault="00051188" w:rsidP="009D78B4">
      <w:pPr>
        <w:pStyle w:val="Text"/>
        <w:widowControl w:val="0"/>
        <w:spacing w:after="0" w:line="240" w:lineRule="auto"/>
      </w:pPr>
    </w:p>
    <w:p w:rsidR="00051188" w:rsidRDefault="00051188" w:rsidP="009D78B4">
      <w:pPr>
        <w:pStyle w:val="Text"/>
        <w:widowControl w:val="0"/>
        <w:spacing w:after="0" w:line="240" w:lineRule="auto"/>
      </w:pPr>
      <w:r>
        <w:t>BOTOX</w:t>
      </w:r>
      <w:r>
        <w:rPr>
          <w:vertAlign w:val="superscript"/>
        </w:rPr>
        <w:t xml:space="preserve">® </w:t>
      </w:r>
      <w:r>
        <w:t>treatment was associated with significant improvements over placebo in  health-related quality of life as measured by the Incontinence Quality of Life (I-QOL) questionnaire (including avoidance and limiting behavior, psychosocial impact, and social embarrassment) and the King’s Health Questionnaire (KHQ) (including incontinence impact, role limitations, social limitations, physical limitations, personal relationships, emotions, sleep/energy, and severity/coping measures).</w:t>
      </w:r>
    </w:p>
    <w:p w:rsidR="00051188" w:rsidRDefault="00051188" w:rsidP="009D78B4">
      <w:pPr>
        <w:pStyle w:val="Text"/>
        <w:widowControl w:val="0"/>
        <w:spacing w:after="0" w:line="240" w:lineRule="auto"/>
      </w:pPr>
    </w:p>
    <w:p w:rsidR="00051188" w:rsidRDefault="00051188" w:rsidP="009D78B4">
      <w:pPr>
        <w:pStyle w:val="Text"/>
        <w:widowControl w:val="0"/>
        <w:spacing w:after="0" w:line="240" w:lineRule="auto"/>
      </w:pPr>
      <w:r>
        <w:t xml:space="preserve">Results from the pivotal studies are presented below: </w:t>
      </w:r>
    </w:p>
    <w:p w:rsidR="00733E7B" w:rsidRDefault="00733E7B" w:rsidP="009D78B4">
      <w:pPr>
        <w:pStyle w:val="Text"/>
        <w:widowControl w:val="0"/>
        <w:spacing w:after="0" w:line="240" w:lineRule="auto"/>
      </w:pPr>
    </w:p>
    <w:p w:rsidR="00733E7B" w:rsidRDefault="00733E7B" w:rsidP="00733E7B">
      <w:pPr>
        <w:pStyle w:val="Text"/>
        <w:spacing w:after="0" w:line="240" w:lineRule="auto"/>
        <w:rPr>
          <w:b/>
          <w:sz w:val="20"/>
          <w:szCs w:val="20"/>
        </w:rPr>
      </w:pPr>
      <w:r w:rsidRPr="001E006F">
        <w:rPr>
          <w:b/>
          <w:sz w:val="20"/>
          <w:szCs w:val="20"/>
        </w:rPr>
        <w:t>Primary and Secondary Efficacy Variables at Baseline and Change from Baseline</w:t>
      </w:r>
      <w:r w:rsidRPr="001E006F">
        <w:rPr>
          <w:b/>
          <w:sz w:val="20"/>
          <w:szCs w:val="20"/>
          <w:lang w:val="en-GB"/>
        </w:rPr>
        <w:t xml:space="preserve"> in Study 1</w:t>
      </w:r>
      <w:r w:rsidRPr="001E006F">
        <w:rPr>
          <w:b/>
          <w:sz w:val="20"/>
          <w:szCs w:val="20"/>
        </w:rPr>
        <w:t xml:space="preserve"> (191622-095) and Study 2 (191622-520)</w:t>
      </w:r>
      <w:r>
        <w:rPr>
          <w:b/>
          <w:sz w:val="20"/>
          <w:szCs w:val="20"/>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05"/>
        <w:gridCol w:w="1117"/>
        <w:gridCol w:w="940"/>
        <w:gridCol w:w="1323"/>
        <w:gridCol w:w="1058"/>
        <w:gridCol w:w="940"/>
        <w:gridCol w:w="1323"/>
      </w:tblGrid>
      <w:tr w:rsidR="00733E7B" w:rsidRPr="001E006F" w:rsidTr="00733E7B">
        <w:trPr>
          <w:trHeight w:val="145"/>
        </w:trPr>
        <w:tc>
          <w:tcPr>
            <w:tcW w:w="2802" w:type="dxa"/>
            <w:tcBorders>
              <w:bottom w:val="single" w:sz="4" w:space="0" w:color="auto"/>
            </w:tcBorders>
          </w:tcPr>
          <w:p w:rsidR="00733E7B" w:rsidRPr="001E006F" w:rsidDel="001E006F" w:rsidRDefault="00733E7B" w:rsidP="00733E7B">
            <w:pPr>
              <w:pStyle w:val="TableText10pt"/>
              <w:spacing w:before="0" w:after="0"/>
              <w:rPr>
                <w:b/>
                <w:szCs w:val="20"/>
              </w:rPr>
            </w:pPr>
          </w:p>
        </w:tc>
        <w:tc>
          <w:tcPr>
            <w:tcW w:w="907" w:type="dxa"/>
            <w:gridSpan w:val="3"/>
            <w:tcBorders>
              <w:bottom w:val="single" w:sz="4" w:space="0" w:color="auto"/>
            </w:tcBorders>
          </w:tcPr>
          <w:p w:rsidR="00733E7B" w:rsidRPr="001E006F" w:rsidRDefault="00733E7B" w:rsidP="00733E7B">
            <w:pPr>
              <w:pStyle w:val="TableText10pt"/>
              <w:keepNext w:val="0"/>
              <w:widowControl w:val="0"/>
              <w:spacing w:before="0" w:after="0"/>
              <w:jc w:val="center"/>
              <w:rPr>
                <w:b/>
                <w:szCs w:val="20"/>
              </w:rPr>
            </w:pPr>
            <w:r w:rsidRPr="001E006F">
              <w:rPr>
                <w:b/>
                <w:szCs w:val="20"/>
                <w:lang w:val="fr-FR"/>
              </w:rPr>
              <w:t>Study 1 (191622-095)</w:t>
            </w:r>
          </w:p>
        </w:tc>
        <w:tc>
          <w:tcPr>
            <w:tcW w:w="907" w:type="dxa"/>
            <w:gridSpan w:val="3"/>
            <w:tcBorders>
              <w:bottom w:val="single" w:sz="4" w:space="0" w:color="auto"/>
            </w:tcBorders>
          </w:tcPr>
          <w:p w:rsidR="00733E7B" w:rsidRPr="001E006F" w:rsidRDefault="00733E7B" w:rsidP="00733E7B">
            <w:pPr>
              <w:pStyle w:val="TableText10pt"/>
              <w:keepNext w:val="0"/>
              <w:widowControl w:val="0"/>
              <w:spacing w:before="0" w:after="0"/>
              <w:jc w:val="center"/>
              <w:rPr>
                <w:b/>
                <w:szCs w:val="20"/>
              </w:rPr>
            </w:pPr>
            <w:r w:rsidRPr="001E006F">
              <w:rPr>
                <w:b/>
                <w:szCs w:val="20"/>
                <w:lang w:val="fr-FR"/>
              </w:rPr>
              <w:t>Study 2 (191622-520)</w:t>
            </w:r>
          </w:p>
        </w:tc>
      </w:tr>
      <w:tr w:rsidR="00733E7B" w:rsidRPr="001E006F" w:rsidTr="00733E7B">
        <w:trPr>
          <w:trHeight w:val="145"/>
        </w:trPr>
        <w:tc>
          <w:tcPr>
            <w:tcW w:w="2802" w:type="dxa"/>
            <w:tcBorders>
              <w:bottom w:val="single" w:sz="4" w:space="0" w:color="auto"/>
            </w:tcBorders>
            <w:vAlign w:val="bottom"/>
          </w:tcPr>
          <w:p w:rsidR="00733E7B" w:rsidRPr="001E006F" w:rsidRDefault="00733E7B" w:rsidP="00733E7B">
            <w:pPr>
              <w:pStyle w:val="TableText10pt"/>
              <w:spacing w:before="0" w:after="0"/>
              <w:rPr>
                <w:b/>
                <w:szCs w:val="20"/>
              </w:rPr>
            </w:pPr>
            <w:r w:rsidRPr="001E006F">
              <w:rPr>
                <w:b/>
                <w:szCs w:val="20"/>
              </w:rPr>
              <w:t xml:space="preserve">Endpoint </w:t>
            </w:r>
          </w:p>
          <w:p w:rsidR="00733E7B" w:rsidRPr="001E006F" w:rsidRDefault="00733E7B" w:rsidP="00733E7B">
            <w:pPr>
              <w:pStyle w:val="TableText10pt"/>
              <w:spacing w:before="0" w:after="0"/>
              <w:ind w:left="337"/>
              <w:rPr>
                <w:szCs w:val="20"/>
              </w:rPr>
            </w:pPr>
            <w:r w:rsidRPr="001E006F">
              <w:rPr>
                <w:szCs w:val="20"/>
              </w:rPr>
              <w:t>Timepoint</w:t>
            </w:r>
          </w:p>
        </w:tc>
        <w:tc>
          <w:tcPr>
            <w:tcW w:w="1077" w:type="dxa"/>
            <w:tcBorders>
              <w:bottom w:val="single" w:sz="4" w:space="0" w:color="auto"/>
            </w:tcBorders>
          </w:tcPr>
          <w:p w:rsidR="00733E7B" w:rsidRPr="001E006F" w:rsidRDefault="00733E7B" w:rsidP="00733E7B">
            <w:pPr>
              <w:pStyle w:val="TableText10pt"/>
              <w:spacing w:before="0" w:after="0"/>
              <w:jc w:val="center"/>
              <w:rPr>
                <w:b/>
                <w:szCs w:val="20"/>
                <w:vertAlign w:val="superscript"/>
              </w:rPr>
            </w:pPr>
            <w:r w:rsidRPr="001E006F">
              <w:rPr>
                <w:b/>
                <w:caps/>
                <w:szCs w:val="20"/>
              </w:rPr>
              <w:t>Botox</w:t>
            </w:r>
            <w:r w:rsidRPr="001E006F">
              <w:rPr>
                <w:b/>
                <w:caps/>
                <w:szCs w:val="20"/>
                <w:vertAlign w:val="superscript"/>
              </w:rPr>
              <w:t>®</w:t>
            </w:r>
          </w:p>
          <w:p w:rsidR="00733E7B" w:rsidRPr="001E006F" w:rsidRDefault="00733E7B" w:rsidP="00733E7B">
            <w:pPr>
              <w:pStyle w:val="TableText10pt"/>
              <w:spacing w:before="0" w:after="0"/>
              <w:jc w:val="center"/>
              <w:rPr>
                <w:b/>
                <w:szCs w:val="20"/>
              </w:rPr>
            </w:pPr>
            <w:r w:rsidRPr="001E006F">
              <w:rPr>
                <w:b/>
                <w:szCs w:val="20"/>
              </w:rPr>
              <w:t>100 Units</w:t>
            </w:r>
          </w:p>
          <w:p w:rsidR="00733E7B" w:rsidRPr="001E006F" w:rsidRDefault="00733E7B" w:rsidP="00733E7B">
            <w:pPr>
              <w:pStyle w:val="TableText10pt"/>
              <w:spacing w:before="0" w:after="0"/>
              <w:jc w:val="center"/>
              <w:rPr>
                <w:b/>
                <w:szCs w:val="20"/>
                <w:vertAlign w:val="superscript"/>
              </w:rPr>
            </w:pPr>
            <w:r w:rsidRPr="001E006F">
              <w:rPr>
                <w:b/>
                <w:szCs w:val="20"/>
              </w:rPr>
              <w:t>(N=280)</w:t>
            </w:r>
          </w:p>
        </w:tc>
        <w:tc>
          <w:tcPr>
            <w:tcW w:w="907" w:type="dxa"/>
            <w:tcBorders>
              <w:bottom w:val="single" w:sz="4" w:space="0" w:color="auto"/>
            </w:tcBorders>
          </w:tcPr>
          <w:p w:rsidR="00733E7B" w:rsidRPr="001E006F" w:rsidRDefault="00733E7B" w:rsidP="00733E7B">
            <w:pPr>
              <w:pStyle w:val="TableText10pt"/>
              <w:spacing w:before="0" w:after="0"/>
              <w:jc w:val="center"/>
              <w:rPr>
                <w:b/>
                <w:szCs w:val="20"/>
              </w:rPr>
            </w:pPr>
            <w:r w:rsidRPr="001E006F">
              <w:rPr>
                <w:b/>
                <w:szCs w:val="20"/>
              </w:rPr>
              <w:t xml:space="preserve">Placebo </w:t>
            </w:r>
          </w:p>
          <w:p w:rsidR="00733E7B" w:rsidRPr="001E006F" w:rsidRDefault="00733E7B" w:rsidP="00733E7B">
            <w:pPr>
              <w:pStyle w:val="TableText10pt"/>
              <w:spacing w:before="0" w:after="0"/>
              <w:jc w:val="center"/>
              <w:rPr>
                <w:b/>
                <w:szCs w:val="20"/>
              </w:rPr>
            </w:pPr>
          </w:p>
          <w:p w:rsidR="00733E7B" w:rsidRPr="001E006F" w:rsidRDefault="00733E7B" w:rsidP="00733E7B">
            <w:pPr>
              <w:pStyle w:val="TableText10pt"/>
              <w:spacing w:before="0" w:after="0"/>
              <w:jc w:val="center"/>
              <w:rPr>
                <w:b/>
                <w:szCs w:val="20"/>
              </w:rPr>
            </w:pPr>
            <w:r w:rsidRPr="001E006F">
              <w:rPr>
                <w:b/>
                <w:szCs w:val="20"/>
              </w:rPr>
              <w:t>(N=277)</w:t>
            </w:r>
          </w:p>
        </w:tc>
        <w:tc>
          <w:tcPr>
            <w:tcW w:w="1276" w:type="dxa"/>
            <w:tcBorders>
              <w:bottom w:val="single" w:sz="4" w:space="0" w:color="auto"/>
            </w:tcBorders>
          </w:tcPr>
          <w:p w:rsidR="00733E7B" w:rsidRPr="001E006F" w:rsidRDefault="00733E7B" w:rsidP="00733E7B">
            <w:pPr>
              <w:pStyle w:val="TableText10pt"/>
              <w:keepNext w:val="0"/>
              <w:widowControl w:val="0"/>
              <w:spacing w:before="0" w:after="0"/>
              <w:jc w:val="center"/>
              <w:rPr>
                <w:b/>
                <w:szCs w:val="20"/>
              </w:rPr>
            </w:pPr>
            <w:r w:rsidRPr="001E006F">
              <w:rPr>
                <w:b/>
                <w:szCs w:val="20"/>
              </w:rPr>
              <w:t>P-value; Absolute difference from placebo</w:t>
            </w:r>
          </w:p>
          <w:p w:rsidR="00733E7B" w:rsidRPr="001E006F" w:rsidRDefault="00733E7B" w:rsidP="006376C6">
            <w:pPr>
              <w:pStyle w:val="TableText10pt"/>
              <w:keepNext w:val="0"/>
              <w:widowControl w:val="0"/>
              <w:spacing w:before="0" w:after="0"/>
              <w:jc w:val="center"/>
              <w:rPr>
                <w:b/>
                <w:caps/>
                <w:szCs w:val="20"/>
              </w:rPr>
            </w:pPr>
            <w:r w:rsidRPr="001E006F">
              <w:rPr>
                <w:b/>
                <w:szCs w:val="20"/>
              </w:rPr>
              <w:t xml:space="preserve">(95% CI) </w:t>
            </w:r>
          </w:p>
        </w:tc>
        <w:tc>
          <w:tcPr>
            <w:tcW w:w="1021" w:type="dxa"/>
            <w:tcBorders>
              <w:bottom w:val="single" w:sz="4" w:space="0" w:color="auto"/>
            </w:tcBorders>
          </w:tcPr>
          <w:p w:rsidR="00733E7B" w:rsidRPr="001E006F" w:rsidRDefault="00733E7B" w:rsidP="00733E7B">
            <w:pPr>
              <w:pStyle w:val="TableText10pt"/>
              <w:spacing w:before="0" w:after="0"/>
              <w:jc w:val="center"/>
              <w:rPr>
                <w:b/>
                <w:szCs w:val="20"/>
                <w:vertAlign w:val="superscript"/>
              </w:rPr>
            </w:pPr>
            <w:r w:rsidRPr="001E006F">
              <w:rPr>
                <w:b/>
                <w:caps/>
                <w:szCs w:val="20"/>
              </w:rPr>
              <w:t>Botox</w:t>
            </w:r>
            <w:r w:rsidRPr="001E006F">
              <w:rPr>
                <w:b/>
                <w:caps/>
                <w:szCs w:val="20"/>
                <w:vertAlign w:val="superscript"/>
              </w:rPr>
              <w:t>®</w:t>
            </w:r>
          </w:p>
          <w:p w:rsidR="00733E7B" w:rsidRPr="001E006F" w:rsidRDefault="00733E7B" w:rsidP="00733E7B">
            <w:pPr>
              <w:pStyle w:val="TableText10pt"/>
              <w:spacing w:before="0" w:after="0"/>
              <w:jc w:val="center"/>
              <w:rPr>
                <w:b/>
                <w:szCs w:val="20"/>
              </w:rPr>
            </w:pPr>
            <w:r w:rsidRPr="001E006F">
              <w:rPr>
                <w:b/>
                <w:szCs w:val="20"/>
              </w:rPr>
              <w:t>100 Units</w:t>
            </w:r>
          </w:p>
          <w:p w:rsidR="00733E7B" w:rsidRPr="001E006F" w:rsidRDefault="00733E7B" w:rsidP="00733E7B">
            <w:pPr>
              <w:pStyle w:val="TableText10pt"/>
              <w:spacing w:before="0" w:after="0"/>
              <w:jc w:val="center"/>
              <w:rPr>
                <w:b/>
                <w:szCs w:val="20"/>
              </w:rPr>
            </w:pPr>
            <w:r w:rsidRPr="001E006F">
              <w:rPr>
                <w:b/>
                <w:szCs w:val="20"/>
              </w:rPr>
              <w:t>(N=277)</w:t>
            </w:r>
          </w:p>
        </w:tc>
        <w:tc>
          <w:tcPr>
            <w:tcW w:w="907" w:type="dxa"/>
            <w:tcBorders>
              <w:bottom w:val="single" w:sz="4" w:space="0" w:color="auto"/>
            </w:tcBorders>
          </w:tcPr>
          <w:p w:rsidR="00733E7B" w:rsidRPr="001E006F" w:rsidRDefault="00733E7B" w:rsidP="00733E7B">
            <w:pPr>
              <w:pStyle w:val="TableText10pt"/>
              <w:spacing w:before="0" w:after="0"/>
              <w:jc w:val="center"/>
              <w:rPr>
                <w:b/>
                <w:szCs w:val="20"/>
              </w:rPr>
            </w:pPr>
            <w:r w:rsidRPr="001E006F">
              <w:rPr>
                <w:b/>
                <w:szCs w:val="20"/>
              </w:rPr>
              <w:t xml:space="preserve">Placebo </w:t>
            </w:r>
          </w:p>
          <w:p w:rsidR="00733E7B" w:rsidRPr="001E006F" w:rsidRDefault="00733E7B" w:rsidP="00733E7B">
            <w:pPr>
              <w:pStyle w:val="TableText10pt"/>
              <w:spacing w:before="0" w:after="0"/>
              <w:jc w:val="center"/>
              <w:rPr>
                <w:b/>
                <w:szCs w:val="20"/>
              </w:rPr>
            </w:pPr>
          </w:p>
          <w:p w:rsidR="00733E7B" w:rsidRPr="001E006F" w:rsidRDefault="00733E7B" w:rsidP="00733E7B">
            <w:pPr>
              <w:pStyle w:val="TableText10pt"/>
              <w:spacing w:before="0" w:after="0"/>
              <w:jc w:val="center"/>
              <w:rPr>
                <w:b/>
                <w:szCs w:val="20"/>
              </w:rPr>
            </w:pPr>
            <w:r w:rsidRPr="001E006F">
              <w:rPr>
                <w:b/>
                <w:szCs w:val="20"/>
              </w:rPr>
              <w:t>(N=271)</w:t>
            </w:r>
          </w:p>
        </w:tc>
        <w:tc>
          <w:tcPr>
            <w:tcW w:w="1276" w:type="dxa"/>
            <w:tcBorders>
              <w:bottom w:val="single" w:sz="4" w:space="0" w:color="auto"/>
            </w:tcBorders>
          </w:tcPr>
          <w:p w:rsidR="00733E7B" w:rsidRPr="001E006F" w:rsidRDefault="00733E7B" w:rsidP="00733E7B">
            <w:pPr>
              <w:pStyle w:val="TableText10pt"/>
              <w:keepNext w:val="0"/>
              <w:widowControl w:val="0"/>
              <w:spacing w:before="0" w:after="0"/>
              <w:jc w:val="center"/>
              <w:rPr>
                <w:b/>
                <w:szCs w:val="20"/>
              </w:rPr>
            </w:pPr>
            <w:r w:rsidRPr="001E006F">
              <w:rPr>
                <w:b/>
                <w:szCs w:val="20"/>
              </w:rPr>
              <w:t>P-value; Absolute difference from placebo</w:t>
            </w:r>
          </w:p>
          <w:p w:rsidR="00733E7B" w:rsidRPr="001E006F" w:rsidRDefault="00733E7B" w:rsidP="006376C6">
            <w:pPr>
              <w:pStyle w:val="TableText10pt"/>
              <w:keepNext w:val="0"/>
              <w:widowControl w:val="0"/>
              <w:spacing w:before="0" w:after="0"/>
              <w:jc w:val="center"/>
              <w:rPr>
                <w:b/>
                <w:szCs w:val="20"/>
              </w:rPr>
            </w:pPr>
            <w:r w:rsidRPr="001E006F">
              <w:rPr>
                <w:b/>
                <w:szCs w:val="20"/>
              </w:rPr>
              <w:t xml:space="preserve">(95% CI) </w:t>
            </w:r>
          </w:p>
        </w:tc>
      </w:tr>
      <w:tr w:rsidR="00733E7B" w:rsidRPr="001E006F" w:rsidTr="00733E7B">
        <w:trPr>
          <w:trHeight w:val="145"/>
        </w:trPr>
        <w:tc>
          <w:tcPr>
            <w:tcW w:w="2802" w:type="dxa"/>
            <w:tcBorders>
              <w:top w:val="single" w:sz="4" w:space="0" w:color="auto"/>
              <w:left w:val="single" w:sz="4" w:space="0" w:color="auto"/>
              <w:bottom w:val="nil"/>
              <w:right w:val="single" w:sz="4" w:space="0" w:color="auto"/>
            </w:tcBorders>
          </w:tcPr>
          <w:p w:rsidR="00733E7B" w:rsidRPr="00623023" w:rsidRDefault="00733E7B" w:rsidP="00733E7B">
            <w:pPr>
              <w:pStyle w:val="TableText10pt"/>
              <w:spacing w:before="0" w:after="0"/>
              <w:rPr>
                <w:b/>
                <w:szCs w:val="20"/>
              </w:rPr>
            </w:pPr>
            <w:r w:rsidRPr="001E006F">
              <w:rPr>
                <w:b/>
                <w:szCs w:val="20"/>
              </w:rPr>
              <w:t>Daily Frequency of Urinary Incontinence Episodes</w:t>
            </w:r>
            <w:r w:rsidRPr="00623023">
              <w:rPr>
                <w:b/>
                <w:szCs w:val="20"/>
                <w:vertAlign w:val="superscript"/>
              </w:rPr>
              <w:t>*</w:t>
            </w:r>
          </w:p>
        </w:tc>
        <w:tc>
          <w:tcPr>
            <w:tcW w:w="107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rPr>
                <w:szCs w:val="20"/>
              </w:rPr>
            </w:pPr>
          </w:p>
        </w:tc>
        <w:tc>
          <w:tcPr>
            <w:tcW w:w="90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276"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90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276"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ind w:left="360"/>
              <w:rPr>
                <w:szCs w:val="20"/>
              </w:rPr>
            </w:pPr>
            <w:r w:rsidRPr="001E006F">
              <w:rPr>
                <w:szCs w:val="20"/>
              </w:rPr>
              <w:t>Mean Baseline</w:t>
            </w:r>
          </w:p>
        </w:tc>
        <w:tc>
          <w:tcPr>
            <w:tcW w:w="107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5.47</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5.09</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5.52</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5.70</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nil"/>
              <w:right w:val="single" w:sz="4" w:space="0" w:color="auto"/>
            </w:tcBorders>
          </w:tcPr>
          <w:p w:rsidR="00733E7B" w:rsidRPr="001E006F" w:rsidRDefault="00733E7B" w:rsidP="00733E7B">
            <w:pPr>
              <w:pStyle w:val="TableText10pt"/>
              <w:ind w:left="360"/>
              <w:rPr>
                <w:szCs w:val="20"/>
              </w:rPr>
            </w:pPr>
            <w:r w:rsidRPr="001E006F">
              <w:rPr>
                <w:szCs w:val="20"/>
              </w:rPr>
              <w:t>Mean Change at Week 2</w:t>
            </w:r>
          </w:p>
        </w:tc>
        <w:tc>
          <w:tcPr>
            <w:tcW w:w="107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-2.85</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-1.09</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-2.85</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-1.34</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ind w:left="360"/>
              <w:rPr>
                <w:szCs w:val="20"/>
              </w:rPr>
            </w:pPr>
            <w:r w:rsidRPr="001E006F">
              <w:rPr>
                <w:szCs w:val="20"/>
              </w:rPr>
              <w:t>Mean Change at Week 6</w:t>
            </w:r>
          </w:p>
        </w:tc>
        <w:tc>
          <w:tcPr>
            <w:tcW w:w="107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-3.05</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-1.07</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-3.18</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-1.37</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single" w:sz="4" w:space="0" w:color="auto"/>
              <w:right w:val="single" w:sz="4" w:space="0" w:color="auto"/>
            </w:tcBorders>
          </w:tcPr>
          <w:p w:rsidR="00733E7B" w:rsidRPr="001E006F" w:rsidRDefault="00733E7B" w:rsidP="001A77ED">
            <w:pPr>
              <w:pStyle w:val="TableText10pt"/>
              <w:spacing w:before="0" w:after="0"/>
              <w:ind w:left="360"/>
              <w:rPr>
                <w:b/>
                <w:szCs w:val="20"/>
              </w:rPr>
            </w:pPr>
            <w:r w:rsidRPr="001E006F">
              <w:rPr>
                <w:b/>
                <w:szCs w:val="20"/>
              </w:rPr>
              <w:t>Mean Change</w:t>
            </w:r>
            <w:r w:rsidRPr="009F6529">
              <w:rPr>
                <w:b/>
                <w:szCs w:val="20"/>
                <w:vertAlign w:val="superscript"/>
              </w:rPr>
              <w:t>**</w:t>
            </w:r>
            <w:r w:rsidRPr="001E006F">
              <w:rPr>
                <w:b/>
                <w:szCs w:val="20"/>
              </w:rPr>
              <w:t xml:space="preserve"> at Week 12</w:t>
            </w:r>
            <w:r w:rsidRPr="001E006F">
              <w:rPr>
                <w:b/>
                <w:szCs w:val="20"/>
                <w:vertAlign w:val="superscript"/>
              </w:rPr>
              <w:t>a</w:t>
            </w:r>
          </w:p>
        </w:tc>
        <w:tc>
          <w:tcPr>
            <w:tcW w:w="107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-2.65</w:t>
            </w:r>
          </w:p>
        </w:tc>
        <w:tc>
          <w:tcPr>
            <w:tcW w:w="90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-0.87</w:t>
            </w:r>
          </w:p>
        </w:tc>
        <w:tc>
          <w:tcPr>
            <w:tcW w:w="1276"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keepNext w:val="0"/>
              <w:widowControl w:val="0"/>
              <w:spacing w:before="0" w:after="0"/>
              <w:jc w:val="center"/>
              <w:rPr>
                <w:b/>
                <w:szCs w:val="20"/>
              </w:rPr>
            </w:pPr>
            <w:r w:rsidRPr="001E006F">
              <w:rPr>
                <w:b/>
                <w:szCs w:val="20"/>
              </w:rPr>
              <w:t xml:space="preserve">&lt; 0.001; </w:t>
            </w:r>
          </w:p>
          <w:p w:rsidR="00733E7B" w:rsidRPr="001E006F" w:rsidRDefault="00733E7B" w:rsidP="00733E7B">
            <w:pPr>
              <w:pStyle w:val="TableText10pt"/>
              <w:keepNext w:val="0"/>
              <w:widowControl w:val="0"/>
              <w:spacing w:before="0" w:after="0"/>
              <w:jc w:val="center"/>
              <w:rPr>
                <w:b/>
                <w:szCs w:val="20"/>
              </w:rPr>
            </w:pPr>
            <w:r w:rsidRPr="001E006F">
              <w:rPr>
                <w:b/>
                <w:szCs w:val="20"/>
              </w:rPr>
              <w:t>-1.65</w:t>
            </w:r>
          </w:p>
          <w:p w:rsidR="00733E7B" w:rsidRPr="001E006F" w:rsidRDefault="00733E7B" w:rsidP="00733E7B">
            <w:pPr>
              <w:pStyle w:val="TableText10pt"/>
              <w:jc w:val="center"/>
              <w:rPr>
                <w:b/>
                <w:szCs w:val="20"/>
              </w:rPr>
            </w:pPr>
            <w:r w:rsidRPr="001E006F">
              <w:rPr>
                <w:b/>
                <w:szCs w:val="20"/>
              </w:rPr>
              <w:t>(-2.13, -1.17)</w:t>
            </w:r>
          </w:p>
        </w:tc>
        <w:tc>
          <w:tcPr>
            <w:tcW w:w="1021"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-2.95</w:t>
            </w:r>
          </w:p>
        </w:tc>
        <w:tc>
          <w:tcPr>
            <w:tcW w:w="90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-1.03</w:t>
            </w:r>
          </w:p>
        </w:tc>
        <w:tc>
          <w:tcPr>
            <w:tcW w:w="1276"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keepNext w:val="0"/>
              <w:widowControl w:val="0"/>
              <w:spacing w:before="0" w:after="0"/>
              <w:jc w:val="center"/>
              <w:rPr>
                <w:b/>
                <w:szCs w:val="20"/>
              </w:rPr>
            </w:pPr>
            <w:r w:rsidRPr="001E006F">
              <w:rPr>
                <w:b/>
                <w:szCs w:val="20"/>
              </w:rPr>
              <w:t xml:space="preserve">&lt; 0.001; </w:t>
            </w:r>
          </w:p>
          <w:p w:rsidR="00733E7B" w:rsidRPr="001E006F" w:rsidRDefault="00733E7B" w:rsidP="00733E7B">
            <w:pPr>
              <w:pStyle w:val="TableText10pt"/>
              <w:keepNext w:val="0"/>
              <w:widowControl w:val="0"/>
              <w:spacing w:before="0" w:after="0"/>
              <w:jc w:val="center"/>
              <w:rPr>
                <w:b/>
                <w:szCs w:val="20"/>
              </w:rPr>
            </w:pPr>
            <w:r w:rsidRPr="001E006F">
              <w:rPr>
                <w:b/>
                <w:szCs w:val="20"/>
              </w:rPr>
              <w:t>-1.91</w:t>
            </w:r>
          </w:p>
          <w:p w:rsidR="00733E7B" w:rsidRPr="001E006F" w:rsidRDefault="00733E7B" w:rsidP="00733E7B">
            <w:pPr>
              <w:pStyle w:val="TableText10pt"/>
              <w:spacing w:before="0" w:after="0"/>
              <w:jc w:val="center"/>
              <w:rPr>
                <w:b/>
                <w:szCs w:val="20"/>
              </w:rPr>
            </w:pPr>
            <w:r w:rsidRPr="001E006F">
              <w:rPr>
                <w:b/>
                <w:szCs w:val="20"/>
              </w:rPr>
              <w:t>(-2.43, -1.39)</w:t>
            </w:r>
          </w:p>
        </w:tc>
      </w:tr>
      <w:tr w:rsidR="00733E7B" w:rsidRPr="001E006F" w:rsidTr="00733E7B">
        <w:trPr>
          <w:trHeight w:val="145"/>
        </w:trPr>
        <w:tc>
          <w:tcPr>
            <w:tcW w:w="2802"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rPr>
                <w:b/>
                <w:szCs w:val="20"/>
                <w:vertAlign w:val="superscript"/>
              </w:rPr>
            </w:pPr>
            <w:r w:rsidRPr="001E006F">
              <w:rPr>
                <w:b/>
                <w:szCs w:val="20"/>
              </w:rPr>
              <w:t xml:space="preserve">Proportion </w:t>
            </w:r>
            <w:r w:rsidRPr="001A77ED">
              <w:rPr>
                <w:b/>
                <w:strike/>
                <w:szCs w:val="20"/>
              </w:rPr>
              <w:t>with</w:t>
            </w:r>
            <w:r w:rsidR="001A77ED">
              <w:rPr>
                <w:b/>
                <w:szCs w:val="20"/>
              </w:rPr>
              <w:t xml:space="preserve"> of</w:t>
            </w:r>
            <w:r w:rsidRPr="001E006F">
              <w:rPr>
                <w:b/>
                <w:szCs w:val="20"/>
              </w:rPr>
              <w:t xml:space="preserve"> Positive Treatment Response using Treatment Benefit Scale (%)</w:t>
            </w:r>
          </w:p>
        </w:tc>
        <w:tc>
          <w:tcPr>
            <w:tcW w:w="107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rPr>
                <w:szCs w:val="20"/>
              </w:rPr>
            </w:pPr>
          </w:p>
        </w:tc>
        <w:tc>
          <w:tcPr>
            <w:tcW w:w="90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276"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90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276"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ind w:left="360"/>
              <w:rPr>
                <w:szCs w:val="20"/>
              </w:rPr>
            </w:pPr>
            <w:r w:rsidRPr="001E006F">
              <w:rPr>
                <w:szCs w:val="20"/>
              </w:rPr>
              <w:t>Week 2</w:t>
            </w:r>
          </w:p>
        </w:tc>
        <w:tc>
          <w:tcPr>
            <w:tcW w:w="107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64.5</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32.6</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64.2</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36.8</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ind w:left="360"/>
              <w:rPr>
                <w:szCs w:val="20"/>
              </w:rPr>
            </w:pPr>
            <w:r w:rsidRPr="001E006F">
              <w:rPr>
                <w:szCs w:val="20"/>
              </w:rPr>
              <w:t>Week 6</w:t>
            </w:r>
          </w:p>
        </w:tc>
        <w:tc>
          <w:tcPr>
            <w:tcW w:w="107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66.9</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34.7</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69.3</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30.9</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single" w:sz="4" w:space="0" w:color="auto"/>
              <w:right w:val="single" w:sz="4" w:space="0" w:color="auto"/>
            </w:tcBorders>
          </w:tcPr>
          <w:p w:rsidR="00733E7B" w:rsidRPr="001E006F" w:rsidRDefault="00733E7B" w:rsidP="001A77ED">
            <w:pPr>
              <w:pStyle w:val="TableText10pt"/>
              <w:spacing w:before="0" w:after="0"/>
              <w:ind w:left="360"/>
              <w:rPr>
                <w:b/>
                <w:szCs w:val="20"/>
              </w:rPr>
            </w:pPr>
            <w:r w:rsidRPr="001E006F">
              <w:rPr>
                <w:b/>
                <w:szCs w:val="20"/>
              </w:rPr>
              <w:t>Week 12</w:t>
            </w:r>
            <w:r w:rsidR="003E25BD" w:rsidRPr="009F6529">
              <w:rPr>
                <w:b/>
                <w:szCs w:val="20"/>
                <w:vertAlign w:val="superscript"/>
              </w:rPr>
              <w:t>**</w:t>
            </w:r>
            <w:r w:rsidRPr="009F6529">
              <w:rPr>
                <w:b/>
                <w:szCs w:val="20"/>
                <w:vertAlign w:val="superscript"/>
              </w:rPr>
              <w:t>*</w:t>
            </w:r>
            <w:r w:rsidRPr="001E006F">
              <w:rPr>
                <w:b/>
                <w:szCs w:val="20"/>
                <w:vertAlign w:val="superscript"/>
              </w:rPr>
              <w:t>a</w:t>
            </w:r>
          </w:p>
        </w:tc>
        <w:tc>
          <w:tcPr>
            <w:tcW w:w="107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60.8</w:t>
            </w:r>
          </w:p>
        </w:tc>
        <w:tc>
          <w:tcPr>
            <w:tcW w:w="90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29.2</w:t>
            </w:r>
          </w:p>
        </w:tc>
        <w:tc>
          <w:tcPr>
            <w:tcW w:w="1276"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&lt; 0.001;</w:t>
            </w:r>
          </w:p>
          <w:p w:rsidR="00733E7B" w:rsidRPr="001E006F" w:rsidRDefault="00733E7B" w:rsidP="00733E7B">
            <w:pPr>
              <w:pStyle w:val="TableText10pt"/>
              <w:keepNext w:val="0"/>
              <w:widowControl w:val="0"/>
              <w:spacing w:before="0" w:after="0"/>
              <w:jc w:val="center"/>
              <w:rPr>
                <w:b/>
                <w:szCs w:val="20"/>
              </w:rPr>
            </w:pPr>
            <w:r w:rsidRPr="001E006F">
              <w:rPr>
                <w:b/>
                <w:szCs w:val="20"/>
              </w:rPr>
              <w:t xml:space="preserve">31.8 </w:t>
            </w:r>
          </w:p>
          <w:p w:rsidR="00733E7B" w:rsidRPr="001E006F" w:rsidRDefault="00733E7B" w:rsidP="00733E7B">
            <w:pPr>
              <w:pStyle w:val="TableText10pt"/>
              <w:spacing w:before="0" w:after="0"/>
              <w:jc w:val="center"/>
              <w:rPr>
                <w:b/>
                <w:szCs w:val="20"/>
              </w:rPr>
            </w:pPr>
            <w:r w:rsidRPr="001E006F">
              <w:rPr>
                <w:b/>
                <w:szCs w:val="20"/>
              </w:rPr>
              <w:t>(23.9, 39.7)</w:t>
            </w:r>
          </w:p>
        </w:tc>
        <w:tc>
          <w:tcPr>
            <w:tcW w:w="1021"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62.8</w:t>
            </w:r>
          </w:p>
        </w:tc>
        <w:tc>
          <w:tcPr>
            <w:tcW w:w="90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26.8</w:t>
            </w:r>
          </w:p>
        </w:tc>
        <w:tc>
          <w:tcPr>
            <w:tcW w:w="1276"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&lt; 0.001;</w:t>
            </w:r>
          </w:p>
          <w:p w:rsidR="00733E7B" w:rsidRPr="001E006F" w:rsidRDefault="00733E7B" w:rsidP="00733E7B">
            <w:pPr>
              <w:pStyle w:val="TableText10pt"/>
              <w:keepNext w:val="0"/>
              <w:widowControl w:val="0"/>
              <w:spacing w:before="0" w:after="0"/>
              <w:jc w:val="center"/>
              <w:rPr>
                <w:b/>
                <w:szCs w:val="20"/>
              </w:rPr>
            </w:pPr>
            <w:r w:rsidRPr="001E006F">
              <w:rPr>
                <w:b/>
                <w:szCs w:val="20"/>
              </w:rPr>
              <w:t>36.0</w:t>
            </w:r>
          </w:p>
          <w:p w:rsidR="00733E7B" w:rsidRPr="001E006F" w:rsidRDefault="00733E7B" w:rsidP="00733E7B">
            <w:pPr>
              <w:pStyle w:val="TableText10pt"/>
              <w:spacing w:before="0" w:after="0"/>
              <w:jc w:val="center"/>
              <w:rPr>
                <w:b/>
                <w:szCs w:val="20"/>
              </w:rPr>
            </w:pPr>
            <w:r w:rsidRPr="001E006F">
              <w:rPr>
                <w:b/>
                <w:szCs w:val="20"/>
              </w:rPr>
              <w:t>(28.2, 43.8)</w:t>
            </w:r>
          </w:p>
        </w:tc>
      </w:tr>
      <w:tr w:rsidR="00733E7B" w:rsidRPr="001E006F" w:rsidTr="00733E7B">
        <w:trPr>
          <w:trHeight w:val="145"/>
        </w:trPr>
        <w:tc>
          <w:tcPr>
            <w:tcW w:w="2802"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rPr>
                <w:b/>
                <w:szCs w:val="20"/>
                <w:vertAlign w:val="superscript"/>
              </w:rPr>
            </w:pPr>
            <w:r w:rsidRPr="001E006F">
              <w:rPr>
                <w:b/>
                <w:szCs w:val="20"/>
              </w:rPr>
              <w:t>Daily Frequency of Micturition Episodes</w:t>
            </w:r>
          </w:p>
        </w:tc>
        <w:tc>
          <w:tcPr>
            <w:tcW w:w="107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rPr>
                <w:szCs w:val="20"/>
              </w:rPr>
            </w:pPr>
          </w:p>
        </w:tc>
        <w:tc>
          <w:tcPr>
            <w:tcW w:w="90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276"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90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276"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ind w:left="360"/>
              <w:rPr>
                <w:szCs w:val="20"/>
              </w:rPr>
            </w:pPr>
            <w:r w:rsidRPr="001E006F">
              <w:rPr>
                <w:szCs w:val="20"/>
              </w:rPr>
              <w:t>Mean Baseline</w:t>
            </w:r>
          </w:p>
        </w:tc>
        <w:tc>
          <w:tcPr>
            <w:tcW w:w="107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11.98</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11.20</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12.01</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11.77</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nil"/>
              <w:right w:val="single" w:sz="4" w:space="0" w:color="auto"/>
            </w:tcBorders>
          </w:tcPr>
          <w:p w:rsidR="00733E7B" w:rsidRPr="001E006F" w:rsidRDefault="00733E7B" w:rsidP="00733E7B">
            <w:pPr>
              <w:pStyle w:val="TableText10pt"/>
              <w:ind w:left="360"/>
              <w:rPr>
                <w:szCs w:val="20"/>
              </w:rPr>
            </w:pPr>
            <w:r w:rsidRPr="001E006F">
              <w:rPr>
                <w:szCs w:val="20"/>
              </w:rPr>
              <w:t>Mean Change</w:t>
            </w:r>
            <w:r w:rsidRPr="001E006F">
              <w:rPr>
                <w:b/>
                <w:szCs w:val="20"/>
              </w:rPr>
              <w:t xml:space="preserve"> </w:t>
            </w:r>
            <w:r w:rsidRPr="001E006F">
              <w:rPr>
                <w:szCs w:val="20"/>
              </w:rPr>
              <w:t xml:space="preserve"> at Week 2</w:t>
            </w:r>
          </w:p>
        </w:tc>
        <w:tc>
          <w:tcPr>
            <w:tcW w:w="107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-1.58</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-0.79</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-1.48</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-0.77</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nil"/>
              <w:right w:val="single" w:sz="4" w:space="0" w:color="auto"/>
            </w:tcBorders>
          </w:tcPr>
          <w:p w:rsidR="00733E7B" w:rsidRPr="001E006F" w:rsidRDefault="00733E7B" w:rsidP="00733E7B">
            <w:pPr>
              <w:pStyle w:val="TableText10pt"/>
              <w:ind w:left="360"/>
              <w:rPr>
                <w:szCs w:val="20"/>
              </w:rPr>
            </w:pPr>
            <w:r w:rsidRPr="001E006F">
              <w:rPr>
                <w:szCs w:val="20"/>
              </w:rPr>
              <w:t>Mean Change</w:t>
            </w:r>
            <w:r w:rsidRPr="001E006F">
              <w:rPr>
                <w:b/>
                <w:szCs w:val="20"/>
              </w:rPr>
              <w:t xml:space="preserve"> </w:t>
            </w:r>
            <w:r w:rsidRPr="001E006F">
              <w:rPr>
                <w:szCs w:val="20"/>
              </w:rPr>
              <w:t xml:space="preserve"> at Week 6</w:t>
            </w:r>
          </w:p>
        </w:tc>
        <w:tc>
          <w:tcPr>
            <w:tcW w:w="107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-1.96</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-0.98</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-2.40</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-0.97</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single" w:sz="4" w:space="0" w:color="auto"/>
              <w:right w:val="single" w:sz="4" w:space="0" w:color="auto"/>
            </w:tcBorders>
          </w:tcPr>
          <w:p w:rsidR="00733E7B" w:rsidRPr="001E006F" w:rsidRDefault="00733E7B" w:rsidP="006376C6">
            <w:pPr>
              <w:pStyle w:val="TableText10pt"/>
              <w:ind w:left="360"/>
              <w:rPr>
                <w:b/>
                <w:szCs w:val="20"/>
              </w:rPr>
            </w:pPr>
            <w:r w:rsidRPr="001E006F">
              <w:rPr>
                <w:b/>
                <w:szCs w:val="20"/>
              </w:rPr>
              <w:t>Mean Change</w:t>
            </w:r>
            <w:r w:rsidR="009E206B" w:rsidRPr="009F6529">
              <w:rPr>
                <w:b/>
                <w:szCs w:val="20"/>
                <w:vertAlign w:val="superscript"/>
              </w:rPr>
              <w:t>†</w:t>
            </w:r>
            <w:r w:rsidRPr="001E006F">
              <w:rPr>
                <w:b/>
                <w:szCs w:val="20"/>
              </w:rPr>
              <w:t xml:space="preserve">  at Week 12</w:t>
            </w:r>
            <w:r w:rsidRPr="001E006F">
              <w:rPr>
                <w:b/>
                <w:szCs w:val="20"/>
                <w:vertAlign w:val="superscript"/>
              </w:rPr>
              <w:t>b</w:t>
            </w:r>
          </w:p>
        </w:tc>
        <w:tc>
          <w:tcPr>
            <w:tcW w:w="107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-2.15</w:t>
            </w:r>
          </w:p>
        </w:tc>
        <w:tc>
          <w:tcPr>
            <w:tcW w:w="90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-0.91</w:t>
            </w:r>
          </w:p>
        </w:tc>
        <w:tc>
          <w:tcPr>
            <w:tcW w:w="1276"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&lt; 0.001</w:t>
            </w:r>
          </w:p>
          <w:p w:rsidR="00733E7B" w:rsidRPr="001E006F" w:rsidRDefault="00733E7B" w:rsidP="00733E7B">
            <w:pPr>
              <w:pStyle w:val="TableText10pt"/>
              <w:keepNext w:val="0"/>
              <w:widowControl w:val="0"/>
              <w:spacing w:before="0" w:after="0"/>
              <w:jc w:val="center"/>
              <w:rPr>
                <w:b/>
                <w:szCs w:val="20"/>
              </w:rPr>
            </w:pPr>
            <w:r w:rsidRPr="001E006F">
              <w:rPr>
                <w:b/>
                <w:szCs w:val="20"/>
              </w:rPr>
              <w:t>-1.04</w:t>
            </w:r>
          </w:p>
          <w:p w:rsidR="00733E7B" w:rsidRPr="001E006F" w:rsidRDefault="00733E7B" w:rsidP="00733E7B">
            <w:pPr>
              <w:pStyle w:val="TableText10pt"/>
              <w:spacing w:before="0" w:after="0"/>
              <w:jc w:val="center"/>
              <w:rPr>
                <w:b/>
                <w:szCs w:val="20"/>
              </w:rPr>
            </w:pPr>
            <w:r w:rsidRPr="001E006F">
              <w:rPr>
                <w:b/>
                <w:szCs w:val="20"/>
              </w:rPr>
              <w:t>(-1.48</w:t>
            </w:r>
            <w:r w:rsidRPr="00F323C1">
              <w:rPr>
                <w:b/>
                <w:szCs w:val="20"/>
              </w:rPr>
              <w:t xml:space="preserve">, </w:t>
            </w:r>
            <w:r w:rsidR="003E25BD" w:rsidRPr="00F323C1">
              <w:rPr>
                <w:b/>
                <w:szCs w:val="20"/>
              </w:rPr>
              <w:t>-</w:t>
            </w:r>
            <w:r w:rsidRPr="00F323C1">
              <w:rPr>
                <w:b/>
                <w:szCs w:val="20"/>
              </w:rPr>
              <w:t>0.59)</w:t>
            </w:r>
          </w:p>
        </w:tc>
        <w:tc>
          <w:tcPr>
            <w:tcW w:w="1021"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-2.56</w:t>
            </w:r>
          </w:p>
        </w:tc>
        <w:tc>
          <w:tcPr>
            <w:tcW w:w="90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-0.83</w:t>
            </w:r>
          </w:p>
        </w:tc>
        <w:tc>
          <w:tcPr>
            <w:tcW w:w="1276"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&lt; 0.001;</w:t>
            </w:r>
          </w:p>
          <w:p w:rsidR="00733E7B" w:rsidRPr="001E006F" w:rsidRDefault="00733E7B" w:rsidP="00733E7B">
            <w:pPr>
              <w:pStyle w:val="TableText10pt"/>
              <w:keepNext w:val="0"/>
              <w:widowControl w:val="0"/>
              <w:spacing w:before="0" w:after="0"/>
              <w:jc w:val="center"/>
              <w:rPr>
                <w:b/>
                <w:szCs w:val="20"/>
              </w:rPr>
            </w:pPr>
            <w:r w:rsidRPr="001E006F">
              <w:rPr>
                <w:b/>
                <w:szCs w:val="20"/>
              </w:rPr>
              <w:t>-1.72</w:t>
            </w:r>
          </w:p>
          <w:p w:rsidR="00733E7B" w:rsidRPr="001E006F" w:rsidRDefault="00733E7B" w:rsidP="00733E7B">
            <w:pPr>
              <w:pStyle w:val="TableText10pt"/>
              <w:spacing w:before="0" w:after="0"/>
              <w:jc w:val="center"/>
              <w:rPr>
                <w:b/>
                <w:szCs w:val="20"/>
              </w:rPr>
            </w:pPr>
            <w:r w:rsidRPr="001E006F">
              <w:rPr>
                <w:b/>
                <w:szCs w:val="20"/>
              </w:rPr>
              <w:t>(-2.19 -1.26)</w:t>
            </w:r>
          </w:p>
        </w:tc>
      </w:tr>
      <w:tr w:rsidR="00733E7B" w:rsidRPr="001E006F" w:rsidTr="00733E7B">
        <w:trPr>
          <w:trHeight w:val="145"/>
        </w:trPr>
        <w:tc>
          <w:tcPr>
            <w:tcW w:w="2802"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rPr>
                <w:b/>
                <w:szCs w:val="20"/>
                <w:vertAlign w:val="superscript"/>
              </w:rPr>
            </w:pPr>
            <w:r w:rsidRPr="001E006F">
              <w:rPr>
                <w:b/>
                <w:szCs w:val="20"/>
              </w:rPr>
              <w:t>Daily Frequency of Urgency Episodes</w:t>
            </w:r>
          </w:p>
        </w:tc>
        <w:tc>
          <w:tcPr>
            <w:tcW w:w="107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rPr>
                <w:szCs w:val="20"/>
              </w:rPr>
            </w:pPr>
          </w:p>
        </w:tc>
        <w:tc>
          <w:tcPr>
            <w:tcW w:w="90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276"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90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276"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ind w:left="360"/>
              <w:rPr>
                <w:szCs w:val="20"/>
              </w:rPr>
            </w:pPr>
            <w:r w:rsidRPr="001E006F">
              <w:rPr>
                <w:szCs w:val="20"/>
              </w:rPr>
              <w:t>Mean Baseline</w:t>
            </w:r>
          </w:p>
        </w:tc>
        <w:tc>
          <w:tcPr>
            <w:tcW w:w="107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8.54</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7.85</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9.11</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8.78</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nil"/>
              <w:right w:val="single" w:sz="4" w:space="0" w:color="auto"/>
            </w:tcBorders>
          </w:tcPr>
          <w:p w:rsidR="00733E7B" w:rsidRPr="001E006F" w:rsidRDefault="00733E7B" w:rsidP="00733E7B">
            <w:pPr>
              <w:pStyle w:val="TableText10pt"/>
              <w:ind w:left="360"/>
              <w:rPr>
                <w:szCs w:val="20"/>
              </w:rPr>
            </w:pPr>
            <w:r w:rsidRPr="001E006F">
              <w:rPr>
                <w:szCs w:val="20"/>
              </w:rPr>
              <w:t>Mean Change</w:t>
            </w:r>
            <w:r w:rsidRPr="001E006F">
              <w:rPr>
                <w:b/>
                <w:szCs w:val="20"/>
              </w:rPr>
              <w:t xml:space="preserve"> </w:t>
            </w:r>
            <w:r w:rsidRPr="001E006F">
              <w:rPr>
                <w:szCs w:val="20"/>
              </w:rPr>
              <w:t xml:space="preserve"> at Week 2</w:t>
            </w:r>
          </w:p>
        </w:tc>
        <w:tc>
          <w:tcPr>
            <w:tcW w:w="107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-2.83</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-1.34</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-2.95</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-1.36</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nil"/>
              <w:right w:val="single" w:sz="4" w:space="0" w:color="auto"/>
            </w:tcBorders>
          </w:tcPr>
          <w:p w:rsidR="00733E7B" w:rsidRPr="001E006F" w:rsidRDefault="00733E7B" w:rsidP="00733E7B">
            <w:pPr>
              <w:pStyle w:val="TableText10pt"/>
              <w:ind w:left="360"/>
              <w:rPr>
                <w:szCs w:val="20"/>
              </w:rPr>
            </w:pPr>
            <w:r w:rsidRPr="001E006F">
              <w:rPr>
                <w:szCs w:val="20"/>
              </w:rPr>
              <w:t>Mean Change</w:t>
            </w:r>
            <w:r w:rsidRPr="001E006F">
              <w:rPr>
                <w:b/>
                <w:szCs w:val="20"/>
              </w:rPr>
              <w:t xml:space="preserve"> </w:t>
            </w:r>
            <w:r w:rsidRPr="001E006F">
              <w:rPr>
                <w:szCs w:val="20"/>
              </w:rPr>
              <w:t xml:space="preserve"> at Week 6</w:t>
            </w:r>
          </w:p>
        </w:tc>
        <w:tc>
          <w:tcPr>
            <w:tcW w:w="107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-3.21</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-1.45</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-3.91</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-1.35</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single" w:sz="4" w:space="0" w:color="auto"/>
              <w:right w:val="single" w:sz="4" w:space="0" w:color="auto"/>
            </w:tcBorders>
          </w:tcPr>
          <w:p w:rsidR="00733E7B" w:rsidRPr="001E006F" w:rsidRDefault="00733E7B" w:rsidP="006376C6">
            <w:pPr>
              <w:pStyle w:val="TableText10pt"/>
              <w:ind w:left="360"/>
              <w:rPr>
                <w:b/>
                <w:szCs w:val="20"/>
              </w:rPr>
            </w:pPr>
            <w:r w:rsidRPr="001E006F">
              <w:rPr>
                <w:b/>
                <w:szCs w:val="20"/>
              </w:rPr>
              <w:t>Mean Change</w:t>
            </w:r>
            <w:r w:rsidR="009E206B" w:rsidRPr="009F6529">
              <w:rPr>
                <w:b/>
                <w:szCs w:val="20"/>
                <w:vertAlign w:val="superscript"/>
              </w:rPr>
              <w:t>†</w:t>
            </w:r>
            <w:r w:rsidRPr="001E006F">
              <w:rPr>
                <w:b/>
                <w:szCs w:val="20"/>
              </w:rPr>
              <w:t xml:space="preserve">  at Week 12</w:t>
            </w:r>
            <w:r w:rsidRPr="001E006F">
              <w:rPr>
                <w:b/>
                <w:szCs w:val="20"/>
                <w:vertAlign w:val="superscript"/>
              </w:rPr>
              <w:t>b</w:t>
            </w:r>
          </w:p>
        </w:tc>
        <w:tc>
          <w:tcPr>
            <w:tcW w:w="107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-2.93</w:t>
            </w:r>
          </w:p>
        </w:tc>
        <w:tc>
          <w:tcPr>
            <w:tcW w:w="90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-1.21</w:t>
            </w:r>
          </w:p>
        </w:tc>
        <w:tc>
          <w:tcPr>
            <w:tcW w:w="1276"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&lt; 0.001;</w:t>
            </w:r>
          </w:p>
          <w:p w:rsidR="00733E7B" w:rsidRPr="001E006F" w:rsidRDefault="00733E7B" w:rsidP="00733E7B">
            <w:pPr>
              <w:pStyle w:val="TableText10pt"/>
              <w:keepNext w:val="0"/>
              <w:widowControl w:val="0"/>
              <w:spacing w:before="0" w:after="0"/>
              <w:jc w:val="center"/>
              <w:rPr>
                <w:b/>
                <w:szCs w:val="20"/>
              </w:rPr>
            </w:pPr>
            <w:r w:rsidRPr="001E006F">
              <w:rPr>
                <w:b/>
                <w:szCs w:val="20"/>
              </w:rPr>
              <w:t>-1.51</w:t>
            </w:r>
          </w:p>
          <w:p w:rsidR="00733E7B" w:rsidRPr="001E006F" w:rsidRDefault="00733E7B" w:rsidP="00733E7B">
            <w:pPr>
              <w:pStyle w:val="TableText10pt"/>
              <w:spacing w:before="0" w:after="0"/>
              <w:jc w:val="center"/>
              <w:rPr>
                <w:b/>
                <w:szCs w:val="20"/>
              </w:rPr>
            </w:pPr>
            <w:r w:rsidRPr="001E006F">
              <w:rPr>
                <w:b/>
                <w:szCs w:val="20"/>
              </w:rPr>
              <w:t>(-2.15, -0.87)</w:t>
            </w:r>
          </w:p>
        </w:tc>
        <w:tc>
          <w:tcPr>
            <w:tcW w:w="1021"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-3.67</w:t>
            </w:r>
          </w:p>
        </w:tc>
        <w:tc>
          <w:tcPr>
            <w:tcW w:w="90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-1.24</w:t>
            </w:r>
          </w:p>
        </w:tc>
        <w:tc>
          <w:tcPr>
            <w:tcW w:w="1276"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&lt; 0.001;</w:t>
            </w:r>
          </w:p>
          <w:p w:rsidR="00733E7B" w:rsidRPr="001E006F" w:rsidRDefault="00733E7B" w:rsidP="00733E7B">
            <w:pPr>
              <w:pStyle w:val="TableText10pt"/>
              <w:keepNext w:val="0"/>
              <w:widowControl w:val="0"/>
              <w:spacing w:before="0" w:after="0"/>
              <w:jc w:val="center"/>
              <w:rPr>
                <w:b/>
                <w:szCs w:val="20"/>
              </w:rPr>
            </w:pPr>
            <w:r w:rsidRPr="001E006F">
              <w:rPr>
                <w:b/>
                <w:szCs w:val="20"/>
              </w:rPr>
              <w:t xml:space="preserve">-2.44 </w:t>
            </w:r>
          </w:p>
          <w:p w:rsidR="00733E7B" w:rsidRPr="001E006F" w:rsidRDefault="00733E7B" w:rsidP="00733E7B">
            <w:pPr>
              <w:pStyle w:val="TableText10pt"/>
              <w:spacing w:before="0" w:after="0"/>
              <w:jc w:val="center"/>
              <w:rPr>
                <w:b/>
                <w:szCs w:val="20"/>
              </w:rPr>
            </w:pPr>
            <w:r w:rsidRPr="001E006F">
              <w:rPr>
                <w:b/>
                <w:szCs w:val="20"/>
              </w:rPr>
              <w:t>(-3.09, -1.79)</w:t>
            </w:r>
          </w:p>
        </w:tc>
      </w:tr>
      <w:tr w:rsidR="00733E7B" w:rsidRPr="001E006F" w:rsidTr="00733E7B">
        <w:trPr>
          <w:trHeight w:val="145"/>
        </w:trPr>
        <w:tc>
          <w:tcPr>
            <w:tcW w:w="2802"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rPr>
                <w:b/>
                <w:szCs w:val="20"/>
                <w:vertAlign w:val="superscript"/>
              </w:rPr>
            </w:pPr>
            <w:r w:rsidRPr="001E006F">
              <w:rPr>
                <w:b/>
                <w:szCs w:val="20"/>
              </w:rPr>
              <w:t>Incontinence Quality of Life Total Score</w:t>
            </w:r>
          </w:p>
        </w:tc>
        <w:tc>
          <w:tcPr>
            <w:tcW w:w="107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rPr>
                <w:szCs w:val="20"/>
              </w:rPr>
            </w:pPr>
          </w:p>
        </w:tc>
        <w:tc>
          <w:tcPr>
            <w:tcW w:w="90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276"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90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276"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ind w:left="360"/>
              <w:rPr>
                <w:szCs w:val="20"/>
              </w:rPr>
            </w:pPr>
            <w:r w:rsidRPr="001E006F">
              <w:rPr>
                <w:szCs w:val="20"/>
              </w:rPr>
              <w:t>Mean Baseline</w:t>
            </w:r>
          </w:p>
        </w:tc>
        <w:tc>
          <w:tcPr>
            <w:tcW w:w="107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36.5</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37.3</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31.7</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32.1</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single" w:sz="4" w:space="0" w:color="auto"/>
              <w:right w:val="single" w:sz="4" w:space="0" w:color="auto"/>
            </w:tcBorders>
          </w:tcPr>
          <w:p w:rsidR="00733E7B" w:rsidRPr="001E006F" w:rsidRDefault="00733E7B" w:rsidP="006376C6">
            <w:pPr>
              <w:pStyle w:val="TableText10pt"/>
              <w:spacing w:before="0" w:after="0"/>
              <w:ind w:left="360"/>
              <w:rPr>
                <w:b/>
                <w:szCs w:val="20"/>
                <w:vertAlign w:val="superscript"/>
              </w:rPr>
            </w:pPr>
            <w:r w:rsidRPr="001E006F">
              <w:rPr>
                <w:b/>
                <w:szCs w:val="20"/>
              </w:rPr>
              <w:t>Mean Change</w:t>
            </w:r>
            <w:r w:rsidRPr="009F6529">
              <w:rPr>
                <w:b/>
                <w:szCs w:val="20"/>
                <w:vertAlign w:val="superscript"/>
              </w:rPr>
              <w:t>†</w:t>
            </w:r>
            <w:r w:rsidRPr="001E006F">
              <w:rPr>
                <w:b/>
                <w:szCs w:val="20"/>
              </w:rPr>
              <w:t xml:space="preserve">  at Week 12</w:t>
            </w:r>
            <w:r w:rsidRPr="001E006F">
              <w:rPr>
                <w:b/>
                <w:szCs w:val="20"/>
                <w:vertAlign w:val="superscript"/>
              </w:rPr>
              <w:t>bc</w:t>
            </w:r>
          </w:p>
        </w:tc>
        <w:tc>
          <w:tcPr>
            <w:tcW w:w="107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+21.9</w:t>
            </w:r>
          </w:p>
        </w:tc>
        <w:tc>
          <w:tcPr>
            <w:tcW w:w="90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+6.8</w:t>
            </w:r>
          </w:p>
        </w:tc>
        <w:tc>
          <w:tcPr>
            <w:tcW w:w="1276"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&lt; 0.001;</w:t>
            </w:r>
          </w:p>
          <w:p w:rsidR="00733E7B" w:rsidRPr="001E006F" w:rsidRDefault="00733E7B" w:rsidP="00733E7B">
            <w:pPr>
              <w:pStyle w:val="TableText10pt"/>
              <w:keepNext w:val="0"/>
              <w:widowControl w:val="0"/>
              <w:spacing w:before="0" w:after="0"/>
              <w:jc w:val="center"/>
              <w:rPr>
                <w:b/>
                <w:szCs w:val="20"/>
              </w:rPr>
            </w:pPr>
            <w:r w:rsidRPr="001E006F">
              <w:rPr>
                <w:b/>
                <w:szCs w:val="20"/>
              </w:rPr>
              <w:t>14.9</w:t>
            </w:r>
          </w:p>
          <w:p w:rsidR="00733E7B" w:rsidRPr="001E006F" w:rsidRDefault="00733E7B" w:rsidP="00733E7B">
            <w:pPr>
              <w:pStyle w:val="TableText10pt"/>
              <w:spacing w:before="0" w:after="0"/>
              <w:jc w:val="center"/>
              <w:rPr>
                <w:b/>
                <w:szCs w:val="20"/>
              </w:rPr>
            </w:pPr>
            <w:r w:rsidRPr="001E006F">
              <w:rPr>
                <w:b/>
                <w:szCs w:val="20"/>
              </w:rPr>
              <w:t>(11.1, 18.7)</w:t>
            </w:r>
          </w:p>
        </w:tc>
        <w:tc>
          <w:tcPr>
            <w:tcW w:w="1021"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+23.1</w:t>
            </w:r>
          </w:p>
        </w:tc>
        <w:tc>
          <w:tcPr>
            <w:tcW w:w="90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+6.3</w:t>
            </w:r>
          </w:p>
        </w:tc>
        <w:tc>
          <w:tcPr>
            <w:tcW w:w="1276"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&lt; 0.001;</w:t>
            </w:r>
          </w:p>
          <w:p w:rsidR="00733E7B" w:rsidRPr="001E006F" w:rsidRDefault="00733E7B" w:rsidP="00733E7B">
            <w:pPr>
              <w:pStyle w:val="TableText10pt"/>
              <w:keepNext w:val="0"/>
              <w:widowControl w:val="0"/>
              <w:spacing w:before="0" w:after="0"/>
              <w:jc w:val="center"/>
              <w:rPr>
                <w:b/>
                <w:szCs w:val="20"/>
              </w:rPr>
            </w:pPr>
            <w:r w:rsidRPr="001E006F">
              <w:rPr>
                <w:b/>
                <w:szCs w:val="20"/>
              </w:rPr>
              <w:t>16.9</w:t>
            </w:r>
          </w:p>
          <w:p w:rsidR="00733E7B" w:rsidRPr="001E006F" w:rsidRDefault="00733E7B" w:rsidP="00733E7B">
            <w:pPr>
              <w:pStyle w:val="TableText10pt"/>
              <w:spacing w:before="0" w:after="0"/>
              <w:jc w:val="center"/>
              <w:rPr>
                <w:b/>
                <w:szCs w:val="20"/>
              </w:rPr>
            </w:pPr>
            <w:r w:rsidRPr="001E006F">
              <w:rPr>
                <w:b/>
                <w:szCs w:val="20"/>
              </w:rPr>
              <w:t>(13.2, 20.6)</w:t>
            </w:r>
          </w:p>
        </w:tc>
      </w:tr>
      <w:tr w:rsidR="00733E7B" w:rsidRPr="001E006F" w:rsidTr="00733E7B">
        <w:trPr>
          <w:trHeight w:val="145"/>
        </w:trPr>
        <w:tc>
          <w:tcPr>
            <w:tcW w:w="2802"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rPr>
                <w:b/>
                <w:szCs w:val="20"/>
                <w:vertAlign w:val="superscript"/>
              </w:rPr>
            </w:pPr>
            <w:r w:rsidRPr="001E006F">
              <w:rPr>
                <w:b/>
                <w:szCs w:val="20"/>
              </w:rPr>
              <w:t>King’s Health Questionnaire: Role Limitation</w:t>
            </w:r>
          </w:p>
        </w:tc>
        <w:tc>
          <w:tcPr>
            <w:tcW w:w="107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rPr>
                <w:szCs w:val="20"/>
              </w:rPr>
            </w:pPr>
          </w:p>
        </w:tc>
        <w:tc>
          <w:tcPr>
            <w:tcW w:w="90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276"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90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276"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ind w:left="360"/>
              <w:rPr>
                <w:szCs w:val="20"/>
              </w:rPr>
            </w:pPr>
            <w:r w:rsidRPr="001E006F">
              <w:rPr>
                <w:szCs w:val="20"/>
              </w:rPr>
              <w:t>Mean Baseline</w:t>
            </w:r>
          </w:p>
        </w:tc>
        <w:tc>
          <w:tcPr>
            <w:tcW w:w="107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61.2</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56.2</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69.6</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66.4</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single" w:sz="4" w:space="0" w:color="auto"/>
              <w:right w:val="single" w:sz="4" w:space="0" w:color="auto"/>
            </w:tcBorders>
          </w:tcPr>
          <w:p w:rsidR="00733E7B" w:rsidRPr="001E006F" w:rsidRDefault="00733E7B" w:rsidP="006376C6">
            <w:pPr>
              <w:pStyle w:val="TableText10pt"/>
              <w:spacing w:before="0" w:after="0"/>
              <w:ind w:left="360"/>
              <w:rPr>
                <w:b/>
                <w:szCs w:val="20"/>
              </w:rPr>
            </w:pPr>
            <w:r w:rsidRPr="001E006F">
              <w:rPr>
                <w:b/>
                <w:szCs w:val="20"/>
              </w:rPr>
              <w:t>Mean Change</w:t>
            </w:r>
            <w:r w:rsidRPr="009F6529">
              <w:rPr>
                <w:b/>
                <w:szCs w:val="20"/>
                <w:vertAlign w:val="superscript"/>
              </w:rPr>
              <w:t>†</w:t>
            </w:r>
            <w:r w:rsidRPr="001E006F">
              <w:rPr>
                <w:b/>
                <w:szCs w:val="20"/>
              </w:rPr>
              <w:t xml:space="preserve">  at Week 12</w:t>
            </w:r>
            <w:r w:rsidRPr="001E006F">
              <w:rPr>
                <w:b/>
                <w:szCs w:val="20"/>
                <w:vertAlign w:val="superscript"/>
              </w:rPr>
              <w:t>bc</w:t>
            </w:r>
          </w:p>
        </w:tc>
        <w:tc>
          <w:tcPr>
            <w:tcW w:w="107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-24.3</w:t>
            </w:r>
          </w:p>
        </w:tc>
        <w:tc>
          <w:tcPr>
            <w:tcW w:w="90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-2.4</w:t>
            </w:r>
          </w:p>
        </w:tc>
        <w:tc>
          <w:tcPr>
            <w:tcW w:w="1276"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&lt; 0.001;</w:t>
            </w:r>
          </w:p>
          <w:p w:rsidR="00733E7B" w:rsidRPr="001E006F" w:rsidRDefault="00733E7B" w:rsidP="00733E7B">
            <w:pPr>
              <w:pStyle w:val="TableText10pt"/>
              <w:keepNext w:val="0"/>
              <w:widowControl w:val="0"/>
              <w:spacing w:before="0" w:after="0"/>
              <w:jc w:val="center"/>
              <w:rPr>
                <w:b/>
                <w:szCs w:val="20"/>
              </w:rPr>
            </w:pPr>
            <w:r w:rsidRPr="001E006F">
              <w:rPr>
                <w:b/>
                <w:szCs w:val="20"/>
              </w:rPr>
              <w:t>-20.6</w:t>
            </w:r>
          </w:p>
          <w:p w:rsidR="00733E7B" w:rsidRPr="001E006F" w:rsidRDefault="00733E7B" w:rsidP="00733E7B">
            <w:pPr>
              <w:pStyle w:val="TableText10pt"/>
              <w:spacing w:before="0" w:after="0"/>
              <w:jc w:val="center"/>
              <w:rPr>
                <w:b/>
                <w:szCs w:val="20"/>
              </w:rPr>
            </w:pPr>
            <w:r w:rsidRPr="001E006F">
              <w:rPr>
                <w:b/>
                <w:szCs w:val="20"/>
              </w:rPr>
              <w:t>(-25.6, -15.7)</w:t>
            </w:r>
          </w:p>
        </w:tc>
        <w:tc>
          <w:tcPr>
            <w:tcW w:w="1021"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-26.5</w:t>
            </w:r>
          </w:p>
        </w:tc>
        <w:tc>
          <w:tcPr>
            <w:tcW w:w="90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-5.0</w:t>
            </w:r>
          </w:p>
        </w:tc>
        <w:tc>
          <w:tcPr>
            <w:tcW w:w="1276"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&lt; 0.001;</w:t>
            </w:r>
          </w:p>
          <w:p w:rsidR="00733E7B" w:rsidRPr="001E006F" w:rsidRDefault="00733E7B" w:rsidP="00733E7B">
            <w:pPr>
              <w:pStyle w:val="TableText10pt"/>
              <w:keepNext w:val="0"/>
              <w:widowControl w:val="0"/>
              <w:spacing w:before="0" w:after="0"/>
              <w:jc w:val="center"/>
              <w:rPr>
                <w:b/>
                <w:szCs w:val="20"/>
              </w:rPr>
            </w:pPr>
            <w:r w:rsidRPr="001E006F">
              <w:rPr>
                <w:b/>
                <w:szCs w:val="20"/>
              </w:rPr>
              <w:t>-19.8</w:t>
            </w:r>
          </w:p>
          <w:p w:rsidR="00733E7B" w:rsidRPr="001E006F" w:rsidRDefault="00733E7B" w:rsidP="00733E7B">
            <w:pPr>
              <w:pStyle w:val="TableText10pt"/>
              <w:spacing w:before="0" w:after="0"/>
              <w:jc w:val="center"/>
              <w:rPr>
                <w:b/>
                <w:szCs w:val="20"/>
              </w:rPr>
            </w:pPr>
            <w:r w:rsidRPr="001E006F">
              <w:rPr>
                <w:b/>
                <w:szCs w:val="20"/>
              </w:rPr>
              <w:t>(-24.8, -14.7)</w:t>
            </w:r>
          </w:p>
        </w:tc>
      </w:tr>
      <w:tr w:rsidR="00733E7B" w:rsidRPr="001E006F" w:rsidTr="00733E7B">
        <w:trPr>
          <w:trHeight w:val="145"/>
        </w:trPr>
        <w:tc>
          <w:tcPr>
            <w:tcW w:w="2802"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rPr>
                <w:b/>
                <w:szCs w:val="20"/>
              </w:rPr>
            </w:pPr>
            <w:r w:rsidRPr="001E006F">
              <w:rPr>
                <w:b/>
                <w:szCs w:val="20"/>
              </w:rPr>
              <w:t>King’s Health Questionnaire: Social Limitation</w:t>
            </w:r>
          </w:p>
        </w:tc>
        <w:tc>
          <w:tcPr>
            <w:tcW w:w="107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rPr>
                <w:szCs w:val="20"/>
              </w:rPr>
            </w:pPr>
          </w:p>
        </w:tc>
        <w:tc>
          <w:tcPr>
            <w:tcW w:w="90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276"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907"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276" w:type="dxa"/>
            <w:tcBorders>
              <w:top w:val="single" w:sz="4" w:space="0" w:color="auto"/>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ind w:left="360"/>
              <w:rPr>
                <w:szCs w:val="20"/>
              </w:rPr>
            </w:pPr>
            <w:r w:rsidRPr="001E006F">
              <w:rPr>
                <w:szCs w:val="20"/>
              </w:rPr>
              <w:t>Mean Baseline</w:t>
            </w:r>
          </w:p>
        </w:tc>
        <w:tc>
          <w:tcPr>
            <w:tcW w:w="107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40.5</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39.4</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c>
          <w:tcPr>
            <w:tcW w:w="1021"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49.1</w:t>
            </w:r>
          </w:p>
        </w:tc>
        <w:tc>
          <w:tcPr>
            <w:tcW w:w="907"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r w:rsidRPr="001E006F">
              <w:rPr>
                <w:szCs w:val="20"/>
              </w:rPr>
              <w:t>45.4</w:t>
            </w:r>
          </w:p>
        </w:tc>
        <w:tc>
          <w:tcPr>
            <w:tcW w:w="1276" w:type="dxa"/>
            <w:tcBorders>
              <w:top w:val="nil"/>
              <w:left w:val="single" w:sz="4" w:space="0" w:color="auto"/>
              <w:bottom w:val="nil"/>
              <w:right w:val="single" w:sz="4" w:space="0" w:color="auto"/>
            </w:tcBorders>
          </w:tcPr>
          <w:p w:rsidR="00733E7B" w:rsidRPr="001E006F" w:rsidRDefault="00733E7B" w:rsidP="00733E7B">
            <w:pPr>
              <w:pStyle w:val="TableText10pt"/>
              <w:spacing w:before="0" w:after="0"/>
              <w:jc w:val="center"/>
              <w:rPr>
                <w:szCs w:val="20"/>
              </w:rPr>
            </w:pPr>
          </w:p>
        </w:tc>
      </w:tr>
      <w:tr w:rsidR="00733E7B" w:rsidRPr="001E006F" w:rsidTr="00733E7B">
        <w:trPr>
          <w:trHeight w:val="145"/>
        </w:trPr>
        <w:tc>
          <w:tcPr>
            <w:tcW w:w="2802" w:type="dxa"/>
            <w:tcBorders>
              <w:top w:val="nil"/>
              <w:left w:val="single" w:sz="4" w:space="0" w:color="auto"/>
              <w:bottom w:val="single" w:sz="4" w:space="0" w:color="auto"/>
              <w:right w:val="single" w:sz="4" w:space="0" w:color="auto"/>
            </w:tcBorders>
          </w:tcPr>
          <w:p w:rsidR="00733E7B" w:rsidRPr="001E006F" w:rsidRDefault="00733E7B" w:rsidP="006376C6">
            <w:pPr>
              <w:pStyle w:val="TableText10pt"/>
              <w:spacing w:before="0" w:after="0"/>
              <w:ind w:left="360"/>
              <w:rPr>
                <w:b/>
                <w:szCs w:val="20"/>
              </w:rPr>
            </w:pPr>
            <w:r w:rsidRPr="001E006F">
              <w:rPr>
                <w:b/>
                <w:szCs w:val="20"/>
              </w:rPr>
              <w:t>Mean Change</w:t>
            </w:r>
            <w:r w:rsidRPr="009F6529">
              <w:rPr>
                <w:b/>
                <w:szCs w:val="20"/>
                <w:vertAlign w:val="superscript"/>
              </w:rPr>
              <w:t>†</w:t>
            </w:r>
            <w:r w:rsidRPr="001E006F">
              <w:rPr>
                <w:b/>
                <w:szCs w:val="20"/>
              </w:rPr>
              <w:t xml:space="preserve">  at Week 12</w:t>
            </w:r>
            <w:r w:rsidRPr="001E006F">
              <w:rPr>
                <w:b/>
                <w:szCs w:val="20"/>
                <w:vertAlign w:val="superscript"/>
              </w:rPr>
              <w:t>bc</w:t>
            </w:r>
          </w:p>
        </w:tc>
        <w:tc>
          <w:tcPr>
            <w:tcW w:w="107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-17.3</w:t>
            </w:r>
          </w:p>
        </w:tc>
        <w:tc>
          <w:tcPr>
            <w:tcW w:w="90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-3.8</w:t>
            </w:r>
          </w:p>
        </w:tc>
        <w:tc>
          <w:tcPr>
            <w:tcW w:w="1276"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&lt; 0.001</w:t>
            </w:r>
          </w:p>
          <w:p w:rsidR="00733E7B" w:rsidRPr="001E006F" w:rsidRDefault="00733E7B" w:rsidP="00733E7B">
            <w:pPr>
              <w:pStyle w:val="TableText10pt"/>
              <w:keepNext w:val="0"/>
              <w:widowControl w:val="0"/>
              <w:spacing w:before="0" w:after="0"/>
              <w:jc w:val="center"/>
              <w:rPr>
                <w:b/>
                <w:szCs w:val="20"/>
              </w:rPr>
            </w:pPr>
            <w:r w:rsidRPr="001E006F">
              <w:rPr>
                <w:b/>
                <w:szCs w:val="20"/>
              </w:rPr>
              <w:t>-13.9</w:t>
            </w:r>
          </w:p>
          <w:p w:rsidR="00733E7B" w:rsidRPr="001E006F" w:rsidRDefault="00733E7B" w:rsidP="00733E7B">
            <w:pPr>
              <w:pStyle w:val="TableText10pt"/>
              <w:spacing w:before="0" w:after="0"/>
              <w:jc w:val="center"/>
              <w:rPr>
                <w:b/>
                <w:szCs w:val="20"/>
              </w:rPr>
            </w:pPr>
            <w:r w:rsidRPr="001E006F">
              <w:rPr>
                <w:b/>
                <w:szCs w:val="20"/>
              </w:rPr>
              <w:lastRenderedPageBreak/>
              <w:t>(-18.1, -9.7)</w:t>
            </w:r>
          </w:p>
        </w:tc>
        <w:tc>
          <w:tcPr>
            <w:tcW w:w="1021"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lastRenderedPageBreak/>
              <w:t>-16.2</w:t>
            </w:r>
          </w:p>
        </w:tc>
        <w:tc>
          <w:tcPr>
            <w:tcW w:w="907"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-1.3</w:t>
            </w:r>
          </w:p>
        </w:tc>
        <w:tc>
          <w:tcPr>
            <w:tcW w:w="1276" w:type="dxa"/>
            <w:tcBorders>
              <w:top w:val="nil"/>
              <w:left w:val="single" w:sz="4" w:space="0" w:color="auto"/>
              <w:bottom w:val="single" w:sz="4" w:space="0" w:color="auto"/>
              <w:right w:val="single" w:sz="4" w:space="0" w:color="auto"/>
            </w:tcBorders>
          </w:tcPr>
          <w:p w:rsidR="00733E7B" w:rsidRPr="001E006F" w:rsidRDefault="00733E7B" w:rsidP="00733E7B">
            <w:pPr>
              <w:pStyle w:val="TableText10pt"/>
              <w:spacing w:before="0" w:after="0"/>
              <w:jc w:val="center"/>
              <w:rPr>
                <w:b/>
                <w:szCs w:val="20"/>
              </w:rPr>
            </w:pPr>
            <w:r w:rsidRPr="001E006F">
              <w:rPr>
                <w:b/>
                <w:szCs w:val="20"/>
              </w:rPr>
              <w:t>&lt; 0.001;</w:t>
            </w:r>
          </w:p>
          <w:p w:rsidR="00733E7B" w:rsidRPr="001E006F" w:rsidRDefault="00733E7B" w:rsidP="00733E7B">
            <w:pPr>
              <w:pStyle w:val="TableText10pt"/>
              <w:keepNext w:val="0"/>
              <w:widowControl w:val="0"/>
              <w:spacing w:before="0" w:after="0"/>
              <w:jc w:val="center"/>
              <w:rPr>
                <w:b/>
                <w:szCs w:val="20"/>
              </w:rPr>
            </w:pPr>
            <w:r w:rsidRPr="001E006F">
              <w:rPr>
                <w:b/>
                <w:szCs w:val="20"/>
              </w:rPr>
              <w:t>-13.2</w:t>
            </w:r>
          </w:p>
          <w:p w:rsidR="00733E7B" w:rsidRPr="001E006F" w:rsidRDefault="00733E7B" w:rsidP="00733E7B">
            <w:pPr>
              <w:pStyle w:val="TableText10pt"/>
              <w:spacing w:before="0" w:after="0"/>
              <w:jc w:val="center"/>
              <w:rPr>
                <w:b/>
                <w:szCs w:val="20"/>
              </w:rPr>
            </w:pPr>
            <w:r w:rsidRPr="001E006F">
              <w:rPr>
                <w:b/>
                <w:szCs w:val="20"/>
              </w:rPr>
              <w:lastRenderedPageBreak/>
              <w:t>(-17.8, -8.6)</w:t>
            </w:r>
          </w:p>
        </w:tc>
      </w:tr>
    </w:tbl>
    <w:p w:rsidR="00733E7B" w:rsidRPr="009F6529" w:rsidRDefault="00733E7B" w:rsidP="00733E7B">
      <w:pPr>
        <w:pStyle w:val="Text"/>
        <w:spacing w:after="0" w:line="240" w:lineRule="auto"/>
        <w:rPr>
          <w:sz w:val="20"/>
          <w:szCs w:val="20"/>
        </w:rPr>
      </w:pPr>
      <w:r w:rsidRPr="009F6529">
        <w:rPr>
          <w:sz w:val="20"/>
          <w:szCs w:val="20"/>
          <w:vertAlign w:val="superscript"/>
        </w:rPr>
        <w:lastRenderedPageBreak/>
        <w:t>*</w:t>
      </w:r>
      <w:r w:rsidRPr="009F6529">
        <w:rPr>
          <w:sz w:val="20"/>
          <w:szCs w:val="20"/>
        </w:rPr>
        <w:t xml:space="preserve"> Percentage of patients who were dry (without incontinence) at week 12 was 22.9% for the </w:t>
      </w:r>
      <w:r w:rsidRPr="009F6529">
        <w:rPr>
          <w:caps/>
          <w:sz w:val="20"/>
          <w:szCs w:val="20"/>
        </w:rPr>
        <w:t>BOTOX</w:t>
      </w:r>
      <w:r w:rsidRPr="009F6529">
        <w:rPr>
          <w:caps/>
          <w:sz w:val="20"/>
          <w:szCs w:val="20"/>
          <w:vertAlign w:val="superscript"/>
        </w:rPr>
        <w:t>®</w:t>
      </w:r>
      <w:r w:rsidRPr="009F6529">
        <w:rPr>
          <w:sz w:val="20"/>
          <w:szCs w:val="20"/>
        </w:rPr>
        <w:t xml:space="preserve"> group and 6.5% for placebo group in Study 1 and 31.4% for the </w:t>
      </w:r>
      <w:r w:rsidRPr="009F6529">
        <w:rPr>
          <w:caps/>
          <w:sz w:val="20"/>
          <w:szCs w:val="20"/>
        </w:rPr>
        <w:t>BOTOX</w:t>
      </w:r>
      <w:r w:rsidRPr="009F6529">
        <w:rPr>
          <w:caps/>
          <w:sz w:val="20"/>
          <w:szCs w:val="20"/>
          <w:vertAlign w:val="superscript"/>
        </w:rPr>
        <w:t>®</w:t>
      </w:r>
      <w:r w:rsidRPr="009F6529">
        <w:rPr>
          <w:sz w:val="20"/>
          <w:szCs w:val="20"/>
        </w:rPr>
        <w:t xml:space="preserve"> group and 10.3% for placebo group in Study 2. The proportions achieving at least a 75% and 50% reduction from baseline in urinary incontinence episodes were 44.6% and 57.5% in the </w:t>
      </w:r>
      <w:r w:rsidRPr="009F6529">
        <w:rPr>
          <w:caps/>
          <w:sz w:val="20"/>
          <w:szCs w:val="20"/>
        </w:rPr>
        <w:t>Botox</w:t>
      </w:r>
      <w:r w:rsidRPr="009F6529">
        <w:rPr>
          <w:sz w:val="20"/>
          <w:szCs w:val="20"/>
          <w:vertAlign w:val="superscript"/>
        </w:rPr>
        <w:t>®</w:t>
      </w:r>
      <w:r w:rsidRPr="009F6529">
        <w:rPr>
          <w:sz w:val="20"/>
          <w:szCs w:val="20"/>
        </w:rPr>
        <w:t xml:space="preserve"> group compared to 15.2% and 28.9% in the placebo group in Study 1 and 47.3% and 63.5% in the </w:t>
      </w:r>
      <w:r w:rsidRPr="009F6529">
        <w:rPr>
          <w:caps/>
          <w:sz w:val="20"/>
          <w:szCs w:val="20"/>
        </w:rPr>
        <w:t>Botox</w:t>
      </w:r>
      <w:r w:rsidRPr="009F6529">
        <w:rPr>
          <w:sz w:val="20"/>
          <w:szCs w:val="20"/>
          <w:vertAlign w:val="superscript"/>
        </w:rPr>
        <w:t>®</w:t>
      </w:r>
      <w:r w:rsidRPr="009F6529">
        <w:rPr>
          <w:sz w:val="20"/>
          <w:szCs w:val="20"/>
        </w:rPr>
        <w:t xml:space="preserve"> group compared to 20.3% and 33.2% in the placebo group in Study 2.</w:t>
      </w:r>
    </w:p>
    <w:p w:rsidR="006520ED" w:rsidRPr="009F6529" w:rsidRDefault="006520ED" w:rsidP="00733E7B">
      <w:pPr>
        <w:pStyle w:val="Text"/>
        <w:spacing w:after="0" w:line="240" w:lineRule="auto"/>
        <w:rPr>
          <w:sz w:val="20"/>
          <w:szCs w:val="20"/>
        </w:rPr>
      </w:pPr>
    </w:p>
    <w:p w:rsidR="006520ED" w:rsidRPr="009F6529" w:rsidRDefault="00733E7B" w:rsidP="00733E7B">
      <w:pPr>
        <w:autoSpaceDE w:val="0"/>
        <w:autoSpaceDN w:val="0"/>
        <w:adjustRightInd w:val="0"/>
      </w:pPr>
      <w:r w:rsidRPr="009F6529">
        <w:rPr>
          <w:vertAlign w:val="superscript"/>
        </w:rPr>
        <w:t>**</w:t>
      </w:r>
      <w:r w:rsidRPr="009F6529">
        <w:t xml:space="preserve"> P-value</w:t>
      </w:r>
      <w:r w:rsidR="008F0432" w:rsidRPr="009F6529">
        <w:t xml:space="preserve">, absolute difference </w:t>
      </w:r>
      <w:r w:rsidR="00B9044A" w:rsidRPr="009F6529">
        <w:t>in Least Square</w:t>
      </w:r>
      <w:r w:rsidR="006520ED" w:rsidRPr="009F6529">
        <w:t>s</w:t>
      </w:r>
      <w:r w:rsidR="008F0432" w:rsidRPr="009F6529">
        <w:t xml:space="preserve"> Mean</w:t>
      </w:r>
      <w:r w:rsidR="00B9044A" w:rsidRPr="009F6529">
        <w:t xml:space="preserve"> (LS Mean)</w:t>
      </w:r>
      <w:r w:rsidR="008F0432" w:rsidRPr="009F6529">
        <w:t xml:space="preserve"> and its 95% CI </w:t>
      </w:r>
      <w:r w:rsidR="001A77ED" w:rsidRPr="009F6529">
        <w:t xml:space="preserve">for daily frequency of urinary incontinence episodes at Week 12 </w:t>
      </w:r>
      <w:r w:rsidR="008F0432" w:rsidRPr="009F6529">
        <w:t>are</w:t>
      </w:r>
      <w:r w:rsidRPr="009F6529">
        <w:t xml:space="preserve"> based on an ANCOVA model </w:t>
      </w:r>
      <w:r w:rsidR="006520ED" w:rsidRPr="009F6529">
        <w:t xml:space="preserve">using a LOCF method </w:t>
      </w:r>
      <w:r w:rsidRPr="009F6529">
        <w:t xml:space="preserve">with baseline value as covariate and treatment group and </w:t>
      </w:r>
      <w:r w:rsidR="0006151F" w:rsidRPr="009F6529">
        <w:t xml:space="preserve">site </w:t>
      </w:r>
      <w:r w:rsidRPr="009F6529">
        <w:t xml:space="preserve">as factors. </w:t>
      </w:r>
    </w:p>
    <w:p w:rsidR="00733E7B" w:rsidRPr="009F6529" w:rsidRDefault="00733E7B" w:rsidP="00733E7B">
      <w:pPr>
        <w:autoSpaceDE w:val="0"/>
        <w:autoSpaceDN w:val="0"/>
        <w:adjustRightInd w:val="0"/>
      </w:pPr>
    </w:p>
    <w:p w:rsidR="00280AC1" w:rsidRPr="009F6529" w:rsidRDefault="00733E7B" w:rsidP="00733E7B">
      <w:pPr>
        <w:autoSpaceDE w:val="0"/>
        <w:autoSpaceDN w:val="0"/>
        <w:adjustRightInd w:val="0"/>
      </w:pPr>
      <w:r w:rsidRPr="009F6529">
        <w:rPr>
          <w:vertAlign w:val="superscript"/>
        </w:rPr>
        <w:t>***</w:t>
      </w:r>
      <w:r w:rsidRPr="009F6529">
        <w:t xml:space="preserve"> P-value</w:t>
      </w:r>
      <w:r w:rsidR="008F0432" w:rsidRPr="009F6529">
        <w:t xml:space="preserve">, absolute difference </w:t>
      </w:r>
      <w:r w:rsidR="00B9044A" w:rsidRPr="009F6529">
        <w:t xml:space="preserve">from placebo </w:t>
      </w:r>
      <w:r w:rsidR="008F0432" w:rsidRPr="009F6529">
        <w:t>and its 95% CI</w:t>
      </w:r>
      <w:r w:rsidRPr="009F6529">
        <w:t xml:space="preserve"> </w:t>
      </w:r>
      <w:r w:rsidR="001A77ED" w:rsidRPr="009F6529">
        <w:t xml:space="preserve">for proportion of positive treatment response using TBS at Week 12 </w:t>
      </w:r>
      <w:r w:rsidR="008F0432" w:rsidRPr="009F6529">
        <w:t>are</w:t>
      </w:r>
      <w:r w:rsidRPr="009F6529">
        <w:t xml:space="preserve"> based on Cochran-Mantel-Haenszel (CMH) test </w:t>
      </w:r>
      <w:r w:rsidR="006520ED" w:rsidRPr="009F6529">
        <w:t xml:space="preserve">using a LOCF method </w:t>
      </w:r>
      <w:r w:rsidRPr="009F6529">
        <w:t xml:space="preserve">with urinary urgency incontinence </w:t>
      </w:r>
      <w:r w:rsidR="000E6A66" w:rsidRPr="009F6529">
        <w:t>≤</w:t>
      </w:r>
      <w:r w:rsidRPr="009F6529">
        <w:t>9 or &gt;9 episodes at baseline as a stratification factor</w:t>
      </w:r>
      <w:r w:rsidR="00280AC1" w:rsidRPr="009F6529">
        <w:t>.</w:t>
      </w:r>
    </w:p>
    <w:p w:rsidR="006520ED" w:rsidRPr="009F6529" w:rsidRDefault="006520ED" w:rsidP="00733E7B">
      <w:pPr>
        <w:autoSpaceDE w:val="0"/>
        <w:autoSpaceDN w:val="0"/>
        <w:adjustRightInd w:val="0"/>
      </w:pPr>
    </w:p>
    <w:p w:rsidR="00733E7B" w:rsidRPr="009F6529" w:rsidRDefault="00733E7B" w:rsidP="001A77ED">
      <w:pPr>
        <w:autoSpaceDE w:val="0"/>
        <w:autoSpaceDN w:val="0"/>
        <w:adjustRightInd w:val="0"/>
      </w:pPr>
      <w:r w:rsidRPr="009F6529">
        <w:rPr>
          <w:vertAlign w:val="superscript"/>
        </w:rPr>
        <w:t>†</w:t>
      </w:r>
      <w:r w:rsidRPr="009F6529">
        <w:t xml:space="preserve"> P-value</w:t>
      </w:r>
      <w:r w:rsidR="00B9044A" w:rsidRPr="009F6529">
        <w:t>s</w:t>
      </w:r>
      <w:r w:rsidR="001A77ED" w:rsidRPr="009F6529">
        <w:t>, absolute difference</w:t>
      </w:r>
      <w:r w:rsidR="00B9044A" w:rsidRPr="009F6529">
        <w:t>s</w:t>
      </w:r>
      <w:r w:rsidR="001A77ED" w:rsidRPr="009F6529">
        <w:t xml:space="preserve"> </w:t>
      </w:r>
      <w:r w:rsidR="00B9044A" w:rsidRPr="009F6529">
        <w:t xml:space="preserve">from placebo </w:t>
      </w:r>
      <w:r w:rsidR="001A77ED" w:rsidRPr="009F6529">
        <w:t>in LS Mean and its 95% CI for the secondary efficacy endpoints are</w:t>
      </w:r>
      <w:r w:rsidRPr="009F6529">
        <w:t xml:space="preserve"> based on an ANCOVA model with baseline value as covariate and stratification factor, treatment group and </w:t>
      </w:r>
      <w:r w:rsidR="0006151F" w:rsidRPr="009F6529">
        <w:t xml:space="preserve">site </w:t>
      </w:r>
      <w:r w:rsidRPr="009F6529">
        <w:t>as factors.</w:t>
      </w:r>
    </w:p>
    <w:p w:rsidR="00280AC1" w:rsidRPr="009F6529" w:rsidRDefault="00280AC1" w:rsidP="001A77ED">
      <w:pPr>
        <w:autoSpaceDE w:val="0"/>
        <w:autoSpaceDN w:val="0"/>
        <w:adjustRightInd w:val="0"/>
        <w:rPr>
          <w:vertAlign w:val="superscript"/>
        </w:rPr>
      </w:pPr>
    </w:p>
    <w:p w:rsidR="00733E7B" w:rsidRPr="009F6529" w:rsidRDefault="00733E7B" w:rsidP="00733E7B">
      <w:pPr>
        <w:pStyle w:val="Text"/>
        <w:spacing w:after="0" w:line="240" w:lineRule="auto"/>
        <w:rPr>
          <w:sz w:val="20"/>
          <w:szCs w:val="20"/>
        </w:rPr>
      </w:pPr>
      <w:r w:rsidRPr="009F6529">
        <w:rPr>
          <w:sz w:val="20"/>
          <w:szCs w:val="20"/>
          <w:vertAlign w:val="superscript"/>
        </w:rPr>
        <w:t xml:space="preserve">a </w:t>
      </w:r>
      <w:r w:rsidRPr="009F6529">
        <w:rPr>
          <w:sz w:val="20"/>
          <w:szCs w:val="20"/>
        </w:rPr>
        <w:t>Co-primary endpoints</w:t>
      </w:r>
    </w:p>
    <w:p w:rsidR="00733E7B" w:rsidRPr="009F6529" w:rsidRDefault="00733E7B" w:rsidP="00733E7B">
      <w:pPr>
        <w:pStyle w:val="Text"/>
        <w:spacing w:after="0" w:line="240" w:lineRule="auto"/>
        <w:rPr>
          <w:sz w:val="20"/>
          <w:szCs w:val="20"/>
        </w:rPr>
      </w:pPr>
      <w:r w:rsidRPr="009F6529">
        <w:rPr>
          <w:sz w:val="20"/>
          <w:szCs w:val="20"/>
          <w:vertAlign w:val="superscript"/>
        </w:rPr>
        <w:t xml:space="preserve">b </w:t>
      </w:r>
      <w:r w:rsidRPr="009F6529">
        <w:rPr>
          <w:sz w:val="20"/>
          <w:szCs w:val="20"/>
        </w:rPr>
        <w:t xml:space="preserve">Secondary endpoints  </w:t>
      </w:r>
    </w:p>
    <w:p w:rsidR="00733E7B" w:rsidRPr="001E006F" w:rsidRDefault="00733E7B" w:rsidP="00733E7B">
      <w:pPr>
        <w:pStyle w:val="Text"/>
        <w:spacing w:after="0" w:line="240" w:lineRule="auto"/>
        <w:rPr>
          <w:b/>
          <w:sz w:val="20"/>
          <w:szCs w:val="20"/>
          <w:u w:val="single"/>
        </w:rPr>
      </w:pPr>
      <w:r w:rsidRPr="009F6529">
        <w:rPr>
          <w:sz w:val="20"/>
          <w:szCs w:val="20"/>
          <w:vertAlign w:val="superscript"/>
        </w:rPr>
        <w:t xml:space="preserve">c </w:t>
      </w:r>
      <w:r w:rsidRPr="009F6529">
        <w:rPr>
          <w:sz w:val="20"/>
          <w:szCs w:val="20"/>
        </w:rPr>
        <w:t>Pre-defined minimally important change from baseline was +10 points for I-QOL and -5 points for KHQ</w:t>
      </w:r>
    </w:p>
    <w:p w:rsidR="00051188" w:rsidRDefault="00051188" w:rsidP="009D78B4">
      <w:pPr>
        <w:pStyle w:val="Text"/>
        <w:widowControl w:val="0"/>
        <w:spacing w:after="0" w:line="240" w:lineRule="auto"/>
        <w:rPr>
          <w:sz w:val="20"/>
          <w:szCs w:val="20"/>
        </w:rPr>
      </w:pPr>
    </w:p>
    <w:p w:rsidR="00375DD3" w:rsidRPr="00375DD3" w:rsidRDefault="009E211C" w:rsidP="009D78B4">
      <w:pPr>
        <w:pStyle w:val="Text"/>
        <w:widowControl w:val="0"/>
        <w:spacing w:after="0" w:line="240" w:lineRule="auto"/>
      </w:pPr>
      <w:r w:rsidRPr="00375DD3">
        <w:t>A total of 834 patients were evaluated in a long term extension study. For all efficacy endpoints, patients experienced consistent response with re-treatments. In the subset of 345 patients, who had reached week 12 of treatment cycle 3, the mean reductions in daily frequency of urinary incontinence were -3.07, -3.49, and -3.49 episodes at week 12 after the first, second, and third BOTOX</w:t>
      </w:r>
      <w:r w:rsidRPr="00375DD3">
        <w:rPr>
          <w:vertAlign w:val="superscript"/>
        </w:rPr>
        <w:t>®</w:t>
      </w:r>
      <w:r w:rsidRPr="00375DD3">
        <w:t xml:space="preserve"> 100 Unit treatments, respectively. The corresponding proportions of patients with a positive treatment response on the Treatment Benefit Scale (TBS) were 63.6%, 76.9%, and 77.3% respectively</w:t>
      </w:r>
      <w:r w:rsidR="00F61980" w:rsidRPr="00375DD3">
        <w:t>.</w:t>
      </w:r>
    </w:p>
    <w:p w:rsidR="009D0765" w:rsidRDefault="009D0765" w:rsidP="009D78B4">
      <w:pPr>
        <w:pStyle w:val="Text"/>
        <w:widowControl w:val="0"/>
        <w:spacing w:after="0" w:line="240" w:lineRule="auto"/>
        <w:rPr>
          <w:i/>
        </w:rPr>
      </w:pPr>
    </w:p>
    <w:p w:rsidR="00EB7A12" w:rsidRPr="007D26B7" w:rsidRDefault="007D26B7" w:rsidP="009D78B4">
      <w:pPr>
        <w:widowControl w:val="0"/>
        <w:autoSpaceDE w:val="0"/>
        <w:autoSpaceDN w:val="0"/>
        <w:adjustRightInd w:val="0"/>
        <w:rPr>
          <w:b/>
          <w:sz w:val="24"/>
          <w:szCs w:val="24"/>
        </w:rPr>
      </w:pPr>
      <w:r w:rsidRPr="00925456">
        <w:rPr>
          <w:rFonts w:eastAsia="SimSun"/>
          <w:sz w:val="24"/>
          <w:szCs w:val="24"/>
        </w:rPr>
        <w:t xml:space="preserve">Only a limited number of males </w:t>
      </w:r>
      <w:r w:rsidR="00D347AF" w:rsidRPr="00925456">
        <w:rPr>
          <w:rFonts w:eastAsia="HiddenHorzOCR"/>
          <w:sz w:val="24"/>
          <w:szCs w:val="24"/>
        </w:rPr>
        <w:t>(n=135</w:t>
      </w:r>
      <w:r w:rsidRPr="00925456">
        <w:rPr>
          <w:rFonts w:eastAsia="HiddenHorzOCR"/>
          <w:sz w:val="24"/>
          <w:szCs w:val="24"/>
        </w:rPr>
        <w:t xml:space="preserve">, </w:t>
      </w:r>
      <w:r w:rsidRPr="00925456">
        <w:rPr>
          <w:rFonts w:eastAsia="SimSun"/>
          <w:sz w:val="24"/>
          <w:szCs w:val="24"/>
        </w:rPr>
        <w:t>12</w:t>
      </w:r>
      <w:r w:rsidR="00BC03ED" w:rsidRPr="00925456">
        <w:rPr>
          <w:rFonts w:eastAsia="SimSun"/>
          <w:sz w:val="24"/>
          <w:szCs w:val="24"/>
        </w:rPr>
        <w:t>.2</w:t>
      </w:r>
      <w:r w:rsidRPr="00925456">
        <w:rPr>
          <w:rFonts w:eastAsia="SimSun"/>
          <w:sz w:val="24"/>
          <w:szCs w:val="24"/>
        </w:rPr>
        <w:t xml:space="preserve">%) were studied in the two phase 3 clinical studies and the results were not statistically significant for patients administered </w:t>
      </w:r>
      <w:r w:rsidR="00D347AF" w:rsidRPr="00925456">
        <w:rPr>
          <w:sz w:val="24"/>
        </w:rPr>
        <w:t>BOTOX</w:t>
      </w:r>
      <w:r w:rsidR="00D347AF" w:rsidRPr="00925456">
        <w:rPr>
          <w:sz w:val="24"/>
          <w:vertAlign w:val="superscript"/>
        </w:rPr>
        <w:t>®</w:t>
      </w:r>
      <w:r w:rsidRPr="00925456">
        <w:rPr>
          <w:rFonts w:eastAsia="SimSun"/>
          <w:sz w:val="32"/>
          <w:szCs w:val="24"/>
        </w:rPr>
        <w:t xml:space="preserve"> </w:t>
      </w:r>
      <w:r w:rsidRPr="00925456">
        <w:rPr>
          <w:rFonts w:eastAsia="SimSun"/>
          <w:sz w:val="24"/>
          <w:szCs w:val="24"/>
        </w:rPr>
        <w:t>compared to placebo. Results for the co-primary endpoints in males are presented below and further details are located in Precautions, Overactive Bladder, Use in Males</w:t>
      </w:r>
      <w:r w:rsidR="00EB7A12" w:rsidRPr="00925456">
        <w:rPr>
          <w:sz w:val="24"/>
          <w:szCs w:val="24"/>
        </w:rPr>
        <w:t>:</w:t>
      </w:r>
    </w:p>
    <w:p w:rsidR="00EB7A12" w:rsidRPr="00375DD3" w:rsidRDefault="00EB7A12" w:rsidP="009D78B4">
      <w:pPr>
        <w:widowControl w:val="0"/>
        <w:jc w:val="both"/>
        <w:rPr>
          <w:b/>
          <w:sz w:val="24"/>
          <w:szCs w:val="24"/>
        </w:rPr>
      </w:pPr>
    </w:p>
    <w:p w:rsidR="00BA218B" w:rsidRDefault="00EB7A12" w:rsidP="009D78B4">
      <w:pPr>
        <w:pStyle w:val="Caption"/>
        <w:keepNext w:val="0"/>
        <w:widowControl w:val="0"/>
        <w:spacing w:before="0" w:after="0"/>
        <w:rPr>
          <w:szCs w:val="24"/>
          <w:u w:val="single"/>
          <w:lang w:val="en-GB"/>
        </w:rPr>
      </w:pPr>
      <w:r w:rsidRPr="00375DD3">
        <w:rPr>
          <w:szCs w:val="24"/>
          <w:u w:val="single"/>
        </w:rPr>
        <w:t xml:space="preserve">Co-primary Efficacy Endpoints at Baseline and Change from Baseline </w:t>
      </w:r>
      <w:r w:rsidR="001051DC">
        <w:rPr>
          <w:szCs w:val="24"/>
          <w:u w:val="single"/>
          <w:lang w:val="en-GB"/>
        </w:rPr>
        <w:t>in Male Patients</w:t>
      </w:r>
    </w:p>
    <w:p w:rsidR="00BA218B" w:rsidRPr="00375DD3" w:rsidRDefault="00EB7A12" w:rsidP="009D78B4">
      <w:pPr>
        <w:pStyle w:val="Caption"/>
        <w:keepNext w:val="0"/>
        <w:widowControl w:val="0"/>
        <w:spacing w:before="0" w:after="0"/>
        <w:ind w:left="0" w:firstLine="0"/>
        <w:rPr>
          <w:szCs w:val="24"/>
          <w:u w:val="single"/>
        </w:rPr>
      </w:pPr>
      <w:r w:rsidRPr="00375DD3">
        <w:rPr>
          <w:szCs w:val="24"/>
          <w:u w:val="single"/>
          <w:lang w:val="en-GB"/>
        </w:rPr>
        <w:t>(Pooled</w:t>
      </w:r>
      <w:r w:rsidR="001051DC">
        <w:rPr>
          <w:szCs w:val="24"/>
          <w:u w:val="single"/>
          <w:lang w:val="en-GB"/>
        </w:rPr>
        <w:t xml:space="preserve"> </w:t>
      </w:r>
      <w:r w:rsidRPr="00375DD3">
        <w:rPr>
          <w:szCs w:val="24"/>
          <w:u w:val="single"/>
          <w:lang w:val="en-GB"/>
        </w:rPr>
        <w:t>Pivotal</w:t>
      </w:r>
      <w:r w:rsidR="00BA218B" w:rsidRPr="00BA218B">
        <w:rPr>
          <w:szCs w:val="24"/>
          <w:u w:val="single"/>
          <w:lang w:val="en-GB"/>
        </w:rPr>
        <w:t xml:space="preserve"> </w:t>
      </w:r>
      <w:r w:rsidR="00485FCA" w:rsidRPr="00375DD3">
        <w:rPr>
          <w:szCs w:val="24"/>
          <w:u w:val="single"/>
          <w:lang w:val="en-GB"/>
        </w:rPr>
        <w:t>Studies</w:t>
      </w:r>
      <w:r w:rsidR="00485FCA">
        <w:rPr>
          <w:szCs w:val="24"/>
          <w:u w:val="single"/>
          <w:lang w:val="en-GB"/>
        </w:rPr>
        <w:t>, Placebo-controlled ITT Population</w:t>
      </w:r>
      <w:r w:rsidR="00485FCA" w:rsidRPr="00375DD3">
        <w:rPr>
          <w:szCs w:val="24"/>
          <w:u w:val="single"/>
          <w:lang w:val="en-GB"/>
        </w:rPr>
        <w:t>)</w:t>
      </w:r>
    </w:p>
    <w:tbl>
      <w:tblPr>
        <w:tblW w:w="9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1350"/>
        <w:gridCol w:w="1260"/>
        <w:gridCol w:w="1080"/>
        <w:gridCol w:w="2273"/>
      </w:tblGrid>
      <w:tr w:rsidR="003361D0" w:rsidRPr="00375DD3" w:rsidTr="00A41A19">
        <w:trPr>
          <w:trHeight w:val="142"/>
        </w:trPr>
        <w:tc>
          <w:tcPr>
            <w:tcW w:w="3168" w:type="dxa"/>
            <w:tcBorders>
              <w:bottom w:val="single" w:sz="4" w:space="0" w:color="auto"/>
            </w:tcBorders>
            <w:vAlign w:val="bottom"/>
          </w:tcPr>
          <w:p w:rsidR="003361D0" w:rsidRPr="001051DC" w:rsidRDefault="003361D0" w:rsidP="009D78B4">
            <w:pPr>
              <w:pStyle w:val="TableText10pt"/>
              <w:keepNext w:val="0"/>
              <w:widowControl w:val="0"/>
              <w:spacing w:before="0" w:after="0"/>
              <w:rPr>
                <w:sz w:val="24"/>
              </w:rPr>
            </w:pPr>
          </w:p>
          <w:p w:rsidR="003361D0" w:rsidRPr="001051DC" w:rsidRDefault="003361D0" w:rsidP="009D78B4">
            <w:pPr>
              <w:pStyle w:val="TableText10pt"/>
              <w:keepNext w:val="0"/>
              <w:widowControl w:val="0"/>
              <w:spacing w:before="0" w:after="0"/>
              <w:ind w:left="337"/>
              <w:rPr>
                <w:sz w:val="24"/>
              </w:rPr>
            </w:pPr>
          </w:p>
        </w:tc>
        <w:tc>
          <w:tcPr>
            <w:tcW w:w="1350" w:type="dxa"/>
            <w:tcBorders>
              <w:bottom w:val="single" w:sz="4" w:space="0" w:color="auto"/>
            </w:tcBorders>
          </w:tcPr>
          <w:p w:rsidR="003361D0" w:rsidRPr="00BA218B" w:rsidRDefault="003361D0" w:rsidP="009D78B4">
            <w:pPr>
              <w:pStyle w:val="TableText10pt"/>
              <w:keepNext w:val="0"/>
              <w:widowControl w:val="0"/>
              <w:spacing w:before="0" w:after="0"/>
              <w:jc w:val="center"/>
              <w:rPr>
                <w:b/>
                <w:sz w:val="24"/>
                <w:vertAlign w:val="superscript"/>
              </w:rPr>
            </w:pPr>
            <w:r w:rsidRPr="00BA218B">
              <w:rPr>
                <w:b/>
                <w:caps/>
                <w:sz w:val="24"/>
              </w:rPr>
              <w:t>BOTOX</w:t>
            </w:r>
            <w:r w:rsidRPr="00BA218B">
              <w:rPr>
                <w:rFonts w:ascii="Times New Roman Bold" w:hAnsi="Times New Roman Bold"/>
                <w:b/>
                <w:caps/>
                <w:sz w:val="24"/>
                <w:vertAlign w:val="superscript"/>
              </w:rPr>
              <w:t>®</w:t>
            </w:r>
          </w:p>
          <w:p w:rsidR="003361D0" w:rsidRPr="00BA218B" w:rsidRDefault="003361D0" w:rsidP="009D78B4">
            <w:pPr>
              <w:pStyle w:val="TableText10pt"/>
              <w:keepNext w:val="0"/>
              <w:widowControl w:val="0"/>
              <w:spacing w:before="0" w:after="0"/>
              <w:jc w:val="center"/>
              <w:rPr>
                <w:b/>
                <w:sz w:val="24"/>
              </w:rPr>
            </w:pPr>
            <w:r w:rsidRPr="00BA218B">
              <w:rPr>
                <w:b/>
                <w:sz w:val="24"/>
              </w:rPr>
              <w:t>100 Units</w:t>
            </w:r>
          </w:p>
          <w:p w:rsidR="003361D0" w:rsidRPr="00BA218B" w:rsidRDefault="003361D0" w:rsidP="009D78B4">
            <w:pPr>
              <w:pStyle w:val="TableText10pt"/>
              <w:keepNext w:val="0"/>
              <w:widowControl w:val="0"/>
              <w:spacing w:before="0" w:after="0"/>
              <w:jc w:val="center"/>
              <w:rPr>
                <w:b/>
                <w:sz w:val="24"/>
                <w:vertAlign w:val="superscript"/>
              </w:rPr>
            </w:pPr>
            <w:r w:rsidRPr="00BA218B">
              <w:rPr>
                <w:b/>
                <w:sz w:val="24"/>
              </w:rPr>
              <w:t>(N=61)</w:t>
            </w:r>
          </w:p>
        </w:tc>
        <w:tc>
          <w:tcPr>
            <w:tcW w:w="1260" w:type="dxa"/>
            <w:tcBorders>
              <w:bottom w:val="single" w:sz="4" w:space="0" w:color="auto"/>
            </w:tcBorders>
          </w:tcPr>
          <w:p w:rsidR="003361D0" w:rsidRPr="00BA218B" w:rsidRDefault="003361D0" w:rsidP="009D78B4">
            <w:pPr>
              <w:pStyle w:val="TableText10pt"/>
              <w:keepNext w:val="0"/>
              <w:widowControl w:val="0"/>
              <w:spacing w:before="0" w:after="0"/>
              <w:jc w:val="center"/>
              <w:rPr>
                <w:b/>
                <w:sz w:val="24"/>
              </w:rPr>
            </w:pPr>
            <w:r w:rsidRPr="00BA218B">
              <w:rPr>
                <w:b/>
                <w:sz w:val="24"/>
              </w:rPr>
              <w:t xml:space="preserve">Placebo </w:t>
            </w:r>
          </w:p>
          <w:p w:rsidR="003361D0" w:rsidRPr="00BA218B" w:rsidRDefault="003361D0" w:rsidP="009D78B4">
            <w:pPr>
              <w:pStyle w:val="TableText10pt"/>
              <w:keepNext w:val="0"/>
              <w:widowControl w:val="0"/>
              <w:spacing w:before="0" w:after="0"/>
              <w:jc w:val="center"/>
              <w:rPr>
                <w:b/>
                <w:sz w:val="24"/>
              </w:rPr>
            </w:pPr>
            <w:r w:rsidRPr="00BA218B">
              <w:rPr>
                <w:b/>
                <w:sz w:val="24"/>
              </w:rPr>
              <w:t>(N=74)</w:t>
            </w:r>
          </w:p>
        </w:tc>
        <w:tc>
          <w:tcPr>
            <w:tcW w:w="1080" w:type="dxa"/>
            <w:tcBorders>
              <w:bottom w:val="single" w:sz="4" w:space="0" w:color="auto"/>
            </w:tcBorders>
          </w:tcPr>
          <w:p w:rsidR="003361D0" w:rsidRPr="00BA218B" w:rsidRDefault="003361D0" w:rsidP="00154F39">
            <w:pPr>
              <w:pStyle w:val="TableText10pt"/>
              <w:keepNext w:val="0"/>
              <w:widowControl w:val="0"/>
              <w:spacing w:before="0" w:after="0"/>
              <w:jc w:val="center"/>
              <w:rPr>
                <w:b/>
                <w:sz w:val="24"/>
              </w:rPr>
            </w:pPr>
            <w:r w:rsidRPr="00BA218B">
              <w:rPr>
                <w:b/>
                <w:sz w:val="24"/>
              </w:rPr>
              <w:t>P-value</w:t>
            </w:r>
            <w:r w:rsidRPr="00BA218B">
              <w:rPr>
                <w:b/>
                <w:sz w:val="24"/>
              </w:rPr>
              <w:br/>
            </w:r>
          </w:p>
        </w:tc>
        <w:tc>
          <w:tcPr>
            <w:tcW w:w="2273" w:type="dxa"/>
            <w:tcBorders>
              <w:bottom w:val="single" w:sz="4" w:space="0" w:color="auto"/>
            </w:tcBorders>
          </w:tcPr>
          <w:p w:rsidR="003361D0" w:rsidRPr="005152C0" w:rsidRDefault="003361D0" w:rsidP="009D78B4">
            <w:pPr>
              <w:pStyle w:val="TableText10pt"/>
              <w:keepNext w:val="0"/>
              <w:widowControl w:val="0"/>
              <w:spacing w:before="0" w:after="0"/>
              <w:jc w:val="center"/>
              <w:rPr>
                <w:b/>
                <w:sz w:val="24"/>
                <w:vertAlign w:val="superscript"/>
              </w:rPr>
            </w:pPr>
            <w:r>
              <w:rPr>
                <w:b/>
                <w:sz w:val="24"/>
              </w:rPr>
              <w:t>Absolute difference</w:t>
            </w:r>
            <w:r w:rsidR="00A41A19">
              <w:rPr>
                <w:b/>
                <w:sz w:val="24"/>
              </w:rPr>
              <w:t xml:space="preserve"> </w:t>
            </w:r>
            <w:r w:rsidR="00D91C6A">
              <w:rPr>
                <w:b/>
                <w:sz w:val="24"/>
              </w:rPr>
              <w:t>from p</w:t>
            </w:r>
            <w:r w:rsidR="00200B01">
              <w:rPr>
                <w:b/>
                <w:sz w:val="24"/>
              </w:rPr>
              <w:t>l</w:t>
            </w:r>
            <w:r w:rsidR="00D91C6A">
              <w:rPr>
                <w:b/>
                <w:sz w:val="24"/>
              </w:rPr>
              <w:t>acebo</w:t>
            </w:r>
          </w:p>
          <w:p w:rsidR="003361D0" w:rsidRPr="00BA218B" w:rsidRDefault="003361D0" w:rsidP="009D78B4">
            <w:pPr>
              <w:pStyle w:val="TableText10pt"/>
              <w:keepNext w:val="0"/>
              <w:widowControl w:val="0"/>
              <w:spacing w:before="0" w:after="0"/>
              <w:jc w:val="center"/>
              <w:rPr>
                <w:b/>
                <w:sz w:val="24"/>
              </w:rPr>
            </w:pPr>
            <w:r>
              <w:rPr>
                <w:b/>
                <w:sz w:val="24"/>
              </w:rPr>
              <w:t xml:space="preserve"> (95% CI)</w:t>
            </w:r>
          </w:p>
        </w:tc>
      </w:tr>
      <w:tr w:rsidR="003361D0" w:rsidRPr="00375DD3" w:rsidTr="00A41A19">
        <w:trPr>
          <w:trHeight w:val="142"/>
        </w:trPr>
        <w:tc>
          <w:tcPr>
            <w:tcW w:w="3168" w:type="dxa"/>
            <w:tcBorders>
              <w:top w:val="single" w:sz="4" w:space="0" w:color="auto"/>
              <w:left w:val="single" w:sz="4" w:space="0" w:color="auto"/>
              <w:bottom w:val="nil"/>
              <w:right w:val="single" w:sz="4" w:space="0" w:color="auto"/>
            </w:tcBorders>
          </w:tcPr>
          <w:p w:rsidR="003361D0" w:rsidRPr="00BA218B" w:rsidRDefault="003361D0" w:rsidP="009D78B4">
            <w:pPr>
              <w:pStyle w:val="TableText10pt"/>
              <w:keepNext w:val="0"/>
              <w:widowControl w:val="0"/>
              <w:spacing w:before="0" w:after="0"/>
              <w:rPr>
                <w:b/>
                <w:sz w:val="24"/>
                <w:vertAlign w:val="superscript"/>
              </w:rPr>
            </w:pPr>
            <w:r w:rsidRPr="00BA218B">
              <w:rPr>
                <w:b/>
                <w:sz w:val="24"/>
              </w:rPr>
              <w:t>Daily Frequency of Urinary Incontinence Episodes</w:t>
            </w:r>
          </w:p>
        </w:tc>
        <w:tc>
          <w:tcPr>
            <w:tcW w:w="1350" w:type="dxa"/>
            <w:tcBorders>
              <w:top w:val="single" w:sz="4" w:space="0" w:color="auto"/>
              <w:left w:val="single" w:sz="4" w:space="0" w:color="auto"/>
              <w:bottom w:val="nil"/>
              <w:right w:val="single" w:sz="4" w:space="0" w:color="auto"/>
            </w:tcBorders>
          </w:tcPr>
          <w:p w:rsidR="003361D0" w:rsidRPr="001051DC" w:rsidRDefault="003361D0" w:rsidP="009D78B4">
            <w:pPr>
              <w:pStyle w:val="TableText10pt"/>
              <w:keepNext w:val="0"/>
              <w:widowControl w:val="0"/>
              <w:spacing w:before="0" w:after="0"/>
              <w:rPr>
                <w:sz w:val="24"/>
              </w:rPr>
            </w:pPr>
          </w:p>
        </w:tc>
        <w:tc>
          <w:tcPr>
            <w:tcW w:w="1260" w:type="dxa"/>
            <w:tcBorders>
              <w:top w:val="single" w:sz="4" w:space="0" w:color="auto"/>
              <w:left w:val="single" w:sz="4" w:space="0" w:color="auto"/>
              <w:bottom w:val="nil"/>
              <w:right w:val="single" w:sz="4" w:space="0" w:color="auto"/>
            </w:tcBorders>
          </w:tcPr>
          <w:p w:rsidR="003361D0" w:rsidRPr="001051DC" w:rsidRDefault="003361D0" w:rsidP="009D78B4">
            <w:pPr>
              <w:pStyle w:val="TableText10pt"/>
              <w:keepNext w:val="0"/>
              <w:widowControl w:val="0"/>
              <w:spacing w:before="0" w:after="0"/>
              <w:jc w:val="center"/>
              <w:rPr>
                <w:sz w:val="24"/>
              </w:rPr>
            </w:pPr>
          </w:p>
        </w:tc>
        <w:tc>
          <w:tcPr>
            <w:tcW w:w="1080" w:type="dxa"/>
            <w:tcBorders>
              <w:top w:val="single" w:sz="4" w:space="0" w:color="auto"/>
              <w:left w:val="single" w:sz="4" w:space="0" w:color="auto"/>
              <w:bottom w:val="nil"/>
              <w:right w:val="single" w:sz="4" w:space="0" w:color="auto"/>
            </w:tcBorders>
          </w:tcPr>
          <w:p w:rsidR="003361D0" w:rsidRPr="001051DC" w:rsidRDefault="003361D0" w:rsidP="009D78B4">
            <w:pPr>
              <w:pStyle w:val="TableText10pt"/>
              <w:keepNext w:val="0"/>
              <w:widowControl w:val="0"/>
              <w:spacing w:before="0" w:after="0"/>
              <w:jc w:val="center"/>
              <w:rPr>
                <w:sz w:val="24"/>
              </w:rPr>
            </w:pPr>
          </w:p>
        </w:tc>
        <w:tc>
          <w:tcPr>
            <w:tcW w:w="2273" w:type="dxa"/>
            <w:tcBorders>
              <w:top w:val="single" w:sz="4" w:space="0" w:color="auto"/>
              <w:left w:val="single" w:sz="4" w:space="0" w:color="auto"/>
              <w:bottom w:val="nil"/>
              <w:right w:val="single" w:sz="4" w:space="0" w:color="auto"/>
            </w:tcBorders>
          </w:tcPr>
          <w:p w:rsidR="003361D0" w:rsidRPr="001051DC" w:rsidRDefault="003361D0" w:rsidP="009D78B4">
            <w:pPr>
              <w:pStyle w:val="TableText10pt"/>
              <w:keepNext w:val="0"/>
              <w:widowControl w:val="0"/>
              <w:spacing w:before="0" w:after="0"/>
              <w:jc w:val="center"/>
              <w:rPr>
                <w:sz w:val="24"/>
              </w:rPr>
            </w:pPr>
          </w:p>
        </w:tc>
      </w:tr>
      <w:tr w:rsidR="003361D0" w:rsidRPr="00375DD3" w:rsidTr="00A41A19">
        <w:trPr>
          <w:trHeight w:val="142"/>
        </w:trPr>
        <w:tc>
          <w:tcPr>
            <w:tcW w:w="3168" w:type="dxa"/>
            <w:tcBorders>
              <w:top w:val="nil"/>
              <w:left w:val="single" w:sz="4" w:space="0" w:color="auto"/>
              <w:bottom w:val="nil"/>
              <w:right w:val="single" w:sz="4" w:space="0" w:color="auto"/>
            </w:tcBorders>
          </w:tcPr>
          <w:p w:rsidR="003361D0" w:rsidRPr="001051DC" w:rsidRDefault="003361D0" w:rsidP="009D78B4">
            <w:pPr>
              <w:pStyle w:val="TableText10pt"/>
              <w:keepNext w:val="0"/>
              <w:widowControl w:val="0"/>
              <w:spacing w:before="0" w:after="0"/>
              <w:ind w:left="360"/>
              <w:rPr>
                <w:sz w:val="24"/>
              </w:rPr>
            </w:pPr>
            <w:r w:rsidRPr="001051DC">
              <w:rPr>
                <w:sz w:val="24"/>
              </w:rPr>
              <w:t>Mean Baseline</w:t>
            </w:r>
          </w:p>
        </w:tc>
        <w:tc>
          <w:tcPr>
            <w:tcW w:w="1350" w:type="dxa"/>
            <w:tcBorders>
              <w:top w:val="nil"/>
              <w:left w:val="single" w:sz="4" w:space="0" w:color="auto"/>
              <w:bottom w:val="nil"/>
              <w:right w:val="single" w:sz="4" w:space="0" w:color="auto"/>
            </w:tcBorders>
          </w:tcPr>
          <w:p w:rsidR="003361D0" w:rsidRPr="001051DC" w:rsidRDefault="003361D0" w:rsidP="009D78B4">
            <w:pPr>
              <w:pStyle w:val="TableText10pt"/>
              <w:keepNext w:val="0"/>
              <w:widowControl w:val="0"/>
              <w:spacing w:before="0" w:after="0"/>
              <w:jc w:val="center"/>
              <w:rPr>
                <w:sz w:val="24"/>
              </w:rPr>
            </w:pPr>
            <w:r w:rsidRPr="001051DC">
              <w:rPr>
                <w:sz w:val="24"/>
              </w:rPr>
              <w:t>5.61</w:t>
            </w:r>
          </w:p>
        </w:tc>
        <w:tc>
          <w:tcPr>
            <w:tcW w:w="1260" w:type="dxa"/>
            <w:tcBorders>
              <w:top w:val="nil"/>
              <w:left w:val="single" w:sz="4" w:space="0" w:color="auto"/>
              <w:bottom w:val="nil"/>
              <w:right w:val="single" w:sz="4" w:space="0" w:color="auto"/>
            </w:tcBorders>
          </w:tcPr>
          <w:p w:rsidR="003361D0" w:rsidRPr="001051DC" w:rsidRDefault="003361D0" w:rsidP="009D78B4">
            <w:pPr>
              <w:pStyle w:val="TableText10pt"/>
              <w:keepNext w:val="0"/>
              <w:widowControl w:val="0"/>
              <w:spacing w:before="0" w:after="0"/>
              <w:jc w:val="center"/>
              <w:rPr>
                <w:sz w:val="24"/>
              </w:rPr>
            </w:pPr>
            <w:r w:rsidRPr="001051DC">
              <w:rPr>
                <w:sz w:val="24"/>
              </w:rPr>
              <w:t>4.33</w:t>
            </w:r>
          </w:p>
        </w:tc>
        <w:tc>
          <w:tcPr>
            <w:tcW w:w="1080" w:type="dxa"/>
            <w:tcBorders>
              <w:top w:val="nil"/>
              <w:left w:val="single" w:sz="4" w:space="0" w:color="auto"/>
              <w:bottom w:val="nil"/>
              <w:right w:val="single" w:sz="4" w:space="0" w:color="auto"/>
            </w:tcBorders>
          </w:tcPr>
          <w:p w:rsidR="003361D0" w:rsidRPr="001051DC" w:rsidRDefault="003361D0" w:rsidP="009D78B4">
            <w:pPr>
              <w:pStyle w:val="TableText10pt"/>
              <w:keepNext w:val="0"/>
              <w:widowControl w:val="0"/>
              <w:spacing w:before="0" w:after="0"/>
              <w:jc w:val="center"/>
              <w:rPr>
                <w:sz w:val="24"/>
              </w:rPr>
            </w:pPr>
          </w:p>
        </w:tc>
        <w:tc>
          <w:tcPr>
            <w:tcW w:w="2273" w:type="dxa"/>
            <w:tcBorders>
              <w:top w:val="nil"/>
              <w:left w:val="single" w:sz="4" w:space="0" w:color="auto"/>
              <w:bottom w:val="nil"/>
              <w:right w:val="single" w:sz="4" w:space="0" w:color="auto"/>
            </w:tcBorders>
          </w:tcPr>
          <w:p w:rsidR="003361D0" w:rsidRPr="001051DC" w:rsidRDefault="003361D0" w:rsidP="009D78B4">
            <w:pPr>
              <w:pStyle w:val="TableText10pt"/>
              <w:keepNext w:val="0"/>
              <w:widowControl w:val="0"/>
              <w:spacing w:before="0" w:after="0"/>
              <w:jc w:val="center"/>
              <w:rPr>
                <w:sz w:val="24"/>
              </w:rPr>
            </w:pPr>
          </w:p>
        </w:tc>
      </w:tr>
      <w:tr w:rsidR="003361D0" w:rsidRPr="00375DD3" w:rsidTr="00A41A19">
        <w:trPr>
          <w:trHeight w:val="142"/>
        </w:trPr>
        <w:tc>
          <w:tcPr>
            <w:tcW w:w="3168" w:type="dxa"/>
            <w:tcBorders>
              <w:top w:val="nil"/>
              <w:left w:val="single" w:sz="4" w:space="0" w:color="auto"/>
              <w:bottom w:val="single" w:sz="4" w:space="0" w:color="auto"/>
              <w:right w:val="single" w:sz="4" w:space="0" w:color="auto"/>
            </w:tcBorders>
          </w:tcPr>
          <w:p w:rsidR="003361D0" w:rsidRPr="001051DC" w:rsidRDefault="003361D0" w:rsidP="009D78B4">
            <w:pPr>
              <w:pStyle w:val="TableText10pt"/>
              <w:keepNext w:val="0"/>
              <w:widowControl w:val="0"/>
              <w:spacing w:before="0" w:after="0"/>
              <w:ind w:left="360"/>
              <w:rPr>
                <w:sz w:val="24"/>
              </w:rPr>
            </w:pPr>
            <w:r w:rsidRPr="001051DC">
              <w:rPr>
                <w:sz w:val="24"/>
              </w:rPr>
              <w:t>Mean Change at Week 12</w:t>
            </w:r>
          </w:p>
        </w:tc>
        <w:tc>
          <w:tcPr>
            <w:tcW w:w="1350" w:type="dxa"/>
            <w:tcBorders>
              <w:top w:val="nil"/>
              <w:left w:val="single" w:sz="4" w:space="0" w:color="auto"/>
              <w:bottom w:val="single" w:sz="4" w:space="0" w:color="auto"/>
              <w:right w:val="single" w:sz="4" w:space="0" w:color="auto"/>
            </w:tcBorders>
          </w:tcPr>
          <w:p w:rsidR="003361D0" w:rsidRPr="001051DC" w:rsidRDefault="003361D0" w:rsidP="009D78B4">
            <w:pPr>
              <w:pStyle w:val="TableText10pt"/>
              <w:keepNext w:val="0"/>
              <w:widowControl w:val="0"/>
              <w:spacing w:before="0" w:after="0"/>
              <w:jc w:val="center"/>
              <w:rPr>
                <w:sz w:val="24"/>
              </w:rPr>
            </w:pPr>
            <w:r w:rsidRPr="001051DC">
              <w:rPr>
                <w:sz w:val="24"/>
              </w:rPr>
              <w:t>-1.86</w:t>
            </w:r>
          </w:p>
        </w:tc>
        <w:tc>
          <w:tcPr>
            <w:tcW w:w="1260" w:type="dxa"/>
            <w:tcBorders>
              <w:top w:val="nil"/>
              <w:left w:val="single" w:sz="4" w:space="0" w:color="auto"/>
              <w:bottom w:val="single" w:sz="4" w:space="0" w:color="auto"/>
              <w:right w:val="single" w:sz="4" w:space="0" w:color="auto"/>
            </w:tcBorders>
          </w:tcPr>
          <w:p w:rsidR="003361D0" w:rsidRPr="001051DC" w:rsidRDefault="003361D0" w:rsidP="009D78B4">
            <w:pPr>
              <w:pStyle w:val="TableText10pt"/>
              <w:keepNext w:val="0"/>
              <w:widowControl w:val="0"/>
              <w:spacing w:before="0" w:after="0"/>
              <w:jc w:val="center"/>
              <w:rPr>
                <w:sz w:val="24"/>
              </w:rPr>
            </w:pPr>
            <w:r w:rsidRPr="009F6529">
              <w:rPr>
                <w:sz w:val="24"/>
              </w:rPr>
              <w:t>-1.23</w:t>
            </w:r>
          </w:p>
        </w:tc>
        <w:tc>
          <w:tcPr>
            <w:tcW w:w="1080" w:type="dxa"/>
            <w:tcBorders>
              <w:top w:val="nil"/>
              <w:left w:val="single" w:sz="4" w:space="0" w:color="auto"/>
              <w:bottom w:val="single" w:sz="4" w:space="0" w:color="auto"/>
              <w:right w:val="single" w:sz="4" w:space="0" w:color="auto"/>
            </w:tcBorders>
          </w:tcPr>
          <w:p w:rsidR="003361D0" w:rsidRPr="001051DC" w:rsidRDefault="003361D0" w:rsidP="009D78B4">
            <w:pPr>
              <w:pStyle w:val="TableText10pt"/>
              <w:keepNext w:val="0"/>
              <w:widowControl w:val="0"/>
              <w:spacing w:before="0" w:after="0"/>
              <w:jc w:val="center"/>
              <w:rPr>
                <w:sz w:val="24"/>
              </w:rPr>
            </w:pPr>
            <w:r w:rsidRPr="001051DC">
              <w:rPr>
                <w:sz w:val="24"/>
              </w:rPr>
              <w:t>0.612</w:t>
            </w:r>
          </w:p>
        </w:tc>
        <w:tc>
          <w:tcPr>
            <w:tcW w:w="2273" w:type="dxa"/>
            <w:tcBorders>
              <w:top w:val="nil"/>
              <w:left w:val="single" w:sz="4" w:space="0" w:color="auto"/>
              <w:bottom w:val="single" w:sz="4" w:space="0" w:color="auto"/>
              <w:right w:val="single" w:sz="4" w:space="0" w:color="auto"/>
            </w:tcBorders>
          </w:tcPr>
          <w:p w:rsidR="003361D0" w:rsidRDefault="003361D0" w:rsidP="009D78B4">
            <w:pPr>
              <w:pStyle w:val="TableText10pt"/>
              <w:keepNext w:val="0"/>
              <w:widowControl w:val="0"/>
              <w:spacing w:before="0" w:after="0"/>
              <w:jc w:val="center"/>
              <w:rPr>
                <w:sz w:val="24"/>
              </w:rPr>
            </w:pPr>
            <w:r>
              <w:rPr>
                <w:sz w:val="24"/>
              </w:rPr>
              <w:t>-0.42</w:t>
            </w:r>
          </w:p>
          <w:p w:rsidR="003361D0" w:rsidRPr="001051DC" w:rsidRDefault="003361D0" w:rsidP="009D78B4">
            <w:pPr>
              <w:pStyle w:val="TableText10pt"/>
              <w:keepNext w:val="0"/>
              <w:widowControl w:val="0"/>
              <w:spacing w:before="0" w:after="0"/>
              <w:jc w:val="center"/>
              <w:rPr>
                <w:sz w:val="24"/>
              </w:rPr>
            </w:pPr>
            <w:r>
              <w:rPr>
                <w:sz w:val="24"/>
              </w:rPr>
              <w:t>(-2.08, 1.23)</w:t>
            </w:r>
          </w:p>
        </w:tc>
      </w:tr>
      <w:tr w:rsidR="003361D0" w:rsidRPr="00375DD3" w:rsidTr="00A41A19">
        <w:trPr>
          <w:trHeight w:val="142"/>
        </w:trPr>
        <w:tc>
          <w:tcPr>
            <w:tcW w:w="3168" w:type="dxa"/>
            <w:tcBorders>
              <w:top w:val="single" w:sz="4" w:space="0" w:color="auto"/>
              <w:left w:val="single" w:sz="4" w:space="0" w:color="auto"/>
              <w:bottom w:val="nil"/>
              <w:right w:val="single" w:sz="4" w:space="0" w:color="auto"/>
            </w:tcBorders>
          </w:tcPr>
          <w:p w:rsidR="003361D0" w:rsidRPr="00BA218B" w:rsidRDefault="003361D0" w:rsidP="009D78B4">
            <w:pPr>
              <w:pStyle w:val="TableText10pt"/>
              <w:keepNext w:val="0"/>
              <w:widowControl w:val="0"/>
              <w:spacing w:before="0" w:after="0"/>
              <w:rPr>
                <w:b/>
                <w:sz w:val="24"/>
                <w:vertAlign w:val="superscript"/>
              </w:rPr>
            </w:pPr>
            <w:r w:rsidRPr="00BA218B">
              <w:rPr>
                <w:b/>
                <w:sz w:val="24"/>
              </w:rPr>
              <w:t>Proportion with Positive Treatment Response using Treatment Benefit Scale (%)</w:t>
            </w:r>
          </w:p>
        </w:tc>
        <w:tc>
          <w:tcPr>
            <w:tcW w:w="1350" w:type="dxa"/>
            <w:tcBorders>
              <w:top w:val="single" w:sz="4" w:space="0" w:color="auto"/>
              <w:left w:val="single" w:sz="4" w:space="0" w:color="auto"/>
              <w:bottom w:val="nil"/>
              <w:right w:val="single" w:sz="4" w:space="0" w:color="auto"/>
            </w:tcBorders>
          </w:tcPr>
          <w:p w:rsidR="003361D0" w:rsidRPr="001051DC" w:rsidRDefault="003361D0" w:rsidP="009D78B4">
            <w:pPr>
              <w:pStyle w:val="TableText10pt"/>
              <w:keepNext w:val="0"/>
              <w:widowControl w:val="0"/>
              <w:spacing w:before="0" w:after="0"/>
              <w:rPr>
                <w:sz w:val="24"/>
              </w:rPr>
            </w:pPr>
          </w:p>
        </w:tc>
        <w:tc>
          <w:tcPr>
            <w:tcW w:w="1260" w:type="dxa"/>
            <w:tcBorders>
              <w:top w:val="single" w:sz="4" w:space="0" w:color="auto"/>
              <w:left w:val="single" w:sz="4" w:space="0" w:color="auto"/>
              <w:bottom w:val="nil"/>
              <w:right w:val="single" w:sz="4" w:space="0" w:color="auto"/>
            </w:tcBorders>
          </w:tcPr>
          <w:p w:rsidR="003361D0" w:rsidRPr="001051DC" w:rsidRDefault="003361D0" w:rsidP="009D78B4">
            <w:pPr>
              <w:pStyle w:val="TableText10pt"/>
              <w:keepNext w:val="0"/>
              <w:widowControl w:val="0"/>
              <w:spacing w:before="0" w:after="0"/>
              <w:jc w:val="center"/>
              <w:rPr>
                <w:sz w:val="24"/>
              </w:rPr>
            </w:pPr>
          </w:p>
        </w:tc>
        <w:tc>
          <w:tcPr>
            <w:tcW w:w="1080" w:type="dxa"/>
            <w:tcBorders>
              <w:top w:val="single" w:sz="4" w:space="0" w:color="auto"/>
              <w:left w:val="single" w:sz="4" w:space="0" w:color="auto"/>
              <w:bottom w:val="nil"/>
              <w:right w:val="single" w:sz="4" w:space="0" w:color="auto"/>
            </w:tcBorders>
          </w:tcPr>
          <w:p w:rsidR="003361D0" w:rsidRPr="001051DC" w:rsidRDefault="003361D0" w:rsidP="009D78B4">
            <w:pPr>
              <w:pStyle w:val="TableText10pt"/>
              <w:keepNext w:val="0"/>
              <w:widowControl w:val="0"/>
              <w:spacing w:before="0" w:after="0"/>
              <w:jc w:val="center"/>
              <w:rPr>
                <w:sz w:val="24"/>
              </w:rPr>
            </w:pPr>
          </w:p>
        </w:tc>
        <w:tc>
          <w:tcPr>
            <w:tcW w:w="2273" w:type="dxa"/>
            <w:tcBorders>
              <w:top w:val="single" w:sz="4" w:space="0" w:color="auto"/>
              <w:left w:val="single" w:sz="4" w:space="0" w:color="auto"/>
              <w:bottom w:val="nil"/>
              <w:right w:val="single" w:sz="4" w:space="0" w:color="auto"/>
            </w:tcBorders>
          </w:tcPr>
          <w:p w:rsidR="003361D0" w:rsidRPr="001051DC" w:rsidRDefault="003361D0" w:rsidP="009D78B4">
            <w:pPr>
              <w:pStyle w:val="TableText10pt"/>
              <w:keepNext w:val="0"/>
              <w:widowControl w:val="0"/>
              <w:spacing w:before="0" w:after="0"/>
              <w:jc w:val="center"/>
              <w:rPr>
                <w:sz w:val="24"/>
              </w:rPr>
            </w:pPr>
          </w:p>
        </w:tc>
      </w:tr>
      <w:tr w:rsidR="003361D0" w:rsidRPr="00375DD3" w:rsidTr="00A41A19">
        <w:trPr>
          <w:trHeight w:val="142"/>
        </w:trPr>
        <w:tc>
          <w:tcPr>
            <w:tcW w:w="3168" w:type="dxa"/>
            <w:tcBorders>
              <w:top w:val="nil"/>
              <w:left w:val="single" w:sz="4" w:space="0" w:color="auto"/>
              <w:bottom w:val="single" w:sz="4" w:space="0" w:color="auto"/>
              <w:right w:val="single" w:sz="4" w:space="0" w:color="auto"/>
            </w:tcBorders>
          </w:tcPr>
          <w:p w:rsidR="003361D0" w:rsidRPr="001051DC" w:rsidRDefault="003361D0" w:rsidP="009D78B4">
            <w:pPr>
              <w:pStyle w:val="TableText10pt"/>
              <w:keepNext w:val="0"/>
              <w:widowControl w:val="0"/>
              <w:spacing w:before="0" w:after="0"/>
              <w:ind w:left="360"/>
              <w:rPr>
                <w:sz w:val="24"/>
              </w:rPr>
            </w:pPr>
            <w:r w:rsidRPr="001051DC">
              <w:rPr>
                <w:sz w:val="24"/>
              </w:rPr>
              <w:t>Week 12</w:t>
            </w:r>
          </w:p>
        </w:tc>
        <w:tc>
          <w:tcPr>
            <w:tcW w:w="1350" w:type="dxa"/>
            <w:tcBorders>
              <w:top w:val="nil"/>
              <w:left w:val="single" w:sz="4" w:space="0" w:color="auto"/>
              <w:bottom w:val="single" w:sz="4" w:space="0" w:color="auto"/>
              <w:right w:val="single" w:sz="4" w:space="0" w:color="auto"/>
            </w:tcBorders>
          </w:tcPr>
          <w:p w:rsidR="003361D0" w:rsidRPr="001051DC" w:rsidRDefault="003361D0" w:rsidP="009D78B4">
            <w:pPr>
              <w:pStyle w:val="TableText10pt"/>
              <w:keepNext w:val="0"/>
              <w:widowControl w:val="0"/>
              <w:spacing w:before="0" w:after="0"/>
              <w:jc w:val="center"/>
              <w:rPr>
                <w:sz w:val="24"/>
              </w:rPr>
            </w:pPr>
            <w:r w:rsidRPr="001051DC">
              <w:rPr>
                <w:sz w:val="24"/>
              </w:rPr>
              <w:t>40.7</w:t>
            </w:r>
          </w:p>
        </w:tc>
        <w:tc>
          <w:tcPr>
            <w:tcW w:w="1260" w:type="dxa"/>
            <w:tcBorders>
              <w:top w:val="nil"/>
              <w:left w:val="single" w:sz="4" w:space="0" w:color="auto"/>
              <w:bottom w:val="single" w:sz="4" w:space="0" w:color="auto"/>
              <w:right w:val="single" w:sz="4" w:space="0" w:color="auto"/>
            </w:tcBorders>
          </w:tcPr>
          <w:p w:rsidR="003361D0" w:rsidRPr="001051DC" w:rsidRDefault="003361D0" w:rsidP="009D78B4">
            <w:pPr>
              <w:pStyle w:val="TableText10pt"/>
              <w:keepNext w:val="0"/>
              <w:widowControl w:val="0"/>
              <w:spacing w:before="0" w:after="0"/>
              <w:jc w:val="center"/>
              <w:rPr>
                <w:sz w:val="24"/>
              </w:rPr>
            </w:pPr>
            <w:r w:rsidRPr="001051DC">
              <w:rPr>
                <w:sz w:val="24"/>
              </w:rPr>
              <w:t>25.4</w:t>
            </w:r>
          </w:p>
        </w:tc>
        <w:tc>
          <w:tcPr>
            <w:tcW w:w="1080" w:type="dxa"/>
            <w:tcBorders>
              <w:top w:val="nil"/>
              <w:left w:val="single" w:sz="4" w:space="0" w:color="auto"/>
              <w:bottom w:val="single" w:sz="4" w:space="0" w:color="auto"/>
              <w:right w:val="single" w:sz="4" w:space="0" w:color="auto"/>
            </w:tcBorders>
          </w:tcPr>
          <w:p w:rsidR="003361D0" w:rsidRPr="001051DC" w:rsidRDefault="003361D0" w:rsidP="009D78B4">
            <w:pPr>
              <w:pStyle w:val="TableText10pt"/>
              <w:keepNext w:val="0"/>
              <w:widowControl w:val="0"/>
              <w:spacing w:before="0" w:after="0"/>
              <w:jc w:val="center"/>
              <w:rPr>
                <w:sz w:val="24"/>
              </w:rPr>
            </w:pPr>
            <w:r w:rsidRPr="001051DC">
              <w:rPr>
                <w:sz w:val="24"/>
              </w:rPr>
              <w:t>0.060</w:t>
            </w:r>
          </w:p>
        </w:tc>
        <w:tc>
          <w:tcPr>
            <w:tcW w:w="2273" w:type="dxa"/>
            <w:tcBorders>
              <w:top w:val="nil"/>
              <w:left w:val="single" w:sz="4" w:space="0" w:color="auto"/>
              <w:bottom w:val="single" w:sz="4" w:space="0" w:color="auto"/>
              <w:right w:val="single" w:sz="4" w:space="0" w:color="auto"/>
            </w:tcBorders>
          </w:tcPr>
          <w:p w:rsidR="00200B01" w:rsidRDefault="00200B01" w:rsidP="00200B01">
            <w:pPr>
              <w:pStyle w:val="TableText10pt"/>
              <w:keepNext w:val="0"/>
              <w:widowControl w:val="0"/>
              <w:spacing w:before="0" w:after="0"/>
              <w:jc w:val="center"/>
              <w:rPr>
                <w:sz w:val="24"/>
              </w:rPr>
            </w:pPr>
            <w:r>
              <w:rPr>
                <w:sz w:val="24"/>
              </w:rPr>
              <w:t>15.2</w:t>
            </w:r>
          </w:p>
          <w:p w:rsidR="003361D0" w:rsidRDefault="00200B01" w:rsidP="00200B01">
            <w:pPr>
              <w:pStyle w:val="TableText10pt"/>
              <w:keepNext w:val="0"/>
              <w:widowControl w:val="0"/>
              <w:spacing w:before="0" w:after="0"/>
              <w:jc w:val="center"/>
              <w:rPr>
                <w:sz w:val="24"/>
              </w:rPr>
            </w:pPr>
            <w:r>
              <w:rPr>
                <w:sz w:val="24"/>
              </w:rPr>
              <w:t>(-0.8, 31.3)</w:t>
            </w:r>
          </w:p>
          <w:p w:rsidR="003361D0" w:rsidRPr="001051DC" w:rsidRDefault="003361D0" w:rsidP="009D78B4">
            <w:pPr>
              <w:pStyle w:val="TableText10pt"/>
              <w:keepNext w:val="0"/>
              <w:widowControl w:val="0"/>
              <w:spacing w:before="0" w:after="0"/>
              <w:jc w:val="center"/>
              <w:rPr>
                <w:sz w:val="24"/>
              </w:rPr>
            </w:pPr>
          </w:p>
        </w:tc>
      </w:tr>
    </w:tbl>
    <w:p w:rsidR="00EB7A12" w:rsidRPr="00375DD3" w:rsidRDefault="00EB7A12" w:rsidP="009D78B4">
      <w:pPr>
        <w:pStyle w:val="Text"/>
        <w:widowControl w:val="0"/>
        <w:spacing w:after="0" w:line="240" w:lineRule="auto"/>
      </w:pPr>
    </w:p>
    <w:p w:rsidR="00051188" w:rsidRPr="00375DD3" w:rsidRDefault="004C0EE9" w:rsidP="009D78B4">
      <w:pPr>
        <w:pStyle w:val="Text"/>
        <w:widowControl w:val="0"/>
        <w:spacing w:after="0" w:line="240" w:lineRule="auto"/>
      </w:pPr>
      <w:r w:rsidRPr="00375DD3">
        <w:t>The median duration of response following BOTOX</w:t>
      </w:r>
      <w:r w:rsidRPr="00375DD3">
        <w:rPr>
          <w:vertAlign w:val="superscript"/>
        </w:rPr>
        <w:t>®</w:t>
      </w:r>
      <w:r w:rsidRPr="00375DD3">
        <w:t xml:space="preserve"> treatment, based on patient request for re-treatment was 166 days (~24 weeks). To qualify for retreatment, at least 12 weeks must have passed since the prior treatment, post-void residual urine volume must have been less than 200 mL, and patients must have reported at least 2 urinary incontinence episodes over 3 days.</w:t>
      </w:r>
      <w:r w:rsidR="00051188" w:rsidRPr="00375DD3">
        <w:br/>
      </w:r>
    </w:p>
    <w:p w:rsidR="00051188" w:rsidRDefault="00051188" w:rsidP="009D78B4">
      <w:pPr>
        <w:widowControl w:val="0"/>
        <w:tabs>
          <w:tab w:val="left" w:pos="-720"/>
        </w:tabs>
        <w:rPr>
          <w:b/>
          <w:sz w:val="24"/>
          <w:lang w:val="en-GB"/>
        </w:rPr>
      </w:pPr>
      <w:r>
        <w:rPr>
          <w:b/>
          <w:sz w:val="24"/>
          <w:lang w:val="en-GB"/>
        </w:rPr>
        <w:t>Neurogenic Detrusor Overactivity</w:t>
      </w:r>
    </w:p>
    <w:p w:rsidR="00051188" w:rsidRDefault="00051188" w:rsidP="009D78B4">
      <w:pPr>
        <w:widowControl w:val="0"/>
        <w:rPr>
          <w:sz w:val="24"/>
          <w:szCs w:val="24"/>
        </w:rPr>
      </w:pPr>
      <w:r>
        <w:rPr>
          <w:sz w:val="24"/>
        </w:rPr>
        <w:t>Two double-blind, placebo-controlled, randomised, multi-centre phase 3 clinical studies were conducted in patients with urinary incontinence due to neurogenic detrusor overactivity who were either spontaneously voiding or using catheterization (indwelling catheters were not allowed).  A total of 691 spinal cord injury (lesion at T1 or below) or multiple sclerosis patients (EDSS at 6.5 or below), not adequately managed with at least one anticholinergic agent, were enrolled.  These patients were randomised to receive either 200 U of BOTOX</w:t>
      </w:r>
      <w:r>
        <w:rPr>
          <w:sz w:val="24"/>
          <w:vertAlign w:val="superscript"/>
        </w:rPr>
        <w:t>®</w:t>
      </w:r>
      <w:r>
        <w:rPr>
          <w:sz w:val="24"/>
        </w:rPr>
        <w:t xml:space="preserve"> (n=227), 300 U of BOTOX</w:t>
      </w:r>
      <w:r>
        <w:rPr>
          <w:sz w:val="24"/>
          <w:vertAlign w:val="superscript"/>
        </w:rPr>
        <w:t>®</w:t>
      </w:r>
      <w:r>
        <w:rPr>
          <w:sz w:val="24"/>
        </w:rPr>
        <w:t xml:space="preserve"> (n=223), or placebo (n=241).  Both pivotal trials (191622-515 and 191622-516) were superiority studies compared to placebo.  The primary endpoint was the number of episodes of urinary incontinence as recorded by patient bladder diary.  Analysis of covariance was used to assess differences in efficacy between BOTOX</w:t>
      </w:r>
      <w:r>
        <w:rPr>
          <w:sz w:val="24"/>
          <w:szCs w:val="24"/>
          <w:vertAlign w:val="superscript"/>
        </w:rPr>
        <w:t>®</w:t>
      </w:r>
      <w:r>
        <w:rPr>
          <w:sz w:val="24"/>
        </w:rPr>
        <w:t xml:space="preserve"> and placebo, with baseline value as a covariate, and treatment arm, etiology (MS or SCI), concurrent use/non-use of anticholinergics, and investigator site as factors. </w:t>
      </w:r>
      <w:r>
        <w:rPr>
          <w:sz w:val="24"/>
          <w:szCs w:val="24"/>
        </w:rPr>
        <w:t>Baseline demographics of the pooled pivotal trial population are shown in the table below:</w:t>
      </w:r>
    </w:p>
    <w:p w:rsidR="00051188" w:rsidRDefault="00051188" w:rsidP="009D78B4">
      <w:pPr>
        <w:widowControl w:val="0"/>
        <w:tabs>
          <w:tab w:val="left" w:pos="-720"/>
        </w:tabs>
        <w:rPr>
          <w:sz w:val="24"/>
          <w:szCs w:val="24"/>
        </w:rPr>
      </w:pPr>
    </w:p>
    <w:p w:rsidR="00051188" w:rsidRDefault="00051188" w:rsidP="009D78B4">
      <w:pPr>
        <w:widowControl w:val="0"/>
        <w:rPr>
          <w:b/>
          <w:sz w:val="24"/>
          <w:szCs w:val="24"/>
        </w:rPr>
      </w:pPr>
      <w:r>
        <w:rPr>
          <w:b/>
          <w:sz w:val="24"/>
          <w:szCs w:val="24"/>
        </w:rPr>
        <w:t>Baseline Demographics per Etiology in Phase 3 Studies</w:t>
      </w:r>
    </w:p>
    <w:tbl>
      <w:tblPr>
        <w:tblW w:w="0" w:type="auto"/>
        <w:tblCellMar>
          <w:left w:w="0" w:type="dxa"/>
          <w:right w:w="0" w:type="dxa"/>
        </w:tblCellMar>
        <w:tblLook w:val="04A0"/>
      </w:tblPr>
      <w:tblGrid>
        <w:gridCol w:w="3104"/>
        <w:gridCol w:w="3069"/>
        <w:gridCol w:w="3069"/>
      </w:tblGrid>
      <w:tr w:rsidR="00051188">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51188" w:rsidRDefault="00051188" w:rsidP="009D78B4">
            <w:pPr>
              <w:widowControl w:val="0"/>
              <w:rPr>
                <w:rFonts w:ascii="Calibri" w:eastAsia="Calibri" w:hAnsi="Calibri"/>
                <w:sz w:val="24"/>
                <w:szCs w:val="24"/>
              </w:rPr>
            </w:pP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jc w:val="center"/>
              <w:rPr>
                <w:rFonts w:ascii="Calibri" w:eastAsia="Calibri" w:hAnsi="Calibri"/>
                <w:b/>
                <w:sz w:val="24"/>
                <w:szCs w:val="24"/>
              </w:rPr>
            </w:pPr>
            <w:r>
              <w:rPr>
                <w:b/>
                <w:sz w:val="24"/>
                <w:szCs w:val="24"/>
              </w:rPr>
              <w:t>MS</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jc w:val="center"/>
              <w:rPr>
                <w:rFonts w:ascii="Calibri" w:eastAsia="Calibri" w:hAnsi="Calibri"/>
                <w:b/>
                <w:sz w:val="24"/>
                <w:szCs w:val="24"/>
              </w:rPr>
            </w:pPr>
            <w:r>
              <w:rPr>
                <w:b/>
                <w:sz w:val="24"/>
                <w:szCs w:val="24"/>
              </w:rPr>
              <w:t>SCI</w:t>
            </w:r>
          </w:p>
        </w:tc>
      </w:tr>
      <w:tr w:rsidR="00051188">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rPr>
                <w:rFonts w:ascii="Calibri" w:eastAsia="Calibri" w:hAnsi="Calibri"/>
                <w:sz w:val="24"/>
                <w:szCs w:val="24"/>
              </w:rPr>
            </w:pPr>
            <w:r>
              <w:rPr>
                <w:sz w:val="24"/>
                <w:szCs w:val="24"/>
              </w:rPr>
              <w:t>N (%)</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jc w:val="center"/>
              <w:rPr>
                <w:rFonts w:ascii="Calibri" w:eastAsia="Calibri" w:hAnsi="Calibri"/>
                <w:sz w:val="24"/>
                <w:szCs w:val="24"/>
              </w:rPr>
            </w:pPr>
            <w:r>
              <w:rPr>
                <w:sz w:val="24"/>
                <w:szCs w:val="24"/>
              </w:rPr>
              <w:t>381 (55.1%)</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jc w:val="center"/>
              <w:rPr>
                <w:rFonts w:ascii="Calibri" w:eastAsia="Calibri" w:hAnsi="Calibri"/>
                <w:sz w:val="24"/>
                <w:szCs w:val="24"/>
              </w:rPr>
            </w:pPr>
            <w:r>
              <w:rPr>
                <w:sz w:val="24"/>
                <w:szCs w:val="24"/>
              </w:rPr>
              <w:t>310 (44.9%)</w:t>
            </w:r>
          </w:p>
        </w:tc>
      </w:tr>
      <w:tr w:rsidR="00051188">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rPr>
                <w:rFonts w:ascii="Calibri" w:eastAsia="Calibri" w:hAnsi="Calibri"/>
                <w:sz w:val="24"/>
                <w:szCs w:val="24"/>
              </w:rPr>
            </w:pPr>
            <w:r>
              <w:rPr>
                <w:sz w:val="24"/>
                <w:szCs w:val="24"/>
              </w:rPr>
              <w:t>Age, median years (range)</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jc w:val="center"/>
              <w:rPr>
                <w:rFonts w:ascii="Calibri" w:eastAsia="Calibri" w:hAnsi="Calibri"/>
                <w:sz w:val="24"/>
                <w:szCs w:val="24"/>
              </w:rPr>
            </w:pPr>
            <w:r>
              <w:rPr>
                <w:sz w:val="24"/>
                <w:szCs w:val="24"/>
              </w:rPr>
              <w:t>50.0 (22-77)</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jc w:val="center"/>
              <w:rPr>
                <w:rFonts w:ascii="Calibri" w:eastAsia="Calibri" w:hAnsi="Calibri"/>
                <w:sz w:val="24"/>
                <w:szCs w:val="24"/>
              </w:rPr>
            </w:pPr>
            <w:r>
              <w:rPr>
                <w:sz w:val="24"/>
                <w:szCs w:val="24"/>
              </w:rPr>
              <w:t>41.5 (18-77)</w:t>
            </w:r>
          </w:p>
        </w:tc>
      </w:tr>
      <w:tr w:rsidR="00051188">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rPr>
                <w:rFonts w:ascii="Calibri" w:eastAsia="Calibri" w:hAnsi="Calibri"/>
                <w:sz w:val="24"/>
                <w:szCs w:val="24"/>
              </w:rPr>
            </w:pPr>
            <w:r>
              <w:rPr>
                <w:sz w:val="24"/>
                <w:szCs w:val="24"/>
              </w:rPr>
              <w:t>Male gender, N (%)</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jc w:val="center"/>
              <w:rPr>
                <w:rFonts w:ascii="Calibri" w:eastAsia="Calibri" w:hAnsi="Calibri"/>
                <w:sz w:val="24"/>
                <w:szCs w:val="24"/>
              </w:rPr>
            </w:pPr>
            <w:r>
              <w:rPr>
                <w:sz w:val="24"/>
                <w:szCs w:val="24"/>
              </w:rPr>
              <w:t>70 (18.4%)</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jc w:val="center"/>
              <w:rPr>
                <w:rFonts w:ascii="Calibri" w:eastAsia="Calibri" w:hAnsi="Calibri"/>
                <w:sz w:val="24"/>
                <w:szCs w:val="24"/>
              </w:rPr>
            </w:pPr>
            <w:r>
              <w:rPr>
                <w:sz w:val="24"/>
                <w:szCs w:val="24"/>
              </w:rPr>
              <w:t>221 (71.3%)</w:t>
            </w:r>
          </w:p>
        </w:tc>
      </w:tr>
      <w:tr w:rsidR="00051188">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rPr>
                <w:rFonts w:ascii="Calibri" w:eastAsia="Calibri" w:hAnsi="Calibri"/>
                <w:sz w:val="24"/>
                <w:szCs w:val="24"/>
              </w:rPr>
            </w:pPr>
            <w:r>
              <w:rPr>
                <w:sz w:val="24"/>
                <w:szCs w:val="24"/>
              </w:rPr>
              <w:t>Using CIC, N (%)</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jc w:val="center"/>
              <w:rPr>
                <w:rFonts w:ascii="Calibri" w:eastAsia="Calibri" w:hAnsi="Calibri"/>
                <w:sz w:val="24"/>
                <w:szCs w:val="24"/>
              </w:rPr>
            </w:pPr>
            <w:r>
              <w:rPr>
                <w:sz w:val="24"/>
                <w:szCs w:val="24"/>
              </w:rPr>
              <w:t>112 (29.4%)</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jc w:val="center"/>
              <w:rPr>
                <w:rFonts w:ascii="Calibri" w:eastAsia="Calibri" w:hAnsi="Calibri"/>
                <w:sz w:val="24"/>
                <w:szCs w:val="24"/>
              </w:rPr>
            </w:pPr>
            <w:r>
              <w:rPr>
                <w:sz w:val="24"/>
                <w:szCs w:val="24"/>
              </w:rPr>
              <w:t>263 (84.8%)</w:t>
            </w:r>
          </w:p>
        </w:tc>
      </w:tr>
      <w:tr w:rsidR="00051188">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rPr>
                <w:rFonts w:ascii="Calibri" w:eastAsia="Calibri" w:hAnsi="Calibri"/>
                <w:sz w:val="24"/>
                <w:szCs w:val="24"/>
              </w:rPr>
            </w:pPr>
            <w:r>
              <w:rPr>
                <w:sz w:val="24"/>
                <w:szCs w:val="24"/>
              </w:rPr>
              <w:t>Spontaneously Voiding, N (%)</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jc w:val="center"/>
              <w:rPr>
                <w:rFonts w:ascii="Calibri" w:eastAsia="Calibri" w:hAnsi="Calibri"/>
                <w:sz w:val="24"/>
                <w:szCs w:val="24"/>
              </w:rPr>
            </w:pPr>
            <w:r>
              <w:rPr>
                <w:sz w:val="24"/>
                <w:szCs w:val="24"/>
              </w:rPr>
              <w:t>265 (69.6%)</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051188" w:rsidRDefault="00051188" w:rsidP="009D78B4">
            <w:pPr>
              <w:widowControl w:val="0"/>
              <w:jc w:val="center"/>
              <w:rPr>
                <w:rFonts w:ascii="Calibri" w:eastAsia="Calibri" w:hAnsi="Calibri"/>
                <w:sz w:val="24"/>
                <w:szCs w:val="24"/>
              </w:rPr>
            </w:pPr>
            <w:r>
              <w:rPr>
                <w:sz w:val="24"/>
                <w:szCs w:val="24"/>
              </w:rPr>
              <w:t>42 (13.5%)</w:t>
            </w:r>
          </w:p>
        </w:tc>
      </w:tr>
    </w:tbl>
    <w:p w:rsidR="00051188" w:rsidRDefault="00051188" w:rsidP="009D78B4">
      <w:pPr>
        <w:widowControl w:val="0"/>
        <w:tabs>
          <w:tab w:val="left" w:pos="-720"/>
        </w:tabs>
        <w:rPr>
          <w:color w:val="0070C0"/>
          <w:sz w:val="24"/>
        </w:rPr>
      </w:pPr>
    </w:p>
    <w:p w:rsidR="00051188" w:rsidRDefault="00051188" w:rsidP="009D78B4">
      <w:pPr>
        <w:widowControl w:val="0"/>
        <w:autoSpaceDE w:val="0"/>
        <w:autoSpaceDN w:val="0"/>
        <w:adjustRightInd w:val="0"/>
        <w:rPr>
          <w:sz w:val="24"/>
          <w:szCs w:val="24"/>
        </w:rPr>
      </w:pPr>
      <w:r>
        <w:rPr>
          <w:sz w:val="24"/>
        </w:rPr>
        <w:t>In both phase 3 studies, significant improvements compared to placebo in the primary efficacy variable of change from baseline in weekly frequency of incontinence episodes were observed favouring BOTOX</w:t>
      </w:r>
      <w:r>
        <w:rPr>
          <w:sz w:val="24"/>
          <w:vertAlign w:val="superscript"/>
        </w:rPr>
        <w:t>®</w:t>
      </w:r>
      <w:r>
        <w:rPr>
          <w:sz w:val="24"/>
        </w:rPr>
        <w:t xml:space="preserve"> (200 U and 300 U) at the primary efficacy time point at week 6, including the percentage of dry patients.  </w:t>
      </w:r>
      <w:r>
        <w:rPr>
          <w:sz w:val="24"/>
          <w:szCs w:val="24"/>
        </w:rPr>
        <w:t>Significant improvements in some urodynamic parameters were observed, including decreases in peak detrusor pressure during the first involuntary detrusor contraction. Increases in maximum cystometric capacity were observed, but in patients who were spontaneously voiding these were offset by almost equivalent  increases in post-void residual volume (please see last row of the table below).</w:t>
      </w:r>
    </w:p>
    <w:p w:rsidR="00051188" w:rsidRDefault="00051188" w:rsidP="009D78B4">
      <w:pPr>
        <w:widowControl w:val="0"/>
        <w:autoSpaceDE w:val="0"/>
        <w:autoSpaceDN w:val="0"/>
        <w:adjustRightInd w:val="0"/>
        <w:rPr>
          <w:color w:val="3C3C3C"/>
          <w:sz w:val="24"/>
          <w:szCs w:val="24"/>
        </w:rPr>
      </w:pPr>
    </w:p>
    <w:p w:rsidR="00051188" w:rsidRDefault="00051188" w:rsidP="009D78B4">
      <w:pPr>
        <w:widowControl w:val="0"/>
        <w:autoSpaceDE w:val="0"/>
        <w:autoSpaceDN w:val="0"/>
        <w:adjustRightInd w:val="0"/>
        <w:rPr>
          <w:color w:val="3C3C3C"/>
          <w:sz w:val="25"/>
          <w:szCs w:val="25"/>
        </w:rPr>
      </w:pPr>
      <w:r>
        <w:rPr>
          <w:sz w:val="24"/>
        </w:rPr>
        <w:t>Significant improvements in patient reported incontinence specific health-related quality of life scores as measured by the Incontinence Quality of Life questionnaire (I-QOL) (including avoidance limiting behaviour, psychosocial impact and social embarrassment) were also observed.  No additional benefit of BOTOX</w:t>
      </w:r>
      <w:r>
        <w:rPr>
          <w:sz w:val="24"/>
          <w:vertAlign w:val="superscript"/>
        </w:rPr>
        <w:t>®</w:t>
      </w:r>
      <w:r>
        <w:rPr>
          <w:sz w:val="24"/>
        </w:rPr>
        <w:t xml:space="preserve"> 300 U over 200 U was demonstrated.</w:t>
      </w:r>
    </w:p>
    <w:p w:rsidR="00051188" w:rsidRDefault="00051188" w:rsidP="009D78B4">
      <w:pPr>
        <w:widowControl w:val="0"/>
        <w:tabs>
          <w:tab w:val="left" w:pos="-720"/>
        </w:tabs>
        <w:rPr>
          <w:sz w:val="24"/>
        </w:rPr>
      </w:pPr>
    </w:p>
    <w:p w:rsidR="00051188" w:rsidRDefault="00051188" w:rsidP="009D78B4">
      <w:pPr>
        <w:widowControl w:val="0"/>
        <w:tabs>
          <w:tab w:val="left" w:pos="-720"/>
        </w:tabs>
        <w:rPr>
          <w:sz w:val="24"/>
        </w:rPr>
      </w:pPr>
      <w:r>
        <w:rPr>
          <w:sz w:val="24"/>
        </w:rPr>
        <w:t xml:space="preserve">Results from the pivotal studies are presents below: </w:t>
      </w:r>
    </w:p>
    <w:p w:rsidR="00051188" w:rsidRDefault="00051188" w:rsidP="009D78B4">
      <w:pPr>
        <w:widowControl w:val="0"/>
        <w:tabs>
          <w:tab w:val="left" w:pos="-720"/>
        </w:tabs>
        <w:rPr>
          <w:sz w:val="24"/>
        </w:rPr>
      </w:pPr>
    </w:p>
    <w:p w:rsidR="00112664" w:rsidRDefault="00112664" w:rsidP="009D78B4">
      <w:pPr>
        <w:widowControl w:val="0"/>
        <w:tabs>
          <w:tab w:val="left" w:pos="-720"/>
        </w:tabs>
        <w:rPr>
          <w:sz w:val="24"/>
        </w:rPr>
      </w:pPr>
    </w:p>
    <w:p w:rsidR="000C1361" w:rsidRDefault="000C1361" w:rsidP="009D78B4">
      <w:pPr>
        <w:widowControl w:val="0"/>
        <w:tabs>
          <w:tab w:val="left" w:pos="-720"/>
        </w:tabs>
        <w:rPr>
          <w:sz w:val="24"/>
        </w:rPr>
      </w:pPr>
    </w:p>
    <w:p w:rsidR="000C1361" w:rsidRDefault="000C1361" w:rsidP="009D78B4">
      <w:pPr>
        <w:widowControl w:val="0"/>
        <w:tabs>
          <w:tab w:val="left" w:pos="-720"/>
        </w:tabs>
        <w:rPr>
          <w:sz w:val="24"/>
        </w:rPr>
      </w:pPr>
    </w:p>
    <w:p w:rsidR="000C1361" w:rsidRDefault="000C1361" w:rsidP="009D78B4">
      <w:pPr>
        <w:widowControl w:val="0"/>
        <w:tabs>
          <w:tab w:val="left" w:pos="-720"/>
        </w:tabs>
        <w:rPr>
          <w:sz w:val="24"/>
        </w:rPr>
      </w:pPr>
    </w:p>
    <w:p w:rsidR="00112664" w:rsidRDefault="00112664" w:rsidP="009D78B4">
      <w:pPr>
        <w:widowControl w:val="0"/>
        <w:tabs>
          <w:tab w:val="left" w:pos="-720"/>
        </w:tabs>
        <w:rPr>
          <w:sz w:val="24"/>
        </w:rPr>
      </w:pPr>
    </w:p>
    <w:p w:rsidR="00112664" w:rsidRDefault="00112664" w:rsidP="009D78B4">
      <w:pPr>
        <w:widowControl w:val="0"/>
        <w:tabs>
          <w:tab w:val="left" w:pos="-720"/>
        </w:tabs>
        <w:rPr>
          <w:sz w:val="24"/>
        </w:rPr>
      </w:pPr>
    </w:p>
    <w:p w:rsidR="00051188" w:rsidRDefault="00051188" w:rsidP="009D78B4">
      <w:pPr>
        <w:widowControl w:val="0"/>
        <w:rPr>
          <w:b/>
          <w:lang w:val="en-AU"/>
        </w:rPr>
      </w:pPr>
      <w:r>
        <w:rPr>
          <w:b/>
          <w:sz w:val="22"/>
          <w:szCs w:val="22"/>
        </w:rPr>
        <w:t>Primary and Secondary Efficacy Variables at Baseline and Change from Baseline in Phase 3 Studies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02"/>
        <w:gridCol w:w="1134"/>
        <w:gridCol w:w="992"/>
        <w:gridCol w:w="992"/>
        <w:gridCol w:w="1134"/>
        <w:gridCol w:w="992"/>
        <w:gridCol w:w="993"/>
      </w:tblGrid>
      <w:tr w:rsidR="00051188">
        <w:trPr>
          <w:trHeight w:val="274"/>
        </w:trPr>
        <w:tc>
          <w:tcPr>
            <w:tcW w:w="2802" w:type="dxa"/>
          </w:tcPr>
          <w:p w:rsidR="00051188" w:rsidRDefault="00051188" w:rsidP="009D78B4">
            <w:pPr>
              <w:widowControl w:val="0"/>
              <w:rPr>
                <w:i/>
              </w:rPr>
            </w:pPr>
          </w:p>
        </w:tc>
        <w:tc>
          <w:tcPr>
            <w:tcW w:w="3118" w:type="dxa"/>
            <w:gridSpan w:val="3"/>
          </w:tcPr>
          <w:p w:rsidR="00051188" w:rsidRDefault="00051188" w:rsidP="009D78B4">
            <w:pPr>
              <w:widowControl w:val="0"/>
              <w:jc w:val="center"/>
              <w:rPr>
                <w:b/>
                <w:lang w:val="fr-FR"/>
              </w:rPr>
            </w:pPr>
            <w:r>
              <w:rPr>
                <w:b/>
                <w:lang w:val="fr-FR"/>
              </w:rPr>
              <w:t>Study 1 (191622-515)</w:t>
            </w:r>
          </w:p>
        </w:tc>
        <w:tc>
          <w:tcPr>
            <w:tcW w:w="3119" w:type="dxa"/>
            <w:gridSpan w:val="3"/>
          </w:tcPr>
          <w:p w:rsidR="00051188" w:rsidRDefault="00051188" w:rsidP="009D78B4">
            <w:pPr>
              <w:widowControl w:val="0"/>
              <w:jc w:val="center"/>
              <w:rPr>
                <w:b/>
                <w:lang w:val="fr-FR"/>
              </w:rPr>
            </w:pPr>
            <w:r>
              <w:rPr>
                <w:b/>
                <w:lang w:val="fr-FR"/>
              </w:rPr>
              <w:t>Study 2 (191622-516)</w:t>
            </w:r>
          </w:p>
        </w:tc>
      </w:tr>
      <w:tr w:rsidR="00051188">
        <w:trPr>
          <w:trHeight w:val="794"/>
        </w:trPr>
        <w:tc>
          <w:tcPr>
            <w:tcW w:w="2802" w:type="dxa"/>
          </w:tcPr>
          <w:p w:rsidR="00051188" w:rsidRDefault="00051188" w:rsidP="009D78B4">
            <w:pPr>
              <w:widowControl w:val="0"/>
              <w:rPr>
                <w:i/>
              </w:rPr>
            </w:pPr>
          </w:p>
          <w:p w:rsidR="00051188" w:rsidRDefault="00051188" w:rsidP="009D78B4">
            <w:pPr>
              <w:widowControl w:val="0"/>
              <w:rPr>
                <w:i/>
              </w:rPr>
            </w:pPr>
          </w:p>
        </w:tc>
        <w:tc>
          <w:tcPr>
            <w:tcW w:w="1134" w:type="dxa"/>
          </w:tcPr>
          <w:p w:rsidR="00051188" w:rsidRDefault="00051188" w:rsidP="009D78B4">
            <w:pPr>
              <w:widowControl w:val="0"/>
              <w:jc w:val="center"/>
              <w:rPr>
                <w:b/>
              </w:rPr>
            </w:pPr>
            <w:r>
              <w:rPr>
                <w:b/>
              </w:rPr>
              <w:t>BOTOX</w:t>
            </w:r>
            <w:r>
              <w:rPr>
                <w:vertAlign w:val="superscript"/>
              </w:rPr>
              <w:t>®</w:t>
            </w:r>
            <w:r>
              <w:rPr>
                <w:b/>
              </w:rPr>
              <w:t xml:space="preserve">        200 U</w:t>
            </w:r>
          </w:p>
          <w:p w:rsidR="00051188" w:rsidRDefault="00051188" w:rsidP="009D78B4">
            <w:pPr>
              <w:widowControl w:val="0"/>
              <w:jc w:val="center"/>
              <w:rPr>
                <w:b/>
              </w:rPr>
            </w:pPr>
            <w:r>
              <w:rPr>
                <w:b/>
              </w:rPr>
              <w:t>(N=135)</w:t>
            </w:r>
          </w:p>
        </w:tc>
        <w:tc>
          <w:tcPr>
            <w:tcW w:w="992" w:type="dxa"/>
          </w:tcPr>
          <w:p w:rsidR="00051188" w:rsidRDefault="00051188" w:rsidP="009D78B4">
            <w:pPr>
              <w:widowControl w:val="0"/>
              <w:jc w:val="center"/>
              <w:rPr>
                <w:b/>
              </w:rPr>
            </w:pPr>
            <w:r>
              <w:rPr>
                <w:b/>
              </w:rPr>
              <w:t>Placebo</w:t>
            </w:r>
          </w:p>
          <w:p w:rsidR="00051188" w:rsidRDefault="00051188" w:rsidP="009D78B4">
            <w:pPr>
              <w:widowControl w:val="0"/>
              <w:jc w:val="center"/>
              <w:rPr>
                <w:b/>
              </w:rPr>
            </w:pPr>
            <w:r>
              <w:rPr>
                <w:b/>
              </w:rPr>
              <w:t>(N=149)</w:t>
            </w:r>
          </w:p>
        </w:tc>
        <w:tc>
          <w:tcPr>
            <w:tcW w:w="992" w:type="dxa"/>
          </w:tcPr>
          <w:p w:rsidR="00051188" w:rsidRDefault="00051188" w:rsidP="009D78B4">
            <w:pPr>
              <w:widowControl w:val="0"/>
              <w:jc w:val="center"/>
              <w:rPr>
                <w:b/>
                <w:lang w:val="fr-FR"/>
              </w:rPr>
            </w:pPr>
            <w:r>
              <w:rPr>
                <w:b/>
                <w:lang w:val="fr-FR"/>
              </w:rPr>
              <w:t>p-values</w:t>
            </w:r>
          </w:p>
        </w:tc>
        <w:tc>
          <w:tcPr>
            <w:tcW w:w="1134" w:type="dxa"/>
          </w:tcPr>
          <w:p w:rsidR="00051188" w:rsidRDefault="00051188" w:rsidP="009D78B4">
            <w:pPr>
              <w:widowControl w:val="0"/>
              <w:jc w:val="center"/>
              <w:rPr>
                <w:b/>
              </w:rPr>
            </w:pPr>
            <w:r>
              <w:rPr>
                <w:b/>
              </w:rPr>
              <w:t>BOTOX</w:t>
            </w:r>
            <w:r>
              <w:rPr>
                <w:vertAlign w:val="superscript"/>
              </w:rPr>
              <w:t>®</w:t>
            </w:r>
            <w:r>
              <w:rPr>
                <w:b/>
              </w:rPr>
              <w:t xml:space="preserve">        200 U (N=92)</w:t>
            </w:r>
          </w:p>
        </w:tc>
        <w:tc>
          <w:tcPr>
            <w:tcW w:w="992" w:type="dxa"/>
          </w:tcPr>
          <w:p w:rsidR="00051188" w:rsidRDefault="00051188" w:rsidP="009D78B4">
            <w:pPr>
              <w:widowControl w:val="0"/>
              <w:jc w:val="center"/>
              <w:rPr>
                <w:b/>
              </w:rPr>
            </w:pPr>
            <w:r>
              <w:rPr>
                <w:b/>
              </w:rPr>
              <w:t>Placebo</w:t>
            </w:r>
          </w:p>
          <w:p w:rsidR="00051188" w:rsidRDefault="00051188" w:rsidP="009D78B4">
            <w:pPr>
              <w:widowControl w:val="0"/>
              <w:jc w:val="center"/>
              <w:rPr>
                <w:b/>
              </w:rPr>
            </w:pPr>
            <w:r>
              <w:rPr>
                <w:b/>
              </w:rPr>
              <w:t>(N=92)</w:t>
            </w:r>
          </w:p>
        </w:tc>
        <w:tc>
          <w:tcPr>
            <w:tcW w:w="993" w:type="dxa"/>
          </w:tcPr>
          <w:p w:rsidR="00051188" w:rsidRDefault="00051188" w:rsidP="009D78B4">
            <w:pPr>
              <w:widowControl w:val="0"/>
              <w:jc w:val="center"/>
              <w:rPr>
                <w:b/>
                <w:lang w:val="fr-FR"/>
              </w:rPr>
            </w:pPr>
            <w:r>
              <w:rPr>
                <w:b/>
                <w:lang w:val="fr-FR"/>
              </w:rPr>
              <w:t>p-values</w:t>
            </w:r>
          </w:p>
        </w:tc>
      </w:tr>
      <w:tr w:rsidR="00051188">
        <w:trPr>
          <w:trHeight w:val="762"/>
        </w:trPr>
        <w:tc>
          <w:tcPr>
            <w:tcW w:w="2802" w:type="dxa"/>
          </w:tcPr>
          <w:p w:rsidR="00051188" w:rsidRDefault="00051188" w:rsidP="009D78B4">
            <w:pPr>
              <w:widowControl w:val="0"/>
            </w:pPr>
            <w:r>
              <w:rPr>
                <w:b/>
              </w:rPr>
              <w:t>Weekly Frequency of Urinary Incontinence*</w:t>
            </w:r>
          </w:p>
          <w:p w:rsidR="00051188" w:rsidRDefault="00051188" w:rsidP="009D78B4">
            <w:pPr>
              <w:widowControl w:val="0"/>
              <w:ind w:left="284"/>
            </w:pPr>
            <w:r>
              <w:t>Mean Baseline</w:t>
            </w:r>
          </w:p>
          <w:p w:rsidR="00051188" w:rsidRDefault="00051188" w:rsidP="009D78B4">
            <w:pPr>
              <w:widowControl w:val="0"/>
              <w:ind w:left="284"/>
            </w:pPr>
            <w:r>
              <w:t>Mean Change at Week 2</w:t>
            </w:r>
          </w:p>
          <w:p w:rsidR="00051188" w:rsidRDefault="00051188" w:rsidP="009D78B4">
            <w:pPr>
              <w:widowControl w:val="0"/>
              <w:ind w:left="284"/>
              <w:rPr>
                <w:rFonts w:ascii="Times New Roman Bold" w:hAnsi="Times New Roman Bold"/>
                <w:b/>
                <w:vertAlign w:val="superscript"/>
              </w:rPr>
            </w:pPr>
            <w:r>
              <w:rPr>
                <w:b/>
              </w:rPr>
              <w:t>Mean Change at Week 6</w:t>
            </w:r>
            <w:r>
              <w:rPr>
                <w:rFonts w:ascii="Times New Roman Bold" w:hAnsi="Times New Roman Bold"/>
                <w:b/>
                <w:vertAlign w:val="superscript"/>
              </w:rPr>
              <w:t>a</w:t>
            </w:r>
          </w:p>
          <w:p w:rsidR="00051188" w:rsidRDefault="00051188" w:rsidP="009D78B4">
            <w:pPr>
              <w:widowControl w:val="0"/>
              <w:ind w:left="284"/>
            </w:pPr>
            <w:r>
              <w:t>Mean Change at Week 12</w:t>
            </w:r>
          </w:p>
        </w:tc>
        <w:tc>
          <w:tcPr>
            <w:tcW w:w="1134"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32.3</w:t>
            </w:r>
          </w:p>
          <w:p w:rsidR="00051188" w:rsidRDefault="00051188" w:rsidP="009D78B4">
            <w:pPr>
              <w:widowControl w:val="0"/>
              <w:jc w:val="center"/>
            </w:pPr>
            <w:r>
              <w:t>-16.9</w:t>
            </w:r>
          </w:p>
          <w:p w:rsidR="00051188" w:rsidRDefault="00051188" w:rsidP="009D78B4">
            <w:pPr>
              <w:widowControl w:val="0"/>
              <w:jc w:val="center"/>
              <w:rPr>
                <w:b/>
              </w:rPr>
            </w:pPr>
            <w:r>
              <w:rPr>
                <w:b/>
              </w:rPr>
              <w:t>-21.0</w:t>
            </w:r>
          </w:p>
          <w:p w:rsidR="00051188" w:rsidRDefault="00051188" w:rsidP="009D78B4">
            <w:pPr>
              <w:widowControl w:val="0"/>
              <w:jc w:val="center"/>
            </w:pPr>
            <w:r>
              <w:t>-20.8</w:t>
            </w:r>
          </w:p>
        </w:tc>
        <w:tc>
          <w:tcPr>
            <w:tcW w:w="992"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28.3</w:t>
            </w:r>
          </w:p>
          <w:p w:rsidR="00051188" w:rsidRDefault="00051188" w:rsidP="009D78B4">
            <w:pPr>
              <w:widowControl w:val="0"/>
              <w:jc w:val="center"/>
            </w:pPr>
            <w:r>
              <w:t>-8.6</w:t>
            </w:r>
          </w:p>
          <w:p w:rsidR="00051188" w:rsidRDefault="00051188" w:rsidP="009D78B4">
            <w:pPr>
              <w:widowControl w:val="0"/>
              <w:jc w:val="center"/>
              <w:rPr>
                <w:b/>
              </w:rPr>
            </w:pPr>
            <w:r>
              <w:rPr>
                <w:b/>
              </w:rPr>
              <w:t>-8.8</w:t>
            </w:r>
          </w:p>
          <w:p w:rsidR="00051188" w:rsidRDefault="00051188" w:rsidP="009D78B4">
            <w:pPr>
              <w:widowControl w:val="0"/>
              <w:jc w:val="center"/>
            </w:pPr>
            <w:r>
              <w:t>-8.3</w:t>
            </w:r>
          </w:p>
        </w:tc>
        <w:tc>
          <w:tcPr>
            <w:tcW w:w="992" w:type="dxa"/>
          </w:tcPr>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pPr>
          </w:p>
          <w:p w:rsidR="00051188" w:rsidRDefault="00051188" w:rsidP="009D78B4">
            <w:pPr>
              <w:widowControl w:val="0"/>
              <w:jc w:val="center"/>
            </w:pPr>
            <w:r>
              <w:t>p=0.008</w:t>
            </w:r>
          </w:p>
          <w:p w:rsidR="00051188" w:rsidRDefault="00051188" w:rsidP="009D78B4">
            <w:pPr>
              <w:widowControl w:val="0"/>
              <w:jc w:val="center"/>
              <w:rPr>
                <w:b/>
              </w:rPr>
            </w:pPr>
            <w:r>
              <w:rPr>
                <w:b/>
              </w:rPr>
              <w:t>p&lt;0.001</w:t>
            </w:r>
          </w:p>
          <w:p w:rsidR="00051188" w:rsidRDefault="00051188" w:rsidP="009D78B4">
            <w:pPr>
              <w:widowControl w:val="0"/>
              <w:jc w:val="center"/>
              <w:rPr>
                <w:b/>
                <w:i/>
              </w:rPr>
            </w:pPr>
            <w:r>
              <w:t>p&lt;0.001</w:t>
            </w:r>
          </w:p>
        </w:tc>
        <w:tc>
          <w:tcPr>
            <w:tcW w:w="1134"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32.5</w:t>
            </w:r>
          </w:p>
          <w:p w:rsidR="00051188" w:rsidRDefault="00051188" w:rsidP="009D78B4">
            <w:pPr>
              <w:widowControl w:val="0"/>
              <w:jc w:val="center"/>
            </w:pPr>
            <w:r>
              <w:t>-18.8</w:t>
            </w:r>
          </w:p>
          <w:p w:rsidR="00051188" w:rsidRDefault="00051188" w:rsidP="009D78B4">
            <w:pPr>
              <w:widowControl w:val="0"/>
              <w:jc w:val="center"/>
              <w:rPr>
                <w:b/>
              </w:rPr>
            </w:pPr>
            <w:r>
              <w:rPr>
                <w:b/>
              </w:rPr>
              <w:t>-21.8</w:t>
            </w:r>
          </w:p>
          <w:p w:rsidR="00051188" w:rsidRDefault="00051188" w:rsidP="009D78B4">
            <w:pPr>
              <w:widowControl w:val="0"/>
              <w:jc w:val="center"/>
            </w:pPr>
            <w:r>
              <w:t>-20.5</w:t>
            </w:r>
          </w:p>
        </w:tc>
        <w:tc>
          <w:tcPr>
            <w:tcW w:w="992"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36.7</w:t>
            </w:r>
          </w:p>
          <w:p w:rsidR="00051188" w:rsidRDefault="00051188" w:rsidP="009D78B4">
            <w:pPr>
              <w:widowControl w:val="0"/>
              <w:jc w:val="center"/>
            </w:pPr>
            <w:r>
              <w:t>-9.7</w:t>
            </w:r>
          </w:p>
          <w:p w:rsidR="00051188" w:rsidRDefault="00051188" w:rsidP="009D78B4">
            <w:pPr>
              <w:widowControl w:val="0"/>
              <w:jc w:val="center"/>
              <w:rPr>
                <w:b/>
              </w:rPr>
            </w:pPr>
            <w:r>
              <w:rPr>
                <w:b/>
              </w:rPr>
              <w:t>-13.2</w:t>
            </w:r>
            <w:r>
              <w:rPr>
                <w:b/>
              </w:rPr>
              <w:br/>
            </w:r>
            <w:r>
              <w:t>-12.2</w:t>
            </w:r>
          </w:p>
        </w:tc>
        <w:tc>
          <w:tcPr>
            <w:tcW w:w="993" w:type="dxa"/>
          </w:tcPr>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pPr>
            <w:r>
              <w:t>p&lt;0.001</w:t>
            </w:r>
          </w:p>
          <w:p w:rsidR="00051188" w:rsidRDefault="00051188" w:rsidP="009D78B4">
            <w:pPr>
              <w:widowControl w:val="0"/>
              <w:jc w:val="center"/>
              <w:rPr>
                <w:b/>
              </w:rPr>
            </w:pPr>
            <w:r>
              <w:rPr>
                <w:b/>
              </w:rPr>
              <w:t>p=0.002</w:t>
            </w:r>
          </w:p>
          <w:p w:rsidR="00051188" w:rsidRDefault="00051188" w:rsidP="009D78B4">
            <w:pPr>
              <w:widowControl w:val="0"/>
              <w:jc w:val="center"/>
              <w:rPr>
                <w:b/>
                <w:i/>
              </w:rPr>
            </w:pPr>
            <w:r>
              <w:t>p=0.002</w:t>
            </w:r>
          </w:p>
        </w:tc>
      </w:tr>
      <w:tr w:rsidR="00051188">
        <w:trPr>
          <w:trHeight w:val="762"/>
        </w:trPr>
        <w:tc>
          <w:tcPr>
            <w:tcW w:w="2802" w:type="dxa"/>
          </w:tcPr>
          <w:p w:rsidR="00051188" w:rsidRDefault="00051188" w:rsidP="009D78B4">
            <w:pPr>
              <w:widowControl w:val="0"/>
            </w:pPr>
            <w:r>
              <w:rPr>
                <w:b/>
              </w:rPr>
              <w:t>Maximum Cystometric Capacity (mL)</w:t>
            </w:r>
          </w:p>
          <w:p w:rsidR="00051188" w:rsidRDefault="00051188" w:rsidP="009D78B4">
            <w:pPr>
              <w:widowControl w:val="0"/>
              <w:ind w:left="284"/>
            </w:pPr>
            <w:r>
              <w:t>Mean Baseline</w:t>
            </w:r>
          </w:p>
          <w:p w:rsidR="00051188" w:rsidRDefault="00051188" w:rsidP="009D78B4">
            <w:pPr>
              <w:widowControl w:val="0"/>
              <w:ind w:left="284"/>
              <w:rPr>
                <w:b/>
              </w:rPr>
            </w:pPr>
            <w:r>
              <w:rPr>
                <w:b/>
              </w:rPr>
              <w:t>Mean Change at Week 6</w:t>
            </w:r>
            <w:r>
              <w:rPr>
                <w:rFonts w:ascii="Times New Roman Bold" w:hAnsi="Times New Roman Bold"/>
                <w:b/>
                <w:vertAlign w:val="superscript"/>
              </w:rPr>
              <w:t>b</w:t>
            </w:r>
          </w:p>
        </w:tc>
        <w:tc>
          <w:tcPr>
            <w:tcW w:w="1134"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252.3</w:t>
            </w:r>
          </w:p>
          <w:p w:rsidR="00051188" w:rsidRDefault="00051188" w:rsidP="009D78B4">
            <w:pPr>
              <w:widowControl w:val="0"/>
              <w:jc w:val="center"/>
              <w:rPr>
                <w:b/>
              </w:rPr>
            </w:pPr>
            <w:r>
              <w:rPr>
                <w:b/>
              </w:rPr>
              <w:t>+151.2</w:t>
            </w:r>
          </w:p>
        </w:tc>
        <w:tc>
          <w:tcPr>
            <w:tcW w:w="992"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256.0</w:t>
            </w:r>
          </w:p>
          <w:p w:rsidR="00051188" w:rsidRDefault="00051188" w:rsidP="009D78B4">
            <w:pPr>
              <w:widowControl w:val="0"/>
              <w:jc w:val="center"/>
              <w:rPr>
                <w:b/>
              </w:rPr>
            </w:pPr>
            <w:r>
              <w:rPr>
                <w:b/>
              </w:rPr>
              <w:t>+15.5</w:t>
            </w:r>
          </w:p>
        </w:tc>
        <w:tc>
          <w:tcPr>
            <w:tcW w:w="992" w:type="dxa"/>
          </w:tcPr>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b/>
                <w:i/>
              </w:rPr>
            </w:pPr>
            <w:r>
              <w:rPr>
                <w:b/>
              </w:rPr>
              <w:t>p&lt;0.001</w:t>
            </w:r>
          </w:p>
        </w:tc>
        <w:tc>
          <w:tcPr>
            <w:tcW w:w="1134"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247.3</w:t>
            </w:r>
          </w:p>
          <w:p w:rsidR="00051188" w:rsidRDefault="00051188" w:rsidP="009D78B4">
            <w:pPr>
              <w:widowControl w:val="0"/>
              <w:jc w:val="center"/>
              <w:rPr>
                <w:b/>
              </w:rPr>
            </w:pPr>
            <w:r>
              <w:rPr>
                <w:b/>
              </w:rPr>
              <w:t>+157.0</w:t>
            </w:r>
          </w:p>
        </w:tc>
        <w:tc>
          <w:tcPr>
            <w:tcW w:w="992"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249.4</w:t>
            </w:r>
          </w:p>
          <w:p w:rsidR="00051188" w:rsidRDefault="00051188" w:rsidP="009D78B4">
            <w:pPr>
              <w:widowControl w:val="0"/>
              <w:jc w:val="center"/>
              <w:rPr>
                <w:b/>
              </w:rPr>
            </w:pPr>
            <w:r>
              <w:rPr>
                <w:b/>
              </w:rPr>
              <w:t>+6.5</w:t>
            </w:r>
          </w:p>
        </w:tc>
        <w:tc>
          <w:tcPr>
            <w:tcW w:w="993" w:type="dxa"/>
          </w:tcPr>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b/>
                <w:i/>
              </w:rPr>
            </w:pPr>
            <w:r>
              <w:rPr>
                <w:b/>
              </w:rPr>
              <w:t>p&lt;0.001</w:t>
            </w:r>
          </w:p>
        </w:tc>
      </w:tr>
      <w:tr w:rsidR="00051188">
        <w:trPr>
          <w:trHeight w:val="1023"/>
        </w:trPr>
        <w:tc>
          <w:tcPr>
            <w:tcW w:w="2802" w:type="dxa"/>
          </w:tcPr>
          <w:p w:rsidR="00051188" w:rsidRDefault="00051188" w:rsidP="009D78B4">
            <w:pPr>
              <w:widowControl w:val="0"/>
            </w:pPr>
            <w:r>
              <w:rPr>
                <w:b/>
              </w:rPr>
              <w:t>Maximum Detrusor Pressure during 1</w:t>
            </w:r>
            <w:r>
              <w:rPr>
                <w:b/>
                <w:vertAlign w:val="superscript"/>
              </w:rPr>
              <w:t>st</w:t>
            </w:r>
            <w:r>
              <w:rPr>
                <w:b/>
              </w:rPr>
              <w:t xml:space="preserve"> Involuntary Detrusor Contraction (cmH</w:t>
            </w:r>
            <w:r>
              <w:rPr>
                <w:b/>
                <w:vertAlign w:val="subscript"/>
              </w:rPr>
              <w:t>2</w:t>
            </w:r>
            <w:r>
              <w:rPr>
                <w:b/>
              </w:rPr>
              <w:t xml:space="preserve">0)      </w:t>
            </w:r>
          </w:p>
          <w:p w:rsidR="00051188" w:rsidRDefault="00051188" w:rsidP="009D78B4">
            <w:pPr>
              <w:widowControl w:val="0"/>
              <w:ind w:left="284"/>
            </w:pPr>
            <w:r>
              <w:t>Mean Baseline</w:t>
            </w:r>
          </w:p>
          <w:p w:rsidR="00051188" w:rsidRDefault="00051188" w:rsidP="009D78B4">
            <w:pPr>
              <w:widowControl w:val="0"/>
              <w:ind w:left="284"/>
              <w:rPr>
                <w:b/>
              </w:rPr>
            </w:pPr>
            <w:r>
              <w:rPr>
                <w:b/>
              </w:rPr>
              <w:t>Mean Change at Week 6</w:t>
            </w:r>
            <w:r>
              <w:rPr>
                <w:rFonts w:ascii="Times New Roman Bold" w:hAnsi="Times New Roman Bold"/>
                <w:b/>
                <w:vertAlign w:val="superscript"/>
              </w:rPr>
              <w:t>b</w:t>
            </w:r>
          </w:p>
        </w:tc>
        <w:tc>
          <w:tcPr>
            <w:tcW w:w="1134"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51.3</w:t>
            </w:r>
          </w:p>
          <w:p w:rsidR="00051188" w:rsidRDefault="00051188" w:rsidP="009D78B4">
            <w:pPr>
              <w:widowControl w:val="0"/>
              <w:jc w:val="center"/>
              <w:rPr>
                <w:b/>
              </w:rPr>
            </w:pPr>
            <w:r>
              <w:rPr>
                <w:b/>
              </w:rPr>
              <w:t>-35.1</w:t>
            </w:r>
          </w:p>
        </w:tc>
        <w:tc>
          <w:tcPr>
            <w:tcW w:w="992"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50.9</w:t>
            </w:r>
          </w:p>
          <w:p w:rsidR="00051188" w:rsidRDefault="00051188" w:rsidP="009D78B4">
            <w:pPr>
              <w:widowControl w:val="0"/>
              <w:jc w:val="center"/>
              <w:rPr>
                <w:b/>
              </w:rPr>
            </w:pPr>
            <w:r>
              <w:rPr>
                <w:b/>
              </w:rPr>
              <w:t>-2.4</w:t>
            </w:r>
          </w:p>
        </w:tc>
        <w:tc>
          <w:tcPr>
            <w:tcW w:w="992" w:type="dxa"/>
          </w:tcPr>
          <w:p w:rsidR="00051188" w:rsidRDefault="00051188" w:rsidP="009D78B4">
            <w:pPr>
              <w:widowControl w:val="0"/>
              <w:jc w:val="center"/>
              <w:rPr>
                <w:i/>
              </w:rP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rPr>
                <w:b/>
                <w:i/>
              </w:rPr>
            </w:pPr>
            <w:r>
              <w:rPr>
                <w:b/>
              </w:rPr>
              <w:t>p&lt;0.001</w:t>
            </w:r>
          </w:p>
        </w:tc>
        <w:tc>
          <w:tcPr>
            <w:tcW w:w="1134"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51.7</w:t>
            </w:r>
          </w:p>
          <w:p w:rsidR="00051188" w:rsidRDefault="00051188" w:rsidP="009D78B4">
            <w:pPr>
              <w:widowControl w:val="0"/>
              <w:jc w:val="center"/>
              <w:rPr>
                <w:b/>
              </w:rPr>
            </w:pPr>
            <w:r>
              <w:rPr>
                <w:b/>
              </w:rPr>
              <w:t>-28.5</w:t>
            </w:r>
          </w:p>
        </w:tc>
        <w:tc>
          <w:tcPr>
            <w:tcW w:w="992"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41.5</w:t>
            </w:r>
          </w:p>
          <w:p w:rsidR="00051188" w:rsidRDefault="00051188" w:rsidP="009D78B4">
            <w:pPr>
              <w:widowControl w:val="0"/>
              <w:jc w:val="center"/>
              <w:rPr>
                <w:b/>
              </w:rPr>
            </w:pPr>
            <w:r>
              <w:rPr>
                <w:b/>
              </w:rPr>
              <w:t>+6.4</w:t>
            </w:r>
          </w:p>
        </w:tc>
        <w:tc>
          <w:tcPr>
            <w:tcW w:w="993" w:type="dxa"/>
          </w:tcPr>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b/>
                <w:i/>
              </w:rPr>
            </w:pPr>
            <w:r>
              <w:rPr>
                <w:b/>
              </w:rPr>
              <w:t>p&lt;0.001</w:t>
            </w:r>
          </w:p>
        </w:tc>
      </w:tr>
      <w:tr w:rsidR="00051188">
        <w:trPr>
          <w:trHeight w:val="773"/>
        </w:trPr>
        <w:tc>
          <w:tcPr>
            <w:tcW w:w="2802" w:type="dxa"/>
          </w:tcPr>
          <w:p w:rsidR="00051188" w:rsidRDefault="00051188" w:rsidP="009D78B4">
            <w:pPr>
              <w:widowControl w:val="0"/>
            </w:pPr>
            <w:r>
              <w:rPr>
                <w:b/>
              </w:rPr>
              <w:t>Incontinence Quality of Life Total Score</w:t>
            </w:r>
            <w:r>
              <w:rPr>
                <w:rFonts w:ascii="Times New Roman Bold" w:hAnsi="Times New Roman Bold"/>
                <w:b/>
                <w:vertAlign w:val="superscript"/>
              </w:rPr>
              <w:t>c,d</w:t>
            </w:r>
          </w:p>
          <w:p w:rsidR="00051188" w:rsidRDefault="00051188" w:rsidP="009D78B4">
            <w:pPr>
              <w:widowControl w:val="0"/>
              <w:ind w:left="284"/>
            </w:pPr>
            <w:r>
              <w:t>Mean Baseline</w:t>
            </w:r>
          </w:p>
          <w:p w:rsidR="00051188" w:rsidRDefault="00051188" w:rsidP="009D78B4">
            <w:pPr>
              <w:widowControl w:val="0"/>
              <w:ind w:left="284"/>
              <w:rPr>
                <w:b/>
              </w:rPr>
            </w:pPr>
            <w:r>
              <w:rPr>
                <w:b/>
              </w:rPr>
              <w:t>Mean Change at Week 6</w:t>
            </w:r>
            <w:r>
              <w:rPr>
                <w:rFonts w:ascii="Times New Roman Bold" w:hAnsi="Times New Roman Bold"/>
                <w:b/>
                <w:vertAlign w:val="superscript"/>
              </w:rPr>
              <w:t>b</w:t>
            </w:r>
          </w:p>
          <w:p w:rsidR="00051188" w:rsidRDefault="00051188" w:rsidP="009D78B4">
            <w:pPr>
              <w:widowControl w:val="0"/>
              <w:ind w:left="284"/>
            </w:pPr>
            <w:r>
              <w:t>Mean Change at Week 12</w:t>
            </w:r>
          </w:p>
        </w:tc>
        <w:tc>
          <w:tcPr>
            <w:tcW w:w="1134"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33.95</w:t>
            </w:r>
          </w:p>
          <w:p w:rsidR="00051188" w:rsidRDefault="00051188" w:rsidP="009D78B4">
            <w:pPr>
              <w:widowControl w:val="0"/>
              <w:jc w:val="center"/>
              <w:rPr>
                <w:b/>
              </w:rPr>
            </w:pPr>
            <w:r>
              <w:rPr>
                <w:b/>
              </w:rPr>
              <w:t>+26.90</w:t>
            </w:r>
          </w:p>
          <w:p w:rsidR="00051188" w:rsidRDefault="00051188" w:rsidP="009D78B4">
            <w:pPr>
              <w:widowControl w:val="0"/>
              <w:jc w:val="center"/>
            </w:pPr>
            <w:r>
              <w:t>+31.42</w:t>
            </w:r>
          </w:p>
        </w:tc>
        <w:tc>
          <w:tcPr>
            <w:tcW w:w="992"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35.06</w:t>
            </w:r>
          </w:p>
          <w:p w:rsidR="00051188" w:rsidRDefault="00051188" w:rsidP="009D78B4">
            <w:pPr>
              <w:widowControl w:val="0"/>
              <w:jc w:val="center"/>
              <w:rPr>
                <w:b/>
              </w:rPr>
            </w:pPr>
            <w:r>
              <w:rPr>
                <w:b/>
              </w:rPr>
              <w:t>+10.81</w:t>
            </w:r>
          </w:p>
          <w:p w:rsidR="00051188" w:rsidRDefault="00051188" w:rsidP="009D78B4">
            <w:pPr>
              <w:widowControl w:val="0"/>
              <w:jc w:val="center"/>
            </w:pPr>
            <w:r>
              <w:t>+9.05</w:t>
            </w:r>
          </w:p>
        </w:tc>
        <w:tc>
          <w:tcPr>
            <w:tcW w:w="992" w:type="dxa"/>
          </w:tcPr>
          <w:p w:rsidR="00051188" w:rsidRDefault="00051188" w:rsidP="009D78B4">
            <w:pPr>
              <w:widowControl w:val="0"/>
              <w:jc w:val="center"/>
              <w:rPr>
                <w:i/>
              </w:rPr>
            </w:pPr>
          </w:p>
          <w:p w:rsidR="00051188" w:rsidRDefault="00051188" w:rsidP="009D78B4">
            <w:pPr>
              <w:widowControl w:val="0"/>
              <w:rPr>
                <w:i/>
              </w:rPr>
            </w:pPr>
          </w:p>
          <w:p w:rsidR="00051188" w:rsidRDefault="00051188" w:rsidP="009D78B4">
            <w:pPr>
              <w:widowControl w:val="0"/>
              <w:rPr>
                <w:i/>
              </w:rPr>
            </w:pPr>
          </w:p>
          <w:p w:rsidR="00051188" w:rsidRDefault="00051188" w:rsidP="009D78B4">
            <w:pPr>
              <w:widowControl w:val="0"/>
              <w:jc w:val="center"/>
              <w:rPr>
                <w:b/>
              </w:rPr>
            </w:pPr>
            <w:r>
              <w:rPr>
                <w:b/>
              </w:rPr>
              <w:t>p&lt;0.001</w:t>
            </w:r>
          </w:p>
          <w:p w:rsidR="00051188" w:rsidRDefault="00051188" w:rsidP="009D78B4">
            <w:pPr>
              <w:widowControl w:val="0"/>
              <w:jc w:val="center"/>
              <w:rPr>
                <w:i/>
              </w:rPr>
            </w:pPr>
            <w:r>
              <w:t>p&lt;0.001</w:t>
            </w:r>
          </w:p>
        </w:tc>
        <w:tc>
          <w:tcPr>
            <w:tcW w:w="1134"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37.46</w:t>
            </w:r>
          </w:p>
          <w:p w:rsidR="00051188" w:rsidRDefault="00051188" w:rsidP="009D78B4">
            <w:pPr>
              <w:widowControl w:val="0"/>
              <w:jc w:val="center"/>
              <w:rPr>
                <w:b/>
              </w:rPr>
            </w:pPr>
            <w:r>
              <w:rPr>
                <w:b/>
              </w:rPr>
              <w:t>+24.43</w:t>
            </w:r>
          </w:p>
          <w:p w:rsidR="00051188" w:rsidRDefault="00051188" w:rsidP="009D78B4">
            <w:pPr>
              <w:widowControl w:val="0"/>
              <w:jc w:val="center"/>
            </w:pPr>
            <w:r>
              <w:t>+25.08</w:t>
            </w:r>
          </w:p>
        </w:tc>
        <w:tc>
          <w:tcPr>
            <w:tcW w:w="992"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35.72</w:t>
            </w:r>
          </w:p>
          <w:p w:rsidR="00051188" w:rsidRDefault="00051188" w:rsidP="009D78B4">
            <w:pPr>
              <w:widowControl w:val="0"/>
              <w:jc w:val="center"/>
              <w:rPr>
                <w:b/>
              </w:rPr>
            </w:pPr>
            <w:r>
              <w:rPr>
                <w:b/>
              </w:rPr>
              <w:t>+11.71</w:t>
            </w:r>
          </w:p>
          <w:p w:rsidR="00051188" w:rsidRDefault="00051188" w:rsidP="009D78B4">
            <w:pPr>
              <w:widowControl w:val="0"/>
              <w:jc w:val="center"/>
            </w:pPr>
            <w:r>
              <w:t>+8.56</w:t>
            </w:r>
          </w:p>
        </w:tc>
        <w:tc>
          <w:tcPr>
            <w:tcW w:w="993" w:type="dxa"/>
          </w:tcPr>
          <w:p w:rsidR="00051188" w:rsidRDefault="00051188" w:rsidP="009D78B4">
            <w:pPr>
              <w:widowControl w:val="0"/>
              <w:jc w:val="center"/>
              <w:rPr>
                <w:i/>
              </w:rP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rPr>
                <w:b/>
              </w:rPr>
            </w:pPr>
            <w:r>
              <w:rPr>
                <w:b/>
              </w:rPr>
              <w:t>p&lt;0.001</w:t>
            </w:r>
          </w:p>
          <w:p w:rsidR="00051188" w:rsidRDefault="00051188" w:rsidP="009D78B4">
            <w:pPr>
              <w:widowControl w:val="0"/>
              <w:jc w:val="center"/>
              <w:rPr>
                <w:i/>
              </w:rPr>
            </w:pPr>
            <w:r>
              <w:t>p&lt;0.001</w:t>
            </w:r>
          </w:p>
        </w:tc>
      </w:tr>
      <w:tr w:rsidR="00051188">
        <w:trPr>
          <w:trHeight w:val="773"/>
        </w:trPr>
        <w:tc>
          <w:tcPr>
            <w:tcW w:w="2802" w:type="dxa"/>
          </w:tcPr>
          <w:p w:rsidR="00051188" w:rsidRDefault="00051188" w:rsidP="009D78B4">
            <w:pPr>
              <w:widowControl w:val="0"/>
              <w:rPr>
                <w:b/>
              </w:rPr>
            </w:pPr>
            <w:r>
              <w:rPr>
                <w:b/>
              </w:rPr>
              <w:t>Maximum Cystometric Capacity minus Post Void Residual</w:t>
            </w:r>
            <w:r>
              <w:rPr>
                <w:b/>
                <w:vertAlign w:val="superscript"/>
              </w:rPr>
              <w:t>e</w:t>
            </w:r>
          </w:p>
          <w:p w:rsidR="00051188" w:rsidRDefault="00051188" w:rsidP="009D78B4">
            <w:pPr>
              <w:widowControl w:val="0"/>
              <w:ind w:left="270"/>
            </w:pPr>
            <w:r>
              <w:t>N</w:t>
            </w:r>
          </w:p>
          <w:p w:rsidR="00051188" w:rsidRDefault="00051188" w:rsidP="009D78B4">
            <w:pPr>
              <w:widowControl w:val="0"/>
              <w:ind w:left="270"/>
            </w:pPr>
            <w:r>
              <w:t>Mean Baseline</w:t>
            </w:r>
          </w:p>
          <w:p w:rsidR="00051188" w:rsidRDefault="00051188" w:rsidP="009D78B4">
            <w:pPr>
              <w:widowControl w:val="0"/>
              <w:ind w:left="360" w:hanging="90"/>
              <w:rPr>
                <w:b/>
              </w:rPr>
            </w:pPr>
            <w:r>
              <w:t>Mean Change at Week 6</w:t>
            </w:r>
          </w:p>
        </w:tc>
        <w:tc>
          <w:tcPr>
            <w:tcW w:w="1134"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50</w:t>
            </w:r>
          </w:p>
          <w:p w:rsidR="00051188" w:rsidRDefault="00051188" w:rsidP="009D78B4">
            <w:pPr>
              <w:widowControl w:val="0"/>
              <w:jc w:val="center"/>
            </w:pPr>
            <w:r>
              <w:t>195.1</w:t>
            </w:r>
          </w:p>
          <w:p w:rsidR="00051188" w:rsidRDefault="00051188" w:rsidP="009D78B4">
            <w:pPr>
              <w:widowControl w:val="0"/>
              <w:jc w:val="center"/>
            </w:pPr>
            <w:r>
              <w:t>+35.8</w:t>
            </w:r>
          </w:p>
        </w:tc>
        <w:tc>
          <w:tcPr>
            <w:tcW w:w="992"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46</w:t>
            </w:r>
          </w:p>
          <w:p w:rsidR="00051188" w:rsidRDefault="00051188" w:rsidP="009D78B4">
            <w:pPr>
              <w:widowControl w:val="0"/>
              <w:jc w:val="center"/>
            </w:pPr>
            <w:r>
              <w:t>170.1</w:t>
            </w:r>
          </w:p>
          <w:p w:rsidR="00051188" w:rsidRDefault="00051188" w:rsidP="009D78B4">
            <w:pPr>
              <w:widowControl w:val="0"/>
              <w:jc w:val="center"/>
            </w:pPr>
            <w:r>
              <w:t>-36.9</w:t>
            </w:r>
          </w:p>
        </w:tc>
        <w:tc>
          <w:tcPr>
            <w:tcW w:w="992" w:type="dxa"/>
          </w:tcPr>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i/>
              </w:rPr>
            </w:pPr>
            <w:r>
              <w:rPr>
                <w:i/>
              </w:rPr>
              <w:t>-</w:t>
            </w:r>
          </w:p>
        </w:tc>
        <w:tc>
          <w:tcPr>
            <w:tcW w:w="1134"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40</w:t>
            </w:r>
          </w:p>
          <w:p w:rsidR="00051188" w:rsidRDefault="00051188" w:rsidP="009D78B4">
            <w:pPr>
              <w:widowControl w:val="0"/>
              <w:jc w:val="center"/>
            </w:pPr>
            <w:r>
              <w:t>151.2</w:t>
            </w:r>
          </w:p>
          <w:p w:rsidR="00051188" w:rsidRDefault="00051188" w:rsidP="009D78B4">
            <w:pPr>
              <w:widowControl w:val="0"/>
              <w:jc w:val="center"/>
            </w:pPr>
            <w:r>
              <w:t>+20.8</w:t>
            </w:r>
          </w:p>
        </w:tc>
        <w:tc>
          <w:tcPr>
            <w:tcW w:w="992" w:type="dxa"/>
          </w:tcPr>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p>
          <w:p w:rsidR="00051188" w:rsidRDefault="00051188" w:rsidP="009D78B4">
            <w:pPr>
              <w:widowControl w:val="0"/>
              <w:jc w:val="center"/>
            </w:pPr>
            <w:r>
              <w:t>37</w:t>
            </w:r>
          </w:p>
          <w:p w:rsidR="00051188" w:rsidRDefault="00051188" w:rsidP="009D78B4">
            <w:pPr>
              <w:widowControl w:val="0"/>
              <w:jc w:val="center"/>
            </w:pPr>
            <w:r>
              <w:t>160.0</w:t>
            </w:r>
          </w:p>
          <w:p w:rsidR="00051188" w:rsidRDefault="00051188" w:rsidP="009D78B4">
            <w:pPr>
              <w:widowControl w:val="0"/>
              <w:jc w:val="center"/>
            </w:pPr>
            <w:r>
              <w:t>+16.8</w:t>
            </w:r>
          </w:p>
        </w:tc>
        <w:tc>
          <w:tcPr>
            <w:tcW w:w="993" w:type="dxa"/>
          </w:tcPr>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i/>
              </w:rPr>
            </w:pPr>
          </w:p>
          <w:p w:rsidR="00051188" w:rsidRDefault="00051188" w:rsidP="009D78B4">
            <w:pPr>
              <w:widowControl w:val="0"/>
              <w:jc w:val="center"/>
              <w:rPr>
                <w:i/>
              </w:rPr>
            </w:pPr>
            <w:r>
              <w:t>-</w:t>
            </w:r>
          </w:p>
        </w:tc>
      </w:tr>
    </w:tbl>
    <w:p w:rsidR="00051188" w:rsidRPr="00154F39" w:rsidRDefault="00051188" w:rsidP="009D78B4">
      <w:pPr>
        <w:widowControl w:val="0"/>
      </w:pPr>
      <w:r w:rsidRPr="00154F39">
        <w:t>p-values  are based on an LOCF analysis using an ANCOVA model with baseline weekly endpoint as covariate and treatment group, etiology at study entry (spinal cord injury or multiple sclerosis), concurrent anticholinergic therapy at screening, and investigator as factors.</w:t>
      </w:r>
    </w:p>
    <w:p w:rsidR="00051188" w:rsidRPr="00154F39" w:rsidRDefault="00051188" w:rsidP="009D78B4">
      <w:pPr>
        <w:widowControl w:val="0"/>
        <w:rPr>
          <w:rFonts w:eastAsia="PMingLiU"/>
          <w:lang w:eastAsia="zh-HK"/>
        </w:rPr>
      </w:pPr>
    </w:p>
    <w:p w:rsidR="00051188" w:rsidRPr="00154F39" w:rsidRDefault="00051188" w:rsidP="009D78B4">
      <w:pPr>
        <w:widowControl w:val="0"/>
        <w:rPr>
          <w:lang w:val="en-GB"/>
        </w:rPr>
      </w:pPr>
      <w:r w:rsidRPr="00154F39">
        <w:t>*</w:t>
      </w:r>
      <w:r w:rsidRPr="00154F39">
        <w:rPr>
          <w:lang w:val="en-GB"/>
        </w:rPr>
        <w:t xml:space="preserve"> Percentage of dry patients</w:t>
      </w:r>
      <w:r w:rsidRPr="00154F39">
        <w:t xml:space="preserve"> (without incontinence) </w:t>
      </w:r>
      <w:r w:rsidRPr="00154F39">
        <w:rPr>
          <w:lang w:val="en-GB"/>
        </w:rPr>
        <w:t>throughout week 6 was 36.3% (200 U BOTOX</w:t>
      </w:r>
      <w:r w:rsidRPr="00154F39">
        <w:rPr>
          <w:vertAlign w:val="superscript"/>
          <w:lang w:val="en-GB"/>
        </w:rPr>
        <w:t>®</w:t>
      </w:r>
      <w:r w:rsidRPr="00154F39">
        <w:rPr>
          <w:lang w:val="en-GB"/>
        </w:rPr>
        <w:t xml:space="preserve"> group) and 10.1% (placebo) in Study 1, and 38.0% (200 U BOTOX</w:t>
      </w:r>
      <w:r w:rsidRPr="00154F39">
        <w:rPr>
          <w:vertAlign w:val="superscript"/>
          <w:lang w:val="en-GB"/>
        </w:rPr>
        <w:t>®</w:t>
      </w:r>
      <w:r w:rsidRPr="00154F39">
        <w:rPr>
          <w:lang w:val="en-GB"/>
        </w:rPr>
        <w:t xml:space="preserve"> group) and 7.6% (placebo) in Study 2</w:t>
      </w:r>
    </w:p>
    <w:p w:rsidR="00051188" w:rsidRPr="00154F39" w:rsidRDefault="00051188" w:rsidP="009D78B4">
      <w:pPr>
        <w:widowControl w:val="0"/>
      </w:pPr>
      <w:r w:rsidRPr="00154F39">
        <w:rPr>
          <w:vertAlign w:val="superscript"/>
        </w:rPr>
        <w:t xml:space="preserve">a </w:t>
      </w:r>
      <w:r w:rsidRPr="00154F39">
        <w:t xml:space="preserve">Primary endpoint </w:t>
      </w:r>
    </w:p>
    <w:p w:rsidR="00051188" w:rsidRPr="00154F39" w:rsidRDefault="00051188" w:rsidP="009D78B4">
      <w:pPr>
        <w:widowControl w:val="0"/>
      </w:pPr>
      <w:r w:rsidRPr="00154F39">
        <w:rPr>
          <w:vertAlign w:val="superscript"/>
        </w:rPr>
        <w:t xml:space="preserve">b </w:t>
      </w:r>
      <w:r w:rsidRPr="00154F39">
        <w:t>Secondary endpoints</w:t>
      </w:r>
    </w:p>
    <w:p w:rsidR="00051188" w:rsidRPr="00154F39" w:rsidRDefault="00051188" w:rsidP="009D78B4">
      <w:pPr>
        <w:widowControl w:val="0"/>
      </w:pPr>
      <w:r w:rsidRPr="00154F39">
        <w:rPr>
          <w:vertAlign w:val="superscript"/>
        </w:rPr>
        <w:t xml:space="preserve">c </w:t>
      </w:r>
      <w:r w:rsidRPr="00154F39">
        <w:t xml:space="preserve">I-QOL total score scale ranges from 0 (maximum problem) to 100 (no problem at all). </w:t>
      </w:r>
    </w:p>
    <w:p w:rsidR="00051188" w:rsidRPr="00154F39" w:rsidRDefault="00051188" w:rsidP="009D78B4">
      <w:pPr>
        <w:widowControl w:val="0"/>
      </w:pPr>
      <w:r w:rsidRPr="00154F39">
        <w:rPr>
          <w:vertAlign w:val="superscript"/>
        </w:rPr>
        <w:t>d</w:t>
      </w:r>
      <w:r w:rsidRPr="00154F39">
        <w:t xml:space="preserve"> In the phase 3 studies, the pre-specified minimally important difference (MID) for I-QOL total score was 8 points based on MID estimates of 4-11 points reported in neurogenic detrusor overactivity patients.  </w:t>
      </w:r>
    </w:p>
    <w:p w:rsidR="00051188" w:rsidRPr="00154F39" w:rsidRDefault="00051188" w:rsidP="009D78B4">
      <w:pPr>
        <w:widowControl w:val="0"/>
      </w:pPr>
      <w:r w:rsidRPr="00154F39">
        <w:rPr>
          <w:vertAlign w:val="superscript"/>
        </w:rPr>
        <w:t>e</w:t>
      </w:r>
      <w:r w:rsidRPr="00154F39">
        <w:t xml:space="preserve"> Maximum cystometric capacity (MCC) and post void residual (PVR) may not have been measured on the same day, but they were measured within the same visit window. Only patients who had MCC and PVR data at both baseline and Week 6 visits and not using CIC at baseline were analysed. </w:t>
      </w:r>
    </w:p>
    <w:p w:rsidR="00051188" w:rsidRDefault="00051188" w:rsidP="009D78B4">
      <w:pPr>
        <w:widowControl w:val="0"/>
        <w:tabs>
          <w:tab w:val="left" w:pos="-720"/>
        </w:tabs>
        <w:rPr>
          <w:sz w:val="24"/>
        </w:rPr>
      </w:pPr>
    </w:p>
    <w:p w:rsidR="00051188" w:rsidRDefault="00051188" w:rsidP="009D78B4">
      <w:pPr>
        <w:widowControl w:val="0"/>
        <w:tabs>
          <w:tab w:val="left" w:pos="-720"/>
        </w:tabs>
        <w:rPr>
          <w:sz w:val="24"/>
          <w:lang w:val="en-GB"/>
        </w:rPr>
      </w:pPr>
      <w:r>
        <w:rPr>
          <w:sz w:val="24"/>
          <w:lang w:val="en-GB"/>
        </w:rPr>
        <w:t xml:space="preserve">The median duration of response in the two phase 3 studies, based on patient request for re-treatment, was 256-295 days (36-42 weeks) for the 200 U dose group compared to 92 days (13 weeks) with placebo.  </w:t>
      </w:r>
    </w:p>
    <w:p w:rsidR="00051188" w:rsidRDefault="00051188" w:rsidP="009D78B4">
      <w:pPr>
        <w:widowControl w:val="0"/>
        <w:tabs>
          <w:tab w:val="left" w:pos="-720"/>
        </w:tabs>
        <w:rPr>
          <w:sz w:val="24"/>
          <w:lang w:val="en-GB"/>
        </w:rPr>
      </w:pPr>
    </w:p>
    <w:p w:rsidR="00051188" w:rsidRDefault="00051188" w:rsidP="009D78B4">
      <w:pPr>
        <w:widowControl w:val="0"/>
        <w:rPr>
          <w:color w:val="3C3C3C"/>
          <w:sz w:val="24"/>
          <w:szCs w:val="24"/>
        </w:rPr>
      </w:pPr>
      <w:r>
        <w:rPr>
          <w:color w:val="3C3C3C"/>
          <w:sz w:val="24"/>
          <w:szCs w:val="24"/>
        </w:rPr>
        <w:t>Placebo recipients crossed over to active therapy for subsequent treatment cycles so there are no placebo-controlled data beyond the first treatment cycle.  For all efficacy endpoints, patients receiving a second treatment experienced a broadly similar response. Data beyond two intradetrusor treatments are limited.</w:t>
      </w:r>
    </w:p>
    <w:p w:rsidR="00051188" w:rsidRDefault="00051188" w:rsidP="009D78B4">
      <w:pPr>
        <w:widowControl w:val="0"/>
        <w:rPr>
          <w:color w:val="3C3C3C"/>
          <w:sz w:val="24"/>
          <w:szCs w:val="24"/>
        </w:rPr>
      </w:pPr>
    </w:p>
    <w:p w:rsidR="00051188" w:rsidRDefault="00051188" w:rsidP="009D78B4">
      <w:pPr>
        <w:widowControl w:val="0"/>
        <w:tabs>
          <w:tab w:val="left" w:pos="-720"/>
        </w:tabs>
        <w:rPr>
          <w:b/>
          <w:sz w:val="24"/>
          <w:lang w:val="en-GB"/>
        </w:rPr>
      </w:pPr>
      <w:r>
        <w:rPr>
          <w:b/>
          <w:sz w:val="24"/>
          <w:lang w:val="en-GB"/>
        </w:rPr>
        <w:t xml:space="preserve">Chronic Migraine        </w:t>
      </w:r>
    </w:p>
    <w:p w:rsidR="00051188" w:rsidRDefault="00051188" w:rsidP="009D78B4">
      <w:pPr>
        <w:widowControl w:val="0"/>
        <w:tabs>
          <w:tab w:val="left" w:pos="10800"/>
        </w:tabs>
        <w:autoSpaceDE w:val="0"/>
        <w:autoSpaceDN w:val="0"/>
        <w:adjustRightInd w:val="0"/>
        <w:rPr>
          <w:sz w:val="24"/>
          <w:szCs w:val="24"/>
        </w:rPr>
      </w:pPr>
      <w:r>
        <w:rPr>
          <w:sz w:val="24"/>
          <w:szCs w:val="24"/>
        </w:rPr>
        <w:t>BOTOX</w:t>
      </w:r>
      <w:r>
        <w:rPr>
          <w:rFonts w:ascii="Times New Roman Bold" w:hAnsi="Times New Roman Bold"/>
          <w:sz w:val="24"/>
          <w:szCs w:val="24"/>
          <w:vertAlign w:val="superscript"/>
        </w:rPr>
        <w:t>®</w:t>
      </w:r>
      <w:r>
        <w:rPr>
          <w:sz w:val="24"/>
          <w:szCs w:val="24"/>
        </w:rPr>
        <w:t xml:space="preserve"> was evaluated in two multi-national, multi-centre 56-week studies that included a 24-week, 2 injection cycle, double-blind phase comparing</w:t>
      </w:r>
      <w:r>
        <w:rPr>
          <w:b/>
          <w:sz w:val="24"/>
          <w:szCs w:val="24"/>
        </w:rPr>
        <w:t xml:space="preserve"> </w:t>
      </w:r>
      <w:r>
        <w:rPr>
          <w:sz w:val="24"/>
          <w:szCs w:val="24"/>
        </w:rPr>
        <w:t>BOTOX</w:t>
      </w:r>
      <w:r>
        <w:rPr>
          <w:rFonts w:ascii="Times New Roman Bold" w:hAnsi="Times New Roman Bold"/>
          <w:sz w:val="24"/>
          <w:szCs w:val="24"/>
          <w:vertAlign w:val="superscript"/>
        </w:rPr>
        <w:t>®</w:t>
      </w:r>
      <w:r>
        <w:rPr>
          <w:sz w:val="24"/>
          <w:szCs w:val="24"/>
        </w:rPr>
        <w:t xml:space="preserve"> to placebo (saline), followed by a 32-week, 3 injection cycle, open-label phase.  A total of 1,384 chronic migraine adults who had either never received or were not using any concurrent headache prophylaxis during a 28-day baseline, had ≥ 15 headache days, with 50% being migraine/probable migraine, and ≥ 4 headache episodes were studied in two phase 3 clinical trials.  These patients had a mean duration of chronic migraine for 19.2 ± 12.56 years, and during the 28-day baseline 906 (65.5%) patients were and 478 (34.5%) patients were not overusing acute headache pain medications.  These patients were randomised to placebo (saline) or to 155 U - 195 U</w:t>
      </w:r>
      <w:r>
        <w:rPr>
          <w:b/>
          <w:sz w:val="24"/>
          <w:szCs w:val="24"/>
        </w:rPr>
        <w:t xml:space="preserve"> </w:t>
      </w:r>
      <w:r>
        <w:rPr>
          <w:sz w:val="24"/>
          <w:szCs w:val="24"/>
        </w:rPr>
        <w:t>BOTOX</w:t>
      </w:r>
      <w:r>
        <w:rPr>
          <w:rFonts w:ascii="Times New Roman Bold" w:hAnsi="Times New Roman Bold"/>
          <w:sz w:val="24"/>
          <w:szCs w:val="24"/>
          <w:vertAlign w:val="superscript"/>
        </w:rPr>
        <w:t>®</w:t>
      </w:r>
      <w:r>
        <w:rPr>
          <w:sz w:val="24"/>
          <w:szCs w:val="24"/>
        </w:rPr>
        <w:t xml:space="preserve"> injections every 12 weeks; maximum 5 injection cycles.  During the trial, patients were allowed to use acute headache treatments.  BOTOX</w:t>
      </w:r>
      <w:r>
        <w:rPr>
          <w:rFonts w:ascii="Times New Roman Bold" w:hAnsi="Times New Roman Bold"/>
          <w:sz w:val="24"/>
          <w:szCs w:val="24"/>
          <w:vertAlign w:val="superscript"/>
        </w:rPr>
        <w:t>®</w:t>
      </w:r>
      <w:r>
        <w:rPr>
          <w:sz w:val="24"/>
          <w:szCs w:val="24"/>
        </w:rPr>
        <w:t xml:space="preserve"> treatment demonstrated statistically significant (p&lt;0.001) and clinically meaningful improvements from baseline compared to placebo (saline) for 50% reduction in headache days, mean frequency of moderate/severe headache days and total cumulative hours of headache on headache days (see Tables 1, 2, 3 and 4).  Results of the Headache Impact Test (HIT-6) and Migraine-Specific Quality of Life (MSQ) questionnaires indicated BOTOX</w:t>
      </w:r>
      <w:r>
        <w:rPr>
          <w:sz w:val="24"/>
          <w:szCs w:val="24"/>
          <w:vertAlign w:val="superscript"/>
        </w:rPr>
        <w:t>®</w:t>
      </w:r>
      <w:r>
        <w:rPr>
          <w:sz w:val="24"/>
          <w:szCs w:val="24"/>
        </w:rPr>
        <w:t xml:space="preserve"> had a sustained duration of action and improved functioning, vitality, psychological distress and overall quality of life (refer to Tables 1, 2, 3 and 4).</w:t>
      </w:r>
    </w:p>
    <w:p w:rsidR="00051188" w:rsidRDefault="00051188" w:rsidP="009D78B4">
      <w:pPr>
        <w:widowControl w:val="0"/>
        <w:tabs>
          <w:tab w:val="left" w:pos="10800"/>
        </w:tabs>
        <w:autoSpaceDE w:val="0"/>
        <w:autoSpaceDN w:val="0"/>
        <w:adjustRightInd w:val="0"/>
        <w:rPr>
          <w:b/>
          <w:sz w:val="24"/>
          <w:szCs w:val="24"/>
        </w:rPr>
      </w:pPr>
    </w:p>
    <w:p w:rsidR="00051188" w:rsidRDefault="00051188" w:rsidP="009D78B4">
      <w:pPr>
        <w:widowControl w:val="0"/>
        <w:tabs>
          <w:tab w:val="left" w:pos="10800"/>
        </w:tabs>
        <w:autoSpaceDE w:val="0"/>
        <w:autoSpaceDN w:val="0"/>
        <w:adjustRightInd w:val="0"/>
        <w:ind w:left="900" w:hanging="900"/>
        <w:rPr>
          <w:b/>
          <w:sz w:val="24"/>
          <w:szCs w:val="24"/>
        </w:rPr>
      </w:pPr>
      <w:r>
        <w:rPr>
          <w:b/>
          <w:sz w:val="24"/>
          <w:szCs w:val="24"/>
        </w:rPr>
        <w:t xml:space="preserve">Table 1: Week 24 (Primary Timepoint) Key Efficacy Variables for Pooled Phase </w:t>
      </w:r>
    </w:p>
    <w:p w:rsidR="00051188" w:rsidRDefault="00051188" w:rsidP="009D78B4">
      <w:pPr>
        <w:widowControl w:val="0"/>
        <w:tabs>
          <w:tab w:val="left" w:pos="10800"/>
        </w:tabs>
        <w:autoSpaceDE w:val="0"/>
        <w:autoSpaceDN w:val="0"/>
        <w:adjustRightInd w:val="0"/>
        <w:ind w:left="900" w:hanging="900"/>
        <w:rPr>
          <w:b/>
          <w:sz w:val="24"/>
          <w:szCs w:val="24"/>
        </w:rPr>
      </w:pPr>
      <w:r>
        <w:rPr>
          <w:b/>
          <w:sz w:val="24"/>
          <w:szCs w:val="24"/>
        </w:rPr>
        <w:t>3 Studies</w:t>
      </w:r>
    </w:p>
    <w:tbl>
      <w:tblPr>
        <w:tblW w:w="89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95"/>
        <w:gridCol w:w="1620"/>
        <w:gridCol w:w="1440"/>
        <w:gridCol w:w="1440"/>
      </w:tblGrid>
      <w:tr w:rsidR="00051188">
        <w:trPr>
          <w:trHeight w:val="297"/>
        </w:trPr>
        <w:tc>
          <w:tcPr>
            <w:tcW w:w="4495" w:type="dxa"/>
            <w:vMerge w:val="restart"/>
            <w:tcBorders>
              <w:top w:val="single" w:sz="12" w:space="0" w:color="auto"/>
              <w:left w:val="single" w:sz="12" w:space="0" w:color="auto"/>
              <w:right w:val="single" w:sz="12" w:space="0" w:color="auto"/>
            </w:tcBorders>
            <w:shd w:val="clear" w:color="auto" w:fill="auto"/>
          </w:tcPr>
          <w:p w:rsidR="00051188" w:rsidRDefault="00051188" w:rsidP="009D78B4">
            <w:pPr>
              <w:pStyle w:val="TableTextSmall"/>
              <w:keepNext w:val="0"/>
              <w:widowControl w:val="0"/>
              <w:spacing w:before="0" w:after="0"/>
              <w:rPr>
                <w:rFonts w:ascii="Times New Roman Bold" w:hAnsi="Times New Roman Bold"/>
                <w:b/>
                <w:sz w:val="22"/>
                <w:szCs w:val="22"/>
              </w:rPr>
            </w:pPr>
          </w:p>
          <w:p w:rsidR="00051188" w:rsidRDefault="00051188" w:rsidP="009D78B4">
            <w:pPr>
              <w:pStyle w:val="TableTextSmall"/>
              <w:keepNext w:val="0"/>
              <w:widowControl w:val="0"/>
              <w:spacing w:before="0" w:after="0"/>
              <w:rPr>
                <w:rFonts w:ascii="Times New Roman Bold" w:hAnsi="Times New Roman Bold"/>
                <w:b/>
                <w:sz w:val="22"/>
                <w:szCs w:val="22"/>
              </w:rPr>
            </w:pPr>
          </w:p>
          <w:p w:rsidR="00051188" w:rsidRDefault="00051188" w:rsidP="009D78B4">
            <w:pPr>
              <w:pStyle w:val="TableTextSmall"/>
              <w:keepNext w:val="0"/>
              <w:widowControl w:val="0"/>
              <w:spacing w:before="0" w:after="0"/>
              <w:rPr>
                <w:rFonts w:ascii="Times New Roman Bold" w:hAnsi="Times New Roman Bold"/>
                <w:b/>
                <w:sz w:val="22"/>
                <w:szCs w:val="22"/>
              </w:rPr>
            </w:pPr>
            <w:r>
              <w:rPr>
                <w:rFonts w:ascii="Times New Roman Bold" w:hAnsi="Times New Roman Bold"/>
                <w:b/>
                <w:sz w:val="22"/>
                <w:szCs w:val="22"/>
              </w:rPr>
              <w:t>Efficacy per 28 days</w:t>
            </w:r>
          </w:p>
        </w:tc>
        <w:tc>
          <w:tcPr>
            <w:tcW w:w="4500" w:type="dxa"/>
            <w:gridSpan w:val="3"/>
            <w:tcBorders>
              <w:top w:val="single" w:sz="12" w:space="0" w:color="auto"/>
              <w:left w:val="single" w:sz="12" w:space="0" w:color="auto"/>
              <w:right w:val="single" w:sz="12" w:space="0" w:color="auto"/>
            </w:tcBorders>
          </w:tcPr>
          <w:p w:rsidR="00051188" w:rsidRDefault="00051188" w:rsidP="009D78B4">
            <w:pPr>
              <w:pStyle w:val="TableTextSmall"/>
              <w:keepNext w:val="0"/>
              <w:widowControl w:val="0"/>
              <w:spacing w:before="0" w:after="0"/>
              <w:jc w:val="center"/>
              <w:rPr>
                <w:rFonts w:ascii="Times New Roman Bold" w:hAnsi="Times New Roman Bold"/>
                <w:b/>
                <w:sz w:val="22"/>
                <w:szCs w:val="22"/>
              </w:rPr>
            </w:pPr>
            <w:r>
              <w:rPr>
                <w:rFonts w:ascii="Times New Roman Bold" w:hAnsi="Times New Roman Bold"/>
                <w:b/>
                <w:sz w:val="22"/>
                <w:szCs w:val="22"/>
              </w:rPr>
              <w:t>Pooled Studies 191622-079 &amp; 191622-080</w:t>
            </w:r>
          </w:p>
        </w:tc>
      </w:tr>
      <w:tr w:rsidR="00051188">
        <w:trPr>
          <w:trHeight w:val="755"/>
        </w:trPr>
        <w:tc>
          <w:tcPr>
            <w:tcW w:w="4495" w:type="dxa"/>
            <w:vMerge/>
            <w:tcBorders>
              <w:left w:val="single" w:sz="12" w:space="0" w:color="auto"/>
              <w:bottom w:val="single" w:sz="12" w:space="0" w:color="auto"/>
              <w:right w:val="single" w:sz="12" w:space="0" w:color="auto"/>
            </w:tcBorders>
            <w:shd w:val="clear" w:color="auto" w:fill="auto"/>
          </w:tcPr>
          <w:p w:rsidR="00051188" w:rsidRDefault="00051188" w:rsidP="009D78B4">
            <w:pPr>
              <w:pStyle w:val="TableTextSmall"/>
              <w:keepNext w:val="0"/>
              <w:widowControl w:val="0"/>
              <w:spacing w:before="0" w:after="0"/>
              <w:rPr>
                <w:sz w:val="22"/>
                <w:szCs w:val="22"/>
              </w:rPr>
            </w:pPr>
          </w:p>
        </w:tc>
        <w:tc>
          <w:tcPr>
            <w:tcW w:w="1620" w:type="dxa"/>
            <w:tcBorders>
              <w:left w:val="single" w:sz="12" w:space="0" w:color="auto"/>
              <w:bottom w:val="single" w:sz="12" w:space="0" w:color="auto"/>
            </w:tcBorders>
          </w:tcPr>
          <w:p w:rsidR="00051188" w:rsidRDefault="00051188" w:rsidP="009D78B4">
            <w:pPr>
              <w:pStyle w:val="TableTextSmall"/>
              <w:keepNext w:val="0"/>
              <w:widowControl w:val="0"/>
              <w:spacing w:before="0" w:after="0"/>
              <w:jc w:val="center"/>
              <w:rPr>
                <w:i/>
                <w:color w:val="0000FF"/>
                <w:sz w:val="22"/>
                <w:szCs w:val="22"/>
              </w:rPr>
            </w:pPr>
            <w:r>
              <w:rPr>
                <w:sz w:val="22"/>
                <w:szCs w:val="22"/>
              </w:rPr>
              <w:t>BOTOX</w:t>
            </w:r>
            <w:r>
              <w:rPr>
                <w:sz w:val="22"/>
                <w:szCs w:val="22"/>
                <w:vertAlign w:val="superscript"/>
              </w:rPr>
              <w:t>®</w:t>
            </w:r>
          </w:p>
          <w:p w:rsidR="00051188" w:rsidRDefault="00051188" w:rsidP="009D78B4">
            <w:pPr>
              <w:pStyle w:val="TableTextSmall"/>
              <w:keepNext w:val="0"/>
              <w:widowControl w:val="0"/>
              <w:spacing w:before="0" w:after="0"/>
              <w:jc w:val="center"/>
              <w:rPr>
                <w:i/>
                <w:color w:val="0000FF"/>
                <w:sz w:val="22"/>
                <w:szCs w:val="22"/>
              </w:rPr>
            </w:pPr>
            <w:r>
              <w:rPr>
                <w:sz w:val="22"/>
                <w:szCs w:val="22"/>
              </w:rPr>
              <w:t>(N=688)</w:t>
            </w:r>
          </w:p>
        </w:tc>
        <w:tc>
          <w:tcPr>
            <w:tcW w:w="1440" w:type="dxa"/>
            <w:tcBorders>
              <w:bottom w:val="single" w:sz="12" w:space="0" w:color="auto"/>
            </w:tcBorders>
          </w:tcPr>
          <w:p w:rsidR="00051188" w:rsidRDefault="00051188" w:rsidP="009D78B4">
            <w:pPr>
              <w:pStyle w:val="TableTextSmall"/>
              <w:keepNext w:val="0"/>
              <w:widowControl w:val="0"/>
              <w:spacing w:before="0" w:after="0"/>
              <w:jc w:val="center"/>
              <w:rPr>
                <w:i/>
                <w:color w:val="0000FF"/>
                <w:sz w:val="22"/>
                <w:szCs w:val="22"/>
              </w:rPr>
            </w:pPr>
            <w:r>
              <w:rPr>
                <w:sz w:val="22"/>
                <w:szCs w:val="22"/>
              </w:rPr>
              <w:t>Placebo (saline)</w:t>
            </w:r>
          </w:p>
          <w:p w:rsidR="00051188" w:rsidRDefault="00051188" w:rsidP="009D78B4">
            <w:pPr>
              <w:pStyle w:val="TableTextSmall"/>
              <w:keepNext w:val="0"/>
              <w:widowControl w:val="0"/>
              <w:spacing w:before="0" w:after="0"/>
              <w:jc w:val="center"/>
              <w:rPr>
                <w:i/>
                <w:color w:val="0000FF"/>
                <w:sz w:val="22"/>
                <w:szCs w:val="22"/>
              </w:rPr>
            </w:pPr>
            <w:r>
              <w:rPr>
                <w:sz w:val="22"/>
                <w:szCs w:val="22"/>
              </w:rPr>
              <w:t>(N=696)</w:t>
            </w:r>
          </w:p>
        </w:tc>
        <w:tc>
          <w:tcPr>
            <w:tcW w:w="1440" w:type="dxa"/>
            <w:tcBorders>
              <w:bottom w:val="single" w:sz="12" w:space="0" w:color="auto"/>
              <w:right w:val="single" w:sz="12" w:space="0" w:color="auto"/>
            </w:tcBorders>
          </w:tcPr>
          <w:p w:rsidR="00051188" w:rsidRDefault="00051188" w:rsidP="009D78B4">
            <w:pPr>
              <w:pStyle w:val="TableTextSmall"/>
              <w:keepNext w:val="0"/>
              <w:widowControl w:val="0"/>
              <w:spacing w:before="0" w:after="0"/>
              <w:jc w:val="center"/>
              <w:rPr>
                <w:i/>
                <w:color w:val="0000FF"/>
                <w:sz w:val="22"/>
                <w:szCs w:val="22"/>
              </w:rPr>
            </w:pPr>
            <w:r>
              <w:rPr>
                <w:sz w:val="22"/>
                <w:szCs w:val="22"/>
              </w:rPr>
              <w:t>p- value</w:t>
            </w:r>
          </w:p>
        </w:tc>
      </w:tr>
      <w:tr w:rsidR="00051188">
        <w:trPr>
          <w:trHeight w:val="430"/>
        </w:trPr>
        <w:tc>
          <w:tcPr>
            <w:tcW w:w="4495" w:type="dxa"/>
            <w:tcBorders>
              <w:top w:val="single" w:sz="12" w:space="0" w:color="auto"/>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frequency of headache days</w:t>
            </w:r>
            <w:r>
              <w:rPr>
                <w:sz w:val="24"/>
                <w:vertAlign w:val="superscript"/>
              </w:rPr>
              <w:t xml:space="preserve"> a</w:t>
            </w:r>
          </w:p>
        </w:tc>
        <w:tc>
          <w:tcPr>
            <w:tcW w:w="1620" w:type="dxa"/>
            <w:tcBorders>
              <w:top w:val="single" w:sz="12" w:space="0" w:color="auto"/>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-8.4</w:t>
            </w:r>
          </w:p>
        </w:tc>
        <w:tc>
          <w:tcPr>
            <w:tcW w:w="1440" w:type="dxa"/>
            <w:tcBorders>
              <w:top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-6.6</w:t>
            </w:r>
          </w:p>
        </w:tc>
        <w:tc>
          <w:tcPr>
            <w:tcW w:w="1440" w:type="dxa"/>
            <w:tcBorders>
              <w:top w:val="single" w:sz="12" w:space="0" w:color="auto"/>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558"/>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frequency of migraine/probable migraine days</w:t>
            </w:r>
            <w:r>
              <w:rPr>
                <w:sz w:val="24"/>
                <w:vertAlign w:val="superscript"/>
              </w:rPr>
              <w:t xml:space="preserve"> a</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-8.2</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-6.2</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552"/>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number of moderate/severe headache days</w:t>
            </w:r>
            <w:r>
              <w:rPr>
                <w:sz w:val="24"/>
                <w:vertAlign w:val="superscript"/>
              </w:rPr>
              <w:t xml:space="preserve"> a</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-7.7</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-5.8</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558"/>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total cumulative hours of headache on headache days</w:t>
            </w:r>
            <w:r>
              <w:rPr>
                <w:sz w:val="24"/>
                <w:vertAlign w:val="superscript"/>
              </w:rPr>
              <w:t xml:space="preserve"> a</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 xml:space="preserve">-119.73 </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-80.49</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430"/>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frequency of headache episodes</w:t>
            </w:r>
            <w:r>
              <w:rPr>
                <w:sz w:val="24"/>
                <w:vertAlign w:val="superscript"/>
              </w:rPr>
              <w:t xml:space="preserve"> a</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-5.2</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-4.9</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0.009</w:t>
            </w:r>
          </w:p>
        </w:tc>
      </w:tr>
      <w:tr w:rsidR="00051188">
        <w:trPr>
          <w:trHeight w:val="430"/>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Decrease from baseline in 50% or more headache days</w:t>
            </w:r>
            <w:r>
              <w:rPr>
                <w:sz w:val="24"/>
                <w:vertAlign w:val="superscript"/>
              </w:rPr>
              <w:t xml:space="preserve"> a</w:t>
            </w:r>
            <w:r>
              <w:rPr>
                <w:sz w:val="22"/>
                <w:szCs w:val="22"/>
              </w:rPr>
              <w:t xml:space="preserve"> </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47.1%</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35.1%</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430"/>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Proportion of patients with severe HIT-6 category scores</w:t>
            </w:r>
            <w:r>
              <w:rPr>
                <w:sz w:val="24"/>
                <w:vertAlign w:val="superscript"/>
              </w:rPr>
              <w:t xml:space="preserve"> b</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67.6%</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78.2%</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242"/>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Total HIT-6 scores</w:t>
            </w:r>
            <w:r>
              <w:rPr>
                <w:sz w:val="24"/>
                <w:vertAlign w:val="superscript"/>
              </w:rPr>
              <w:t xml:space="preserve"> b</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-4.8</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-2.4</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430"/>
        </w:trPr>
        <w:tc>
          <w:tcPr>
            <w:tcW w:w="4495" w:type="dxa"/>
            <w:tcBorders>
              <w:left w:val="single" w:sz="12" w:space="0" w:color="auto"/>
              <w:bottom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MSQ scores</w:t>
            </w:r>
            <w:r>
              <w:rPr>
                <w:vertAlign w:val="superscript"/>
              </w:rPr>
              <w:t xml:space="preserve"> b</w:t>
            </w:r>
          </w:p>
          <w:p w:rsidR="00051188" w:rsidRDefault="00051188" w:rsidP="009D78B4">
            <w:pPr>
              <w:pStyle w:val="TableTextSmall"/>
              <w:keepNext w:val="0"/>
              <w:widowControl w:val="0"/>
              <w:spacing w:before="0" w:after="0"/>
              <w:rPr>
                <w:sz w:val="22"/>
                <w:szCs w:val="22"/>
              </w:rPr>
            </w:pPr>
            <w:r>
              <w:rPr>
                <w:sz w:val="22"/>
                <w:szCs w:val="22"/>
              </w:rPr>
              <w:t>Role function- Restrictive</w:t>
            </w:r>
          </w:p>
          <w:p w:rsidR="00051188" w:rsidRDefault="00051188" w:rsidP="009D78B4">
            <w:pPr>
              <w:pStyle w:val="TableTextSmall"/>
              <w:keepNext w:val="0"/>
              <w:widowControl w:val="0"/>
              <w:spacing w:before="0" w:after="0"/>
              <w:rPr>
                <w:sz w:val="22"/>
                <w:szCs w:val="22"/>
              </w:rPr>
            </w:pPr>
            <w:r>
              <w:rPr>
                <w:sz w:val="22"/>
                <w:szCs w:val="22"/>
              </w:rPr>
              <w:lastRenderedPageBreak/>
              <w:t>Role function- Preventative</w:t>
            </w:r>
          </w:p>
          <w:p w:rsidR="00051188" w:rsidRDefault="00051188" w:rsidP="009D78B4">
            <w:pPr>
              <w:pStyle w:val="TableTextSmall"/>
              <w:keepNext w:val="0"/>
              <w:widowControl w:val="0"/>
              <w:spacing w:before="0" w:after="0"/>
              <w:rPr>
                <w:sz w:val="22"/>
                <w:szCs w:val="22"/>
              </w:rPr>
            </w:pPr>
            <w:r>
              <w:rPr>
                <w:sz w:val="22"/>
                <w:szCs w:val="22"/>
              </w:rPr>
              <w:t>Role function- Emotional Function</w:t>
            </w:r>
          </w:p>
        </w:tc>
        <w:tc>
          <w:tcPr>
            <w:tcW w:w="1620" w:type="dxa"/>
            <w:tcBorders>
              <w:left w:val="single" w:sz="12" w:space="0" w:color="auto"/>
              <w:bottom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 xml:space="preserve">-17.0 </w:t>
            </w:r>
          </w:p>
          <w:p w:rsidR="00051188" w:rsidRDefault="00051188" w:rsidP="009D78B4">
            <w:pPr>
              <w:pStyle w:val="TableTextSmall"/>
              <w:keepNext w:val="0"/>
              <w:widowControl w:val="0"/>
              <w:spacing w:before="0" w:after="0"/>
              <w:jc w:val="center"/>
              <w:rPr>
                <w:sz w:val="22"/>
                <w:szCs w:val="22"/>
              </w:rPr>
            </w:pPr>
            <w:r>
              <w:rPr>
                <w:sz w:val="22"/>
                <w:szCs w:val="22"/>
              </w:rPr>
              <w:lastRenderedPageBreak/>
              <w:t xml:space="preserve">-13.1 </w:t>
            </w:r>
          </w:p>
          <w:p w:rsidR="00051188" w:rsidRDefault="00051188" w:rsidP="009D78B4">
            <w:pPr>
              <w:pStyle w:val="TableTextSmall"/>
              <w:keepNext w:val="0"/>
              <w:widowControl w:val="0"/>
              <w:spacing w:before="0" w:after="0"/>
              <w:jc w:val="center"/>
              <w:rPr>
                <w:sz w:val="22"/>
                <w:szCs w:val="22"/>
              </w:rPr>
            </w:pPr>
            <w:r>
              <w:rPr>
                <w:sz w:val="22"/>
                <w:szCs w:val="22"/>
              </w:rPr>
              <w:t xml:space="preserve">-17.9 </w:t>
            </w:r>
          </w:p>
        </w:tc>
        <w:tc>
          <w:tcPr>
            <w:tcW w:w="1440" w:type="dxa"/>
            <w:tcBorders>
              <w:bottom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 xml:space="preserve">-8.6 </w:t>
            </w:r>
          </w:p>
          <w:p w:rsidR="00051188" w:rsidRDefault="00051188" w:rsidP="009D78B4">
            <w:pPr>
              <w:pStyle w:val="TableTextSmall"/>
              <w:keepNext w:val="0"/>
              <w:widowControl w:val="0"/>
              <w:spacing w:before="0" w:after="0"/>
              <w:jc w:val="center"/>
              <w:rPr>
                <w:sz w:val="22"/>
                <w:szCs w:val="22"/>
              </w:rPr>
            </w:pPr>
            <w:r>
              <w:rPr>
                <w:sz w:val="22"/>
                <w:szCs w:val="22"/>
              </w:rPr>
              <w:lastRenderedPageBreak/>
              <w:t xml:space="preserve">-6.4 </w:t>
            </w:r>
          </w:p>
          <w:p w:rsidR="00051188" w:rsidRDefault="00051188" w:rsidP="009D78B4">
            <w:pPr>
              <w:pStyle w:val="TableTextSmall"/>
              <w:keepNext w:val="0"/>
              <w:widowControl w:val="0"/>
              <w:spacing w:before="0" w:after="0"/>
              <w:jc w:val="center"/>
              <w:rPr>
                <w:sz w:val="22"/>
                <w:szCs w:val="22"/>
              </w:rPr>
            </w:pPr>
            <w:r>
              <w:rPr>
                <w:sz w:val="22"/>
                <w:szCs w:val="22"/>
              </w:rPr>
              <w:t xml:space="preserve">-9.5 </w:t>
            </w:r>
          </w:p>
        </w:tc>
        <w:tc>
          <w:tcPr>
            <w:tcW w:w="1440" w:type="dxa"/>
            <w:tcBorders>
              <w:bottom w:val="single" w:sz="12" w:space="0" w:color="auto"/>
              <w:right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&lt;0.001</w:t>
            </w:r>
          </w:p>
          <w:p w:rsidR="00051188" w:rsidRDefault="00051188" w:rsidP="009D78B4">
            <w:pPr>
              <w:pStyle w:val="TableTextSmall"/>
              <w:keepNext w:val="0"/>
              <w:widowControl w:val="0"/>
              <w:spacing w:before="0" w:after="0"/>
              <w:jc w:val="center"/>
              <w:rPr>
                <w:sz w:val="22"/>
                <w:szCs w:val="22"/>
              </w:rPr>
            </w:pPr>
            <w:r>
              <w:rPr>
                <w:sz w:val="22"/>
                <w:szCs w:val="22"/>
              </w:rPr>
              <w:lastRenderedPageBreak/>
              <w:t>&lt;0.001</w:t>
            </w:r>
          </w:p>
          <w:p w:rsidR="00051188" w:rsidRDefault="00051188" w:rsidP="009D78B4">
            <w:pPr>
              <w:pStyle w:val="TableTextSmall"/>
              <w:keepNext w:val="0"/>
              <w:widowControl w:val="0"/>
              <w:spacing w:before="0" w:after="0"/>
              <w:jc w:val="center"/>
              <w:rPr>
                <w:sz w:val="22"/>
                <w:szCs w:val="22"/>
              </w:rPr>
            </w:pPr>
            <w:r>
              <w:rPr>
                <w:sz w:val="22"/>
                <w:szCs w:val="22"/>
              </w:rPr>
              <w:t>&lt;0.001</w:t>
            </w:r>
          </w:p>
        </w:tc>
      </w:tr>
    </w:tbl>
    <w:p w:rsidR="00051188" w:rsidRDefault="00051188" w:rsidP="009D78B4">
      <w:pPr>
        <w:widowControl w:val="0"/>
        <w:tabs>
          <w:tab w:val="left" w:pos="10800"/>
        </w:tabs>
        <w:autoSpaceDE w:val="0"/>
        <w:autoSpaceDN w:val="0"/>
        <w:adjustRightInd w:val="0"/>
      </w:pPr>
      <w:r>
        <w:rPr>
          <w:vertAlign w:val="superscript"/>
        </w:rPr>
        <w:lastRenderedPageBreak/>
        <w:t xml:space="preserve">a </w:t>
      </w:r>
      <w:r>
        <w:t xml:space="preserve"> Evaluated over a 28 day pre-randomisation baseline period and a 28 day period leading up to Week 24</w:t>
      </w:r>
    </w:p>
    <w:p w:rsidR="00051188" w:rsidRDefault="00051188" w:rsidP="009D78B4">
      <w:pPr>
        <w:widowControl w:val="0"/>
        <w:tabs>
          <w:tab w:val="left" w:pos="10800"/>
        </w:tabs>
        <w:autoSpaceDE w:val="0"/>
        <w:autoSpaceDN w:val="0"/>
        <w:adjustRightInd w:val="0"/>
      </w:pPr>
      <w:r>
        <w:rPr>
          <w:vertAlign w:val="superscript"/>
        </w:rPr>
        <w:t>b</w:t>
      </w:r>
      <w:r>
        <w:t xml:space="preserve"> Administered once at baseline and once at Week 24, and designed to collect data based on patient’s one month recall</w:t>
      </w:r>
    </w:p>
    <w:p w:rsidR="00051188" w:rsidRDefault="00051188" w:rsidP="009D78B4">
      <w:pPr>
        <w:widowControl w:val="0"/>
        <w:rPr>
          <w:b/>
          <w:sz w:val="24"/>
          <w:szCs w:val="24"/>
        </w:rPr>
      </w:pPr>
    </w:p>
    <w:p w:rsidR="001F21BC" w:rsidRDefault="001F21BC" w:rsidP="009D78B4">
      <w:pPr>
        <w:widowControl w:val="0"/>
        <w:rPr>
          <w:b/>
          <w:sz w:val="24"/>
          <w:szCs w:val="24"/>
        </w:rPr>
      </w:pPr>
    </w:p>
    <w:p w:rsidR="001F21BC" w:rsidRDefault="001F21BC" w:rsidP="009D78B4">
      <w:pPr>
        <w:widowControl w:val="0"/>
        <w:rPr>
          <w:b/>
          <w:sz w:val="24"/>
          <w:szCs w:val="24"/>
        </w:rPr>
      </w:pPr>
    </w:p>
    <w:p w:rsidR="00051188" w:rsidRDefault="00051188" w:rsidP="009D78B4">
      <w:pPr>
        <w:widowControl w:val="0"/>
        <w:rPr>
          <w:b/>
          <w:sz w:val="24"/>
          <w:szCs w:val="24"/>
        </w:rPr>
      </w:pPr>
      <w:r>
        <w:rPr>
          <w:b/>
          <w:sz w:val="24"/>
          <w:szCs w:val="24"/>
        </w:rPr>
        <w:t>Table 2: Week 24 (Primary Timepoint) Key Efficacy Variables for Pooled Phase 3 Studies in Medication Overuse Subgroup</w:t>
      </w:r>
    </w:p>
    <w:tbl>
      <w:tblPr>
        <w:tblW w:w="89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95"/>
        <w:gridCol w:w="1620"/>
        <w:gridCol w:w="1440"/>
        <w:gridCol w:w="1440"/>
      </w:tblGrid>
      <w:tr w:rsidR="00051188">
        <w:trPr>
          <w:trHeight w:val="297"/>
        </w:trPr>
        <w:tc>
          <w:tcPr>
            <w:tcW w:w="4495" w:type="dxa"/>
            <w:vMerge w:val="restart"/>
            <w:tcBorders>
              <w:top w:val="single" w:sz="12" w:space="0" w:color="auto"/>
              <w:left w:val="single" w:sz="12" w:space="0" w:color="auto"/>
              <w:right w:val="single" w:sz="12" w:space="0" w:color="auto"/>
            </w:tcBorders>
            <w:shd w:val="clear" w:color="auto" w:fill="auto"/>
          </w:tcPr>
          <w:p w:rsidR="00051188" w:rsidRDefault="00051188" w:rsidP="009D78B4">
            <w:pPr>
              <w:pStyle w:val="TableTextSmall"/>
              <w:keepNext w:val="0"/>
              <w:widowControl w:val="0"/>
              <w:spacing w:before="0" w:after="0"/>
              <w:rPr>
                <w:rFonts w:ascii="Times New Roman Bold" w:hAnsi="Times New Roman Bold"/>
                <w:b/>
                <w:sz w:val="22"/>
                <w:szCs w:val="22"/>
              </w:rPr>
            </w:pPr>
          </w:p>
          <w:p w:rsidR="00051188" w:rsidRDefault="00051188" w:rsidP="009D78B4">
            <w:pPr>
              <w:pStyle w:val="TableTextSmall"/>
              <w:keepNext w:val="0"/>
              <w:widowControl w:val="0"/>
              <w:spacing w:before="0" w:after="0"/>
              <w:rPr>
                <w:rFonts w:ascii="Times New Roman Bold" w:hAnsi="Times New Roman Bold"/>
                <w:b/>
                <w:sz w:val="22"/>
                <w:szCs w:val="22"/>
              </w:rPr>
            </w:pPr>
          </w:p>
          <w:p w:rsidR="00051188" w:rsidRDefault="00051188" w:rsidP="009D78B4">
            <w:pPr>
              <w:pStyle w:val="TableTextSmall"/>
              <w:keepNext w:val="0"/>
              <w:widowControl w:val="0"/>
              <w:spacing w:before="0" w:after="0"/>
              <w:rPr>
                <w:rFonts w:ascii="Times New Roman Bold" w:hAnsi="Times New Roman Bold"/>
                <w:b/>
                <w:sz w:val="22"/>
                <w:szCs w:val="22"/>
              </w:rPr>
            </w:pPr>
            <w:r>
              <w:rPr>
                <w:rFonts w:ascii="Times New Roman Bold" w:hAnsi="Times New Roman Bold"/>
                <w:b/>
                <w:sz w:val="22"/>
                <w:szCs w:val="22"/>
              </w:rPr>
              <w:t>Efficacy per 28 days</w:t>
            </w:r>
          </w:p>
        </w:tc>
        <w:tc>
          <w:tcPr>
            <w:tcW w:w="4500" w:type="dxa"/>
            <w:gridSpan w:val="3"/>
            <w:tcBorders>
              <w:top w:val="single" w:sz="12" w:space="0" w:color="auto"/>
              <w:left w:val="single" w:sz="12" w:space="0" w:color="auto"/>
              <w:right w:val="single" w:sz="12" w:space="0" w:color="auto"/>
            </w:tcBorders>
          </w:tcPr>
          <w:p w:rsidR="00051188" w:rsidRDefault="00051188" w:rsidP="009D78B4">
            <w:pPr>
              <w:pStyle w:val="TableTextSmall"/>
              <w:keepNext w:val="0"/>
              <w:widowControl w:val="0"/>
              <w:spacing w:before="0" w:after="0"/>
              <w:jc w:val="center"/>
              <w:rPr>
                <w:rFonts w:ascii="Times New Roman Bold" w:hAnsi="Times New Roman Bold"/>
                <w:b/>
                <w:sz w:val="22"/>
                <w:szCs w:val="22"/>
              </w:rPr>
            </w:pPr>
            <w:r>
              <w:rPr>
                <w:rFonts w:ascii="Times New Roman Bold" w:hAnsi="Times New Roman Bold"/>
                <w:b/>
                <w:sz w:val="22"/>
                <w:szCs w:val="22"/>
              </w:rPr>
              <w:t>Pooled Studies 191622-079 &amp; 191622-080</w:t>
            </w:r>
          </w:p>
        </w:tc>
      </w:tr>
      <w:tr w:rsidR="00051188">
        <w:trPr>
          <w:trHeight w:val="755"/>
        </w:trPr>
        <w:tc>
          <w:tcPr>
            <w:tcW w:w="4495" w:type="dxa"/>
            <w:vMerge/>
            <w:tcBorders>
              <w:left w:val="single" w:sz="12" w:space="0" w:color="auto"/>
              <w:bottom w:val="single" w:sz="12" w:space="0" w:color="auto"/>
              <w:right w:val="single" w:sz="12" w:space="0" w:color="auto"/>
            </w:tcBorders>
            <w:shd w:val="clear" w:color="auto" w:fill="auto"/>
          </w:tcPr>
          <w:p w:rsidR="00051188" w:rsidRDefault="00051188" w:rsidP="009D78B4">
            <w:pPr>
              <w:pStyle w:val="TableTextSmall"/>
              <w:keepNext w:val="0"/>
              <w:widowControl w:val="0"/>
              <w:spacing w:before="0" w:after="0"/>
              <w:rPr>
                <w:sz w:val="22"/>
                <w:szCs w:val="22"/>
              </w:rPr>
            </w:pPr>
          </w:p>
        </w:tc>
        <w:tc>
          <w:tcPr>
            <w:tcW w:w="1620" w:type="dxa"/>
            <w:tcBorders>
              <w:left w:val="single" w:sz="12" w:space="0" w:color="auto"/>
              <w:bottom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BOTOX</w:t>
            </w:r>
            <w:r>
              <w:rPr>
                <w:sz w:val="22"/>
                <w:szCs w:val="22"/>
                <w:vertAlign w:val="superscript"/>
              </w:rPr>
              <w:t>®</w:t>
            </w:r>
          </w:p>
          <w:p w:rsidR="00051188" w:rsidRDefault="00051188" w:rsidP="009D78B4">
            <w:pPr>
              <w:pStyle w:val="TableTextSmall"/>
              <w:keepNext w:val="0"/>
              <w:widowControl w:val="0"/>
              <w:spacing w:before="0" w:after="0"/>
              <w:jc w:val="center"/>
              <w:rPr>
                <w:sz w:val="22"/>
                <w:szCs w:val="22"/>
              </w:rPr>
            </w:pPr>
            <w:r>
              <w:rPr>
                <w:sz w:val="22"/>
                <w:szCs w:val="22"/>
              </w:rPr>
              <w:t>(N=445)</w:t>
            </w:r>
          </w:p>
        </w:tc>
        <w:tc>
          <w:tcPr>
            <w:tcW w:w="1440" w:type="dxa"/>
            <w:tcBorders>
              <w:bottom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Placebo (saline)</w:t>
            </w:r>
          </w:p>
          <w:p w:rsidR="00051188" w:rsidRDefault="00051188" w:rsidP="009D78B4">
            <w:pPr>
              <w:pStyle w:val="TableTextSmall"/>
              <w:keepNext w:val="0"/>
              <w:widowControl w:val="0"/>
              <w:spacing w:before="0" w:after="0"/>
              <w:jc w:val="center"/>
              <w:rPr>
                <w:sz w:val="22"/>
                <w:szCs w:val="22"/>
              </w:rPr>
            </w:pPr>
            <w:r>
              <w:rPr>
                <w:sz w:val="22"/>
                <w:szCs w:val="22"/>
              </w:rPr>
              <w:t>(N=459)</w:t>
            </w:r>
          </w:p>
        </w:tc>
        <w:tc>
          <w:tcPr>
            <w:tcW w:w="1440" w:type="dxa"/>
            <w:tcBorders>
              <w:bottom w:val="single" w:sz="12" w:space="0" w:color="auto"/>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p- value</w:t>
            </w:r>
          </w:p>
        </w:tc>
      </w:tr>
      <w:tr w:rsidR="00051188">
        <w:trPr>
          <w:trHeight w:val="430"/>
        </w:trPr>
        <w:tc>
          <w:tcPr>
            <w:tcW w:w="4495" w:type="dxa"/>
            <w:tcBorders>
              <w:top w:val="single" w:sz="12" w:space="0" w:color="auto"/>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frequency of headache days</w:t>
            </w:r>
            <w:r>
              <w:rPr>
                <w:sz w:val="22"/>
                <w:szCs w:val="22"/>
                <w:vertAlign w:val="superscript"/>
              </w:rPr>
              <w:t>a</w:t>
            </w:r>
          </w:p>
        </w:tc>
        <w:tc>
          <w:tcPr>
            <w:tcW w:w="1620" w:type="dxa"/>
            <w:tcBorders>
              <w:top w:val="single" w:sz="12" w:space="0" w:color="auto"/>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-8.2</w:t>
            </w:r>
          </w:p>
        </w:tc>
        <w:tc>
          <w:tcPr>
            <w:tcW w:w="1440" w:type="dxa"/>
            <w:tcBorders>
              <w:top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-6.2</w:t>
            </w:r>
          </w:p>
        </w:tc>
        <w:tc>
          <w:tcPr>
            <w:tcW w:w="1440" w:type="dxa"/>
            <w:tcBorders>
              <w:top w:val="single" w:sz="12" w:space="0" w:color="auto"/>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558"/>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frequency of migraine/probable migraine days</w:t>
            </w:r>
            <w:r>
              <w:rPr>
                <w:sz w:val="22"/>
                <w:szCs w:val="22"/>
                <w:vertAlign w:val="superscript"/>
              </w:rPr>
              <w:t>a</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-8.1</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-6.0</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552"/>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number of moderate/severe headache days</w:t>
            </w:r>
            <w:r>
              <w:rPr>
                <w:sz w:val="22"/>
                <w:szCs w:val="22"/>
                <w:vertAlign w:val="superscript"/>
              </w:rPr>
              <w:t>a</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-7.7</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-5.7</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558"/>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total cumulative hours of headache on headache days</w:t>
            </w:r>
            <w:r>
              <w:rPr>
                <w:sz w:val="22"/>
                <w:szCs w:val="22"/>
                <w:vertAlign w:val="superscript"/>
              </w:rPr>
              <w:t>a</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-111.91</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-73.26</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430"/>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frequency of headache episodes</w:t>
            </w:r>
            <w:r>
              <w:rPr>
                <w:sz w:val="22"/>
                <w:szCs w:val="22"/>
                <w:vertAlign w:val="superscript"/>
              </w:rPr>
              <w:t>a</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-5.6</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-4.9</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0.028</w:t>
            </w:r>
          </w:p>
        </w:tc>
      </w:tr>
      <w:tr w:rsidR="00051188">
        <w:trPr>
          <w:trHeight w:val="430"/>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Proportion of patients with severe HIT-6</w:t>
            </w:r>
            <w:r>
              <w:rPr>
                <w:vertAlign w:val="superscript"/>
              </w:rPr>
              <w:t xml:space="preserve"> b</w:t>
            </w:r>
            <w:r>
              <w:rPr>
                <w:sz w:val="22"/>
                <w:szCs w:val="22"/>
              </w:rPr>
              <w:t xml:space="preserve"> category scores</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71.0%</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81.9%</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197"/>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Total HIT-6 scores</w:t>
            </w:r>
            <w:r>
              <w:rPr>
                <w:vertAlign w:val="superscript"/>
              </w:rPr>
              <w:t xml:space="preserve"> b</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-4.7</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-2.2</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430"/>
        </w:trPr>
        <w:tc>
          <w:tcPr>
            <w:tcW w:w="4495" w:type="dxa"/>
            <w:tcBorders>
              <w:left w:val="single" w:sz="12" w:space="0" w:color="auto"/>
              <w:bottom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MSQ scores</w:t>
            </w:r>
            <w:r>
              <w:rPr>
                <w:vertAlign w:val="superscript"/>
              </w:rPr>
              <w:t xml:space="preserve"> b</w:t>
            </w:r>
          </w:p>
          <w:p w:rsidR="00051188" w:rsidRDefault="00051188" w:rsidP="009D78B4">
            <w:pPr>
              <w:pStyle w:val="TableTextSmall"/>
              <w:keepNext w:val="0"/>
              <w:widowControl w:val="0"/>
              <w:spacing w:before="0" w:after="0"/>
              <w:rPr>
                <w:sz w:val="22"/>
                <w:szCs w:val="22"/>
              </w:rPr>
            </w:pPr>
            <w:r>
              <w:rPr>
                <w:sz w:val="22"/>
                <w:szCs w:val="22"/>
              </w:rPr>
              <w:t>Role function- Restrictive</w:t>
            </w:r>
          </w:p>
          <w:p w:rsidR="00051188" w:rsidRDefault="00051188" w:rsidP="009D78B4">
            <w:pPr>
              <w:pStyle w:val="TableTextSmall"/>
              <w:keepNext w:val="0"/>
              <w:widowControl w:val="0"/>
              <w:spacing w:before="0" w:after="0"/>
              <w:rPr>
                <w:sz w:val="22"/>
                <w:szCs w:val="22"/>
              </w:rPr>
            </w:pPr>
            <w:r>
              <w:rPr>
                <w:sz w:val="22"/>
                <w:szCs w:val="22"/>
              </w:rPr>
              <w:t>Role function- Preventative</w:t>
            </w:r>
          </w:p>
          <w:p w:rsidR="00051188" w:rsidRDefault="00051188" w:rsidP="009D78B4">
            <w:pPr>
              <w:pStyle w:val="TableTextSmall"/>
              <w:keepNext w:val="0"/>
              <w:widowControl w:val="0"/>
              <w:spacing w:before="0" w:after="0"/>
              <w:rPr>
                <w:sz w:val="22"/>
                <w:szCs w:val="22"/>
              </w:rPr>
            </w:pPr>
            <w:r>
              <w:rPr>
                <w:sz w:val="22"/>
                <w:szCs w:val="22"/>
              </w:rPr>
              <w:t>Role function- Emotional Function</w:t>
            </w:r>
          </w:p>
        </w:tc>
        <w:tc>
          <w:tcPr>
            <w:tcW w:w="1620" w:type="dxa"/>
            <w:tcBorders>
              <w:left w:val="single" w:sz="12" w:space="0" w:color="auto"/>
              <w:bottom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-16.9</w:t>
            </w:r>
          </w:p>
          <w:p w:rsidR="00051188" w:rsidRDefault="00051188" w:rsidP="009D78B4">
            <w:pPr>
              <w:pStyle w:val="TableTextSmall"/>
              <w:keepNext w:val="0"/>
              <w:widowControl w:val="0"/>
              <w:spacing w:before="0" w:after="0"/>
              <w:jc w:val="center"/>
              <w:rPr>
                <w:sz w:val="22"/>
                <w:szCs w:val="22"/>
              </w:rPr>
            </w:pPr>
            <w:r>
              <w:rPr>
                <w:sz w:val="22"/>
                <w:szCs w:val="22"/>
              </w:rPr>
              <w:t>-13.9</w:t>
            </w:r>
          </w:p>
          <w:p w:rsidR="00051188" w:rsidRDefault="00051188" w:rsidP="009D78B4">
            <w:pPr>
              <w:pStyle w:val="TableTextSmall"/>
              <w:keepNext w:val="0"/>
              <w:widowControl w:val="0"/>
              <w:spacing w:before="0" w:after="0"/>
              <w:jc w:val="center"/>
              <w:rPr>
                <w:sz w:val="22"/>
                <w:szCs w:val="22"/>
              </w:rPr>
            </w:pPr>
            <w:r>
              <w:rPr>
                <w:sz w:val="22"/>
                <w:szCs w:val="22"/>
              </w:rPr>
              <w:t>-18.3</w:t>
            </w:r>
          </w:p>
        </w:tc>
        <w:tc>
          <w:tcPr>
            <w:tcW w:w="1440" w:type="dxa"/>
            <w:tcBorders>
              <w:bottom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-7.6</w:t>
            </w:r>
          </w:p>
          <w:p w:rsidR="00051188" w:rsidRDefault="00051188" w:rsidP="009D78B4">
            <w:pPr>
              <w:pStyle w:val="TableTextSmall"/>
              <w:keepNext w:val="0"/>
              <w:widowControl w:val="0"/>
              <w:spacing w:before="0" w:after="0"/>
              <w:jc w:val="center"/>
              <w:rPr>
                <w:sz w:val="22"/>
                <w:szCs w:val="22"/>
              </w:rPr>
            </w:pPr>
            <w:r>
              <w:rPr>
                <w:sz w:val="22"/>
                <w:szCs w:val="22"/>
              </w:rPr>
              <w:t>-5.8</w:t>
            </w:r>
          </w:p>
          <w:p w:rsidR="00051188" w:rsidRDefault="00051188" w:rsidP="009D78B4">
            <w:pPr>
              <w:pStyle w:val="TableTextSmall"/>
              <w:keepNext w:val="0"/>
              <w:widowControl w:val="0"/>
              <w:spacing w:before="0" w:after="0"/>
              <w:jc w:val="center"/>
              <w:rPr>
                <w:sz w:val="22"/>
                <w:szCs w:val="22"/>
              </w:rPr>
            </w:pPr>
            <w:r>
              <w:rPr>
                <w:sz w:val="22"/>
                <w:szCs w:val="22"/>
              </w:rPr>
              <w:t>-8.7</w:t>
            </w:r>
          </w:p>
        </w:tc>
        <w:tc>
          <w:tcPr>
            <w:tcW w:w="1440" w:type="dxa"/>
            <w:tcBorders>
              <w:bottom w:val="single" w:sz="12" w:space="0" w:color="auto"/>
              <w:right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&lt;0.001</w:t>
            </w:r>
          </w:p>
          <w:p w:rsidR="00051188" w:rsidRDefault="00051188" w:rsidP="009D78B4">
            <w:pPr>
              <w:pStyle w:val="TableTextSmall"/>
              <w:keepNext w:val="0"/>
              <w:widowControl w:val="0"/>
              <w:spacing w:before="0" w:after="0"/>
              <w:jc w:val="center"/>
              <w:rPr>
                <w:sz w:val="22"/>
                <w:szCs w:val="22"/>
              </w:rPr>
            </w:pPr>
            <w:r>
              <w:rPr>
                <w:sz w:val="22"/>
                <w:szCs w:val="22"/>
              </w:rPr>
              <w:t>&lt;0.001</w:t>
            </w:r>
          </w:p>
          <w:p w:rsidR="00051188" w:rsidRDefault="00051188" w:rsidP="009D78B4">
            <w:pPr>
              <w:pStyle w:val="TableTextSmall"/>
              <w:keepNext w:val="0"/>
              <w:widowControl w:val="0"/>
              <w:spacing w:before="0" w:after="0"/>
              <w:jc w:val="center"/>
              <w:rPr>
                <w:sz w:val="22"/>
                <w:szCs w:val="22"/>
              </w:rPr>
            </w:pPr>
            <w:r>
              <w:rPr>
                <w:sz w:val="22"/>
                <w:szCs w:val="22"/>
              </w:rPr>
              <w:t>&lt;0.001</w:t>
            </w:r>
          </w:p>
        </w:tc>
      </w:tr>
    </w:tbl>
    <w:p w:rsidR="00051188" w:rsidRDefault="00051188" w:rsidP="009D78B4">
      <w:pPr>
        <w:widowControl w:val="0"/>
        <w:tabs>
          <w:tab w:val="left" w:pos="10800"/>
        </w:tabs>
        <w:autoSpaceDE w:val="0"/>
        <w:autoSpaceDN w:val="0"/>
        <w:adjustRightInd w:val="0"/>
      </w:pPr>
      <w:r>
        <w:rPr>
          <w:vertAlign w:val="superscript"/>
        </w:rPr>
        <w:t xml:space="preserve">a </w:t>
      </w:r>
      <w:r>
        <w:t>Evaluated over a 28 day pre-randomisation baseline period and a 28 day period leading up to Week 24</w:t>
      </w:r>
    </w:p>
    <w:p w:rsidR="00051188" w:rsidRDefault="00051188" w:rsidP="009D78B4">
      <w:pPr>
        <w:widowControl w:val="0"/>
        <w:tabs>
          <w:tab w:val="left" w:pos="10800"/>
        </w:tabs>
        <w:autoSpaceDE w:val="0"/>
        <w:autoSpaceDN w:val="0"/>
        <w:adjustRightInd w:val="0"/>
      </w:pPr>
      <w:r>
        <w:rPr>
          <w:vertAlign w:val="superscript"/>
        </w:rPr>
        <w:t>b</w:t>
      </w:r>
      <w:r>
        <w:t xml:space="preserve"> Administered once at baseline and once at Week 24, and designed to collect data based on patient’s one month recall</w:t>
      </w:r>
      <w:r>
        <w:br/>
      </w:r>
    </w:p>
    <w:p w:rsidR="00051188" w:rsidRDefault="00051188" w:rsidP="009D78B4">
      <w:pPr>
        <w:widowControl w:val="0"/>
        <w:tabs>
          <w:tab w:val="left" w:pos="10800"/>
        </w:tabs>
        <w:autoSpaceDE w:val="0"/>
        <w:autoSpaceDN w:val="0"/>
        <w:adjustRightInd w:val="0"/>
        <w:rPr>
          <w:b/>
          <w:sz w:val="24"/>
          <w:szCs w:val="24"/>
        </w:rPr>
      </w:pPr>
      <w:r>
        <w:rPr>
          <w:b/>
          <w:sz w:val="24"/>
          <w:szCs w:val="24"/>
        </w:rPr>
        <w:t>Table 3: Week 24 (Primary Timepoint) Key Efficacy Variables for Pooled Phase</w:t>
      </w:r>
    </w:p>
    <w:p w:rsidR="00051188" w:rsidRDefault="00051188" w:rsidP="009D78B4">
      <w:pPr>
        <w:widowControl w:val="0"/>
        <w:tabs>
          <w:tab w:val="left" w:pos="10800"/>
        </w:tabs>
        <w:autoSpaceDE w:val="0"/>
        <w:autoSpaceDN w:val="0"/>
        <w:adjustRightInd w:val="0"/>
        <w:ind w:left="900" w:hanging="900"/>
        <w:rPr>
          <w:b/>
          <w:sz w:val="24"/>
          <w:szCs w:val="24"/>
        </w:rPr>
      </w:pPr>
      <w:r>
        <w:rPr>
          <w:b/>
          <w:sz w:val="24"/>
          <w:szCs w:val="24"/>
        </w:rPr>
        <w:t>3 Studies in No Medication Overuse Subgroup</w:t>
      </w:r>
    </w:p>
    <w:tbl>
      <w:tblPr>
        <w:tblW w:w="89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95"/>
        <w:gridCol w:w="1620"/>
        <w:gridCol w:w="1440"/>
        <w:gridCol w:w="1440"/>
      </w:tblGrid>
      <w:tr w:rsidR="00051188">
        <w:trPr>
          <w:trHeight w:val="297"/>
        </w:trPr>
        <w:tc>
          <w:tcPr>
            <w:tcW w:w="4495" w:type="dxa"/>
            <w:vMerge w:val="restart"/>
            <w:tcBorders>
              <w:top w:val="single" w:sz="12" w:space="0" w:color="auto"/>
              <w:left w:val="single" w:sz="12" w:space="0" w:color="auto"/>
              <w:right w:val="single" w:sz="12" w:space="0" w:color="auto"/>
            </w:tcBorders>
            <w:shd w:val="clear" w:color="auto" w:fill="auto"/>
          </w:tcPr>
          <w:p w:rsidR="00051188" w:rsidRDefault="00051188" w:rsidP="009D78B4">
            <w:pPr>
              <w:pStyle w:val="TableTextSmall"/>
              <w:keepNext w:val="0"/>
              <w:widowControl w:val="0"/>
              <w:spacing w:before="0" w:after="0"/>
              <w:rPr>
                <w:rFonts w:ascii="Times New Roman Bold" w:hAnsi="Times New Roman Bold"/>
                <w:b/>
                <w:sz w:val="22"/>
                <w:szCs w:val="22"/>
              </w:rPr>
            </w:pPr>
          </w:p>
          <w:p w:rsidR="00051188" w:rsidRDefault="00051188" w:rsidP="009D78B4">
            <w:pPr>
              <w:pStyle w:val="TableTextSmall"/>
              <w:keepNext w:val="0"/>
              <w:widowControl w:val="0"/>
              <w:spacing w:before="0" w:after="0"/>
              <w:rPr>
                <w:rFonts w:ascii="Times New Roman Bold" w:hAnsi="Times New Roman Bold"/>
                <w:b/>
                <w:sz w:val="22"/>
                <w:szCs w:val="22"/>
              </w:rPr>
            </w:pPr>
          </w:p>
          <w:p w:rsidR="00051188" w:rsidRDefault="00051188" w:rsidP="009D78B4">
            <w:pPr>
              <w:pStyle w:val="TableTextSmall"/>
              <w:keepNext w:val="0"/>
              <w:widowControl w:val="0"/>
              <w:spacing w:before="0" w:after="0"/>
              <w:rPr>
                <w:rFonts w:ascii="Times New Roman Bold" w:hAnsi="Times New Roman Bold"/>
                <w:b/>
                <w:sz w:val="22"/>
                <w:szCs w:val="22"/>
              </w:rPr>
            </w:pPr>
            <w:r>
              <w:rPr>
                <w:rFonts w:ascii="Times New Roman Bold" w:hAnsi="Times New Roman Bold"/>
                <w:b/>
                <w:sz w:val="22"/>
                <w:szCs w:val="22"/>
              </w:rPr>
              <w:t>Efficacy per 28 days</w:t>
            </w:r>
          </w:p>
        </w:tc>
        <w:tc>
          <w:tcPr>
            <w:tcW w:w="4500" w:type="dxa"/>
            <w:gridSpan w:val="3"/>
            <w:tcBorders>
              <w:top w:val="single" w:sz="12" w:space="0" w:color="auto"/>
              <w:left w:val="single" w:sz="12" w:space="0" w:color="auto"/>
              <w:right w:val="single" w:sz="12" w:space="0" w:color="auto"/>
            </w:tcBorders>
          </w:tcPr>
          <w:p w:rsidR="00051188" w:rsidRDefault="00051188" w:rsidP="009D78B4">
            <w:pPr>
              <w:pStyle w:val="TableTextSmall"/>
              <w:keepNext w:val="0"/>
              <w:widowControl w:val="0"/>
              <w:spacing w:before="0" w:after="0"/>
              <w:jc w:val="center"/>
              <w:rPr>
                <w:rFonts w:ascii="Times New Roman Bold" w:hAnsi="Times New Roman Bold"/>
                <w:b/>
                <w:sz w:val="22"/>
                <w:szCs w:val="22"/>
              </w:rPr>
            </w:pPr>
            <w:r>
              <w:rPr>
                <w:rFonts w:ascii="Times New Roman Bold" w:hAnsi="Times New Roman Bold"/>
                <w:b/>
                <w:sz w:val="22"/>
                <w:szCs w:val="22"/>
              </w:rPr>
              <w:t>Pooled Studies 191622-079 &amp; 191622-080</w:t>
            </w:r>
          </w:p>
        </w:tc>
      </w:tr>
      <w:tr w:rsidR="00051188">
        <w:trPr>
          <w:trHeight w:val="755"/>
        </w:trPr>
        <w:tc>
          <w:tcPr>
            <w:tcW w:w="4495" w:type="dxa"/>
            <w:vMerge/>
            <w:tcBorders>
              <w:left w:val="single" w:sz="12" w:space="0" w:color="auto"/>
              <w:bottom w:val="single" w:sz="12" w:space="0" w:color="auto"/>
              <w:right w:val="single" w:sz="12" w:space="0" w:color="auto"/>
            </w:tcBorders>
            <w:shd w:val="clear" w:color="auto" w:fill="auto"/>
          </w:tcPr>
          <w:p w:rsidR="00051188" w:rsidRDefault="00051188" w:rsidP="009D78B4">
            <w:pPr>
              <w:pStyle w:val="TableTextSmall"/>
              <w:keepNext w:val="0"/>
              <w:widowControl w:val="0"/>
              <w:spacing w:before="0" w:after="0"/>
              <w:rPr>
                <w:sz w:val="22"/>
                <w:szCs w:val="22"/>
              </w:rPr>
            </w:pPr>
          </w:p>
        </w:tc>
        <w:tc>
          <w:tcPr>
            <w:tcW w:w="1620" w:type="dxa"/>
            <w:tcBorders>
              <w:left w:val="single" w:sz="12" w:space="0" w:color="auto"/>
              <w:bottom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BOTOX</w:t>
            </w:r>
            <w:r>
              <w:rPr>
                <w:sz w:val="22"/>
                <w:szCs w:val="22"/>
                <w:vertAlign w:val="superscript"/>
              </w:rPr>
              <w:t>®</w:t>
            </w:r>
          </w:p>
          <w:p w:rsidR="00051188" w:rsidRDefault="00051188" w:rsidP="009D78B4">
            <w:pPr>
              <w:pStyle w:val="TableTextSmall"/>
              <w:keepNext w:val="0"/>
              <w:widowControl w:val="0"/>
              <w:spacing w:before="0" w:after="0"/>
              <w:jc w:val="center"/>
              <w:rPr>
                <w:sz w:val="22"/>
                <w:szCs w:val="22"/>
              </w:rPr>
            </w:pPr>
            <w:r>
              <w:rPr>
                <w:sz w:val="22"/>
                <w:szCs w:val="22"/>
              </w:rPr>
              <w:t>(N=445)</w:t>
            </w:r>
          </w:p>
        </w:tc>
        <w:tc>
          <w:tcPr>
            <w:tcW w:w="1440" w:type="dxa"/>
            <w:tcBorders>
              <w:bottom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Placebo (saline)</w:t>
            </w:r>
          </w:p>
          <w:p w:rsidR="00051188" w:rsidRDefault="00051188" w:rsidP="009D78B4">
            <w:pPr>
              <w:pStyle w:val="TableTextSmall"/>
              <w:keepNext w:val="0"/>
              <w:widowControl w:val="0"/>
              <w:spacing w:before="0" w:after="0"/>
              <w:jc w:val="center"/>
              <w:rPr>
                <w:sz w:val="22"/>
                <w:szCs w:val="22"/>
              </w:rPr>
            </w:pPr>
            <w:r>
              <w:rPr>
                <w:sz w:val="22"/>
                <w:szCs w:val="22"/>
              </w:rPr>
              <w:t>(N=459)</w:t>
            </w:r>
          </w:p>
        </w:tc>
        <w:tc>
          <w:tcPr>
            <w:tcW w:w="1440" w:type="dxa"/>
            <w:tcBorders>
              <w:bottom w:val="single" w:sz="12" w:space="0" w:color="auto"/>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p- value</w:t>
            </w:r>
          </w:p>
        </w:tc>
      </w:tr>
      <w:tr w:rsidR="00051188">
        <w:trPr>
          <w:trHeight w:val="430"/>
        </w:trPr>
        <w:tc>
          <w:tcPr>
            <w:tcW w:w="4495" w:type="dxa"/>
            <w:tcBorders>
              <w:top w:val="single" w:sz="12" w:space="0" w:color="auto"/>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frequency of headache days</w:t>
            </w:r>
            <w:r>
              <w:rPr>
                <w:sz w:val="22"/>
                <w:szCs w:val="22"/>
                <w:vertAlign w:val="superscript"/>
              </w:rPr>
              <w:t>a</w:t>
            </w:r>
          </w:p>
        </w:tc>
        <w:tc>
          <w:tcPr>
            <w:tcW w:w="1620" w:type="dxa"/>
            <w:tcBorders>
              <w:top w:val="single" w:sz="12" w:space="0" w:color="auto"/>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-8.8</w:t>
            </w:r>
          </w:p>
        </w:tc>
        <w:tc>
          <w:tcPr>
            <w:tcW w:w="1440" w:type="dxa"/>
            <w:tcBorders>
              <w:top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-7.3</w:t>
            </w:r>
          </w:p>
        </w:tc>
        <w:tc>
          <w:tcPr>
            <w:tcW w:w="1440" w:type="dxa"/>
            <w:tcBorders>
              <w:top w:val="single" w:sz="12" w:space="0" w:color="auto"/>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0.013</w:t>
            </w:r>
          </w:p>
        </w:tc>
      </w:tr>
      <w:tr w:rsidR="00051188">
        <w:trPr>
          <w:trHeight w:val="558"/>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frequency of migraine/probable migraine days</w:t>
            </w:r>
            <w:r>
              <w:rPr>
                <w:sz w:val="22"/>
                <w:szCs w:val="22"/>
                <w:vertAlign w:val="superscript"/>
              </w:rPr>
              <w:t>a</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-8.4</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-6.6</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0.004</w:t>
            </w:r>
          </w:p>
        </w:tc>
      </w:tr>
      <w:tr w:rsidR="00051188">
        <w:trPr>
          <w:trHeight w:val="552"/>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number of moderate/severe headache days</w:t>
            </w:r>
            <w:r>
              <w:rPr>
                <w:sz w:val="22"/>
                <w:szCs w:val="22"/>
                <w:vertAlign w:val="superscript"/>
              </w:rPr>
              <w:t>a</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-7.7</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-6.1</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0.005</w:t>
            </w:r>
          </w:p>
        </w:tc>
      </w:tr>
      <w:tr w:rsidR="00051188">
        <w:trPr>
          <w:trHeight w:val="558"/>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total cumulative hours of headache on headache days</w:t>
            </w:r>
            <w:r>
              <w:rPr>
                <w:sz w:val="22"/>
                <w:szCs w:val="22"/>
                <w:vertAlign w:val="superscript"/>
              </w:rPr>
              <w:t>a</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-128.75</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-99.73</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0.023</w:t>
            </w:r>
          </w:p>
        </w:tc>
      </w:tr>
      <w:tr w:rsidR="00051188">
        <w:trPr>
          <w:trHeight w:val="430"/>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 xml:space="preserve">Mean change from baseline in frequency of </w:t>
            </w:r>
            <w:r>
              <w:rPr>
                <w:sz w:val="22"/>
                <w:szCs w:val="22"/>
              </w:rPr>
              <w:lastRenderedPageBreak/>
              <w:t>headache episodes</w:t>
            </w:r>
            <w:r>
              <w:rPr>
                <w:sz w:val="22"/>
                <w:szCs w:val="22"/>
                <w:vertAlign w:val="superscript"/>
              </w:rPr>
              <w:t>a</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lastRenderedPageBreak/>
              <w:t>-5.1</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-4.5</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0.146</w:t>
            </w:r>
          </w:p>
        </w:tc>
      </w:tr>
      <w:tr w:rsidR="00051188">
        <w:trPr>
          <w:trHeight w:val="430"/>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lastRenderedPageBreak/>
              <w:t>Proportion of patients with severe HIT-6</w:t>
            </w:r>
            <w:r>
              <w:rPr>
                <w:vertAlign w:val="superscript"/>
              </w:rPr>
              <w:t xml:space="preserve"> b</w:t>
            </w:r>
            <w:r>
              <w:rPr>
                <w:sz w:val="22"/>
                <w:szCs w:val="22"/>
              </w:rPr>
              <w:t xml:space="preserve"> category scores</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61.3%</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70.9%</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0.027</w:t>
            </w:r>
          </w:p>
        </w:tc>
      </w:tr>
      <w:tr w:rsidR="00051188">
        <w:trPr>
          <w:trHeight w:val="215"/>
        </w:trPr>
        <w:tc>
          <w:tcPr>
            <w:tcW w:w="4495"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Total HIT-6 scores</w:t>
            </w:r>
            <w:r>
              <w:rPr>
                <w:vertAlign w:val="superscript"/>
              </w:rPr>
              <w:t xml:space="preserve"> b</w:t>
            </w:r>
          </w:p>
        </w:tc>
        <w:tc>
          <w:tcPr>
            <w:tcW w:w="162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-5.1</w:t>
            </w:r>
          </w:p>
        </w:tc>
        <w:tc>
          <w:tcPr>
            <w:tcW w:w="1440" w:type="dxa"/>
          </w:tcPr>
          <w:p w:rsidR="00051188" w:rsidRDefault="00051188" w:rsidP="009D78B4">
            <w:pPr>
              <w:pStyle w:val="TableTextSmall"/>
              <w:keepNext w:val="0"/>
              <w:widowControl w:val="0"/>
              <w:spacing w:before="0" w:after="0"/>
              <w:jc w:val="center"/>
              <w:rPr>
                <w:sz w:val="22"/>
                <w:szCs w:val="22"/>
              </w:rPr>
            </w:pPr>
            <w:r>
              <w:rPr>
                <w:sz w:val="22"/>
                <w:szCs w:val="22"/>
              </w:rPr>
              <w:t>-2.7</w:t>
            </w:r>
          </w:p>
        </w:tc>
        <w:tc>
          <w:tcPr>
            <w:tcW w:w="144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430"/>
        </w:trPr>
        <w:tc>
          <w:tcPr>
            <w:tcW w:w="4495" w:type="dxa"/>
            <w:tcBorders>
              <w:left w:val="single" w:sz="12" w:space="0" w:color="auto"/>
              <w:bottom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MSQ scores</w:t>
            </w:r>
            <w:r>
              <w:rPr>
                <w:vertAlign w:val="superscript"/>
              </w:rPr>
              <w:t xml:space="preserve"> b</w:t>
            </w:r>
          </w:p>
          <w:p w:rsidR="00051188" w:rsidRDefault="00051188" w:rsidP="009D78B4">
            <w:pPr>
              <w:pStyle w:val="TableTextSmall"/>
              <w:keepNext w:val="0"/>
              <w:widowControl w:val="0"/>
              <w:spacing w:before="0" w:after="0"/>
              <w:rPr>
                <w:sz w:val="22"/>
                <w:szCs w:val="22"/>
              </w:rPr>
            </w:pPr>
            <w:r>
              <w:rPr>
                <w:sz w:val="22"/>
                <w:szCs w:val="22"/>
              </w:rPr>
              <w:t>Role function- Restrictive</w:t>
            </w:r>
          </w:p>
          <w:p w:rsidR="00051188" w:rsidRDefault="00051188" w:rsidP="009D78B4">
            <w:pPr>
              <w:pStyle w:val="TableTextSmall"/>
              <w:keepNext w:val="0"/>
              <w:widowControl w:val="0"/>
              <w:spacing w:before="0" w:after="0"/>
              <w:rPr>
                <w:sz w:val="22"/>
                <w:szCs w:val="22"/>
              </w:rPr>
            </w:pPr>
            <w:r>
              <w:rPr>
                <w:sz w:val="22"/>
                <w:szCs w:val="22"/>
              </w:rPr>
              <w:t>Role function- Preventative</w:t>
            </w:r>
          </w:p>
          <w:p w:rsidR="00051188" w:rsidRDefault="00051188" w:rsidP="009D78B4">
            <w:pPr>
              <w:pStyle w:val="TableTextSmall"/>
              <w:keepNext w:val="0"/>
              <w:widowControl w:val="0"/>
              <w:spacing w:before="0" w:after="0"/>
              <w:rPr>
                <w:sz w:val="22"/>
                <w:szCs w:val="22"/>
              </w:rPr>
            </w:pPr>
            <w:r>
              <w:rPr>
                <w:sz w:val="22"/>
                <w:szCs w:val="22"/>
              </w:rPr>
              <w:t>Role function- Emotional Function</w:t>
            </w:r>
          </w:p>
        </w:tc>
        <w:tc>
          <w:tcPr>
            <w:tcW w:w="1620" w:type="dxa"/>
            <w:tcBorders>
              <w:left w:val="single" w:sz="12" w:space="0" w:color="auto"/>
              <w:bottom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-17.2</w:t>
            </w:r>
          </w:p>
          <w:p w:rsidR="00051188" w:rsidRDefault="00051188" w:rsidP="009D78B4">
            <w:pPr>
              <w:pStyle w:val="TableTextSmall"/>
              <w:keepNext w:val="0"/>
              <w:widowControl w:val="0"/>
              <w:spacing w:before="0" w:after="0"/>
              <w:jc w:val="center"/>
              <w:rPr>
                <w:sz w:val="22"/>
                <w:szCs w:val="22"/>
              </w:rPr>
            </w:pPr>
            <w:r>
              <w:rPr>
                <w:sz w:val="22"/>
                <w:szCs w:val="22"/>
              </w:rPr>
              <w:t>-11.7</w:t>
            </w:r>
          </w:p>
          <w:p w:rsidR="00051188" w:rsidRDefault="00051188" w:rsidP="009D78B4">
            <w:pPr>
              <w:pStyle w:val="TableTextSmall"/>
              <w:keepNext w:val="0"/>
              <w:widowControl w:val="0"/>
              <w:spacing w:before="0" w:after="0"/>
              <w:jc w:val="center"/>
              <w:rPr>
                <w:sz w:val="22"/>
                <w:szCs w:val="22"/>
              </w:rPr>
            </w:pPr>
            <w:r>
              <w:rPr>
                <w:sz w:val="22"/>
                <w:szCs w:val="22"/>
              </w:rPr>
              <w:t>-17.4</w:t>
            </w:r>
          </w:p>
        </w:tc>
        <w:tc>
          <w:tcPr>
            <w:tcW w:w="1440" w:type="dxa"/>
            <w:tcBorders>
              <w:bottom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-10.6</w:t>
            </w:r>
          </w:p>
          <w:p w:rsidR="00051188" w:rsidRDefault="00051188" w:rsidP="009D78B4">
            <w:pPr>
              <w:pStyle w:val="TableTextSmall"/>
              <w:keepNext w:val="0"/>
              <w:widowControl w:val="0"/>
              <w:spacing w:before="0" w:after="0"/>
              <w:jc w:val="center"/>
              <w:rPr>
                <w:sz w:val="22"/>
                <w:szCs w:val="22"/>
              </w:rPr>
            </w:pPr>
            <w:r>
              <w:rPr>
                <w:sz w:val="22"/>
                <w:szCs w:val="22"/>
              </w:rPr>
              <w:t>-7.7</w:t>
            </w:r>
          </w:p>
          <w:p w:rsidR="00051188" w:rsidRDefault="00051188" w:rsidP="009D78B4">
            <w:pPr>
              <w:pStyle w:val="TableTextSmall"/>
              <w:keepNext w:val="0"/>
              <w:widowControl w:val="0"/>
              <w:spacing w:before="0" w:after="0"/>
              <w:jc w:val="center"/>
              <w:rPr>
                <w:sz w:val="22"/>
                <w:szCs w:val="22"/>
              </w:rPr>
            </w:pPr>
            <w:r>
              <w:rPr>
                <w:sz w:val="22"/>
                <w:szCs w:val="22"/>
              </w:rPr>
              <w:t>-11.0</w:t>
            </w:r>
          </w:p>
        </w:tc>
        <w:tc>
          <w:tcPr>
            <w:tcW w:w="1440" w:type="dxa"/>
            <w:tcBorders>
              <w:bottom w:val="single" w:sz="12" w:space="0" w:color="auto"/>
              <w:right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0.001</w:t>
            </w:r>
          </w:p>
          <w:p w:rsidR="00051188" w:rsidRDefault="00051188" w:rsidP="009D78B4">
            <w:pPr>
              <w:pStyle w:val="TableTextSmall"/>
              <w:keepNext w:val="0"/>
              <w:widowControl w:val="0"/>
              <w:spacing w:before="0" w:after="0"/>
              <w:jc w:val="center"/>
              <w:rPr>
                <w:sz w:val="22"/>
                <w:szCs w:val="22"/>
              </w:rPr>
            </w:pPr>
            <w:r>
              <w:rPr>
                <w:sz w:val="22"/>
                <w:szCs w:val="22"/>
              </w:rPr>
              <w:t>0.032</w:t>
            </w:r>
          </w:p>
          <w:p w:rsidR="00051188" w:rsidRDefault="00051188" w:rsidP="009D78B4">
            <w:pPr>
              <w:pStyle w:val="TableTextSmall"/>
              <w:keepNext w:val="0"/>
              <w:widowControl w:val="0"/>
              <w:spacing w:before="0" w:after="0"/>
              <w:jc w:val="center"/>
              <w:rPr>
                <w:sz w:val="22"/>
                <w:szCs w:val="22"/>
              </w:rPr>
            </w:pPr>
            <w:r>
              <w:rPr>
                <w:sz w:val="22"/>
                <w:szCs w:val="22"/>
              </w:rPr>
              <w:t>0.017</w:t>
            </w:r>
          </w:p>
        </w:tc>
      </w:tr>
    </w:tbl>
    <w:p w:rsidR="00051188" w:rsidRDefault="00051188" w:rsidP="009D78B4">
      <w:pPr>
        <w:widowControl w:val="0"/>
        <w:tabs>
          <w:tab w:val="left" w:pos="10800"/>
        </w:tabs>
        <w:autoSpaceDE w:val="0"/>
        <w:autoSpaceDN w:val="0"/>
        <w:adjustRightInd w:val="0"/>
      </w:pPr>
      <w:r>
        <w:rPr>
          <w:vertAlign w:val="superscript"/>
        </w:rPr>
        <w:t xml:space="preserve">a </w:t>
      </w:r>
      <w:r>
        <w:t>Evaluated over a 28 day pre-randomisation baseline period and a 28 day period leading up to Week 24</w:t>
      </w:r>
    </w:p>
    <w:p w:rsidR="00051188" w:rsidRDefault="00051188" w:rsidP="009D78B4">
      <w:pPr>
        <w:widowControl w:val="0"/>
        <w:tabs>
          <w:tab w:val="left" w:pos="10800"/>
        </w:tabs>
        <w:autoSpaceDE w:val="0"/>
        <w:autoSpaceDN w:val="0"/>
        <w:adjustRightInd w:val="0"/>
      </w:pPr>
      <w:r>
        <w:rPr>
          <w:vertAlign w:val="superscript"/>
        </w:rPr>
        <w:t>b</w:t>
      </w:r>
      <w:r>
        <w:t xml:space="preserve"> Administered once at baseline and once at Week 24, and designed to collect data based on patient’s one month recall</w:t>
      </w:r>
    </w:p>
    <w:p w:rsidR="00051188" w:rsidRDefault="00051188" w:rsidP="009D78B4">
      <w:pPr>
        <w:widowControl w:val="0"/>
        <w:tabs>
          <w:tab w:val="left" w:pos="10800"/>
        </w:tabs>
        <w:autoSpaceDE w:val="0"/>
        <w:autoSpaceDN w:val="0"/>
        <w:adjustRightInd w:val="0"/>
        <w:rPr>
          <w:b/>
          <w:sz w:val="24"/>
          <w:szCs w:val="24"/>
        </w:rPr>
      </w:pPr>
    </w:p>
    <w:p w:rsidR="00051188" w:rsidRDefault="00051188" w:rsidP="009D78B4">
      <w:pPr>
        <w:widowControl w:val="0"/>
        <w:tabs>
          <w:tab w:val="left" w:pos="10800"/>
        </w:tabs>
        <w:autoSpaceDE w:val="0"/>
        <w:autoSpaceDN w:val="0"/>
        <w:adjustRightInd w:val="0"/>
        <w:ind w:left="907" w:hanging="907"/>
        <w:rPr>
          <w:b/>
          <w:sz w:val="24"/>
          <w:szCs w:val="24"/>
        </w:rPr>
      </w:pPr>
      <w:r>
        <w:rPr>
          <w:b/>
          <w:sz w:val="24"/>
          <w:szCs w:val="24"/>
        </w:rPr>
        <w:t xml:space="preserve">Table 4: Week 24 (Primary Timepoint) Key Efficacy Variables for Phase 3 </w:t>
      </w:r>
    </w:p>
    <w:p w:rsidR="00051188" w:rsidRDefault="00051188" w:rsidP="009D78B4">
      <w:pPr>
        <w:widowControl w:val="0"/>
        <w:tabs>
          <w:tab w:val="left" w:pos="10800"/>
        </w:tabs>
        <w:autoSpaceDE w:val="0"/>
        <w:autoSpaceDN w:val="0"/>
        <w:adjustRightInd w:val="0"/>
        <w:ind w:left="907" w:hanging="907"/>
        <w:rPr>
          <w:b/>
          <w:sz w:val="24"/>
          <w:szCs w:val="24"/>
        </w:rPr>
      </w:pPr>
      <w:r>
        <w:rPr>
          <w:b/>
          <w:sz w:val="24"/>
          <w:szCs w:val="24"/>
        </w:rPr>
        <w:t>Studies</w:t>
      </w:r>
    </w:p>
    <w:tbl>
      <w:tblPr>
        <w:tblW w:w="95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9"/>
        <w:gridCol w:w="1202"/>
        <w:gridCol w:w="1134"/>
        <w:gridCol w:w="1080"/>
        <w:gridCol w:w="1080"/>
        <w:gridCol w:w="1080"/>
        <w:gridCol w:w="1080"/>
      </w:tblGrid>
      <w:tr w:rsidR="00051188">
        <w:trPr>
          <w:trHeight w:val="195"/>
        </w:trPr>
        <w:tc>
          <w:tcPr>
            <w:tcW w:w="2879" w:type="dxa"/>
            <w:vMerge w:val="restart"/>
            <w:tcBorders>
              <w:top w:val="single" w:sz="12" w:space="0" w:color="auto"/>
              <w:left w:val="single" w:sz="12" w:space="0" w:color="auto"/>
              <w:right w:val="single" w:sz="12" w:space="0" w:color="auto"/>
            </w:tcBorders>
          </w:tcPr>
          <w:p w:rsidR="00051188" w:rsidRDefault="00051188" w:rsidP="009D78B4">
            <w:pPr>
              <w:pStyle w:val="TableHeadings"/>
              <w:keepNext w:val="0"/>
              <w:widowControl w:val="0"/>
              <w:spacing w:before="0" w:after="0"/>
              <w:rPr>
                <w:sz w:val="22"/>
                <w:szCs w:val="22"/>
              </w:rPr>
            </w:pPr>
            <w:r>
              <w:rPr>
                <w:sz w:val="22"/>
                <w:szCs w:val="22"/>
              </w:rPr>
              <w:t>Efficacy per 28 days</w:t>
            </w:r>
          </w:p>
        </w:tc>
        <w:tc>
          <w:tcPr>
            <w:tcW w:w="3416" w:type="dxa"/>
            <w:gridSpan w:val="3"/>
            <w:tcBorders>
              <w:top w:val="single" w:sz="12" w:space="0" w:color="auto"/>
              <w:left w:val="single" w:sz="12" w:space="0" w:color="auto"/>
              <w:right w:val="single" w:sz="12" w:space="0" w:color="auto"/>
            </w:tcBorders>
          </w:tcPr>
          <w:p w:rsidR="00051188" w:rsidRDefault="00051188" w:rsidP="009D78B4">
            <w:pPr>
              <w:pStyle w:val="TableHeadings"/>
              <w:keepNext w:val="0"/>
              <w:widowControl w:val="0"/>
              <w:spacing w:before="0" w:after="0"/>
              <w:rPr>
                <w:sz w:val="22"/>
                <w:szCs w:val="22"/>
              </w:rPr>
            </w:pPr>
            <w:r>
              <w:rPr>
                <w:sz w:val="22"/>
                <w:szCs w:val="22"/>
              </w:rPr>
              <w:t>Study 191622-079</w:t>
            </w:r>
          </w:p>
        </w:tc>
        <w:tc>
          <w:tcPr>
            <w:tcW w:w="3240" w:type="dxa"/>
            <w:gridSpan w:val="3"/>
            <w:tcBorders>
              <w:top w:val="single" w:sz="12" w:space="0" w:color="auto"/>
              <w:left w:val="single" w:sz="12" w:space="0" w:color="auto"/>
              <w:right w:val="single" w:sz="12" w:space="0" w:color="auto"/>
            </w:tcBorders>
          </w:tcPr>
          <w:p w:rsidR="00051188" w:rsidRDefault="00051188" w:rsidP="009D78B4">
            <w:pPr>
              <w:pStyle w:val="TableHeadings"/>
              <w:keepNext w:val="0"/>
              <w:widowControl w:val="0"/>
              <w:spacing w:before="0" w:after="0"/>
              <w:rPr>
                <w:sz w:val="22"/>
                <w:szCs w:val="22"/>
              </w:rPr>
            </w:pPr>
            <w:r>
              <w:rPr>
                <w:sz w:val="22"/>
                <w:szCs w:val="22"/>
              </w:rPr>
              <w:t>Study 191622-080</w:t>
            </w:r>
          </w:p>
        </w:tc>
      </w:tr>
      <w:tr w:rsidR="00051188">
        <w:trPr>
          <w:trHeight w:val="99"/>
        </w:trPr>
        <w:tc>
          <w:tcPr>
            <w:tcW w:w="2879" w:type="dxa"/>
            <w:vMerge/>
            <w:tcBorders>
              <w:left w:val="single" w:sz="12" w:space="0" w:color="auto"/>
              <w:bottom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p>
        </w:tc>
        <w:tc>
          <w:tcPr>
            <w:tcW w:w="1202" w:type="dxa"/>
            <w:tcBorders>
              <w:left w:val="single" w:sz="12" w:space="0" w:color="auto"/>
              <w:bottom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BOTOX</w:t>
            </w:r>
            <w:r>
              <w:rPr>
                <w:sz w:val="22"/>
                <w:szCs w:val="22"/>
                <w:vertAlign w:val="superscript"/>
              </w:rPr>
              <w:t>®</w:t>
            </w:r>
          </w:p>
          <w:p w:rsidR="00051188" w:rsidRDefault="00051188" w:rsidP="009D78B4">
            <w:pPr>
              <w:pStyle w:val="TableTextSmall"/>
              <w:keepNext w:val="0"/>
              <w:widowControl w:val="0"/>
              <w:spacing w:before="0" w:after="0"/>
              <w:jc w:val="center"/>
              <w:rPr>
                <w:sz w:val="22"/>
                <w:szCs w:val="22"/>
              </w:rPr>
            </w:pPr>
            <w:r>
              <w:rPr>
                <w:sz w:val="22"/>
                <w:szCs w:val="22"/>
              </w:rPr>
              <w:t>(N=341)</w:t>
            </w:r>
          </w:p>
        </w:tc>
        <w:tc>
          <w:tcPr>
            <w:tcW w:w="1134" w:type="dxa"/>
            <w:tcBorders>
              <w:bottom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Placebo (saline)</w:t>
            </w:r>
          </w:p>
          <w:p w:rsidR="00051188" w:rsidRDefault="00051188" w:rsidP="009D78B4">
            <w:pPr>
              <w:pStyle w:val="TableTextSmall"/>
              <w:keepNext w:val="0"/>
              <w:widowControl w:val="0"/>
              <w:spacing w:before="0" w:after="0"/>
              <w:jc w:val="center"/>
              <w:rPr>
                <w:sz w:val="22"/>
                <w:szCs w:val="22"/>
              </w:rPr>
            </w:pPr>
            <w:r>
              <w:rPr>
                <w:sz w:val="22"/>
                <w:szCs w:val="22"/>
              </w:rPr>
              <w:t>(N=338)</w:t>
            </w:r>
          </w:p>
        </w:tc>
        <w:tc>
          <w:tcPr>
            <w:tcW w:w="1080" w:type="dxa"/>
            <w:tcBorders>
              <w:bottom w:val="single" w:sz="12" w:space="0" w:color="auto"/>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p- value</w:t>
            </w:r>
          </w:p>
        </w:tc>
        <w:tc>
          <w:tcPr>
            <w:tcW w:w="1080" w:type="dxa"/>
            <w:tcBorders>
              <w:left w:val="single" w:sz="12" w:space="0" w:color="auto"/>
              <w:bottom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BOTOX</w:t>
            </w:r>
            <w:r>
              <w:rPr>
                <w:sz w:val="22"/>
                <w:szCs w:val="22"/>
                <w:vertAlign w:val="superscript"/>
              </w:rPr>
              <w:t>®</w:t>
            </w:r>
          </w:p>
          <w:p w:rsidR="00051188" w:rsidRDefault="00051188" w:rsidP="009D78B4">
            <w:pPr>
              <w:pStyle w:val="TableTextSmall"/>
              <w:keepNext w:val="0"/>
              <w:widowControl w:val="0"/>
              <w:spacing w:before="0" w:after="0"/>
              <w:jc w:val="center"/>
              <w:rPr>
                <w:sz w:val="22"/>
                <w:szCs w:val="22"/>
              </w:rPr>
            </w:pPr>
            <w:r>
              <w:rPr>
                <w:sz w:val="22"/>
                <w:szCs w:val="22"/>
              </w:rPr>
              <w:t>(N=347)</w:t>
            </w:r>
          </w:p>
        </w:tc>
        <w:tc>
          <w:tcPr>
            <w:tcW w:w="1080" w:type="dxa"/>
            <w:tcBorders>
              <w:bottom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Placebo (saline)</w:t>
            </w:r>
          </w:p>
          <w:p w:rsidR="00051188" w:rsidRDefault="00051188" w:rsidP="009D78B4">
            <w:pPr>
              <w:pStyle w:val="TableTextSmall"/>
              <w:keepNext w:val="0"/>
              <w:widowControl w:val="0"/>
              <w:spacing w:before="0" w:after="0"/>
              <w:jc w:val="center"/>
              <w:rPr>
                <w:sz w:val="22"/>
                <w:szCs w:val="22"/>
              </w:rPr>
            </w:pPr>
            <w:r>
              <w:rPr>
                <w:sz w:val="22"/>
                <w:szCs w:val="22"/>
              </w:rPr>
              <w:t>(N=358)</w:t>
            </w:r>
          </w:p>
        </w:tc>
        <w:tc>
          <w:tcPr>
            <w:tcW w:w="1080" w:type="dxa"/>
            <w:tcBorders>
              <w:bottom w:val="single" w:sz="12" w:space="0" w:color="auto"/>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p- value</w:t>
            </w:r>
          </w:p>
        </w:tc>
      </w:tr>
      <w:tr w:rsidR="00051188">
        <w:trPr>
          <w:trHeight w:val="620"/>
        </w:trPr>
        <w:tc>
          <w:tcPr>
            <w:tcW w:w="2879" w:type="dxa"/>
            <w:tcBorders>
              <w:top w:val="single" w:sz="12" w:space="0" w:color="auto"/>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frequency of headache days</w:t>
            </w:r>
            <w:r>
              <w:rPr>
                <w:sz w:val="24"/>
                <w:vertAlign w:val="superscript"/>
              </w:rPr>
              <w:t xml:space="preserve"> a</w:t>
            </w:r>
          </w:p>
        </w:tc>
        <w:tc>
          <w:tcPr>
            <w:tcW w:w="1202" w:type="dxa"/>
            <w:tcBorders>
              <w:top w:val="single" w:sz="12" w:space="0" w:color="auto"/>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-7.8</w:t>
            </w:r>
          </w:p>
        </w:tc>
        <w:tc>
          <w:tcPr>
            <w:tcW w:w="1134" w:type="dxa"/>
            <w:tcBorders>
              <w:top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-6.4</w:t>
            </w:r>
          </w:p>
        </w:tc>
        <w:tc>
          <w:tcPr>
            <w:tcW w:w="1080" w:type="dxa"/>
            <w:tcBorders>
              <w:top w:val="single" w:sz="12" w:space="0" w:color="auto"/>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0.006</w:t>
            </w:r>
          </w:p>
        </w:tc>
        <w:tc>
          <w:tcPr>
            <w:tcW w:w="1080" w:type="dxa"/>
            <w:tcBorders>
              <w:top w:val="single" w:sz="12" w:space="0" w:color="auto"/>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-9.0</w:t>
            </w:r>
          </w:p>
        </w:tc>
        <w:tc>
          <w:tcPr>
            <w:tcW w:w="1080" w:type="dxa"/>
            <w:tcBorders>
              <w:top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-6.7</w:t>
            </w:r>
          </w:p>
        </w:tc>
        <w:tc>
          <w:tcPr>
            <w:tcW w:w="1080" w:type="dxa"/>
            <w:tcBorders>
              <w:top w:val="single" w:sz="12" w:space="0" w:color="auto"/>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772"/>
        </w:trPr>
        <w:tc>
          <w:tcPr>
            <w:tcW w:w="2879"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frequency of migraine/probable migraine days</w:t>
            </w:r>
            <w:r>
              <w:rPr>
                <w:sz w:val="24"/>
                <w:vertAlign w:val="superscript"/>
              </w:rPr>
              <w:t xml:space="preserve"> a</w:t>
            </w:r>
          </w:p>
        </w:tc>
        <w:tc>
          <w:tcPr>
            <w:tcW w:w="1202"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-7.6</w:t>
            </w:r>
          </w:p>
        </w:tc>
        <w:tc>
          <w:tcPr>
            <w:tcW w:w="1134" w:type="dxa"/>
          </w:tcPr>
          <w:p w:rsidR="00051188" w:rsidRDefault="00051188" w:rsidP="009D78B4">
            <w:pPr>
              <w:pStyle w:val="TableTextSmall"/>
              <w:keepNext w:val="0"/>
              <w:widowControl w:val="0"/>
              <w:spacing w:before="0" w:after="0"/>
              <w:jc w:val="center"/>
              <w:rPr>
                <w:sz w:val="22"/>
                <w:szCs w:val="22"/>
              </w:rPr>
            </w:pPr>
            <w:r>
              <w:rPr>
                <w:sz w:val="22"/>
                <w:szCs w:val="22"/>
              </w:rPr>
              <w:t>-6.1</w:t>
            </w:r>
          </w:p>
        </w:tc>
        <w:tc>
          <w:tcPr>
            <w:tcW w:w="108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0.002</w:t>
            </w:r>
          </w:p>
        </w:tc>
        <w:tc>
          <w:tcPr>
            <w:tcW w:w="108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-8.7</w:t>
            </w:r>
          </w:p>
        </w:tc>
        <w:tc>
          <w:tcPr>
            <w:tcW w:w="1080" w:type="dxa"/>
          </w:tcPr>
          <w:p w:rsidR="00051188" w:rsidRDefault="00051188" w:rsidP="009D78B4">
            <w:pPr>
              <w:pStyle w:val="TableTextSmall"/>
              <w:keepNext w:val="0"/>
              <w:widowControl w:val="0"/>
              <w:spacing w:before="0" w:after="0"/>
              <w:jc w:val="center"/>
              <w:rPr>
                <w:sz w:val="22"/>
                <w:szCs w:val="22"/>
              </w:rPr>
            </w:pPr>
            <w:r>
              <w:rPr>
                <w:sz w:val="22"/>
                <w:szCs w:val="22"/>
              </w:rPr>
              <w:t>-6.3</w:t>
            </w:r>
          </w:p>
        </w:tc>
        <w:tc>
          <w:tcPr>
            <w:tcW w:w="108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620"/>
        </w:trPr>
        <w:tc>
          <w:tcPr>
            <w:tcW w:w="2879"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number of moderate/severe headache days</w:t>
            </w:r>
            <w:r>
              <w:rPr>
                <w:sz w:val="24"/>
                <w:vertAlign w:val="superscript"/>
              </w:rPr>
              <w:t xml:space="preserve"> a</w:t>
            </w:r>
          </w:p>
        </w:tc>
        <w:tc>
          <w:tcPr>
            <w:tcW w:w="1202"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-7.2</w:t>
            </w:r>
          </w:p>
        </w:tc>
        <w:tc>
          <w:tcPr>
            <w:tcW w:w="1134" w:type="dxa"/>
          </w:tcPr>
          <w:p w:rsidR="00051188" w:rsidRDefault="00051188" w:rsidP="009D78B4">
            <w:pPr>
              <w:pStyle w:val="TableTextSmall"/>
              <w:keepNext w:val="0"/>
              <w:widowControl w:val="0"/>
              <w:spacing w:before="0" w:after="0"/>
              <w:jc w:val="center"/>
              <w:rPr>
                <w:sz w:val="22"/>
                <w:szCs w:val="22"/>
              </w:rPr>
            </w:pPr>
            <w:r>
              <w:rPr>
                <w:sz w:val="22"/>
                <w:szCs w:val="22"/>
              </w:rPr>
              <w:t>-5.8</w:t>
            </w:r>
          </w:p>
        </w:tc>
        <w:tc>
          <w:tcPr>
            <w:tcW w:w="108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0.004</w:t>
            </w:r>
          </w:p>
        </w:tc>
        <w:tc>
          <w:tcPr>
            <w:tcW w:w="108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-8.3</w:t>
            </w:r>
          </w:p>
        </w:tc>
        <w:tc>
          <w:tcPr>
            <w:tcW w:w="1080" w:type="dxa"/>
          </w:tcPr>
          <w:p w:rsidR="00051188" w:rsidRDefault="00051188" w:rsidP="009D78B4">
            <w:pPr>
              <w:pStyle w:val="TableTextSmall"/>
              <w:keepNext w:val="0"/>
              <w:widowControl w:val="0"/>
              <w:spacing w:before="0" w:after="0"/>
              <w:jc w:val="center"/>
              <w:rPr>
                <w:sz w:val="22"/>
                <w:szCs w:val="22"/>
              </w:rPr>
            </w:pPr>
            <w:r>
              <w:rPr>
                <w:sz w:val="22"/>
                <w:szCs w:val="22"/>
              </w:rPr>
              <w:t>-5.8</w:t>
            </w:r>
          </w:p>
        </w:tc>
        <w:tc>
          <w:tcPr>
            <w:tcW w:w="108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772"/>
        </w:trPr>
        <w:tc>
          <w:tcPr>
            <w:tcW w:w="2879"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total cumulative hours of headache on headache days</w:t>
            </w:r>
            <w:r>
              <w:rPr>
                <w:sz w:val="24"/>
                <w:vertAlign w:val="superscript"/>
              </w:rPr>
              <w:t xml:space="preserve"> a</w:t>
            </w:r>
          </w:p>
        </w:tc>
        <w:tc>
          <w:tcPr>
            <w:tcW w:w="1202"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-106.70</w:t>
            </w:r>
          </w:p>
        </w:tc>
        <w:tc>
          <w:tcPr>
            <w:tcW w:w="1134" w:type="dxa"/>
          </w:tcPr>
          <w:p w:rsidR="00051188" w:rsidRDefault="00051188" w:rsidP="009D78B4">
            <w:pPr>
              <w:pStyle w:val="TableTextSmall"/>
              <w:keepNext w:val="0"/>
              <w:widowControl w:val="0"/>
              <w:spacing w:before="0" w:after="0"/>
              <w:jc w:val="center"/>
              <w:rPr>
                <w:sz w:val="22"/>
                <w:szCs w:val="22"/>
              </w:rPr>
            </w:pPr>
            <w:r>
              <w:rPr>
                <w:sz w:val="22"/>
                <w:szCs w:val="22"/>
              </w:rPr>
              <w:t>-70.40</w:t>
            </w:r>
          </w:p>
        </w:tc>
        <w:tc>
          <w:tcPr>
            <w:tcW w:w="108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0.003</w:t>
            </w:r>
          </w:p>
        </w:tc>
        <w:tc>
          <w:tcPr>
            <w:tcW w:w="108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-132.41</w:t>
            </w:r>
          </w:p>
        </w:tc>
        <w:tc>
          <w:tcPr>
            <w:tcW w:w="1080" w:type="dxa"/>
          </w:tcPr>
          <w:p w:rsidR="00051188" w:rsidRDefault="00051188" w:rsidP="009D78B4">
            <w:pPr>
              <w:pStyle w:val="TableTextSmall"/>
              <w:keepNext w:val="0"/>
              <w:widowControl w:val="0"/>
              <w:spacing w:before="0" w:after="0"/>
              <w:jc w:val="center"/>
              <w:rPr>
                <w:sz w:val="22"/>
                <w:szCs w:val="22"/>
              </w:rPr>
            </w:pPr>
            <w:r>
              <w:rPr>
                <w:sz w:val="22"/>
                <w:szCs w:val="22"/>
              </w:rPr>
              <w:t>-90.01</w:t>
            </w:r>
          </w:p>
        </w:tc>
        <w:tc>
          <w:tcPr>
            <w:tcW w:w="108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630"/>
        </w:trPr>
        <w:tc>
          <w:tcPr>
            <w:tcW w:w="2879"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frequency of headache episodes</w:t>
            </w:r>
            <w:r>
              <w:rPr>
                <w:sz w:val="24"/>
                <w:vertAlign w:val="superscript"/>
              </w:rPr>
              <w:t xml:space="preserve"> a</w:t>
            </w:r>
          </w:p>
        </w:tc>
        <w:tc>
          <w:tcPr>
            <w:tcW w:w="1202"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-5.2</w:t>
            </w:r>
          </w:p>
        </w:tc>
        <w:tc>
          <w:tcPr>
            <w:tcW w:w="1134" w:type="dxa"/>
          </w:tcPr>
          <w:p w:rsidR="00051188" w:rsidRDefault="00051188" w:rsidP="009D78B4">
            <w:pPr>
              <w:pStyle w:val="TableTextSmall"/>
              <w:keepNext w:val="0"/>
              <w:widowControl w:val="0"/>
              <w:spacing w:before="0" w:after="0"/>
              <w:jc w:val="center"/>
              <w:rPr>
                <w:sz w:val="22"/>
                <w:szCs w:val="22"/>
              </w:rPr>
            </w:pPr>
            <w:r>
              <w:rPr>
                <w:sz w:val="22"/>
                <w:szCs w:val="22"/>
              </w:rPr>
              <w:t>-5.3</w:t>
            </w:r>
          </w:p>
        </w:tc>
        <w:tc>
          <w:tcPr>
            <w:tcW w:w="108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0.344</w:t>
            </w:r>
          </w:p>
        </w:tc>
        <w:tc>
          <w:tcPr>
            <w:tcW w:w="108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-5.3</w:t>
            </w:r>
          </w:p>
        </w:tc>
        <w:tc>
          <w:tcPr>
            <w:tcW w:w="1080" w:type="dxa"/>
          </w:tcPr>
          <w:p w:rsidR="00051188" w:rsidRDefault="00051188" w:rsidP="009D78B4">
            <w:pPr>
              <w:pStyle w:val="TableTextSmall"/>
              <w:keepNext w:val="0"/>
              <w:widowControl w:val="0"/>
              <w:spacing w:before="0" w:after="0"/>
              <w:jc w:val="center"/>
              <w:rPr>
                <w:sz w:val="22"/>
                <w:szCs w:val="22"/>
              </w:rPr>
            </w:pPr>
            <w:r>
              <w:rPr>
                <w:sz w:val="22"/>
                <w:szCs w:val="22"/>
              </w:rPr>
              <w:t>-4.6</w:t>
            </w:r>
          </w:p>
        </w:tc>
        <w:tc>
          <w:tcPr>
            <w:tcW w:w="108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0.003</w:t>
            </w:r>
          </w:p>
        </w:tc>
      </w:tr>
      <w:tr w:rsidR="00051188">
        <w:trPr>
          <w:trHeight w:val="630"/>
        </w:trPr>
        <w:tc>
          <w:tcPr>
            <w:tcW w:w="2879"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Proportion of patients with severe HIT-6 category scores</w:t>
            </w:r>
            <w:r>
              <w:rPr>
                <w:sz w:val="22"/>
                <w:szCs w:val="22"/>
                <w:vertAlign w:val="superscript"/>
              </w:rPr>
              <w:t>b</w:t>
            </w:r>
          </w:p>
        </w:tc>
        <w:tc>
          <w:tcPr>
            <w:tcW w:w="1202"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68.9%</w:t>
            </w:r>
          </w:p>
        </w:tc>
        <w:tc>
          <w:tcPr>
            <w:tcW w:w="1134" w:type="dxa"/>
          </w:tcPr>
          <w:p w:rsidR="00051188" w:rsidRDefault="00051188" w:rsidP="009D78B4">
            <w:pPr>
              <w:pStyle w:val="TableTextSmall"/>
              <w:keepNext w:val="0"/>
              <w:widowControl w:val="0"/>
              <w:spacing w:before="0" w:after="0"/>
              <w:jc w:val="center"/>
              <w:rPr>
                <w:sz w:val="22"/>
                <w:szCs w:val="22"/>
              </w:rPr>
            </w:pPr>
            <w:r>
              <w:rPr>
                <w:sz w:val="22"/>
                <w:szCs w:val="22"/>
              </w:rPr>
              <w:t>79.9%</w:t>
            </w:r>
          </w:p>
        </w:tc>
        <w:tc>
          <w:tcPr>
            <w:tcW w:w="108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0.001</w:t>
            </w:r>
          </w:p>
        </w:tc>
        <w:tc>
          <w:tcPr>
            <w:tcW w:w="108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66.3%</w:t>
            </w:r>
          </w:p>
        </w:tc>
        <w:tc>
          <w:tcPr>
            <w:tcW w:w="1080" w:type="dxa"/>
          </w:tcPr>
          <w:p w:rsidR="00051188" w:rsidRDefault="00051188" w:rsidP="009D78B4">
            <w:pPr>
              <w:pStyle w:val="TableTextSmall"/>
              <w:keepNext w:val="0"/>
              <w:widowControl w:val="0"/>
              <w:spacing w:before="0" w:after="0"/>
              <w:jc w:val="center"/>
              <w:rPr>
                <w:sz w:val="22"/>
                <w:szCs w:val="22"/>
              </w:rPr>
            </w:pPr>
            <w:r>
              <w:rPr>
                <w:sz w:val="22"/>
                <w:szCs w:val="22"/>
              </w:rPr>
              <w:t>76.5%</w:t>
            </w:r>
          </w:p>
        </w:tc>
        <w:tc>
          <w:tcPr>
            <w:tcW w:w="108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0.003</w:t>
            </w:r>
          </w:p>
        </w:tc>
      </w:tr>
      <w:tr w:rsidR="00051188">
        <w:trPr>
          <w:trHeight w:val="251"/>
        </w:trPr>
        <w:tc>
          <w:tcPr>
            <w:tcW w:w="2879" w:type="dxa"/>
            <w:tcBorders>
              <w:left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Total HIT-6 scores</w:t>
            </w:r>
            <w:r>
              <w:rPr>
                <w:sz w:val="24"/>
                <w:vertAlign w:val="superscript"/>
              </w:rPr>
              <w:t xml:space="preserve"> </w:t>
            </w:r>
            <w:r>
              <w:rPr>
                <w:sz w:val="22"/>
                <w:szCs w:val="22"/>
                <w:vertAlign w:val="superscript"/>
              </w:rPr>
              <w:t>b</w:t>
            </w:r>
          </w:p>
        </w:tc>
        <w:tc>
          <w:tcPr>
            <w:tcW w:w="1202"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-4.7</w:t>
            </w:r>
          </w:p>
        </w:tc>
        <w:tc>
          <w:tcPr>
            <w:tcW w:w="1134" w:type="dxa"/>
          </w:tcPr>
          <w:p w:rsidR="00051188" w:rsidRDefault="00051188" w:rsidP="009D78B4">
            <w:pPr>
              <w:pStyle w:val="TableTextSmall"/>
              <w:keepNext w:val="0"/>
              <w:widowControl w:val="0"/>
              <w:spacing w:before="0" w:after="0"/>
              <w:jc w:val="center"/>
              <w:rPr>
                <w:sz w:val="22"/>
                <w:szCs w:val="22"/>
              </w:rPr>
            </w:pPr>
            <w:r>
              <w:rPr>
                <w:sz w:val="22"/>
                <w:szCs w:val="22"/>
              </w:rPr>
              <w:t>-2.4</w:t>
            </w:r>
          </w:p>
        </w:tc>
        <w:tc>
          <w:tcPr>
            <w:tcW w:w="108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c>
          <w:tcPr>
            <w:tcW w:w="1080" w:type="dxa"/>
            <w:tcBorders>
              <w:lef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-4.9</w:t>
            </w:r>
          </w:p>
        </w:tc>
        <w:tc>
          <w:tcPr>
            <w:tcW w:w="1080" w:type="dxa"/>
          </w:tcPr>
          <w:p w:rsidR="00051188" w:rsidRDefault="00051188" w:rsidP="009D78B4">
            <w:pPr>
              <w:pStyle w:val="TableTextSmall"/>
              <w:keepNext w:val="0"/>
              <w:widowControl w:val="0"/>
              <w:spacing w:before="0" w:after="0"/>
              <w:jc w:val="center"/>
              <w:rPr>
                <w:sz w:val="22"/>
                <w:szCs w:val="22"/>
              </w:rPr>
            </w:pPr>
            <w:r>
              <w:rPr>
                <w:sz w:val="22"/>
                <w:szCs w:val="22"/>
              </w:rPr>
              <w:t>-2.4</w:t>
            </w:r>
          </w:p>
        </w:tc>
        <w:tc>
          <w:tcPr>
            <w:tcW w:w="1080" w:type="dxa"/>
            <w:tcBorders>
              <w:right w:val="single" w:sz="12" w:space="0" w:color="auto"/>
            </w:tcBorders>
          </w:tcPr>
          <w:p w:rsidR="00051188" w:rsidRDefault="00051188" w:rsidP="009D78B4">
            <w:pPr>
              <w:pStyle w:val="TableTextSmall"/>
              <w:keepNext w:val="0"/>
              <w:widowControl w:val="0"/>
              <w:spacing w:before="0" w:after="0"/>
              <w:jc w:val="center"/>
              <w:rPr>
                <w:sz w:val="22"/>
                <w:szCs w:val="22"/>
              </w:rPr>
            </w:pPr>
            <w:r>
              <w:rPr>
                <w:sz w:val="22"/>
                <w:szCs w:val="22"/>
              </w:rPr>
              <w:t>&lt;0.001</w:t>
            </w:r>
          </w:p>
        </w:tc>
      </w:tr>
      <w:tr w:rsidR="00051188">
        <w:trPr>
          <w:trHeight w:val="630"/>
        </w:trPr>
        <w:tc>
          <w:tcPr>
            <w:tcW w:w="2879" w:type="dxa"/>
            <w:tcBorders>
              <w:left w:val="single" w:sz="12" w:space="0" w:color="auto"/>
              <w:bottom w:val="single" w:sz="12" w:space="0" w:color="auto"/>
              <w:right w:val="single" w:sz="12" w:space="0" w:color="auto"/>
            </w:tcBorders>
          </w:tcPr>
          <w:p w:rsidR="00051188" w:rsidRDefault="00051188" w:rsidP="009D78B4">
            <w:pPr>
              <w:pStyle w:val="TableTextSmall"/>
              <w:keepNext w:val="0"/>
              <w:widowControl w:val="0"/>
              <w:spacing w:before="0" w:after="0"/>
              <w:rPr>
                <w:sz w:val="22"/>
                <w:szCs w:val="22"/>
              </w:rPr>
            </w:pPr>
            <w:r>
              <w:rPr>
                <w:sz w:val="22"/>
                <w:szCs w:val="22"/>
              </w:rPr>
              <w:t>Mean change from baseline in MSQ scores</w:t>
            </w:r>
            <w:r>
              <w:rPr>
                <w:vertAlign w:val="superscript"/>
              </w:rPr>
              <w:t xml:space="preserve"> b</w:t>
            </w:r>
          </w:p>
          <w:p w:rsidR="00051188" w:rsidRDefault="00051188" w:rsidP="009D78B4">
            <w:pPr>
              <w:pStyle w:val="TableTextSmall"/>
              <w:keepNext w:val="0"/>
              <w:widowControl w:val="0"/>
              <w:spacing w:before="0" w:after="0"/>
              <w:rPr>
                <w:sz w:val="22"/>
                <w:szCs w:val="22"/>
              </w:rPr>
            </w:pPr>
            <w:r>
              <w:rPr>
                <w:sz w:val="22"/>
                <w:szCs w:val="22"/>
              </w:rPr>
              <w:t>Role function- Restrictive</w:t>
            </w:r>
          </w:p>
          <w:p w:rsidR="00051188" w:rsidRDefault="00051188" w:rsidP="009D78B4">
            <w:pPr>
              <w:pStyle w:val="TableTextSmall"/>
              <w:keepNext w:val="0"/>
              <w:widowControl w:val="0"/>
              <w:spacing w:before="0" w:after="0"/>
              <w:rPr>
                <w:sz w:val="22"/>
                <w:szCs w:val="22"/>
              </w:rPr>
            </w:pPr>
            <w:r>
              <w:rPr>
                <w:sz w:val="22"/>
                <w:szCs w:val="22"/>
              </w:rPr>
              <w:t>Role function- Preventative</w:t>
            </w:r>
          </w:p>
          <w:p w:rsidR="00051188" w:rsidRDefault="00051188" w:rsidP="009D78B4">
            <w:pPr>
              <w:pStyle w:val="TableTextSmall"/>
              <w:keepNext w:val="0"/>
              <w:widowControl w:val="0"/>
              <w:spacing w:before="0" w:after="0"/>
              <w:rPr>
                <w:sz w:val="22"/>
                <w:szCs w:val="22"/>
              </w:rPr>
            </w:pPr>
            <w:r>
              <w:rPr>
                <w:sz w:val="22"/>
                <w:szCs w:val="22"/>
              </w:rPr>
              <w:t>Role function- Emotional Function</w:t>
            </w:r>
          </w:p>
        </w:tc>
        <w:tc>
          <w:tcPr>
            <w:tcW w:w="1202" w:type="dxa"/>
            <w:tcBorders>
              <w:left w:val="single" w:sz="12" w:space="0" w:color="auto"/>
              <w:bottom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 xml:space="preserve">-16.8 </w:t>
            </w:r>
          </w:p>
          <w:p w:rsidR="00051188" w:rsidRDefault="00051188" w:rsidP="009D78B4">
            <w:pPr>
              <w:pStyle w:val="TableTextSmall"/>
              <w:keepNext w:val="0"/>
              <w:widowControl w:val="0"/>
              <w:spacing w:before="0" w:after="0"/>
              <w:jc w:val="center"/>
              <w:rPr>
                <w:sz w:val="22"/>
                <w:szCs w:val="22"/>
              </w:rPr>
            </w:pPr>
            <w:r>
              <w:rPr>
                <w:sz w:val="22"/>
                <w:szCs w:val="22"/>
              </w:rPr>
              <w:t xml:space="preserve">-12.6 </w:t>
            </w:r>
          </w:p>
          <w:p w:rsidR="00051188" w:rsidRDefault="00051188" w:rsidP="009D78B4">
            <w:pPr>
              <w:pStyle w:val="TableTextSmall"/>
              <w:keepNext w:val="0"/>
              <w:widowControl w:val="0"/>
              <w:spacing w:before="0" w:after="0"/>
              <w:jc w:val="center"/>
              <w:rPr>
                <w:sz w:val="22"/>
                <w:szCs w:val="22"/>
              </w:rPr>
            </w:pPr>
            <w:r>
              <w:rPr>
                <w:sz w:val="22"/>
                <w:szCs w:val="22"/>
              </w:rPr>
              <w:t xml:space="preserve">-16.9 </w:t>
            </w:r>
          </w:p>
          <w:p w:rsidR="00051188" w:rsidRDefault="00051188" w:rsidP="009D78B4">
            <w:pPr>
              <w:pStyle w:val="TableTextSmall"/>
              <w:keepNext w:val="0"/>
              <w:widowControl w:val="0"/>
              <w:spacing w:before="0" w:after="0"/>
              <w:jc w:val="center"/>
              <w:rPr>
                <w:sz w:val="22"/>
                <w:szCs w:val="22"/>
              </w:rPr>
            </w:pPr>
          </w:p>
        </w:tc>
        <w:tc>
          <w:tcPr>
            <w:tcW w:w="1134" w:type="dxa"/>
            <w:tcBorders>
              <w:bottom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 xml:space="preserve">-8.8 </w:t>
            </w:r>
          </w:p>
          <w:p w:rsidR="00051188" w:rsidRDefault="00051188" w:rsidP="009D78B4">
            <w:pPr>
              <w:pStyle w:val="TableTextSmall"/>
              <w:keepNext w:val="0"/>
              <w:widowControl w:val="0"/>
              <w:spacing w:before="0" w:after="0"/>
              <w:jc w:val="center"/>
              <w:rPr>
                <w:sz w:val="22"/>
                <w:szCs w:val="22"/>
              </w:rPr>
            </w:pPr>
            <w:r>
              <w:rPr>
                <w:sz w:val="22"/>
                <w:szCs w:val="22"/>
              </w:rPr>
              <w:t xml:space="preserve">-7.6 </w:t>
            </w:r>
          </w:p>
          <w:p w:rsidR="00051188" w:rsidRDefault="00051188" w:rsidP="009D78B4">
            <w:pPr>
              <w:pStyle w:val="TableTextSmall"/>
              <w:keepNext w:val="0"/>
              <w:widowControl w:val="0"/>
              <w:spacing w:before="0" w:after="0"/>
              <w:jc w:val="center"/>
              <w:rPr>
                <w:sz w:val="22"/>
                <w:szCs w:val="22"/>
              </w:rPr>
            </w:pPr>
            <w:r>
              <w:rPr>
                <w:sz w:val="22"/>
                <w:szCs w:val="22"/>
              </w:rPr>
              <w:t xml:space="preserve">-10.0 </w:t>
            </w:r>
          </w:p>
        </w:tc>
        <w:tc>
          <w:tcPr>
            <w:tcW w:w="1080" w:type="dxa"/>
            <w:tcBorders>
              <w:bottom w:val="single" w:sz="12" w:space="0" w:color="auto"/>
              <w:right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&lt;0.001</w:t>
            </w:r>
          </w:p>
          <w:p w:rsidR="00051188" w:rsidRDefault="00051188" w:rsidP="009D78B4">
            <w:pPr>
              <w:pStyle w:val="TableTextSmall"/>
              <w:keepNext w:val="0"/>
              <w:widowControl w:val="0"/>
              <w:spacing w:before="0" w:after="0"/>
              <w:jc w:val="center"/>
              <w:rPr>
                <w:sz w:val="22"/>
                <w:szCs w:val="22"/>
              </w:rPr>
            </w:pPr>
            <w:r>
              <w:rPr>
                <w:sz w:val="22"/>
                <w:szCs w:val="22"/>
              </w:rPr>
              <w:t>0.005</w:t>
            </w:r>
          </w:p>
          <w:p w:rsidR="00051188" w:rsidRDefault="00051188" w:rsidP="009D78B4">
            <w:pPr>
              <w:pStyle w:val="TableTextSmall"/>
              <w:keepNext w:val="0"/>
              <w:widowControl w:val="0"/>
              <w:spacing w:before="0" w:after="0"/>
              <w:jc w:val="center"/>
              <w:rPr>
                <w:sz w:val="22"/>
                <w:szCs w:val="22"/>
              </w:rPr>
            </w:pPr>
            <w:r>
              <w:rPr>
                <w:sz w:val="22"/>
                <w:szCs w:val="22"/>
              </w:rPr>
              <w:t>0.001</w:t>
            </w:r>
          </w:p>
        </w:tc>
        <w:tc>
          <w:tcPr>
            <w:tcW w:w="1080" w:type="dxa"/>
            <w:tcBorders>
              <w:left w:val="single" w:sz="12" w:space="0" w:color="auto"/>
              <w:bottom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 xml:space="preserve">-17.2 </w:t>
            </w:r>
          </w:p>
          <w:p w:rsidR="00051188" w:rsidRDefault="00051188" w:rsidP="009D78B4">
            <w:pPr>
              <w:pStyle w:val="TableTextSmall"/>
              <w:keepNext w:val="0"/>
              <w:widowControl w:val="0"/>
              <w:spacing w:before="0" w:after="0"/>
              <w:jc w:val="center"/>
              <w:rPr>
                <w:sz w:val="22"/>
                <w:szCs w:val="22"/>
              </w:rPr>
            </w:pPr>
            <w:r>
              <w:rPr>
                <w:sz w:val="22"/>
                <w:szCs w:val="22"/>
              </w:rPr>
              <w:t xml:space="preserve">-13.5 </w:t>
            </w:r>
          </w:p>
          <w:p w:rsidR="00051188" w:rsidRDefault="00051188" w:rsidP="009D78B4">
            <w:pPr>
              <w:pStyle w:val="TableTextSmall"/>
              <w:keepNext w:val="0"/>
              <w:widowControl w:val="0"/>
              <w:spacing w:before="0" w:after="0"/>
              <w:jc w:val="center"/>
              <w:rPr>
                <w:sz w:val="22"/>
                <w:szCs w:val="22"/>
              </w:rPr>
            </w:pPr>
            <w:r>
              <w:rPr>
                <w:sz w:val="22"/>
                <w:szCs w:val="22"/>
              </w:rPr>
              <w:t xml:space="preserve">-19.0 </w:t>
            </w:r>
          </w:p>
        </w:tc>
        <w:tc>
          <w:tcPr>
            <w:tcW w:w="1080" w:type="dxa"/>
            <w:tcBorders>
              <w:bottom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 xml:space="preserve">-8.4 </w:t>
            </w:r>
          </w:p>
          <w:p w:rsidR="00051188" w:rsidRDefault="00051188" w:rsidP="009D78B4">
            <w:pPr>
              <w:pStyle w:val="TableTextSmall"/>
              <w:keepNext w:val="0"/>
              <w:widowControl w:val="0"/>
              <w:spacing w:before="0" w:after="0"/>
              <w:jc w:val="center"/>
              <w:rPr>
                <w:sz w:val="22"/>
                <w:szCs w:val="22"/>
              </w:rPr>
            </w:pPr>
            <w:r>
              <w:rPr>
                <w:sz w:val="22"/>
                <w:szCs w:val="22"/>
              </w:rPr>
              <w:t xml:space="preserve">-5.4 </w:t>
            </w:r>
          </w:p>
          <w:p w:rsidR="00051188" w:rsidRDefault="00051188" w:rsidP="009D78B4">
            <w:pPr>
              <w:pStyle w:val="TableTextSmall"/>
              <w:keepNext w:val="0"/>
              <w:widowControl w:val="0"/>
              <w:spacing w:before="0" w:after="0"/>
              <w:jc w:val="center"/>
              <w:rPr>
                <w:sz w:val="22"/>
                <w:szCs w:val="22"/>
              </w:rPr>
            </w:pPr>
            <w:r>
              <w:rPr>
                <w:sz w:val="22"/>
                <w:szCs w:val="22"/>
              </w:rPr>
              <w:t xml:space="preserve">-9.1 </w:t>
            </w:r>
          </w:p>
        </w:tc>
        <w:tc>
          <w:tcPr>
            <w:tcW w:w="1080" w:type="dxa"/>
            <w:tcBorders>
              <w:bottom w:val="single" w:sz="12" w:space="0" w:color="auto"/>
              <w:right w:val="single" w:sz="12" w:space="0" w:color="auto"/>
            </w:tcBorders>
          </w:tcPr>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p>
          <w:p w:rsidR="00051188" w:rsidRDefault="00051188" w:rsidP="009D78B4">
            <w:pPr>
              <w:pStyle w:val="TableTextSmall"/>
              <w:keepNext w:val="0"/>
              <w:widowControl w:val="0"/>
              <w:spacing w:before="0" w:after="0"/>
              <w:jc w:val="center"/>
              <w:rPr>
                <w:sz w:val="22"/>
                <w:szCs w:val="22"/>
              </w:rPr>
            </w:pPr>
            <w:r>
              <w:rPr>
                <w:sz w:val="22"/>
                <w:szCs w:val="22"/>
              </w:rPr>
              <w:t>&lt;0.001</w:t>
            </w:r>
          </w:p>
          <w:p w:rsidR="00051188" w:rsidRDefault="00051188" w:rsidP="009D78B4">
            <w:pPr>
              <w:pStyle w:val="TableTextSmall"/>
              <w:keepNext w:val="0"/>
              <w:widowControl w:val="0"/>
              <w:spacing w:before="0" w:after="0"/>
              <w:jc w:val="center"/>
              <w:rPr>
                <w:sz w:val="22"/>
                <w:szCs w:val="22"/>
              </w:rPr>
            </w:pPr>
            <w:r>
              <w:rPr>
                <w:sz w:val="22"/>
                <w:szCs w:val="22"/>
              </w:rPr>
              <w:t>&lt;0.001</w:t>
            </w:r>
          </w:p>
          <w:p w:rsidR="00051188" w:rsidRDefault="00051188" w:rsidP="009D78B4">
            <w:pPr>
              <w:pStyle w:val="TableTextSmall"/>
              <w:keepNext w:val="0"/>
              <w:widowControl w:val="0"/>
              <w:spacing w:before="0" w:after="0"/>
              <w:jc w:val="center"/>
              <w:rPr>
                <w:sz w:val="22"/>
                <w:szCs w:val="22"/>
              </w:rPr>
            </w:pPr>
            <w:r>
              <w:rPr>
                <w:sz w:val="22"/>
                <w:szCs w:val="22"/>
              </w:rPr>
              <w:t>&lt;0.001</w:t>
            </w:r>
          </w:p>
        </w:tc>
      </w:tr>
    </w:tbl>
    <w:p w:rsidR="00051188" w:rsidRDefault="00051188" w:rsidP="009D78B4">
      <w:pPr>
        <w:widowControl w:val="0"/>
        <w:tabs>
          <w:tab w:val="left" w:pos="10800"/>
        </w:tabs>
        <w:autoSpaceDE w:val="0"/>
        <w:autoSpaceDN w:val="0"/>
        <w:adjustRightInd w:val="0"/>
      </w:pPr>
      <w:r>
        <w:rPr>
          <w:vertAlign w:val="superscript"/>
        </w:rPr>
        <w:t xml:space="preserve">a </w:t>
      </w:r>
      <w:r>
        <w:t>Evaluated over a 28 day pre-randomisation baseline period and a 28 day period leading up to Week 24</w:t>
      </w:r>
    </w:p>
    <w:p w:rsidR="00051188" w:rsidRDefault="00051188" w:rsidP="009D78B4">
      <w:pPr>
        <w:widowControl w:val="0"/>
        <w:tabs>
          <w:tab w:val="left" w:pos="10800"/>
        </w:tabs>
        <w:autoSpaceDE w:val="0"/>
        <w:autoSpaceDN w:val="0"/>
        <w:adjustRightInd w:val="0"/>
      </w:pPr>
      <w:r>
        <w:rPr>
          <w:vertAlign w:val="superscript"/>
        </w:rPr>
        <w:t>b</w:t>
      </w:r>
      <w:r>
        <w:t xml:space="preserve"> Administered once at baseline and once at Week 24, and designed to collect data based on patient’s one month recall</w:t>
      </w:r>
    </w:p>
    <w:p w:rsidR="00051188" w:rsidRDefault="00051188" w:rsidP="009D78B4">
      <w:pPr>
        <w:widowControl w:val="0"/>
        <w:tabs>
          <w:tab w:val="left" w:pos="-720"/>
        </w:tabs>
        <w:rPr>
          <w:b/>
          <w:sz w:val="24"/>
        </w:rPr>
      </w:pPr>
    </w:p>
    <w:p w:rsidR="00051188" w:rsidRDefault="00051188" w:rsidP="009D78B4">
      <w:pPr>
        <w:widowControl w:val="0"/>
        <w:tabs>
          <w:tab w:val="left" w:pos="-720"/>
        </w:tabs>
        <w:rPr>
          <w:sz w:val="24"/>
          <w:lang w:val="en-GB"/>
        </w:rPr>
      </w:pPr>
      <w:r>
        <w:rPr>
          <w:b/>
          <w:sz w:val="24"/>
          <w:lang w:val="en-GB"/>
        </w:rPr>
        <w:t>Blepharospasm</w:t>
      </w:r>
    </w:p>
    <w:p w:rsidR="00051188" w:rsidRDefault="00051188" w:rsidP="009D78B4">
      <w:pPr>
        <w:pStyle w:val="BodyText"/>
        <w:widowControl w:val="0"/>
      </w:pPr>
      <w:r>
        <w:t xml:space="preserve">In one study, botulinum toxin was evaluated in 27 patients with essential blepharospasm.  Twenty-six of the patients had previously undergone drug treatment utilising benztropine </w:t>
      </w:r>
      <w:r>
        <w:lastRenderedPageBreak/>
        <w:t>mesylate, clonazepam and/or baclofen without adequate clinical results.  Three of these patients then underwent muscle stripping surgery still without an adequate outcome.  One patient of the 27 was previously untreated.  Upon using botulinum toxin, 25 of the 27 patients reported improvement within 48 hours.  One of the other patients was later controlled with a higher dosage.  The remaining patient reported only mild improvement but remained functionally impaired.</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sz w:val="24"/>
          <w:lang w:val="en-GB"/>
        </w:rPr>
        <w:t>In another study, twelve patients with blepharospasm were evaluated in a double-blind, placebo-controlled study.  All patients receiving botulinum toxin (n=8) were improved compared with no improvements in the placebo group (n=4).  The mean dystonia score improved by 72%, the self-assessment score rating improved by 61% and a videotape evaluation rating improved by 39%.  The effects of the treatment lasted a mean of 12.5 weeks.</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sz w:val="24"/>
          <w:lang w:val="en-GB"/>
        </w:rPr>
        <w:t>In a separate study, blepharospasm patients received an average dose per eye of 33 U of</w:t>
      </w:r>
      <w:r>
        <w:rPr>
          <w:smallCaps/>
          <w:sz w:val="24"/>
          <w:lang w:val="en-GB"/>
        </w:rPr>
        <w:t xml:space="preserve"> </w:t>
      </w:r>
      <w:r>
        <w:rPr>
          <w:caps/>
          <w:color w:val="000000"/>
          <w:sz w:val="24"/>
          <w:szCs w:val="24"/>
          <w:lang w:val="en-GB"/>
        </w:rPr>
        <w:t>Botox</w:t>
      </w:r>
      <w:r>
        <w:rPr>
          <w:color w:val="000000"/>
          <w:sz w:val="24"/>
          <w:szCs w:val="24"/>
          <w:vertAlign w:val="superscript"/>
        </w:rPr>
        <w:t>®</w:t>
      </w:r>
      <w:r>
        <w:rPr>
          <w:sz w:val="24"/>
          <w:lang w:val="en-GB"/>
        </w:rPr>
        <w:t xml:space="preserve"> injected at 3 to 15 sites.  The most frequently reported treatment-related adverse events were ptosis (20.8%), superficial punctate keratitis and eye dryness (6.3% each).</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b/>
          <w:color w:val="000000"/>
          <w:sz w:val="24"/>
          <w:lang w:val="en-GB"/>
        </w:rPr>
      </w:pPr>
      <w:r>
        <w:rPr>
          <w:b/>
          <w:color w:val="000000"/>
          <w:sz w:val="24"/>
          <w:lang w:val="en-GB"/>
        </w:rPr>
        <w:t>Strabismus</w:t>
      </w:r>
    </w:p>
    <w:p w:rsidR="00051188" w:rsidRDefault="00051188" w:rsidP="009D78B4">
      <w:pPr>
        <w:pStyle w:val="Footer"/>
        <w:widowControl w:val="0"/>
        <w:tabs>
          <w:tab w:val="clear" w:pos="4819"/>
          <w:tab w:val="clear" w:pos="9071"/>
          <w:tab w:val="left" w:pos="-720"/>
        </w:tabs>
        <w:rPr>
          <w:rFonts w:ascii="Times New Roman" w:hAnsi="Times New Roman"/>
          <w:color w:val="000000"/>
          <w:szCs w:val="24"/>
          <w:lang w:val="en-GB"/>
        </w:rPr>
      </w:pPr>
      <w:r>
        <w:rPr>
          <w:rFonts w:ascii="Times New Roman" w:hAnsi="Times New Roman" w:cs="Arial"/>
          <w:color w:val="000000"/>
          <w:szCs w:val="24"/>
        </w:rPr>
        <w:t xml:space="preserve">Six hundred and seventy-seven adult patients with strabismus treated with one or more injections </w:t>
      </w:r>
      <w:r>
        <w:rPr>
          <w:rFonts w:ascii="Times New Roman" w:hAnsi="Times New Roman"/>
          <w:color w:val="000000"/>
          <w:szCs w:val="24"/>
        </w:rPr>
        <w:t xml:space="preserve">of </w:t>
      </w:r>
      <w:r>
        <w:rPr>
          <w:rFonts w:ascii="Times New Roman" w:hAnsi="Times New Roman"/>
          <w:caps/>
          <w:color w:val="000000"/>
          <w:szCs w:val="24"/>
          <w:lang w:val="en-GB"/>
        </w:rPr>
        <w:t>Botox</w:t>
      </w:r>
      <w:r>
        <w:rPr>
          <w:rFonts w:ascii="Times New Roman" w:hAnsi="Times New Roman"/>
          <w:color w:val="000000"/>
          <w:szCs w:val="24"/>
          <w:vertAlign w:val="superscript"/>
        </w:rPr>
        <w:t>®</w:t>
      </w:r>
      <w:r>
        <w:rPr>
          <w:rFonts w:ascii="Times New Roman" w:hAnsi="Times New Roman"/>
          <w:color w:val="000000"/>
          <w:szCs w:val="24"/>
        </w:rPr>
        <w:t xml:space="preserve"> were</w:t>
      </w:r>
      <w:r>
        <w:rPr>
          <w:rFonts w:ascii="Times New Roman" w:hAnsi="Times New Roman" w:cs="Arial"/>
          <w:color w:val="000000"/>
          <w:szCs w:val="24"/>
        </w:rPr>
        <w:t xml:space="preserve"> evaluated in a large retrospective case review.  Fifty-five percent of these patients improved to an alignment of 10 prism diopters or less when evaluated six months or more following injection</w:t>
      </w:r>
      <w:r>
        <w:rPr>
          <w:rFonts w:ascii="Times New Roman" w:hAnsi="Times New Roman" w:cs="Arial"/>
          <w:color w:val="000000"/>
          <w:szCs w:val="24"/>
          <w:vertAlign w:val="superscript"/>
        </w:rPr>
        <w:t xml:space="preserve"> </w:t>
      </w:r>
      <w:r>
        <w:rPr>
          <w:rFonts w:ascii="Times New Roman" w:hAnsi="Times New Roman" w:cs="Arial"/>
          <w:color w:val="000000"/>
          <w:szCs w:val="24"/>
        </w:rPr>
        <w:t>(1).  Large strabismus angles tended to return to pre-injection position and required re-injection more frequently than smaller angles.  Thirty-five percent of adults with horizontal strabismus were corrected by one injection to within 10 prism diopters of orthoposition.</w:t>
      </w:r>
    </w:p>
    <w:p w:rsidR="00051188" w:rsidRDefault="00051188" w:rsidP="009D78B4">
      <w:pPr>
        <w:widowControl w:val="0"/>
        <w:tabs>
          <w:tab w:val="left" w:pos="-720"/>
        </w:tabs>
        <w:rPr>
          <w:b/>
          <w:sz w:val="24"/>
          <w:lang w:val="en-GB"/>
        </w:rPr>
      </w:pPr>
    </w:p>
    <w:p w:rsidR="00051188" w:rsidRDefault="00051188" w:rsidP="009D78B4">
      <w:pPr>
        <w:widowControl w:val="0"/>
        <w:tabs>
          <w:tab w:val="left" w:pos="-720"/>
        </w:tabs>
        <w:rPr>
          <w:b/>
          <w:sz w:val="24"/>
          <w:lang w:val="en-GB"/>
        </w:rPr>
      </w:pPr>
      <w:r>
        <w:rPr>
          <w:b/>
          <w:sz w:val="24"/>
          <w:lang w:val="en-GB"/>
        </w:rPr>
        <w:t>Focal spasticity in children 2 years and older</w:t>
      </w:r>
    </w:p>
    <w:p w:rsidR="00051188" w:rsidRDefault="00051188" w:rsidP="009D78B4">
      <w:pPr>
        <w:widowControl w:val="0"/>
        <w:tabs>
          <w:tab w:val="left" w:pos="-720"/>
        </w:tabs>
        <w:rPr>
          <w:b/>
          <w:sz w:val="24"/>
          <w:lang w:val="en-GB"/>
        </w:rPr>
      </w:pPr>
    </w:p>
    <w:p w:rsidR="00051188" w:rsidRDefault="00051188" w:rsidP="009D78B4">
      <w:pPr>
        <w:widowControl w:val="0"/>
        <w:tabs>
          <w:tab w:val="left" w:pos="-720"/>
        </w:tabs>
        <w:rPr>
          <w:b/>
          <w:sz w:val="24"/>
          <w:lang w:val="en-GB"/>
        </w:rPr>
      </w:pPr>
      <w:r>
        <w:rPr>
          <w:b/>
          <w:sz w:val="24"/>
          <w:lang w:val="en-GB"/>
        </w:rPr>
        <w:t>Upper limb spasticity</w:t>
      </w:r>
    </w:p>
    <w:p w:rsidR="00051188" w:rsidRDefault="00051188" w:rsidP="009D78B4">
      <w:pPr>
        <w:widowControl w:val="0"/>
        <w:tabs>
          <w:tab w:val="left" w:pos="-720"/>
        </w:tabs>
        <w:jc w:val="both"/>
        <w:rPr>
          <w:sz w:val="24"/>
          <w:lang w:val="en-GB"/>
        </w:rPr>
      </w:pPr>
      <w:r>
        <w:rPr>
          <w:sz w:val="24"/>
          <w:lang w:val="en-GB"/>
        </w:rPr>
        <w:t>Two randomised, evaluator-blinded studies compared BOTOX</w:t>
      </w:r>
      <w:r>
        <w:rPr>
          <w:sz w:val="24"/>
          <w:szCs w:val="24"/>
          <w:vertAlign w:val="superscript"/>
          <w:lang w:val="en-GB"/>
        </w:rPr>
        <w:t>®</w:t>
      </w:r>
      <w:r>
        <w:rPr>
          <w:sz w:val="24"/>
          <w:lang w:val="en-GB"/>
        </w:rPr>
        <w:t xml:space="preserve"> plus standard care with standard care alone in a total of 72 children with hemiplegic cerebral palsy and upper limb spasticity.  In these studies </w:t>
      </w:r>
      <w:r>
        <w:rPr>
          <w:sz w:val="24"/>
          <w:szCs w:val="24"/>
        </w:rPr>
        <w:t>the muscles in the arm and hand that were injected included the biceps brachii, brachialis, brachioradialis, flexor carpi ulnaris and radialis, pronator teres, pronator quadratus, flexor digitorum profundus and sublimis, flexor pollicis longus and brevis, thumb adductor, short flexor of the thumb and interossei.</w:t>
      </w:r>
    </w:p>
    <w:p w:rsidR="00051188" w:rsidRDefault="00051188" w:rsidP="009D78B4">
      <w:pPr>
        <w:widowControl w:val="0"/>
        <w:tabs>
          <w:tab w:val="left" w:pos="-720"/>
        </w:tabs>
        <w:jc w:val="both"/>
        <w:rPr>
          <w:strike/>
          <w:sz w:val="24"/>
          <w:szCs w:val="24"/>
          <w:lang w:val="en-GB"/>
        </w:rPr>
      </w:pPr>
      <w:r>
        <w:rPr>
          <w:strike/>
          <w:sz w:val="24"/>
          <w:szCs w:val="24"/>
          <w:lang w:val="en-GB"/>
        </w:rPr>
        <w:t xml:space="preserve"> </w:t>
      </w:r>
    </w:p>
    <w:p w:rsidR="00051188" w:rsidRDefault="00051188" w:rsidP="009D78B4">
      <w:pPr>
        <w:widowControl w:val="0"/>
        <w:tabs>
          <w:tab w:val="left" w:pos="-720"/>
        </w:tabs>
        <w:jc w:val="both"/>
        <w:rPr>
          <w:sz w:val="24"/>
          <w:lang w:val="en-GB"/>
        </w:rPr>
      </w:pPr>
      <w:r>
        <w:rPr>
          <w:sz w:val="24"/>
          <w:lang w:val="en-GB"/>
        </w:rPr>
        <w:t>In the 6-month study (n = 42; 2 to 8 years) spasticity as measured by the Modified Ashworth Scale (MAS) was significantly reduced in children treated with BOTOX</w:t>
      </w:r>
      <w:r>
        <w:rPr>
          <w:sz w:val="24"/>
          <w:szCs w:val="24"/>
          <w:vertAlign w:val="superscript"/>
          <w:lang w:val="en-GB"/>
        </w:rPr>
        <w:t>®</w:t>
      </w:r>
      <w:r>
        <w:rPr>
          <w:sz w:val="24"/>
          <w:lang w:val="en-GB"/>
        </w:rPr>
        <w:t xml:space="preserve"> (1-2 U/kg/muscle, maximum dose 240 units, mean 137 units) at months 1 and 3, but returned to baseline values at month 6.  Quality of upper limb movement as measured by the Quality of Upper Extremity Skills Test (QUEST) improved significantly from baseline in both groups but to a greater extent in BOTOX</w:t>
      </w:r>
      <w:r>
        <w:rPr>
          <w:sz w:val="24"/>
          <w:szCs w:val="24"/>
          <w:vertAlign w:val="superscript"/>
          <w:lang w:val="en-GB"/>
        </w:rPr>
        <w:t>®</w:t>
      </w:r>
      <w:r>
        <w:rPr>
          <w:sz w:val="24"/>
          <w:lang w:val="en-GB"/>
        </w:rPr>
        <w:t>–treated children at months 1 (61% vs. 19%, p=0.004) and 3 (71% vs 33%, p=0.03), but not at month 6 (p=1.0).  Children treated with BOTOX</w:t>
      </w:r>
      <w:r>
        <w:rPr>
          <w:sz w:val="24"/>
          <w:szCs w:val="24"/>
          <w:vertAlign w:val="superscript"/>
          <w:lang w:val="en-GB"/>
        </w:rPr>
        <w:t>®</w:t>
      </w:r>
      <w:r>
        <w:rPr>
          <w:sz w:val="24"/>
          <w:lang w:val="en-GB"/>
        </w:rPr>
        <w:t xml:space="preserve"> had a significantly greater improvement in function as measured by Goal Attainment Scaling (GAS). Children treated with BOTOX</w:t>
      </w:r>
      <w:r>
        <w:rPr>
          <w:sz w:val="24"/>
          <w:szCs w:val="24"/>
          <w:vertAlign w:val="superscript"/>
          <w:lang w:val="en-GB"/>
        </w:rPr>
        <w:t>®</w:t>
      </w:r>
      <w:r>
        <w:rPr>
          <w:sz w:val="24"/>
          <w:lang w:val="en-GB"/>
        </w:rPr>
        <w:t xml:space="preserve"> improved more quickly than those treated with standard care alone.  No treatment-related adverse effects were reported.</w:t>
      </w:r>
    </w:p>
    <w:p w:rsidR="00051188" w:rsidRDefault="00051188" w:rsidP="009D78B4">
      <w:pPr>
        <w:widowControl w:val="0"/>
        <w:tabs>
          <w:tab w:val="left" w:pos="-720"/>
        </w:tabs>
        <w:jc w:val="both"/>
        <w:rPr>
          <w:sz w:val="24"/>
          <w:lang w:val="en-GB"/>
        </w:rPr>
      </w:pPr>
    </w:p>
    <w:p w:rsidR="00051188" w:rsidRDefault="00051188" w:rsidP="009D78B4">
      <w:pPr>
        <w:widowControl w:val="0"/>
        <w:tabs>
          <w:tab w:val="left" w:pos="-720"/>
        </w:tabs>
        <w:jc w:val="both"/>
        <w:rPr>
          <w:sz w:val="24"/>
          <w:szCs w:val="24"/>
          <w:lang w:val="en-GB"/>
        </w:rPr>
      </w:pPr>
      <w:r>
        <w:rPr>
          <w:sz w:val="24"/>
          <w:lang w:val="en-GB"/>
        </w:rPr>
        <w:t>In the three month study (n = 30, 5-15 years) upper limb function was measured using the Melbourne Assessment of Unilateral Upper Limb Function.  Children in the BOTOX</w:t>
      </w:r>
      <w:r>
        <w:rPr>
          <w:sz w:val="24"/>
          <w:szCs w:val="24"/>
          <w:vertAlign w:val="superscript"/>
          <w:lang w:val="en-GB"/>
        </w:rPr>
        <w:t>®</w:t>
      </w:r>
      <w:r>
        <w:rPr>
          <w:sz w:val="24"/>
          <w:lang w:val="en-GB"/>
        </w:rPr>
        <w:t xml:space="preserve"> group </w:t>
      </w:r>
      <w:r>
        <w:rPr>
          <w:sz w:val="24"/>
          <w:lang w:val="en-GB"/>
        </w:rPr>
        <w:lastRenderedPageBreak/>
        <w:t>(0.5 to 2.0 U/kg/muscle) had a 14% improvement in function compared with no change in children in the control group at month 3 (p = 0.002).  In this study, there was no difference between treatment groups on the GAS.  Three treatment-related adverse effects were reported, 2 localised weakness and one increased frequency of micturition.</w:t>
      </w:r>
    </w:p>
    <w:p w:rsidR="00051188" w:rsidRDefault="00051188" w:rsidP="009D78B4">
      <w:pPr>
        <w:widowControl w:val="0"/>
        <w:tabs>
          <w:tab w:val="left" w:pos="-720"/>
        </w:tabs>
        <w:rPr>
          <w:b/>
          <w:sz w:val="24"/>
          <w:lang w:val="en-GB"/>
        </w:rPr>
      </w:pPr>
    </w:p>
    <w:p w:rsidR="00051188" w:rsidRDefault="00051188" w:rsidP="00112664">
      <w:pPr>
        <w:widowControl w:val="0"/>
        <w:rPr>
          <w:b/>
          <w:sz w:val="24"/>
          <w:lang w:val="en-GB"/>
        </w:rPr>
      </w:pPr>
      <w:r>
        <w:rPr>
          <w:b/>
          <w:sz w:val="24"/>
          <w:lang w:val="en-GB"/>
        </w:rPr>
        <w:t>Lower limb spasticity – Equinus</w:t>
      </w:r>
    </w:p>
    <w:p w:rsidR="00051188" w:rsidRDefault="00051188" w:rsidP="009D78B4">
      <w:pPr>
        <w:widowControl w:val="0"/>
        <w:tabs>
          <w:tab w:val="left" w:pos="-720"/>
        </w:tabs>
        <w:rPr>
          <w:sz w:val="24"/>
          <w:lang w:val="en-GB"/>
        </w:rPr>
      </w:pPr>
      <w:r>
        <w:rPr>
          <w:sz w:val="24"/>
          <w:lang w:val="en-GB"/>
        </w:rPr>
        <w:t xml:space="preserve">A three-month, double-blind, placebo-controlled parallel study was conducted in , cerebral palsy children, aged  2 to 16 years with equinus ankle position.  Seventy-two were administered 4U/kg body weight of </w:t>
      </w:r>
      <w:r>
        <w:rPr>
          <w:caps/>
          <w:color w:val="000000"/>
          <w:sz w:val="24"/>
          <w:szCs w:val="24"/>
          <w:lang w:val="en-GB"/>
        </w:rPr>
        <w:t>Botox</w:t>
      </w:r>
      <w:r>
        <w:rPr>
          <w:color w:val="000000"/>
          <w:sz w:val="24"/>
          <w:szCs w:val="24"/>
          <w:vertAlign w:val="superscript"/>
        </w:rPr>
        <w:t>®</w:t>
      </w:r>
      <w:r>
        <w:rPr>
          <w:color w:val="000000"/>
          <w:sz w:val="24"/>
          <w:szCs w:val="24"/>
        </w:rPr>
        <w:t xml:space="preserve"> into the medial and lateral heads of the gastrocnemius at baseline (2 U/kg/muscle), for hemiplegic patients and 1 U/kg/muscle for diplegic patients) and again at 4 weeks.  The cumulative dose of </w:t>
      </w:r>
      <w:r>
        <w:rPr>
          <w:caps/>
          <w:color w:val="000000"/>
          <w:sz w:val="24"/>
          <w:szCs w:val="24"/>
          <w:lang w:val="en-GB"/>
        </w:rPr>
        <w:t>Botox</w:t>
      </w:r>
      <w:r>
        <w:rPr>
          <w:color w:val="000000"/>
          <w:sz w:val="24"/>
          <w:szCs w:val="24"/>
          <w:vertAlign w:val="superscript"/>
        </w:rPr>
        <w:t>®</w:t>
      </w:r>
      <w:r>
        <w:rPr>
          <w:color w:val="000000"/>
          <w:sz w:val="24"/>
          <w:szCs w:val="24"/>
        </w:rPr>
        <w:t xml:space="preserve"> over 4 weeks was 2-4 U/kg/muscle and overall 8 U/kg body weight up to a maximum of 200 units during a 30 day period. </w:t>
      </w:r>
      <w:r>
        <w:rPr>
          <w:sz w:val="24"/>
          <w:lang w:val="en-GB"/>
        </w:rPr>
        <w:t xml:space="preserve"> </w:t>
      </w:r>
      <w:r>
        <w:rPr>
          <w:caps/>
          <w:color w:val="000000"/>
          <w:sz w:val="24"/>
          <w:szCs w:val="24"/>
          <w:lang w:val="en-GB"/>
        </w:rPr>
        <w:t>Botox</w:t>
      </w:r>
      <w:r>
        <w:rPr>
          <w:color w:val="000000"/>
          <w:sz w:val="24"/>
          <w:szCs w:val="24"/>
          <w:vertAlign w:val="superscript"/>
        </w:rPr>
        <w:t>®</w:t>
      </w:r>
      <w:r>
        <w:rPr>
          <w:sz w:val="24"/>
          <w:lang w:val="en-GB"/>
        </w:rPr>
        <w:t xml:space="preserve"> was significantly more effective than placebo (as assessed by improvement of 3 or more grades on the composite score of Rating Scale (PRS) of dynamic gait (gait pattern, ankle position, hindfoot position during foot strike, knee position during gait, degree of crouch and speed of gait).  Improvement was reported by 53%, 50%, 60% and 54% of </w:t>
      </w:r>
      <w:r>
        <w:rPr>
          <w:caps/>
          <w:color w:val="000000"/>
          <w:sz w:val="24"/>
          <w:szCs w:val="24"/>
          <w:lang w:val="en-GB"/>
        </w:rPr>
        <w:t>Botox</w:t>
      </w:r>
      <w:r>
        <w:rPr>
          <w:color w:val="000000"/>
          <w:sz w:val="24"/>
          <w:szCs w:val="24"/>
          <w:vertAlign w:val="superscript"/>
        </w:rPr>
        <w:t>®</w:t>
      </w:r>
      <w:r>
        <w:rPr>
          <w:sz w:val="24"/>
          <w:lang w:val="en-GB"/>
        </w:rPr>
        <w:t xml:space="preserve"> patients versus 25%, 27%, 25% and 32% of placebo patients at weeks 2, 4, 8 and 12, respectively.  Of the individual assessments included on the PRS, a significantly greater number of </w:t>
      </w:r>
      <w:r>
        <w:rPr>
          <w:caps/>
          <w:color w:val="000000"/>
          <w:sz w:val="24"/>
          <w:szCs w:val="24"/>
          <w:lang w:val="en-GB"/>
        </w:rPr>
        <w:t>Botox</w:t>
      </w:r>
      <w:r>
        <w:rPr>
          <w:color w:val="000000"/>
          <w:sz w:val="24"/>
          <w:szCs w:val="24"/>
          <w:vertAlign w:val="superscript"/>
        </w:rPr>
        <w:t>®</w:t>
      </w:r>
      <w:r>
        <w:rPr>
          <w:sz w:val="24"/>
          <w:lang w:val="en-GB"/>
        </w:rPr>
        <w:t xml:space="preserve"> patients versus placebo patients had improvements in gait pattern (weeks 2, 8 and 12) and ankle position (weeks 2, 6 and 12).</w:t>
      </w:r>
    </w:p>
    <w:p w:rsidR="00051188" w:rsidRDefault="00051188" w:rsidP="009D78B4">
      <w:pPr>
        <w:widowControl w:val="0"/>
        <w:tabs>
          <w:tab w:val="left" w:pos="-720"/>
        </w:tabs>
        <w:rPr>
          <w:sz w:val="24"/>
          <w:lang w:val="en-GB"/>
        </w:rPr>
      </w:pPr>
    </w:p>
    <w:p w:rsidR="00051188" w:rsidRDefault="00051188" w:rsidP="009D78B4">
      <w:pPr>
        <w:pStyle w:val="BodyText"/>
        <w:widowControl w:val="0"/>
      </w:pPr>
      <w:r>
        <w:t xml:space="preserve">In the 39 month long-term, open-label follow-up of these patients, the medial and lateral gastrocnemius muscles were injected at a dose of 2 U/kg/muscle with a maximum total dose of 200 U of </w:t>
      </w:r>
      <w:r>
        <w:rPr>
          <w:caps/>
          <w:color w:val="000000"/>
          <w:szCs w:val="24"/>
        </w:rPr>
        <w:t>Botox</w:t>
      </w:r>
      <w:r>
        <w:rPr>
          <w:color w:val="000000"/>
          <w:szCs w:val="24"/>
          <w:vertAlign w:val="superscript"/>
        </w:rPr>
        <w:t>®</w:t>
      </w:r>
      <w:r>
        <w:t xml:space="preserve"> into the medial and lateral heads of the gastrocnemius, and then as needed thereafter.  Of the 207 patients evaluated; 115 patients were followed for 12 months, 100 for 18 months, 45 for 2 years and 6 for up to 3 years.  The percent of patients who showed an improvement based on the PRS ranged from 41% to 67% over the 3-year period.  Of the individual assessments which were included in the PRS, significant improvements were seen at every visit over the 3-year period.</w:t>
      </w:r>
    </w:p>
    <w:p w:rsidR="00051188" w:rsidRDefault="00051188" w:rsidP="009D78B4">
      <w:pPr>
        <w:widowControl w:val="0"/>
        <w:tabs>
          <w:tab w:val="left" w:pos="-720"/>
        </w:tabs>
        <w:jc w:val="both"/>
        <w:rPr>
          <w:b/>
          <w:sz w:val="24"/>
          <w:lang w:val="en-GB"/>
        </w:rPr>
      </w:pPr>
    </w:p>
    <w:p w:rsidR="00051188" w:rsidRDefault="00051188" w:rsidP="009D78B4">
      <w:pPr>
        <w:widowControl w:val="0"/>
        <w:tabs>
          <w:tab w:val="left" w:pos="-720"/>
        </w:tabs>
        <w:jc w:val="both"/>
        <w:rPr>
          <w:b/>
          <w:sz w:val="24"/>
          <w:lang w:val="en-GB"/>
        </w:rPr>
      </w:pPr>
      <w:r>
        <w:rPr>
          <w:b/>
          <w:sz w:val="24"/>
          <w:lang w:val="en-GB"/>
        </w:rPr>
        <w:t>Lower limb spasticity – hip adductor</w:t>
      </w:r>
    </w:p>
    <w:p w:rsidR="00051188" w:rsidRDefault="00051188" w:rsidP="009D78B4">
      <w:pPr>
        <w:widowControl w:val="0"/>
        <w:jc w:val="both"/>
        <w:rPr>
          <w:sz w:val="24"/>
          <w:szCs w:val="24"/>
        </w:rPr>
      </w:pPr>
      <w:r>
        <w:rPr>
          <w:sz w:val="24"/>
          <w:szCs w:val="24"/>
          <w:lang w:val="en-GB"/>
        </w:rPr>
        <w:t>Published studies showed that BOTOX</w:t>
      </w:r>
      <w:r>
        <w:rPr>
          <w:sz w:val="24"/>
          <w:szCs w:val="24"/>
          <w:vertAlign w:val="superscript"/>
          <w:lang w:val="en-GB"/>
        </w:rPr>
        <w:t xml:space="preserve">® </w:t>
      </w:r>
      <w:r>
        <w:rPr>
          <w:sz w:val="24"/>
          <w:szCs w:val="24"/>
          <w:lang w:val="en-GB"/>
        </w:rPr>
        <w:t xml:space="preserve">is effective in reducing pain and spasticity and improving function.  </w:t>
      </w:r>
      <w:r>
        <w:rPr>
          <w:sz w:val="24"/>
          <w:szCs w:val="24"/>
        </w:rPr>
        <w:t>A double-blind placebo-controlled study</w:t>
      </w:r>
      <w:r>
        <w:rPr>
          <w:sz w:val="24"/>
          <w:szCs w:val="24"/>
          <w:vertAlign w:val="superscript"/>
          <w:lang w:val="en-AU"/>
        </w:rPr>
        <w:t>8</w:t>
      </w:r>
      <w:r>
        <w:rPr>
          <w:sz w:val="24"/>
          <w:szCs w:val="24"/>
        </w:rPr>
        <w:t xml:space="preserve"> (n=16) in children aged 2 to 10 years found that 4U/kg body weight to each adductor muscle group (total dose 8 units/kg total body weight)</w:t>
      </w:r>
      <w:r>
        <w:rPr>
          <w:color w:val="FF0000"/>
          <w:sz w:val="24"/>
          <w:szCs w:val="24"/>
          <w:lang w:val="en-GB"/>
        </w:rPr>
        <w:t xml:space="preserve"> </w:t>
      </w:r>
      <w:r>
        <w:rPr>
          <w:sz w:val="24"/>
          <w:szCs w:val="24"/>
          <w:lang w:val="en-GB"/>
        </w:rPr>
        <w:t>administered 5 -10 days before scheduled isolated adductor surgery</w:t>
      </w:r>
      <w:r>
        <w:rPr>
          <w:color w:val="FF0000"/>
          <w:sz w:val="24"/>
          <w:szCs w:val="24"/>
          <w:lang w:val="en-GB"/>
        </w:rPr>
        <w:t xml:space="preserve"> </w:t>
      </w:r>
      <w:r>
        <w:rPr>
          <w:sz w:val="24"/>
          <w:szCs w:val="24"/>
        </w:rPr>
        <w:t xml:space="preserve">significantly reduced mean pain scores (74% reduction, p=0.003), analgesic requirements (50% reduction, p=0.005) and length of hospital stay (33% reduction, p=0.003) compared with placebo. </w:t>
      </w:r>
    </w:p>
    <w:p w:rsidR="00051188" w:rsidRDefault="00051188" w:rsidP="009D78B4">
      <w:pPr>
        <w:widowControl w:val="0"/>
        <w:jc w:val="both"/>
        <w:rPr>
          <w:sz w:val="24"/>
          <w:szCs w:val="24"/>
        </w:rPr>
      </w:pPr>
      <w:r>
        <w:rPr>
          <w:sz w:val="24"/>
          <w:szCs w:val="24"/>
        </w:rPr>
        <w:t xml:space="preserve">  </w:t>
      </w:r>
    </w:p>
    <w:p w:rsidR="00051188" w:rsidRDefault="00051188" w:rsidP="009D78B4">
      <w:pPr>
        <w:pStyle w:val="BodyText"/>
        <w:widowControl w:val="0"/>
      </w:pPr>
      <w:r>
        <w:rPr>
          <w:szCs w:val="24"/>
        </w:rPr>
        <w:t>A second study</w:t>
      </w:r>
      <w:r>
        <w:rPr>
          <w:szCs w:val="24"/>
          <w:vertAlign w:val="superscript"/>
        </w:rPr>
        <w:t>9</w:t>
      </w:r>
      <w:r>
        <w:rPr>
          <w:szCs w:val="24"/>
        </w:rPr>
        <w:t xml:space="preserve"> (n = 43, mean age 8.2 ± 2.5 years) compared the efficacy of BOTOX</w:t>
      </w:r>
      <w:r>
        <w:rPr>
          <w:szCs w:val="24"/>
          <w:vertAlign w:val="superscript"/>
        </w:rPr>
        <w:t>®</w:t>
      </w:r>
      <w:r>
        <w:rPr>
          <w:szCs w:val="24"/>
        </w:rPr>
        <w:t xml:space="preserve"> (300 U injected into the adductor and medial hamstring muscles) with a pressure splint against hip adductor muscle spasticity.  Both groups improved during the study period, however, at the 3 month visit, BOTOX</w:t>
      </w:r>
      <w:r>
        <w:rPr>
          <w:szCs w:val="24"/>
          <w:vertAlign w:val="superscript"/>
        </w:rPr>
        <w:t>®</w:t>
      </w:r>
      <w:r>
        <w:rPr>
          <w:color w:val="FF0000"/>
          <w:szCs w:val="24"/>
        </w:rPr>
        <w:t xml:space="preserve"> </w:t>
      </w:r>
      <w:r>
        <w:rPr>
          <w:szCs w:val="24"/>
        </w:rPr>
        <w:t>was significantly more effective than pressure splints for spasticity and motor performance as measured by the MAS (p=0.002) and knee distance (p=0.02).</w:t>
      </w:r>
    </w:p>
    <w:p w:rsidR="00051188" w:rsidRDefault="00051188" w:rsidP="009D78B4">
      <w:pPr>
        <w:widowControl w:val="0"/>
        <w:tabs>
          <w:tab w:val="left" w:pos="-720"/>
        </w:tabs>
        <w:jc w:val="both"/>
        <w:rPr>
          <w:b/>
          <w:sz w:val="24"/>
          <w:lang w:val="en-GB"/>
        </w:rPr>
      </w:pPr>
    </w:p>
    <w:p w:rsidR="00051188" w:rsidRDefault="00051188" w:rsidP="009D78B4">
      <w:pPr>
        <w:widowControl w:val="0"/>
        <w:tabs>
          <w:tab w:val="left" w:pos="-720"/>
        </w:tabs>
        <w:jc w:val="both"/>
        <w:rPr>
          <w:sz w:val="24"/>
          <w:lang w:val="en-GB"/>
        </w:rPr>
      </w:pPr>
      <w:r>
        <w:rPr>
          <w:sz w:val="24"/>
          <w:lang w:val="en-GB"/>
        </w:rPr>
        <w:t>Adverse events were not reported in these studies.</w:t>
      </w:r>
    </w:p>
    <w:p w:rsidR="00051188" w:rsidRDefault="00051188" w:rsidP="009D78B4">
      <w:pPr>
        <w:pStyle w:val="Footer"/>
        <w:widowControl w:val="0"/>
        <w:tabs>
          <w:tab w:val="clear" w:pos="4819"/>
          <w:tab w:val="clear" w:pos="9071"/>
          <w:tab w:val="left" w:pos="-720"/>
        </w:tabs>
        <w:rPr>
          <w:rFonts w:ascii="Times New Roman" w:hAnsi="Times New Roman"/>
          <w:lang w:val="en-GB"/>
        </w:rPr>
      </w:pPr>
    </w:p>
    <w:p w:rsidR="00051188" w:rsidRDefault="00051188" w:rsidP="009D78B4">
      <w:pPr>
        <w:pStyle w:val="Footer"/>
        <w:widowControl w:val="0"/>
        <w:tabs>
          <w:tab w:val="clear" w:pos="4819"/>
          <w:tab w:val="clear" w:pos="9071"/>
          <w:tab w:val="left" w:pos="-720"/>
        </w:tabs>
        <w:rPr>
          <w:rFonts w:ascii="Times New Roman" w:hAnsi="Times New Roman"/>
          <w:b/>
          <w:lang w:val="en-GB"/>
        </w:rPr>
      </w:pPr>
      <w:r>
        <w:rPr>
          <w:rFonts w:ascii="Times New Roman" w:hAnsi="Times New Roman"/>
          <w:b/>
          <w:lang w:val="en-GB"/>
        </w:rPr>
        <w:t>Focal spasticity in adults</w:t>
      </w:r>
    </w:p>
    <w:p w:rsidR="00051188" w:rsidRDefault="00051188" w:rsidP="009D78B4">
      <w:pPr>
        <w:pStyle w:val="Footer"/>
        <w:widowControl w:val="0"/>
        <w:tabs>
          <w:tab w:val="clear" w:pos="4819"/>
          <w:tab w:val="clear" w:pos="9071"/>
          <w:tab w:val="left" w:pos="-720"/>
        </w:tabs>
        <w:rPr>
          <w:rFonts w:ascii="Times New Roman" w:hAnsi="Times New Roman"/>
          <w:lang w:val="en-GB"/>
        </w:rPr>
      </w:pPr>
      <w:r>
        <w:rPr>
          <w:rFonts w:ascii="Times New Roman" w:hAnsi="Times New Roman"/>
          <w:lang w:val="en-GB"/>
        </w:rPr>
        <w:t xml:space="preserve">Three double-blind placebo-controlled studies involving 256 post-stroke patients with upper </w:t>
      </w:r>
      <w:r>
        <w:rPr>
          <w:rFonts w:ascii="Times New Roman" w:hAnsi="Times New Roman"/>
          <w:lang w:val="en-GB"/>
        </w:rPr>
        <w:lastRenderedPageBreak/>
        <w:t>limb spasticity showed clinically and statistically significant improvements in wrist, elbow and finger flexor muscle tone.  The Ashworth scale was used to measure clinically significant changes in muscle tone which was assessed from a score of zero (no increase in muscle tone) to 4 (limb rigid in flexion or extension).</w:t>
      </w:r>
    </w:p>
    <w:p w:rsidR="00051188" w:rsidRDefault="00051188" w:rsidP="009D78B4">
      <w:pPr>
        <w:pStyle w:val="Footer"/>
        <w:widowControl w:val="0"/>
        <w:tabs>
          <w:tab w:val="clear" w:pos="4819"/>
          <w:tab w:val="clear" w:pos="9071"/>
          <w:tab w:val="left" w:pos="-720"/>
        </w:tabs>
        <w:rPr>
          <w:rFonts w:ascii="Times New Roman" w:hAnsi="Times New Roman"/>
          <w:lang w:val="en-GB"/>
        </w:rPr>
      </w:pPr>
    </w:p>
    <w:p w:rsidR="00051188" w:rsidRDefault="00051188" w:rsidP="009D78B4">
      <w:pPr>
        <w:pStyle w:val="Footer"/>
        <w:widowControl w:val="0"/>
        <w:tabs>
          <w:tab w:val="clear" w:pos="4819"/>
          <w:tab w:val="clear" w:pos="9071"/>
          <w:tab w:val="left" w:pos="-720"/>
        </w:tabs>
        <w:rPr>
          <w:rFonts w:ascii="Times New Roman" w:hAnsi="Times New Roman"/>
          <w:lang w:val="en-GB"/>
        </w:rPr>
      </w:pPr>
      <w:r>
        <w:rPr>
          <w:rFonts w:ascii="Times New Roman" w:hAnsi="Times New Roman"/>
          <w:lang w:val="en-GB"/>
        </w:rPr>
        <w:t xml:space="preserve">In one study, 126 patients were treated with 200 U to 240 U of </w:t>
      </w:r>
      <w:r>
        <w:rPr>
          <w:rFonts w:ascii="Times New Roman" w:hAnsi="Times New Roman"/>
          <w:caps/>
          <w:color w:val="000000"/>
          <w:szCs w:val="24"/>
          <w:lang w:val="en-GB"/>
        </w:rPr>
        <w:t>Botox</w:t>
      </w:r>
      <w:r>
        <w:rPr>
          <w:rFonts w:ascii="Times New Roman" w:hAnsi="Times New Roman"/>
          <w:color w:val="000000"/>
          <w:szCs w:val="24"/>
          <w:vertAlign w:val="superscript"/>
        </w:rPr>
        <w:t>®</w:t>
      </w:r>
      <w:r>
        <w:rPr>
          <w:rFonts w:ascii="Times New Roman" w:hAnsi="Times New Roman"/>
          <w:lang w:val="en-GB"/>
        </w:rPr>
        <w:t xml:space="preserve"> into the wrist, finger and thumb flexor muscles. </w:t>
      </w:r>
      <w:r>
        <w:rPr>
          <w:rFonts w:ascii="Times New Roman" w:hAnsi="Times New Roman"/>
          <w:lang w:val="en-US"/>
        </w:rPr>
        <w:t xml:space="preserve">A clinically and statistically significantly greater reduction in muscle tone was observed in </w:t>
      </w:r>
      <w:r>
        <w:rPr>
          <w:rFonts w:ascii="Times New Roman" w:hAnsi="Times New Roman"/>
          <w:caps/>
          <w:color w:val="000000"/>
          <w:szCs w:val="24"/>
          <w:lang w:val="en-GB"/>
        </w:rPr>
        <w:t>Botox</w:t>
      </w:r>
      <w:r>
        <w:rPr>
          <w:rFonts w:ascii="Times New Roman" w:hAnsi="Times New Roman"/>
          <w:color w:val="000000"/>
          <w:szCs w:val="24"/>
          <w:vertAlign w:val="superscript"/>
        </w:rPr>
        <w:t>®</w:t>
      </w:r>
      <w:r>
        <w:rPr>
          <w:rFonts w:ascii="Times New Roman" w:hAnsi="Times New Roman"/>
          <w:lang w:val="en-US"/>
        </w:rPr>
        <w:t xml:space="preserve">-treated patients compared to placebo as measured on the Ashworth scale (p&lt;0.001) at 1, 4, 6, 8, and 12 weeks post-treatment.  The Physician Global Assessment also showed statistically significant improvements at all post-treatment visits for these patients (p &lt; 0.001).  Furthermore, patients treated with </w:t>
      </w:r>
      <w:r>
        <w:rPr>
          <w:rFonts w:ascii="Times New Roman" w:hAnsi="Times New Roman"/>
          <w:caps/>
          <w:color w:val="000000"/>
          <w:szCs w:val="24"/>
          <w:lang w:val="en-GB"/>
        </w:rPr>
        <w:t>Botox</w:t>
      </w:r>
      <w:r>
        <w:rPr>
          <w:rFonts w:ascii="Times New Roman" w:hAnsi="Times New Roman"/>
          <w:color w:val="000000"/>
          <w:szCs w:val="24"/>
          <w:vertAlign w:val="superscript"/>
        </w:rPr>
        <w:t>®</w:t>
      </w:r>
      <w:r>
        <w:rPr>
          <w:rFonts w:ascii="Times New Roman" w:hAnsi="Times New Roman"/>
          <w:lang w:val="en-GB"/>
        </w:rPr>
        <w:t xml:space="preserve"> </w:t>
      </w:r>
      <w:r>
        <w:rPr>
          <w:rFonts w:ascii="Times New Roman" w:hAnsi="Times New Roman"/>
          <w:lang w:val="en-US"/>
        </w:rPr>
        <w:t>had significant improvement for a pre-determined, targeted disability item associated with upper limb spasticity at 4, 6, 8 and 12 weeks post-treatment (p</w:t>
      </w:r>
      <w:r>
        <w:rPr>
          <w:rFonts w:ascii="Times New Roman" w:hAnsi="Times New Roman"/>
          <w:lang w:val="en-US"/>
        </w:rPr>
        <w:sym w:font="Symbol" w:char="F0A3"/>
      </w:r>
      <w:r>
        <w:rPr>
          <w:rFonts w:ascii="Times New Roman" w:hAnsi="Times New Roman"/>
          <w:lang w:val="en-US"/>
        </w:rPr>
        <w:t>0.05).</w:t>
      </w:r>
    </w:p>
    <w:p w:rsidR="00051188" w:rsidRDefault="00051188" w:rsidP="009D78B4">
      <w:pPr>
        <w:pStyle w:val="Footer"/>
        <w:widowControl w:val="0"/>
        <w:tabs>
          <w:tab w:val="clear" w:pos="4819"/>
          <w:tab w:val="clear" w:pos="9071"/>
          <w:tab w:val="left" w:pos="-720"/>
        </w:tabs>
        <w:rPr>
          <w:rFonts w:ascii="Times New Roman" w:hAnsi="Times New Roman"/>
          <w:lang w:val="en-US"/>
        </w:rPr>
      </w:pPr>
    </w:p>
    <w:p w:rsidR="00051188" w:rsidRDefault="00051188" w:rsidP="009D78B4">
      <w:pPr>
        <w:widowControl w:val="0"/>
        <w:rPr>
          <w:sz w:val="24"/>
        </w:rPr>
      </w:pPr>
      <w:r>
        <w:rPr>
          <w:sz w:val="24"/>
        </w:rPr>
        <w:t xml:space="preserve">In two studies, patients treated with a total dose of either 300 U or 360 U of </w:t>
      </w:r>
      <w:r>
        <w:rPr>
          <w:caps/>
          <w:sz w:val="24"/>
          <w:szCs w:val="24"/>
        </w:rPr>
        <w:t>Botox</w:t>
      </w:r>
      <w:r>
        <w:rPr>
          <w:caps/>
          <w:sz w:val="24"/>
          <w:szCs w:val="24"/>
          <w:vertAlign w:val="superscript"/>
        </w:rPr>
        <w:sym w:font="Symbol" w:char="F0D2"/>
      </w:r>
      <w:r>
        <w:rPr>
          <w:sz w:val="24"/>
        </w:rPr>
        <w:t xml:space="preserve"> had significantly greater reduction in wrist and elbow flexor tone compared to placebo.  Additionally, the Physician Global Assessment also showed significant benefit from </w:t>
      </w:r>
      <w:r>
        <w:rPr>
          <w:caps/>
          <w:sz w:val="24"/>
          <w:szCs w:val="24"/>
        </w:rPr>
        <w:t>Botox</w:t>
      </w:r>
      <w:r>
        <w:rPr>
          <w:caps/>
          <w:sz w:val="24"/>
          <w:szCs w:val="24"/>
          <w:vertAlign w:val="superscript"/>
        </w:rPr>
        <w:sym w:font="Symbol" w:char="F0D2"/>
      </w:r>
      <w:r>
        <w:rPr>
          <w:sz w:val="24"/>
        </w:rPr>
        <w:t xml:space="preserve"> at doses of 75, 180 and 360 U.</w:t>
      </w:r>
    </w:p>
    <w:p w:rsidR="00051188" w:rsidRDefault="00051188" w:rsidP="009D78B4">
      <w:pPr>
        <w:widowControl w:val="0"/>
        <w:rPr>
          <w:sz w:val="24"/>
        </w:rPr>
      </w:pPr>
    </w:p>
    <w:p w:rsidR="00051188" w:rsidRDefault="00051188" w:rsidP="009D78B4">
      <w:pPr>
        <w:widowControl w:val="0"/>
        <w:rPr>
          <w:sz w:val="24"/>
          <w:szCs w:val="24"/>
        </w:rPr>
      </w:pPr>
      <w:r>
        <w:rPr>
          <w:sz w:val="24"/>
          <w:szCs w:val="24"/>
        </w:rPr>
        <w:t xml:space="preserve">In a double-blind, placebo-controlled study of 85 patients with moderate to severe lower limb spasticity, injections of up to 300 U of </w:t>
      </w:r>
      <w:r>
        <w:rPr>
          <w:caps/>
          <w:sz w:val="24"/>
          <w:szCs w:val="24"/>
        </w:rPr>
        <w:t>Botox</w:t>
      </w:r>
      <w:r>
        <w:rPr>
          <w:caps/>
          <w:sz w:val="24"/>
          <w:szCs w:val="24"/>
          <w:vertAlign w:val="superscript"/>
        </w:rPr>
        <w:sym w:font="Symbol" w:char="F0D2"/>
      </w:r>
      <w:r>
        <w:rPr>
          <w:sz w:val="24"/>
          <w:szCs w:val="24"/>
        </w:rPr>
        <w:t xml:space="preserve"> into the soleus, posterior tibialis and either gastrocnemius or flexor digitorum longus muscles resulted in a reduction of spasm frequency, a reduction in pain, an improvement in spasticity as rated by the physician and increase in range of motion of the ankle as measured by goniometry.  All of these changes were clinically and statistically significant.  In addition, treatment with </w:t>
      </w:r>
      <w:r>
        <w:rPr>
          <w:caps/>
          <w:sz w:val="24"/>
          <w:szCs w:val="24"/>
        </w:rPr>
        <w:t>Botox</w:t>
      </w:r>
      <w:r>
        <w:rPr>
          <w:caps/>
          <w:sz w:val="24"/>
          <w:szCs w:val="24"/>
          <w:vertAlign w:val="superscript"/>
        </w:rPr>
        <w:sym w:font="Symbol" w:char="F0D2"/>
      </w:r>
      <w:r>
        <w:rPr>
          <w:sz w:val="24"/>
          <w:szCs w:val="24"/>
        </w:rPr>
        <w:t xml:space="preserve"> in patients with severe spasticity (Ashworth score of 3) resulted in a clinically and statistically significant reduction in muscle tone.  In an open-label follow-up to this study, a second injection of </w:t>
      </w:r>
      <w:r>
        <w:rPr>
          <w:caps/>
          <w:sz w:val="24"/>
          <w:szCs w:val="24"/>
        </w:rPr>
        <w:t>Botox</w:t>
      </w:r>
      <w:r>
        <w:rPr>
          <w:caps/>
          <w:sz w:val="24"/>
          <w:szCs w:val="24"/>
          <w:vertAlign w:val="superscript"/>
        </w:rPr>
        <w:sym w:font="Symbol" w:char="F0D2"/>
      </w:r>
      <w:r>
        <w:rPr>
          <w:sz w:val="24"/>
          <w:szCs w:val="24"/>
        </w:rPr>
        <w:t xml:space="preserve"> clinically and statistically significantly reduced muscle tone in both moderate and severe patients at 4, 8 and 12 weeks post 2</w:t>
      </w:r>
      <w:r>
        <w:rPr>
          <w:sz w:val="24"/>
          <w:szCs w:val="24"/>
          <w:vertAlign w:val="superscript"/>
        </w:rPr>
        <w:t>nd</w:t>
      </w:r>
      <w:r>
        <w:rPr>
          <w:sz w:val="24"/>
          <w:szCs w:val="24"/>
        </w:rPr>
        <w:t xml:space="preserve"> injection.</w:t>
      </w:r>
    </w:p>
    <w:p w:rsidR="00051188" w:rsidRDefault="00051188" w:rsidP="009D78B4">
      <w:pPr>
        <w:widowControl w:val="0"/>
        <w:tabs>
          <w:tab w:val="left" w:pos="-720"/>
        </w:tabs>
        <w:jc w:val="both"/>
        <w:rPr>
          <w:b/>
          <w:sz w:val="24"/>
          <w:lang w:val="en-GB"/>
        </w:rPr>
      </w:pPr>
    </w:p>
    <w:p w:rsidR="00051188" w:rsidRDefault="00051188" w:rsidP="009D78B4">
      <w:pPr>
        <w:widowControl w:val="0"/>
        <w:tabs>
          <w:tab w:val="left" w:pos="-720"/>
        </w:tabs>
        <w:rPr>
          <w:b/>
          <w:sz w:val="24"/>
          <w:lang w:val="en-GB"/>
        </w:rPr>
      </w:pPr>
      <w:r>
        <w:rPr>
          <w:b/>
          <w:sz w:val="24"/>
          <w:lang w:val="en-GB"/>
        </w:rPr>
        <w:t>Cervical Dystonia (spasmodic torticollis)</w:t>
      </w:r>
    </w:p>
    <w:p w:rsidR="00051188" w:rsidRDefault="00051188" w:rsidP="009D78B4">
      <w:pPr>
        <w:widowControl w:val="0"/>
        <w:tabs>
          <w:tab w:val="left" w:pos="-720"/>
        </w:tabs>
        <w:rPr>
          <w:sz w:val="24"/>
          <w:szCs w:val="24"/>
          <w:lang w:val="en-GB"/>
        </w:rPr>
      </w:pPr>
      <w:r>
        <w:rPr>
          <w:rStyle w:val="Underlinetext"/>
          <w:sz w:val="24"/>
          <w:szCs w:val="24"/>
          <w:u w:val="none"/>
          <w:lang w:val="en-GB"/>
        </w:rPr>
        <w:t xml:space="preserve">In a </w:t>
      </w:r>
      <w:r>
        <w:rPr>
          <w:sz w:val="24"/>
          <w:szCs w:val="24"/>
          <w:lang w:val="en-GB"/>
        </w:rPr>
        <w:t xml:space="preserve">multicentre </w:t>
      </w:r>
      <w:r>
        <w:rPr>
          <w:rStyle w:val="Underlinetext"/>
          <w:sz w:val="24"/>
          <w:szCs w:val="24"/>
          <w:u w:val="none"/>
          <w:lang w:val="en-GB"/>
        </w:rPr>
        <w:t>study, 170 cervical dystonia patients who had responded to an open-label run-in period (out of 214 patients) were randomised to receive</w:t>
      </w:r>
      <w:r>
        <w:rPr>
          <w:rStyle w:val="Underlinetext"/>
          <w:sz w:val="24"/>
          <w:szCs w:val="24"/>
          <w:lang w:val="en-GB"/>
        </w:rPr>
        <w:t xml:space="preserve"> </w:t>
      </w:r>
      <w:r>
        <w:rPr>
          <w:caps/>
          <w:sz w:val="24"/>
          <w:szCs w:val="24"/>
        </w:rPr>
        <w:t>Botox</w:t>
      </w:r>
      <w:r>
        <w:rPr>
          <w:caps/>
          <w:sz w:val="24"/>
          <w:szCs w:val="24"/>
          <w:vertAlign w:val="superscript"/>
        </w:rPr>
        <w:sym w:font="Symbol" w:char="F0D2"/>
      </w:r>
      <w:r>
        <w:rPr>
          <w:sz w:val="24"/>
          <w:szCs w:val="24"/>
          <w:lang w:val="en-GB"/>
        </w:rPr>
        <w:t xml:space="preserve"> (n=88) or placebo (n=82) in a double-blind, parallel-group evaluation for 10 weeks.  Physicians determined the muscles and doses injected for each patient and used a mean total body </w:t>
      </w:r>
      <w:r>
        <w:rPr>
          <w:caps/>
          <w:sz w:val="24"/>
          <w:szCs w:val="24"/>
        </w:rPr>
        <w:t>Botox</w:t>
      </w:r>
      <w:r>
        <w:rPr>
          <w:caps/>
          <w:sz w:val="24"/>
          <w:szCs w:val="24"/>
          <w:vertAlign w:val="superscript"/>
        </w:rPr>
        <w:sym w:font="Symbol" w:char="F0D2"/>
      </w:r>
      <w:r>
        <w:rPr>
          <w:sz w:val="24"/>
          <w:szCs w:val="24"/>
          <w:lang w:val="en-GB"/>
        </w:rPr>
        <w:t xml:space="preserve"> dose of 236 U (Range: 95 to 360 U).  </w:t>
      </w:r>
      <w:r>
        <w:rPr>
          <w:caps/>
          <w:sz w:val="24"/>
          <w:szCs w:val="24"/>
        </w:rPr>
        <w:t>Botox</w:t>
      </w:r>
      <w:r>
        <w:rPr>
          <w:caps/>
          <w:sz w:val="24"/>
          <w:szCs w:val="24"/>
          <w:vertAlign w:val="superscript"/>
        </w:rPr>
        <w:sym w:font="Symbol" w:char="F0D2"/>
      </w:r>
      <w:r>
        <w:rPr>
          <w:sz w:val="24"/>
          <w:szCs w:val="24"/>
          <w:lang w:val="en-GB"/>
        </w:rPr>
        <w:t xml:space="preserve"> was significantly better compared with placebo by measures of improvement in the Cervical Dystonia Severity Scale (head position rating), physician global assessment, patient global assessment, frequency and intensity of pain, and functional disability by week 6, with sustained benefit for up to 10 weeks.  Improvement, as measured by physician global assessment, was 50.6% for the </w:t>
      </w:r>
      <w:r>
        <w:rPr>
          <w:caps/>
          <w:sz w:val="24"/>
          <w:szCs w:val="24"/>
        </w:rPr>
        <w:t>Botox</w:t>
      </w:r>
      <w:r>
        <w:rPr>
          <w:caps/>
          <w:sz w:val="24"/>
          <w:szCs w:val="24"/>
          <w:vertAlign w:val="superscript"/>
        </w:rPr>
        <w:sym w:font="Symbol" w:char="F0D2"/>
      </w:r>
      <w:r>
        <w:rPr>
          <w:sz w:val="24"/>
          <w:szCs w:val="24"/>
          <w:lang w:val="en-GB"/>
        </w:rPr>
        <w:t xml:space="preserve"> group and 31.1% for the placebo group, a difference of 19.5% (p=0.009), which was essentially the same as the pre-defined value of 20% set for a clinically meaningful difference.</w:t>
      </w:r>
    </w:p>
    <w:p w:rsidR="00051188" w:rsidRDefault="00051188" w:rsidP="009D78B4">
      <w:pPr>
        <w:widowControl w:val="0"/>
        <w:tabs>
          <w:tab w:val="left" w:pos="-720"/>
        </w:tabs>
        <w:rPr>
          <w:strike/>
          <w:sz w:val="24"/>
          <w:szCs w:val="24"/>
          <w:lang w:val="en-GB"/>
        </w:rPr>
      </w:pPr>
    </w:p>
    <w:p w:rsidR="00051188" w:rsidRDefault="00051188" w:rsidP="009D78B4">
      <w:pPr>
        <w:widowControl w:val="0"/>
        <w:rPr>
          <w:sz w:val="24"/>
          <w:szCs w:val="24"/>
        </w:rPr>
      </w:pPr>
      <w:r>
        <w:rPr>
          <w:sz w:val="24"/>
          <w:szCs w:val="24"/>
        </w:rPr>
        <w:t xml:space="preserve">In a separate multicentre study, a total of 135 patients were treated.  Patients received a single 100-300 U injection of one formulation followed by the other, 8-16 weeks later.  Physicians determined the muscles and doses to be injected for each patient and used a mean total body </w:t>
      </w:r>
      <w:r>
        <w:rPr>
          <w:caps/>
          <w:color w:val="000000"/>
          <w:sz w:val="24"/>
          <w:szCs w:val="24"/>
          <w:lang w:val="en-GB"/>
        </w:rPr>
        <w:t>Botox</w:t>
      </w:r>
      <w:r>
        <w:rPr>
          <w:color w:val="000000"/>
          <w:sz w:val="24"/>
          <w:szCs w:val="24"/>
          <w:vertAlign w:val="superscript"/>
        </w:rPr>
        <w:t>®</w:t>
      </w:r>
      <w:r>
        <w:rPr>
          <w:sz w:val="24"/>
          <w:szCs w:val="24"/>
        </w:rPr>
        <w:t xml:space="preserve"> dose of approximately 155 U for all treatment periods.  Maximum clinical improvement was observed at 6 weeks, with over 80% of patients achieving a treatment </w:t>
      </w:r>
      <w:r>
        <w:rPr>
          <w:sz w:val="24"/>
          <w:szCs w:val="24"/>
        </w:rPr>
        <w:lastRenderedPageBreak/>
        <w:t xml:space="preserve">success by week 6.  In relation to time-to-retreatment, at week 6 (42 days) post-injection, 67% of the </w:t>
      </w:r>
      <w:r>
        <w:rPr>
          <w:caps/>
          <w:color w:val="000000"/>
          <w:sz w:val="24"/>
          <w:szCs w:val="24"/>
          <w:lang w:val="en-GB"/>
        </w:rPr>
        <w:t>Botox</w:t>
      </w:r>
      <w:r>
        <w:rPr>
          <w:color w:val="000000"/>
          <w:sz w:val="24"/>
          <w:szCs w:val="24"/>
          <w:vertAlign w:val="superscript"/>
        </w:rPr>
        <w:t>®</w:t>
      </w:r>
      <w:r>
        <w:rPr>
          <w:sz w:val="24"/>
          <w:szCs w:val="24"/>
        </w:rPr>
        <w:t xml:space="preserve"> group had not yet worsened since baseline compared to 45% of the placebo group.  At week 10 (70 days) post-injection, 60% of the </w:t>
      </w:r>
      <w:r>
        <w:rPr>
          <w:caps/>
          <w:color w:val="000000"/>
          <w:sz w:val="24"/>
          <w:szCs w:val="24"/>
          <w:lang w:val="en-GB"/>
        </w:rPr>
        <w:t>Botox</w:t>
      </w:r>
      <w:r>
        <w:rPr>
          <w:color w:val="000000"/>
          <w:sz w:val="24"/>
          <w:szCs w:val="24"/>
          <w:vertAlign w:val="superscript"/>
        </w:rPr>
        <w:t>®</w:t>
      </w:r>
      <w:r>
        <w:rPr>
          <w:sz w:val="24"/>
          <w:szCs w:val="24"/>
        </w:rPr>
        <w:t xml:space="preserve"> group remained improved compared to 30% in the placebo group.  These differences were statistically significant (p=0.0002).</w:t>
      </w:r>
    </w:p>
    <w:p w:rsidR="00051188" w:rsidRDefault="00051188" w:rsidP="009D78B4">
      <w:pPr>
        <w:widowControl w:val="0"/>
        <w:rPr>
          <w:sz w:val="24"/>
          <w:szCs w:val="24"/>
        </w:rPr>
      </w:pPr>
    </w:p>
    <w:p w:rsidR="00051188" w:rsidRDefault="00051188" w:rsidP="009D78B4">
      <w:pPr>
        <w:pStyle w:val="Heading1"/>
        <w:keepNext w:val="0"/>
        <w:widowControl w:val="0"/>
        <w:tabs>
          <w:tab w:val="clear" w:pos="-720"/>
        </w:tabs>
        <w:rPr>
          <w:i w:val="0"/>
        </w:rPr>
      </w:pPr>
      <w:r>
        <w:rPr>
          <w:i w:val="0"/>
        </w:rPr>
        <w:t>Primary Hyperhidrosis of the Axillae</w:t>
      </w:r>
    </w:p>
    <w:p w:rsidR="00051188" w:rsidRDefault="00051188" w:rsidP="009D78B4">
      <w:pPr>
        <w:widowControl w:val="0"/>
        <w:rPr>
          <w:sz w:val="24"/>
          <w:szCs w:val="24"/>
          <w:lang w:val="en-GB"/>
        </w:rPr>
      </w:pPr>
      <w:r>
        <w:rPr>
          <w:sz w:val="24"/>
          <w:szCs w:val="24"/>
          <w:lang w:val="en-GB"/>
        </w:rPr>
        <w:t>In a double-blind, parallel-group, multicentre study, 320 patients with bilateral axillary primary hyperhidrosis were randomised to receive BOTOX</w:t>
      </w:r>
      <w:r>
        <w:rPr>
          <w:sz w:val="24"/>
          <w:szCs w:val="24"/>
          <w:vertAlign w:val="superscript"/>
          <w:lang w:val="en-GB"/>
        </w:rPr>
        <w:sym w:font="Symbol" w:char="F0D2"/>
      </w:r>
      <w:r>
        <w:rPr>
          <w:sz w:val="24"/>
          <w:szCs w:val="24"/>
          <w:lang w:val="en-GB"/>
        </w:rPr>
        <w:t xml:space="preserve"> (n=242) or placebo (n=78).  Subjects were eligible for enrolment in the study if their baseline spontaneous axillary, as measured by gravimetric assessment over 5 minutes at room temperature and at rest, was </w:t>
      </w:r>
      <w:r>
        <w:rPr>
          <w:sz w:val="24"/>
          <w:szCs w:val="24"/>
          <w:lang w:val="en-GB"/>
        </w:rPr>
        <w:sym w:font="Symbol" w:char="F0B3"/>
      </w:r>
      <w:r>
        <w:rPr>
          <w:sz w:val="24"/>
          <w:szCs w:val="24"/>
          <w:lang w:val="en-GB"/>
        </w:rPr>
        <w:t xml:space="preserve"> 50 mg.  Baseline axillary sweat production was similar in the two treatment groups (216 mg in the BOTOX</w:t>
      </w:r>
      <w:r>
        <w:rPr>
          <w:sz w:val="24"/>
          <w:szCs w:val="24"/>
          <w:vertAlign w:val="superscript"/>
          <w:lang w:val="en-GB"/>
        </w:rPr>
        <w:sym w:font="Symbol" w:char="F0D2"/>
      </w:r>
      <w:r>
        <w:rPr>
          <w:sz w:val="24"/>
          <w:szCs w:val="24"/>
          <w:vertAlign w:val="superscript"/>
          <w:lang w:val="en-GB"/>
        </w:rPr>
        <w:t xml:space="preserve"> </w:t>
      </w:r>
      <w:r>
        <w:rPr>
          <w:sz w:val="24"/>
          <w:szCs w:val="24"/>
          <w:lang w:val="en-GB"/>
        </w:rPr>
        <w:t>group and 236 mg in the placebo group).  Treatment responders were defined as subjects showing at least a 50% reduction from baseline in axillary sweating measured by gravimetric assessment.</w:t>
      </w:r>
    </w:p>
    <w:p w:rsidR="00051188" w:rsidRDefault="00051188" w:rsidP="009D78B4">
      <w:pPr>
        <w:widowControl w:val="0"/>
        <w:rPr>
          <w:sz w:val="24"/>
          <w:szCs w:val="24"/>
          <w:lang w:val="en-GB"/>
        </w:rPr>
      </w:pPr>
    </w:p>
    <w:p w:rsidR="00051188" w:rsidRDefault="00051188" w:rsidP="009D78B4">
      <w:pPr>
        <w:widowControl w:val="0"/>
        <w:rPr>
          <w:sz w:val="24"/>
          <w:szCs w:val="24"/>
          <w:lang w:val="en-GB"/>
        </w:rPr>
      </w:pPr>
      <w:r>
        <w:rPr>
          <w:sz w:val="24"/>
          <w:szCs w:val="24"/>
          <w:lang w:val="en-GB"/>
        </w:rPr>
        <w:t>The incidence of responders among BOTOX</w:t>
      </w:r>
      <w:r>
        <w:rPr>
          <w:sz w:val="24"/>
          <w:szCs w:val="24"/>
          <w:vertAlign w:val="superscript"/>
          <w:lang w:val="en-GB"/>
        </w:rPr>
        <w:sym w:font="Symbol" w:char="F0D2"/>
      </w:r>
      <w:r>
        <w:rPr>
          <w:sz w:val="24"/>
          <w:szCs w:val="24"/>
          <w:lang w:val="en-GB"/>
        </w:rPr>
        <w:t>-treated patients was significantly higher (p&lt;0.001) than placebo-treated patients at all post-treatment time points for up to 16 weeks.  The incidence of responders among BOTOX</w:t>
      </w:r>
      <w:r>
        <w:rPr>
          <w:sz w:val="24"/>
          <w:szCs w:val="24"/>
          <w:vertAlign w:val="superscript"/>
          <w:lang w:val="en-GB"/>
        </w:rPr>
        <w:sym w:font="Symbol" w:char="F0D2"/>
      </w:r>
      <w:r>
        <w:rPr>
          <w:sz w:val="24"/>
          <w:szCs w:val="24"/>
          <w:lang w:val="en-GB"/>
        </w:rPr>
        <w:t>-treated patients ranged from 95% at week 1 to 82% at week 16 compared to 32% at week 1 to 21% at week 16 for placebo-treated patients.  The mean percentage reduction in the BOTOX</w:t>
      </w:r>
      <w:r>
        <w:rPr>
          <w:sz w:val="24"/>
          <w:szCs w:val="24"/>
          <w:vertAlign w:val="superscript"/>
          <w:lang w:val="en-GB"/>
        </w:rPr>
        <w:sym w:font="Symbol" w:char="F0D2"/>
      </w:r>
      <w:r>
        <w:rPr>
          <w:sz w:val="24"/>
          <w:szCs w:val="24"/>
          <w:lang w:val="en-GB"/>
        </w:rPr>
        <w:t>-treated group ranged from 83% at week 1 to 69% at week 16 compared to 22% at week 1 to 4% at week 16 in the placebo-treated group.  The corresponding mean amounts of sweat production at these timepoints were 29 mg and 54 mg in the BOTOX</w:t>
      </w:r>
      <w:r>
        <w:rPr>
          <w:sz w:val="24"/>
          <w:szCs w:val="24"/>
          <w:vertAlign w:val="superscript"/>
          <w:lang w:val="en-GB"/>
        </w:rPr>
        <w:sym w:font="Symbol" w:char="F0D2"/>
      </w:r>
      <w:r>
        <w:rPr>
          <w:sz w:val="24"/>
          <w:szCs w:val="24"/>
          <w:lang w:val="en-GB"/>
        </w:rPr>
        <w:t>-treated patients compared to 166 mg and 190 mg in the placebo-treated patients.</w:t>
      </w:r>
    </w:p>
    <w:p w:rsidR="00051188" w:rsidRDefault="00051188" w:rsidP="009D78B4">
      <w:pPr>
        <w:widowControl w:val="0"/>
        <w:rPr>
          <w:sz w:val="24"/>
          <w:lang w:val="en-GB"/>
        </w:rPr>
      </w:pPr>
    </w:p>
    <w:p w:rsidR="00051188" w:rsidRDefault="00051188" w:rsidP="009D78B4">
      <w:pPr>
        <w:widowControl w:val="0"/>
        <w:rPr>
          <w:sz w:val="24"/>
          <w:lang w:val="en-GB"/>
        </w:rPr>
      </w:pPr>
      <w:r>
        <w:rPr>
          <w:sz w:val="24"/>
          <w:lang w:val="en-GB"/>
        </w:rPr>
        <w:t>Subject’s global assessment of treatment satisfaction was significantly higher (p&lt;0.001) in BOTOX</w:t>
      </w:r>
      <w:r>
        <w:rPr>
          <w:sz w:val="24"/>
          <w:vertAlign w:val="superscript"/>
          <w:lang w:val="en-GB"/>
        </w:rPr>
        <w:sym w:font="Symbol" w:char="F0D2"/>
      </w:r>
      <w:r>
        <w:rPr>
          <w:sz w:val="24"/>
          <w:lang w:val="en-GB"/>
        </w:rPr>
        <w:t xml:space="preserve">-treated than placebo-treated patients at all post-treatment timepoints. </w:t>
      </w:r>
    </w:p>
    <w:p w:rsidR="00051188" w:rsidRDefault="00051188" w:rsidP="009D78B4">
      <w:pPr>
        <w:widowControl w:val="0"/>
        <w:rPr>
          <w:sz w:val="24"/>
          <w:lang w:val="en-GB"/>
        </w:rPr>
      </w:pPr>
    </w:p>
    <w:p w:rsidR="00051188" w:rsidRDefault="00051188" w:rsidP="009D78B4">
      <w:pPr>
        <w:widowControl w:val="0"/>
        <w:spacing w:line="240" w:lineRule="atLeast"/>
        <w:ind w:right="117"/>
        <w:rPr>
          <w:b/>
          <w:i/>
          <w:sz w:val="24"/>
        </w:rPr>
      </w:pPr>
      <w:r>
        <w:rPr>
          <w:b/>
          <w:sz w:val="24"/>
        </w:rPr>
        <w:t>Spasmodic Dysphonia</w:t>
      </w:r>
    </w:p>
    <w:p w:rsidR="00051188" w:rsidRDefault="00051188" w:rsidP="009D78B4">
      <w:pPr>
        <w:widowControl w:val="0"/>
        <w:spacing w:line="240" w:lineRule="atLeast"/>
        <w:ind w:right="117"/>
        <w:rPr>
          <w:sz w:val="24"/>
        </w:rPr>
      </w:pPr>
      <w:r>
        <w:rPr>
          <w:sz w:val="24"/>
        </w:rPr>
        <w:t xml:space="preserve">In the largest series reported 639 patients with adductor spasmodic dysphonia and 108 patients with abductor spasmodic dysphonia were injected with a mean dose of 3.1 </w:t>
      </w:r>
      <w:r>
        <w:rPr>
          <w:sz w:val="24"/>
        </w:rPr>
        <w:sym w:font="Symbol" w:char="F0B1"/>
      </w:r>
      <w:r>
        <w:rPr>
          <w:sz w:val="24"/>
        </w:rPr>
        <w:t xml:space="preserve"> 3.1 units and 2.16 </w:t>
      </w:r>
      <w:r>
        <w:rPr>
          <w:sz w:val="24"/>
        </w:rPr>
        <w:sym w:font="Symbol" w:char="F0B1"/>
      </w:r>
      <w:r>
        <w:rPr>
          <w:sz w:val="24"/>
        </w:rPr>
        <w:t xml:space="preserve"> 1.07 units of BOTOX</w:t>
      </w:r>
      <w:r>
        <w:rPr>
          <w:sz w:val="24"/>
          <w:vertAlign w:val="superscript"/>
        </w:rPr>
        <w:t>®</w:t>
      </w:r>
      <w:r>
        <w:rPr>
          <w:sz w:val="24"/>
        </w:rPr>
        <w:t xml:space="preserve"> respectively.  The patients recorded the responses in a diary, including their percentage of normal function, on a global visual analogue scale where 100% was a normal voice and 0% was inability to phonate.  For adductor spasmodic dysphonia the mean onset of effect was 2.4 </w:t>
      </w:r>
      <w:r>
        <w:rPr>
          <w:sz w:val="24"/>
        </w:rPr>
        <w:sym w:font="Symbol" w:char="F0B1"/>
      </w:r>
      <w:r>
        <w:rPr>
          <w:sz w:val="24"/>
        </w:rPr>
        <w:t xml:space="preserve"> 4.3 days with a mean peak effect of 9 </w:t>
      </w:r>
      <w:r>
        <w:rPr>
          <w:sz w:val="24"/>
        </w:rPr>
        <w:sym w:font="Symbol" w:char="F0B1"/>
      </w:r>
      <w:r>
        <w:rPr>
          <w:sz w:val="24"/>
        </w:rPr>
        <w:t xml:space="preserve"> 12.7 days.  The mean duration of benefit was 15.1 </w:t>
      </w:r>
      <w:r>
        <w:rPr>
          <w:sz w:val="24"/>
        </w:rPr>
        <w:sym w:font="Symbol" w:char="F0B1"/>
      </w:r>
      <w:r>
        <w:rPr>
          <w:sz w:val="24"/>
        </w:rPr>
        <w:t xml:space="preserve"> 12.3 weeks, the percent of normal function rose from 52.4% </w:t>
      </w:r>
      <w:r>
        <w:rPr>
          <w:sz w:val="24"/>
        </w:rPr>
        <w:sym w:font="Symbol" w:char="F0B1"/>
      </w:r>
      <w:r>
        <w:rPr>
          <w:sz w:val="24"/>
        </w:rPr>
        <w:t xml:space="preserve"> 22% to 89.71% </w:t>
      </w:r>
      <w:r>
        <w:rPr>
          <w:sz w:val="24"/>
        </w:rPr>
        <w:sym w:font="Symbol" w:char="F0B1"/>
      </w:r>
      <w:r>
        <w:rPr>
          <w:sz w:val="24"/>
        </w:rPr>
        <w:t xml:space="preserve"> 13%.  For abductor spasmodic dysphonia mean onset of effect was 4.1 </w:t>
      </w:r>
      <w:r>
        <w:rPr>
          <w:sz w:val="24"/>
        </w:rPr>
        <w:sym w:font="Symbol" w:char="F0B1"/>
      </w:r>
      <w:r>
        <w:rPr>
          <w:sz w:val="24"/>
        </w:rPr>
        <w:t xml:space="preserve"> 5.5 days with a mean peak effect of 10 </w:t>
      </w:r>
      <w:r>
        <w:rPr>
          <w:sz w:val="24"/>
        </w:rPr>
        <w:sym w:font="Symbol" w:char="F0B1"/>
      </w:r>
      <w:r>
        <w:rPr>
          <w:sz w:val="24"/>
        </w:rPr>
        <w:t xml:space="preserve"> 12.5 days.  The mean duration of benefit was 10.5 </w:t>
      </w:r>
      <w:r>
        <w:rPr>
          <w:sz w:val="24"/>
        </w:rPr>
        <w:sym w:font="Symbol" w:char="F0B1"/>
      </w:r>
      <w:r>
        <w:rPr>
          <w:sz w:val="24"/>
        </w:rPr>
        <w:t xml:space="preserve"> 12.2 weeks.  The percentage of normal function rose from 54.8% </w:t>
      </w:r>
      <w:r>
        <w:rPr>
          <w:sz w:val="24"/>
        </w:rPr>
        <w:sym w:font="Symbol" w:char="F0B1"/>
      </w:r>
      <w:r>
        <w:rPr>
          <w:sz w:val="24"/>
        </w:rPr>
        <w:t xml:space="preserve"> 21.9% to 66.7% </w:t>
      </w:r>
      <w:r>
        <w:rPr>
          <w:sz w:val="24"/>
        </w:rPr>
        <w:sym w:font="Symbol" w:char="F0B1"/>
      </w:r>
      <w:r>
        <w:rPr>
          <w:sz w:val="24"/>
        </w:rPr>
        <w:t xml:space="preserve"> 23.4% respectively.</w:t>
      </w:r>
    </w:p>
    <w:p w:rsidR="00051188" w:rsidRDefault="00051188" w:rsidP="009D78B4">
      <w:pPr>
        <w:widowControl w:val="0"/>
        <w:spacing w:line="240" w:lineRule="atLeast"/>
        <w:ind w:right="117"/>
        <w:rPr>
          <w:strike/>
          <w:sz w:val="24"/>
          <w:lang w:val="en-GB"/>
        </w:rPr>
      </w:pPr>
      <w:r>
        <w:rPr>
          <w:sz w:val="24"/>
        </w:rPr>
        <w:t>In another large series of 169 patients (adductor spasmodic dysphonia 88.8%, abductor spasmodic dysphonia 1.8% and mixed spasmodic dysphonia 4.1%) the median treatment outcome score was excellent in 63.9% of patients, very good in 18%, satisfactory in 14.5% and unsatisfactory in 3.5%, as judged by a subjective self-rating scale which patients recorded in a diary.  Speech rate increased after BOTOX</w:t>
      </w:r>
      <w:r>
        <w:rPr>
          <w:sz w:val="24"/>
          <w:vertAlign w:val="superscript"/>
        </w:rPr>
        <w:t>®</w:t>
      </w:r>
      <w:r>
        <w:rPr>
          <w:sz w:val="24"/>
        </w:rPr>
        <w:t xml:space="preserve"> therapy by approximately 12 syllables per minute.  Nasendoscopy, before and after treatment in many patients, confirmed the weakening of the vocal cords and abolition of the spasms.</w:t>
      </w:r>
    </w:p>
    <w:p w:rsidR="00051188" w:rsidRDefault="00051188" w:rsidP="009D78B4">
      <w:pPr>
        <w:pStyle w:val="CommentText"/>
        <w:widowControl w:val="0"/>
        <w:jc w:val="both"/>
        <w:rPr>
          <w:rFonts w:ascii="Times New Roman" w:hAnsi="Times New Roman"/>
          <w:color w:val="000000"/>
          <w:lang w:val="en-GB"/>
        </w:rPr>
      </w:pPr>
    </w:p>
    <w:p w:rsidR="00051188" w:rsidRDefault="00051188" w:rsidP="009D78B4">
      <w:pPr>
        <w:pStyle w:val="CommentText"/>
        <w:widowControl w:val="0"/>
        <w:jc w:val="both"/>
        <w:rPr>
          <w:rFonts w:ascii="Times New Roman" w:hAnsi="Times New Roman"/>
          <w:b/>
          <w:sz w:val="24"/>
          <w:szCs w:val="24"/>
          <w:lang w:val="en-GB"/>
        </w:rPr>
      </w:pPr>
      <w:r>
        <w:rPr>
          <w:rFonts w:ascii="Times New Roman" w:hAnsi="Times New Roman"/>
          <w:b/>
          <w:sz w:val="24"/>
          <w:szCs w:val="24"/>
          <w:lang w:val="en-GB"/>
        </w:rPr>
        <w:t>CLINICAL TRIALS – Cosmetic Indications</w:t>
      </w:r>
    </w:p>
    <w:p w:rsidR="00051188" w:rsidRDefault="00051188" w:rsidP="009D78B4">
      <w:pPr>
        <w:pStyle w:val="CommentText"/>
        <w:widowControl w:val="0"/>
        <w:jc w:val="both"/>
        <w:rPr>
          <w:rFonts w:ascii="Times New Roman" w:hAnsi="Times New Roman"/>
          <w:lang w:val="en-GB"/>
        </w:rPr>
      </w:pPr>
    </w:p>
    <w:p w:rsidR="00051188" w:rsidRDefault="00051188" w:rsidP="009D78B4">
      <w:pPr>
        <w:widowControl w:val="0"/>
        <w:rPr>
          <w:b/>
          <w:sz w:val="24"/>
          <w:lang w:val="en-GB"/>
        </w:rPr>
      </w:pPr>
      <w:r>
        <w:rPr>
          <w:b/>
          <w:sz w:val="24"/>
          <w:lang w:val="en-GB"/>
        </w:rPr>
        <w:t>Glabellar Lines</w:t>
      </w:r>
    </w:p>
    <w:p w:rsidR="00051188" w:rsidRDefault="00051188" w:rsidP="009D78B4">
      <w:pPr>
        <w:widowControl w:val="0"/>
        <w:rPr>
          <w:sz w:val="24"/>
          <w:szCs w:val="24"/>
          <w:lang w:val="en-GB"/>
        </w:rPr>
      </w:pPr>
      <w:r>
        <w:rPr>
          <w:sz w:val="24"/>
          <w:szCs w:val="24"/>
          <w:lang w:val="en-GB"/>
        </w:rPr>
        <w:t>In two multicentre, double-blind, placebo-controlled, parallel-group studies of identical design, patients with moderate to severe glabellar lines evaluated at maximum frown were randomised to receive BOTOX</w:t>
      </w:r>
      <w:r>
        <w:rPr>
          <w:sz w:val="24"/>
          <w:szCs w:val="24"/>
          <w:vertAlign w:val="superscript"/>
          <w:lang w:val="en-GB"/>
        </w:rPr>
        <w:sym w:font="Symbol" w:char="F0D2"/>
      </w:r>
      <w:r>
        <w:rPr>
          <w:sz w:val="24"/>
          <w:szCs w:val="24"/>
          <w:lang w:val="en-GB"/>
        </w:rPr>
        <w:t xml:space="preserve"> (n=405) or placebo (n=132).  In these studies, the severity of glabellar lines was significantly reduced for up to 120 days in the BOTOX</w:t>
      </w:r>
      <w:r>
        <w:rPr>
          <w:sz w:val="24"/>
          <w:szCs w:val="24"/>
          <w:vertAlign w:val="superscript"/>
          <w:lang w:val="en-GB"/>
        </w:rPr>
        <w:sym w:font="Symbol" w:char="F0D2"/>
      </w:r>
      <w:r>
        <w:rPr>
          <w:sz w:val="24"/>
          <w:szCs w:val="24"/>
          <w:lang w:val="en-GB"/>
        </w:rPr>
        <w:t xml:space="preserve"> group compared to the placebo group as measured by investigator rating of glabellar line severity at maximum frown and at rest, and by subjects global assessment of change in appearance of glabellar lines.  Thirty days after injection, 80% of BOTOX</w:t>
      </w:r>
      <w:r>
        <w:rPr>
          <w:sz w:val="24"/>
          <w:szCs w:val="24"/>
          <w:vertAlign w:val="superscript"/>
          <w:lang w:val="en-GB"/>
        </w:rPr>
        <w:sym w:font="Symbol" w:char="F0D2"/>
      </w:r>
      <w:r>
        <w:rPr>
          <w:sz w:val="24"/>
          <w:szCs w:val="24"/>
          <w:lang w:val="en-GB"/>
        </w:rPr>
        <w:t>-treated patients were considered by investigators as treatment responders (glabellar line severity score of mild or none), and 89% of patients felt they had moderate or better improvement, compared to 3.0% and 6.8% of placebo-treated patients respectively.</w:t>
      </w:r>
    </w:p>
    <w:p w:rsidR="00051188" w:rsidRDefault="00051188" w:rsidP="009D78B4">
      <w:pPr>
        <w:widowControl w:val="0"/>
        <w:rPr>
          <w:sz w:val="24"/>
          <w:szCs w:val="24"/>
          <w:lang w:val="en-GB"/>
        </w:rPr>
      </w:pPr>
    </w:p>
    <w:p w:rsidR="00051188" w:rsidRDefault="00051188" w:rsidP="009D78B4">
      <w:pPr>
        <w:widowControl w:val="0"/>
        <w:rPr>
          <w:sz w:val="24"/>
          <w:szCs w:val="24"/>
          <w:lang w:val="en-GB"/>
        </w:rPr>
      </w:pPr>
      <w:r>
        <w:rPr>
          <w:sz w:val="24"/>
          <w:szCs w:val="24"/>
          <w:lang w:val="en-GB"/>
        </w:rPr>
        <w:t>A third, open-label study was also conducted to support the continued efficacy of repeat BOTOX</w:t>
      </w:r>
      <w:r>
        <w:rPr>
          <w:sz w:val="24"/>
          <w:szCs w:val="24"/>
          <w:vertAlign w:val="superscript"/>
          <w:lang w:val="en-GB"/>
        </w:rPr>
        <w:sym w:font="Symbol" w:char="F0D2"/>
      </w:r>
      <w:r>
        <w:rPr>
          <w:sz w:val="24"/>
          <w:szCs w:val="24"/>
          <w:lang w:val="en-GB"/>
        </w:rPr>
        <w:t xml:space="preserve"> injections.  At the completion of the double-blind studies, patients were able to enter this open-label phase with repeat treatments given at 120 day intervals.  Therapeutic effect was maintained over the three injection cycles assessed with results showing increased efficacy following multiple injection sessions.</w:t>
      </w:r>
    </w:p>
    <w:p w:rsidR="00051188" w:rsidRDefault="00051188" w:rsidP="009D78B4">
      <w:pPr>
        <w:widowControl w:val="0"/>
        <w:rPr>
          <w:sz w:val="24"/>
          <w:szCs w:val="24"/>
          <w:lang w:val="en-GB"/>
        </w:rPr>
      </w:pPr>
    </w:p>
    <w:p w:rsidR="00051188" w:rsidRDefault="00051188" w:rsidP="009D78B4">
      <w:pPr>
        <w:widowControl w:val="0"/>
        <w:rPr>
          <w:b/>
          <w:sz w:val="24"/>
          <w:lang w:val="en-GB"/>
        </w:rPr>
      </w:pPr>
      <w:r>
        <w:rPr>
          <w:b/>
          <w:sz w:val="24"/>
          <w:lang w:val="en-GB"/>
        </w:rPr>
        <w:t>Crow’s Feet</w:t>
      </w:r>
    </w:p>
    <w:p w:rsidR="00051188" w:rsidRDefault="00051188" w:rsidP="009D78B4">
      <w:pPr>
        <w:widowControl w:val="0"/>
        <w:rPr>
          <w:sz w:val="24"/>
          <w:szCs w:val="24"/>
        </w:rPr>
      </w:pPr>
      <w:r>
        <w:rPr>
          <w:sz w:val="24"/>
          <w:szCs w:val="24"/>
          <w:lang w:val="en-GB"/>
        </w:rPr>
        <w:t xml:space="preserve">Two multicentre, double-blind, placebo-controlled, parallel-group studies were performed to examine the safety and efficacy of </w:t>
      </w:r>
      <w:r>
        <w:rPr>
          <w:sz w:val="24"/>
          <w:szCs w:val="24"/>
        </w:rPr>
        <w:t>BOTOX</w:t>
      </w:r>
      <w:r>
        <w:rPr>
          <w:sz w:val="24"/>
          <w:szCs w:val="24"/>
          <w:vertAlign w:val="superscript"/>
        </w:rPr>
        <w:t>®</w:t>
      </w:r>
      <w:r>
        <w:rPr>
          <w:sz w:val="24"/>
          <w:szCs w:val="24"/>
          <w:lang w:val="en-GB"/>
        </w:rPr>
        <w:t xml:space="preserve"> for the treatment of crow’s feet.  In one study, </w:t>
      </w:r>
      <w:r>
        <w:rPr>
          <w:sz w:val="24"/>
          <w:szCs w:val="24"/>
        </w:rPr>
        <w:t>patients with bilaterally symmetrical, moderate or severe crow’s feet at maximum smile were randomised to receive BOTOX</w:t>
      </w:r>
      <w:r>
        <w:rPr>
          <w:sz w:val="24"/>
          <w:szCs w:val="24"/>
          <w:vertAlign w:val="superscript"/>
        </w:rPr>
        <w:t>®</w:t>
      </w:r>
      <w:r>
        <w:rPr>
          <w:sz w:val="24"/>
          <w:szCs w:val="24"/>
        </w:rPr>
        <w:t xml:space="preserve"> (n=130) [age range 27 to 64 years (mean = 47 years)], injected bilaterally at three sites per side, for a dose of 3 U, 6 U, 12 U or 18 U per side or placebo (n=32).  Treatment with BOTOX</w:t>
      </w:r>
      <w:r>
        <w:rPr>
          <w:sz w:val="24"/>
          <w:szCs w:val="24"/>
          <w:vertAlign w:val="superscript"/>
        </w:rPr>
        <w:t>®</w:t>
      </w:r>
      <w:r>
        <w:rPr>
          <w:sz w:val="24"/>
          <w:szCs w:val="24"/>
        </w:rPr>
        <w:t xml:space="preserve"> showed a dose-related response up to 12 U; although the response was similar in the two highest dose groups, 12 U and 18 U.  The duration of response was dose-related, with significant mean reductions from baseline in crow’s feet severity to day 180 for the 12 U (p≤0.032) and 18 U (p≤0.003) groups, day 150 for the 6 U group (p≤0.017) and day 120 for the 3 U group (p≤0.006).  No significant changes were seen within the placebo group at any post-treatment timepoint.  Maximum responder rates were observed at day 30 for all treatment groups.  The safety profile in the active treatment groups was similar to placebo.</w:t>
      </w:r>
    </w:p>
    <w:p w:rsidR="00051188" w:rsidRDefault="00051188" w:rsidP="009D78B4">
      <w:pPr>
        <w:widowControl w:val="0"/>
        <w:rPr>
          <w:sz w:val="24"/>
          <w:szCs w:val="24"/>
        </w:rPr>
      </w:pPr>
    </w:p>
    <w:p w:rsidR="00051188" w:rsidRDefault="00051188" w:rsidP="009D78B4">
      <w:pPr>
        <w:widowControl w:val="0"/>
        <w:rPr>
          <w:sz w:val="24"/>
          <w:szCs w:val="24"/>
        </w:rPr>
      </w:pPr>
      <w:r>
        <w:rPr>
          <w:sz w:val="24"/>
          <w:szCs w:val="24"/>
        </w:rPr>
        <w:t>The second study examined the safety and efficacy of treatment of crow’s feet with 1 of 3 dosages of BOTOX</w:t>
      </w:r>
      <w:r>
        <w:rPr>
          <w:sz w:val="24"/>
          <w:szCs w:val="24"/>
          <w:vertAlign w:val="superscript"/>
        </w:rPr>
        <w:t>®</w:t>
      </w:r>
      <w:r>
        <w:rPr>
          <w:sz w:val="24"/>
          <w:szCs w:val="24"/>
        </w:rPr>
        <w:t xml:space="preserve"> (n=148) or placebo (n=49) [age range 27 to 65 years (mean = 47 years)], and the effect on the severity of forehead lines and glabellar lines.  In this study, patients with bilaterally symmetrical, moderate or severe crow’s feet at maximum smile; forehead line severity of mild, moderate or severe at maximum eyebrow elevation and glabellar line severity of mild, moderate or severe at maximum frown were treated with BOTOX</w:t>
      </w:r>
      <w:r>
        <w:rPr>
          <w:sz w:val="24"/>
          <w:szCs w:val="24"/>
          <w:vertAlign w:val="superscript"/>
        </w:rPr>
        <w:t>®</w:t>
      </w:r>
      <w:r>
        <w:rPr>
          <w:sz w:val="24"/>
          <w:szCs w:val="24"/>
        </w:rPr>
        <w:t>, injected bilaterally at three sites per side, for a dose of 6 U, 12 U or 18 U per side or placebo.  Although significant improvements in crow’s feet were seen with all BOTOX</w:t>
      </w:r>
      <w:r>
        <w:rPr>
          <w:sz w:val="24"/>
          <w:szCs w:val="24"/>
          <w:vertAlign w:val="superscript"/>
        </w:rPr>
        <w:t>®</w:t>
      </w:r>
      <w:r>
        <w:rPr>
          <w:sz w:val="24"/>
          <w:szCs w:val="24"/>
        </w:rPr>
        <w:t xml:space="preserve"> doses when compared to placebo, the treatment of crow’s feet did not affect the severity of either horizontal forehead lines or glabellar lines.  Thus it appears that the treatment of crow’s feet at doses of 18 U, 12 U and 6 U does not affect adjacent areas and as such dose modification is not considered necessary.  No safety concerns were seen at any dose of BOTOX</w:t>
      </w:r>
      <w:r>
        <w:rPr>
          <w:sz w:val="24"/>
          <w:szCs w:val="24"/>
          <w:vertAlign w:val="superscript"/>
        </w:rPr>
        <w:t>®</w:t>
      </w:r>
      <w:r>
        <w:rPr>
          <w:sz w:val="24"/>
          <w:szCs w:val="24"/>
        </w:rPr>
        <w:t xml:space="preserve"> treatment.</w:t>
      </w:r>
    </w:p>
    <w:p w:rsidR="00051188" w:rsidRDefault="00051188" w:rsidP="009D78B4">
      <w:pPr>
        <w:widowControl w:val="0"/>
        <w:rPr>
          <w:sz w:val="24"/>
          <w:szCs w:val="24"/>
        </w:rPr>
      </w:pPr>
    </w:p>
    <w:p w:rsidR="00051188" w:rsidRDefault="00051188" w:rsidP="009D78B4">
      <w:pPr>
        <w:widowControl w:val="0"/>
        <w:rPr>
          <w:sz w:val="24"/>
          <w:szCs w:val="24"/>
          <w:lang w:val="en-GB"/>
        </w:rPr>
      </w:pPr>
      <w:r>
        <w:rPr>
          <w:sz w:val="24"/>
          <w:szCs w:val="24"/>
          <w:lang w:val="en-GB"/>
        </w:rPr>
        <w:lastRenderedPageBreak/>
        <w:t xml:space="preserve">The safety and efficacy of </w:t>
      </w:r>
      <w:r>
        <w:rPr>
          <w:sz w:val="24"/>
          <w:szCs w:val="24"/>
        </w:rPr>
        <w:t>BOTOX</w:t>
      </w:r>
      <w:r>
        <w:rPr>
          <w:sz w:val="24"/>
          <w:szCs w:val="24"/>
          <w:vertAlign w:val="superscript"/>
        </w:rPr>
        <w:t>®</w:t>
      </w:r>
      <w:r>
        <w:rPr>
          <w:sz w:val="24"/>
          <w:szCs w:val="24"/>
          <w:lang w:val="en-GB"/>
        </w:rPr>
        <w:t xml:space="preserve"> for the treatment of crow’s feet has been described in published clinical studies.  In one study, 60 patients were treated with 6 U, 12 U or 18 U of </w:t>
      </w:r>
      <w:r>
        <w:rPr>
          <w:sz w:val="24"/>
          <w:szCs w:val="24"/>
        </w:rPr>
        <w:t>BOTOX</w:t>
      </w:r>
      <w:r>
        <w:rPr>
          <w:sz w:val="24"/>
          <w:szCs w:val="24"/>
          <w:vertAlign w:val="superscript"/>
        </w:rPr>
        <w:t>®</w:t>
      </w:r>
      <w:r>
        <w:rPr>
          <w:sz w:val="24"/>
          <w:szCs w:val="24"/>
          <w:lang w:val="en-GB"/>
        </w:rPr>
        <w:t xml:space="preserve"> in the orbicularis oculi muscle on one side of the face and placebo contralaterally.  At 16 weeks after injection, patients were treated with 12 U or 18 U of </w:t>
      </w:r>
      <w:r>
        <w:rPr>
          <w:sz w:val="24"/>
          <w:szCs w:val="24"/>
        </w:rPr>
        <w:t>BOTOX</w:t>
      </w:r>
      <w:r>
        <w:rPr>
          <w:sz w:val="24"/>
          <w:szCs w:val="24"/>
          <w:vertAlign w:val="superscript"/>
        </w:rPr>
        <w:t>®</w:t>
      </w:r>
      <w:r>
        <w:rPr>
          <w:sz w:val="24"/>
          <w:szCs w:val="24"/>
          <w:lang w:val="en-GB"/>
        </w:rPr>
        <w:t xml:space="preserve"> bilaterally.  </w:t>
      </w:r>
      <w:r>
        <w:rPr>
          <w:sz w:val="24"/>
          <w:szCs w:val="24"/>
        </w:rPr>
        <w:t>BOTOX</w:t>
      </w:r>
      <w:r>
        <w:rPr>
          <w:sz w:val="24"/>
          <w:szCs w:val="24"/>
          <w:vertAlign w:val="superscript"/>
        </w:rPr>
        <w:t>®</w:t>
      </w:r>
      <w:r>
        <w:rPr>
          <w:sz w:val="24"/>
          <w:szCs w:val="24"/>
          <w:lang w:val="en-GB"/>
        </w:rPr>
        <w:t xml:space="preserve"> was associated with significantly higher success rates than placebo at all dose levels, as determined by both trained observers and patients.  At 4 weeks post-injection, 89-95% of patients on the </w:t>
      </w:r>
      <w:r>
        <w:rPr>
          <w:sz w:val="24"/>
          <w:szCs w:val="24"/>
        </w:rPr>
        <w:t>BOTOX</w:t>
      </w:r>
      <w:r>
        <w:rPr>
          <w:sz w:val="24"/>
          <w:szCs w:val="24"/>
          <w:vertAlign w:val="superscript"/>
        </w:rPr>
        <w:t>®</w:t>
      </w:r>
      <w:r>
        <w:rPr>
          <w:sz w:val="24"/>
          <w:szCs w:val="24"/>
          <w:lang w:val="en-GB"/>
        </w:rPr>
        <w:t xml:space="preserve">-treated side were considered by investigators as treatment responders and 60-80% of patients felt they had treatment success, compared to approximately 5-15% and 15-45%, respectively on the placebo treated side.  No clear dose response relationship was observed.  Benefits of the second injection lasted longer than the first, with success rates for the second injection reaching 100% for the 12 U and 18 U groups at week 4.  </w:t>
      </w:r>
      <w:r>
        <w:rPr>
          <w:sz w:val="24"/>
          <w:szCs w:val="24"/>
        </w:rPr>
        <w:t>BOTOX</w:t>
      </w:r>
      <w:r>
        <w:rPr>
          <w:sz w:val="24"/>
          <w:szCs w:val="24"/>
          <w:vertAlign w:val="superscript"/>
        </w:rPr>
        <w:t>®</w:t>
      </w:r>
      <w:r>
        <w:rPr>
          <w:sz w:val="24"/>
          <w:szCs w:val="24"/>
          <w:lang w:val="en-GB"/>
        </w:rPr>
        <w:t xml:space="preserve"> was well tolerated.  No serious or severe adverse events were reported.</w:t>
      </w:r>
    </w:p>
    <w:p w:rsidR="00051188" w:rsidRDefault="00051188" w:rsidP="009D78B4">
      <w:pPr>
        <w:widowControl w:val="0"/>
        <w:rPr>
          <w:sz w:val="24"/>
          <w:szCs w:val="24"/>
          <w:lang w:val="en-GB"/>
        </w:rPr>
      </w:pPr>
    </w:p>
    <w:p w:rsidR="00051188" w:rsidRDefault="00051188" w:rsidP="009D78B4">
      <w:pPr>
        <w:widowControl w:val="0"/>
        <w:rPr>
          <w:b/>
          <w:sz w:val="24"/>
          <w:lang w:val="en-GB"/>
        </w:rPr>
      </w:pPr>
      <w:r>
        <w:rPr>
          <w:b/>
          <w:sz w:val="24"/>
          <w:lang w:val="en-GB"/>
        </w:rPr>
        <w:t>Forehead Lines</w:t>
      </w:r>
    </w:p>
    <w:p w:rsidR="00051188" w:rsidRDefault="00051188" w:rsidP="009D78B4">
      <w:pPr>
        <w:widowControl w:val="0"/>
        <w:rPr>
          <w:sz w:val="24"/>
          <w:szCs w:val="24"/>
          <w:lang w:val="en-GB"/>
        </w:rPr>
      </w:pPr>
      <w:r>
        <w:rPr>
          <w:sz w:val="24"/>
          <w:szCs w:val="24"/>
          <w:lang w:val="en-GB"/>
        </w:rPr>
        <w:t xml:space="preserve">The safety and efficacy of </w:t>
      </w:r>
      <w:r>
        <w:rPr>
          <w:sz w:val="24"/>
          <w:szCs w:val="24"/>
        </w:rPr>
        <w:t>BOTOX</w:t>
      </w:r>
      <w:r>
        <w:rPr>
          <w:sz w:val="24"/>
          <w:szCs w:val="24"/>
          <w:vertAlign w:val="superscript"/>
        </w:rPr>
        <w:t>®</w:t>
      </w:r>
      <w:r>
        <w:rPr>
          <w:sz w:val="24"/>
          <w:szCs w:val="24"/>
          <w:lang w:val="en-GB"/>
        </w:rPr>
        <w:t xml:space="preserve"> for the treatment of horizontal forehead lines has been described in published clinical studies.  In one study, </w:t>
      </w:r>
      <w:r>
        <w:rPr>
          <w:sz w:val="24"/>
          <w:szCs w:val="24"/>
        </w:rPr>
        <w:t>BOTOX</w:t>
      </w:r>
      <w:r>
        <w:rPr>
          <w:sz w:val="24"/>
          <w:szCs w:val="24"/>
          <w:vertAlign w:val="superscript"/>
        </w:rPr>
        <w:t>®</w:t>
      </w:r>
      <w:r>
        <w:rPr>
          <w:sz w:val="24"/>
          <w:szCs w:val="24"/>
          <w:lang w:val="en-GB"/>
        </w:rPr>
        <w:t xml:space="preserve"> was administered to 59 patients with horizontal forehead lines scoring 2 (moderate) or 3 (severe) on the facial wrinkle scale (FWS).  Patients were randomly assigned to receive 8 U, 16 U and 24 U of </w:t>
      </w:r>
      <w:r>
        <w:rPr>
          <w:sz w:val="24"/>
          <w:szCs w:val="24"/>
        </w:rPr>
        <w:t>BOTOX</w:t>
      </w:r>
      <w:r>
        <w:rPr>
          <w:sz w:val="24"/>
          <w:szCs w:val="24"/>
          <w:vertAlign w:val="superscript"/>
        </w:rPr>
        <w:t>®</w:t>
      </w:r>
      <w:r>
        <w:rPr>
          <w:sz w:val="24"/>
          <w:szCs w:val="24"/>
          <w:lang w:val="en-GB"/>
        </w:rPr>
        <w:t xml:space="preserve"> injected into the frontalis muscle with additional brow depressor injections.  Approximately 90% of subjects responded to treatment as rated by investigators and up to 75-80% by self-assessment at week four.  There was a reduction in horizontal rhytide severity in all three </w:t>
      </w:r>
      <w:r>
        <w:rPr>
          <w:sz w:val="24"/>
          <w:szCs w:val="24"/>
        </w:rPr>
        <w:t>BOTOX</w:t>
      </w:r>
      <w:r>
        <w:rPr>
          <w:sz w:val="24"/>
          <w:szCs w:val="24"/>
          <w:vertAlign w:val="superscript"/>
        </w:rPr>
        <w:t>®</w:t>
      </w:r>
      <w:r>
        <w:rPr>
          <w:sz w:val="24"/>
          <w:szCs w:val="24"/>
          <w:lang w:val="en-GB"/>
        </w:rPr>
        <w:t xml:space="preserve"> treatment groups at both contraction and repose.  There was a significant dose-response trend (p≤0.019) for sustained duration of improvement: 53% in the 24 U group versus 15% in the 8 U group at 16 weeks (p≤0.023 for difference between groups), by trained observer.  There was a significant dose-response trend (p≤0.011) for rate of relapse to baseline: 35% in the 24 U group versus 75% in the 8 U group at 16 weeks (p≤0.038 for difference between groups), by trained observer.  </w:t>
      </w:r>
      <w:r>
        <w:rPr>
          <w:sz w:val="24"/>
          <w:szCs w:val="24"/>
        </w:rPr>
        <w:t>BOTOX</w:t>
      </w:r>
      <w:r>
        <w:rPr>
          <w:sz w:val="24"/>
          <w:szCs w:val="24"/>
          <w:vertAlign w:val="superscript"/>
        </w:rPr>
        <w:t>®</w:t>
      </w:r>
      <w:r>
        <w:rPr>
          <w:sz w:val="24"/>
          <w:szCs w:val="24"/>
          <w:lang w:val="en-GB"/>
        </w:rPr>
        <w:t xml:space="preserve"> was well tolerated.  </w:t>
      </w:r>
      <w:r>
        <w:rPr>
          <w:sz w:val="24"/>
          <w:szCs w:val="24"/>
        </w:rPr>
        <w:t>N</w:t>
      </w:r>
      <w:r>
        <w:rPr>
          <w:sz w:val="24"/>
          <w:szCs w:val="24"/>
          <w:lang w:val="en-GB"/>
        </w:rPr>
        <w:t>o serious adverse events were reported.</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spacing w:after="240"/>
        <w:rPr>
          <w:b/>
          <w:sz w:val="24"/>
          <w:lang w:val="en-GB"/>
        </w:rPr>
      </w:pPr>
      <w:r>
        <w:rPr>
          <w:b/>
          <w:sz w:val="24"/>
          <w:lang w:val="en-GB"/>
        </w:rPr>
        <w:t>INDICATIONS</w:t>
      </w:r>
    </w:p>
    <w:p w:rsidR="00051188" w:rsidRDefault="00051188" w:rsidP="009D78B4">
      <w:pPr>
        <w:widowControl w:val="0"/>
        <w:tabs>
          <w:tab w:val="left" w:pos="-720"/>
        </w:tabs>
        <w:rPr>
          <w:sz w:val="24"/>
          <w:szCs w:val="24"/>
          <w:lang w:val="en-GB"/>
        </w:rPr>
      </w:pPr>
      <w:r>
        <w:rPr>
          <w:caps/>
          <w:sz w:val="24"/>
          <w:szCs w:val="24"/>
        </w:rPr>
        <w:t>Botox</w:t>
      </w:r>
      <w:r>
        <w:rPr>
          <w:caps/>
          <w:sz w:val="24"/>
          <w:szCs w:val="24"/>
          <w:vertAlign w:val="superscript"/>
        </w:rPr>
        <w:sym w:font="Symbol" w:char="F0D2"/>
      </w:r>
      <w:r>
        <w:rPr>
          <w:sz w:val="24"/>
          <w:szCs w:val="24"/>
          <w:lang w:val="en-GB"/>
        </w:rPr>
        <w:t xml:space="preserve"> (botulinum toxin type A) purified neurotoxin complex is indicated for the following therapeutic indications:</w:t>
      </w:r>
    </w:p>
    <w:p w:rsidR="00051188" w:rsidRDefault="00051188" w:rsidP="009D78B4">
      <w:pPr>
        <w:widowControl w:val="0"/>
        <w:tabs>
          <w:tab w:val="left" w:pos="-720"/>
        </w:tabs>
        <w:rPr>
          <w:sz w:val="24"/>
          <w:szCs w:val="24"/>
          <w:lang w:val="en-GB"/>
        </w:rPr>
      </w:pPr>
    </w:p>
    <w:p w:rsidR="00051188" w:rsidRDefault="00051188" w:rsidP="009D78B4">
      <w:pPr>
        <w:widowControl w:val="0"/>
        <w:numPr>
          <w:ilvl w:val="0"/>
          <w:numId w:val="8"/>
        </w:numPr>
        <w:jc w:val="both"/>
        <w:rPr>
          <w:sz w:val="24"/>
          <w:szCs w:val="24"/>
          <w:lang w:val="en-AU"/>
        </w:rPr>
      </w:pPr>
      <w:r>
        <w:rPr>
          <w:sz w:val="24"/>
          <w:szCs w:val="24"/>
        </w:rPr>
        <w:t xml:space="preserve">treatment of overactive bladder with symptoms of urinary incontinence, urgency and frequency, in adult patients who have an inadequate response to or are intolerant of an anticholinergic medication  </w:t>
      </w:r>
    </w:p>
    <w:p w:rsidR="00051188" w:rsidRDefault="00051188" w:rsidP="009D78B4">
      <w:pPr>
        <w:widowControl w:val="0"/>
        <w:numPr>
          <w:ilvl w:val="0"/>
          <w:numId w:val="8"/>
        </w:numPr>
        <w:tabs>
          <w:tab w:val="left" w:pos="-720"/>
        </w:tabs>
        <w:jc w:val="both"/>
        <w:rPr>
          <w:color w:val="000000"/>
          <w:sz w:val="24"/>
          <w:szCs w:val="24"/>
          <w:lang w:val="en-GB"/>
        </w:rPr>
      </w:pPr>
      <w:r>
        <w:rPr>
          <w:sz w:val="24"/>
          <w:szCs w:val="24"/>
          <w:lang w:val="en-AU"/>
        </w:rPr>
        <w:t>treatment of urinary incontinence due to neurogenic detrusor overactivity resulting from a defined neurological illness (such as spinal cord injury or multiple sclerosis) and not controlled adequat</w:t>
      </w:r>
      <w:r>
        <w:rPr>
          <w:color w:val="3C3C3C"/>
          <w:sz w:val="24"/>
          <w:szCs w:val="24"/>
          <w:lang w:val="en-AU"/>
        </w:rPr>
        <w:t>e</w:t>
      </w:r>
      <w:r>
        <w:rPr>
          <w:sz w:val="24"/>
          <w:szCs w:val="24"/>
          <w:lang w:val="en-AU"/>
        </w:rPr>
        <w:t xml:space="preserve">ly by anticholinergic agents </w:t>
      </w:r>
    </w:p>
    <w:p w:rsidR="00051188" w:rsidRDefault="00051188" w:rsidP="009D78B4">
      <w:pPr>
        <w:widowControl w:val="0"/>
        <w:numPr>
          <w:ilvl w:val="0"/>
          <w:numId w:val="8"/>
        </w:numPr>
        <w:tabs>
          <w:tab w:val="left" w:pos="-720"/>
        </w:tabs>
        <w:rPr>
          <w:sz w:val="24"/>
          <w:szCs w:val="24"/>
          <w:lang w:val="en-GB"/>
        </w:rPr>
      </w:pPr>
      <w:r>
        <w:rPr>
          <w:color w:val="000000"/>
          <w:sz w:val="24"/>
          <w:lang w:val="en-GB"/>
        </w:rPr>
        <w:t xml:space="preserve">prophylaxis of headaches in adults with chronic migraine (headaches on at least 15 days </w:t>
      </w:r>
      <w:r>
        <w:rPr>
          <w:color w:val="000000"/>
          <w:sz w:val="24"/>
          <w:szCs w:val="24"/>
          <w:lang w:val="en-GB"/>
        </w:rPr>
        <w:t>p</w:t>
      </w:r>
      <w:r>
        <w:rPr>
          <w:color w:val="000000"/>
          <w:sz w:val="24"/>
          <w:lang w:val="en-GB"/>
        </w:rPr>
        <w:t>er month of which at least 8 days are with migraine)</w:t>
      </w:r>
    </w:p>
    <w:p w:rsidR="00051188" w:rsidRDefault="00051188" w:rsidP="009D78B4">
      <w:pPr>
        <w:widowControl w:val="0"/>
        <w:numPr>
          <w:ilvl w:val="0"/>
          <w:numId w:val="8"/>
        </w:numPr>
        <w:tabs>
          <w:tab w:val="left" w:pos="-720"/>
        </w:tabs>
        <w:rPr>
          <w:sz w:val="24"/>
          <w:szCs w:val="24"/>
          <w:lang w:val="en-GB"/>
        </w:rPr>
      </w:pPr>
      <w:r>
        <w:rPr>
          <w:sz w:val="24"/>
          <w:szCs w:val="24"/>
          <w:lang w:val="en-GB"/>
        </w:rPr>
        <w:t>treatment of strabismus in children and adults</w:t>
      </w:r>
    </w:p>
    <w:p w:rsidR="00051188" w:rsidRDefault="00051188" w:rsidP="009D78B4">
      <w:pPr>
        <w:widowControl w:val="0"/>
        <w:numPr>
          <w:ilvl w:val="0"/>
          <w:numId w:val="8"/>
        </w:numPr>
        <w:tabs>
          <w:tab w:val="left" w:pos="-720"/>
        </w:tabs>
        <w:rPr>
          <w:sz w:val="24"/>
          <w:szCs w:val="24"/>
          <w:lang w:val="en-GB"/>
        </w:rPr>
      </w:pPr>
      <w:r>
        <w:rPr>
          <w:sz w:val="24"/>
          <w:lang w:val="en-GB"/>
        </w:rPr>
        <w:t xml:space="preserve">treatment of </w:t>
      </w:r>
      <w:r>
        <w:rPr>
          <w:sz w:val="24"/>
          <w:szCs w:val="24"/>
          <w:lang w:val="en-GB"/>
        </w:rPr>
        <w:t xml:space="preserve">blepharospasm associated with dystonia, including benign blepharospasm and VIIth nerve disorders (specifically hemifacial spasm) in patients twelve years and over </w:t>
      </w:r>
    </w:p>
    <w:p w:rsidR="00051188" w:rsidRDefault="00051188" w:rsidP="009D78B4">
      <w:pPr>
        <w:widowControl w:val="0"/>
        <w:numPr>
          <w:ilvl w:val="0"/>
          <w:numId w:val="8"/>
        </w:numPr>
        <w:tabs>
          <w:tab w:val="left" w:pos="-720"/>
        </w:tabs>
        <w:rPr>
          <w:sz w:val="24"/>
          <w:szCs w:val="24"/>
          <w:lang w:val="en-GB"/>
        </w:rPr>
      </w:pPr>
      <w:r>
        <w:rPr>
          <w:sz w:val="24"/>
          <w:szCs w:val="24"/>
          <w:lang w:val="en-GB"/>
        </w:rPr>
        <w:t>treatment of cervical dystonia (spasmodic torticollis)</w:t>
      </w:r>
    </w:p>
    <w:p w:rsidR="00051188" w:rsidRDefault="00051188" w:rsidP="009D78B4">
      <w:pPr>
        <w:widowControl w:val="0"/>
        <w:numPr>
          <w:ilvl w:val="0"/>
          <w:numId w:val="8"/>
        </w:numPr>
        <w:tabs>
          <w:tab w:val="left" w:pos="-720"/>
        </w:tabs>
        <w:rPr>
          <w:i/>
          <w:strike/>
          <w:sz w:val="24"/>
          <w:szCs w:val="24"/>
          <w:lang w:val="en-GB"/>
        </w:rPr>
      </w:pPr>
      <w:r>
        <w:rPr>
          <w:sz w:val="24"/>
          <w:szCs w:val="24"/>
          <w:lang w:val="en-GB"/>
        </w:rPr>
        <w:t xml:space="preserve">treatment of focal spasticity of the upper and lower limbs, including dynamic equinus </w:t>
      </w:r>
      <w:r>
        <w:rPr>
          <w:sz w:val="24"/>
          <w:szCs w:val="24"/>
          <w:lang w:val="en-GB"/>
        </w:rPr>
        <w:lastRenderedPageBreak/>
        <w:t>foot deformity, due to juvenile cerebral palsy in patients two years and older</w:t>
      </w:r>
    </w:p>
    <w:p w:rsidR="00051188" w:rsidRDefault="00051188" w:rsidP="009D78B4">
      <w:pPr>
        <w:widowControl w:val="0"/>
        <w:numPr>
          <w:ilvl w:val="0"/>
          <w:numId w:val="8"/>
        </w:numPr>
        <w:tabs>
          <w:tab w:val="left" w:pos="-720"/>
        </w:tabs>
        <w:rPr>
          <w:sz w:val="24"/>
          <w:szCs w:val="24"/>
          <w:lang w:val="en-GB"/>
        </w:rPr>
      </w:pPr>
      <w:r>
        <w:rPr>
          <w:sz w:val="24"/>
          <w:szCs w:val="24"/>
          <w:lang w:val="en-GB"/>
        </w:rPr>
        <w:t>treatment of  severe primary hyperhidrosis of the axillae</w:t>
      </w:r>
    </w:p>
    <w:p w:rsidR="00051188" w:rsidRDefault="00051188" w:rsidP="009D78B4">
      <w:pPr>
        <w:widowControl w:val="0"/>
        <w:numPr>
          <w:ilvl w:val="0"/>
          <w:numId w:val="8"/>
        </w:numPr>
        <w:tabs>
          <w:tab w:val="left" w:pos="-720"/>
        </w:tabs>
        <w:rPr>
          <w:b/>
          <w:i/>
          <w:sz w:val="24"/>
          <w:szCs w:val="24"/>
          <w:lang w:val="en-GB"/>
        </w:rPr>
      </w:pPr>
      <w:r>
        <w:rPr>
          <w:sz w:val="24"/>
          <w:szCs w:val="24"/>
          <w:lang w:val="en-GB"/>
        </w:rPr>
        <w:t xml:space="preserve">treatment of focal spasticity in adults </w:t>
      </w:r>
    </w:p>
    <w:p w:rsidR="00051188" w:rsidRDefault="00051188" w:rsidP="009D78B4">
      <w:pPr>
        <w:widowControl w:val="0"/>
        <w:numPr>
          <w:ilvl w:val="0"/>
          <w:numId w:val="8"/>
        </w:numPr>
        <w:tabs>
          <w:tab w:val="left" w:pos="-720"/>
        </w:tabs>
        <w:rPr>
          <w:color w:val="000000"/>
          <w:sz w:val="24"/>
          <w:lang w:val="en-GB"/>
        </w:rPr>
      </w:pPr>
      <w:r>
        <w:rPr>
          <w:color w:val="000000"/>
          <w:sz w:val="24"/>
          <w:lang w:val="en-GB"/>
        </w:rPr>
        <w:t>treatment of spasmodic dysphonia.</w:t>
      </w:r>
    </w:p>
    <w:p w:rsidR="00051188" w:rsidRDefault="00051188" w:rsidP="009D78B4">
      <w:pPr>
        <w:widowControl w:val="0"/>
        <w:tabs>
          <w:tab w:val="left" w:pos="-720"/>
        </w:tabs>
        <w:rPr>
          <w:color w:val="000000"/>
          <w:sz w:val="24"/>
          <w:lang w:val="en-GB"/>
        </w:rPr>
      </w:pPr>
    </w:p>
    <w:p w:rsidR="00051188" w:rsidRDefault="00051188" w:rsidP="009D78B4">
      <w:pPr>
        <w:widowControl w:val="0"/>
        <w:tabs>
          <w:tab w:val="left" w:pos="-720"/>
        </w:tabs>
        <w:rPr>
          <w:sz w:val="24"/>
          <w:szCs w:val="24"/>
          <w:lang w:val="en-GB"/>
        </w:rPr>
      </w:pPr>
      <w:r>
        <w:rPr>
          <w:caps/>
          <w:sz w:val="24"/>
          <w:szCs w:val="24"/>
        </w:rPr>
        <w:t>Botox</w:t>
      </w:r>
      <w:r>
        <w:rPr>
          <w:caps/>
          <w:sz w:val="24"/>
          <w:szCs w:val="24"/>
          <w:vertAlign w:val="superscript"/>
        </w:rPr>
        <w:sym w:font="Symbol" w:char="F0D2"/>
      </w:r>
      <w:r>
        <w:rPr>
          <w:sz w:val="24"/>
          <w:szCs w:val="24"/>
          <w:lang w:val="en-GB"/>
        </w:rPr>
        <w:t xml:space="preserve"> (botulinum toxin type A) purified neurotoxin complex is indicated for the following cosmetic indications:</w:t>
      </w:r>
    </w:p>
    <w:p w:rsidR="00051188" w:rsidRDefault="00051188" w:rsidP="009D78B4">
      <w:pPr>
        <w:widowControl w:val="0"/>
        <w:numPr>
          <w:ilvl w:val="0"/>
          <w:numId w:val="6"/>
        </w:numPr>
        <w:tabs>
          <w:tab w:val="left" w:pos="-720"/>
        </w:tabs>
        <w:ind w:left="714" w:hanging="357"/>
        <w:rPr>
          <w:sz w:val="24"/>
          <w:szCs w:val="24"/>
          <w:lang w:val="en-GB"/>
        </w:rPr>
      </w:pPr>
      <w:r>
        <w:rPr>
          <w:sz w:val="24"/>
          <w:szCs w:val="24"/>
          <w:lang w:val="en-GB"/>
        </w:rPr>
        <w:t>temporary improvement in the appearance of upper facial rhytides (glabellar lines, crow’s feet and forehead lines) in adults.</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spacing w:after="240"/>
        <w:rPr>
          <w:b/>
          <w:sz w:val="24"/>
          <w:szCs w:val="24"/>
          <w:lang w:val="en-GB"/>
        </w:rPr>
      </w:pPr>
      <w:r>
        <w:rPr>
          <w:b/>
          <w:sz w:val="24"/>
          <w:szCs w:val="24"/>
          <w:lang w:val="en-GB"/>
        </w:rPr>
        <w:t>CONTRAINDICATIONS</w:t>
      </w:r>
    </w:p>
    <w:p w:rsidR="00051188" w:rsidRDefault="00051188" w:rsidP="009D78B4">
      <w:pPr>
        <w:widowControl w:val="0"/>
        <w:tabs>
          <w:tab w:val="left" w:pos="-720"/>
        </w:tabs>
        <w:rPr>
          <w:sz w:val="24"/>
          <w:lang w:val="en-GB"/>
        </w:rPr>
      </w:pPr>
      <w:r>
        <w:rPr>
          <w:caps/>
          <w:sz w:val="24"/>
          <w:szCs w:val="24"/>
        </w:rPr>
        <w:t>Botox</w:t>
      </w:r>
      <w:r>
        <w:rPr>
          <w:caps/>
          <w:sz w:val="24"/>
          <w:szCs w:val="24"/>
          <w:vertAlign w:val="superscript"/>
        </w:rPr>
        <w:sym w:font="Symbol" w:char="F0D2"/>
      </w:r>
      <w:r>
        <w:rPr>
          <w:sz w:val="24"/>
          <w:szCs w:val="24"/>
          <w:lang w:val="en-GB"/>
        </w:rPr>
        <w:t xml:space="preserve"> (botulinum toxin type A) purified neurotoxin complex is</w:t>
      </w:r>
      <w:r>
        <w:rPr>
          <w:sz w:val="24"/>
          <w:lang w:val="en-GB"/>
        </w:rPr>
        <w:t xml:space="preserve"> contraindicated in individuals with known hypersensitivity to any ingredient in the formulation. </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szCs w:val="24"/>
          <w:lang w:val="en-GB"/>
        </w:rPr>
      </w:pPr>
      <w:r>
        <w:rPr>
          <w:caps/>
          <w:sz w:val="24"/>
          <w:szCs w:val="24"/>
        </w:rPr>
        <w:t>Botox</w:t>
      </w:r>
      <w:r>
        <w:rPr>
          <w:caps/>
          <w:sz w:val="24"/>
          <w:szCs w:val="24"/>
          <w:vertAlign w:val="superscript"/>
        </w:rPr>
        <w:sym w:font="Symbol" w:char="F0D2"/>
      </w:r>
      <w:r>
        <w:rPr>
          <w:sz w:val="24"/>
          <w:szCs w:val="24"/>
          <w:lang w:val="en-GB"/>
        </w:rPr>
        <w:t xml:space="preserve"> is contraindicated in patients with myasthenia gravis or Eaton Lambert Syndrome.</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caps/>
          <w:sz w:val="24"/>
          <w:szCs w:val="24"/>
        </w:rPr>
        <w:t>Botox</w:t>
      </w:r>
      <w:r>
        <w:rPr>
          <w:caps/>
          <w:sz w:val="24"/>
          <w:szCs w:val="24"/>
          <w:vertAlign w:val="superscript"/>
        </w:rPr>
        <w:sym w:font="Symbol" w:char="F0D2"/>
      </w:r>
      <w:r>
        <w:rPr>
          <w:sz w:val="24"/>
          <w:szCs w:val="24"/>
          <w:lang w:val="en-GB"/>
        </w:rPr>
        <w:t xml:space="preserve"> is contraindicated in the presence of infection at the proposed injection site(s).</w:t>
      </w:r>
    </w:p>
    <w:p w:rsidR="00051188" w:rsidRDefault="00051188" w:rsidP="009D78B4">
      <w:pPr>
        <w:widowControl w:val="0"/>
        <w:tabs>
          <w:tab w:val="left" w:pos="-720"/>
        </w:tabs>
        <w:rPr>
          <w:sz w:val="24"/>
          <w:szCs w:val="24"/>
          <w:lang w:val="en-GB"/>
        </w:rPr>
      </w:pPr>
    </w:p>
    <w:p w:rsidR="00051188" w:rsidRDefault="00051188" w:rsidP="009D78B4">
      <w:pPr>
        <w:widowControl w:val="0"/>
        <w:autoSpaceDE w:val="0"/>
        <w:autoSpaceDN w:val="0"/>
        <w:adjustRightInd w:val="0"/>
        <w:rPr>
          <w:b/>
          <w:color w:val="252525"/>
          <w:sz w:val="24"/>
          <w:szCs w:val="24"/>
        </w:rPr>
      </w:pPr>
      <w:r>
        <w:rPr>
          <w:b/>
          <w:color w:val="252525"/>
          <w:sz w:val="24"/>
          <w:szCs w:val="24"/>
        </w:rPr>
        <w:t>Bladder Dysfunction</w:t>
      </w:r>
    </w:p>
    <w:p w:rsidR="00051188" w:rsidRDefault="00051188" w:rsidP="009D78B4">
      <w:pPr>
        <w:widowControl w:val="0"/>
        <w:tabs>
          <w:tab w:val="left" w:pos="-720"/>
        </w:tabs>
        <w:rPr>
          <w:sz w:val="24"/>
          <w:szCs w:val="24"/>
          <w:lang w:val="en-GB"/>
        </w:rPr>
      </w:pPr>
    </w:p>
    <w:p w:rsidR="00051188" w:rsidRDefault="00051188" w:rsidP="009D78B4">
      <w:pPr>
        <w:widowControl w:val="0"/>
        <w:autoSpaceDE w:val="0"/>
        <w:autoSpaceDN w:val="0"/>
        <w:adjustRightInd w:val="0"/>
        <w:rPr>
          <w:sz w:val="24"/>
          <w:szCs w:val="24"/>
          <w:lang w:val="en-GB"/>
        </w:rPr>
      </w:pPr>
      <w:r>
        <w:rPr>
          <w:sz w:val="24"/>
          <w:szCs w:val="24"/>
          <w:lang w:val="en-GB"/>
        </w:rPr>
        <w:t>Intradetrusor injection of BOTOX</w:t>
      </w:r>
      <w:r>
        <w:rPr>
          <w:sz w:val="24"/>
          <w:szCs w:val="24"/>
          <w:vertAlign w:val="superscript"/>
          <w:lang w:val="en-GB"/>
        </w:rPr>
        <w:t>®</w:t>
      </w:r>
      <w:r>
        <w:rPr>
          <w:sz w:val="24"/>
          <w:szCs w:val="24"/>
          <w:lang w:val="en-GB"/>
        </w:rPr>
        <w:t xml:space="preserve"> is contraindicated in patients who have acute urinary tract infection, and in patients with acute urinary retention who are not routinely catheterising.   </w:t>
      </w:r>
    </w:p>
    <w:p w:rsidR="00051188" w:rsidRDefault="00051188" w:rsidP="009D78B4">
      <w:pPr>
        <w:widowControl w:val="0"/>
        <w:autoSpaceDE w:val="0"/>
        <w:autoSpaceDN w:val="0"/>
        <w:adjustRightInd w:val="0"/>
        <w:rPr>
          <w:sz w:val="24"/>
          <w:szCs w:val="24"/>
          <w:lang w:val="en-GB"/>
        </w:rPr>
      </w:pPr>
    </w:p>
    <w:p w:rsidR="00051188" w:rsidRDefault="00051188" w:rsidP="009D78B4">
      <w:pPr>
        <w:widowControl w:val="0"/>
        <w:autoSpaceDE w:val="0"/>
        <w:autoSpaceDN w:val="0"/>
        <w:adjustRightInd w:val="0"/>
        <w:rPr>
          <w:color w:val="3C3C3C"/>
          <w:sz w:val="25"/>
          <w:szCs w:val="25"/>
        </w:rPr>
      </w:pPr>
      <w:r>
        <w:rPr>
          <w:sz w:val="24"/>
          <w:szCs w:val="24"/>
          <w:lang w:val="en-GB"/>
        </w:rPr>
        <w:t>Due to the risk of urinary retention, intradetrusor injection of BOTOX</w:t>
      </w:r>
      <w:r>
        <w:rPr>
          <w:sz w:val="24"/>
          <w:szCs w:val="24"/>
          <w:vertAlign w:val="superscript"/>
          <w:lang w:val="en-GB"/>
        </w:rPr>
        <w:t>®</w:t>
      </w:r>
      <w:r>
        <w:rPr>
          <w:sz w:val="24"/>
          <w:szCs w:val="24"/>
          <w:lang w:val="en-GB"/>
        </w:rPr>
        <w:t xml:space="preserve"> is also contraindicated in patients who are not willing and/or able to initiate catheterisation post-treatment, if required (See </w:t>
      </w:r>
      <w:r>
        <w:rPr>
          <w:b/>
          <w:sz w:val="24"/>
          <w:szCs w:val="24"/>
          <w:lang w:val="en-GB"/>
        </w:rPr>
        <w:t>Clinical Trials</w:t>
      </w:r>
      <w:r>
        <w:rPr>
          <w:sz w:val="24"/>
          <w:szCs w:val="24"/>
          <w:lang w:val="en-GB"/>
        </w:rPr>
        <w:t xml:space="preserve">). </w:t>
      </w:r>
      <w:r>
        <w:rPr>
          <w:strike/>
          <w:color w:val="3C3C3C"/>
          <w:sz w:val="25"/>
          <w:szCs w:val="25"/>
        </w:rPr>
        <w:t xml:space="preserve"> </w:t>
      </w:r>
    </w:p>
    <w:p w:rsidR="00051188" w:rsidRDefault="00051188" w:rsidP="009D78B4">
      <w:pPr>
        <w:widowControl w:val="0"/>
        <w:autoSpaceDE w:val="0"/>
        <w:autoSpaceDN w:val="0"/>
        <w:adjustRightInd w:val="0"/>
        <w:rPr>
          <w:sz w:val="24"/>
          <w:szCs w:val="24"/>
          <w:lang w:val="en-GB"/>
        </w:rPr>
      </w:pPr>
    </w:p>
    <w:p w:rsidR="00051188" w:rsidRDefault="00051188" w:rsidP="009D78B4">
      <w:pPr>
        <w:widowControl w:val="0"/>
        <w:rPr>
          <w:b/>
          <w:sz w:val="24"/>
          <w:szCs w:val="24"/>
          <w:lang w:val="en-GB"/>
        </w:rPr>
      </w:pPr>
      <w:r>
        <w:rPr>
          <w:b/>
          <w:sz w:val="24"/>
          <w:szCs w:val="24"/>
          <w:lang w:val="en-GB"/>
        </w:rPr>
        <w:t>PRECAUTIONS</w:t>
      </w:r>
    </w:p>
    <w:p w:rsidR="00051188" w:rsidRDefault="00051188" w:rsidP="009D78B4">
      <w:pPr>
        <w:widowControl w:val="0"/>
        <w:tabs>
          <w:tab w:val="left" w:pos="-720"/>
        </w:tabs>
        <w:rPr>
          <w:b/>
          <w:sz w:val="24"/>
          <w:szCs w:val="24"/>
          <w:lang w:val="en-GB"/>
        </w:rPr>
      </w:pPr>
      <w:r>
        <w:rPr>
          <w:b/>
          <w:sz w:val="24"/>
          <w:szCs w:val="24"/>
          <w:lang w:val="en-GB"/>
        </w:rPr>
        <w:t>General</w:t>
      </w:r>
    </w:p>
    <w:p w:rsidR="00051188" w:rsidRDefault="00051188" w:rsidP="009D78B4">
      <w:pPr>
        <w:widowControl w:val="0"/>
        <w:tabs>
          <w:tab w:val="left" w:pos="-720"/>
        </w:tabs>
        <w:rPr>
          <w:b/>
          <w:sz w:val="24"/>
          <w:szCs w:val="24"/>
          <w:lang w:val="en-GB"/>
        </w:rPr>
      </w:pPr>
    </w:p>
    <w:p w:rsidR="00051188" w:rsidRDefault="00051188" w:rsidP="009D78B4">
      <w:pPr>
        <w:widowControl w:val="0"/>
        <w:tabs>
          <w:tab w:val="left" w:pos="-720"/>
        </w:tabs>
        <w:rPr>
          <w:b/>
          <w:i/>
          <w:sz w:val="24"/>
          <w:lang w:val="en-GB"/>
        </w:rPr>
      </w:pPr>
      <w:r>
        <w:rPr>
          <w:b/>
          <w:sz w:val="24"/>
          <w:szCs w:val="24"/>
          <w:lang w:val="en-GB"/>
        </w:rPr>
        <w:t>Lack of interchangeability between botulinum toxin products</w:t>
      </w:r>
    </w:p>
    <w:p w:rsidR="00051188" w:rsidRDefault="00051188" w:rsidP="009D78B4">
      <w:pPr>
        <w:widowControl w:val="0"/>
        <w:tabs>
          <w:tab w:val="left" w:pos="9918"/>
        </w:tabs>
        <w:ind w:right="-115"/>
        <w:rPr>
          <w:b/>
          <w:caps/>
          <w:color w:val="000000"/>
          <w:sz w:val="24"/>
        </w:rPr>
      </w:pPr>
      <w:r>
        <w:rPr>
          <w:b/>
          <w:sz w:val="24"/>
          <w:szCs w:val="24"/>
        </w:rPr>
        <w:t>DUE TO THE LACK OF AN INTERNATIONAL UNIT, BOTOX</w:t>
      </w:r>
      <w:r>
        <w:rPr>
          <w:b/>
          <w:sz w:val="24"/>
          <w:szCs w:val="24"/>
          <w:vertAlign w:val="superscript"/>
        </w:rPr>
        <w:sym w:font="Symbol" w:char="F0D2"/>
      </w:r>
      <w:r>
        <w:rPr>
          <w:b/>
          <w:sz w:val="24"/>
          <w:szCs w:val="24"/>
        </w:rPr>
        <w:t xml:space="preserve"> IS NOT THERAPEUTICALLY EQUIVALENT TO ANY OTHER BOTULINUM TOXIN TYPE A PREPARATIONS.  THE POTENCIES OF BOTOX</w:t>
      </w:r>
      <w:r>
        <w:rPr>
          <w:b/>
          <w:sz w:val="24"/>
          <w:szCs w:val="24"/>
          <w:vertAlign w:val="superscript"/>
        </w:rPr>
        <w:sym w:font="Symbol" w:char="F0D2"/>
      </w:r>
      <w:r>
        <w:rPr>
          <w:b/>
          <w:sz w:val="24"/>
          <w:szCs w:val="24"/>
        </w:rPr>
        <w:t xml:space="preserve"> AND OTHER BOTULINUM TOXIN TYPE A PREPARATIONS ARE BASED ON DIFFERENT ASSAY METHODS.  IN VIEW OF THIS LACK OF HARMONISATION OF UNIT SYSTEMS FOR BOTULINUM TOXIN TYPE A, EXTREME CAUTION IS REQUIRED IF IT SHOULD PROVE NECESSARY TO SUBSTITUTE THE BOTULINUM TYPE A TOXIN OF ONE PHARMACEUTICAL COMPANY BY ANOTHER.  </w:t>
      </w:r>
      <w:r>
        <w:rPr>
          <w:b/>
          <w:caps/>
          <w:color w:val="000000"/>
          <w:sz w:val="24"/>
          <w:szCs w:val="24"/>
        </w:rPr>
        <w:t>The effect of administering different botulinum neurotoxin serotypes at the same time or within several months of each other is unknown.  Excessive neuromuscular weakness may be exacerbated by administration of another botulinum toxin prior to the resolution of the effects of a previously administered botulinum toxin.</w:t>
      </w:r>
    </w:p>
    <w:p w:rsidR="00051188" w:rsidRDefault="00051188" w:rsidP="009D78B4">
      <w:pPr>
        <w:widowControl w:val="0"/>
        <w:tabs>
          <w:tab w:val="left" w:pos="-720"/>
        </w:tabs>
        <w:rPr>
          <w:sz w:val="24"/>
          <w:szCs w:val="24"/>
          <w:lang w:val="en-GB"/>
        </w:rPr>
      </w:pPr>
    </w:p>
    <w:p w:rsidR="00051188" w:rsidRDefault="00051188" w:rsidP="009D78B4">
      <w:pPr>
        <w:widowControl w:val="0"/>
        <w:rPr>
          <w:b/>
          <w:sz w:val="24"/>
          <w:lang w:val="en-GB" w:eastAsia="en-US"/>
        </w:rPr>
      </w:pPr>
      <w:r>
        <w:rPr>
          <w:b/>
          <w:sz w:val="24"/>
          <w:lang w:val="en-GB" w:eastAsia="en-US"/>
        </w:rPr>
        <w:t>Spread of toxin effect</w:t>
      </w:r>
    </w:p>
    <w:p w:rsidR="00051188" w:rsidRDefault="00051188" w:rsidP="009D78B4">
      <w:pPr>
        <w:widowControl w:val="0"/>
        <w:rPr>
          <w:color w:val="000080"/>
          <w:sz w:val="24"/>
          <w:lang w:eastAsia="en-US"/>
        </w:rPr>
      </w:pPr>
      <w:r>
        <w:rPr>
          <w:sz w:val="24"/>
          <w:lang w:val="en-GB" w:eastAsia="en-US"/>
        </w:rPr>
        <w:lastRenderedPageBreak/>
        <w:t xml:space="preserve">Postmarketing safety data from </w:t>
      </w:r>
      <w:r>
        <w:rPr>
          <w:caps/>
          <w:sz w:val="24"/>
          <w:lang w:eastAsia="en-US"/>
        </w:rPr>
        <w:t>Botox</w:t>
      </w:r>
      <w:r>
        <w:rPr>
          <w:caps/>
          <w:sz w:val="24"/>
          <w:vertAlign w:val="superscript"/>
          <w:lang w:eastAsia="en-US"/>
        </w:rPr>
        <w:t>®</w:t>
      </w:r>
      <w:r>
        <w:rPr>
          <w:sz w:val="24"/>
          <w:vertAlign w:val="superscript"/>
          <w:lang w:eastAsia="en-US"/>
        </w:rPr>
        <w:t xml:space="preserve"> </w:t>
      </w:r>
      <w:r>
        <w:rPr>
          <w:sz w:val="24"/>
          <w:lang w:eastAsia="en-US"/>
        </w:rPr>
        <w:t>and other approved botulinum toxins suggest that botulinum toxin effects may, in some cases, be observed beyond the site of local injection.  The symptoms are consistent with the mechanism of action of botulinum toxin, have been reported hours to weeks after injection, and may include muscular weakness, ptosis, diplopia, blurred vision, facial weakness, swallowing and speech disorders, constipation, aspiration pneumonia, difficulty breathing and respiratory depression. The risk of symptoms is probably greatest in children treated for spasticity, but these symptoms can also occur in patients who have underlying conditions and co-morbidities that would predispose them to these symptoms including adults treated for spasticity and other conditions, and are treated with high doses.  Swallowing and breathing difficulties can be life threatening and there have been reports of death, although an exact relationship to BOTOX</w:t>
      </w:r>
      <w:r>
        <w:rPr>
          <w:caps/>
          <w:sz w:val="24"/>
          <w:vertAlign w:val="superscript"/>
          <w:lang w:eastAsia="en-US"/>
        </w:rPr>
        <w:t xml:space="preserve">® </w:t>
      </w:r>
      <w:r>
        <w:rPr>
          <w:sz w:val="24"/>
          <w:lang w:eastAsia="en-US"/>
        </w:rPr>
        <w:t>has not been established.  Advise patients or caregivers to seek immediate medical attention if any of these symptoms occur.</w:t>
      </w:r>
    </w:p>
    <w:p w:rsidR="00051188" w:rsidRDefault="00051188" w:rsidP="009D78B4">
      <w:pPr>
        <w:widowControl w:val="0"/>
        <w:tabs>
          <w:tab w:val="left" w:pos="-720"/>
        </w:tabs>
        <w:rPr>
          <w:sz w:val="24"/>
          <w:szCs w:val="24"/>
          <w:lang w:val="en-GB"/>
        </w:rPr>
      </w:pPr>
      <w:r>
        <w:rPr>
          <w:szCs w:val="24"/>
          <w:lang w:val="en-GB"/>
        </w:rPr>
        <w:t xml:space="preserve">  </w:t>
      </w:r>
    </w:p>
    <w:p w:rsidR="00051188" w:rsidRDefault="00051188" w:rsidP="009D78B4">
      <w:pPr>
        <w:widowControl w:val="0"/>
        <w:tabs>
          <w:tab w:val="left" w:pos="-720"/>
        </w:tabs>
        <w:rPr>
          <w:b/>
          <w:sz w:val="24"/>
          <w:szCs w:val="24"/>
        </w:rPr>
      </w:pPr>
      <w:r>
        <w:rPr>
          <w:b/>
          <w:sz w:val="24"/>
          <w:szCs w:val="24"/>
        </w:rPr>
        <w:t>Pre-existing neuromuscular disorders</w:t>
      </w:r>
    </w:p>
    <w:p w:rsidR="00051188" w:rsidRDefault="00051188" w:rsidP="009D78B4">
      <w:pPr>
        <w:widowControl w:val="0"/>
        <w:tabs>
          <w:tab w:val="left" w:pos="-720"/>
        </w:tabs>
        <w:rPr>
          <w:sz w:val="24"/>
          <w:szCs w:val="24"/>
        </w:rPr>
      </w:pPr>
      <w:r>
        <w:rPr>
          <w:sz w:val="24"/>
          <w:szCs w:val="24"/>
        </w:rPr>
        <w:t>Individuals with peripheral motor neuropathic diseases (e.g., amyotrophic lateral sclerosis, or motor neuropathy) should only receive BOTOX</w:t>
      </w:r>
      <w:r>
        <w:rPr>
          <w:caps/>
          <w:sz w:val="24"/>
          <w:szCs w:val="24"/>
          <w:vertAlign w:val="superscript"/>
        </w:rPr>
        <w:sym w:font="Symbol" w:char="F0D2"/>
      </w:r>
      <w:r>
        <w:rPr>
          <w:sz w:val="24"/>
          <w:szCs w:val="24"/>
        </w:rPr>
        <w:t xml:space="preserve"> with extreme caution. Patients with neuromuscular junction disorders may be at increased risk of clinically significant systemic effects including severe dysphagia and respiratory compromise from typical doses of BOTOX</w:t>
      </w:r>
      <w:r>
        <w:rPr>
          <w:caps/>
          <w:sz w:val="24"/>
          <w:szCs w:val="24"/>
          <w:vertAlign w:val="superscript"/>
        </w:rPr>
        <w:sym w:font="Symbol" w:char="F0D2"/>
      </w:r>
      <w:r>
        <w:rPr>
          <w:sz w:val="24"/>
          <w:szCs w:val="24"/>
        </w:rPr>
        <w:t>.  Published medical literature has reported rare cases of administration of botulinum toxin to patients with known or unrecognised neuromuscular junction disorders where the patients have shown extreme sensitivity to the systemic effects of typical clinical doses.  In some of these cases, dysphagia has lasted several months and required placement of a gastric feeding tube. When exposed to very high doses, patients with neurologic disorders, e.g. paediatric cerebral palsy or adult spasticity may also be at increased risk of clinically significant systemic effects.</w:t>
      </w:r>
    </w:p>
    <w:p w:rsidR="00051188" w:rsidRDefault="00051188" w:rsidP="009D78B4">
      <w:pPr>
        <w:widowControl w:val="0"/>
        <w:tabs>
          <w:tab w:val="left" w:pos="-720"/>
        </w:tabs>
        <w:rPr>
          <w:sz w:val="24"/>
          <w:szCs w:val="24"/>
        </w:rPr>
      </w:pPr>
    </w:p>
    <w:p w:rsidR="00051188" w:rsidRDefault="00051188" w:rsidP="009D78B4">
      <w:pPr>
        <w:pStyle w:val="BodyText"/>
        <w:widowControl w:val="0"/>
        <w:rPr>
          <w:szCs w:val="24"/>
        </w:rPr>
      </w:pPr>
      <w:r>
        <w:rPr>
          <w:b/>
          <w:szCs w:val="24"/>
        </w:rPr>
        <w:t>Hypersensitivity reactions</w:t>
      </w:r>
      <w:r>
        <w:rPr>
          <w:b/>
          <w:szCs w:val="24"/>
        </w:rPr>
        <w:br/>
      </w:r>
      <w:r>
        <w:rPr>
          <w:iCs/>
          <w:color w:val="000000"/>
        </w:rPr>
        <w:t>Serious and/or immediate hypersensitivity reactions</w:t>
      </w:r>
      <w:r>
        <w:rPr>
          <w:sz w:val="23"/>
          <w:szCs w:val="23"/>
        </w:rPr>
        <w:t xml:space="preserve"> </w:t>
      </w:r>
      <w:r>
        <w:rPr>
          <w:szCs w:val="24"/>
        </w:rPr>
        <w:t>such as anaphylaxis and serum sickness</w:t>
      </w:r>
      <w:r>
        <w:rPr>
          <w:iCs/>
          <w:color w:val="000000"/>
          <w:szCs w:val="24"/>
        </w:rPr>
        <w:t xml:space="preserve"> have been rarely reported, </w:t>
      </w:r>
      <w:r>
        <w:rPr>
          <w:szCs w:val="24"/>
        </w:rPr>
        <w:t>as well as other manifestations of hypersensitivity including urticaria, soft tissue oedema, and dyspnoea</w:t>
      </w:r>
      <w:r>
        <w:rPr>
          <w:iCs/>
          <w:color w:val="000000"/>
          <w:szCs w:val="24"/>
        </w:rPr>
        <w:t>.</w:t>
      </w:r>
      <w:r>
        <w:rPr>
          <w:iCs/>
          <w:szCs w:val="24"/>
        </w:rPr>
        <w:t xml:space="preserve">  </w:t>
      </w:r>
      <w:r>
        <w:rPr>
          <w:szCs w:val="24"/>
        </w:rPr>
        <w:t>Some of these reactions have been reported following the use of BOTOX</w:t>
      </w:r>
      <w:r>
        <w:rPr>
          <w:szCs w:val="24"/>
          <w:vertAlign w:val="superscript"/>
        </w:rPr>
        <w:t>®</w:t>
      </w:r>
      <w:r>
        <w:rPr>
          <w:szCs w:val="24"/>
        </w:rPr>
        <w:t xml:space="preserve"> either alone or in conjunction with other products associated with similar reactions.  If such a reaction occurs, further injection should be discontinued and appropriate medical therapy immediately instituted.  One fatal case of anaphylaxis has been reported in which the patient died after being injected with BOTOX</w:t>
      </w:r>
      <w:r>
        <w:rPr>
          <w:szCs w:val="24"/>
          <w:vertAlign w:val="superscript"/>
        </w:rPr>
        <w:t>®</w:t>
      </w:r>
      <w:r>
        <w:rPr>
          <w:szCs w:val="24"/>
        </w:rPr>
        <w:t xml:space="preserve"> inappropriately diluted with 5 mL of 1% lidocaine.  The causal role of BOTOX</w:t>
      </w:r>
      <w:r>
        <w:rPr>
          <w:szCs w:val="24"/>
          <w:vertAlign w:val="superscript"/>
        </w:rPr>
        <w:t>®</w:t>
      </w:r>
      <w:r>
        <w:rPr>
          <w:szCs w:val="24"/>
        </w:rPr>
        <w:t>, lidocaine, or both cannot be reliably determined.</w:t>
      </w:r>
    </w:p>
    <w:p w:rsidR="00051188" w:rsidRDefault="00051188" w:rsidP="009D78B4">
      <w:pPr>
        <w:widowControl w:val="0"/>
        <w:tabs>
          <w:tab w:val="left" w:pos="-720"/>
        </w:tabs>
        <w:rPr>
          <w:b/>
          <w:sz w:val="24"/>
          <w:szCs w:val="24"/>
          <w:lang w:val="en-GB"/>
        </w:rPr>
      </w:pPr>
    </w:p>
    <w:p w:rsidR="00051188" w:rsidRDefault="00051188" w:rsidP="009D78B4">
      <w:pPr>
        <w:widowControl w:val="0"/>
        <w:tabs>
          <w:tab w:val="left" w:pos="-720"/>
        </w:tabs>
        <w:rPr>
          <w:sz w:val="24"/>
          <w:szCs w:val="24"/>
          <w:lang w:val="en-GB"/>
        </w:rPr>
      </w:pPr>
      <w:r>
        <w:rPr>
          <w:sz w:val="24"/>
          <w:szCs w:val="24"/>
          <w:lang w:val="en-GB"/>
        </w:rPr>
        <w:t xml:space="preserve">The recommended dosages and frequencies of administration for </w:t>
      </w:r>
      <w:r>
        <w:rPr>
          <w:caps/>
          <w:sz w:val="24"/>
          <w:szCs w:val="24"/>
        </w:rPr>
        <w:t>Botox</w:t>
      </w:r>
      <w:r>
        <w:rPr>
          <w:caps/>
          <w:sz w:val="24"/>
          <w:szCs w:val="24"/>
          <w:vertAlign w:val="superscript"/>
        </w:rPr>
        <w:sym w:font="Symbol" w:char="F0D2"/>
      </w:r>
      <w:r>
        <w:rPr>
          <w:sz w:val="24"/>
          <w:szCs w:val="24"/>
          <w:lang w:val="en-GB"/>
        </w:rPr>
        <w:t xml:space="preserve"> should not be exceeded (see </w:t>
      </w:r>
      <w:r>
        <w:rPr>
          <w:b/>
          <w:sz w:val="24"/>
          <w:szCs w:val="24"/>
          <w:lang w:val="en-GB"/>
        </w:rPr>
        <w:t>Dosage and Administration</w:t>
      </w:r>
      <w:r>
        <w:rPr>
          <w:sz w:val="24"/>
          <w:szCs w:val="24"/>
          <w:lang w:val="en-GB"/>
        </w:rPr>
        <w:t>).</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AU"/>
        </w:rPr>
      </w:pPr>
      <w:r>
        <w:rPr>
          <w:sz w:val="24"/>
          <w:szCs w:val="24"/>
          <w:lang w:val="en-GB"/>
        </w:rPr>
        <w:t>Formation of neutralising antibodies to botulinum toxin type A may reduce the effectiveness of BOTOX</w:t>
      </w:r>
      <w:r>
        <w:rPr>
          <w:sz w:val="24"/>
          <w:szCs w:val="24"/>
          <w:vertAlign w:val="superscript"/>
          <w:lang w:val="en-GB"/>
        </w:rPr>
        <w:t>®</w:t>
      </w:r>
      <w:r>
        <w:rPr>
          <w:sz w:val="24"/>
          <w:szCs w:val="24"/>
          <w:lang w:val="en-GB"/>
        </w:rPr>
        <w:t xml:space="preserve"> treatment by inactivating the biological activity of the toxin.  The critical factors for neutralising antibody formation have not been well characterised. The potential for antibody formation may be minimised by injecting with the lowest effective dose given at the longest feasible intervals between injections.     </w:t>
      </w:r>
    </w:p>
    <w:p w:rsidR="00051188" w:rsidRDefault="00051188" w:rsidP="009D78B4">
      <w:pPr>
        <w:widowControl w:val="0"/>
        <w:tabs>
          <w:tab w:val="left" w:pos="-720"/>
        </w:tabs>
        <w:rPr>
          <w:sz w:val="24"/>
          <w:lang w:val="en-AU"/>
        </w:rPr>
      </w:pPr>
    </w:p>
    <w:p w:rsidR="00051188" w:rsidRDefault="00051188" w:rsidP="009D78B4">
      <w:pPr>
        <w:pStyle w:val="BodyText3"/>
        <w:keepLines w:val="0"/>
        <w:widowControl w:val="0"/>
        <w:ind w:right="-14"/>
        <w:rPr>
          <w:i w:val="0"/>
          <w:color w:val="auto"/>
          <w:sz w:val="24"/>
          <w:lang w:val="en-GB"/>
        </w:rPr>
      </w:pPr>
      <w:r>
        <w:rPr>
          <w:i w:val="0"/>
          <w:color w:val="auto"/>
          <w:sz w:val="24"/>
          <w:lang w:val="en-GB"/>
        </w:rPr>
        <w:t>There have been rare reports of adverse events following administration of BOTOX</w:t>
      </w:r>
      <w:r>
        <w:rPr>
          <w:i w:val="0"/>
          <w:color w:val="auto"/>
          <w:sz w:val="24"/>
          <w:vertAlign w:val="superscript"/>
          <w:lang w:val="en-GB"/>
        </w:rPr>
        <w:t>®</w:t>
      </w:r>
      <w:r>
        <w:rPr>
          <w:i w:val="0"/>
          <w:color w:val="auto"/>
          <w:sz w:val="24"/>
          <w:lang w:val="en-GB"/>
        </w:rPr>
        <w:t xml:space="preserve"> </w:t>
      </w:r>
      <w:r>
        <w:rPr>
          <w:i w:val="0"/>
          <w:color w:val="auto"/>
          <w:sz w:val="24"/>
          <w:lang w:val="en-GB"/>
        </w:rPr>
        <w:lastRenderedPageBreak/>
        <w:t>involving the cardiovascular system, including arrhythmia and myocardial infarction, some with fatal outcomes.  Some of these patients had risk factors including pre-existing cardiovascular disease.  The exact relationship of these events to BOTOX</w:t>
      </w:r>
      <w:r>
        <w:rPr>
          <w:i w:val="0"/>
          <w:color w:val="auto"/>
          <w:sz w:val="24"/>
          <w:vertAlign w:val="superscript"/>
          <w:lang w:val="en-GB"/>
        </w:rPr>
        <w:t>®</w:t>
      </w:r>
      <w:r>
        <w:rPr>
          <w:i w:val="0"/>
          <w:color w:val="auto"/>
          <w:sz w:val="24"/>
          <w:lang w:val="en-GB"/>
        </w:rPr>
        <w:t xml:space="preserve"> has not been definitely established and will continue to be monitored by Allergan Australia Pty Ltd.</w:t>
      </w:r>
    </w:p>
    <w:p w:rsidR="00051188" w:rsidRDefault="00051188" w:rsidP="009D78B4">
      <w:pPr>
        <w:pStyle w:val="Footer"/>
        <w:widowControl w:val="0"/>
        <w:tabs>
          <w:tab w:val="clear" w:pos="4819"/>
          <w:tab w:val="clear" w:pos="9071"/>
          <w:tab w:val="left" w:pos="-720"/>
        </w:tabs>
        <w:rPr>
          <w:rFonts w:ascii="Times New Roman" w:hAnsi="Times New Roman"/>
          <w:szCs w:val="24"/>
          <w:lang w:val="en-GB"/>
        </w:rPr>
      </w:pPr>
    </w:p>
    <w:p w:rsidR="00051188" w:rsidRDefault="00051188" w:rsidP="009D78B4">
      <w:pPr>
        <w:widowControl w:val="0"/>
        <w:tabs>
          <w:tab w:val="left" w:pos="3240"/>
          <w:tab w:val="left" w:pos="9918"/>
        </w:tabs>
        <w:ind w:right="-115"/>
        <w:rPr>
          <w:snapToGrid w:val="0"/>
          <w:color w:val="000000"/>
          <w:sz w:val="24"/>
          <w:szCs w:val="24"/>
        </w:rPr>
      </w:pPr>
      <w:r>
        <w:rPr>
          <w:sz w:val="24"/>
          <w:szCs w:val="24"/>
          <w:lang w:val="en-GB"/>
        </w:rPr>
        <w:t xml:space="preserve">The safe and effective use of </w:t>
      </w:r>
      <w:r>
        <w:rPr>
          <w:caps/>
          <w:sz w:val="24"/>
          <w:szCs w:val="24"/>
        </w:rPr>
        <w:t>Botox</w:t>
      </w:r>
      <w:r>
        <w:rPr>
          <w:caps/>
          <w:sz w:val="24"/>
          <w:szCs w:val="24"/>
          <w:vertAlign w:val="superscript"/>
        </w:rPr>
        <w:sym w:font="Symbol" w:char="F0D2"/>
      </w:r>
      <w:r>
        <w:rPr>
          <w:sz w:val="24"/>
          <w:szCs w:val="24"/>
          <w:lang w:val="en-GB"/>
        </w:rPr>
        <w:t xml:space="preserve"> (botulinum toxin, type A) purified neurotoxin complex depends upon proper storage of the product, selection of the correct dose and proper reconstitution and administration techniques.  Physicians administering </w:t>
      </w:r>
      <w:r>
        <w:rPr>
          <w:caps/>
          <w:sz w:val="24"/>
          <w:szCs w:val="24"/>
        </w:rPr>
        <w:t>Botox</w:t>
      </w:r>
      <w:r>
        <w:rPr>
          <w:caps/>
          <w:sz w:val="24"/>
          <w:szCs w:val="24"/>
          <w:vertAlign w:val="superscript"/>
        </w:rPr>
        <w:sym w:font="Symbol" w:char="F0D2"/>
      </w:r>
      <w:r>
        <w:rPr>
          <w:sz w:val="24"/>
          <w:szCs w:val="24"/>
          <w:lang w:val="en-GB"/>
        </w:rPr>
        <w:t xml:space="preserve"> should be familiar with the relevant anatomy of the area involved and any alterations to the anatomy due to prior surgical procedures.</w:t>
      </w:r>
      <w:r>
        <w:rPr>
          <w:snapToGrid w:val="0"/>
          <w:color w:val="000000"/>
          <w:sz w:val="24"/>
        </w:rPr>
        <w:t xml:space="preserve"> Care should be taken when injecting near vulnerable anatomic structures and direct injection into these structures must be avoided.</w:t>
      </w:r>
    </w:p>
    <w:p w:rsidR="00051188" w:rsidRDefault="00051188" w:rsidP="009D78B4">
      <w:pPr>
        <w:widowControl w:val="0"/>
        <w:tabs>
          <w:tab w:val="left" w:pos="-720"/>
        </w:tabs>
        <w:rPr>
          <w:sz w:val="24"/>
          <w:szCs w:val="24"/>
          <w:lang w:val="en-GB"/>
        </w:rPr>
      </w:pPr>
      <w:r>
        <w:rPr>
          <w:sz w:val="24"/>
          <w:szCs w:val="24"/>
          <w:lang w:val="en-GB"/>
        </w:rPr>
        <w:t>Serious adverse events including fatal outcomes have been reported in patients who had received BOTOX</w:t>
      </w:r>
      <w:r>
        <w:rPr>
          <w:sz w:val="24"/>
          <w:szCs w:val="24"/>
          <w:vertAlign w:val="superscript"/>
          <w:lang w:val="en-GB"/>
        </w:rPr>
        <w:t>®</w:t>
      </w:r>
      <w:r>
        <w:rPr>
          <w:sz w:val="24"/>
          <w:szCs w:val="24"/>
          <w:lang w:val="en-GB"/>
        </w:rPr>
        <w:t xml:space="preserve"> injected directly into salivary glands, the oro-lingual-pharyngeal region, esophagus and stomach. Some patients had pre-existing dysphagia or significant debility. Pneumothorax associated with injection procedure has been reported following the administration of BOTOX</w:t>
      </w:r>
      <w:r>
        <w:rPr>
          <w:sz w:val="24"/>
          <w:szCs w:val="24"/>
          <w:vertAlign w:val="superscript"/>
          <w:lang w:val="en-GB"/>
        </w:rPr>
        <w:t>®</w:t>
      </w:r>
      <w:r>
        <w:rPr>
          <w:sz w:val="24"/>
          <w:szCs w:val="24"/>
          <w:lang w:val="en-GB"/>
        </w:rPr>
        <w:t xml:space="preserve"> near the thorax</w:t>
      </w:r>
      <w:r>
        <w:rPr>
          <w:b/>
          <w:bCs/>
          <w:i/>
          <w:iCs/>
          <w:color w:val="0000FF"/>
          <w:lang w:val="en-GB"/>
        </w:rPr>
        <w:t xml:space="preserve"> </w:t>
      </w:r>
      <w:r>
        <w:rPr>
          <w:b/>
          <w:bCs/>
          <w:iCs/>
          <w:sz w:val="24"/>
          <w:szCs w:val="24"/>
          <w:lang w:val="en-GB"/>
        </w:rPr>
        <w:t>,</w:t>
      </w:r>
      <w:r>
        <w:rPr>
          <w:iCs/>
          <w:sz w:val="24"/>
          <w:szCs w:val="24"/>
          <w:lang w:val="en-GB"/>
        </w:rPr>
        <w:t xml:space="preserve"> and therefore extreme caution is required when injecting in this area. </w:t>
      </w:r>
      <w:r>
        <w:rPr>
          <w:sz w:val="24"/>
          <w:szCs w:val="24"/>
          <w:lang w:val="en-GB"/>
        </w:rPr>
        <w:t>Caution is warranted when injecting in proximity to the lung, particularly the apices. An understanding of standard electromyographical techniques may be useful for the treatment of hemifacial spasm, cervical dystonia (spasmodic torticollis) and for the treatment of dynamic equinus foot deformity due to spasticity in juvenile cerebral palsy patients.</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lang w:val="en-GB"/>
        </w:rPr>
      </w:pPr>
      <w:r>
        <w:rPr>
          <w:sz w:val="24"/>
          <w:szCs w:val="24"/>
          <w:lang w:val="en-GB"/>
        </w:rPr>
        <w:t xml:space="preserve">Caution should be exercised when </w:t>
      </w:r>
      <w:r>
        <w:rPr>
          <w:caps/>
          <w:sz w:val="24"/>
          <w:szCs w:val="24"/>
        </w:rPr>
        <w:t>Botox</w:t>
      </w:r>
      <w:r>
        <w:rPr>
          <w:caps/>
          <w:sz w:val="24"/>
          <w:szCs w:val="24"/>
          <w:vertAlign w:val="superscript"/>
        </w:rPr>
        <w:sym w:font="Symbol" w:char="F0D2"/>
      </w:r>
      <w:r>
        <w:rPr>
          <w:sz w:val="24"/>
          <w:szCs w:val="24"/>
          <w:lang w:val="en-GB"/>
        </w:rPr>
        <w:t xml:space="preserve"> is used in the presence of</w:t>
      </w:r>
      <w:r>
        <w:rPr>
          <w:sz w:val="24"/>
          <w:lang w:val="en-GB"/>
        </w:rPr>
        <w:t xml:space="preserve"> inflammation at the proposed injection site(s) or when excessive weakness or atrophy is present in the target muscles.</w:t>
      </w:r>
    </w:p>
    <w:p w:rsidR="00051188" w:rsidRDefault="00051188" w:rsidP="009D78B4">
      <w:pPr>
        <w:widowControl w:val="0"/>
        <w:tabs>
          <w:tab w:val="left" w:pos="-720"/>
        </w:tabs>
        <w:rPr>
          <w:sz w:val="24"/>
          <w:lang w:val="en-GB"/>
        </w:rPr>
      </w:pPr>
    </w:p>
    <w:p w:rsidR="00051188" w:rsidRDefault="00051188" w:rsidP="009D78B4">
      <w:pPr>
        <w:widowControl w:val="0"/>
        <w:tabs>
          <w:tab w:val="left" w:pos="3240"/>
          <w:tab w:val="left" w:pos="9918"/>
        </w:tabs>
        <w:ind w:right="-115"/>
        <w:rPr>
          <w:snapToGrid w:val="0"/>
          <w:color w:val="000000"/>
          <w:sz w:val="24"/>
          <w:szCs w:val="24"/>
        </w:rPr>
      </w:pPr>
      <w:r>
        <w:rPr>
          <w:snapToGrid w:val="0"/>
          <w:color w:val="000000"/>
          <w:sz w:val="24"/>
        </w:rPr>
        <w:t xml:space="preserve">As with any injection, procedure-related injury could occur.  An injection could result in localised infection and pain, inflammation, paresthesia, hypoaesthesia, tenderness, swelling/oedema, erythema, and/or bleeding/bruising.  Needle-related pain and/or anxiety have resulted in vasovagal responses, including transient symptomatic hypotension and syncope.  </w:t>
      </w:r>
    </w:p>
    <w:p w:rsidR="00051188" w:rsidRDefault="00051188" w:rsidP="009D78B4">
      <w:pPr>
        <w:pStyle w:val="BodyText3"/>
        <w:keepLines w:val="0"/>
        <w:widowControl w:val="0"/>
        <w:ind w:right="-14"/>
        <w:rPr>
          <w:i w:val="0"/>
          <w:color w:val="auto"/>
          <w:sz w:val="24"/>
          <w:lang w:val="en-GB"/>
        </w:rPr>
      </w:pPr>
    </w:p>
    <w:p w:rsidR="00051188" w:rsidRDefault="00051188" w:rsidP="009D78B4">
      <w:pPr>
        <w:pStyle w:val="BodyText3"/>
        <w:keepLines w:val="0"/>
        <w:widowControl w:val="0"/>
        <w:ind w:right="-14"/>
        <w:rPr>
          <w:i w:val="0"/>
          <w:color w:val="auto"/>
          <w:sz w:val="24"/>
          <w:lang w:val="en-GB"/>
        </w:rPr>
      </w:pPr>
      <w:r>
        <w:rPr>
          <w:i w:val="0"/>
          <w:color w:val="auto"/>
          <w:sz w:val="24"/>
          <w:lang w:val="en-GB"/>
        </w:rPr>
        <w:t>New onset or recurrent seizures have been reported, typically in patients who are predisposed to experiencing these events.  The exact relationship of these events to the BOTOX</w:t>
      </w:r>
      <w:r>
        <w:rPr>
          <w:i w:val="0"/>
          <w:color w:val="auto"/>
          <w:sz w:val="24"/>
          <w:vertAlign w:val="superscript"/>
          <w:lang w:val="en-GB"/>
        </w:rPr>
        <w:t>®</w:t>
      </w:r>
      <w:r>
        <w:rPr>
          <w:i w:val="0"/>
          <w:color w:val="auto"/>
          <w:sz w:val="24"/>
          <w:lang w:val="en-GB"/>
        </w:rPr>
        <w:t xml:space="preserve"> injection has not been established.  The reports in children were predominantly from cerebral palsy patients treated for spasticity.</w:t>
      </w:r>
    </w:p>
    <w:p w:rsidR="00051188" w:rsidRDefault="00051188" w:rsidP="009D78B4">
      <w:pPr>
        <w:pStyle w:val="BodyText3"/>
        <w:keepLines w:val="0"/>
        <w:widowControl w:val="0"/>
        <w:ind w:right="-14"/>
        <w:rPr>
          <w:i w:val="0"/>
          <w:color w:val="auto"/>
          <w:sz w:val="24"/>
          <w:lang w:val="en-GB"/>
        </w:rPr>
      </w:pPr>
    </w:p>
    <w:p w:rsidR="00051188" w:rsidRDefault="00051188" w:rsidP="009D78B4">
      <w:pPr>
        <w:pStyle w:val="BodyText3"/>
        <w:keepLines w:val="0"/>
        <w:widowControl w:val="0"/>
        <w:ind w:right="-14"/>
        <w:rPr>
          <w:i w:val="0"/>
          <w:color w:val="auto"/>
          <w:sz w:val="24"/>
          <w:lang w:val="en-GB"/>
        </w:rPr>
      </w:pPr>
      <w:r>
        <w:rPr>
          <w:i w:val="0"/>
          <w:color w:val="auto"/>
          <w:sz w:val="24"/>
          <w:lang w:val="en-GB"/>
        </w:rPr>
        <w:t>This product contains human serum albumin, a derivative of human blood.  Based on effective donor screening and product manufacturing processes, it carries an extremely remote risk for transmission of viral diseases.  A theoretical risk for transmission of Creutzfeldt-Jakob disease (CJD) also is considered extremely remote.  No cases of transmission of viral diseases or CJD have ever been identified for albumin.</w:t>
      </w:r>
    </w:p>
    <w:p w:rsidR="00051188" w:rsidRDefault="00051188" w:rsidP="009D78B4">
      <w:pPr>
        <w:pStyle w:val="BodyText3"/>
        <w:keepLines w:val="0"/>
        <w:widowControl w:val="0"/>
        <w:ind w:right="-14"/>
        <w:rPr>
          <w:b/>
          <w:i w:val="0"/>
          <w:color w:val="auto"/>
          <w:sz w:val="24"/>
          <w:lang w:val="en-GB"/>
        </w:rPr>
      </w:pPr>
    </w:p>
    <w:p w:rsidR="00051188" w:rsidRDefault="00051188" w:rsidP="009D78B4">
      <w:pPr>
        <w:widowControl w:val="0"/>
        <w:autoSpaceDE w:val="0"/>
        <w:autoSpaceDN w:val="0"/>
        <w:adjustRightInd w:val="0"/>
        <w:rPr>
          <w:b/>
          <w:color w:val="252525"/>
          <w:sz w:val="24"/>
          <w:szCs w:val="24"/>
        </w:rPr>
      </w:pPr>
      <w:r>
        <w:rPr>
          <w:b/>
          <w:color w:val="252525"/>
          <w:sz w:val="24"/>
          <w:szCs w:val="24"/>
        </w:rPr>
        <w:t>Bladder Dysfunction</w:t>
      </w:r>
    </w:p>
    <w:p w:rsidR="00051188" w:rsidRDefault="00051188" w:rsidP="009D78B4">
      <w:pPr>
        <w:pStyle w:val="BodyText3"/>
        <w:keepLines w:val="0"/>
        <w:widowControl w:val="0"/>
        <w:ind w:right="-14"/>
        <w:rPr>
          <w:b/>
          <w:i w:val="0"/>
          <w:color w:val="auto"/>
          <w:sz w:val="24"/>
          <w:szCs w:val="24"/>
          <w:u w:val="single"/>
          <w:lang w:val="en-GB"/>
        </w:rPr>
      </w:pPr>
    </w:p>
    <w:p w:rsidR="00051188" w:rsidRDefault="00051188" w:rsidP="009D78B4">
      <w:pPr>
        <w:pStyle w:val="BodyText3"/>
        <w:keepLines w:val="0"/>
        <w:widowControl w:val="0"/>
        <w:ind w:right="-14"/>
        <w:rPr>
          <w:i w:val="0"/>
          <w:color w:val="auto"/>
          <w:sz w:val="24"/>
          <w:lang w:val="en-GB"/>
        </w:rPr>
      </w:pPr>
      <w:r>
        <w:rPr>
          <w:i w:val="0"/>
          <w:color w:val="auto"/>
          <w:sz w:val="24"/>
          <w:lang w:val="en-GB"/>
        </w:rPr>
        <w:t xml:space="preserve">The intradetrusor administration of </w:t>
      </w:r>
      <w:r>
        <w:rPr>
          <w:bCs/>
          <w:i w:val="0"/>
          <w:iCs/>
          <w:color w:val="auto"/>
          <w:sz w:val="24"/>
          <w:szCs w:val="24"/>
        </w:rPr>
        <w:t>BOTOX</w:t>
      </w:r>
      <w:r>
        <w:rPr>
          <w:i w:val="0"/>
          <w:color w:val="auto"/>
          <w:sz w:val="24"/>
          <w:szCs w:val="24"/>
          <w:vertAlign w:val="superscript"/>
        </w:rPr>
        <w:t>®</w:t>
      </w:r>
      <w:r>
        <w:rPr>
          <w:i w:val="0"/>
          <w:color w:val="auto"/>
          <w:sz w:val="24"/>
          <w:szCs w:val="24"/>
        </w:rPr>
        <w:t xml:space="preserve"> is only to be conducted by a urologist/urogynaecologist who has been trained in this highly specialised technique or by a urologist/urogynaecologist under the direct supervision of a urologist/urogynaecologist who has been so trained.</w:t>
      </w:r>
    </w:p>
    <w:p w:rsidR="00051188" w:rsidRDefault="00051188" w:rsidP="009D78B4">
      <w:pPr>
        <w:pStyle w:val="BodyText3"/>
        <w:keepLines w:val="0"/>
        <w:widowControl w:val="0"/>
        <w:ind w:right="-14"/>
        <w:rPr>
          <w:i w:val="0"/>
          <w:color w:val="auto"/>
          <w:sz w:val="24"/>
          <w:lang w:val="en-GB"/>
        </w:rPr>
      </w:pPr>
    </w:p>
    <w:p w:rsidR="00051188" w:rsidRDefault="00051188" w:rsidP="009D78B4">
      <w:pPr>
        <w:pStyle w:val="BodyText3"/>
        <w:keepLines w:val="0"/>
        <w:widowControl w:val="0"/>
        <w:ind w:right="-14"/>
        <w:rPr>
          <w:i w:val="0"/>
          <w:color w:val="auto"/>
          <w:sz w:val="24"/>
          <w:lang w:val="en-GB"/>
        </w:rPr>
      </w:pPr>
      <w:r>
        <w:rPr>
          <w:i w:val="0"/>
          <w:color w:val="auto"/>
          <w:sz w:val="24"/>
          <w:lang w:val="en-GB"/>
        </w:rPr>
        <w:t xml:space="preserve">Appropriate medical caution should be exercised when performing a cystoscopy.  </w:t>
      </w:r>
    </w:p>
    <w:p w:rsidR="00051188" w:rsidRDefault="00051188" w:rsidP="009D78B4">
      <w:pPr>
        <w:pStyle w:val="BodyText3"/>
        <w:keepLines w:val="0"/>
        <w:widowControl w:val="0"/>
        <w:ind w:right="-14"/>
        <w:rPr>
          <w:i w:val="0"/>
          <w:color w:val="auto"/>
          <w:sz w:val="24"/>
          <w:lang w:val="en-GB"/>
        </w:rPr>
      </w:pPr>
    </w:p>
    <w:p w:rsidR="00051188" w:rsidRDefault="00051188" w:rsidP="009D78B4">
      <w:pPr>
        <w:pStyle w:val="BodyText3"/>
        <w:keepLines w:val="0"/>
        <w:widowControl w:val="0"/>
        <w:ind w:right="-14"/>
        <w:rPr>
          <w:i w:val="0"/>
          <w:color w:val="auto"/>
          <w:sz w:val="24"/>
          <w:lang w:val="en-GB"/>
        </w:rPr>
      </w:pPr>
      <w:r>
        <w:rPr>
          <w:i w:val="0"/>
          <w:color w:val="auto"/>
          <w:sz w:val="24"/>
          <w:lang w:val="en-GB"/>
        </w:rPr>
        <w:t xml:space="preserve">In patients who are not catheterising, </w:t>
      </w:r>
      <w:r>
        <w:rPr>
          <w:i w:val="0"/>
          <w:color w:val="auto"/>
          <w:sz w:val="24"/>
          <w:szCs w:val="24"/>
        </w:rPr>
        <w:t>BOTOX</w:t>
      </w:r>
      <w:r>
        <w:rPr>
          <w:i w:val="0"/>
          <w:color w:val="auto"/>
          <w:sz w:val="24"/>
          <w:szCs w:val="24"/>
          <w:vertAlign w:val="superscript"/>
          <w:lang w:val="en-GB"/>
        </w:rPr>
        <w:t>®</w:t>
      </w:r>
      <w:r>
        <w:rPr>
          <w:i w:val="0"/>
          <w:color w:val="auto"/>
          <w:sz w:val="24"/>
          <w:szCs w:val="24"/>
        </w:rPr>
        <w:t xml:space="preserve"> may decrease their ability to fully empty the bladder due to the pharmacological mode of action on the detrusor contractions. Therefore</w:t>
      </w:r>
      <w:r>
        <w:rPr>
          <w:i w:val="0"/>
          <w:color w:val="auto"/>
          <w:sz w:val="25"/>
          <w:szCs w:val="25"/>
        </w:rPr>
        <w:t>,</w:t>
      </w:r>
      <w:r>
        <w:rPr>
          <w:i w:val="0"/>
          <w:color w:val="auto"/>
          <w:sz w:val="24"/>
          <w:lang w:val="en-GB"/>
        </w:rPr>
        <w:t xml:space="preserve"> post-void residual urine volume should be assessed within 2 weeks post-treatment and periodically as medically appropriate up to 12 weeks in these patients.  Patients should be instructed to contact their physician if they experience difficulties in voiding as catheterisation may be required. Patients who develop an increase in post-void residual urine and/ or patients who start to catheterise may have an increased risk of developing urinary tract infections. Patients who are not catheterising need to be made aware of this prior to treatment.</w:t>
      </w:r>
    </w:p>
    <w:p w:rsidR="00051188" w:rsidRDefault="00051188" w:rsidP="009D78B4">
      <w:pPr>
        <w:widowControl w:val="0"/>
        <w:rPr>
          <w:iCs/>
          <w:sz w:val="24"/>
          <w:szCs w:val="24"/>
        </w:rPr>
      </w:pPr>
    </w:p>
    <w:p w:rsidR="00051188" w:rsidRDefault="00051188" w:rsidP="009D78B4">
      <w:pPr>
        <w:widowControl w:val="0"/>
        <w:rPr>
          <w:iCs/>
          <w:sz w:val="24"/>
          <w:szCs w:val="24"/>
          <w:lang w:val="en-GB"/>
        </w:rPr>
      </w:pPr>
      <w:r>
        <w:rPr>
          <w:iCs/>
          <w:sz w:val="24"/>
          <w:szCs w:val="24"/>
        </w:rPr>
        <w:t xml:space="preserve">Patients who are not catheterising and who subsequently develop a clinically relevant increase in post-void residual urine, may need to start to catheterise to achieve desired efficacy </w:t>
      </w:r>
      <w:r>
        <w:rPr>
          <w:iCs/>
          <w:sz w:val="24"/>
          <w:szCs w:val="24"/>
          <w:lang w:val="en-GB"/>
        </w:rPr>
        <w:t xml:space="preserve">(See </w:t>
      </w:r>
      <w:r>
        <w:rPr>
          <w:b/>
          <w:bCs/>
          <w:iCs/>
          <w:sz w:val="24"/>
          <w:szCs w:val="24"/>
          <w:lang w:val="en-GB"/>
        </w:rPr>
        <w:t>Clinical Trials</w:t>
      </w:r>
      <w:r>
        <w:rPr>
          <w:iCs/>
          <w:sz w:val="24"/>
          <w:szCs w:val="24"/>
          <w:lang w:val="en-GB"/>
        </w:rPr>
        <w:t>).</w:t>
      </w:r>
    </w:p>
    <w:p w:rsidR="00392A08" w:rsidRDefault="00392A08" w:rsidP="009D78B4">
      <w:pPr>
        <w:widowControl w:val="0"/>
        <w:rPr>
          <w:sz w:val="24"/>
          <w:szCs w:val="24"/>
        </w:rPr>
      </w:pPr>
    </w:p>
    <w:p w:rsidR="00392A08" w:rsidRPr="00392A08" w:rsidRDefault="00392A08" w:rsidP="009D78B4">
      <w:pPr>
        <w:pStyle w:val="BodyText3"/>
        <w:keepLines w:val="0"/>
        <w:widowControl w:val="0"/>
        <w:ind w:right="-14"/>
        <w:rPr>
          <w:b/>
          <w:i w:val="0"/>
          <w:color w:val="auto"/>
          <w:sz w:val="24"/>
          <w:lang w:val="en-GB"/>
        </w:rPr>
      </w:pPr>
      <w:r>
        <w:rPr>
          <w:b/>
          <w:i w:val="0"/>
          <w:color w:val="auto"/>
          <w:sz w:val="24"/>
          <w:lang w:val="en-GB"/>
        </w:rPr>
        <w:t>Overactive Bladder</w:t>
      </w:r>
    </w:p>
    <w:p w:rsidR="001F3114" w:rsidRDefault="001F3114" w:rsidP="009D78B4">
      <w:pPr>
        <w:widowControl w:val="0"/>
        <w:rPr>
          <w:sz w:val="24"/>
          <w:szCs w:val="24"/>
        </w:rPr>
      </w:pPr>
    </w:p>
    <w:p w:rsidR="001F3114" w:rsidRPr="001F3114" w:rsidRDefault="001F3114" w:rsidP="009D78B4">
      <w:pPr>
        <w:widowControl w:val="0"/>
        <w:rPr>
          <w:i/>
          <w:sz w:val="24"/>
          <w:szCs w:val="24"/>
        </w:rPr>
      </w:pPr>
      <w:r w:rsidRPr="00925456">
        <w:rPr>
          <w:i/>
          <w:sz w:val="24"/>
          <w:szCs w:val="24"/>
        </w:rPr>
        <w:t>Urinary Retention</w:t>
      </w:r>
    </w:p>
    <w:p w:rsidR="00305236" w:rsidRPr="00D64944" w:rsidRDefault="00305236" w:rsidP="009D78B4">
      <w:pPr>
        <w:widowControl w:val="0"/>
        <w:rPr>
          <w:sz w:val="24"/>
          <w:szCs w:val="24"/>
        </w:rPr>
      </w:pPr>
      <w:r w:rsidRPr="00D64944">
        <w:rPr>
          <w:sz w:val="24"/>
          <w:szCs w:val="24"/>
        </w:rPr>
        <w:t>In double-blind, placebo-controlled trials in patients with OAB, the proportion of subjects who initiated clean intermittent catheterisation (CIC) for urinary retention following treatment with BOTOX</w:t>
      </w:r>
      <w:r w:rsidRPr="00D64944">
        <w:rPr>
          <w:iCs/>
          <w:color w:val="080808"/>
          <w:sz w:val="24"/>
          <w:szCs w:val="24"/>
          <w:vertAlign w:val="superscript"/>
        </w:rPr>
        <w:t>®</w:t>
      </w:r>
      <w:r w:rsidRPr="00D64944">
        <w:rPr>
          <w:sz w:val="24"/>
          <w:szCs w:val="24"/>
        </w:rPr>
        <w:t xml:space="preserve"> or placebo is shown in </w:t>
      </w:r>
      <w:r w:rsidR="00A96028" w:rsidRPr="00D64944">
        <w:rPr>
          <w:sz w:val="24"/>
          <w:szCs w:val="24"/>
        </w:rPr>
        <w:t xml:space="preserve">the </w:t>
      </w:r>
      <w:r w:rsidRPr="00D64944">
        <w:rPr>
          <w:sz w:val="24"/>
          <w:szCs w:val="24"/>
        </w:rPr>
        <w:t xml:space="preserve">Table </w:t>
      </w:r>
      <w:r w:rsidR="00A96028" w:rsidRPr="00D64944">
        <w:rPr>
          <w:sz w:val="24"/>
          <w:szCs w:val="24"/>
        </w:rPr>
        <w:t>below</w:t>
      </w:r>
      <w:r w:rsidRPr="00D64944">
        <w:rPr>
          <w:sz w:val="24"/>
          <w:szCs w:val="24"/>
        </w:rPr>
        <w:t xml:space="preserve">. The duration of post-injection catheterisation for those who developed urinary retention is also shown. </w:t>
      </w:r>
    </w:p>
    <w:p w:rsidR="00305236" w:rsidRPr="00D64944" w:rsidRDefault="00305236" w:rsidP="009D78B4">
      <w:pPr>
        <w:widowControl w:val="0"/>
        <w:rPr>
          <w:sz w:val="24"/>
          <w:szCs w:val="24"/>
        </w:rPr>
      </w:pPr>
    </w:p>
    <w:p w:rsidR="00305236" w:rsidRPr="001F21BC" w:rsidRDefault="00305236" w:rsidP="009D78B4">
      <w:pPr>
        <w:widowControl w:val="0"/>
        <w:tabs>
          <w:tab w:val="left" w:pos="360"/>
        </w:tabs>
        <w:rPr>
          <w:b/>
          <w:sz w:val="24"/>
          <w:szCs w:val="24"/>
        </w:rPr>
      </w:pPr>
      <w:r w:rsidRPr="001F21BC">
        <w:rPr>
          <w:b/>
          <w:sz w:val="24"/>
          <w:szCs w:val="24"/>
        </w:rPr>
        <w:t>Proportion of Patients Catheterising for Urinary Retention and Duration of Catheterisation following an injection in double-blind, placebo-controlled clinical trials in OAB</w:t>
      </w:r>
    </w:p>
    <w:tbl>
      <w:tblPr>
        <w:tblpPr w:leftFromText="180" w:rightFromText="180" w:vertAnchor="text" w:horzAnchor="margin" w:tblpY="88"/>
        <w:tblW w:w="7303"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1E0"/>
      </w:tblPr>
      <w:tblGrid>
        <w:gridCol w:w="3845"/>
        <w:gridCol w:w="1935"/>
        <w:gridCol w:w="1523"/>
      </w:tblGrid>
      <w:tr w:rsidR="00305236" w:rsidRPr="006F1749" w:rsidTr="00112664">
        <w:trPr>
          <w:trHeight w:val="522"/>
        </w:trPr>
        <w:tc>
          <w:tcPr>
            <w:tcW w:w="3845" w:type="dxa"/>
            <w:shd w:val="clear" w:color="auto" w:fill="auto"/>
          </w:tcPr>
          <w:p w:rsidR="00305236" w:rsidRPr="001F21BC" w:rsidRDefault="00305236" w:rsidP="009D78B4">
            <w:pPr>
              <w:widowControl w:val="0"/>
              <w:rPr>
                <w:b/>
                <w:sz w:val="24"/>
                <w:szCs w:val="24"/>
              </w:rPr>
            </w:pPr>
          </w:p>
          <w:p w:rsidR="00305236" w:rsidRPr="001F21BC" w:rsidRDefault="00305236" w:rsidP="009D78B4">
            <w:pPr>
              <w:widowControl w:val="0"/>
              <w:rPr>
                <w:b/>
                <w:sz w:val="24"/>
                <w:szCs w:val="24"/>
              </w:rPr>
            </w:pPr>
            <w:r w:rsidRPr="001F21BC">
              <w:rPr>
                <w:b/>
                <w:sz w:val="24"/>
                <w:szCs w:val="24"/>
              </w:rPr>
              <w:t xml:space="preserve"> Timepoint</w:t>
            </w:r>
          </w:p>
        </w:tc>
        <w:tc>
          <w:tcPr>
            <w:tcW w:w="1935" w:type="dxa"/>
            <w:shd w:val="clear" w:color="auto" w:fill="auto"/>
          </w:tcPr>
          <w:p w:rsidR="00B36BF0" w:rsidRPr="001F21BC" w:rsidRDefault="00305236" w:rsidP="009D78B4">
            <w:pPr>
              <w:widowControl w:val="0"/>
              <w:jc w:val="center"/>
              <w:rPr>
                <w:b/>
                <w:sz w:val="24"/>
                <w:szCs w:val="24"/>
              </w:rPr>
            </w:pPr>
            <w:r w:rsidRPr="001F21BC">
              <w:rPr>
                <w:b/>
                <w:sz w:val="24"/>
                <w:szCs w:val="24"/>
              </w:rPr>
              <w:t>BOTOX</w:t>
            </w:r>
            <w:r w:rsidRPr="001F21BC">
              <w:rPr>
                <w:b/>
                <w:sz w:val="24"/>
                <w:szCs w:val="24"/>
                <w:vertAlign w:val="superscript"/>
                <w:lang w:val="pt-BR"/>
              </w:rPr>
              <w:t>®</w:t>
            </w:r>
          </w:p>
          <w:p w:rsidR="00305236" w:rsidRPr="001F21BC" w:rsidRDefault="00305236" w:rsidP="009D78B4">
            <w:pPr>
              <w:widowControl w:val="0"/>
              <w:jc w:val="center"/>
              <w:rPr>
                <w:b/>
                <w:sz w:val="24"/>
                <w:szCs w:val="24"/>
              </w:rPr>
            </w:pPr>
            <w:r w:rsidRPr="001F21BC">
              <w:rPr>
                <w:b/>
                <w:sz w:val="24"/>
                <w:szCs w:val="24"/>
              </w:rPr>
              <w:t>100 Units</w:t>
            </w:r>
          </w:p>
          <w:p w:rsidR="00305236" w:rsidRPr="001F21BC" w:rsidRDefault="00305236" w:rsidP="009D78B4">
            <w:pPr>
              <w:widowControl w:val="0"/>
              <w:jc w:val="center"/>
              <w:rPr>
                <w:b/>
                <w:sz w:val="24"/>
                <w:szCs w:val="24"/>
              </w:rPr>
            </w:pPr>
            <w:r w:rsidRPr="001F21BC">
              <w:rPr>
                <w:b/>
                <w:sz w:val="24"/>
                <w:szCs w:val="24"/>
              </w:rPr>
              <w:t>(N=552)</w:t>
            </w:r>
          </w:p>
        </w:tc>
        <w:tc>
          <w:tcPr>
            <w:tcW w:w="1523" w:type="dxa"/>
            <w:shd w:val="clear" w:color="auto" w:fill="auto"/>
          </w:tcPr>
          <w:p w:rsidR="00305236" w:rsidRPr="001F21BC" w:rsidRDefault="00305236" w:rsidP="009D78B4">
            <w:pPr>
              <w:widowControl w:val="0"/>
              <w:jc w:val="center"/>
              <w:rPr>
                <w:b/>
                <w:sz w:val="24"/>
                <w:szCs w:val="24"/>
              </w:rPr>
            </w:pPr>
            <w:r w:rsidRPr="001F21BC">
              <w:rPr>
                <w:b/>
                <w:sz w:val="24"/>
                <w:szCs w:val="24"/>
              </w:rPr>
              <w:t>Placebo</w:t>
            </w:r>
          </w:p>
          <w:p w:rsidR="00305236" w:rsidRPr="001F21BC" w:rsidRDefault="00305236" w:rsidP="009D78B4">
            <w:pPr>
              <w:widowControl w:val="0"/>
              <w:jc w:val="center"/>
              <w:rPr>
                <w:b/>
                <w:sz w:val="24"/>
                <w:szCs w:val="24"/>
              </w:rPr>
            </w:pPr>
            <w:r w:rsidRPr="001F21BC">
              <w:rPr>
                <w:b/>
                <w:sz w:val="24"/>
                <w:szCs w:val="24"/>
              </w:rPr>
              <w:t>(N=542)</w:t>
            </w:r>
          </w:p>
        </w:tc>
      </w:tr>
      <w:tr w:rsidR="00305236" w:rsidRPr="006F1749" w:rsidTr="00112664">
        <w:trPr>
          <w:trHeight w:val="267"/>
        </w:trPr>
        <w:tc>
          <w:tcPr>
            <w:tcW w:w="7303" w:type="dxa"/>
            <w:gridSpan w:val="3"/>
            <w:shd w:val="clear" w:color="auto" w:fill="auto"/>
          </w:tcPr>
          <w:p w:rsidR="00305236" w:rsidRPr="006F1749" w:rsidRDefault="00305236" w:rsidP="009D78B4">
            <w:pPr>
              <w:widowControl w:val="0"/>
              <w:rPr>
                <w:sz w:val="24"/>
                <w:szCs w:val="24"/>
              </w:rPr>
            </w:pPr>
            <w:r w:rsidRPr="006F1749">
              <w:rPr>
                <w:sz w:val="24"/>
                <w:szCs w:val="24"/>
              </w:rPr>
              <w:t>Proportion of Patients Catheterising for Urinary Retention</w:t>
            </w:r>
          </w:p>
        </w:tc>
      </w:tr>
      <w:tr w:rsidR="00305236" w:rsidRPr="006F1749" w:rsidTr="00112664">
        <w:trPr>
          <w:trHeight w:val="254"/>
        </w:trPr>
        <w:tc>
          <w:tcPr>
            <w:tcW w:w="3845" w:type="dxa"/>
            <w:shd w:val="clear" w:color="auto" w:fill="auto"/>
          </w:tcPr>
          <w:p w:rsidR="00305236" w:rsidRPr="006F1749" w:rsidRDefault="00305236" w:rsidP="009D78B4">
            <w:pPr>
              <w:widowControl w:val="0"/>
              <w:rPr>
                <w:sz w:val="24"/>
                <w:szCs w:val="24"/>
              </w:rPr>
            </w:pPr>
            <w:r w:rsidRPr="006F1749">
              <w:rPr>
                <w:sz w:val="24"/>
                <w:szCs w:val="24"/>
              </w:rPr>
              <w:t xml:space="preserve">At any time during complete treatment cycle </w:t>
            </w:r>
          </w:p>
        </w:tc>
        <w:tc>
          <w:tcPr>
            <w:tcW w:w="1935" w:type="dxa"/>
            <w:shd w:val="clear" w:color="auto" w:fill="auto"/>
            <w:vAlign w:val="center"/>
          </w:tcPr>
          <w:p w:rsidR="00305236" w:rsidRPr="006F1749" w:rsidRDefault="00305236" w:rsidP="009D78B4">
            <w:pPr>
              <w:widowControl w:val="0"/>
              <w:jc w:val="center"/>
              <w:rPr>
                <w:sz w:val="24"/>
                <w:szCs w:val="24"/>
              </w:rPr>
            </w:pPr>
            <w:r w:rsidRPr="006F1749">
              <w:rPr>
                <w:sz w:val="24"/>
                <w:szCs w:val="24"/>
              </w:rPr>
              <w:t>6.5% (n=36)</w:t>
            </w:r>
          </w:p>
        </w:tc>
        <w:tc>
          <w:tcPr>
            <w:tcW w:w="1523" w:type="dxa"/>
            <w:shd w:val="clear" w:color="auto" w:fill="auto"/>
            <w:vAlign w:val="center"/>
          </w:tcPr>
          <w:p w:rsidR="00305236" w:rsidRPr="006F1749" w:rsidRDefault="00305236" w:rsidP="009D78B4">
            <w:pPr>
              <w:widowControl w:val="0"/>
              <w:jc w:val="center"/>
              <w:rPr>
                <w:sz w:val="24"/>
                <w:szCs w:val="24"/>
              </w:rPr>
            </w:pPr>
            <w:r w:rsidRPr="006F1749">
              <w:rPr>
                <w:sz w:val="24"/>
                <w:szCs w:val="24"/>
              </w:rPr>
              <w:t>0.4% (n=2)</w:t>
            </w:r>
          </w:p>
        </w:tc>
      </w:tr>
      <w:tr w:rsidR="00305236" w:rsidRPr="006F1749" w:rsidTr="00112664">
        <w:trPr>
          <w:trHeight w:val="267"/>
        </w:trPr>
        <w:tc>
          <w:tcPr>
            <w:tcW w:w="7303" w:type="dxa"/>
            <w:gridSpan w:val="3"/>
            <w:shd w:val="clear" w:color="auto" w:fill="auto"/>
          </w:tcPr>
          <w:p w:rsidR="00305236" w:rsidRPr="006F1749" w:rsidRDefault="00305236" w:rsidP="009D78B4">
            <w:pPr>
              <w:widowControl w:val="0"/>
              <w:rPr>
                <w:sz w:val="24"/>
                <w:szCs w:val="24"/>
              </w:rPr>
            </w:pPr>
            <w:r w:rsidRPr="006F1749">
              <w:rPr>
                <w:sz w:val="24"/>
                <w:szCs w:val="24"/>
              </w:rPr>
              <w:t>Duration of Catheterisation for Urinary Retention (Days)</w:t>
            </w:r>
          </w:p>
        </w:tc>
      </w:tr>
      <w:tr w:rsidR="00305236" w:rsidRPr="006F1749" w:rsidTr="00112664">
        <w:trPr>
          <w:trHeight w:val="267"/>
        </w:trPr>
        <w:tc>
          <w:tcPr>
            <w:tcW w:w="3845" w:type="dxa"/>
            <w:shd w:val="clear" w:color="auto" w:fill="auto"/>
          </w:tcPr>
          <w:p w:rsidR="00305236" w:rsidRPr="006F1749" w:rsidRDefault="00305236" w:rsidP="009D78B4">
            <w:pPr>
              <w:widowControl w:val="0"/>
              <w:rPr>
                <w:sz w:val="24"/>
                <w:szCs w:val="24"/>
              </w:rPr>
            </w:pPr>
            <w:r w:rsidRPr="006F1749">
              <w:rPr>
                <w:sz w:val="24"/>
                <w:szCs w:val="24"/>
              </w:rPr>
              <w:t xml:space="preserve">Median </w:t>
            </w:r>
          </w:p>
        </w:tc>
        <w:tc>
          <w:tcPr>
            <w:tcW w:w="1935" w:type="dxa"/>
            <w:shd w:val="clear" w:color="auto" w:fill="auto"/>
          </w:tcPr>
          <w:p w:rsidR="00305236" w:rsidRPr="006F1749" w:rsidRDefault="00305236" w:rsidP="009D78B4">
            <w:pPr>
              <w:widowControl w:val="0"/>
              <w:jc w:val="center"/>
              <w:rPr>
                <w:sz w:val="24"/>
                <w:szCs w:val="24"/>
              </w:rPr>
            </w:pPr>
            <w:r w:rsidRPr="006F1749">
              <w:rPr>
                <w:sz w:val="24"/>
                <w:szCs w:val="24"/>
              </w:rPr>
              <w:t>63</w:t>
            </w:r>
          </w:p>
        </w:tc>
        <w:tc>
          <w:tcPr>
            <w:tcW w:w="1523" w:type="dxa"/>
            <w:shd w:val="clear" w:color="auto" w:fill="auto"/>
          </w:tcPr>
          <w:p w:rsidR="00305236" w:rsidRPr="006F1749" w:rsidRDefault="00305236" w:rsidP="009D78B4">
            <w:pPr>
              <w:widowControl w:val="0"/>
              <w:jc w:val="center"/>
              <w:rPr>
                <w:sz w:val="24"/>
                <w:szCs w:val="24"/>
              </w:rPr>
            </w:pPr>
            <w:r w:rsidRPr="006F1749">
              <w:rPr>
                <w:sz w:val="24"/>
                <w:szCs w:val="24"/>
              </w:rPr>
              <w:t>11</w:t>
            </w:r>
          </w:p>
        </w:tc>
      </w:tr>
      <w:tr w:rsidR="00305236" w:rsidRPr="006F1749" w:rsidTr="00112664">
        <w:trPr>
          <w:trHeight w:val="267"/>
        </w:trPr>
        <w:tc>
          <w:tcPr>
            <w:tcW w:w="3845" w:type="dxa"/>
            <w:shd w:val="clear" w:color="auto" w:fill="auto"/>
          </w:tcPr>
          <w:p w:rsidR="00305236" w:rsidRPr="006F1749" w:rsidRDefault="00305236" w:rsidP="009D78B4">
            <w:pPr>
              <w:widowControl w:val="0"/>
              <w:rPr>
                <w:sz w:val="24"/>
                <w:szCs w:val="24"/>
              </w:rPr>
            </w:pPr>
            <w:r w:rsidRPr="006F1749">
              <w:rPr>
                <w:sz w:val="24"/>
                <w:szCs w:val="24"/>
              </w:rPr>
              <w:t>Min, Max</w:t>
            </w:r>
          </w:p>
        </w:tc>
        <w:tc>
          <w:tcPr>
            <w:tcW w:w="1935" w:type="dxa"/>
            <w:shd w:val="clear" w:color="auto" w:fill="auto"/>
          </w:tcPr>
          <w:p w:rsidR="00305236" w:rsidRPr="006F1749" w:rsidRDefault="00305236" w:rsidP="009D78B4">
            <w:pPr>
              <w:widowControl w:val="0"/>
              <w:jc w:val="center"/>
              <w:rPr>
                <w:sz w:val="24"/>
                <w:szCs w:val="24"/>
              </w:rPr>
            </w:pPr>
            <w:r w:rsidRPr="006F1749">
              <w:rPr>
                <w:sz w:val="24"/>
                <w:szCs w:val="24"/>
              </w:rPr>
              <w:t>1, 214</w:t>
            </w:r>
          </w:p>
        </w:tc>
        <w:tc>
          <w:tcPr>
            <w:tcW w:w="1523" w:type="dxa"/>
            <w:shd w:val="clear" w:color="auto" w:fill="auto"/>
          </w:tcPr>
          <w:p w:rsidR="00305236" w:rsidRPr="006F1749" w:rsidRDefault="00305236" w:rsidP="009D78B4">
            <w:pPr>
              <w:widowControl w:val="0"/>
              <w:jc w:val="center"/>
              <w:rPr>
                <w:sz w:val="24"/>
                <w:szCs w:val="24"/>
              </w:rPr>
            </w:pPr>
            <w:r w:rsidRPr="006F1749">
              <w:rPr>
                <w:sz w:val="24"/>
                <w:szCs w:val="24"/>
              </w:rPr>
              <w:t>3, 18</w:t>
            </w:r>
          </w:p>
        </w:tc>
      </w:tr>
    </w:tbl>
    <w:p w:rsidR="00305236" w:rsidRPr="00D64944" w:rsidRDefault="00305236" w:rsidP="009D78B4">
      <w:pPr>
        <w:pStyle w:val="BodyText3"/>
        <w:keepLines w:val="0"/>
        <w:widowControl w:val="0"/>
        <w:rPr>
          <w:i w:val="0"/>
          <w:color w:val="auto"/>
          <w:sz w:val="24"/>
          <w:szCs w:val="24"/>
        </w:rPr>
      </w:pPr>
    </w:p>
    <w:p w:rsidR="00392A08" w:rsidRPr="00D64944" w:rsidRDefault="00392A08" w:rsidP="009D78B4">
      <w:pPr>
        <w:pStyle w:val="BodyText3"/>
        <w:keepLines w:val="0"/>
        <w:widowControl w:val="0"/>
        <w:rPr>
          <w:i w:val="0"/>
          <w:color w:val="auto"/>
          <w:sz w:val="24"/>
          <w:szCs w:val="24"/>
        </w:rPr>
      </w:pPr>
    </w:p>
    <w:p w:rsidR="00392A08" w:rsidRPr="00D64944" w:rsidRDefault="00392A08" w:rsidP="009D78B4">
      <w:pPr>
        <w:pStyle w:val="BodyText3"/>
        <w:keepLines w:val="0"/>
        <w:widowControl w:val="0"/>
        <w:rPr>
          <w:i w:val="0"/>
          <w:color w:val="auto"/>
          <w:sz w:val="24"/>
          <w:szCs w:val="24"/>
        </w:rPr>
      </w:pPr>
    </w:p>
    <w:p w:rsidR="00392A08" w:rsidRPr="00D64944" w:rsidRDefault="00392A08" w:rsidP="009D78B4">
      <w:pPr>
        <w:pStyle w:val="BodyText3"/>
        <w:keepLines w:val="0"/>
        <w:widowControl w:val="0"/>
        <w:rPr>
          <w:i w:val="0"/>
          <w:color w:val="auto"/>
          <w:sz w:val="24"/>
          <w:szCs w:val="24"/>
        </w:rPr>
      </w:pPr>
    </w:p>
    <w:p w:rsidR="00392A08" w:rsidRPr="00D64944" w:rsidRDefault="00392A08" w:rsidP="009D78B4">
      <w:pPr>
        <w:pStyle w:val="BodyText3"/>
        <w:keepLines w:val="0"/>
        <w:widowControl w:val="0"/>
        <w:rPr>
          <w:i w:val="0"/>
          <w:color w:val="auto"/>
          <w:sz w:val="24"/>
          <w:szCs w:val="24"/>
        </w:rPr>
      </w:pPr>
    </w:p>
    <w:p w:rsidR="00392A08" w:rsidRPr="00D64944" w:rsidRDefault="00392A08" w:rsidP="009D78B4">
      <w:pPr>
        <w:pStyle w:val="BodyText3"/>
        <w:keepLines w:val="0"/>
        <w:widowControl w:val="0"/>
        <w:rPr>
          <w:i w:val="0"/>
          <w:color w:val="auto"/>
          <w:sz w:val="24"/>
          <w:szCs w:val="24"/>
        </w:rPr>
      </w:pPr>
    </w:p>
    <w:p w:rsidR="00392A08" w:rsidRPr="00D64944" w:rsidRDefault="00392A08" w:rsidP="009D78B4">
      <w:pPr>
        <w:pStyle w:val="BodyText3"/>
        <w:keepLines w:val="0"/>
        <w:widowControl w:val="0"/>
        <w:rPr>
          <w:i w:val="0"/>
          <w:color w:val="auto"/>
          <w:sz w:val="24"/>
          <w:szCs w:val="24"/>
        </w:rPr>
      </w:pPr>
    </w:p>
    <w:p w:rsidR="00392A08" w:rsidRPr="00D64944" w:rsidRDefault="00392A08" w:rsidP="009D78B4">
      <w:pPr>
        <w:pStyle w:val="BodyText3"/>
        <w:keepLines w:val="0"/>
        <w:widowControl w:val="0"/>
        <w:rPr>
          <w:i w:val="0"/>
          <w:color w:val="auto"/>
          <w:sz w:val="24"/>
          <w:szCs w:val="24"/>
        </w:rPr>
      </w:pPr>
    </w:p>
    <w:p w:rsidR="00392A08" w:rsidRPr="00D64944" w:rsidRDefault="00392A08" w:rsidP="009D78B4">
      <w:pPr>
        <w:pStyle w:val="BodyText3"/>
        <w:keepLines w:val="0"/>
        <w:widowControl w:val="0"/>
        <w:rPr>
          <w:i w:val="0"/>
          <w:color w:val="auto"/>
          <w:sz w:val="24"/>
          <w:szCs w:val="24"/>
        </w:rPr>
      </w:pPr>
    </w:p>
    <w:p w:rsidR="00392A08" w:rsidRPr="00392A08" w:rsidRDefault="00392A08" w:rsidP="009D78B4">
      <w:pPr>
        <w:pStyle w:val="BodyText3"/>
        <w:keepLines w:val="0"/>
        <w:widowControl w:val="0"/>
        <w:ind w:right="-14"/>
        <w:rPr>
          <w:i w:val="0"/>
          <w:color w:val="auto"/>
          <w:sz w:val="24"/>
          <w:szCs w:val="24"/>
        </w:rPr>
      </w:pPr>
    </w:p>
    <w:p w:rsidR="00392A08" w:rsidRPr="00392A08" w:rsidRDefault="00305236" w:rsidP="009D78B4">
      <w:pPr>
        <w:pStyle w:val="BodyText3"/>
        <w:keepLines w:val="0"/>
        <w:widowControl w:val="0"/>
        <w:ind w:right="-14"/>
        <w:rPr>
          <w:i w:val="0"/>
          <w:color w:val="060603"/>
          <w:sz w:val="24"/>
          <w:szCs w:val="24"/>
        </w:rPr>
      </w:pPr>
      <w:r w:rsidRPr="00392A08" w:rsidDel="00305236">
        <w:rPr>
          <w:i w:val="0"/>
          <w:color w:val="060603"/>
          <w:sz w:val="24"/>
          <w:szCs w:val="24"/>
        </w:rPr>
        <w:t xml:space="preserve"> </w:t>
      </w:r>
    </w:p>
    <w:p w:rsidR="00305236" w:rsidRPr="00480163" w:rsidRDefault="00305236" w:rsidP="009D78B4">
      <w:pPr>
        <w:widowControl w:val="0"/>
        <w:rPr>
          <w:sz w:val="24"/>
          <w:szCs w:val="24"/>
        </w:rPr>
      </w:pPr>
      <w:r w:rsidRPr="00480163">
        <w:rPr>
          <w:sz w:val="24"/>
          <w:szCs w:val="24"/>
        </w:rPr>
        <w:t>Patients with diabetes mellitus treated with BOTOX</w:t>
      </w:r>
      <w:r w:rsidRPr="00480163">
        <w:rPr>
          <w:iCs/>
          <w:color w:val="080808"/>
          <w:sz w:val="24"/>
          <w:szCs w:val="24"/>
          <w:vertAlign w:val="superscript"/>
        </w:rPr>
        <w:t>®</w:t>
      </w:r>
      <w:r w:rsidRPr="00480163">
        <w:rPr>
          <w:sz w:val="24"/>
          <w:szCs w:val="24"/>
        </w:rPr>
        <w:t xml:space="preserve"> were more likely to develop urinary retention than those without diabetes, as shown in </w:t>
      </w:r>
      <w:r w:rsidR="00A96028" w:rsidRPr="00480163">
        <w:rPr>
          <w:sz w:val="24"/>
          <w:szCs w:val="24"/>
        </w:rPr>
        <w:t xml:space="preserve">the </w:t>
      </w:r>
      <w:r w:rsidRPr="00480163">
        <w:rPr>
          <w:sz w:val="24"/>
          <w:szCs w:val="24"/>
        </w:rPr>
        <w:t xml:space="preserve">Table </w:t>
      </w:r>
      <w:r w:rsidR="00A96028" w:rsidRPr="00480163">
        <w:rPr>
          <w:sz w:val="24"/>
          <w:szCs w:val="24"/>
        </w:rPr>
        <w:t>below</w:t>
      </w:r>
      <w:r w:rsidRPr="00480163">
        <w:rPr>
          <w:sz w:val="24"/>
          <w:szCs w:val="24"/>
        </w:rPr>
        <w:t>.</w:t>
      </w:r>
    </w:p>
    <w:p w:rsidR="00305236" w:rsidRPr="00480163" w:rsidRDefault="00305236" w:rsidP="009D78B4">
      <w:pPr>
        <w:widowControl w:val="0"/>
        <w:rPr>
          <w:sz w:val="24"/>
          <w:szCs w:val="24"/>
        </w:rPr>
      </w:pPr>
    </w:p>
    <w:p w:rsidR="00305236" w:rsidRPr="001F21BC" w:rsidRDefault="00305236" w:rsidP="009D78B4">
      <w:pPr>
        <w:widowControl w:val="0"/>
        <w:rPr>
          <w:b/>
          <w:sz w:val="24"/>
          <w:szCs w:val="24"/>
        </w:rPr>
      </w:pPr>
      <w:r w:rsidRPr="001F21BC">
        <w:rPr>
          <w:b/>
          <w:sz w:val="24"/>
          <w:szCs w:val="24"/>
        </w:rPr>
        <w:t>Proportion of Patients Experiencing Urinary Retention following an injection in double-blind, placebo-controlled clinical trials in OAB according to history of Diabetes Mellitus</w:t>
      </w:r>
    </w:p>
    <w:tbl>
      <w:tblPr>
        <w:tblW w:w="0" w:type="auto"/>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1E0"/>
      </w:tblPr>
      <w:tblGrid>
        <w:gridCol w:w="1908"/>
        <w:gridCol w:w="1800"/>
        <w:gridCol w:w="1440"/>
        <w:gridCol w:w="1890"/>
        <w:gridCol w:w="1530"/>
      </w:tblGrid>
      <w:tr w:rsidR="00305236" w:rsidRPr="006F1749" w:rsidTr="00112664">
        <w:tc>
          <w:tcPr>
            <w:tcW w:w="1908" w:type="dxa"/>
            <w:vMerge w:val="restart"/>
          </w:tcPr>
          <w:p w:rsidR="00305236" w:rsidRPr="006F1749" w:rsidRDefault="00305236" w:rsidP="009D78B4">
            <w:pPr>
              <w:widowControl w:val="0"/>
              <w:rPr>
                <w:sz w:val="24"/>
                <w:szCs w:val="24"/>
              </w:rPr>
            </w:pPr>
          </w:p>
        </w:tc>
        <w:tc>
          <w:tcPr>
            <w:tcW w:w="3240" w:type="dxa"/>
            <w:gridSpan w:val="2"/>
          </w:tcPr>
          <w:p w:rsidR="00305236" w:rsidRPr="001F21BC" w:rsidRDefault="00305236" w:rsidP="009D78B4">
            <w:pPr>
              <w:widowControl w:val="0"/>
              <w:jc w:val="center"/>
              <w:rPr>
                <w:b/>
                <w:sz w:val="24"/>
                <w:szCs w:val="24"/>
              </w:rPr>
            </w:pPr>
            <w:r w:rsidRPr="001F21BC">
              <w:rPr>
                <w:b/>
                <w:sz w:val="24"/>
                <w:szCs w:val="24"/>
              </w:rPr>
              <w:t>Patients with Diabetes</w:t>
            </w:r>
          </w:p>
        </w:tc>
        <w:tc>
          <w:tcPr>
            <w:tcW w:w="3420" w:type="dxa"/>
            <w:gridSpan w:val="2"/>
          </w:tcPr>
          <w:p w:rsidR="00305236" w:rsidRPr="001F21BC" w:rsidRDefault="00305236" w:rsidP="009D78B4">
            <w:pPr>
              <w:widowControl w:val="0"/>
              <w:jc w:val="center"/>
              <w:rPr>
                <w:b/>
                <w:sz w:val="24"/>
                <w:szCs w:val="24"/>
              </w:rPr>
            </w:pPr>
            <w:r w:rsidRPr="001F21BC">
              <w:rPr>
                <w:b/>
                <w:sz w:val="24"/>
                <w:szCs w:val="24"/>
              </w:rPr>
              <w:t>Patients without Diabetes</w:t>
            </w:r>
          </w:p>
        </w:tc>
      </w:tr>
      <w:tr w:rsidR="00305236" w:rsidRPr="006F1749" w:rsidTr="00112664">
        <w:tc>
          <w:tcPr>
            <w:tcW w:w="1908" w:type="dxa"/>
            <w:vMerge/>
          </w:tcPr>
          <w:p w:rsidR="00305236" w:rsidRPr="006F1749" w:rsidRDefault="00305236" w:rsidP="009D78B4">
            <w:pPr>
              <w:widowControl w:val="0"/>
              <w:rPr>
                <w:sz w:val="24"/>
                <w:szCs w:val="24"/>
              </w:rPr>
            </w:pPr>
          </w:p>
        </w:tc>
        <w:tc>
          <w:tcPr>
            <w:tcW w:w="1800" w:type="dxa"/>
          </w:tcPr>
          <w:p w:rsidR="007B1C7F" w:rsidRPr="006F1749" w:rsidRDefault="00305236" w:rsidP="009D78B4">
            <w:pPr>
              <w:widowControl w:val="0"/>
              <w:jc w:val="center"/>
              <w:rPr>
                <w:sz w:val="24"/>
                <w:szCs w:val="24"/>
              </w:rPr>
            </w:pPr>
            <w:r w:rsidRPr="006F1749">
              <w:rPr>
                <w:sz w:val="24"/>
                <w:szCs w:val="24"/>
              </w:rPr>
              <w:t>BOTOX</w:t>
            </w:r>
            <w:r w:rsidRPr="006F1749">
              <w:rPr>
                <w:sz w:val="24"/>
                <w:szCs w:val="24"/>
                <w:vertAlign w:val="superscript"/>
                <w:lang w:val="pt-BR"/>
              </w:rPr>
              <w:t>®</w:t>
            </w:r>
            <w:r w:rsidRPr="006F1749">
              <w:rPr>
                <w:sz w:val="24"/>
                <w:szCs w:val="24"/>
              </w:rPr>
              <w:t xml:space="preserve"> </w:t>
            </w:r>
          </w:p>
          <w:p w:rsidR="00305236" w:rsidRPr="006F1749" w:rsidRDefault="00305236" w:rsidP="009D78B4">
            <w:pPr>
              <w:widowControl w:val="0"/>
              <w:jc w:val="center"/>
              <w:rPr>
                <w:sz w:val="24"/>
                <w:szCs w:val="24"/>
              </w:rPr>
            </w:pPr>
            <w:r w:rsidRPr="006F1749">
              <w:rPr>
                <w:sz w:val="24"/>
                <w:szCs w:val="24"/>
              </w:rPr>
              <w:t>100 Units</w:t>
            </w:r>
          </w:p>
          <w:p w:rsidR="00305236" w:rsidRPr="006F1749" w:rsidRDefault="00305236" w:rsidP="009D78B4">
            <w:pPr>
              <w:widowControl w:val="0"/>
              <w:jc w:val="center"/>
              <w:rPr>
                <w:sz w:val="24"/>
                <w:szCs w:val="24"/>
              </w:rPr>
            </w:pPr>
            <w:r w:rsidRPr="006F1749">
              <w:rPr>
                <w:sz w:val="24"/>
                <w:szCs w:val="24"/>
              </w:rPr>
              <w:t>(N=81)</w:t>
            </w:r>
          </w:p>
        </w:tc>
        <w:tc>
          <w:tcPr>
            <w:tcW w:w="1440" w:type="dxa"/>
          </w:tcPr>
          <w:p w:rsidR="00305236" w:rsidRPr="006F1749" w:rsidRDefault="00305236" w:rsidP="009D78B4">
            <w:pPr>
              <w:widowControl w:val="0"/>
              <w:jc w:val="center"/>
              <w:rPr>
                <w:sz w:val="24"/>
                <w:szCs w:val="24"/>
              </w:rPr>
            </w:pPr>
            <w:r w:rsidRPr="006F1749">
              <w:rPr>
                <w:sz w:val="24"/>
                <w:szCs w:val="24"/>
              </w:rPr>
              <w:t>Placebo</w:t>
            </w:r>
          </w:p>
          <w:p w:rsidR="00305236" w:rsidRPr="006F1749" w:rsidRDefault="00305236" w:rsidP="009D78B4">
            <w:pPr>
              <w:widowControl w:val="0"/>
              <w:jc w:val="center"/>
              <w:rPr>
                <w:sz w:val="24"/>
                <w:szCs w:val="24"/>
              </w:rPr>
            </w:pPr>
            <w:r w:rsidRPr="006F1749">
              <w:rPr>
                <w:sz w:val="24"/>
                <w:szCs w:val="24"/>
              </w:rPr>
              <w:t>(N=69)</w:t>
            </w:r>
          </w:p>
        </w:tc>
        <w:tc>
          <w:tcPr>
            <w:tcW w:w="1890" w:type="dxa"/>
          </w:tcPr>
          <w:p w:rsidR="007B1C7F" w:rsidRPr="006F1749" w:rsidRDefault="00305236" w:rsidP="009D78B4">
            <w:pPr>
              <w:widowControl w:val="0"/>
              <w:jc w:val="center"/>
              <w:rPr>
                <w:sz w:val="24"/>
                <w:szCs w:val="24"/>
              </w:rPr>
            </w:pPr>
            <w:r w:rsidRPr="006F1749">
              <w:rPr>
                <w:sz w:val="24"/>
                <w:szCs w:val="24"/>
              </w:rPr>
              <w:t>BOTOX</w:t>
            </w:r>
            <w:r w:rsidRPr="006F1749">
              <w:rPr>
                <w:sz w:val="24"/>
                <w:szCs w:val="24"/>
                <w:vertAlign w:val="superscript"/>
                <w:lang w:val="pt-BR"/>
              </w:rPr>
              <w:t>®</w:t>
            </w:r>
            <w:r w:rsidRPr="006F1749">
              <w:rPr>
                <w:sz w:val="24"/>
                <w:szCs w:val="24"/>
              </w:rPr>
              <w:t xml:space="preserve"> </w:t>
            </w:r>
          </w:p>
          <w:p w:rsidR="00305236" w:rsidRPr="006F1749" w:rsidRDefault="00305236" w:rsidP="009D78B4">
            <w:pPr>
              <w:widowControl w:val="0"/>
              <w:jc w:val="center"/>
              <w:rPr>
                <w:sz w:val="24"/>
                <w:szCs w:val="24"/>
              </w:rPr>
            </w:pPr>
            <w:r w:rsidRPr="006F1749">
              <w:rPr>
                <w:sz w:val="24"/>
                <w:szCs w:val="24"/>
              </w:rPr>
              <w:t>100 Units (N=526)</w:t>
            </w:r>
          </w:p>
        </w:tc>
        <w:tc>
          <w:tcPr>
            <w:tcW w:w="1530" w:type="dxa"/>
          </w:tcPr>
          <w:p w:rsidR="00305236" w:rsidRPr="006F1749" w:rsidRDefault="00305236" w:rsidP="009D78B4">
            <w:pPr>
              <w:widowControl w:val="0"/>
              <w:jc w:val="center"/>
              <w:rPr>
                <w:sz w:val="24"/>
                <w:szCs w:val="24"/>
              </w:rPr>
            </w:pPr>
            <w:r w:rsidRPr="006F1749">
              <w:rPr>
                <w:sz w:val="24"/>
                <w:szCs w:val="24"/>
              </w:rPr>
              <w:t>Placebo</w:t>
            </w:r>
          </w:p>
          <w:p w:rsidR="00305236" w:rsidRPr="006F1749" w:rsidRDefault="00305236" w:rsidP="009D78B4">
            <w:pPr>
              <w:widowControl w:val="0"/>
              <w:jc w:val="center"/>
              <w:rPr>
                <w:sz w:val="24"/>
                <w:szCs w:val="24"/>
              </w:rPr>
            </w:pPr>
            <w:r w:rsidRPr="006F1749">
              <w:rPr>
                <w:sz w:val="24"/>
                <w:szCs w:val="24"/>
              </w:rPr>
              <w:t>(N=516)</w:t>
            </w:r>
          </w:p>
        </w:tc>
      </w:tr>
      <w:tr w:rsidR="00305236" w:rsidRPr="006F1749" w:rsidTr="00112664">
        <w:tc>
          <w:tcPr>
            <w:tcW w:w="1908" w:type="dxa"/>
          </w:tcPr>
          <w:p w:rsidR="00305236" w:rsidRPr="006F1749" w:rsidRDefault="00305236" w:rsidP="009D78B4">
            <w:pPr>
              <w:widowControl w:val="0"/>
              <w:rPr>
                <w:sz w:val="24"/>
                <w:szCs w:val="24"/>
              </w:rPr>
            </w:pPr>
            <w:r w:rsidRPr="006F1749">
              <w:rPr>
                <w:sz w:val="24"/>
                <w:szCs w:val="24"/>
              </w:rPr>
              <w:lastRenderedPageBreak/>
              <w:t>Urinary retention</w:t>
            </w:r>
          </w:p>
        </w:tc>
        <w:tc>
          <w:tcPr>
            <w:tcW w:w="1800" w:type="dxa"/>
          </w:tcPr>
          <w:p w:rsidR="00305236" w:rsidRPr="006F1749" w:rsidRDefault="00305236" w:rsidP="009D78B4">
            <w:pPr>
              <w:widowControl w:val="0"/>
              <w:jc w:val="center"/>
              <w:rPr>
                <w:sz w:val="24"/>
                <w:szCs w:val="24"/>
              </w:rPr>
            </w:pPr>
            <w:r w:rsidRPr="006F1749">
              <w:rPr>
                <w:sz w:val="24"/>
                <w:szCs w:val="24"/>
              </w:rPr>
              <w:t>12.3% (n=10)</w:t>
            </w:r>
          </w:p>
        </w:tc>
        <w:tc>
          <w:tcPr>
            <w:tcW w:w="1440" w:type="dxa"/>
          </w:tcPr>
          <w:p w:rsidR="00305236" w:rsidRPr="006F1749" w:rsidRDefault="00305236" w:rsidP="009D78B4">
            <w:pPr>
              <w:widowControl w:val="0"/>
              <w:jc w:val="center"/>
              <w:rPr>
                <w:sz w:val="24"/>
                <w:szCs w:val="24"/>
              </w:rPr>
            </w:pPr>
            <w:r w:rsidRPr="006F1749">
              <w:rPr>
                <w:sz w:val="24"/>
                <w:szCs w:val="24"/>
              </w:rPr>
              <w:t>0</w:t>
            </w:r>
          </w:p>
        </w:tc>
        <w:tc>
          <w:tcPr>
            <w:tcW w:w="1890" w:type="dxa"/>
          </w:tcPr>
          <w:p w:rsidR="00305236" w:rsidRPr="006F1749" w:rsidRDefault="00305236" w:rsidP="009D78B4">
            <w:pPr>
              <w:widowControl w:val="0"/>
              <w:jc w:val="center"/>
              <w:rPr>
                <w:sz w:val="24"/>
                <w:szCs w:val="24"/>
              </w:rPr>
            </w:pPr>
            <w:r w:rsidRPr="006F1749">
              <w:rPr>
                <w:sz w:val="24"/>
                <w:szCs w:val="24"/>
              </w:rPr>
              <w:t>6.3% (n=33)</w:t>
            </w:r>
          </w:p>
        </w:tc>
        <w:tc>
          <w:tcPr>
            <w:tcW w:w="1530" w:type="dxa"/>
          </w:tcPr>
          <w:p w:rsidR="00305236" w:rsidRPr="006F1749" w:rsidRDefault="00305236" w:rsidP="009D78B4">
            <w:pPr>
              <w:widowControl w:val="0"/>
              <w:jc w:val="center"/>
              <w:rPr>
                <w:sz w:val="24"/>
                <w:szCs w:val="24"/>
              </w:rPr>
            </w:pPr>
            <w:r w:rsidRPr="006F1749">
              <w:rPr>
                <w:sz w:val="24"/>
                <w:szCs w:val="24"/>
              </w:rPr>
              <w:t>0.6% (n=3)</w:t>
            </w:r>
          </w:p>
        </w:tc>
      </w:tr>
    </w:tbl>
    <w:p w:rsidR="00305236" w:rsidRPr="00480163" w:rsidRDefault="00305236" w:rsidP="009D78B4">
      <w:pPr>
        <w:pStyle w:val="BodyText3"/>
        <w:keepLines w:val="0"/>
        <w:widowControl w:val="0"/>
        <w:rPr>
          <w:i w:val="0"/>
          <w:sz w:val="24"/>
          <w:szCs w:val="24"/>
        </w:rPr>
      </w:pPr>
    </w:p>
    <w:p w:rsidR="001F3114" w:rsidRDefault="001F3114" w:rsidP="009D78B4">
      <w:pPr>
        <w:widowControl w:val="0"/>
        <w:rPr>
          <w:i/>
          <w:sz w:val="24"/>
          <w:szCs w:val="24"/>
          <w:highlight w:val="yellow"/>
        </w:rPr>
      </w:pPr>
    </w:p>
    <w:p w:rsidR="001F3114" w:rsidRPr="00925456" w:rsidRDefault="001F3114" w:rsidP="009D78B4">
      <w:pPr>
        <w:widowControl w:val="0"/>
        <w:rPr>
          <w:i/>
          <w:sz w:val="24"/>
          <w:szCs w:val="24"/>
        </w:rPr>
      </w:pPr>
      <w:r w:rsidRPr="00925456">
        <w:rPr>
          <w:i/>
          <w:sz w:val="24"/>
          <w:szCs w:val="24"/>
        </w:rPr>
        <w:t>Urinary Tract Infection</w:t>
      </w:r>
    </w:p>
    <w:p w:rsidR="00305236" w:rsidRPr="00925456" w:rsidRDefault="00305236" w:rsidP="009D78B4">
      <w:pPr>
        <w:pStyle w:val="BodyText3"/>
        <w:keepLines w:val="0"/>
        <w:widowControl w:val="0"/>
        <w:rPr>
          <w:i w:val="0"/>
          <w:color w:val="auto"/>
          <w:sz w:val="24"/>
          <w:szCs w:val="24"/>
        </w:rPr>
      </w:pPr>
      <w:r w:rsidRPr="00925456">
        <w:rPr>
          <w:i w:val="0"/>
          <w:color w:val="auto"/>
          <w:sz w:val="24"/>
          <w:szCs w:val="24"/>
        </w:rPr>
        <w:t>BOTOX</w:t>
      </w:r>
      <w:r w:rsidRPr="00925456">
        <w:rPr>
          <w:i w:val="0"/>
          <w:iCs/>
          <w:color w:val="auto"/>
          <w:sz w:val="24"/>
          <w:szCs w:val="24"/>
          <w:vertAlign w:val="superscript"/>
        </w:rPr>
        <w:t>®</w:t>
      </w:r>
      <w:r w:rsidRPr="00925456">
        <w:rPr>
          <w:i w:val="0"/>
          <w:color w:val="auto"/>
          <w:sz w:val="24"/>
          <w:szCs w:val="24"/>
        </w:rPr>
        <w:t xml:space="preserve"> increases the incidence of urinary tract infection (see Adverse Effects). Clinical trials for overactive bladder excluded patients with more than 2 UTIs in the past 6 months and those taking antibiotics chronically due to recurrent UTIs. Use of BOTOX</w:t>
      </w:r>
      <w:r w:rsidRPr="00925456">
        <w:rPr>
          <w:i w:val="0"/>
          <w:iCs/>
          <w:color w:val="auto"/>
          <w:sz w:val="24"/>
          <w:szCs w:val="24"/>
          <w:vertAlign w:val="superscript"/>
        </w:rPr>
        <w:t>®</w:t>
      </w:r>
      <w:r w:rsidRPr="00925456">
        <w:rPr>
          <w:i w:val="0"/>
          <w:color w:val="auto"/>
          <w:sz w:val="24"/>
          <w:szCs w:val="24"/>
        </w:rPr>
        <w:t xml:space="preserve"> for the treatment of overactive bladder in such patients and in patients with multiple recurrent UTIs during treatment should only be considered when the benefit is likely to outweigh the potential risk</w:t>
      </w:r>
      <w:r w:rsidR="00811224" w:rsidRPr="00925456">
        <w:rPr>
          <w:i w:val="0"/>
          <w:color w:val="auto"/>
          <w:sz w:val="24"/>
          <w:szCs w:val="24"/>
        </w:rPr>
        <w:t>.</w:t>
      </w:r>
    </w:p>
    <w:p w:rsidR="00305236" w:rsidRPr="00925456" w:rsidRDefault="00305236" w:rsidP="009D78B4">
      <w:pPr>
        <w:pStyle w:val="BodyText3"/>
        <w:keepLines w:val="0"/>
        <w:widowControl w:val="0"/>
        <w:rPr>
          <w:i w:val="0"/>
          <w:color w:val="auto"/>
          <w:sz w:val="24"/>
          <w:szCs w:val="24"/>
          <w:lang w:val="en-AU"/>
        </w:rPr>
      </w:pPr>
    </w:p>
    <w:p w:rsidR="001F3114" w:rsidRPr="00925456" w:rsidRDefault="001F3114" w:rsidP="009D78B4">
      <w:pPr>
        <w:widowControl w:val="0"/>
        <w:rPr>
          <w:i/>
          <w:sz w:val="24"/>
          <w:szCs w:val="24"/>
        </w:rPr>
      </w:pPr>
      <w:r w:rsidRPr="00925456">
        <w:rPr>
          <w:i/>
          <w:sz w:val="24"/>
          <w:szCs w:val="24"/>
        </w:rPr>
        <w:t>Use in Males</w:t>
      </w:r>
    </w:p>
    <w:p w:rsidR="00EF276C" w:rsidRPr="00480163" w:rsidRDefault="00EF276C" w:rsidP="009D78B4">
      <w:pPr>
        <w:widowControl w:val="0"/>
        <w:autoSpaceDE w:val="0"/>
        <w:autoSpaceDN w:val="0"/>
        <w:adjustRightInd w:val="0"/>
        <w:rPr>
          <w:sz w:val="24"/>
          <w:szCs w:val="24"/>
        </w:rPr>
      </w:pPr>
      <w:r w:rsidRPr="00925456">
        <w:rPr>
          <w:iCs/>
          <w:sz w:val="24"/>
          <w:szCs w:val="24"/>
        </w:rPr>
        <w:t xml:space="preserve">The pivotal studies in overactive bladder were not powered for </w:t>
      </w:r>
      <w:r w:rsidRPr="00925456">
        <w:rPr>
          <w:sz w:val="24"/>
          <w:szCs w:val="24"/>
        </w:rPr>
        <w:t xml:space="preserve">a </w:t>
      </w:r>
      <w:r w:rsidRPr="00925456">
        <w:rPr>
          <w:iCs/>
          <w:sz w:val="24"/>
          <w:szCs w:val="24"/>
        </w:rPr>
        <w:t xml:space="preserve">subgroup analysis based on gender, however </w:t>
      </w:r>
      <w:r w:rsidRPr="00925456">
        <w:rPr>
          <w:sz w:val="24"/>
          <w:szCs w:val="24"/>
        </w:rPr>
        <w:t xml:space="preserve">a </w:t>
      </w:r>
      <w:r w:rsidRPr="00925456">
        <w:rPr>
          <w:iCs/>
          <w:sz w:val="24"/>
          <w:szCs w:val="24"/>
        </w:rPr>
        <w:t>statistically significant treatment-by-gender interaction was demonstrated.</w:t>
      </w:r>
      <w:r w:rsidR="006F1749" w:rsidRPr="00925456">
        <w:rPr>
          <w:iCs/>
          <w:sz w:val="24"/>
          <w:szCs w:val="24"/>
        </w:rPr>
        <w:t xml:space="preserve"> </w:t>
      </w:r>
      <w:r w:rsidR="006F1749" w:rsidRPr="00925456">
        <w:rPr>
          <w:rFonts w:eastAsia="SimSun"/>
          <w:sz w:val="24"/>
          <w:szCs w:val="24"/>
        </w:rPr>
        <w:t>No statistically significant benefit was demonstrated in males for incontinence frequency or on the Treatment Benefit Scale (see Clinical Trials).</w:t>
      </w:r>
      <w:r w:rsidR="006F1749" w:rsidRPr="00925456">
        <w:rPr>
          <w:iCs/>
          <w:sz w:val="24"/>
          <w:szCs w:val="24"/>
        </w:rPr>
        <w:t xml:space="preserve"> </w:t>
      </w:r>
      <w:r w:rsidRPr="00925456">
        <w:rPr>
          <w:iCs/>
          <w:sz w:val="24"/>
          <w:szCs w:val="24"/>
        </w:rPr>
        <w:t>In men, 12.2% of the overall study population, mean incontinence was decreased by 0.42 episodes per day (by LS mean difference) relative to placebo (p=0.612</w:t>
      </w:r>
      <w:r w:rsidR="00A021C8" w:rsidRPr="00925456">
        <w:rPr>
          <w:iCs/>
          <w:sz w:val="24"/>
          <w:szCs w:val="24"/>
        </w:rPr>
        <w:t>)</w:t>
      </w:r>
      <w:r w:rsidR="006F1749" w:rsidRPr="00925456">
        <w:rPr>
          <w:iCs/>
          <w:sz w:val="24"/>
          <w:szCs w:val="24"/>
        </w:rPr>
        <w:t xml:space="preserve"> </w:t>
      </w:r>
      <w:r w:rsidR="006F1749" w:rsidRPr="00925456">
        <w:rPr>
          <w:rFonts w:eastAsia="SimSun"/>
          <w:sz w:val="24"/>
          <w:szCs w:val="24"/>
        </w:rPr>
        <w:t>from a baseline of 5.6 episodes per day</w:t>
      </w:r>
      <w:r w:rsidRPr="00925456">
        <w:rPr>
          <w:iCs/>
          <w:sz w:val="24"/>
          <w:szCs w:val="24"/>
        </w:rPr>
        <w:t xml:space="preserve">, whereas in women it was reduced by 2.0 episodes (p&lt;0.001). The proportion of men who felt that treatment had led to improvement on the Treatment Benefit Scale was ~40% (p=0.060), with the attributable proportion </w:t>
      </w:r>
      <w:r w:rsidR="005C3539" w:rsidRPr="00925456">
        <w:rPr>
          <w:iCs/>
          <w:sz w:val="24"/>
          <w:szCs w:val="24"/>
        </w:rPr>
        <w:t xml:space="preserve">being </w:t>
      </w:r>
      <w:r w:rsidRPr="00925456">
        <w:rPr>
          <w:sz w:val="24"/>
          <w:szCs w:val="24"/>
        </w:rPr>
        <w:t xml:space="preserve">15% </w:t>
      </w:r>
      <w:r w:rsidRPr="00925456">
        <w:rPr>
          <w:iCs/>
          <w:sz w:val="24"/>
          <w:szCs w:val="24"/>
        </w:rPr>
        <w:t xml:space="preserve">(after </w:t>
      </w:r>
      <w:r w:rsidR="006A10AC" w:rsidRPr="00925456">
        <w:rPr>
          <w:iCs/>
          <w:sz w:val="24"/>
          <w:szCs w:val="24"/>
        </w:rPr>
        <w:t>s</w:t>
      </w:r>
      <w:r w:rsidRPr="00925456">
        <w:rPr>
          <w:iCs/>
          <w:sz w:val="24"/>
          <w:szCs w:val="24"/>
        </w:rPr>
        <w:t xml:space="preserve">ubtracting the placebo response of </w:t>
      </w:r>
      <w:r w:rsidRPr="00925456">
        <w:rPr>
          <w:sz w:val="24"/>
          <w:szCs w:val="24"/>
        </w:rPr>
        <w:t xml:space="preserve">25%). </w:t>
      </w:r>
      <w:r w:rsidRPr="00925456">
        <w:rPr>
          <w:iCs/>
          <w:sz w:val="24"/>
          <w:szCs w:val="24"/>
        </w:rPr>
        <w:t>Approximately 60% of men given BOTOX</w:t>
      </w:r>
      <w:r w:rsidRPr="00925456">
        <w:rPr>
          <w:sz w:val="24"/>
          <w:szCs w:val="24"/>
          <w:vertAlign w:val="superscript"/>
        </w:rPr>
        <w:t>®</w:t>
      </w:r>
      <w:r w:rsidRPr="00925456">
        <w:rPr>
          <w:iCs/>
          <w:sz w:val="24"/>
          <w:szCs w:val="24"/>
        </w:rPr>
        <w:t xml:space="preserve"> for overactive bladder felt that their co</w:t>
      </w:r>
      <w:r w:rsidRPr="00480163">
        <w:rPr>
          <w:iCs/>
          <w:sz w:val="24"/>
          <w:szCs w:val="24"/>
        </w:rPr>
        <w:t>ndition was unchanged or worsened after treatment. Men considering BOTOX</w:t>
      </w:r>
      <w:r w:rsidRPr="00480163">
        <w:rPr>
          <w:sz w:val="24"/>
          <w:szCs w:val="24"/>
          <w:vertAlign w:val="superscript"/>
        </w:rPr>
        <w:t>®</w:t>
      </w:r>
      <w:r w:rsidR="006A10AC">
        <w:rPr>
          <w:sz w:val="24"/>
          <w:szCs w:val="24"/>
          <w:vertAlign w:val="superscript"/>
        </w:rPr>
        <w:t xml:space="preserve"> </w:t>
      </w:r>
      <w:r w:rsidRPr="00480163">
        <w:rPr>
          <w:iCs/>
          <w:sz w:val="24"/>
          <w:szCs w:val="24"/>
        </w:rPr>
        <w:t>for overactive bladder should be made aware of the gender specific results, including potential risk of urinary tract infections (BOTOX</w:t>
      </w:r>
      <w:r w:rsidRPr="00480163">
        <w:rPr>
          <w:sz w:val="24"/>
          <w:szCs w:val="24"/>
          <w:vertAlign w:val="superscript"/>
        </w:rPr>
        <w:t>®</w:t>
      </w:r>
      <w:r w:rsidRPr="00480163">
        <w:rPr>
          <w:iCs/>
          <w:sz w:val="24"/>
          <w:szCs w:val="24"/>
        </w:rPr>
        <w:t xml:space="preserve"> </w:t>
      </w:r>
      <w:r w:rsidRPr="00480163">
        <w:rPr>
          <w:sz w:val="24"/>
          <w:szCs w:val="24"/>
        </w:rPr>
        <w:t xml:space="preserve">9.5% </w:t>
      </w:r>
      <w:r w:rsidRPr="00480163">
        <w:rPr>
          <w:iCs/>
          <w:sz w:val="24"/>
          <w:szCs w:val="24"/>
        </w:rPr>
        <w:t xml:space="preserve">vs placebo </w:t>
      </w:r>
      <w:r w:rsidRPr="00480163">
        <w:rPr>
          <w:sz w:val="24"/>
          <w:szCs w:val="24"/>
        </w:rPr>
        <w:t xml:space="preserve">2.6%) </w:t>
      </w:r>
      <w:r w:rsidRPr="00480163">
        <w:rPr>
          <w:iCs/>
          <w:sz w:val="24"/>
          <w:szCs w:val="24"/>
        </w:rPr>
        <w:t>and urinary retention (BOTOX</w:t>
      </w:r>
      <w:r w:rsidRPr="00480163">
        <w:rPr>
          <w:sz w:val="24"/>
          <w:szCs w:val="24"/>
          <w:vertAlign w:val="superscript"/>
        </w:rPr>
        <w:t>®</w:t>
      </w:r>
      <w:r w:rsidRPr="00480163">
        <w:rPr>
          <w:iCs/>
          <w:sz w:val="24"/>
          <w:szCs w:val="24"/>
        </w:rPr>
        <w:t xml:space="preserve"> </w:t>
      </w:r>
      <w:r w:rsidRPr="00480163">
        <w:rPr>
          <w:sz w:val="24"/>
          <w:szCs w:val="24"/>
        </w:rPr>
        <w:t xml:space="preserve">7.9% </w:t>
      </w:r>
      <w:r w:rsidRPr="00480163">
        <w:rPr>
          <w:iCs/>
          <w:sz w:val="24"/>
          <w:szCs w:val="24"/>
        </w:rPr>
        <w:t xml:space="preserve">vs placebo </w:t>
      </w:r>
      <w:r w:rsidRPr="00480163">
        <w:rPr>
          <w:sz w:val="24"/>
          <w:szCs w:val="24"/>
        </w:rPr>
        <w:t xml:space="preserve">1.3%). </w:t>
      </w:r>
    </w:p>
    <w:p w:rsidR="00EF276C" w:rsidRPr="00480163" w:rsidRDefault="00EF276C" w:rsidP="009D78B4">
      <w:pPr>
        <w:pStyle w:val="BodyText3"/>
        <w:keepLines w:val="0"/>
        <w:widowControl w:val="0"/>
        <w:rPr>
          <w:i w:val="0"/>
          <w:color w:val="auto"/>
          <w:sz w:val="24"/>
          <w:szCs w:val="24"/>
        </w:rPr>
      </w:pPr>
    </w:p>
    <w:p w:rsidR="004A617F" w:rsidRPr="00480163" w:rsidRDefault="004A617F" w:rsidP="009D78B4">
      <w:pPr>
        <w:widowControl w:val="0"/>
        <w:rPr>
          <w:sz w:val="24"/>
          <w:szCs w:val="24"/>
        </w:rPr>
      </w:pPr>
      <w:r w:rsidRPr="00480163">
        <w:rPr>
          <w:sz w:val="24"/>
          <w:szCs w:val="24"/>
        </w:rPr>
        <w:t>Men with overactive bladder and signs or symptoms of urinary obstruction should not be treated with BOTOX</w:t>
      </w:r>
      <w:r w:rsidRPr="00480163">
        <w:rPr>
          <w:sz w:val="24"/>
          <w:szCs w:val="24"/>
          <w:vertAlign w:val="superscript"/>
        </w:rPr>
        <w:t>®</w:t>
      </w:r>
      <w:r w:rsidRPr="00480163">
        <w:rPr>
          <w:sz w:val="24"/>
          <w:szCs w:val="24"/>
        </w:rPr>
        <w:t>.</w:t>
      </w:r>
    </w:p>
    <w:p w:rsidR="004A617F" w:rsidRDefault="004A617F" w:rsidP="009D78B4">
      <w:pPr>
        <w:widowControl w:val="0"/>
        <w:jc w:val="both"/>
        <w:rPr>
          <w:sz w:val="24"/>
          <w:szCs w:val="24"/>
        </w:rPr>
      </w:pPr>
    </w:p>
    <w:p w:rsidR="00051188" w:rsidRDefault="00051188" w:rsidP="009D78B4">
      <w:pPr>
        <w:widowControl w:val="0"/>
        <w:jc w:val="both"/>
        <w:rPr>
          <w:sz w:val="24"/>
          <w:szCs w:val="24"/>
          <w:lang w:val="en-GB"/>
        </w:rPr>
      </w:pPr>
      <w:r>
        <w:rPr>
          <w:sz w:val="24"/>
          <w:szCs w:val="24"/>
        </w:rPr>
        <w:t xml:space="preserve">Please refer to the </w:t>
      </w:r>
      <w:r w:rsidRPr="001F21BC">
        <w:rPr>
          <w:b/>
          <w:sz w:val="24"/>
          <w:szCs w:val="24"/>
        </w:rPr>
        <w:t>Adverse Events</w:t>
      </w:r>
      <w:r w:rsidR="001F21BC">
        <w:rPr>
          <w:b/>
          <w:sz w:val="24"/>
          <w:szCs w:val="24"/>
        </w:rPr>
        <w:t>-</w:t>
      </w:r>
      <w:r w:rsidRPr="001F21BC">
        <w:rPr>
          <w:b/>
          <w:sz w:val="24"/>
          <w:szCs w:val="24"/>
        </w:rPr>
        <w:t>General section</w:t>
      </w:r>
      <w:r>
        <w:rPr>
          <w:sz w:val="24"/>
          <w:szCs w:val="24"/>
        </w:rPr>
        <w:t xml:space="preserve"> for local weakness or </w:t>
      </w:r>
      <w:r>
        <w:rPr>
          <w:sz w:val="24"/>
          <w:szCs w:val="24"/>
          <w:lang w:val="en-GB"/>
        </w:rPr>
        <w:t xml:space="preserve">weakness of adjacent muscles. </w:t>
      </w:r>
    </w:p>
    <w:p w:rsidR="00051188" w:rsidRDefault="00051188" w:rsidP="009D78B4">
      <w:pPr>
        <w:pStyle w:val="BodyText3"/>
        <w:keepLines w:val="0"/>
        <w:widowControl w:val="0"/>
        <w:ind w:right="-14"/>
        <w:rPr>
          <w:b/>
          <w:i w:val="0"/>
          <w:color w:val="auto"/>
          <w:sz w:val="24"/>
          <w:lang w:val="en-GB"/>
        </w:rPr>
      </w:pPr>
    </w:p>
    <w:p w:rsidR="00051188" w:rsidRDefault="00051188" w:rsidP="009D78B4">
      <w:pPr>
        <w:pStyle w:val="BodyText3"/>
        <w:keepLines w:val="0"/>
        <w:widowControl w:val="0"/>
        <w:ind w:right="-14"/>
        <w:rPr>
          <w:b/>
          <w:i w:val="0"/>
          <w:color w:val="auto"/>
          <w:sz w:val="24"/>
          <w:lang w:val="en-GB"/>
        </w:rPr>
      </w:pPr>
      <w:r>
        <w:rPr>
          <w:b/>
          <w:i w:val="0"/>
          <w:color w:val="auto"/>
          <w:sz w:val="24"/>
          <w:lang w:val="en-GB"/>
        </w:rPr>
        <w:t>Neurogenic Detrusor Overactivity</w:t>
      </w:r>
    </w:p>
    <w:p w:rsidR="00051188" w:rsidRDefault="00051188" w:rsidP="009D78B4">
      <w:pPr>
        <w:pStyle w:val="BodyText3"/>
        <w:keepLines w:val="0"/>
        <w:widowControl w:val="0"/>
        <w:ind w:right="-14"/>
        <w:rPr>
          <w:i w:val="0"/>
          <w:color w:val="auto"/>
          <w:sz w:val="24"/>
          <w:lang w:val="en-GB"/>
        </w:rPr>
      </w:pPr>
      <w:r>
        <w:rPr>
          <w:i w:val="0"/>
          <w:color w:val="auto"/>
          <w:sz w:val="24"/>
          <w:lang w:val="en-GB"/>
        </w:rPr>
        <w:t xml:space="preserve">In these patients, autonomic dysreflexia associated with the procedure could occur, which may require prompt medical therapy.   </w:t>
      </w:r>
    </w:p>
    <w:p w:rsidR="00051188" w:rsidRDefault="00051188" w:rsidP="009D78B4">
      <w:pPr>
        <w:pStyle w:val="BodyText3"/>
        <w:keepLines w:val="0"/>
        <w:widowControl w:val="0"/>
        <w:ind w:right="-14"/>
        <w:rPr>
          <w:i w:val="0"/>
          <w:color w:val="auto"/>
          <w:sz w:val="24"/>
          <w:lang w:val="en-GB"/>
        </w:rPr>
      </w:pPr>
    </w:p>
    <w:p w:rsidR="00051188" w:rsidRDefault="00051188" w:rsidP="009D78B4">
      <w:pPr>
        <w:pStyle w:val="BodyText3"/>
        <w:keepLines w:val="0"/>
        <w:widowControl w:val="0"/>
        <w:ind w:right="-14"/>
        <w:rPr>
          <w:i w:val="0"/>
          <w:color w:val="auto"/>
          <w:sz w:val="24"/>
          <w:szCs w:val="24"/>
          <w:lang w:val="en-GB"/>
        </w:rPr>
      </w:pPr>
      <w:r>
        <w:rPr>
          <w:i w:val="0"/>
          <w:color w:val="auto"/>
          <w:sz w:val="24"/>
          <w:szCs w:val="24"/>
        </w:rPr>
        <w:t>Safety and efficacy data beyond two intradetrusor treatments are limited.</w:t>
      </w:r>
    </w:p>
    <w:p w:rsidR="00051188" w:rsidRDefault="00051188" w:rsidP="009D78B4">
      <w:pPr>
        <w:pStyle w:val="BodyText3"/>
        <w:keepLines w:val="0"/>
        <w:widowControl w:val="0"/>
        <w:ind w:right="-14"/>
        <w:rPr>
          <w:color w:val="auto"/>
          <w:sz w:val="24"/>
          <w:lang w:val="en-GB"/>
        </w:rPr>
      </w:pPr>
    </w:p>
    <w:p w:rsidR="00051188" w:rsidRDefault="00051188" w:rsidP="009D78B4">
      <w:pPr>
        <w:widowControl w:val="0"/>
        <w:tabs>
          <w:tab w:val="left" w:pos="-720"/>
        </w:tabs>
        <w:rPr>
          <w:b/>
          <w:sz w:val="24"/>
          <w:lang w:val="en-GB"/>
        </w:rPr>
      </w:pPr>
      <w:r>
        <w:rPr>
          <w:b/>
          <w:sz w:val="24"/>
          <w:lang w:val="en-GB"/>
        </w:rPr>
        <w:t>Blepharospasm</w:t>
      </w:r>
    </w:p>
    <w:p w:rsidR="00051188" w:rsidRDefault="00051188" w:rsidP="009D78B4">
      <w:pPr>
        <w:widowControl w:val="0"/>
        <w:tabs>
          <w:tab w:val="left" w:pos="-720"/>
        </w:tabs>
        <w:rPr>
          <w:sz w:val="24"/>
          <w:lang w:val="en-GB"/>
        </w:rPr>
      </w:pPr>
      <w:r>
        <w:rPr>
          <w:sz w:val="24"/>
          <w:szCs w:val="24"/>
          <w:lang w:val="en-GB"/>
        </w:rPr>
        <w:t xml:space="preserve">Reduced blinking following </w:t>
      </w:r>
      <w:r>
        <w:rPr>
          <w:caps/>
          <w:sz w:val="24"/>
          <w:szCs w:val="24"/>
        </w:rPr>
        <w:t>Botox</w:t>
      </w:r>
      <w:r>
        <w:rPr>
          <w:caps/>
          <w:sz w:val="24"/>
          <w:szCs w:val="24"/>
          <w:vertAlign w:val="superscript"/>
        </w:rPr>
        <w:sym w:font="Symbol" w:char="F0D2"/>
      </w:r>
      <w:r>
        <w:rPr>
          <w:sz w:val="24"/>
          <w:szCs w:val="24"/>
          <w:lang w:val="en-GB"/>
        </w:rPr>
        <w:t xml:space="preserve"> injection into the orbicularis muscle can lead to corneal exposure, persistent epithelial defect and corneal ulceration, especially in patients with cranial nerve VII disorders. One case of corneal perforation in an aphakic eye requiring corneal grafting has occurred because</w:t>
      </w:r>
      <w:r>
        <w:rPr>
          <w:sz w:val="24"/>
          <w:lang w:val="en-GB"/>
        </w:rPr>
        <w:t xml:space="preserve"> of this effect.  Careful testing of corneal sensation in eyes previously operated upon, avoidance of injection into the lower medial lid area to avoid ectropion, and vigorous treatment of any epithelial defect should be employed.  This may require protective drops, ointment, therapeutic soft contact lenses, or closure of the eye by patching or other means.</w:t>
      </w:r>
    </w:p>
    <w:p w:rsidR="00051188" w:rsidRDefault="00051188" w:rsidP="009D78B4">
      <w:pPr>
        <w:widowControl w:val="0"/>
        <w:tabs>
          <w:tab w:val="left" w:pos="-720"/>
        </w:tabs>
        <w:rPr>
          <w:sz w:val="24"/>
          <w:lang w:val="en-GB"/>
        </w:rPr>
      </w:pPr>
    </w:p>
    <w:p w:rsidR="00051188" w:rsidRDefault="00051188" w:rsidP="009D78B4">
      <w:pPr>
        <w:pStyle w:val="BodyText3"/>
        <w:keepLines w:val="0"/>
        <w:widowControl w:val="0"/>
        <w:ind w:right="-14"/>
        <w:rPr>
          <w:i w:val="0"/>
          <w:color w:val="auto"/>
          <w:sz w:val="24"/>
          <w:lang w:val="en-GB"/>
        </w:rPr>
      </w:pPr>
      <w:r>
        <w:rPr>
          <w:i w:val="0"/>
          <w:color w:val="auto"/>
          <w:sz w:val="24"/>
          <w:lang w:val="en-GB"/>
        </w:rPr>
        <w:t>As a result of the anticholinergic activity of botulinum toxin, caution should be exercised when treating patients at risk for angle closure glaucoma, including patients with anatomically narrow angles.  Acute angle closure glaucoma has been reported very rarely following periorbital injections of botulinum toxin.</w:t>
      </w:r>
    </w:p>
    <w:p w:rsidR="00051188" w:rsidRDefault="00051188" w:rsidP="009D78B4">
      <w:pPr>
        <w:pStyle w:val="BodyText3"/>
        <w:keepLines w:val="0"/>
        <w:widowControl w:val="0"/>
        <w:ind w:right="-14"/>
        <w:rPr>
          <w:sz w:val="24"/>
          <w:lang w:val="en-GB"/>
        </w:rPr>
      </w:pPr>
    </w:p>
    <w:p w:rsidR="00051188" w:rsidRDefault="00051188" w:rsidP="009D78B4">
      <w:pPr>
        <w:pStyle w:val="BodyText3"/>
        <w:keepLines w:val="0"/>
        <w:widowControl w:val="0"/>
        <w:ind w:right="-14"/>
        <w:rPr>
          <w:b/>
          <w:i w:val="0"/>
          <w:color w:val="000000"/>
          <w:sz w:val="24"/>
          <w:szCs w:val="24"/>
          <w:lang w:val="en-GB"/>
        </w:rPr>
      </w:pPr>
      <w:r>
        <w:rPr>
          <w:b/>
          <w:i w:val="0"/>
          <w:color w:val="000000"/>
          <w:sz w:val="24"/>
          <w:szCs w:val="24"/>
          <w:lang w:val="en-GB"/>
        </w:rPr>
        <w:t>Strabismus</w:t>
      </w:r>
    </w:p>
    <w:p w:rsidR="00051188" w:rsidRDefault="00051188" w:rsidP="009D78B4">
      <w:pPr>
        <w:widowControl w:val="0"/>
        <w:tabs>
          <w:tab w:val="left" w:pos="-720"/>
        </w:tabs>
        <w:rPr>
          <w:color w:val="000000"/>
          <w:sz w:val="24"/>
          <w:szCs w:val="24"/>
          <w:lang w:val="en-GB"/>
        </w:rPr>
      </w:pPr>
      <w:r>
        <w:rPr>
          <w:caps/>
          <w:color w:val="000000"/>
          <w:sz w:val="24"/>
          <w:szCs w:val="24"/>
          <w:lang w:val="en-GB"/>
        </w:rPr>
        <w:t>Botox</w:t>
      </w:r>
      <w:r>
        <w:rPr>
          <w:color w:val="000000"/>
          <w:sz w:val="24"/>
          <w:szCs w:val="24"/>
          <w:vertAlign w:val="superscript"/>
          <w:lang w:val="en-GB"/>
        </w:rPr>
        <w:t xml:space="preserve">® </w:t>
      </w:r>
      <w:r>
        <w:rPr>
          <w:color w:val="000000"/>
          <w:sz w:val="24"/>
          <w:szCs w:val="24"/>
          <w:lang w:val="en-GB"/>
        </w:rPr>
        <w:t xml:space="preserve">is ineffective in chronic paralytic strabismus except to reduce antagonist contracture in conjunction with surgical repair.  The efficacy of </w:t>
      </w:r>
      <w:r>
        <w:rPr>
          <w:caps/>
          <w:color w:val="000000"/>
          <w:sz w:val="24"/>
          <w:szCs w:val="24"/>
          <w:lang w:val="en-GB"/>
        </w:rPr>
        <w:t>Botox</w:t>
      </w:r>
      <w:r>
        <w:rPr>
          <w:color w:val="000000"/>
          <w:sz w:val="24"/>
          <w:szCs w:val="24"/>
          <w:vertAlign w:val="superscript"/>
          <w:lang w:val="en-GB"/>
        </w:rPr>
        <w:t>®</w:t>
      </w:r>
      <w:r>
        <w:rPr>
          <w:i/>
          <w:color w:val="000000"/>
          <w:sz w:val="24"/>
          <w:szCs w:val="24"/>
          <w:vertAlign w:val="superscript"/>
          <w:lang w:val="en-GB"/>
        </w:rPr>
        <w:t xml:space="preserve"> </w:t>
      </w:r>
      <w:r>
        <w:rPr>
          <w:color w:val="000000"/>
          <w:sz w:val="24"/>
          <w:szCs w:val="24"/>
          <w:lang w:val="en-GB"/>
        </w:rPr>
        <w:t>treatment in deviations over 50 prism dioptres, in restrictive strabismus, in Duane’s syndrome with lateral rectus weakness, and in secondary strabismus caused by prior surgical over-recession of the antagonist is doubtful.  In order to enhance efficacy, multiple injections over time may be required.</w:t>
      </w:r>
    </w:p>
    <w:p w:rsidR="00051188" w:rsidRDefault="00051188" w:rsidP="009D78B4">
      <w:pPr>
        <w:pStyle w:val="BodyText3"/>
        <w:keepLines w:val="0"/>
        <w:widowControl w:val="0"/>
        <w:ind w:right="-14"/>
        <w:rPr>
          <w:b/>
          <w:i w:val="0"/>
          <w:color w:val="000000"/>
          <w:sz w:val="24"/>
          <w:lang w:val="en-GB"/>
        </w:rPr>
      </w:pPr>
    </w:p>
    <w:p w:rsidR="00051188" w:rsidRDefault="00051188" w:rsidP="009D78B4">
      <w:pPr>
        <w:pStyle w:val="BodyText3"/>
        <w:keepLines w:val="0"/>
        <w:widowControl w:val="0"/>
        <w:ind w:right="-14"/>
        <w:rPr>
          <w:i w:val="0"/>
          <w:color w:val="000000"/>
          <w:sz w:val="24"/>
          <w:szCs w:val="24"/>
          <w:lang w:val="en-GB"/>
        </w:rPr>
      </w:pPr>
      <w:r>
        <w:rPr>
          <w:i w:val="0"/>
          <w:color w:val="000000"/>
          <w:sz w:val="24"/>
          <w:szCs w:val="24"/>
          <w:lang w:val="en-GB"/>
        </w:rPr>
        <w:t xml:space="preserve">During the administration of </w:t>
      </w:r>
      <w:r>
        <w:rPr>
          <w:i w:val="0"/>
          <w:caps/>
          <w:color w:val="000000"/>
          <w:sz w:val="24"/>
          <w:szCs w:val="24"/>
          <w:lang w:val="en-GB"/>
        </w:rPr>
        <w:t>Botox</w:t>
      </w:r>
      <w:r>
        <w:rPr>
          <w:i w:val="0"/>
          <w:color w:val="000000"/>
          <w:sz w:val="24"/>
          <w:szCs w:val="24"/>
          <w:vertAlign w:val="superscript"/>
          <w:lang w:val="en-GB"/>
        </w:rPr>
        <w:t>®</w:t>
      </w:r>
      <w:r>
        <w:rPr>
          <w:i w:val="0"/>
          <w:color w:val="000000"/>
          <w:sz w:val="24"/>
          <w:szCs w:val="24"/>
          <w:lang w:val="en-GB"/>
        </w:rPr>
        <w:t xml:space="preserve"> for the treatment of strabismus, retrobulbar haemorrhages sufficient to compromise retinal circulation have occurred from needle penetrations into the orbit.  It is recommended that appropriate instruments to examine and decompress the orbit be accessible.  Ocular (globe) penetrations by needles have also occurred.  An ophthalmoscope to diagnose this condition should be available.  Inducing paralysis in one or more extraocular muscles may produce spatial disorientation, double vision or past pointing.  Covering the affected eye may alleviate these symptoms.</w:t>
      </w:r>
    </w:p>
    <w:p w:rsidR="00051188" w:rsidRDefault="00051188" w:rsidP="009D78B4">
      <w:pPr>
        <w:pStyle w:val="BodyText3"/>
        <w:keepLines w:val="0"/>
        <w:widowControl w:val="0"/>
        <w:ind w:right="-14"/>
        <w:rPr>
          <w:i w:val="0"/>
          <w:color w:val="000000"/>
          <w:sz w:val="24"/>
          <w:szCs w:val="24"/>
          <w:lang w:val="en-GB"/>
        </w:rPr>
      </w:pPr>
    </w:p>
    <w:p w:rsidR="00051188" w:rsidRDefault="00051188" w:rsidP="009D78B4">
      <w:pPr>
        <w:widowControl w:val="0"/>
        <w:tabs>
          <w:tab w:val="left" w:pos="-720"/>
        </w:tabs>
        <w:rPr>
          <w:color w:val="000000"/>
          <w:sz w:val="24"/>
          <w:szCs w:val="24"/>
          <w:lang w:val="en-GB"/>
        </w:rPr>
      </w:pPr>
      <w:r>
        <w:rPr>
          <w:b/>
          <w:color w:val="000000"/>
          <w:sz w:val="24"/>
          <w:szCs w:val="24"/>
          <w:lang w:val="en-GB"/>
        </w:rPr>
        <w:t>Spasticity</w:t>
      </w:r>
    </w:p>
    <w:p w:rsidR="00051188" w:rsidRDefault="00051188" w:rsidP="009D78B4">
      <w:pPr>
        <w:widowControl w:val="0"/>
        <w:tabs>
          <w:tab w:val="left" w:pos="-720"/>
        </w:tabs>
        <w:rPr>
          <w:color w:val="000000"/>
          <w:sz w:val="24"/>
          <w:szCs w:val="24"/>
          <w:lang w:val="en-GB"/>
        </w:rPr>
      </w:pPr>
      <w:r>
        <w:rPr>
          <w:caps/>
          <w:sz w:val="24"/>
          <w:szCs w:val="24"/>
        </w:rPr>
        <w:t>Botox</w:t>
      </w:r>
      <w:r>
        <w:rPr>
          <w:caps/>
          <w:sz w:val="24"/>
          <w:szCs w:val="24"/>
          <w:vertAlign w:val="superscript"/>
        </w:rPr>
        <w:sym w:font="Symbol" w:char="F0D2"/>
      </w:r>
      <w:r>
        <w:rPr>
          <w:color w:val="000000"/>
          <w:sz w:val="24"/>
          <w:szCs w:val="24"/>
          <w:lang w:val="en-GB"/>
        </w:rPr>
        <w:t xml:space="preserve"> is a treatment of focal spasticity that has only been studied in association with usual standard of care regimens and is not intended as a replacement for these treatment modalities.  </w:t>
      </w:r>
      <w:r>
        <w:rPr>
          <w:caps/>
          <w:sz w:val="24"/>
          <w:szCs w:val="24"/>
        </w:rPr>
        <w:t>Botox</w:t>
      </w:r>
      <w:r>
        <w:rPr>
          <w:caps/>
          <w:sz w:val="24"/>
          <w:szCs w:val="24"/>
          <w:vertAlign w:val="superscript"/>
        </w:rPr>
        <w:sym w:font="Symbol" w:char="F0D2"/>
      </w:r>
      <w:r>
        <w:rPr>
          <w:color w:val="000000"/>
          <w:sz w:val="24"/>
          <w:szCs w:val="24"/>
          <w:lang w:val="en-GB"/>
        </w:rPr>
        <w:t xml:space="preserve"> treatment is not likely to be effective in improving range of motion at a joint affected by a known fixed contracture.</w:t>
      </w:r>
    </w:p>
    <w:p w:rsidR="00051188" w:rsidRDefault="00051188" w:rsidP="009D78B4">
      <w:pPr>
        <w:widowControl w:val="0"/>
        <w:tabs>
          <w:tab w:val="left" w:pos="-720"/>
        </w:tabs>
        <w:rPr>
          <w:sz w:val="24"/>
          <w:lang w:val="en-AU"/>
        </w:rPr>
      </w:pPr>
      <w:r>
        <w:rPr>
          <w:color w:val="000000"/>
          <w:sz w:val="24"/>
          <w:szCs w:val="24"/>
          <w:lang w:val="en-GB"/>
        </w:rPr>
        <w:t xml:space="preserve">Identification of treatment goals and </w:t>
      </w:r>
      <w:r>
        <w:rPr>
          <w:sz w:val="24"/>
          <w:szCs w:val="24"/>
        </w:rPr>
        <w:t xml:space="preserve">clinical examination to identify the specific muscles causing spasticity is necessary, and use of electromyography, muscle ultrasound or electrical stimulation may facilitate the accuracy of the </w:t>
      </w:r>
      <w:r>
        <w:rPr>
          <w:caps/>
          <w:sz w:val="24"/>
          <w:szCs w:val="24"/>
        </w:rPr>
        <w:t>Botox</w:t>
      </w:r>
      <w:r>
        <w:rPr>
          <w:caps/>
          <w:sz w:val="24"/>
          <w:szCs w:val="24"/>
          <w:vertAlign w:val="superscript"/>
        </w:rPr>
        <w:sym w:font="Symbol" w:char="F0D2"/>
      </w:r>
      <w:r>
        <w:rPr>
          <w:sz w:val="24"/>
          <w:szCs w:val="24"/>
        </w:rPr>
        <w:t xml:space="preserve"> injections.</w:t>
      </w:r>
    </w:p>
    <w:p w:rsidR="00051188" w:rsidRDefault="00051188" w:rsidP="009D78B4">
      <w:pPr>
        <w:widowControl w:val="0"/>
        <w:tabs>
          <w:tab w:val="left" w:pos="-720"/>
        </w:tabs>
        <w:rPr>
          <w:sz w:val="24"/>
          <w:szCs w:val="24"/>
          <w:lang w:val="en-AU"/>
        </w:rPr>
      </w:pPr>
      <w:r>
        <w:rPr>
          <w:sz w:val="24"/>
          <w:szCs w:val="24"/>
          <w:lang w:val="en-AU"/>
        </w:rPr>
        <w:t>There have been rare spontaneous reports of death sometimes associated with aspiration pneumonia in children with severe cerebral palsy after treatment with botulinum toxin.  Caution should be exercised when treating paediatric patients who have significant neurologic debility, dysphagia, or have a recent history of aspiration pneumonia or lung disease.</w:t>
      </w:r>
    </w:p>
    <w:p w:rsidR="00051188" w:rsidRDefault="00051188" w:rsidP="009D78B4">
      <w:pPr>
        <w:widowControl w:val="0"/>
        <w:tabs>
          <w:tab w:val="left" w:pos="-720"/>
        </w:tabs>
        <w:rPr>
          <w:sz w:val="24"/>
          <w:szCs w:val="24"/>
          <w:lang w:val="en-AU"/>
        </w:rPr>
      </w:pPr>
    </w:p>
    <w:p w:rsidR="00051188" w:rsidRDefault="00051188" w:rsidP="009D78B4">
      <w:pPr>
        <w:widowControl w:val="0"/>
        <w:tabs>
          <w:tab w:val="left" w:pos="-720"/>
        </w:tabs>
        <w:rPr>
          <w:b/>
          <w:sz w:val="24"/>
          <w:szCs w:val="24"/>
          <w:lang w:val="en-GB"/>
        </w:rPr>
      </w:pPr>
      <w:r>
        <w:rPr>
          <w:b/>
          <w:sz w:val="24"/>
          <w:szCs w:val="24"/>
          <w:lang w:val="en-GB"/>
        </w:rPr>
        <w:t>Cervical Dystonia (spasmodic torticollis)</w:t>
      </w:r>
    </w:p>
    <w:p w:rsidR="00051188" w:rsidRDefault="00051188" w:rsidP="009D78B4">
      <w:pPr>
        <w:widowControl w:val="0"/>
        <w:rPr>
          <w:sz w:val="24"/>
          <w:szCs w:val="24"/>
        </w:rPr>
      </w:pPr>
      <w:r>
        <w:rPr>
          <w:b/>
          <w:bCs/>
          <w:sz w:val="24"/>
          <w:szCs w:val="24"/>
        </w:rPr>
        <w:t xml:space="preserve">Dysphagia and Breathing Difficulties </w:t>
      </w:r>
      <w:r>
        <w:rPr>
          <w:sz w:val="24"/>
          <w:szCs w:val="24"/>
        </w:rPr>
        <w:br/>
        <w:t>Treatment with BOTOX</w:t>
      </w:r>
      <w:r>
        <w:rPr>
          <w:caps/>
          <w:sz w:val="24"/>
          <w:szCs w:val="24"/>
          <w:vertAlign w:val="superscript"/>
        </w:rPr>
        <w:sym w:font="Symbol" w:char="F0D2"/>
      </w:r>
      <w:r>
        <w:rPr>
          <w:sz w:val="24"/>
          <w:szCs w:val="24"/>
        </w:rPr>
        <w:t xml:space="preserve"> and other botulinum toxin products can result in swallowing or breathing difficulties. Patients with preexisting swallowing or breathing difficulties may be more susceptible to these complications. In most cases, this is a consequence of weakening of muscles in the area of injection that are involved in breathing or swallowing. When distant effects occur, additional respiratory muscles may be involved. Deaths as a complication of severe dysphagia have been reported after treatment with botulinum toxin. Dysphagia may persist for several months, and require use of a feeding tube to maintain adequate nutrition and hydration. Aspiration may result from severe dysphagia and is a particular risk when treating patients in whom swallowing or respiratory function is already compromised. </w:t>
      </w:r>
    </w:p>
    <w:p w:rsidR="00051188" w:rsidRDefault="00051188" w:rsidP="009D78B4">
      <w:pPr>
        <w:pStyle w:val="NormalWeb"/>
        <w:widowControl w:val="0"/>
      </w:pPr>
      <w:r>
        <w:lastRenderedPageBreak/>
        <w:t xml:space="preserve">Treatment of cervical dystonia with botulinum toxins may weaken neck muscles that serve as accessory muscles of ventilation. This may result in a critical loss of breathing capacity in patients with respiratory disorders who may have become dependent upon these accessory muscles. There have been postmarketing reports of serious breathing difficulties, including respiratory failure, in cervical dystonia patients. Patients with smaller neck muscle mass and patients who require bilateral injections into the sternocleidomastoid muscle have been reported to be at greater risk for dysphagia. Limiting the dose injected into the sternocleidomastoid muscle may reduce the occurrence of dysphagia. Injections into the levator scapulae may be associated with an increased risk of upper respiratory infection and dysphagia. </w:t>
      </w:r>
    </w:p>
    <w:p w:rsidR="00051188" w:rsidRDefault="00051188" w:rsidP="009D78B4">
      <w:pPr>
        <w:pStyle w:val="NormalWeb"/>
        <w:widowControl w:val="0"/>
      </w:pPr>
      <w:r>
        <w:t xml:space="preserve">Patients treated with botulinum toxin may require immediate medical attention should they develop problems with swallowing, speech or respiratory disorders. These reactions can occur within hours to weeks after injection with botulinum toxin. </w:t>
      </w:r>
    </w:p>
    <w:p w:rsidR="00051188" w:rsidRDefault="00051188" w:rsidP="009D78B4">
      <w:pPr>
        <w:widowControl w:val="0"/>
        <w:rPr>
          <w:b/>
          <w:sz w:val="24"/>
          <w:szCs w:val="24"/>
          <w:lang w:val="en-GB"/>
        </w:rPr>
      </w:pPr>
      <w:r>
        <w:rPr>
          <w:b/>
          <w:sz w:val="24"/>
          <w:szCs w:val="24"/>
          <w:lang w:val="en-GB"/>
        </w:rPr>
        <w:t>Primary Hyperhidrosis of the Axillae</w:t>
      </w:r>
    </w:p>
    <w:p w:rsidR="00051188" w:rsidRDefault="00051188" w:rsidP="009D78B4">
      <w:pPr>
        <w:widowControl w:val="0"/>
        <w:rPr>
          <w:sz w:val="24"/>
          <w:szCs w:val="24"/>
          <w:lang w:val="en-GB"/>
        </w:rPr>
      </w:pPr>
      <w:r>
        <w:rPr>
          <w:sz w:val="24"/>
          <w:szCs w:val="24"/>
          <w:lang w:val="en-GB"/>
        </w:rPr>
        <w:t>Patients should be evaluated for potential causes of secondary hyperhidrosis (e.g. hyperthyroidism, phaeochromocytoma) to avoid symptomatic treatment of hyperhidrosis without the diagnosis and/or treatment of the underlying disease.</w:t>
      </w:r>
    </w:p>
    <w:p w:rsidR="00051188" w:rsidRDefault="00051188" w:rsidP="009D78B4">
      <w:pPr>
        <w:widowControl w:val="0"/>
        <w:rPr>
          <w:sz w:val="24"/>
          <w:szCs w:val="24"/>
          <w:lang w:val="en-GB"/>
        </w:rPr>
      </w:pPr>
    </w:p>
    <w:p w:rsidR="00051188" w:rsidRDefault="00051188" w:rsidP="009D78B4">
      <w:pPr>
        <w:widowControl w:val="0"/>
        <w:spacing w:line="240" w:lineRule="atLeast"/>
        <w:ind w:right="117"/>
        <w:rPr>
          <w:b/>
          <w:i/>
          <w:sz w:val="24"/>
        </w:rPr>
      </w:pPr>
      <w:r>
        <w:rPr>
          <w:b/>
          <w:sz w:val="24"/>
        </w:rPr>
        <w:t>Spasmodic Dysphonia</w:t>
      </w:r>
    </w:p>
    <w:p w:rsidR="00051188" w:rsidRDefault="00051188" w:rsidP="009D78B4">
      <w:pPr>
        <w:widowControl w:val="0"/>
        <w:spacing w:line="240" w:lineRule="atLeast"/>
        <w:ind w:right="117"/>
        <w:rPr>
          <w:sz w:val="24"/>
          <w:lang w:val="en-GB"/>
        </w:rPr>
      </w:pPr>
      <w:r>
        <w:rPr>
          <w:sz w:val="24"/>
        </w:rPr>
        <w:t>The diagnosis of spasmodic dysphonia should also be established by a multidisciplinary approach including neurological, ENT and speech pathology assessment.  Laryngoscopy (preferably by a nasendoscope) is mandatory during the diagnostic evaluation to exclude other structural disorders of the larynx causing any form of dysphonia and to observe the nature of the hyperadductive or hyperabductive movements.</w:t>
      </w:r>
    </w:p>
    <w:p w:rsidR="00051188" w:rsidRDefault="00051188" w:rsidP="009D78B4">
      <w:pPr>
        <w:widowControl w:val="0"/>
        <w:spacing w:line="240" w:lineRule="atLeast"/>
        <w:ind w:right="117"/>
        <w:rPr>
          <w:sz w:val="24"/>
        </w:rPr>
      </w:pPr>
    </w:p>
    <w:p w:rsidR="00051188" w:rsidRDefault="00051188" w:rsidP="009D78B4">
      <w:pPr>
        <w:widowControl w:val="0"/>
        <w:spacing w:line="240" w:lineRule="atLeast"/>
        <w:ind w:right="117"/>
        <w:rPr>
          <w:sz w:val="24"/>
        </w:rPr>
      </w:pPr>
      <w:r>
        <w:rPr>
          <w:sz w:val="24"/>
        </w:rPr>
        <w:t>In general, treatment of spasmodic dysphonia with BOTOX</w:t>
      </w:r>
      <w:r>
        <w:rPr>
          <w:sz w:val="24"/>
          <w:vertAlign w:val="superscript"/>
        </w:rPr>
        <w:t>®</w:t>
      </w:r>
      <w:r>
        <w:rPr>
          <w:sz w:val="24"/>
        </w:rPr>
        <w:t xml:space="preserve"> injections should not be administered in pregnant or breastfeeding women.  It should be avoided in patients who are due to have elective surgery requiring general anaesthetic as BOTOX</w:t>
      </w:r>
      <w:r>
        <w:rPr>
          <w:sz w:val="24"/>
          <w:vertAlign w:val="superscript"/>
        </w:rPr>
        <w:t>®</w:t>
      </w:r>
      <w:r>
        <w:rPr>
          <w:sz w:val="24"/>
        </w:rPr>
        <w:t xml:space="preserve"> relaxes the vocal cords, potentially increasing the risk of peri-operative aspiration etc.  It is recommended that this procedure be carried out by appropriately trained physicians in facilities prepared to manage reflex stridor should it occur in association with the procedure.</w:t>
      </w:r>
    </w:p>
    <w:p w:rsidR="00051188" w:rsidRDefault="00051188" w:rsidP="009D78B4">
      <w:pPr>
        <w:widowControl w:val="0"/>
        <w:spacing w:line="240" w:lineRule="atLeast"/>
        <w:ind w:right="117"/>
        <w:rPr>
          <w:sz w:val="24"/>
        </w:rPr>
      </w:pPr>
    </w:p>
    <w:p w:rsidR="00051188" w:rsidRDefault="00051188" w:rsidP="009D78B4">
      <w:pPr>
        <w:widowControl w:val="0"/>
        <w:spacing w:line="240" w:lineRule="atLeast"/>
        <w:ind w:right="117"/>
        <w:rPr>
          <w:sz w:val="24"/>
          <w:lang w:val="en-GB"/>
        </w:rPr>
      </w:pPr>
      <w:r>
        <w:rPr>
          <w:b/>
          <w:sz w:val="24"/>
          <w:lang w:val="en-GB"/>
        </w:rPr>
        <w:t>Upper Facial Rhytides (forehead lines, crow’s feet and glabellar lines)</w:t>
      </w:r>
    </w:p>
    <w:p w:rsidR="00051188" w:rsidRDefault="00051188" w:rsidP="009D78B4">
      <w:pPr>
        <w:widowControl w:val="0"/>
        <w:spacing w:line="240" w:lineRule="atLeast"/>
        <w:ind w:right="117"/>
        <w:rPr>
          <w:sz w:val="24"/>
          <w:lang w:val="en-GB"/>
        </w:rPr>
      </w:pPr>
      <w:r>
        <w:rPr>
          <w:sz w:val="24"/>
          <w:lang w:val="en-GB"/>
        </w:rPr>
        <w:t>Reduced blinking from BOTOX</w:t>
      </w:r>
      <w:r>
        <w:rPr>
          <w:sz w:val="24"/>
          <w:vertAlign w:val="superscript"/>
          <w:lang w:val="en-GB"/>
        </w:rPr>
        <w:t>®</w:t>
      </w:r>
      <w:r>
        <w:rPr>
          <w:sz w:val="24"/>
          <w:lang w:val="en-GB"/>
        </w:rPr>
        <w:t xml:space="preserve"> injection of the orbicularis oculi muscle can lead to corneal exposure, persistent epithelial defects and corneal ulceration, especially in patients with cranial nerve VII disorders.  Caution should be used when BOTOX</w:t>
      </w:r>
      <w:r>
        <w:rPr>
          <w:sz w:val="24"/>
          <w:vertAlign w:val="superscript"/>
          <w:lang w:val="en-GB"/>
        </w:rPr>
        <w:t>®</w:t>
      </w:r>
      <w:r>
        <w:rPr>
          <w:sz w:val="24"/>
          <w:lang w:val="en-GB"/>
        </w:rPr>
        <w:t xml:space="preserve"> treatment is used in patients who have an inflammation at the injection site, marked facial asymmetry, ptosis, excessive dermatochalasis, deep dermal scarring, thick sebaceous skin or the inability to substantially lessen glabellar lines by physically spreading them apart.</w:t>
      </w:r>
    </w:p>
    <w:p w:rsidR="00051188" w:rsidRDefault="00051188" w:rsidP="009D78B4">
      <w:pPr>
        <w:widowControl w:val="0"/>
        <w:spacing w:line="240" w:lineRule="atLeast"/>
        <w:ind w:right="117"/>
        <w:rPr>
          <w:sz w:val="24"/>
          <w:szCs w:val="24"/>
          <w:lang w:val="en-GB"/>
        </w:rPr>
      </w:pPr>
    </w:p>
    <w:p w:rsidR="00051188" w:rsidRDefault="00051188" w:rsidP="009D78B4">
      <w:pPr>
        <w:widowControl w:val="0"/>
        <w:spacing w:line="240" w:lineRule="atLeast"/>
        <w:ind w:right="117"/>
        <w:rPr>
          <w:b/>
          <w:sz w:val="24"/>
        </w:rPr>
      </w:pPr>
      <w:r>
        <w:rPr>
          <w:b/>
          <w:sz w:val="24"/>
        </w:rPr>
        <w:t>Chronic migraine</w:t>
      </w:r>
    </w:p>
    <w:p w:rsidR="00051188" w:rsidRDefault="00051188" w:rsidP="009D78B4">
      <w:pPr>
        <w:widowControl w:val="0"/>
        <w:spacing w:line="240" w:lineRule="atLeast"/>
        <w:ind w:right="117"/>
        <w:rPr>
          <w:i/>
          <w:szCs w:val="24"/>
        </w:rPr>
      </w:pPr>
      <w:r>
        <w:rPr>
          <w:sz w:val="24"/>
          <w:szCs w:val="24"/>
        </w:rPr>
        <w:t>Due to the difficulties in establishing a diagnosis of chronic migraine, patients being considered for prophylaxis of headaches with BOTOX</w:t>
      </w:r>
      <w:r>
        <w:rPr>
          <w:caps/>
          <w:sz w:val="24"/>
          <w:szCs w:val="24"/>
          <w:vertAlign w:val="superscript"/>
        </w:rPr>
        <w:sym w:font="Symbol" w:char="F0D2"/>
      </w:r>
      <w:r>
        <w:rPr>
          <w:sz w:val="24"/>
          <w:szCs w:val="24"/>
        </w:rPr>
        <w:t xml:space="preserve">  should be evaluated by a neurologist or pain management specialist prior to receiving treatment with BOTOX</w:t>
      </w:r>
      <w:r>
        <w:rPr>
          <w:caps/>
          <w:sz w:val="24"/>
          <w:szCs w:val="24"/>
          <w:vertAlign w:val="superscript"/>
        </w:rPr>
        <w:sym w:font="Symbol" w:char="F0D2"/>
      </w:r>
      <w:r>
        <w:rPr>
          <w:sz w:val="24"/>
          <w:szCs w:val="24"/>
        </w:rPr>
        <w:t>.  The use of BOTOX</w:t>
      </w:r>
      <w:r>
        <w:rPr>
          <w:caps/>
          <w:sz w:val="24"/>
          <w:szCs w:val="24"/>
          <w:vertAlign w:val="superscript"/>
        </w:rPr>
        <w:sym w:font="Symbol" w:char="F0D2"/>
      </w:r>
      <w:r>
        <w:rPr>
          <w:sz w:val="24"/>
          <w:szCs w:val="24"/>
        </w:rPr>
        <w:t xml:space="preserve">  for prophylaxis of headaches in adults with chronic migraine has been assessed for 3 cycles over 32 weeks.  No long term safety or efficacy data for this indication </w:t>
      </w:r>
      <w:r>
        <w:rPr>
          <w:sz w:val="24"/>
          <w:szCs w:val="24"/>
        </w:rPr>
        <w:lastRenderedPageBreak/>
        <w:t>are available.  Patients who do not have an adequate  response after 2 treatment cycles should not continue treatment.</w:t>
      </w:r>
      <w:r>
        <w:rPr>
          <w:szCs w:val="24"/>
        </w:rPr>
        <w:t xml:space="preserve"> </w:t>
      </w:r>
      <w:r>
        <w:rPr>
          <w:sz w:val="24"/>
          <w:szCs w:val="24"/>
        </w:rPr>
        <w:t xml:space="preserve">Patients should not receive more than 3 cycles of treatment prior to an assessment of the need for further treatment. </w:t>
      </w:r>
    </w:p>
    <w:p w:rsidR="00051188" w:rsidRDefault="00051188" w:rsidP="009D78B4">
      <w:pPr>
        <w:widowControl w:val="0"/>
        <w:spacing w:line="240" w:lineRule="atLeast"/>
        <w:ind w:right="117"/>
        <w:rPr>
          <w:bCs/>
          <w:iCs/>
          <w:sz w:val="24"/>
          <w:szCs w:val="24"/>
        </w:rPr>
      </w:pPr>
    </w:p>
    <w:p w:rsidR="00051188" w:rsidRDefault="00051188" w:rsidP="009D78B4">
      <w:pPr>
        <w:widowControl w:val="0"/>
        <w:spacing w:line="240" w:lineRule="atLeast"/>
        <w:ind w:right="117"/>
        <w:rPr>
          <w:sz w:val="24"/>
          <w:szCs w:val="24"/>
          <w:lang w:val="en-GB"/>
        </w:rPr>
      </w:pPr>
      <w:r>
        <w:rPr>
          <w:bCs/>
          <w:iCs/>
          <w:sz w:val="24"/>
          <w:szCs w:val="24"/>
        </w:rPr>
        <w:t>The safety and effectiveness of BOTOX</w:t>
      </w:r>
      <w:r>
        <w:rPr>
          <w:sz w:val="24"/>
          <w:vertAlign w:val="superscript"/>
        </w:rPr>
        <w:t>®</w:t>
      </w:r>
      <w:r>
        <w:rPr>
          <w:bCs/>
          <w:iCs/>
          <w:sz w:val="24"/>
          <w:szCs w:val="24"/>
        </w:rPr>
        <w:t xml:space="preserve"> have not been established for the prophylaxis of headaches in adults with episodic migraine (14 headache days or fewer per month) or tension type headache.</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b/>
          <w:strike/>
          <w:sz w:val="24"/>
          <w:szCs w:val="24"/>
          <w:lang w:val="en-GB"/>
        </w:rPr>
      </w:pPr>
      <w:r>
        <w:rPr>
          <w:b/>
          <w:sz w:val="24"/>
          <w:szCs w:val="24"/>
          <w:lang w:val="en-GB"/>
        </w:rPr>
        <w:t>Carcinogenicity</w:t>
      </w:r>
    </w:p>
    <w:p w:rsidR="00051188" w:rsidRDefault="00051188" w:rsidP="009D78B4">
      <w:pPr>
        <w:widowControl w:val="0"/>
        <w:tabs>
          <w:tab w:val="left" w:pos="-720"/>
        </w:tabs>
        <w:rPr>
          <w:sz w:val="24"/>
          <w:szCs w:val="24"/>
          <w:lang w:val="en-GB"/>
        </w:rPr>
      </w:pPr>
      <w:r>
        <w:rPr>
          <w:sz w:val="24"/>
          <w:szCs w:val="24"/>
          <w:lang w:val="en-GB"/>
        </w:rPr>
        <w:t xml:space="preserve">Long-term studies in animals have not been performed to evaluate the carcinogenic potential of </w:t>
      </w:r>
      <w:r>
        <w:rPr>
          <w:caps/>
          <w:sz w:val="24"/>
          <w:szCs w:val="24"/>
        </w:rPr>
        <w:t>Botox</w:t>
      </w:r>
      <w:r>
        <w:rPr>
          <w:caps/>
          <w:sz w:val="24"/>
          <w:szCs w:val="24"/>
          <w:vertAlign w:val="superscript"/>
        </w:rPr>
        <w:sym w:font="Symbol" w:char="F0D2"/>
      </w:r>
      <w:r>
        <w:rPr>
          <w:sz w:val="24"/>
          <w:szCs w:val="24"/>
          <w:lang w:val="en-GB"/>
        </w:rPr>
        <w:t xml:space="preserve"> injection.  </w:t>
      </w:r>
      <w:r>
        <w:rPr>
          <w:caps/>
          <w:sz w:val="24"/>
          <w:szCs w:val="24"/>
        </w:rPr>
        <w:t>Botox</w:t>
      </w:r>
      <w:r>
        <w:rPr>
          <w:caps/>
          <w:sz w:val="24"/>
          <w:szCs w:val="24"/>
          <w:vertAlign w:val="superscript"/>
        </w:rPr>
        <w:sym w:font="Symbol" w:char="F0D2"/>
      </w:r>
      <w:r>
        <w:rPr>
          <w:sz w:val="24"/>
          <w:szCs w:val="24"/>
          <w:lang w:val="en-GB"/>
        </w:rPr>
        <w:t xml:space="preserve"> is not structurally related to any known carcinogens.  </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b/>
          <w:sz w:val="24"/>
          <w:szCs w:val="24"/>
          <w:lang w:val="en-GB"/>
        </w:rPr>
      </w:pPr>
      <w:r>
        <w:rPr>
          <w:b/>
          <w:sz w:val="24"/>
          <w:szCs w:val="24"/>
          <w:lang w:val="en-GB"/>
        </w:rPr>
        <w:t>Genotoxicity</w:t>
      </w:r>
    </w:p>
    <w:p w:rsidR="00051188" w:rsidRDefault="00051188" w:rsidP="009D78B4">
      <w:pPr>
        <w:widowControl w:val="0"/>
        <w:tabs>
          <w:tab w:val="left" w:pos="-720"/>
        </w:tabs>
        <w:rPr>
          <w:sz w:val="24"/>
          <w:szCs w:val="24"/>
          <w:lang w:val="en-GB"/>
        </w:rPr>
      </w:pPr>
      <w:r>
        <w:rPr>
          <w:caps/>
          <w:sz w:val="24"/>
          <w:szCs w:val="24"/>
        </w:rPr>
        <w:t>Botox</w:t>
      </w:r>
      <w:r>
        <w:rPr>
          <w:caps/>
          <w:sz w:val="24"/>
          <w:szCs w:val="24"/>
          <w:vertAlign w:val="superscript"/>
        </w:rPr>
        <w:sym w:font="Symbol" w:char="F0D2"/>
      </w:r>
      <w:r>
        <w:rPr>
          <w:sz w:val="24"/>
          <w:szCs w:val="24"/>
          <w:lang w:val="en-GB"/>
        </w:rPr>
        <w:t xml:space="preserve"> was inactive in </w:t>
      </w:r>
      <w:r>
        <w:rPr>
          <w:i/>
          <w:sz w:val="24"/>
          <w:szCs w:val="24"/>
          <w:lang w:val="en-GB"/>
        </w:rPr>
        <w:t>in vitro</w:t>
      </w:r>
      <w:r>
        <w:rPr>
          <w:sz w:val="24"/>
          <w:szCs w:val="24"/>
          <w:lang w:val="en-GB"/>
        </w:rPr>
        <w:t xml:space="preserve"> tests for gene mutation and in </w:t>
      </w:r>
      <w:r>
        <w:rPr>
          <w:i/>
          <w:sz w:val="24"/>
          <w:szCs w:val="24"/>
          <w:lang w:val="en-GB"/>
        </w:rPr>
        <w:t>in vitro</w:t>
      </w:r>
      <w:r>
        <w:rPr>
          <w:sz w:val="24"/>
          <w:szCs w:val="24"/>
          <w:lang w:val="en-GB"/>
        </w:rPr>
        <w:t xml:space="preserve"> and </w:t>
      </w:r>
      <w:r>
        <w:rPr>
          <w:i/>
          <w:sz w:val="24"/>
          <w:szCs w:val="24"/>
          <w:lang w:val="en-GB"/>
        </w:rPr>
        <w:t>in vivo</w:t>
      </w:r>
      <w:r>
        <w:rPr>
          <w:sz w:val="24"/>
          <w:szCs w:val="24"/>
          <w:lang w:val="en-GB"/>
        </w:rPr>
        <w:t xml:space="preserve"> tests for clastogenicity.  </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b/>
          <w:sz w:val="24"/>
          <w:szCs w:val="24"/>
          <w:lang w:val="en-GB"/>
        </w:rPr>
      </w:pPr>
      <w:r>
        <w:rPr>
          <w:b/>
          <w:sz w:val="24"/>
          <w:szCs w:val="24"/>
          <w:lang w:val="en-GB"/>
        </w:rPr>
        <w:t>Effects on Fertility</w:t>
      </w:r>
    </w:p>
    <w:p w:rsidR="00051188" w:rsidRDefault="00051188" w:rsidP="009D78B4">
      <w:pPr>
        <w:widowControl w:val="0"/>
        <w:tabs>
          <w:tab w:val="left" w:pos="-720"/>
        </w:tabs>
        <w:rPr>
          <w:sz w:val="24"/>
          <w:szCs w:val="24"/>
          <w:lang w:val="en-GB"/>
        </w:rPr>
      </w:pPr>
      <w:r>
        <w:rPr>
          <w:sz w:val="24"/>
          <w:szCs w:val="24"/>
          <w:lang w:val="en-GB"/>
        </w:rPr>
        <w:t xml:space="preserve">Intramuscular </w:t>
      </w:r>
      <w:r>
        <w:rPr>
          <w:caps/>
          <w:sz w:val="24"/>
          <w:szCs w:val="24"/>
        </w:rPr>
        <w:t>Botox</w:t>
      </w:r>
      <w:r>
        <w:rPr>
          <w:caps/>
          <w:sz w:val="24"/>
          <w:szCs w:val="24"/>
          <w:vertAlign w:val="superscript"/>
        </w:rPr>
        <w:sym w:font="Symbol" w:char="F0D2"/>
      </w:r>
      <w:r>
        <w:rPr>
          <w:sz w:val="24"/>
          <w:szCs w:val="24"/>
          <w:lang w:val="en-GB"/>
        </w:rPr>
        <w:t xml:space="preserve"> doses of 4 U/kg (males) and 8 U/kg (females) did not affect rat fertility.  Decreased fertility occurred with higher doses, which also resulted in signs of toxicity.  The relevance of these findings to human fertility is not known.</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b/>
          <w:sz w:val="24"/>
          <w:szCs w:val="24"/>
          <w:lang w:val="en-GB"/>
        </w:rPr>
        <w:t xml:space="preserve">Use in Pregnancy:  </w:t>
      </w:r>
      <w:r>
        <w:rPr>
          <w:sz w:val="24"/>
          <w:szCs w:val="24"/>
          <w:lang w:val="en-GB"/>
        </w:rPr>
        <w:t>Pregnancy Category B3.</w:t>
      </w:r>
    </w:p>
    <w:p w:rsidR="00051188" w:rsidRDefault="00051188" w:rsidP="009D78B4">
      <w:pPr>
        <w:widowControl w:val="0"/>
        <w:tabs>
          <w:tab w:val="left" w:pos="-720"/>
        </w:tabs>
        <w:rPr>
          <w:sz w:val="24"/>
          <w:szCs w:val="24"/>
          <w:lang w:val="en-GB"/>
        </w:rPr>
      </w:pPr>
      <w:r>
        <w:rPr>
          <w:sz w:val="24"/>
          <w:szCs w:val="24"/>
          <w:lang w:val="en-GB"/>
        </w:rPr>
        <w:t>There are no adequate data regarding the use of botulinum toxin type A in pregnant women.  Studies in animals have shown reproductive toxicity.  The potential risk for humans is unknown.  BOTOX</w:t>
      </w:r>
      <w:r>
        <w:rPr>
          <w:sz w:val="24"/>
          <w:szCs w:val="24"/>
          <w:vertAlign w:val="superscript"/>
          <w:lang w:val="en-GB"/>
        </w:rPr>
        <w:t>®</w:t>
      </w:r>
      <w:r>
        <w:rPr>
          <w:sz w:val="24"/>
          <w:szCs w:val="24"/>
          <w:lang w:val="en-GB"/>
        </w:rPr>
        <w:t xml:space="preserve"> should not be used during pregnancy unless the benefits clearly outweigh the potential risks.  If the use of BOTOX</w:t>
      </w:r>
      <w:r>
        <w:rPr>
          <w:sz w:val="24"/>
          <w:szCs w:val="24"/>
          <w:vertAlign w:val="superscript"/>
          <w:lang w:val="en-GB"/>
        </w:rPr>
        <w:t>®</w:t>
      </w:r>
      <w:r>
        <w:rPr>
          <w:sz w:val="24"/>
          <w:vertAlign w:val="superscript"/>
          <w:lang w:val="en-GB"/>
        </w:rPr>
        <w:t xml:space="preserve"> </w:t>
      </w:r>
      <w:r>
        <w:rPr>
          <w:sz w:val="24"/>
          <w:szCs w:val="24"/>
          <w:lang w:val="en-GB"/>
        </w:rPr>
        <w:t>is determined to be warranted during pregnancy, or if the patient becomes pregnant whilst being treated with BOTOX</w:t>
      </w:r>
      <w:r>
        <w:rPr>
          <w:sz w:val="24"/>
          <w:szCs w:val="24"/>
          <w:vertAlign w:val="superscript"/>
          <w:lang w:val="en-GB"/>
        </w:rPr>
        <w:t>®</w:t>
      </w:r>
      <w:r>
        <w:rPr>
          <w:sz w:val="24"/>
          <w:szCs w:val="24"/>
          <w:lang w:val="en-GB"/>
        </w:rPr>
        <w:t>, the patient should be apprised of the potential risks.</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rPr>
      </w:pPr>
      <w:r>
        <w:rPr>
          <w:sz w:val="24"/>
          <w:szCs w:val="24"/>
          <w:lang w:val="en-GB"/>
        </w:rPr>
        <w:t xml:space="preserve">There was no evidence of teratogenicity in animal studies.  Intramuscular administration of </w:t>
      </w:r>
      <w:r>
        <w:rPr>
          <w:caps/>
          <w:sz w:val="24"/>
          <w:szCs w:val="24"/>
        </w:rPr>
        <w:t>Botox</w:t>
      </w:r>
      <w:r>
        <w:rPr>
          <w:caps/>
          <w:sz w:val="24"/>
          <w:szCs w:val="24"/>
          <w:vertAlign w:val="superscript"/>
        </w:rPr>
        <w:sym w:font="Symbol" w:char="F0D2"/>
      </w:r>
      <w:r>
        <w:rPr>
          <w:caps/>
          <w:sz w:val="24"/>
          <w:szCs w:val="24"/>
        </w:rPr>
        <w:t xml:space="preserve"> </w:t>
      </w:r>
      <w:r>
        <w:rPr>
          <w:sz w:val="24"/>
          <w:szCs w:val="24"/>
        </w:rPr>
        <w:t xml:space="preserve">to mice and rats during the period of organogenesis reduced dam weight gain and fetal ossification (4 U/kg); higher doses (8 or 16 U/kg) were associated with reductions in fetal body weights and/or delayed ossification.  Intramuscular  administration to rabbits twice during the period of organogenesis resulted in abortions (2 U/kg) and maternal deaths (4 and 6 U/kg), while daily intramuscular  administration during organogenesis resulted in reduced fetal weights (0.25 and 0.5 U/kg) and increased resorptions (0.5 U/kg); the no-effect dose was 0.125 U/kg, although all doses were maternotoxic.  Intramuscular treatment of rats with a maternotoxic dose of </w:t>
      </w:r>
      <w:r>
        <w:rPr>
          <w:caps/>
          <w:sz w:val="24"/>
          <w:szCs w:val="24"/>
        </w:rPr>
        <w:t>Botox</w:t>
      </w:r>
      <w:r>
        <w:rPr>
          <w:caps/>
          <w:sz w:val="24"/>
          <w:szCs w:val="24"/>
          <w:vertAlign w:val="superscript"/>
        </w:rPr>
        <w:sym w:font="Symbol" w:char="F0D2"/>
      </w:r>
      <w:r>
        <w:rPr>
          <w:caps/>
          <w:sz w:val="24"/>
          <w:szCs w:val="24"/>
          <w:vertAlign w:val="superscript"/>
        </w:rPr>
        <w:t xml:space="preserve"> </w:t>
      </w:r>
      <w:r>
        <w:rPr>
          <w:sz w:val="24"/>
          <w:szCs w:val="24"/>
        </w:rPr>
        <w:t>(16 U/kg) twice during gestation and once during lactation resulted in increased post-implantation loss and reduced pup weights, but post-weaning pup development was unaffected.  The significance of the adverse findings in animals for clinical risk is uncertain.</w:t>
      </w:r>
    </w:p>
    <w:p w:rsidR="00051188" w:rsidRDefault="00051188" w:rsidP="009D78B4">
      <w:pPr>
        <w:widowControl w:val="0"/>
        <w:tabs>
          <w:tab w:val="left" w:pos="-720"/>
        </w:tabs>
        <w:rPr>
          <w:sz w:val="24"/>
          <w:szCs w:val="24"/>
        </w:rPr>
      </w:pPr>
    </w:p>
    <w:p w:rsidR="00051188" w:rsidRDefault="00051188" w:rsidP="009D78B4">
      <w:pPr>
        <w:widowControl w:val="0"/>
        <w:tabs>
          <w:tab w:val="left" w:pos="-720"/>
        </w:tabs>
        <w:rPr>
          <w:b/>
          <w:sz w:val="24"/>
          <w:szCs w:val="24"/>
          <w:lang w:val="en-GB"/>
        </w:rPr>
      </w:pPr>
      <w:r>
        <w:rPr>
          <w:b/>
          <w:sz w:val="24"/>
          <w:szCs w:val="24"/>
          <w:lang w:val="en-GB"/>
        </w:rPr>
        <w:t>Use in Lactation</w:t>
      </w:r>
    </w:p>
    <w:p w:rsidR="00051188" w:rsidRDefault="00051188" w:rsidP="009D78B4">
      <w:pPr>
        <w:widowControl w:val="0"/>
        <w:tabs>
          <w:tab w:val="left" w:pos="-720"/>
        </w:tabs>
        <w:rPr>
          <w:sz w:val="24"/>
          <w:szCs w:val="24"/>
          <w:lang w:val="en-GB"/>
        </w:rPr>
      </w:pPr>
      <w:r>
        <w:rPr>
          <w:sz w:val="24"/>
          <w:szCs w:val="24"/>
          <w:lang w:val="en-GB"/>
        </w:rPr>
        <w:t>There is no information on whether BOTOX</w:t>
      </w:r>
      <w:r>
        <w:rPr>
          <w:sz w:val="24"/>
          <w:szCs w:val="24"/>
          <w:vertAlign w:val="superscript"/>
          <w:lang w:val="en-GB"/>
        </w:rPr>
        <w:t>®</w:t>
      </w:r>
      <w:r>
        <w:rPr>
          <w:sz w:val="24"/>
          <w:szCs w:val="24"/>
          <w:lang w:val="en-GB"/>
        </w:rPr>
        <w:t xml:space="preserve"> is excreted in human milk.  The use of BOTOX</w:t>
      </w:r>
      <w:r>
        <w:rPr>
          <w:sz w:val="24"/>
          <w:szCs w:val="24"/>
          <w:vertAlign w:val="superscript"/>
          <w:lang w:val="en-GB"/>
        </w:rPr>
        <w:t>®</w:t>
      </w:r>
      <w:r>
        <w:rPr>
          <w:sz w:val="24"/>
          <w:szCs w:val="24"/>
          <w:lang w:val="en-GB"/>
        </w:rPr>
        <w:t xml:space="preserve"> during lactation is not recommended.</w:t>
      </w:r>
    </w:p>
    <w:p w:rsidR="00051188" w:rsidRDefault="00051188" w:rsidP="009D78B4">
      <w:pPr>
        <w:widowControl w:val="0"/>
        <w:tabs>
          <w:tab w:val="left" w:pos="-720"/>
        </w:tabs>
        <w:rPr>
          <w:i/>
          <w:sz w:val="24"/>
          <w:lang w:val="en-GB"/>
        </w:rPr>
      </w:pPr>
    </w:p>
    <w:p w:rsidR="00051188" w:rsidRDefault="00051188" w:rsidP="009D78B4">
      <w:pPr>
        <w:widowControl w:val="0"/>
        <w:tabs>
          <w:tab w:val="left" w:pos="-720"/>
        </w:tabs>
        <w:rPr>
          <w:b/>
          <w:sz w:val="24"/>
          <w:lang w:val="en-GB"/>
        </w:rPr>
      </w:pPr>
      <w:r>
        <w:rPr>
          <w:b/>
          <w:sz w:val="24"/>
          <w:lang w:val="en-GB"/>
        </w:rPr>
        <w:t>Paediatric Use</w:t>
      </w:r>
    </w:p>
    <w:p w:rsidR="00051188" w:rsidRDefault="00051188" w:rsidP="009D78B4">
      <w:pPr>
        <w:widowControl w:val="0"/>
        <w:rPr>
          <w:sz w:val="24"/>
          <w:szCs w:val="24"/>
        </w:rPr>
      </w:pPr>
      <w:r>
        <w:rPr>
          <w:sz w:val="24"/>
          <w:szCs w:val="24"/>
        </w:rPr>
        <w:t>The safety and effectiveness of BOTOX</w:t>
      </w:r>
      <w:r>
        <w:rPr>
          <w:sz w:val="24"/>
          <w:szCs w:val="24"/>
          <w:vertAlign w:val="superscript"/>
        </w:rPr>
        <w:t>®</w:t>
      </w:r>
      <w:r>
        <w:rPr>
          <w:sz w:val="24"/>
          <w:szCs w:val="24"/>
        </w:rPr>
        <w:t xml:space="preserve"> in the treatment of urinary incontinence due to </w:t>
      </w:r>
      <w:r>
        <w:rPr>
          <w:sz w:val="24"/>
          <w:szCs w:val="24"/>
        </w:rPr>
        <w:lastRenderedPageBreak/>
        <w:t>overactive bladder have not been established in patients below the age of 18 years.</w:t>
      </w:r>
    </w:p>
    <w:p w:rsidR="00051188" w:rsidRDefault="00051188" w:rsidP="009D78B4">
      <w:pPr>
        <w:widowControl w:val="0"/>
        <w:tabs>
          <w:tab w:val="left" w:pos="-720"/>
        </w:tabs>
        <w:rPr>
          <w:sz w:val="24"/>
        </w:rPr>
      </w:pPr>
    </w:p>
    <w:p w:rsidR="00051188" w:rsidRDefault="00051188" w:rsidP="009D78B4">
      <w:pPr>
        <w:widowControl w:val="0"/>
        <w:tabs>
          <w:tab w:val="left" w:pos="-720"/>
        </w:tabs>
        <w:rPr>
          <w:sz w:val="24"/>
        </w:rPr>
      </w:pPr>
      <w:r>
        <w:rPr>
          <w:sz w:val="24"/>
        </w:rPr>
        <w:t>The safety and effectiveness of BOTOX</w:t>
      </w:r>
      <w:r>
        <w:rPr>
          <w:sz w:val="24"/>
          <w:vertAlign w:val="superscript"/>
        </w:rPr>
        <w:t>®</w:t>
      </w:r>
      <w:r>
        <w:rPr>
          <w:sz w:val="24"/>
        </w:rPr>
        <w:t xml:space="preserve"> in the treatment of urinary incontinence due to neurogenic detrusor overactivity have not been established in patients below the age of 18 years. </w:t>
      </w:r>
    </w:p>
    <w:p w:rsidR="00051188" w:rsidRDefault="00051188" w:rsidP="009D78B4">
      <w:pPr>
        <w:widowControl w:val="0"/>
        <w:tabs>
          <w:tab w:val="left" w:pos="-720"/>
        </w:tabs>
        <w:rPr>
          <w:b/>
          <w:strike/>
          <w:sz w:val="24"/>
          <w:lang w:val="en-GB"/>
        </w:rPr>
      </w:pPr>
    </w:p>
    <w:p w:rsidR="00051188" w:rsidRDefault="00051188" w:rsidP="009D78B4">
      <w:pPr>
        <w:widowControl w:val="0"/>
        <w:tabs>
          <w:tab w:val="left" w:pos="-720"/>
        </w:tabs>
        <w:rPr>
          <w:sz w:val="24"/>
          <w:lang w:val="en-AU"/>
        </w:rPr>
      </w:pPr>
      <w:r>
        <w:rPr>
          <w:sz w:val="24"/>
          <w:lang w:val="en-GB"/>
        </w:rPr>
        <w:t>Safety and effectiveness in paediatric patients below the age of 18 years have not been established for the indication of chronic migraine</w:t>
      </w:r>
      <w:r>
        <w:rPr>
          <w:sz w:val="24"/>
          <w:lang w:val="en-AU"/>
        </w:rPr>
        <w:t>.</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sz w:val="24"/>
          <w:lang w:val="en-GB"/>
        </w:rPr>
        <w:t>Safety and effectiveness in children below the age of 12 years have not been established for the indications of blepharospasm, hemifacial spasm, cervical dystonia, hyperhidrosis, spasmodic dysphonia or upper facial lines (forehead, crow’s feet and glabellar lines).  The safety and effectiveness of BOTOX</w:t>
      </w:r>
      <w:r>
        <w:rPr>
          <w:sz w:val="24"/>
          <w:vertAlign w:val="superscript"/>
          <w:lang w:val="en-GB"/>
        </w:rPr>
        <w:t>®</w:t>
      </w:r>
      <w:r>
        <w:rPr>
          <w:sz w:val="24"/>
          <w:lang w:val="en-GB"/>
        </w:rPr>
        <w:t xml:space="preserve"> in the treatment of focal spasticity has not been investigated in children under two years of age.</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szCs w:val="24"/>
          <w:lang w:val="en-GB"/>
        </w:rPr>
      </w:pPr>
      <w:r>
        <w:rPr>
          <w:sz w:val="24"/>
          <w:lang w:val="en-GB"/>
        </w:rPr>
        <w:t>There have been rare spontaneous reports of death sometimes associated with aspiration pneumonia in children with severe cerebral palsy after treatment with botulinum toxin</w:t>
      </w:r>
      <w:r>
        <w:rPr>
          <w:sz w:val="24"/>
          <w:szCs w:val="24"/>
          <w:lang w:val="en-GB"/>
        </w:rPr>
        <w:t>.  A causal association to BOTOX</w:t>
      </w:r>
      <w:r>
        <w:rPr>
          <w:sz w:val="24"/>
          <w:szCs w:val="24"/>
          <w:vertAlign w:val="superscript"/>
          <w:lang w:val="en-GB"/>
        </w:rPr>
        <w:t>®</w:t>
      </w:r>
      <w:r>
        <w:rPr>
          <w:sz w:val="24"/>
          <w:szCs w:val="24"/>
          <w:lang w:val="en-GB"/>
        </w:rPr>
        <w:t xml:space="preserve"> has not been established in these cases and will continue to be monitored by Allergan Australia Pty Ltd. Some of these patients had risk factors including significant neuromuscular debility, dysphagia, aspiration pneumonia, seizures and cardiovascular disease.  Post-marketing reports of possible distant effects from the site of injection have been very rarely reported in paediatric patients with co-morbidities, predominately with cerebral palsy who received &gt;8 U/kg.  Extreme caution should be exercised when treating paediatric patients who have significant neurologic debility, dysphagia, or have a recent history of aspiration pneumonia or lung disease.</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lang w:val="en-GB"/>
        </w:rPr>
      </w:pPr>
      <w:r>
        <w:rPr>
          <w:sz w:val="24"/>
          <w:szCs w:val="24"/>
          <w:lang w:val="en-GB"/>
        </w:rPr>
        <w:t xml:space="preserve">New onset or recurrent seizures have also been reported, typically in children who are predisposed to experiencing these events.  The exact relationship of these events to the </w:t>
      </w:r>
      <w:r>
        <w:rPr>
          <w:caps/>
          <w:sz w:val="24"/>
          <w:szCs w:val="24"/>
        </w:rPr>
        <w:t>Botox</w:t>
      </w:r>
      <w:r>
        <w:rPr>
          <w:caps/>
          <w:sz w:val="24"/>
          <w:szCs w:val="24"/>
          <w:vertAlign w:val="superscript"/>
        </w:rPr>
        <w:sym w:font="Symbol" w:char="F0D2"/>
      </w:r>
      <w:r>
        <w:rPr>
          <w:sz w:val="24"/>
          <w:szCs w:val="24"/>
        </w:rPr>
        <w:t xml:space="preserve"> injection has not been established.</w:t>
      </w:r>
    </w:p>
    <w:p w:rsidR="00051188" w:rsidRDefault="00051188" w:rsidP="009D78B4">
      <w:pPr>
        <w:widowControl w:val="0"/>
        <w:tabs>
          <w:tab w:val="left" w:pos="-720"/>
        </w:tabs>
        <w:rPr>
          <w:b/>
          <w:sz w:val="24"/>
          <w:lang w:val="en-GB"/>
        </w:rPr>
      </w:pPr>
    </w:p>
    <w:p w:rsidR="00051188" w:rsidRDefault="00051188" w:rsidP="009D78B4">
      <w:pPr>
        <w:widowControl w:val="0"/>
        <w:tabs>
          <w:tab w:val="left" w:pos="-720"/>
        </w:tabs>
        <w:rPr>
          <w:b/>
          <w:sz w:val="24"/>
          <w:szCs w:val="24"/>
        </w:rPr>
      </w:pPr>
      <w:r>
        <w:rPr>
          <w:b/>
          <w:sz w:val="24"/>
          <w:szCs w:val="24"/>
        </w:rPr>
        <w:t>Use in the Elderly</w:t>
      </w:r>
    </w:p>
    <w:p w:rsidR="00051188" w:rsidRDefault="00051188" w:rsidP="009D78B4">
      <w:pPr>
        <w:widowControl w:val="0"/>
        <w:tabs>
          <w:tab w:val="left" w:pos="-720"/>
        </w:tabs>
        <w:rPr>
          <w:sz w:val="24"/>
          <w:szCs w:val="24"/>
        </w:rPr>
      </w:pPr>
      <w:r>
        <w:rPr>
          <w:sz w:val="24"/>
          <w:szCs w:val="24"/>
        </w:rPr>
        <w:t>The reported clinical experience has not identified differences in responses between the elderly and younger patients.  In general, dose selection for an elderly patient should be cautious, usually starting at the low end of the dosing range.</w:t>
      </w:r>
    </w:p>
    <w:p w:rsidR="00051188" w:rsidRDefault="00051188" w:rsidP="009D78B4">
      <w:pPr>
        <w:widowControl w:val="0"/>
        <w:tabs>
          <w:tab w:val="left" w:pos="-720"/>
        </w:tabs>
        <w:rPr>
          <w:sz w:val="24"/>
          <w:szCs w:val="24"/>
        </w:rPr>
      </w:pPr>
    </w:p>
    <w:p w:rsidR="003E57D1" w:rsidRPr="001F21BC" w:rsidRDefault="00051188" w:rsidP="009D78B4">
      <w:pPr>
        <w:widowControl w:val="0"/>
        <w:autoSpaceDE w:val="0"/>
        <w:autoSpaceDN w:val="0"/>
        <w:adjustRightInd w:val="0"/>
        <w:rPr>
          <w:b/>
          <w:sz w:val="24"/>
          <w:szCs w:val="24"/>
        </w:rPr>
      </w:pPr>
      <w:r w:rsidRPr="001F21BC">
        <w:rPr>
          <w:b/>
          <w:sz w:val="24"/>
          <w:szCs w:val="24"/>
        </w:rPr>
        <w:t>Overactive Bladder</w:t>
      </w:r>
    </w:p>
    <w:p w:rsidR="00EF276C" w:rsidRPr="006369C8" w:rsidRDefault="00EF276C" w:rsidP="009D78B4">
      <w:pPr>
        <w:widowControl w:val="0"/>
        <w:autoSpaceDE w:val="0"/>
        <w:autoSpaceDN w:val="0"/>
        <w:adjustRightInd w:val="0"/>
        <w:rPr>
          <w:iCs/>
          <w:color w:val="080808"/>
          <w:sz w:val="24"/>
          <w:szCs w:val="24"/>
        </w:rPr>
      </w:pPr>
      <w:r w:rsidRPr="006369C8">
        <w:rPr>
          <w:iCs/>
          <w:color w:val="080808"/>
          <w:sz w:val="24"/>
          <w:szCs w:val="24"/>
        </w:rPr>
        <w:t>Of 1242 patients in placebo-controlled clinical studies of BOTOX</w:t>
      </w:r>
      <w:r w:rsidRPr="006369C8">
        <w:rPr>
          <w:iCs/>
          <w:color w:val="080808"/>
          <w:sz w:val="24"/>
          <w:szCs w:val="24"/>
          <w:vertAlign w:val="superscript"/>
        </w:rPr>
        <w:t>®</w:t>
      </w:r>
      <w:r w:rsidRPr="006369C8">
        <w:rPr>
          <w:iCs/>
          <w:color w:val="080808"/>
          <w:sz w:val="24"/>
          <w:szCs w:val="24"/>
        </w:rPr>
        <w:t>, 41.4% (n</w:t>
      </w:r>
      <w:r w:rsidR="003A1C75">
        <w:rPr>
          <w:iCs/>
          <w:color w:val="080808"/>
          <w:sz w:val="24"/>
          <w:szCs w:val="24"/>
        </w:rPr>
        <w:t>=</w:t>
      </w:r>
      <w:r w:rsidRPr="006369C8">
        <w:rPr>
          <w:iCs/>
          <w:color w:val="080808"/>
          <w:sz w:val="24"/>
          <w:szCs w:val="24"/>
        </w:rPr>
        <w:t>514) were 65 years of age or older, and 14.7% (n=l82) were 75 years of age or older. No overall difference in the safety profile following BOTOX</w:t>
      </w:r>
      <w:r w:rsidRPr="006369C8">
        <w:rPr>
          <w:iCs/>
          <w:color w:val="080808"/>
          <w:sz w:val="24"/>
          <w:szCs w:val="24"/>
          <w:vertAlign w:val="superscript"/>
        </w:rPr>
        <w:t>®</w:t>
      </w:r>
      <w:r w:rsidRPr="006369C8">
        <w:rPr>
          <w:iCs/>
          <w:color w:val="080808"/>
          <w:sz w:val="24"/>
          <w:szCs w:val="24"/>
        </w:rPr>
        <w:t xml:space="preserve"> treatment was observed between patients aged 65 years and older compared to younger patients in these studies, with the exception of urinary tract infection. In the placebo group, the incidence of urinary tract infection was higher in patients 65 years of age or older compared to younger patients (15.2% vs. 6.6%, respectively). The incidence was also higher in patients 65 years and older who were given BOTOX</w:t>
      </w:r>
      <w:r w:rsidRPr="006369C8">
        <w:rPr>
          <w:iCs/>
          <w:color w:val="080808"/>
          <w:sz w:val="24"/>
          <w:szCs w:val="24"/>
          <w:vertAlign w:val="superscript"/>
        </w:rPr>
        <w:t>®</w:t>
      </w:r>
      <w:r w:rsidRPr="006369C8">
        <w:rPr>
          <w:iCs/>
          <w:color w:val="080808"/>
          <w:sz w:val="24"/>
          <w:szCs w:val="24"/>
        </w:rPr>
        <w:t xml:space="preserve"> compared to younger patients (33.1% vs. 21.2 %, respectively). No overall difference in effectiveness was observed between these age groups in placebo-controlled pivotal clinical studies.</w:t>
      </w:r>
    </w:p>
    <w:p w:rsidR="00305236" w:rsidRPr="006369C8" w:rsidRDefault="00305236" w:rsidP="009D78B4">
      <w:pPr>
        <w:widowControl w:val="0"/>
        <w:tabs>
          <w:tab w:val="left" w:pos="-720"/>
        </w:tabs>
        <w:rPr>
          <w:sz w:val="24"/>
          <w:szCs w:val="24"/>
        </w:rPr>
      </w:pPr>
    </w:p>
    <w:p w:rsidR="003E57D1" w:rsidRPr="001F21BC" w:rsidRDefault="003E57D1" w:rsidP="009D78B4">
      <w:pPr>
        <w:widowControl w:val="0"/>
        <w:rPr>
          <w:b/>
          <w:sz w:val="24"/>
          <w:szCs w:val="24"/>
        </w:rPr>
      </w:pPr>
      <w:r w:rsidRPr="001F21BC">
        <w:rPr>
          <w:b/>
          <w:sz w:val="24"/>
          <w:szCs w:val="24"/>
        </w:rPr>
        <w:t xml:space="preserve">Incidence of Urinary Tract Infection and Urinary Retention according to Age Group during First Placebo-controlled Treatment, Placebo-controlled Clinical Trials in </w:t>
      </w:r>
      <w:r w:rsidRPr="001F21BC">
        <w:rPr>
          <w:b/>
          <w:sz w:val="24"/>
          <w:szCs w:val="24"/>
        </w:rPr>
        <w:lastRenderedPageBreak/>
        <w:t>Patients with OAB</w:t>
      </w:r>
    </w:p>
    <w:tbl>
      <w:tblPr>
        <w:tblW w:w="0" w:type="auto"/>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1E0"/>
      </w:tblPr>
      <w:tblGrid>
        <w:gridCol w:w="2003"/>
        <w:gridCol w:w="1318"/>
        <w:gridCol w:w="1223"/>
        <w:gridCol w:w="1244"/>
        <w:gridCol w:w="1148"/>
        <w:gridCol w:w="1169"/>
        <w:gridCol w:w="1137"/>
      </w:tblGrid>
      <w:tr w:rsidR="003E57D1" w:rsidRPr="001F21BC" w:rsidTr="00112664">
        <w:tc>
          <w:tcPr>
            <w:tcW w:w="2178" w:type="dxa"/>
          </w:tcPr>
          <w:p w:rsidR="003E57D1" w:rsidRPr="001F21BC" w:rsidRDefault="003E57D1" w:rsidP="009D78B4">
            <w:pPr>
              <w:widowControl w:val="0"/>
              <w:jc w:val="center"/>
              <w:rPr>
                <w:b/>
                <w:sz w:val="24"/>
                <w:szCs w:val="24"/>
              </w:rPr>
            </w:pPr>
          </w:p>
        </w:tc>
        <w:tc>
          <w:tcPr>
            <w:tcW w:w="2610" w:type="dxa"/>
            <w:gridSpan w:val="2"/>
          </w:tcPr>
          <w:p w:rsidR="003E57D1" w:rsidRPr="001F21BC" w:rsidRDefault="003E57D1" w:rsidP="009D78B4">
            <w:pPr>
              <w:widowControl w:val="0"/>
              <w:jc w:val="center"/>
              <w:rPr>
                <w:b/>
                <w:sz w:val="24"/>
                <w:szCs w:val="24"/>
              </w:rPr>
            </w:pPr>
            <w:r w:rsidRPr="001F21BC">
              <w:rPr>
                <w:b/>
                <w:sz w:val="24"/>
                <w:szCs w:val="24"/>
              </w:rPr>
              <w:t>&lt;65 Years</w:t>
            </w:r>
          </w:p>
        </w:tc>
        <w:tc>
          <w:tcPr>
            <w:tcW w:w="2430" w:type="dxa"/>
            <w:gridSpan w:val="2"/>
          </w:tcPr>
          <w:p w:rsidR="003E57D1" w:rsidRPr="001F21BC" w:rsidRDefault="003E57D1" w:rsidP="009D78B4">
            <w:pPr>
              <w:widowControl w:val="0"/>
              <w:jc w:val="center"/>
              <w:rPr>
                <w:b/>
                <w:sz w:val="24"/>
                <w:szCs w:val="24"/>
              </w:rPr>
            </w:pPr>
            <w:r w:rsidRPr="001F21BC">
              <w:rPr>
                <w:b/>
                <w:sz w:val="24"/>
                <w:szCs w:val="24"/>
              </w:rPr>
              <w:t>65 to 74 Years</w:t>
            </w:r>
          </w:p>
        </w:tc>
        <w:tc>
          <w:tcPr>
            <w:tcW w:w="2340" w:type="dxa"/>
            <w:gridSpan w:val="2"/>
          </w:tcPr>
          <w:p w:rsidR="003E57D1" w:rsidRPr="001F21BC" w:rsidRDefault="003E57D1" w:rsidP="009D78B4">
            <w:pPr>
              <w:widowControl w:val="0"/>
              <w:jc w:val="center"/>
              <w:rPr>
                <w:b/>
                <w:sz w:val="24"/>
                <w:szCs w:val="24"/>
              </w:rPr>
            </w:pPr>
            <w:r w:rsidRPr="001F21BC">
              <w:rPr>
                <w:b/>
                <w:sz w:val="24"/>
                <w:szCs w:val="24"/>
                <w:u w:val="single"/>
              </w:rPr>
              <w:t>&gt;</w:t>
            </w:r>
            <w:r w:rsidRPr="001F21BC">
              <w:rPr>
                <w:b/>
                <w:sz w:val="24"/>
                <w:szCs w:val="24"/>
              </w:rPr>
              <w:t>75 Years</w:t>
            </w:r>
          </w:p>
        </w:tc>
      </w:tr>
      <w:tr w:rsidR="003E57D1" w:rsidRPr="006F1749" w:rsidTr="00112664">
        <w:tc>
          <w:tcPr>
            <w:tcW w:w="2178" w:type="dxa"/>
          </w:tcPr>
          <w:p w:rsidR="003E57D1" w:rsidRPr="001F21BC" w:rsidRDefault="003E57D1" w:rsidP="009D78B4">
            <w:pPr>
              <w:widowControl w:val="0"/>
              <w:rPr>
                <w:sz w:val="24"/>
                <w:szCs w:val="24"/>
              </w:rPr>
            </w:pPr>
          </w:p>
          <w:p w:rsidR="003E57D1" w:rsidRPr="001F21BC" w:rsidRDefault="003E57D1" w:rsidP="009D78B4">
            <w:pPr>
              <w:widowControl w:val="0"/>
              <w:rPr>
                <w:sz w:val="24"/>
                <w:szCs w:val="24"/>
              </w:rPr>
            </w:pPr>
            <w:r w:rsidRPr="001F21BC">
              <w:rPr>
                <w:sz w:val="24"/>
                <w:szCs w:val="24"/>
              </w:rPr>
              <w:t>Adverse Reactions</w:t>
            </w:r>
          </w:p>
        </w:tc>
        <w:tc>
          <w:tcPr>
            <w:tcW w:w="1350" w:type="dxa"/>
            <w:shd w:val="clear" w:color="auto" w:fill="auto"/>
          </w:tcPr>
          <w:p w:rsidR="003E57D1" w:rsidRPr="006F1749" w:rsidRDefault="003E57D1" w:rsidP="009D78B4">
            <w:pPr>
              <w:widowControl w:val="0"/>
              <w:jc w:val="center"/>
              <w:rPr>
                <w:sz w:val="24"/>
                <w:szCs w:val="24"/>
              </w:rPr>
            </w:pPr>
            <w:r w:rsidRPr="006F1749">
              <w:rPr>
                <w:sz w:val="24"/>
                <w:szCs w:val="24"/>
              </w:rPr>
              <w:t>BOTOX</w:t>
            </w:r>
            <w:r w:rsidRPr="006F1749">
              <w:rPr>
                <w:sz w:val="24"/>
                <w:szCs w:val="24"/>
                <w:vertAlign w:val="superscript"/>
                <w:lang w:val="pt-BR"/>
              </w:rPr>
              <w:t>®</w:t>
            </w:r>
          </w:p>
          <w:p w:rsidR="003E57D1" w:rsidRPr="006F1749" w:rsidRDefault="003E57D1" w:rsidP="009D78B4">
            <w:pPr>
              <w:widowControl w:val="0"/>
              <w:jc w:val="center"/>
              <w:rPr>
                <w:sz w:val="24"/>
                <w:szCs w:val="24"/>
              </w:rPr>
            </w:pPr>
            <w:r w:rsidRPr="006F1749">
              <w:rPr>
                <w:sz w:val="24"/>
                <w:szCs w:val="24"/>
              </w:rPr>
              <w:t>100 Units</w:t>
            </w:r>
          </w:p>
          <w:p w:rsidR="003E57D1" w:rsidRPr="006F1749" w:rsidRDefault="003E57D1" w:rsidP="009D78B4">
            <w:pPr>
              <w:widowControl w:val="0"/>
              <w:jc w:val="center"/>
              <w:rPr>
                <w:sz w:val="24"/>
                <w:szCs w:val="24"/>
              </w:rPr>
            </w:pPr>
            <w:r w:rsidRPr="006F1749">
              <w:rPr>
                <w:sz w:val="24"/>
                <w:szCs w:val="24"/>
              </w:rPr>
              <w:t>(N=344)</w:t>
            </w:r>
          </w:p>
        </w:tc>
        <w:tc>
          <w:tcPr>
            <w:tcW w:w="1260" w:type="dxa"/>
            <w:shd w:val="clear" w:color="auto" w:fill="auto"/>
          </w:tcPr>
          <w:p w:rsidR="003E57D1" w:rsidRPr="006F1749" w:rsidRDefault="003E57D1" w:rsidP="009D78B4">
            <w:pPr>
              <w:widowControl w:val="0"/>
              <w:jc w:val="center"/>
              <w:rPr>
                <w:sz w:val="24"/>
                <w:szCs w:val="24"/>
              </w:rPr>
            </w:pPr>
            <w:r w:rsidRPr="006F1749">
              <w:rPr>
                <w:sz w:val="24"/>
                <w:szCs w:val="24"/>
              </w:rPr>
              <w:t>Placebo</w:t>
            </w:r>
          </w:p>
          <w:p w:rsidR="003E57D1" w:rsidRPr="006F1749" w:rsidRDefault="003E57D1" w:rsidP="009D78B4">
            <w:pPr>
              <w:widowControl w:val="0"/>
              <w:jc w:val="center"/>
              <w:rPr>
                <w:sz w:val="24"/>
                <w:szCs w:val="24"/>
              </w:rPr>
            </w:pPr>
            <w:r w:rsidRPr="006F1749">
              <w:rPr>
                <w:sz w:val="24"/>
                <w:szCs w:val="24"/>
              </w:rPr>
              <w:t>(N=348)</w:t>
            </w:r>
          </w:p>
        </w:tc>
        <w:tc>
          <w:tcPr>
            <w:tcW w:w="1260" w:type="dxa"/>
            <w:shd w:val="clear" w:color="auto" w:fill="auto"/>
          </w:tcPr>
          <w:p w:rsidR="003E57D1" w:rsidRPr="006F1749" w:rsidRDefault="003E57D1" w:rsidP="009D78B4">
            <w:pPr>
              <w:widowControl w:val="0"/>
              <w:jc w:val="center"/>
              <w:rPr>
                <w:sz w:val="24"/>
                <w:szCs w:val="24"/>
              </w:rPr>
            </w:pPr>
            <w:r w:rsidRPr="006F1749">
              <w:rPr>
                <w:sz w:val="24"/>
                <w:szCs w:val="24"/>
              </w:rPr>
              <w:t>BOTOX</w:t>
            </w:r>
            <w:r w:rsidRPr="006F1749">
              <w:rPr>
                <w:sz w:val="24"/>
                <w:szCs w:val="24"/>
                <w:vertAlign w:val="superscript"/>
                <w:lang w:val="pt-BR"/>
              </w:rPr>
              <w:t>®</w:t>
            </w:r>
          </w:p>
          <w:p w:rsidR="003E57D1" w:rsidRPr="006F1749" w:rsidRDefault="003E57D1" w:rsidP="009D78B4">
            <w:pPr>
              <w:widowControl w:val="0"/>
              <w:jc w:val="center"/>
              <w:rPr>
                <w:sz w:val="24"/>
                <w:szCs w:val="24"/>
              </w:rPr>
            </w:pPr>
            <w:r w:rsidRPr="006F1749">
              <w:rPr>
                <w:sz w:val="24"/>
                <w:szCs w:val="24"/>
              </w:rPr>
              <w:t>100 Units</w:t>
            </w:r>
          </w:p>
          <w:p w:rsidR="003E57D1" w:rsidRPr="006F1749" w:rsidRDefault="003E57D1" w:rsidP="009D78B4">
            <w:pPr>
              <w:widowControl w:val="0"/>
              <w:jc w:val="center"/>
              <w:rPr>
                <w:sz w:val="24"/>
                <w:szCs w:val="24"/>
              </w:rPr>
            </w:pPr>
            <w:r w:rsidRPr="006F1749">
              <w:rPr>
                <w:sz w:val="24"/>
                <w:szCs w:val="24"/>
              </w:rPr>
              <w:t>(N=169)</w:t>
            </w:r>
          </w:p>
        </w:tc>
        <w:tc>
          <w:tcPr>
            <w:tcW w:w="1170" w:type="dxa"/>
            <w:shd w:val="clear" w:color="auto" w:fill="auto"/>
          </w:tcPr>
          <w:p w:rsidR="003E57D1" w:rsidRPr="006F1749" w:rsidRDefault="003E57D1" w:rsidP="009D78B4">
            <w:pPr>
              <w:widowControl w:val="0"/>
              <w:jc w:val="center"/>
              <w:rPr>
                <w:sz w:val="24"/>
                <w:szCs w:val="24"/>
              </w:rPr>
            </w:pPr>
            <w:r w:rsidRPr="006F1749">
              <w:rPr>
                <w:sz w:val="24"/>
                <w:szCs w:val="24"/>
              </w:rPr>
              <w:t>Placebo</w:t>
            </w:r>
          </w:p>
          <w:p w:rsidR="003E57D1" w:rsidRPr="006F1749" w:rsidRDefault="003E57D1" w:rsidP="009D78B4">
            <w:pPr>
              <w:widowControl w:val="0"/>
              <w:jc w:val="center"/>
              <w:rPr>
                <w:sz w:val="24"/>
                <w:szCs w:val="24"/>
              </w:rPr>
            </w:pPr>
            <w:r w:rsidRPr="006F1749">
              <w:rPr>
                <w:sz w:val="24"/>
                <w:szCs w:val="24"/>
              </w:rPr>
              <w:t>(N=151)</w:t>
            </w:r>
          </w:p>
        </w:tc>
        <w:tc>
          <w:tcPr>
            <w:tcW w:w="1170" w:type="dxa"/>
            <w:shd w:val="clear" w:color="auto" w:fill="auto"/>
          </w:tcPr>
          <w:p w:rsidR="003E57D1" w:rsidRPr="006F1749" w:rsidRDefault="003E57D1" w:rsidP="009D78B4">
            <w:pPr>
              <w:widowControl w:val="0"/>
              <w:jc w:val="center"/>
              <w:rPr>
                <w:sz w:val="24"/>
                <w:szCs w:val="24"/>
              </w:rPr>
            </w:pPr>
            <w:r w:rsidRPr="006F1749">
              <w:rPr>
                <w:sz w:val="24"/>
                <w:szCs w:val="24"/>
              </w:rPr>
              <w:t>BOTOX</w:t>
            </w:r>
            <w:r w:rsidRPr="006F1749">
              <w:rPr>
                <w:sz w:val="24"/>
                <w:szCs w:val="24"/>
                <w:vertAlign w:val="superscript"/>
                <w:lang w:val="pt-BR"/>
              </w:rPr>
              <w:t>®</w:t>
            </w:r>
          </w:p>
          <w:p w:rsidR="003E57D1" w:rsidRPr="006F1749" w:rsidRDefault="003E57D1" w:rsidP="009D78B4">
            <w:pPr>
              <w:widowControl w:val="0"/>
              <w:jc w:val="center"/>
              <w:rPr>
                <w:sz w:val="24"/>
                <w:szCs w:val="24"/>
              </w:rPr>
            </w:pPr>
            <w:r w:rsidRPr="006F1749">
              <w:rPr>
                <w:sz w:val="24"/>
                <w:szCs w:val="24"/>
              </w:rPr>
              <w:t>100 Units</w:t>
            </w:r>
          </w:p>
          <w:p w:rsidR="003E57D1" w:rsidRPr="006F1749" w:rsidRDefault="003E57D1" w:rsidP="009D78B4">
            <w:pPr>
              <w:widowControl w:val="0"/>
              <w:jc w:val="center"/>
              <w:rPr>
                <w:sz w:val="24"/>
                <w:szCs w:val="24"/>
              </w:rPr>
            </w:pPr>
            <w:r w:rsidRPr="006F1749">
              <w:rPr>
                <w:sz w:val="24"/>
                <w:szCs w:val="24"/>
              </w:rPr>
              <w:t>(N=94)</w:t>
            </w:r>
          </w:p>
        </w:tc>
        <w:tc>
          <w:tcPr>
            <w:tcW w:w="1170" w:type="dxa"/>
            <w:shd w:val="clear" w:color="auto" w:fill="auto"/>
          </w:tcPr>
          <w:p w:rsidR="003E57D1" w:rsidRPr="006F1749" w:rsidRDefault="003E57D1" w:rsidP="009D78B4">
            <w:pPr>
              <w:widowControl w:val="0"/>
              <w:jc w:val="center"/>
              <w:rPr>
                <w:sz w:val="24"/>
                <w:szCs w:val="24"/>
              </w:rPr>
            </w:pPr>
            <w:r w:rsidRPr="006F1749">
              <w:rPr>
                <w:sz w:val="24"/>
                <w:szCs w:val="24"/>
              </w:rPr>
              <w:t>Placebo</w:t>
            </w:r>
          </w:p>
          <w:p w:rsidR="003E57D1" w:rsidRPr="006F1749" w:rsidRDefault="003E57D1" w:rsidP="009D78B4">
            <w:pPr>
              <w:widowControl w:val="0"/>
              <w:jc w:val="center"/>
              <w:rPr>
                <w:sz w:val="24"/>
                <w:szCs w:val="24"/>
              </w:rPr>
            </w:pPr>
            <w:r w:rsidRPr="006F1749">
              <w:rPr>
                <w:sz w:val="24"/>
                <w:szCs w:val="24"/>
              </w:rPr>
              <w:t>(N=86)</w:t>
            </w:r>
          </w:p>
        </w:tc>
      </w:tr>
      <w:tr w:rsidR="003E57D1" w:rsidRPr="006F1749" w:rsidTr="00112664">
        <w:tc>
          <w:tcPr>
            <w:tcW w:w="2178" w:type="dxa"/>
          </w:tcPr>
          <w:p w:rsidR="003E57D1" w:rsidRPr="001F21BC" w:rsidRDefault="003E57D1" w:rsidP="009D78B4">
            <w:pPr>
              <w:widowControl w:val="0"/>
              <w:rPr>
                <w:sz w:val="24"/>
                <w:szCs w:val="24"/>
              </w:rPr>
            </w:pPr>
            <w:r w:rsidRPr="001F21BC">
              <w:rPr>
                <w:sz w:val="24"/>
                <w:szCs w:val="24"/>
              </w:rPr>
              <w:t>Urinary tract infection</w:t>
            </w:r>
          </w:p>
        </w:tc>
        <w:tc>
          <w:tcPr>
            <w:tcW w:w="1350" w:type="dxa"/>
            <w:shd w:val="clear" w:color="auto" w:fill="auto"/>
          </w:tcPr>
          <w:p w:rsidR="003E57D1" w:rsidRPr="006F1749" w:rsidRDefault="003E57D1" w:rsidP="009D78B4">
            <w:pPr>
              <w:widowControl w:val="0"/>
              <w:jc w:val="center"/>
              <w:rPr>
                <w:sz w:val="24"/>
                <w:szCs w:val="24"/>
              </w:rPr>
            </w:pPr>
          </w:p>
          <w:p w:rsidR="003E57D1" w:rsidRPr="006F1749" w:rsidRDefault="003E57D1" w:rsidP="009D78B4">
            <w:pPr>
              <w:widowControl w:val="0"/>
              <w:jc w:val="center"/>
              <w:rPr>
                <w:sz w:val="24"/>
                <w:szCs w:val="24"/>
              </w:rPr>
            </w:pPr>
            <w:r w:rsidRPr="006F1749">
              <w:rPr>
                <w:sz w:val="24"/>
                <w:szCs w:val="24"/>
              </w:rPr>
              <w:t>73 (21%)</w:t>
            </w:r>
          </w:p>
        </w:tc>
        <w:tc>
          <w:tcPr>
            <w:tcW w:w="1260" w:type="dxa"/>
            <w:shd w:val="clear" w:color="auto" w:fill="auto"/>
          </w:tcPr>
          <w:p w:rsidR="003E57D1" w:rsidRPr="006F1749" w:rsidRDefault="003E57D1" w:rsidP="009D78B4">
            <w:pPr>
              <w:widowControl w:val="0"/>
              <w:jc w:val="center"/>
              <w:rPr>
                <w:sz w:val="24"/>
                <w:szCs w:val="24"/>
              </w:rPr>
            </w:pPr>
          </w:p>
          <w:p w:rsidR="003E57D1" w:rsidRPr="006F1749" w:rsidRDefault="003E57D1" w:rsidP="009D78B4">
            <w:pPr>
              <w:widowControl w:val="0"/>
              <w:jc w:val="center"/>
              <w:rPr>
                <w:sz w:val="24"/>
                <w:szCs w:val="24"/>
              </w:rPr>
            </w:pPr>
            <w:r w:rsidRPr="006F1749">
              <w:rPr>
                <w:sz w:val="24"/>
                <w:szCs w:val="24"/>
              </w:rPr>
              <w:t>23 (7%)</w:t>
            </w:r>
          </w:p>
        </w:tc>
        <w:tc>
          <w:tcPr>
            <w:tcW w:w="1260" w:type="dxa"/>
            <w:shd w:val="clear" w:color="auto" w:fill="auto"/>
          </w:tcPr>
          <w:p w:rsidR="003E57D1" w:rsidRPr="006F1749" w:rsidRDefault="003E57D1" w:rsidP="009D78B4">
            <w:pPr>
              <w:widowControl w:val="0"/>
              <w:jc w:val="center"/>
              <w:rPr>
                <w:sz w:val="24"/>
                <w:szCs w:val="24"/>
              </w:rPr>
            </w:pPr>
          </w:p>
          <w:p w:rsidR="003E57D1" w:rsidRPr="006F1749" w:rsidRDefault="003E57D1" w:rsidP="009D78B4">
            <w:pPr>
              <w:widowControl w:val="0"/>
              <w:jc w:val="center"/>
              <w:rPr>
                <w:sz w:val="24"/>
                <w:szCs w:val="24"/>
              </w:rPr>
            </w:pPr>
            <w:r w:rsidRPr="006F1749">
              <w:rPr>
                <w:sz w:val="24"/>
                <w:szCs w:val="24"/>
              </w:rPr>
              <w:t>51 (30%)</w:t>
            </w:r>
          </w:p>
        </w:tc>
        <w:tc>
          <w:tcPr>
            <w:tcW w:w="1170" w:type="dxa"/>
            <w:shd w:val="clear" w:color="auto" w:fill="auto"/>
          </w:tcPr>
          <w:p w:rsidR="003E57D1" w:rsidRPr="006F1749" w:rsidRDefault="003E57D1" w:rsidP="009D78B4">
            <w:pPr>
              <w:widowControl w:val="0"/>
              <w:jc w:val="center"/>
              <w:rPr>
                <w:sz w:val="24"/>
                <w:szCs w:val="24"/>
              </w:rPr>
            </w:pPr>
          </w:p>
          <w:p w:rsidR="003E57D1" w:rsidRPr="006F1749" w:rsidRDefault="003E57D1" w:rsidP="009D78B4">
            <w:pPr>
              <w:widowControl w:val="0"/>
              <w:jc w:val="center"/>
              <w:rPr>
                <w:sz w:val="24"/>
                <w:szCs w:val="24"/>
              </w:rPr>
            </w:pPr>
            <w:r w:rsidRPr="006F1749">
              <w:rPr>
                <w:sz w:val="24"/>
                <w:szCs w:val="24"/>
              </w:rPr>
              <w:t>20 (13%)</w:t>
            </w:r>
          </w:p>
        </w:tc>
        <w:tc>
          <w:tcPr>
            <w:tcW w:w="1170" w:type="dxa"/>
            <w:shd w:val="clear" w:color="auto" w:fill="auto"/>
          </w:tcPr>
          <w:p w:rsidR="003E57D1" w:rsidRPr="006F1749" w:rsidRDefault="003E57D1" w:rsidP="009D78B4">
            <w:pPr>
              <w:widowControl w:val="0"/>
              <w:jc w:val="center"/>
              <w:rPr>
                <w:sz w:val="24"/>
                <w:szCs w:val="24"/>
              </w:rPr>
            </w:pPr>
          </w:p>
          <w:p w:rsidR="003E57D1" w:rsidRPr="006F1749" w:rsidRDefault="003E57D1" w:rsidP="009D78B4">
            <w:pPr>
              <w:widowControl w:val="0"/>
              <w:jc w:val="center"/>
              <w:rPr>
                <w:sz w:val="24"/>
                <w:szCs w:val="24"/>
              </w:rPr>
            </w:pPr>
            <w:r w:rsidRPr="006F1749">
              <w:rPr>
                <w:sz w:val="24"/>
                <w:szCs w:val="24"/>
              </w:rPr>
              <w:t>36 (38%)</w:t>
            </w:r>
          </w:p>
        </w:tc>
        <w:tc>
          <w:tcPr>
            <w:tcW w:w="1170" w:type="dxa"/>
            <w:shd w:val="clear" w:color="auto" w:fill="auto"/>
          </w:tcPr>
          <w:p w:rsidR="003E57D1" w:rsidRPr="006F1749" w:rsidRDefault="003E57D1" w:rsidP="009D78B4">
            <w:pPr>
              <w:widowControl w:val="0"/>
              <w:jc w:val="center"/>
              <w:rPr>
                <w:sz w:val="24"/>
                <w:szCs w:val="24"/>
              </w:rPr>
            </w:pPr>
          </w:p>
          <w:p w:rsidR="003E57D1" w:rsidRPr="006F1749" w:rsidRDefault="003E57D1" w:rsidP="009D78B4">
            <w:pPr>
              <w:widowControl w:val="0"/>
              <w:jc w:val="center"/>
              <w:rPr>
                <w:sz w:val="24"/>
                <w:szCs w:val="24"/>
              </w:rPr>
            </w:pPr>
            <w:r w:rsidRPr="006F1749">
              <w:rPr>
                <w:sz w:val="24"/>
                <w:szCs w:val="24"/>
              </w:rPr>
              <w:t>16 (19%)</w:t>
            </w:r>
          </w:p>
        </w:tc>
      </w:tr>
      <w:tr w:rsidR="003E57D1" w:rsidRPr="006F1749" w:rsidTr="00112664">
        <w:tc>
          <w:tcPr>
            <w:tcW w:w="2178" w:type="dxa"/>
          </w:tcPr>
          <w:p w:rsidR="003E57D1" w:rsidRPr="001F21BC" w:rsidRDefault="003E57D1" w:rsidP="009D78B4">
            <w:pPr>
              <w:widowControl w:val="0"/>
              <w:rPr>
                <w:sz w:val="24"/>
                <w:szCs w:val="24"/>
              </w:rPr>
            </w:pPr>
            <w:r w:rsidRPr="001F21BC">
              <w:rPr>
                <w:sz w:val="24"/>
                <w:szCs w:val="24"/>
              </w:rPr>
              <w:t>Urinary retention</w:t>
            </w:r>
          </w:p>
        </w:tc>
        <w:tc>
          <w:tcPr>
            <w:tcW w:w="1350" w:type="dxa"/>
            <w:shd w:val="clear" w:color="auto" w:fill="auto"/>
          </w:tcPr>
          <w:p w:rsidR="003E57D1" w:rsidRPr="006F1749" w:rsidRDefault="003E57D1" w:rsidP="009D78B4">
            <w:pPr>
              <w:widowControl w:val="0"/>
              <w:jc w:val="center"/>
              <w:rPr>
                <w:sz w:val="24"/>
                <w:szCs w:val="24"/>
              </w:rPr>
            </w:pPr>
            <w:r w:rsidRPr="006F1749">
              <w:rPr>
                <w:sz w:val="24"/>
                <w:szCs w:val="24"/>
              </w:rPr>
              <w:t>21 (6%)</w:t>
            </w:r>
          </w:p>
        </w:tc>
        <w:tc>
          <w:tcPr>
            <w:tcW w:w="1260" w:type="dxa"/>
            <w:shd w:val="clear" w:color="auto" w:fill="auto"/>
          </w:tcPr>
          <w:p w:rsidR="003E57D1" w:rsidRPr="006F1749" w:rsidRDefault="003E57D1" w:rsidP="009D78B4">
            <w:pPr>
              <w:widowControl w:val="0"/>
              <w:jc w:val="center"/>
              <w:rPr>
                <w:sz w:val="24"/>
                <w:szCs w:val="24"/>
              </w:rPr>
            </w:pPr>
            <w:r w:rsidRPr="006F1749">
              <w:rPr>
                <w:sz w:val="24"/>
                <w:szCs w:val="24"/>
              </w:rPr>
              <w:t>2 (0.6%)</w:t>
            </w:r>
          </w:p>
        </w:tc>
        <w:tc>
          <w:tcPr>
            <w:tcW w:w="1260" w:type="dxa"/>
            <w:shd w:val="clear" w:color="auto" w:fill="auto"/>
          </w:tcPr>
          <w:p w:rsidR="003E57D1" w:rsidRPr="006F1749" w:rsidRDefault="003E57D1" w:rsidP="009D78B4">
            <w:pPr>
              <w:widowControl w:val="0"/>
              <w:jc w:val="center"/>
              <w:rPr>
                <w:sz w:val="24"/>
                <w:szCs w:val="24"/>
              </w:rPr>
            </w:pPr>
            <w:r w:rsidRPr="006F1749">
              <w:rPr>
                <w:sz w:val="24"/>
                <w:szCs w:val="24"/>
              </w:rPr>
              <w:t>14 (8%)</w:t>
            </w:r>
          </w:p>
        </w:tc>
        <w:tc>
          <w:tcPr>
            <w:tcW w:w="1170" w:type="dxa"/>
            <w:shd w:val="clear" w:color="auto" w:fill="auto"/>
          </w:tcPr>
          <w:p w:rsidR="003E57D1" w:rsidRPr="006F1749" w:rsidRDefault="003E57D1" w:rsidP="009D78B4">
            <w:pPr>
              <w:widowControl w:val="0"/>
              <w:jc w:val="center"/>
              <w:rPr>
                <w:sz w:val="24"/>
                <w:szCs w:val="24"/>
              </w:rPr>
            </w:pPr>
            <w:r w:rsidRPr="006F1749">
              <w:rPr>
                <w:sz w:val="24"/>
                <w:szCs w:val="24"/>
              </w:rPr>
              <w:t>0 (0%)</w:t>
            </w:r>
          </w:p>
        </w:tc>
        <w:tc>
          <w:tcPr>
            <w:tcW w:w="1170" w:type="dxa"/>
            <w:shd w:val="clear" w:color="auto" w:fill="auto"/>
          </w:tcPr>
          <w:p w:rsidR="003E57D1" w:rsidRPr="006F1749" w:rsidRDefault="003E57D1" w:rsidP="009D78B4">
            <w:pPr>
              <w:widowControl w:val="0"/>
              <w:jc w:val="center"/>
              <w:rPr>
                <w:sz w:val="24"/>
                <w:szCs w:val="24"/>
              </w:rPr>
            </w:pPr>
            <w:r w:rsidRPr="006F1749">
              <w:rPr>
                <w:sz w:val="24"/>
                <w:szCs w:val="24"/>
              </w:rPr>
              <w:t>8 (9%)</w:t>
            </w:r>
          </w:p>
        </w:tc>
        <w:tc>
          <w:tcPr>
            <w:tcW w:w="1170" w:type="dxa"/>
            <w:shd w:val="clear" w:color="auto" w:fill="auto"/>
          </w:tcPr>
          <w:p w:rsidR="003E57D1" w:rsidRPr="006F1749" w:rsidRDefault="003E57D1" w:rsidP="009D78B4">
            <w:pPr>
              <w:widowControl w:val="0"/>
              <w:jc w:val="center"/>
              <w:rPr>
                <w:sz w:val="24"/>
                <w:szCs w:val="24"/>
              </w:rPr>
            </w:pPr>
            <w:r w:rsidRPr="006F1749">
              <w:rPr>
                <w:sz w:val="24"/>
                <w:szCs w:val="24"/>
              </w:rPr>
              <w:t>1 (1%)</w:t>
            </w:r>
          </w:p>
        </w:tc>
      </w:tr>
    </w:tbl>
    <w:p w:rsidR="00480163" w:rsidRPr="00480163" w:rsidRDefault="00480163" w:rsidP="009D78B4">
      <w:pPr>
        <w:widowControl w:val="0"/>
        <w:tabs>
          <w:tab w:val="left" w:pos="-720"/>
        </w:tabs>
        <w:rPr>
          <w:i/>
          <w:sz w:val="24"/>
          <w:szCs w:val="24"/>
        </w:rPr>
      </w:pPr>
    </w:p>
    <w:p w:rsidR="00051188" w:rsidRDefault="00051188" w:rsidP="009D78B4">
      <w:pPr>
        <w:widowControl w:val="0"/>
        <w:tabs>
          <w:tab w:val="left" w:pos="-720"/>
        </w:tabs>
        <w:rPr>
          <w:sz w:val="24"/>
          <w:lang w:val="en-AU"/>
        </w:rPr>
      </w:pPr>
      <w:r>
        <w:rPr>
          <w:b/>
          <w:bCs/>
          <w:sz w:val="24"/>
          <w:lang w:val="en-AU"/>
        </w:rPr>
        <w:t>Effects on the ability to drive and use machines</w:t>
      </w:r>
    </w:p>
    <w:p w:rsidR="00051188" w:rsidRDefault="00051188" w:rsidP="009D78B4">
      <w:pPr>
        <w:widowControl w:val="0"/>
        <w:tabs>
          <w:tab w:val="left" w:pos="-720"/>
        </w:tabs>
        <w:rPr>
          <w:sz w:val="24"/>
          <w:lang w:val="en-GB"/>
        </w:rPr>
      </w:pPr>
      <w:r>
        <w:rPr>
          <w:sz w:val="24"/>
          <w:lang w:val="en-AU"/>
        </w:rPr>
        <w:t>Asthenia</w:t>
      </w:r>
      <w:r>
        <w:rPr>
          <w:b/>
          <w:bCs/>
          <w:i/>
          <w:iCs/>
          <w:sz w:val="24"/>
          <w:lang w:val="en-AU"/>
        </w:rPr>
        <w:t xml:space="preserve">, </w:t>
      </w:r>
      <w:r>
        <w:rPr>
          <w:sz w:val="24"/>
          <w:lang w:val="en-AU"/>
        </w:rPr>
        <w:t>muscle weakness</w:t>
      </w:r>
      <w:r>
        <w:rPr>
          <w:b/>
          <w:bCs/>
          <w:i/>
          <w:iCs/>
          <w:sz w:val="24"/>
          <w:lang w:val="en-AU"/>
        </w:rPr>
        <w:t xml:space="preserve">, </w:t>
      </w:r>
      <w:r>
        <w:rPr>
          <w:sz w:val="24"/>
          <w:lang w:val="en-AU"/>
        </w:rPr>
        <w:t>dizziness and visual disturbance have been reported after treatment of BOTOX</w:t>
      </w:r>
      <w:r>
        <w:rPr>
          <w:sz w:val="24"/>
          <w:vertAlign w:val="superscript"/>
          <w:lang w:val="en-AU"/>
        </w:rPr>
        <w:t>®</w:t>
      </w:r>
      <w:r>
        <w:rPr>
          <w:sz w:val="24"/>
          <w:lang w:val="en-AU"/>
        </w:rPr>
        <w:t xml:space="preserve"> and could make driving or using machines dangerous.</w:t>
      </w:r>
    </w:p>
    <w:p w:rsidR="00051188" w:rsidRDefault="00051188" w:rsidP="009D78B4">
      <w:pPr>
        <w:widowControl w:val="0"/>
        <w:tabs>
          <w:tab w:val="left" w:pos="-720"/>
        </w:tabs>
        <w:rPr>
          <w:b/>
          <w:sz w:val="24"/>
          <w:szCs w:val="24"/>
          <w:lang w:val="en-GB"/>
        </w:rPr>
      </w:pPr>
    </w:p>
    <w:p w:rsidR="00051188" w:rsidRDefault="00051188" w:rsidP="009D78B4">
      <w:pPr>
        <w:widowControl w:val="0"/>
        <w:tabs>
          <w:tab w:val="left" w:pos="-720"/>
        </w:tabs>
        <w:rPr>
          <w:b/>
          <w:sz w:val="24"/>
          <w:szCs w:val="24"/>
          <w:lang w:val="en-GB"/>
        </w:rPr>
      </w:pPr>
      <w:r>
        <w:rPr>
          <w:b/>
          <w:sz w:val="24"/>
          <w:szCs w:val="24"/>
          <w:lang w:val="en-GB"/>
        </w:rPr>
        <w:t>Interactions with other Medicines</w:t>
      </w:r>
    </w:p>
    <w:p w:rsidR="00051188" w:rsidRDefault="00051188" w:rsidP="009D78B4">
      <w:pPr>
        <w:widowControl w:val="0"/>
        <w:tabs>
          <w:tab w:val="left" w:pos="-720"/>
        </w:tabs>
        <w:rPr>
          <w:sz w:val="24"/>
          <w:szCs w:val="24"/>
          <w:lang w:val="en-GB"/>
        </w:rPr>
      </w:pPr>
      <w:r>
        <w:rPr>
          <w:sz w:val="24"/>
          <w:szCs w:val="24"/>
          <w:lang w:val="en-GB"/>
        </w:rPr>
        <w:t>The</w:t>
      </w:r>
      <w:r>
        <w:rPr>
          <w:b/>
          <w:i/>
          <w:sz w:val="24"/>
          <w:lang w:val="en-GB"/>
        </w:rPr>
        <w:t xml:space="preserve"> </w:t>
      </w:r>
      <w:r>
        <w:rPr>
          <w:sz w:val="24"/>
          <w:szCs w:val="24"/>
          <w:lang w:val="en-GB"/>
        </w:rPr>
        <w:t>effect of botulinum toxin may be potentiated by aminoglycoside antibiotics or spectinomycin, or any other drugs that interfere with neuromuscular transmission</w:t>
      </w:r>
      <w:r>
        <w:rPr>
          <w:b/>
          <w:sz w:val="24"/>
          <w:lang w:val="en-GB"/>
        </w:rPr>
        <w:t xml:space="preserve"> </w:t>
      </w:r>
      <w:r>
        <w:rPr>
          <w:sz w:val="24"/>
          <w:lang w:val="en-GB"/>
        </w:rPr>
        <w:t xml:space="preserve">(e.g. </w:t>
      </w:r>
      <w:r>
        <w:rPr>
          <w:sz w:val="24"/>
          <w:szCs w:val="24"/>
          <w:lang w:val="en-GB"/>
        </w:rPr>
        <w:t>tubocurarine-type muscle relaxants</w:t>
      </w:r>
      <w:r>
        <w:rPr>
          <w:sz w:val="24"/>
          <w:lang w:val="en-GB"/>
        </w:rPr>
        <w:t>)</w:t>
      </w:r>
      <w:r>
        <w:rPr>
          <w:sz w:val="24"/>
          <w:szCs w:val="24"/>
          <w:lang w:val="en-GB"/>
        </w:rPr>
        <w:t xml:space="preserve">.  Caution should be exercised when </w:t>
      </w:r>
      <w:r>
        <w:rPr>
          <w:caps/>
          <w:sz w:val="24"/>
          <w:szCs w:val="24"/>
        </w:rPr>
        <w:t>Botox</w:t>
      </w:r>
      <w:r>
        <w:rPr>
          <w:caps/>
          <w:sz w:val="24"/>
          <w:szCs w:val="24"/>
          <w:vertAlign w:val="superscript"/>
        </w:rPr>
        <w:sym w:font="Symbol" w:char="F0D2"/>
      </w:r>
      <w:r>
        <w:rPr>
          <w:sz w:val="24"/>
          <w:szCs w:val="24"/>
          <w:lang w:val="en-GB"/>
        </w:rPr>
        <w:t xml:space="preserve"> is used with aminoglycosides (e.g. streptomycin, tobramycin, neomycin, gentamycin, netilmycin, kanamycin, amikacin), spectinomycin, polymyxins, tetracyclines, lincomycin or any </w:t>
      </w:r>
      <w:r>
        <w:rPr>
          <w:sz w:val="24"/>
          <w:lang w:val="en-GB"/>
        </w:rPr>
        <w:t xml:space="preserve">other </w:t>
      </w:r>
      <w:r>
        <w:rPr>
          <w:sz w:val="24"/>
          <w:szCs w:val="24"/>
          <w:lang w:val="en-GB"/>
        </w:rPr>
        <w:t xml:space="preserve">drugs which interfere with neuromuscular transmission. </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AU"/>
        </w:rPr>
      </w:pPr>
      <w:r>
        <w:rPr>
          <w:sz w:val="24"/>
          <w:szCs w:val="24"/>
          <w:lang w:val="en-AU"/>
        </w:rPr>
        <w:t xml:space="preserve">No specific tests have been carried out to establish the possibility of clinical interaction </w:t>
      </w:r>
      <w:r>
        <w:rPr>
          <w:sz w:val="24"/>
          <w:lang w:val="en-GB"/>
        </w:rPr>
        <w:t xml:space="preserve">with </w:t>
      </w:r>
      <w:r>
        <w:rPr>
          <w:sz w:val="24"/>
          <w:szCs w:val="24"/>
          <w:lang w:val="en-AU"/>
        </w:rPr>
        <w:t>medicinal products.  No drug interactions of clinical significance have been reported.</w:t>
      </w:r>
    </w:p>
    <w:p w:rsidR="00051188" w:rsidRDefault="00051188" w:rsidP="009D78B4">
      <w:pPr>
        <w:widowControl w:val="0"/>
        <w:tabs>
          <w:tab w:val="left" w:pos="-720"/>
        </w:tabs>
        <w:rPr>
          <w:sz w:val="24"/>
          <w:szCs w:val="24"/>
          <w:lang w:val="en-AU"/>
        </w:rPr>
      </w:pPr>
    </w:p>
    <w:p w:rsidR="00051188" w:rsidRDefault="00051188" w:rsidP="009D78B4">
      <w:pPr>
        <w:widowControl w:val="0"/>
        <w:tabs>
          <w:tab w:val="left" w:pos="-720"/>
        </w:tabs>
        <w:rPr>
          <w:sz w:val="24"/>
          <w:szCs w:val="24"/>
          <w:lang w:val="en-AU"/>
        </w:rPr>
      </w:pPr>
      <w:r>
        <w:rPr>
          <w:sz w:val="24"/>
          <w:szCs w:val="24"/>
          <w:lang w:val="en-AU"/>
        </w:rPr>
        <w:t>The effect of administering different botulinum neurotoxin serotypes at the same time or within several months of each other is unknown.  Excessive weakness may be exacerbated by administration of another botulinum toxin prior to the resolution of the effects of a previously administered botulinum toxin.</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b/>
          <w:sz w:val="24"/>
          <w:szCs w:val="24"/>
          <w:lang w:val="en-GB"/>
        </w:rPr>
      </w:pPr>
      <w:r>
        <w:rPr>
          <w:b/>
          <w:sz w:val="24"/>
          <w:szCs w:val="24"/>
          <w:lang w:val="en-GB"/>
        </w:rPr>
        <w:t>Information for Patients</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 xml:space="preserve">Patients should be informed that the </w:t>
      </w:r>
      <w:r>
        <w:rPr>
          <w:sz w:val="24"/>
          <w:szCs w:val="24"/>
        </w:rPr>
        <w:t>BOTOX</w:t>
      </w:r>
      <w:r>
        <w:rPr>
          <w:sz w:val="24"/>
          <w:szCs w:val="24"/>
          <w:vertAlign w:val="superscript"/>
          <w:lang w:val="en-GB"/>
        </w:rPr>
        <w:t xml:space="preserve">® </w:t>
      </w:r>
      <w:r>
        <w:rPr>
          <w:sz w:val="24"/>
          <w:szCs w:val="24"/>
          <w:lang w:val="en-GB"/>
        </w:rPr>
        <w:t>Consumer Medicines Information leaflet is available and must be provided to them by prescribers.</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 xml:space="preserve">If </w:t>
      </w:r>
      <w:r w:rsidR="007D0D01">
        <w:rPr>
          <w:sz w:val="24"/>
          <w:szCs w:val="24"/>
          <w:lang w:val="en-GB"/>
        </w:rPr>
        <w:t xml:space="preserve"> </w:t>
      </w:r>
      <w:r>
        <w:rPr>
          <w:caps/>
          <w:sz w:val="24"/>
          <w:szCs w:val="24"/>
        </w:rPr>
        <w:t>Botox</w:t>
      </w:r>
      <w:r>
        <w:rPr>
          <w:caps/>
          <w:sz w:val="24"/>
          <w:szCs w:val="24"/>
          <w:vertAlign w:val="superscript"/>
        </w:rPr>
        <w:sym w:font="Symbol" w:char="F0D2"/>
      </w:r>
      <w:r>
        <w:rPr>
          <w:sz w:val="24"/>
          <w:szCs w:val="24"/>
          <w:lang w:val="en-GB"/>
        </w:rPr>
        <w:t xml:space="preserve"> is used during pregnancy, or if the patient becomes pregnant while being treated with </w:t>
      </w:r>
      <w:r>
        <w:rPr>
          <w:caps/>
          <w:sz w:val="24"/>
          <w:szCs w:val="24"/>
        </w:rPr>
        <w:t>Botox</w:t>
      </w:r>
      <w:r>
        <w:rPr>
          <w:caps/>
          <w:sz w:val="24"/>
          <w:szCs w:val="24"/>
          <w:vertAlign w:val="superscript"/>
        </w:rPr>
        <w:sym w:font="Symbol" w:char="F0D2"/>
      </w:r>
      <w:r>
        <w:rPr>
          <w:sz w:val="24"/>
          <w:szCs w:val="24"/>
          <w:lang w:val="en-GB"/>
        </w:rPr>
        <w:t>, the patient should be apprised of the potential risks, including abortion seen in animal studies.</w:t>
      </w:r>
    </w:p>
    <w:p w:rsidR="00051188" w:rsidRDefault="00051188" w:rsidP="009D78B4">
      <w:pPr>
        <w:widowControl w:val="0"/>
        <w:tabs>
          <w:tab w:val="left" w:pos="-720"/>
        </w:tabs>
        <w:rPr>
          <w:sz w:val="24"/>
          <w:szCs w:val="24"/>
          <w:lang w:val="en-GB"/>
        </w:rPr>
      </w:pPr>
    </w:p>
    <w:p w:rsidR="00051188" w:rsidRDefault="00051188" w:rsidP="009D78B4">
      <w:pPr>
        <w:pStyle w:val="BodyText2"/>
        <w:widowControl w:val="0"/>
        <w:rPr>
          <w:i w:val="0"/>
          <w:color w:val="auto"/>
          <w:lang w:val="en-GB"/>
        </w:rPr>
      </w:pPr>
      <w:r>
        <w:rPr>
          <w:i w:val="0"/>
          <w:color w:val="auto"/>
          <w:lang w:val="en-GB"/>
        </w:rPr>
        <w:t>Patients with cervical dystonia (spasmodic torticollis) should be informed of the possibility of experiencing dysphagia which may be very mild, but could be severe. Consequent to the dysphagia there is the potential for aspiration and/or dyspnoea.  In rare cases, tube feeding, aspiration pneumonia and death have been reported.  Dysphagia may persist for two to three weeks after injection, but has been reported to last up to five months post-injection. Patients or caregivers should be advised to seek immediate medical consultation if swallowing, speech or respiratory disorders arise.</w:t>
      </w:r>
    </w:p>
    <w:p w:rsidR="00051188" w:rsidRDefault="00051188" w:rsidP="009D78B4">
      <w:pPr>
        <w:pStyle w:val="BodyText2"/>
        <w:widowControl w:val="0"/>
        <w:rPr>
          <w:i w:val="0"/>
          <w:color w:val="auto"/>
          <w:lang w:val="en-GB"/>
        </w:rPr>
      </w:pPr>
    </w:p>
    <w:p w:rsidR="00051188" w:rsidRDefault="00051188" w:rsidP="009D78B4">
      <w:pPr>
        <w:widowControl w:val="0"/>
        <w:rPr>
          <w:color w:val="3C3C3C"/>
          <w:sz w:val="24"/>
          <w:szCs w:val="24"/>
        </w:rPr>
      </w:pPr>
      <w:r>
        <w:rPr>
          <w:sz w:val="24"/>
          <w:szCs w:val="24"/>
        </w:rPr>
        <w:t>After bladder injections for urinary incontinence, patients should be instructed to contact their physician if they experience difficulties in voiding as catheterisation may be required</w:t>
      </w:r>
      <w:r>
        <w:rPr>
          <w:color w:val="3C3C3C"/>
          <w:sz w:val="24"/>
          <w:szCs w:val="24"/>
        </w:rPr>
        <w:t>.</w:t>
      </w:r>
      <w:r>
        <w:rPr>
          <w:sz w:val="24"/>
          <w:szCs w:val="24"/>
        </w:rPr>
        <w:t xml:space="preserve">Patients </w:t>
      </w:r>
      <w:r>
        <w:rPr>
          <w:sz w:val="24"/>
          <w:szCs w:val="24"/>
        </w:rPr>
        <w:lastRenderedPageBreak/>
        <w:t>not already catheterising prior to BOTOX</w:t>
      </w:r>
      <w:r>
        <w:rPr>
          <w:caps/>
          <w:sz w:val="24"/>
          <w:szCs w:val="24"/>
          <w:vertAlign w:val="superscript"/>
        </w:rPr>
        <w:sym w:font="Symbol" w:char="F0D2"/>
      </w:r>
      <w:r>
        <w:rPr>
          <w:sz w:val="24"/>
          <w:szCs w:val="24"/>
        </w:rPr>
        <w:t xml:space="preserve"> bladder injections, should be advised to attend a clinic visit approximately 2 weeks after the procedure for measurement of their post-void residual volume.</w:t>
      </w:r>
      <w:r>
        <w:rPr>
          <w:color w:val="3C3C3C"/>
          <w:sz w:val="24"/>
          <w:szCs w:val="24"/>
        </w:rPr>
        <w:t xml:space="preserve"> </w:t>
      </w:r>
    </w:p>
    <w:p w:rsidR="00051188" w:rsidRDefault="00051188" w:rsidP="009D78B4">
      <w:pPr>
        <w:pStyle w:val="BodyText3"/>
        <w:keepLines w:val="0"/>
        <w:widowControl w:val="0"/>
        <w:ind w:right="-14"/>
        <w:rPr>
          <w:i w:val="0"/>
          <w:color w:val="auto"/>
          <w:sz w:val="24"/>
          <w:lang w:val="en-GB"/>
        </w:rPr>
      </w:pPr>
    </w:p>
    <w:p w:rsidR="00051188" w:rsidRDefault="00051188" w:rsidP="009D78B4">
      <w:pPr>
        <w:widowControl w:val="0"/>
        <w:rPr>
          <w:sz w:val="24"/>
          <w:szCs w:val="24"/>
        </w:rPr>
      </w:pPr>
      <w:r>
        <w:rPr>
          <w:iCs/>
          <w:sz w:val="24"/>
          <w:szCs w:val="24"/>
        </w:rPr>
        <w:t xml:space="preserve">Patients who are not catheterising and who subsequently develop a clinically relevant increase in post-void residual urine, may need to start to catheterise to achieve desired efficacy </w:t>
      </w:r>
      <w:r>
        <w:rPr>
          <w:iCs/>
          <w:sz w:val="24"/>
          <w:szCs w:val="24"/>
          <w:lang w:val="en-GB"/>
        </w:rPr>
        <w:t xml:space="preserve">(See </w:t>
      </w:r>
      <w:r>
        <w:rPr>
          <w:b/>
          <w:bCs/>
          <w:iCs/>
          <w:sz w:val="24"/>
          <w:szCs w:val="24"/>
          <w:lang w:val="en-GB"/>
        </w:rPr>
        <w:t>Clinical Trials</w:t>
      </w:r>
      <w:r>
        <w:rPr>
          <w:iCs/>
          <w:sz w:val="24"/>
          <w:szCs w:val="24"/>
          <w:lang w:val="en-GB"/>
        </w:rPr>
        <w:t>).</w:t>
      </w:r>
    </w:p>
    <w:p w:rsidR="00051188" w:rsidRDefault="00051188" w:rsidP="009D78B4">
      <w:pPr>
        <w:widowControl w:val="0"/>
        <w:rPr>
          <w:color w:val="3C3C3C"/>
          <w:sz w:val="24"/>
          <w:szCs w:val="24"/>
        </w:rPr>
      </w:pPr>
    </w:p>
    <w:p w:rsidR="00051188" w:rsidRPr="007D0D01" w:rsidRDefault="00051188" w:rsidP="009D78B4">
      <w:pPr>
        <w:pStyle w:val="Heading6"/>
        <w:widowControl w:val="0"/>
        <w:spacing w:before="0" w:after="0"/>
        <w:rPr>
          <w:sz w:val="24"/>
          <w:szCs w:val="24"/>
        </w:rPr>
      </w:pPr>
      <w:r w:rsidRPr="007D0D01">
        <w:rPr>
          <w:sz w:val="24"/>
          <w:szCs w:val="24"/>
        </w:rPr>
        <w:t>Effects on Laboratory Tests</w:t>
      </w:r>
    </w:p>
    <w:p w:rsidR="00051188" w:rsidRPr="007D0D01" w:rsidRDefault="00051188" w:rsidP="009D78B4">
      <w:pPr>
        <w:pStyle w:val="Heading7"/>
        <w:widowControl w:val="0"/>
        <w:spacing w:before="0" w:after="0"/>
        <w:rPr>
          <w:lang w:val="en-GB"/>
        </w:rPr>
      </w:pPr>
      <w:r w:rsidRPr="007D0D01">
        <w:rPr>
          <w:lang w:val="en-GB"/>
        </w:rPr>
        <w:t xml:space="preserve">There were no significant differences in routine laboratory variables between the placebo and </w:t>
      </w:r>
      <w:r w:rsidRPr="007D0D01">
        <w:rPr>
          <w:caps/>
        </w:rPr>
        <w:t>Botox</w:t>
      </w:r>
      <w:r w:rsidRPr="007D0D01">
        <w:rPr>
          <w:caps/>
          <w:vertAlign w:val="superscript"/>
        </w:rPr>
        <w:sym w:font="Symbol" w:char="F0D2"/>
      </w:r>
      <w:r w:rsidRPr="007D0D01">
        <w:rPr>
          <w:lang w:val="en-GB"/>
        </w:rPr>
        <w:t xml:space="preserve"> groups in patients receiving doses up to 360 U, for the treatment of cervical dystonia.</w:t>
      </w:r>
    </w:p>
    <w:p w:rsidR="00051188" w:rsidRDefault="00051188" w:rsidP="009D78B4">
      <w:pPr>
        <w:widowControl w:val="0"/>
        <w:tabs>
          <w:tab w:val="left" w:pos="426"/>
        </w:tabs>
        <w:rPr>
          <w:b/>
          <w:sz w:val="24"/>
          <w:szCs w:val="24"/>
          <w:lang w:val="en-GB"/>
        </w:rPr>
      </w:pPr>
    </w:p>
    <w:p w:rsidR="00051188" w:rsidRDefault="00051188" w:rsidP="009D78B4">
      <w:pPr>
        <w:widowControl w:val="0"/>
        <w:tabs>
          <w:tab w:val="left" w:pos="-720"/>
        </w:tabs>
        <w:spacing w:after="240"/>
        <w:rPr>
          <w:sz w:val="24"/>
          <w:lang w:val="en-GB"/>
        </w:rPr>
      </w:pPr>
      <w:r>
        <w:rPr>
          <w:b/>
          <w:sz w:val="24"/>
          <w:lang w:val="en-GB"/>
        </w:rPr>
        <w:t>ADVERSE EFFECTS</w:t>
      </w:r>
    </w:p>
    <w:p w:rsidR="00051188" w:rsidRDefault="00051188" w:rsidP="009D78B4">
      <w:pPr>
        <w:widowControl w:val="0"/>
        <w:tabs>
          <w:tab w:val="left" w:pos="-720"/>
        </w:tabs>
        <w:rPr>
          <w:b/>
          <w:sz w:val="24"/>
          <w:lang w:val="en-GB"/>
        </w:rPr>
      </w:pPr>
      <w:r>
        <w:rPr>
          <w:b/>
          <w:sz w:val="24"/>
          <w:lang w:val="en-GB"/>
        </w:rPr>
        <w:t>General</w:t>
      </w:r>
    </w:p>
    <w:p w:rsidR="00051188" w:rsidRDefault="00051188" w:rsidP="009D78B4">
      <w:pPr>
        <w:widowControl w:val="0"/>
        <w:ind w:right="-108"/>
        <w:rPr>
          <w:sz w:val="24"/>
          <w:szCs w:val="24"/>
          <w:lang w:val="en-GB"/>
        </w:rPr>
      </w:pPr>
      <w:r>
        <w:rPr>
          <w:sz w:val="24"/>
          <w:szCs w:val="24"/>
          <w:lang w:val="en-GB"/>
        </w:rPr>
        <w:t xml:space="preserve">In general, adverse events occur within the first few days following injection of </w:t>
      </w:r>
      <w:r>
        <w:rPr>
          <w:caps/>
          <w:sz w:val="24"/>
          <w:szCs w:val="24"/>
        </w:rPr>
        <w:t>Botox</w:t>
      </w:r>
      <w:r>
        <w:rPr>
          <w:caps/>
          <w:sz w:val="24"/>
          <w:szCs w:val="24"/>
          <w:vertAlign w:val="superscript"/>
        </w:rPr>
        <w:sym w:font="Symbol" w:char="F0D2"/>
      </w:r>
      <w:r>
        <w:rPr>
          <w:sz w:val="24"/>
          <w:szCs w:val="24"/>
          <w:lang w:val="en-GB"/>
        </w:rPr>
        <w:t xml:space="preserve"> and while generally transient may have duration of several months or, in rare cases, longer.</w:t>
      </w:r>
    </w:p>
    <w:p w:rsidR="00051188" w:rsidRDefault="00051188" w:rsidP="009D78B4">
      <w:pPr>
        <w:widowControl w:val="0"/>
        <w:ind w:right="-108"/>
        <w:rPr>
          <w:sz w:val="24"/>
          <w:szCs w:val="24"/>
          <w:lang w:val="en-GB"/>
        </w:rPr>
      </w:pPr>
      <w:r>
        <w:rPr>
          <w:sz w:val="24"/>
          <w:szCs w:val="24"/>
          <w:lang w:val="en-GB"/>
        </w:rPr>
        <w:t xml:space="preserve">As is expected for any injection procedure, localised pain, inflammation, paresthesia, hypoaesthesia, tenderness, swelling/oedema, erythema, localised infection, bleeding and/or bruising have been associated with the injection.  Needle-related pain and/or anxiety have resulted in vasovagal responses, including transient symptomatic hypotension and syncope. </w:t>
      </w:r>
    </w:p>
    <w:p w:rsidR="00051188" w:rsidRDefault="00051188" w:rsidP="009D78B4">
      <w:pPr>
        <w:widowControl w:val="0"/>
        <w:ind w:right="-108"/>
        <w:rPr>
          <w:sz w:val="24"/>
          <w:szCs w:val="24"/>
          <w:lang w:val="en-GB"/>
        </w:rPr>
      </w:pPr>
    </w:p>
    <w:p w:rsidR="00051188" w:rsidRDefault="00051188" w:rsidP="009D78B4">
      <w:pPr>
        <w:widowControl w:val="0"/>
        <w:ind w:right="-108"/>
        <w:rPr>
          <w:sz w:val="24"/>
          <w:szCs w:val="24"/>
          <w:lang w:val="en-GB"/>
        </w:rPr>
      </w:pPr>
      <w:r>
        <w:rPr>
          <w:sz w:val="24"/>
          <w:szCs w:val="24"/>
          <w:lang w:val="en-GB"/>
        </w:rPr>
        <w:t>Local weakness represents the expected pharmacological action of botulinum toxin in muscle tissue.  However, weakness of adjacent muscles and/or muscles remote from the site of injection has been reported.</w:t>
      </w:r>
    </w:p>
    <w:p w:rsidR="00051188" w:rsidRDefault="00051188" w:rsidP="009D78B4">
      <w:pPr>
        <w:widowControl w:val="0"/>
        <w:ind w:right="-108"/>
        <w:rPr>
          <w:sz w:val="24"/>
          <w:szCs w:val="24"/>
          <w:lang w:val="en-GB"/>
        </w:rPr>
      </w:pPr>
    </w:p>
    <w:p w:rsidR="006F1749" w:rsidRDefault="00051188" w:rsidP="009D78B4">
      <w:pPr>
        <w:widowControl w:val="0"/>
        <w:tabs>
          <w:tab w:val="left" w:pos="0"/>
          <w:tab w:val="left" w:pos="720"/>
        </w:tabs>
        <w:rPr>
          <w:b/>
          <w:sz w:val="24"/>
          <w:szCs w:val="24"/>
          <w:lang w:val="en-GB"/>
        </w:rPr>
      </w:pPr>
      <w:r>
        <w:rPr>
          <w:b/>
          <w:sz w:val="24"/>
          <w:szCs w:val="24"/>
          <w:lang w:val="en-GB"/>
        </w:rPr>
        <w:t>Overactive Bladder</w:t>
      </w:r>
    </w:p>
    <w:p w:rsidR="00051188" w:rsidRDefault="00051188" w:rsidP="009D78B4">
      <w:pPr>
        <w:widowControl w:val="0"/>
        <w:tabs>
          <w:tab w:val="left" w:pos="0"/>
          <w:tab w:val="left" w:pos="720"/>
        </w:tabs>
        <w:rPr>
          <w:i/>
          <w:sz w:val="24"/>
          <w:szCs w:val="24"/>
        </w:rPr>
      </w:pPr>
      <w:r>
        <w:rPr>
          <w:sz w:val="24"/>
          <w:szCs w:val="24"/>
        </w:rPr>
        <w:t xml:space="preserve">Table 5 presents the most frequently reported adverse reactions in double-blind, placebo-controlled, pivotal Phase 3 studies within 12 weeks of injection for overactive bladder. </w:t>
      </w:r>
    </w:p>
    <w:p w:rsidR="00051188" w:rsidRDefault="00051188" w:rsidP="009D78B4">
      <w:pPr>
        <w:widowControl w:val="0"/>
        <w:tabs>
          <w:tab w:val="left" w:pos="0"/>
          <w:tab w:val="left" w:pos="720"/>
        </w:tabs>
        <w:rPr>
          <w:sz w:val="24"/>
          <w:szCs w:val="24"/>
        </w:rPr>
      </w:pPr>
    </w:p>
    <w:p w:rsidR="000C1361" w:rsidRDefault="000C1361" w:rsidP="009D78B4">
      <w:pPr>
        <w:widowControl w:val="0"/>
        <w:tabs>
          <w:tab w:val="left" w:pos="0"/>
          <w:tab w:val="left" w:pos="720"/>
        </w:tabs>
        <w:rPr>
          <w:sz w:val="24"/>
          <w:szCs w:val="24"/>
        </w:rPr>
      </w:pPr>
    </w:p>
    <w:p w:rsidR="000C1361" w:rsidRDefault="000C1361" w:rsidP="009D78B4">
      <w:pPr>
        <w:widowControl w:val="0"/>
        <w:tabs>
          <w:tab w:val="left" w:pos="0"/>
          <w:tab w:val="left" w:pos="720"/>
        </w:tabs>
        <w:rPr>
          <w:sz w:val="24"/>
          <w:szCs w:val="24"/>
        </w:rPr>
      </w:pPr>
    </w:p>
    <w:p w:rsidR="000C1361" w:rsidRDefault="000C1361" w:rsidP="009D78B4">
      <w:pPr>
        <w:widowControl w:val="0"/>
        <w:tabs>
          <w:tab w:val="left" w:pos="0"/>
          <w:tab w:val="left" w:pos="720"/>
        </w:tabs>
        <w:rPr>
          <w:sz w:val="24"/>
          <w:szCs w:val="24"/>
        </w:rPr>
      </w:pPr>
    </w:p>
    <w:p w:rsidR="000C1361" w:rsidRDefault="000C1361" w:rsidP="009D78B4">
      <w:pPr>
        <w:widowControl w:val="0"/>
        <w:tabs>
          <w:tab w:val="left" w:pos="0"/>
          <w:tab w:val="left" w:pos="720"/>
        </w:tabs>
        <w:rPr>
          <w:sz w:val="24"/>
          <w:szCs w:val="24"/>
        </w:rPr>
      </w:pPr>
    </w:p>
    <w:p w:rsidR="000C1361" w:rsidRDefault="000C1361" w:rsidP="009D78B4">
      <w:pPr>
        <w:widowControl w:val="0"/>
        <w:tabs>
          <w:tab w:val="left" w:pos="0"/>
          <w:tab w:val="left" w:pos="720"/>
        </w:tabs>
        <w:rPr>
          <w:sz w:val="24"/>
          <w:szCs w:val="24"/>
        </w:rPr>
      </w:pPr>
    </w:p>
    <w:p w:rsidR="000C1361" w:rsidRDefault="000C1361" w:rsidP="009D78B4">
      <w:pPr>
        <w:widowControl w:val="0"/>
        <w:tabs>
          <w:tab w:val="left" w:pos="0"/>
          <w:tab w:val="left" w:pos="720"/>
        </w:tabs>
        <w:rPr>
          <w:sz w:val="24"/>
          <w:szCs w:val="24"/>
        </w:rPr>
      </w:pPr>
    </w:p>
    <w:p w:rsidR="00051188" w:rsidRDefault="00051188" w:rsidP="009D78B4">
      <w:pPr>
        <w:widowControl w:val="0"/>
        <w:rPr>
          <w:b/>
          <w:sz w:val="24"/>
          <w:szCs w:val="24"/>
        </w:rPr>
      </w:pPr>
      <w:r>
        <w:rPr>
          <w:b/>
          <w:sz w:val="24"/>
          <w:szCs w:val="24"/>
        </w:rPr>
        <w:t xml:space="preserve">Table 5: Adverse Reactions Reported by </w:t>
      </w:r>
      <w:r>
        <w:rPr>
          <w:b/>
          <w:sz w:val="24"/>
          <w:szCs w:val="24"/>
          <w:u w:val="single"/>
        </w:rPr>
        <w:t>&gt;</w:t>
      </w:r>
      <w:r>
        <w:rPr>
          <w:b/>
          <w:sz w:val="24"/>
          <w:szCs w:val="24"/>
        </w:rPr>
        <w:t>1% of BOTOX</w:t>
      </w:r>
      <w:r>
        <w:rPr>
          <w:b/>
          <w:sz w:val="24"/>
          <w:szCs w:val="24"/>
          <w:vertAlign w:val="superscript"/>
        </w:rPr>
        <w:t>®</w:t>
      </w:r>
      <w:r>
        <w:rPr>
          <w:sz w:val="24"/>
          <w:szCs w:val="24"/>
        </w:rPr>
        <w:t xml:space="preserve"> </w:t>
      </w:r>
      <w:r>
        <w:rPr>
          <w:b/>
          <w:sz w:val="24"/>
          <w:szCs w:val="24"/>
        </w:rPr>
        <w:t>treated Patients and More Frequent than in Placebo-treated Patients Within the First 12 Weeks, in Double-blind, Placebo-controlled, Pivotal Phase 3 Clinical Trials</w:t>
      </w:r>
    </w:p>
    <w:tbl>
      <w:tblPr>
        <w:tblW w:w="718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tblPr>
      <w:tblGrid>
        <w:gridCol w:w="3838"/>
        <w:gridCol w:w="1675"/>
        <w:gridCol w:w="1675"/>
      </w:tblGrid>
      <w:tr w:rsidR="00051188" w:rsidTr="00112664">
        <w:trPr>
          <w:trHeight w:val="665"/>
        </w:trPr>
        <w:tc>
          <w:tcPr>
            <w:tcW w:w="3838" w:type="dxa"/>
            <w:shd w:val="clear" w:color="auto" w:fill="auto"/>
          </w:tcPr>
          <w:p w:rsidR="00051188" w:rsidRDefault="00051188" w:rsidP="009D78B4">
            <w:pPr>
              <w:widowControl w:val="0"/>
              <w:tabs>
                <w:tab w:val="left" w:pos="0"/>
                <w:tab w:val="left" w:pos="720"/>
              </w:tabs>
              <w:rPr>
                <w:b/>
                <w:sz w:val="24"/>
                <w:szCs w:val="24"/>
              </w:rPr>
            </w:pPr>
          </w:p>
          <w:p w:rsidR="00051188" w:rsidRDefault="00051188" w:rsidP="009D78B4">
            <w:pPr>
              <w:widowControl w:val="0"/>
              <w:tabs>
                <w:tab w:val="left" w:pos="0"/>
                <w:tab w:val="left" w:pos="720"/>
              </w:tabs>
              <w:rPr>
                <w:b/>
                <w:sz w:val="24"/>
                <w:szCs w:val="24"/>
              </w:rPr>
            </w:pPr>
            <w:r>
              <w:rPr>
                <w:b/>
                <w:sz w:val="24"/>
                <w:szCs w:val="24"/>
              </w:rPr>
              <w:t xml:space="preserve">Adverse Reactions by System Organ Class </w:t>
            </w:r>
          </w:p>
        </w:tc>
        <w:tc>
          <w:tcPr>
            <w:tcW w:w="1675" w:type="dxa"/>
            <w:shd w:val="clear" w:color="auto" w:fill="auto"/>
          </w:tcPr>
          <w:p w:rsidR="00051188" w:rsidRDefault="00051188" w:rsidP="009D78B4">
            <w:pPr>
              <w:widowControl w:val="0"/>
              <w:tabs>
                <w:tab w:val="left" w:pos="0"/>
                <w:tab w:val="left" w:pos="720"/>
              </w:tabs>
              <w:jc w:val="center"/>
              <w:rPr>
                <w:b/>
                <w:sz w:val="24"/>
                <w:szCs w:val="24"/>
              </w:rPr>
            </w:pPr>
            <w:r>
              <w:rPr>
                <w:b/>
                <w:sz w:val="24"/>
                <w:szCs w:val="24"/>
              </w:rPr>
              <w:t>BOTOX</w:t>
            </w:r>
            <w:r>
              <w:rPr>
                <w:b/>
                <w:sz w:val="24"/>
                <w:szCs w:val="24"/>
                <w:vertAlign w:val="superscript"/>
              </w:rPr>
              <w:t>®</w:t>
            </w:r>
          </w:p>
          <w:p w:rsidR="00051188" w:rsidRDefault="00051188" w:rsidP="009D78B4">
            <w:pPr>
              <w:widowControl w:val="0"/>
              <w:tabs>
                <w:tab w:val="left" w:pos="0"/>
                <w:tab w:val="left" w:pos="720"/>
              </w:tabs>
              <w:jc w:val="center"/>
              <w:rPr>
                <w:b/>
                <w:sz w:val="24"/>
                <w:szCs w:val="24"/>
              </w:rPr>
            </w:pPr>
            <w:r>
              <w:rPr>
                <w:b/>
                <w:sz w:val="24"/>
                <w:szCs w:val="24"/>
              </w:rPr>
              <w:t>100 Unit</w:t>
            </w:r>
          </w:p>
          <w:p w:rsidR="00051188" w:rsidRDefault="00051188" w:rsidP="009D78B4">
            <w:pPr>
              <w:widowControl w:val="0"/>
              <w:tabs>
                <w:tab w:val="left" w:pos="0"/>
                <w:tab w:val="left" w:pos="720"/>
              </w:tabs>
              <w:jc w:val="center"/>
              <w:rPr>
                <w:b/>
                <w:sz w:val="24"/>
                <w:szCs w:val="24"/>
              </w:rPr>
            </w:pPr>
            <w:r>
              <w:rPr>
                <w:b/>
                <w:sz w:val="24"/>
                <w:szCs w:val="24"/>
              </w:rPr>
              <w:t>(N=552)</w:t>
            </w:r>
          </w:p>
        </w:tc>
        <w:tc>
          <w:tcPr>
            <w:tcW w:w="1675" w:type="dxa"/>
            <w:shd w:val="clear" w:color="auto" w:fill="auto"/>
          </w:tcPr>
          <w:p w:rsidR="00051188" w:rsidRDefault="00051188" w:rsidP="009D78B4">
            <w:pPr>
              <w:widowControl w:val="0"/>
              <w:tabs>
                <w:tab w:val="left" w:pos="0"/>
                <w:tab w:val="left" w:pos="720"/>
              </w:tabs>
              <w:jc w:val="center"/>
              <w:rPr>
                <w:b/>
                <w:sz w:val="24"/>
                <w:szCs w:val="24"/>
              </w:rPr>
            </w:pPr>
            <w:r>
              <w:rPr>
                <w:b/>
                <w:sz w:val="24"/>
                <w:szCs w:val="24"/>
              </w:rPr>
              <w:t>Placebo</w:t>
            </w:r>
          </w:p>
          <w:p w:rsidR="00051188" w:rsidRDefault="00051188" w:rsidP="009D78B4">
            <w:pPr>
              <w:widowControl w:val="0"/>
              <w:tabs>
                <w:tab w:val="left" w:pos="0"/>
                <w:tab w:val="left" w:pos="720"/>
              </w:tabs>
              <w:jc w:val="center"/>
              <w:rPr>
                <w:b/>
                <w:sz w:val="24"/>
                <w:szCs w:val="24"/>
              </w:rPr>
            </w:pPr>
            <w:r>
              <w:rPr>
                <w:b/>
                <w:sz w:val="24"/>
                <w:szCs w:val="24"/>
              </w:rPr>
              <w:t>(N=542)</w:t>
            </w:r>
          </w:p>
        </w:tc>
      </w:tr>
      <w:tr w:rsidR="00051188" w:rsidTr="00112664">
        <w:trPr>
          <w:trHeight w:val="126"/>
        </w:trPr>
        <w:tc>
          <w:tcPr>
            <w:tcW w:w="3838" w:type="dxa"/>
            <w:shd w:val="clear" w:color="auto" w:fill="auto"/>
          </w:tcPr>
          <w:p w:rsidR="00051188" w:rsidRDefault="00051188" w:rsidP="009D78B4">
            <w:pPr>
              <w:widowControl w:val="0"/>
              <w:tabs>
                <w:tab w:val="left" w:pos="0"/>
                <w:tab w:val="left" w:pos="720"/>
              </w:tabs>
              <w:rPr>
                <w:sz w:val="24"/>
                <w:szCs w:val="24"/>
              </w:rPr>
            </w:pPr>
            <w:r>
              <w:rPr>
                <w:sz w:val="24"/>
                <w:szCs w:val="24"/>
              </w:rPr>
              <w:t>Infections and infestations</w:t>
            </w:r>
          </w:p>
          <w:p w:rsidR="00051188" w:rsidRDefault="00051188" w:rsidP="009D78B4">
            <w:pPr>
              <w:widowControl w:val="0"/>
              <w:tabs>
                <w:tab w:val="left" w:pos="0"/>
                <w:tab w:val="left" w:pos="720"/>
              </w:tabs>
              <w:rPr>
                <w:sz w:val="24"/>
                <w:szCs w:val="24"/>
              </w:rPr>
            </w:pPr>
            <w:r>
              <w:rPr>
                <w:sz w:val="24"/>
                <w:szCs w:val="24"/>
              </w:rPr>
              <w:t xml:space="preserve">     Urinary tract infection</w:t>
            </w:r>
          </w:p>
          <w:p w:rsidR="00051188" w:rsidRDefault="00051188" w:rsidP="009D78B4">
            <w:pPr>
              <w:widowControl w:val="0"/>
              <w:tabs>
                <w:tab w:val="left" w:pos="0"/>
                <w:tab w:val="left" w:pos="720"/>
              </w:tabs>
              <w:rPr>
                <w:sz w:val="24"/>
                <w:szCs w:val="24"/>
              </w:rPr>
            </w:pPr>
            <w:r>
              <w:rPr>
                <w:sz w:val="24"/>
                <w:szCs w:val="24"/>
              </w:rPr>
              <w:t xml:space="preserve">     Bacteriuria</w:t>
            </w:r>
          </w:p>
        </w:tc>
        <w:tc>
          <w:tcPr>
            <w:tcW w:w="1675" w:type="dxa"/>
            <w:shd w:val="clear" w:color="auto" w:fill="auto"/>
            <w:vAlign w:val="bottom"/>
          </w:tcPr>
          <w:p w:rsidR="00051188" w:rsidRDefault="00051188" w:rsidP="009D78B4">
            <w:pPr>
              <w:widowControl w:val="0"/>
              <w:tabs>
                <w:tab w:val="left" w:pos="0"/>
                <w:tab w:val="left" w:pos="720"/>
              </w:tabs>
              <w:jc w:val="center"/>
              <w:rPr>
                <w:color w:val="000000"/>
                <w:sz w:val="24"/>
                <w:szCs w:val="24"/>
              </w:rPr>
            </w:pPr>
            <w:r>
              <w:rPr>
                <w:color w:val="000000"/>
                <w:sz w:val="24"/>
                <w:szCs w:val="24"/>
              </w:rPr>
              <w:t>17.9%</w:t>
            </w:r>
          </w:p>
          <w:p w:rsidR="00051188" w:rsidRDefault="00051188" w:rsidP="009D78B4">
            <w:pPr>
              <w:widowControl w:val="0"/>
              <w:tabs>
                <w:tab w:val="left" w:pos="0"/>
                <w:tab w:val="left" w:pos="720"/>
              </w:tabs>
              <w:jc w:val="center"/>
              <w:rPr>
                <w:sz w:val="24"/>
                <w:szCs w:val="24"/>
              </w:rPr>
            </w:pPr>
            <w:r>
              <w:rPr>
                <w:color w:val="000000"/>
                <w:sz w:val="24"/>
                <w:szCs w:val="24"/>
              </w:rPr>
              <w:t>4.3%</w:t>
            </w:r>
          </w:p>
        </w:tc>
        <w:tc>
          <w:tcPr>
            <w:tcW w:w="1675" w:type="dxa"/>
            <w:shd w:val="clear" w:color="auto" w:fill="auto"/>
            <w:vAlign w:val="bottom"/>
          </w:tcPr>
          <w:p w:rsidR="00051188" w:rsidRDefault="00051188" w:rsidP="009D78B4">
            <w:pPr>
              <w:widowControl w:val="0"/>
              <w:tabs>
                <w:tab w:val="left" w:pos="0"/>
                <w:tab w:val="left" w:pos="720"/>
              </w:tabs>
              <w:jc w:val="center"/>
              <w:rPr>
                <w:color w:val="000000"/>
                <w:sz w:val="24"/>
                <w:szCs w:val="24"/>
              </w:rPr>
            </w:pPr>
            <w:r>
              <w:rPr>
                <w:color w:val="000000"/>
                <w:sz w:val="24"/>
                <w:szCs w:val="24"/>
              </w:rPr>
              <w:t>5.5%</w:t>
            </w:r>
          </w:p>
          <w:p w:rsidR="00051188" w:rsidRDefault="00051188" w:rsidP="009D78B4">
            <w:pPr>
              <w:widowControl w:val="0"/>
              <w:tabs>
                <w:tab w:val="left" w:pos="0"/>
                <w:tab w:val="left" w:pos="720"/>
              </w:tabs>
              <w:jc w:val="center"/>
              <w:rPr>
                <w:sz w:val="24"/>
                <w:szCs w:val="24"/>
              </w:rPr>
            </w:pPr>
            <w:r>
              <w:rPr>
                <w:color w:val="000000"/>
                <w:sz w:val="24"/>
                <w:szCs w:val="24"/>
              </w:rPr>
              <w:t>2.0%</w:t>
            </w:r>
          </w:p>
        </w:tc>
      </w:tr>
      <w:tr w:rsidR="00051188" w:rsidTr="00112664">
        <w:trPr>
          <w:trHeight w:val="126"/>
        </w:trPr>
        <w:tc>
          <w:tcPr>
            <w:tcW w:w="3838" w:type="dxa"/>
            <w:shd w:val="clear" w:color="auto" w:fill="auto"/>
          </w:tcPr>
          <w:p w:rsidR="00051188" w:rsidRDefault="00051188" w:rsidP="009D78B4">
            <w:pPr>
              <w:widowControl w:val="0"/>
              <w:tabs>
                <w:tab w:val="left" w:pos="0"/>
                <w:tab w:val="left" w:pos="720"/>
              </w:tabs>
              <w:rPr>
                <w:sz w:val="24"/>
                <w:szCs w:val="24"/>
              </w:rPr>
            </w:pPr>
            <w:r>
              <w:rPr>
                <w:sz w:val="24"/>
                <w:szCs w:val="24"/>
              </w:rPr>
              <w:t>Renal and urinary disorders</w:t>
            </w:r>
          </w:p>
          <w:p w:rsidR="00051188" w:rsidRDefault="00051188" w:rsidP="009D78B4">
            <w:pPr>
              <w:widowControl w:val="0"/>
              <w:tabs>
                <w:tab w:val="left" w:pos="0"/>
                <w:tab w:val="left" w:pos="720"/>
              </w:tabs>
              <w:rPr>
                <w:sz w:val="24"/>
                <w:szCs w:val="24"/>
              </w:rPr>
            </w:pPr>
            <w:r>
              <w:rPr>
                <w:sz w:val="24"/>
                <w:szCs w:val="24"/>
              </w:rPr>
              <w:t xml:space="preserve">     Dysuria </w:t>
            </w:r>
          </w:p>
          <w:p w:rsidR="00051188" w:rsidRDefault="00051188" w:rsidP="009D78B4">
            <w:pPr>
              <w:widowControl w:val="0"/>
              <w:tabs>
                <w:tab w:val="left" w:pos="0"/>
                <w:tab w:val="left" w:pos="720"/>
              </w:tabs>
              <w:rPr>
                <w:sz w:val="24"/>
                <w:szCs w:val="24"/>
              </w:rPr>
            </w:pPr>
            <w:r>
              <w:rPr>
                <w:sz w:val="24"/>
                <w:szCs w:val="24"/>
              </w:rPr>
              <w:lastRenderedPageBreak/>
              <w:t xml:space="preserve">     Urinary retention</w:t>
            </w:r>
          </w:p>
          <w:p w:rsidR="00051188" w:rsidRDefault="00051188" w:rsidP="009D78B4">
            <w:pPr>
              <w:widowControl w:val="0"/>
              <w:tabs>
                <w:tab w:val="left" w:pos="0"/>
                <w:tab w:val="left" w:pos="720"/>
              </w:tabs>
              <w:rPr>
                <w:sz w:val="24"/>
                <w:szCs w:val="24"/>
              </w:rPr>
            </w:pPr>
            <w:r>
              <w:rPr>
                <w:sz w:val="24"/>
                <w:szCs w:val="24"/>
              </w:rPr>
              <w:t xml:space="preserve">     Residual urine volume*</w:t>
            </w:r>
          </w:p>
        </w:tc>
        <w:tc>
          <w:tcPr>
            <w:tcW w:w="1675" w:type="dxa"/>
            <w:shd w:val="clear" w:color="auto" w:fill="auto"/>
            <w:vAlign w:val="bottom"/>
          </w:tcPr>
          <w:p w:rsidR="00051188" w:rsidRDefault="00051188" w:rsidP="009D78B4">
            <w:pPr>
              <w:widowControl w:val="0"/>
              <w:tabs>
                <w:tab w:val="left" w:pos="0"/>
                <w:tab w:val="left" w:pos="720"/>
              </w:tabs>
              <w:jc w:val="center"/>
              <w:rPr>
                <w:sz w:val="24"/>
                <w:szCs w:val="24"/>
              </w:rPr>
            </w:pPr>
          </w:p>
          <w:p w:rsidR="00051188" w:rsidRDefault="00051188" w:rsidP="009D78B4">
            <w:pPr>
              <w:widowControl w:val="0"/>
              <w:tabs>
                <w:tab w:val="left" w:pos="0"/>
                <w:tab w:val="left" w:pos="720"/>
              </w:tabs>
              <w:jc w:val="center"/>
              <w:rPr>
                <w:color w:val="000000"/>
                <w:sz w:val="24"/>
                <w:szCs w:val="24"/>
              </w:rPr>
            </w:pPr>
            <w:r>
              <w:rPr>
                <w:sz w:val="24"/>
                <w:szCs w:val="24"/>
              </w:rPr>
              <w:t>9.1%</w:t>
            </w:r>
          </w:p>
          <w:p w:rsidR="00051188" w:rsidRDefault="00051188" w:rsidP="009D78B4">
            <w:pPr>
              <w:widowControl w:val="0"/>
              <w:tabs>
                <w:tab w:val="left" w:pos="0"/>
                <w:tab w:val="left" w:pos="720"/>
              </w:tabs>
              <w:jc w:val="center"/>
              <w:rPr>
                <w:color w:val="000000"/>
                <w:sz w:val="24"/>
                <w:szCs w:val="24"/>
              </w:rPr>
            </w:pPr>
            <w:r>
              <w:rPr>
                <w:color w:val="000000"/>
                <w:sz w:val="24"/>
                <w:szCs w:val="24"/>
              </w:rPr>
              <w:lastRenderedPageBreak/>
              <w:t>5.6%</w:t>
            </w:r>
          </w:p>
          <w:p w:rsidR="00051188" w:rsidRDefault="00051188" w:rsidP="009D78B4">
            <w:pPr>
              <w:widowControl w:val="0"/>
              <w:tabs>
                <w:tab w:val="left" w:pos="0"/>
                <w:tab w:val="left" w:pos="720"/>
              </w:tabs>
              <w:jc w:val="center"/>
              <w:rPr>
                <w:sz w:val="24"/>
                <w:szCs w:val="24"/>
              </w:rPr>
            </w:pPr>
            <w:r>
              <w:rPr>
                <w:sz w:val="24"/>
                <w:szCs w:val="24"/>
              </w:rPr>
              <w:t>3.1%</w:t>
            </w:r>
          </w:p>
        </w:tc>
        <w:tc>
          <w:tcPr>
            <w:tcW w:w="1675" w:type="dxa"/>
            <w:shd w:val="clear" w:color="auto" w:fill="auto"/>
            <w:vAlign w:val="bottom"/>
          </w:tcPr>
          <w:p w:rsidR="00051188" w:rsidRDefault="00051188" w:rsidP="009D78B4">
            <w:pPr>
              <w:widowControl w:val="0"/>
              <w:tabs>
                <w:tab w:val="left" w:pos="0"/>
                <w:tab w:val="left" w:pos="720"/>
              </w:tabs>
              <w:jc w:val="center"/>
              <w:rPr>
                <w:color w:val="000000"/>
                <w:sz w:val="24"/>
                <w:szCs w:val="24"/>
              </w:rPr>
            </w:pPr>
            <w:r>
              <w:rPr>
                <w:color w:val="000000"/>
                <w:sz w:val="24"/>
                <w:szCs w:val="24"/>
              </w:rPr>
              <w:lastRenderedPageBreak/>
              <w:t>6.6%</w:t>
            </w:r>
          </w:p>
          <w:p w:rsidR="00051188" w:rsidRDefault="00051188" w:rsidP="009D78B4">
            <w:pPr>
              <w:widowControl w:val="0"/>
              <w:tabs>
                <w:tab w:val="left" w:pos="0"/>
                <w:tab w:val="left" w:pos="720"/>
              </w:tabs>
              <w:jc w:val="center"/>
              <w:rPr>
                <w:color w:val="000000"/>
                <w:sz w:val="24"/>
                <w:szCs w:val="24"/>
              </w:rPr>
            </w:pPr>
            <w:r>
              <w:rPr>
                <w:color w:val="000000"/>
                <w:sz w:val="24"/>
                <w:szCs w:val="24"/>
              </w:rPr>
              <w:t>0.4%</w:t>
            </w:r>
          </w:p>
          <w:p w:rsidR="00051188" w:rsidRDefault="00051188" w:rsidP="009D78B4">
            <w:pPr>
              <w:widowControl w:val="0"/>
              <w:tabs>
                <w:tab w:val="left" w:pos="0"/>
                <w:tab w:val="left" w:pos="720"/>
              </w:tabs>
              <w:jc w:val="center"/>
              <w:rPr>
                <w:sz w:val="24"/>
                <w:szCs w:val="24"/>
              </w:rPr>
            </w:pPr>
            <w:r>
              <w:rPr>
                <w:sz w:val="24"/>
                <w:szCs w:val="24"/>
              </w:rPr>
              <w:lastRenderedPageBreak/>
              <w:t>0.2%</w:t>
            </w:r>
          </w:p>
        </w:tc>
      </w:tr>
    </w:tbl>
    <w:p w:rsidR="00051188" w:rsidRDefault="00051188" w:rsidP="009D78B4">
      <w:pPr>
        <w:widowControl w:val="0"/>
      </w:pPr>
      <w:r>
        <w:rPr>
          <w:b/>
        </w:rPr>
        <w:lastRenderedPageBreak/>
        <w:t>*</w:t>
      </w:r>
      <w:r>
        <w:t>Elevated PVR not requiring catheteri</w:t>
      </w:r>
      <w:r w:rsidR="00ED36D3">
        <w:t>s</w:t>
      </w:r>
      <w:r>
        <w:t>ation</w:t>
      </w:r>
    </w:p>
    <w:p w:rsidR="00051188" w:rsidRDefault="00051188" w:rsidP="009D78B4">
      <w:pPr>
        <w:widowControl w:val="0"/>
        <w:rPr>
          <w:b/>
          <w:sz w:val="24"/>
          <w:szCs w:val="24"/>
        </w:rPr>
      </w:pPr>
    </w:p>
    <w:p w:rsidR="00051188" w:rsidRDefault="00051188" w:rsidP="009D78B4">
      <w:pPr>
        <w:widowControl w:val="0"/>
        <w:tabs>
          <w:tab w:val="left" w:pos="0"/>
          <w:tab w:val="left" w:pos="720"/>
        </w:tabs>
        <w:rPr>
          <w:sz w:val="24"/>
          <w:szCs w:val="24"/>
          <w:highlight w:val="cyan"/>
        </w:rPr>
      </w:pPr>
      <w:r>
        <w:rPr>
          <w:sz w:val="24"/>
          <w:szCs w:val="24"/>
        </w:rPr>
        <w:t>During the complete treatment cycle, the following adverse reactions with BOTOX</w:t>
      </w:r>
      <w:r>
        <w:rPr>
          <w:sz w:val="24"/>
          <w:szCs w:val="24"/>
          <w:vertAlign w:val="superscript"/>
        </w:rPr>
        <w:t>®</w:t>
      </w:r>
      <w:r>
        <w:rPr>
          <w:sz w:val="24"/>
          <w:szCs w:val="24"/>
        </w:rPr>
        <w:t xml:space="preserve"> 100 Units were reported: urinary tract infections (25.5%), dysuria (10.9%), bacteriuria (8.0%), urinary retention (5.8%), residual urine volume (3.4%), and pollakiuria (2.0%).</w:t>
      </w:r>
      <w:r>
        <w:rPr>
          <w:sz w:val="24"/>
          <w:szCs w:val="24"/>
          <w:highlight w:val="cyan"/>
        </w:rPr>
        <w:br/>
      </w:r>
    </w:p>
    <w:p w:rsidR="00853663" w:rsidRPr="007F43F6" w:rsidRDefault="00853663" w:rsidP="00853663">
      <w:pPr>
        <w:autoSpaceDE w:val="0"/>
        <w:autoSpaceDN w:val="0"/>
        <w:rPr>
          <w:sz w:val="24"/>
          <w:szCs w:val="24"/>
        </w:rPr>
      </w:pPr>
      <w:r w:rsidRPr="007F43F6">
        <w:rPr>
          <w:sz w:val="24"/>
          <w:szCs w:val="24"/>
        </w:rPr>
        <w:t>The following table presents the BOTOX</w:t>
      </w:r>
      <w:r>
        <w:rPr>
          <w:sz w:val="24"/>
          <w:szCs w:val="24"/>
          <w:vertAlign w:val="superscript"/>
        </w:rPr>
        <w:t>®</w:t>
      </w:r>
      <w:r w:rsidRPr="007F43F6">
        <w:rPr>
          <w:sz w:val="24"/>
          <w:szCs w:val="24"/>
        </w:rPr>
        <w:t xml:space="preserve"> treated patients and placebo treated patients who initiated CIC at week 12 and anytime during treatment cycle 1.</w:t>
      </w:r>
    </w:p>
    <w:p w:rsidR="00853663" w:rsidRPr="007F43F6" w:rsidRDefault="00853663" w:rsidP="00853663">
      <w:pPr>
        <w:autoSpaceDE w:val="0"/>
        <w:autoSpaceDN w:val="0"/>
        <w:rPr>
          <w:sz w:val="24"/>
          <w:szCs w:val="24"/>
        </w:rPr>
      </w:pPr>
    </w:p>
    <w:p w:rsidR="00853663" w:rsidRPr="007F43F6" w:rsidRDefault="00853663" w:rsidP="00853663">
      <w:pPr>
        <w:autoSpaceDE w:val="0"/>
        <w:autoSpaceDN w:val="0"/>
        <w:rPr>
          <w:b/>
          <w:bCs/>
          <w:sz w:val="24"/>
          <w:szCs w:val="24"/>
        </w:rPr>
      </w:pPr>
      <w:r w:rsidRPr="007F43F6">
        <w:rPr>
          <w:b/>
          <w:bCs/>
          <w:sz w:val="24"/>
          <w:szCs w:val="24"/>
        </w:rPr>
        <w:t>Catheterisation Rates at Week 12 and Anytime During Treatment Cycle</w:t>
      </w:r>
      <w:r w:rsidRPr="007F43F6">
        <w:rPr>
          <w:sz w:val="24"/>
          <w:szCs w:val="24"/>
        </w:rPr>
        <w:t xml:space="preserve"> </w:t>
      </w:r>
      <w:r w:rsidRPr="007F43F6">
        <w:rPr>
          <w:b/>
          <w:bCs/>
          <w:sz w:val="24"/>
          <w:szCs w:val="24"/>
        </w:rPr>
        <w:t>1</w:t>
      </w:r>
    </w:p>
    <w:tbl>
      <w:tblPr>
        <w:tblW w:w="0" w:type="auto"/>
        <w:tblCellMar>
          <w:left w:w="0" w:type="dxa"/>
          <w:right w:w="0" w:type="dxa"/>
        </w:tblCellMar>
        <w:tblLook w:val="04A0"/>
      </w:tblPr>
      <w:tblGrid>
        <w:gridCol w:w="2672"/>
        <w:gridCol w:w="2115"/>
        <w:gridCol w:w="2116"/>
      </w:tblGrid>
      <w:tr w:rsidR="00853663" w:rsidRPr="007F43F6" w:rsidTr="00853663">
        <w:trPr>
          <w:trHeight w:val="423"/>
        </w:trPr>
        <w:tc>
          <w:tcPr>
            <w:tcW w:w="26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53663" w:rsidRPr="007F43F6" w:rsidRDefault="00853663" w:rsidP="00853663">
            <w:pPr>
              <w:pStyle w:val="TableText"/>
              <w:jc w:val="center"/>
              <w:rPr>
                <w:szCs w:val="24"/>
                <w:lang w:val="en-GB"/>
              </w:rPr>
            </w:pPr>
          </w:p>
        </w:tc>
        <w:tc>
          <w:tcPr>
            <w:tcW w:w="2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53663" w:rsidRPr="007F43F6" w:rsidRDefault="00853663" w:rsidP="00853663">
            <w:pPr>
              <w:pStyle w:val="TableText"/>
              <w:jc w:val="center"/>
              <w:rPr>
                <w:b/>
                <w:bCs/>
                <w:szCs w:val="24"/>
                <w:lang w:val="en-GB"/>
              </w:rPr>
            </w:pPr>
            <w:r w:rsidRPr="007F43F6">
              <w:rPr>
                <w:b/>
                <w:bCs/>
                <w:szCs w:val="24"/>
                <w:lang w:val="en-GB"/>
              </w:rPr>
              <w:t>100 U BOTOX</w:t>
            </w:r>
            <w:r w:rsidRPr="007F43F6">
              <w:rPr>
                <w:b/>
                <w:bCs/>
                <w:szCs w:val="24"/>
                <w:vertAlign w:val="superscript"/>
                <w:lang w:val="en-GB"/>
              </w:rPr>
              <w:t>®</w:t>
            </w:r>
          </w:p>
        </w:tc>
        <w:tc>
          <w:tcPr>
            <w:tcW w:w="21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53663" w:rsidRPr="007F43F6" w:rsidRDefault="00853663" w:rsidP="00853663">
            <w:pPr>
              <w:pStyle w:val="TableText"/>
              <w:jc w:val="center"/>
              <w:rPr>
                <w:b/>
                <w:bCs/>
                <w:szCs w:val="24"/>
                <w:lang w:val="en-GB"/>
              </w:rPr>
            </w:pPr>
            <w:r w:rsidRPr="007F43F6">
              <w:rPr>
                <w:b/>
                <w:bCs/>
                <w:szCs w:val="24"/>
                <w:lang w:val="en-GB"/>
              </w:rPr>
              <w:t>Placebo</w:t>
            </w:r>
          </w:p>
        </w:tc>
      </w:tr>
      <w:tr w:rsidR="00853663" w:rsidRPr="007F43F6" w:rsidTr="00853663">
        <w:trPr>
          <w:trHeight w:val="438"/>
        </w:trPr>
        <w:tc>
          <w:tcPr>
            <w:tcW w:w="2672"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853663" w:rsidRPr="007F43F6" w:rsidRDefault="00853663" w:rsidP="00853663">
            <w:pPr>
              <w:pStyle w:val="TableText"/>
              <w:rPr>
                <w:szCs w:val="24"/>
                <w:lang w:val="en-GB"/>
              </w:rPr>
            </w:pPr>
            <w:r w:rsidRPr="007F43F6">
              <w:rPr>
                <w:szCs w:val="24"/>
                <w:lang w:val="en-GB"/>
              </w:rPr>
              <w:t xml:space="preserve">At Week 12 </w:t>
            </w:r>
          </w:p>
        </w:tc>
        <w:tc>
          <w:tcPr>
            <w:tcW w:w="2115" w:type="dxa"/>
            <w:tcBorders>
              <w:top w:val="nil"/>
              <w:left w:val="nil"/>
              <w:bottom w:val="nil"/>
              <w:right w:val="single" w:sz="8" w:space="0" w:color="auto"/>
            </w:tcBorders>
            <w:tcMar>
              <w:top w:w="0" w:type="dxa"/>
              <w:left w:w="108" w:type="dxa"/>
              <w:bottom w:w="0" w:type="dxa"/>
              <w:right w:w="108" w:type="dxa"/>
            </w:tcMar>
            <w:vAlign w:val="center"/>
            <w:hideMark/>
          </w:tcPr>
          <w:p w:rsidR="00853663" w:rsidRPr="007F43F6" w:rsidRDefault="00853663" w:rsidP="00853663">
            <w:pPr>
              <w:pStyle w:val="TableText"/>
              <w:jc w:val="center"/>
              <w:rPr>
                <w:szCs w:val="24"/>
                <w:lang w:val="en-GB"/>
              </w:rPr>
            </w:pPr>
            <w:r w:rsidRPr="007F43F6">
              <w:rPr>
                <w:szCs w:val="24"/>
                <w:lang w:val="en-GB"/>
              </w:rPr>
              <w:t>4.0% (22/547)</w:t>
            </w:r>
          </w:p>
        </w:tc>
        <w:tc>
          <w:tcPr>
            <w:tcW w:w="2116" w:type="dxa"/>
            <w:tcBorders>
              <w:top w:val="nil"/>
              <w:left w:val="nil"/>
              <w:bottom w:val="nil"/>
              <w:right w:val="single" w:sz="8" w:space="0" w:color="auto"/>
            </w:tcBorders>
            <w:tcMar>
              <w:top w:w="0" w:type="dxa"/>
              <w:left w:w="108" w:type="dxa"/>
              <w:bottom w:w="0" w:type="dxa"/>
              <w:right w:w="108" w:type="dxa"/>
            </w:tcMar>
            <w:vAlign w:val="center"/>
            <w:hideMark/>
          </w:tcPr>
          <w:p w:rsidR="00853663" w:rsidRPr="007F43F6" w:rsidRDefault="00853663" w:rsidP="00853663">
            <w:pPr>
              <w:pStyle w:val="TableText"/>
              <w:jc w:val="center"/>
              <w:rPr>
                <w:szCs w:val="24"/>
                <w:lang w:val="en-GB"/>
              </w:rPr>
            </w:pPr>
            <w:r w:rsidRPr="007F43F6">
              <w:rPr>
                <w:szCs w:val="24"/>
                <w:lang w:val="en-GB"/>
              </w:rPr>
              <w:t>0.0% (0/535)</w:t>
            </w:r>
          </w:p>
        </w:tc>
      </w:tr>
      <w:tr w:rsidR="00853663" w:rsidRPr="007F43F6" w:rsidTr="00853663">
        <w:trPr>
          <w:trHeight w:val="438"/>
        </w:trPr>
        <w:tc>
          <w:tcPr>
            <w:tcW w:w="26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53663" w:rsidRPr="007F43F6" w:rsidRDefault="00853663" w:rsidP="00853663">
            <w:pPr>
              <w:pStyle w:val="TableText"/>
              <w:rPr>
                <w:szCs w:val="24"/>
                <w:lang w:val="en-GB"/>
              </w:rPr>
            </w:pPr>
            <w:r w:rsidRPr="007F43F6">
              <w:rPr>
                <w:szCs w:val="24"/>
                <w:lang w:val="en-GB"/>
              </w:rPr>
              <w:t>Anytime during Treatment cycle 1</w:t>
            </w:r>
          </w:p>
        </w:tc>
        <w:tc>
          <w:tcPr>
            <w:tcW w:w="21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3663" w:rsidRPr="007F43F6" w:rsidRDefault="00853663" w:rsidP="00853663">
            <w:pPr>
              <w:pStyle w:val="TableText"/>
              <w:jc w:val="center"/>
              <w:rPr>
                <w:szCs w:val="24"/>
                <w:lang w:val="en-GB"/>
              </w:rPr>
            </w:pPr>
            <w:r w:rsidRPr="007F43F6">
              <w:rPr>
                <w:szCs w:val="24"/>
                <w:lang w:val="en-GB"/>
              </w:rPr>
              <w:t>6.5% (36/552</w:t>
            </w:r>
            <w:r w:rsidRPr="007F43F6">
              <w:rPr>
                <w:color w:val="1F497D"/>
                <w:szCs w:val="24"/>
                <w:lang w:val="en-GB"/>
              </w:rPr>
              <w:t>)</w:t>
            </w:r>
          </w:p>
        </w:tc>
        <w:tc>
          <w:tcPr>
            <w:tcW w:w="21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53663" w:rsidRPr="007F43F6" w:rsidRDefault="00853663" w:rsidP="00853663">
            <w:pPr>
              <w:pStyle w:val="TableText"/>
              <w:jc w:val="center"/>
              <w:rPr>
                <w:szCs w:val="24"/>
                <w:lang w:val="en-GB"/>
              </w:rPr>
            </w:pPr>
            <w:r w:rsidRPr="007F43F6">
              <w:rPr>
                <w:szCs w:val="24"/>
                <w:lang w:val="en-GB"/>
              </w:rPr>
              <w:t>0.4% (2/542)</w:t>
            </w:r>
          </w:p>
        </w:tc>
      </w:tr>
    </w:tbl>
    <w:p w:rsidR="00853663" w:rsidRDefault="00853663" w:rsidP="009D78B4">
      <w:pPr>
        <w:widowControl w:val="0"/>
        <w:tabs>
          <w:tab w:val="left" w:pos="0"/>
          <w:tab w:val="left" w:pos="720"/>
        </w:tabs>
        <w:rPr>
          <w:sz w:val="24"/>
          <w:szCs w:val="24"/>
          <w:highlight w:val="cyan"/>
        </w:rPr>
      </w:pPr>
    </w:p>
    <w:p w:rsidR="00853663" w:rsidRPr="007F43F6" w:rsidRDefault="00853663" w:rsidP="00853663">
      <w:pPr>
        <w:rPr>
          <w:sz w:val="24"/>
          <w:szCs w:val="24"/>
        </w:rPr>
      </w:pPr>
      <w:r w:rsidRPr="007F43F6">
        <w:rPr>
          <w:sz w:val="24"/>
          <w:szCs w:val="24"/>
        </w:rPr>
        <w:t xml:space="preserve">Urinary tract infections were increased in patients who initiated CIC and those who had post void residual volumes ≥200mL. The following table presents a summary of UTI rates by CIC status and  post-void residual urine volume during the first 12 weeks. </w:t>
      </w:r>
    </w:p>
    <w:p w:rsidR="00853663" w:rsidRPr="007F43F6" w:rsidRDefault="00853663" w:rsidP="00853663">
      <w:pPr>
        <w:keepLines/>
        <w:rPr>
          <w:color w:val="060602"/>
          <w:sz w:val="24"/>
          <w:szCs w:val="24"/>
        </w:rPr>
      </w:pPr>
    </w:p>
    <w:p w:rsidR="00853663" w:rsidRPr="007F43F6" w:rsidRDefault="00853663" w:rsidP="00853663">
      <w:pPr>
        <w:autoSpaceDE w:val="0"/>
        <w:autoSpaceDN w:val="0"/>
        <w:adjustRightInd w:val="0"/>
        <w:rPr>
          <w:b/>
          <w:color w:val="3C3C3C"/>
          <w:sz w:val="24"/>
          <w:szCs w:val="24"/>
        </w:rPr>
      </w:pPr>
      <w:r w:rsidRPr="007F43F6">
        <w:rPr>
          <w:b/>
          <w:color w:val="060602"/>
          <w:sz w:val="24"/>
          <w:szCs w:val="24"/>
        </w:rPr>
        <w:t xml:space="preserve">Urinary Tract Infection Rates by CIC Status </w:t>
      </w:r>
      <w:r w:rsidRPr="007F43F6">
        <w:rPr>
          <w:b/>
          <w:color w:val="20200F"/>
          <w:sz w:val="24"/>
          <w:szCs w:val="24"/>
        </w:rPr>
        <w:t>a</w:t>
      </w:r>
      <w:r w:rsidRPr="007F43F6">
        <w:rPr>
          <w:b/>
          <w:color w:val="060602"/>
          <w:sz w:val="24"/>
          <w:szCs w:val="24"/>
        </w:rPr>
        <w:t>nd Post-vo</w:t>
      </w:r>
      <w:r w:rsidRPr="007F43F6">
        <w:rPr>
          <w:b/>
          <w:sz w:val="24"/>
          <w:szCs w:val="24"/>
        </w:rPr>
        <w:t>id Residual Urine Volume During the First 12 Weeks of Treatment Cycle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2"/>
        <w:gridCol w:w="2115"/>
        <w:gridCol w:w="2116"/>
      </w:tblGrid>
      <w:tr w:rsidR="00853663" w:rsidRPr="007F43F6" w:rsidTr="00853663">
        <w:trPr>
          <w:trHeight w:val="423"/>
        </w:trPr>
        <w:tc>
          <w:tcPr>
            <w:tcW w:w="2672" w:type="dxa"/>
            <w:vAlign w:val="center"/>
          </w:tcPr>
          <w:p w:rsidR="00853663" w:rsidRPr="00634C2C" w:rsidRDefault="00853663" w:rsidP="00853663">
            <w:pPr>
              <w:pStyle w:val="TableText"/>
              <w:jc w:val="center"/>
              <w:rPr>
                <w:szCs w:val="24"/>
              </w:rPr>
            </w:pPr>
          </w:p>
        </w:tc>
        <w:tc>
          <w:tcPr>
            <w:tcW w:w="2115" w:type="dxa"/>
            <w:vAlign w:val="center"/>
          </w:tcPr>
          <w:p w:rsidR="00853663" w:rsidRPr="007F43F6" w:rsidRDefault="00853663" w:rsidP="00853663">
            <w:pPr>
              <w:pStyle w:val="TableText"/>
              <w:jc w:val="center"/>
              <w:rPr>
                <w:b/>
                <w:szCs w:val="24"/>
                <w:lang w:val="en-GB"/>
              </w:rPr>
            </w:pPr>
            <w:r w:rsidRPr="007F43F6">
              <w:rPr>
                <w:b/>
                <w:szCs w:val="24"/>
                <w:lang w:val="en-GB"/>
              </w:rPr>
              <w:t>100 U BOTOX</w:t>
            </w:r>
            <w:r w:rsidRPr="007F43F6">
              <w:rPr>
                <w:b/>
                <w:szCs w:val="24"/>
                <w:vertAlign w:val="superscript"/>
                <w:lang w:val="en-GB"/>
              </w:rPr>
              <w:t>®</w:t>
            </w:r>
          </w:p>
        </w:tc>
        <w:tc>
          <w:tcPr>
            <w:tcW w:w="2116" w:type="dxa"/>
            <w:vAlign w:val="center"/>
          </w:tcPr>
          <w:p w:rsidR="00853663" w:rsidRPr="007F43F6" w:rsidRDefault="00853663" w:rsidP="00853663">
            <w:pPr>
              <w:pStyle w:val="TableText"/>
              <w:jc w:val="center"/>
              <w:rPr>
                <w:b/>
                <w:szCs w:val="24"/>
                <w:lang w:val="en-GB"/>
              </w:rPr>
            </w:pPr>
            <w:r w:rsidRPr="007F43F6">
              <w:rPr>
                <w:b/>
                <w:szCs w:val="24"/>
                <w:lang w:val="en-GB"/>
              </w:rPr>
              <w:t>Placebo</w:t>
            </w:r>
          </w:p>
        </w:tc>
      </w:tr>
      <w:tr w:rsidR="00853663" w:rsidRPr="007F43F6" w:rsidTr="00853663">
        <w:trPr>
          <w:trHeight w:val="438"/>
        </w:trPr>
        <w:tc>
          <w:tcPr>
            <w:tcW w:w="2672" w:type="dxa"/>
            <w:tcBorders>
              <w:top w:val="nil"/>
              <w:bottom w:val="nil"/>
            </w:tcBorders>
            <w:vAlign w:val="center"/>
          </w:tcPr>
          <w:p w:rsidR="00853663" w:rsidRPr="007F43F6" w:rsidRDefault="00853663" w:rsidP="00853663">
            <w:pPr>
              <w:pStyle w:val="TableText"/>
              <w:rPr>
                <w:szCs w:val="24"/>
                <w:lang w:val="en-GB"/>
              </w:rPr>
            </w:pPr>
            <w:r w:rsidRPr="007F43F6">
              <w:rPr>
                <w:szCs w:val="24"/>
                <w:lang w:val="en-GB"/>
              </w:rPr>
              <w:t xml:space="preserve">Initiated CIC </w:t>
            </w:r>
          </w:p>
        </w:tc>
        <w:tc>
          <w:tcPr>
            <w:tcW w:w="2115" w:type="dxa"/>
            <w:tcBorders>
              <w:top w:val="nil"/>
              <w:bottom w:val="nil"/>
            </w:tcBorders>
            <w:vAlign w:val="center"/>
          </w:tcPr>
          <w:p w:rsidR="00853663" w:rsidRPr="007F43F6" w:rsidRDefault="00853663" w:rsidP="00853663">
            <w:pPr>
              <w:pStyle w:val="TableText"/>
              <w:jc w:val="center"/>
              <w:rPr>
                <w:szCs w:val="24"/>
                <w:lang w:val="en-GB"/>
              </w:rPr>
            </w:pPr>
            <w:r w:rsidRPr="007F43F6">
              <w:rPr>
                <w:szCs w:val="24"/>
                <w:lang w:val="en-GB"/>
              </w:rPr>
              <w:t>39.6% (19/48)</w:t>
            </w:r>
          </w:p>
        </w:tc>
        <w:tc>
          <w:tcPr>
            <w:tcW w:w="2116" w:type="dxa"/>
            <w:tcBorders>
              <w:top w:val="nil"/>
              <w:bottom w:val="nil"/>
            </w:tcBorders>
            <w:vAlign w:val="center"/>
          </w:tcPr>
          <w:p w:rsidR="00853663" w:rsidRPr="007F43F6" w:rsidRDefault="00853663" w:rsidP="00853663">
            <w:pPr>
              <w:pStyle w:val="TableText"/>
              <w:jc w:val="center"/>
              <w:rPr>
                <w:szCs w:val="24"/>
                <w:lang w:val="en-GB"/>
              </w:rPr>
            </w:pPr>
            <w:r w:rsidRPr="007F43F6">
              <w:rPr>
                <w:szCs w:val="24"/>
                <w:lang w:val="en-GB"/>
              </w:rPr>
              <w:t>12.5% (1/8)</w:t>
            </w:r>
          </w:p>
        </w:tc>
      </w:tr>
      <w:tr w:rsidR="00853663" w:rsidRPr="007F43F6" w:rsidTr="00853663">
        <w:trPr>
          <w:trHeight w:val="438"/>
        </w:trPr>
        <w:tc>
          <w:tcPr>
            <w:tcW w:w="2672" w:type="dxa"/>
            <w:tcBorders>
              <w:top w:val="nil"/>
              <w:bottom w:val="nil"/>
            </w:tcBorders>
            <w:vAlign w:val="center"/>
          </w:tcPr>
          <w:p w:rsidR="00853663" w:rsidRPr="007F43F6" w:rsidRDefault="00853663" w:rsidP="00853663">
            <w:pPr>
              <w:pStyle w:val="TableText"/>
              <w:rPr>
                <w:szCs w:val="24"/>
                <w:lang w:val="en-GB"/>
              </w:rPr>
            </w:pPr>
            <w:r w:rsidRPr="007F43F6">
              <w:rPr>
                <w:szCs w:val="24"/>
                <w:lang w:val="en-GB"/>
              </w:rPr>
              <w:t>Did not initiate CIC</w:t>
            </w:r>
          </w:p>
        </w:tc>
        <w:tc>
          <w:tcPr>
            <w:tcW w:w="2115" w:type="dxa"/>
            <w:tcBorders>
              <w:top w:val="nil"/>
              <w:bottom w:val="nil"/>
            </w:tcBorders>
            <w:vAlign w:val="center"/>
          </w:tcPr>
          <w:p w:rsidR="00853663" w:rsidRPr="007F43F6" w:rsidRDefault="00853663" w:rsidP="00853663">
            <w:pPr>
              <w:pStyle w:val="TableText"/>
              <w:jc w:val="center"/>
              <w:rPr>
                <w:szCs w:val="24"/>
                <w:lang w:val="en-GB"/>
              </w:rPr>
            </w:pPr>
            <w:r w:rsidRPr="007F43F6">
              <w:rPr>
                <w:szCs w:val="24"/>
                <w:lang w:val="en-GB"/>
              </w:rPr>
              <w:t>15.9% (80/504</w:t>
            </w:r>
            <w:r>
              <w:rPr>
                <w:szCs w:val="24"/>
                <w:lang w:val="en-GB"/>
              </w:rPr>
              <w:t>)</w:t>
            </w:r>
          </w:p>
        </w:tc>
        <w:tc>
          <w:tcPr>
            <w:tcW w:w="2116" w:type="dxa"/>
            <w:tcBorders>
              <w:top w:val="nil"/>
              <w:bottom w:val="nil"/>
            </w:tcBorders>
            <w:vAlign w:val="center"/>
          </w:tcPr>
          <w:p w:rsidR="00853663" w:rsidRPr="007F43F6" w:rsidRDefault="00853663" w:rsidP="00853663">
            <w:pPr>
              <w:pStyle w:val="TableText"/>
              <w:jc w:val="center"/>
              <w:rPr>
                <w:szCs w:val="24"/>
                <w:lang w:val="en-GB"/>
              </w:rPr>
            </w:pPr>
            <w:r w:rsidRPr="007F43F6">
              <w:rPr>
                <w:szCs w:val="24"/>
                <w:lang w:val="en-GB"/>
              </w:rPr>
              <w:t>5.4% (29/534)</w:t>
            </w:r>
          </w:p>
        </w:tc>
      </w:tr>
      <w:tr w:rsidR="00853663" w:rsidRPr="007F43F6" w:rsidTr="00853663">
        <w:trPr>
          <w:trHeight w:val="438"/>
        </w:trPr>
        <w:tc>
          <w:tcPr>
            <w:tcW w:w="2672" w:type="dxa"/>
            <w:tcBorders>
              <w:top w:val="nil"/>
              <w:bottom w:val="nil"/>
            </w:tcBorders>
            <w:vAlign w:val="center"/>
          </w:tcPr>
          <w:p w:rsidR="00853663" w:rsidRPr="007F43F6" w:rsidRDefault="00853663" w:rsidP="00853663">
            <w:pPr>
              <w:pStyle w:val="TableText"/>
              <w:rPr>
                <w:szCs w:val="24"/>
                <w:lang w:val="en-GB"/>
              </w:rPr>
            </w:pPr>
            <w:r w:rsidRPr="007F43F6">
              <w:rPr>
                <w:szCs w:val="24"/>
                <w:lang w:val="en-GB"/>
              </w:rPr>
              <w:t>PVR urine ≥ 200 mL</w:t>
            </w:r>
          </w:p>
        </w:tc>
        <w:tc>
          <w:tcPr>
            <w:tcW w:w="2115" w:type="dxa"/>
            <w:tcBorders>
              <w:top w:val="nil"/>
              <w:bottom w:val="nil"/>
            </w:tcBorders>
            <w:vAlign w:val="center"/>
          </w:tcPr>
          <w:p w:rsidR="00853663" w:rsidRPr="007F43F6" w:rsidRDefault="00853663" w:rsidP="00853663">
            <w:pPr>
              <w:pStyle w:val="TableText"/>
              <w:jc w:val="center"/>
              <w:rPr>
                <w:szCs w:val="24"/>
                <w:lang w:val="en-GB"/>
              </w:rPr>
            </w:pPr>
            <w:r w:rsidRPr="007F43F6">
              <w:rPr>
                <w:szCs w:val="24"/>
                <w:lang w:val="en-GB"/>
              </w:rPr>
              <w:t>34.5% (20/58)</w:t>
            </w:r>
          </w:p>
        </w:tc>
        <w:tc>
          <w:tcPr>
            <w:tcW w:w="2116" w:type="dxa"/>
            <w:tcBorders>
              <w:top w:val="nil"/>
              <w:bottom w:val="nil"/>
            </w:tcBorders>
            <w:vAlign w:val="center"/>
          </w:tcPr>
          <w:p w:rsidR="00853663" w:rsidRPr="007F43F6" w:rsidRDefault="00853663" w:rsidP="00853663">
            <w:pPr>
              <w:pStyle w:val="TableText"/>
              <w:jc w:val="center"/>
              <w:rPr>
                <w:szCs w:val="24"/>
                <w:lang w:val="en-GB"/>
              </w:rPr>
            </w:pPr>
            <w:r w:rsidRPr="007F43F6">
              <w:rPr>
                <w:szCs w:val="24"/>
                <w:lang w:val="en-GB"/>
              </w:rPr>
              <w:t>0.0% (0/4)</w:t>
            </w:r>
          </w:p>
        </w:tc>
      </w:tr>
      <w:tr w:rsidR="00853663" w:rsidRPr="007F43F6" w:rsidTr="00853663">
        <w:trPr>
          <w:trHeight w:val="452"/>
        </w:trPr>
        <w:tc>
          <w:tcPr>
            <w:tcW w:w="2672" w:type="dxa"/>
            <w:tcBorders>
              <w:top w:val="nil"/>
            </w:tcBorders>
            <w:vAlign w:val="center"/>
          </w:tcPr>
          <w:p w:rsidR="00853663" w:rsidRPr="007F43F6" w:rsidRDefault="00853663" w:rsidP="00853663">
            <w:pPr>
              <w:pStyle w:val="TableText"/>
              <w:rPr>
                <w:szCs w:val="24"/>
                <w:lang w:val="en-GB"/>
              </w:rPr>
            </w:pPr>
            <w:r w:rsidRPr="007F43F6">
              <w:rPr>
                <w:szCs w:val="24"/>
                <w:lang w:val="en-GB"/>
              </w:rPr>
              <w:t>PVR urine &lt; 200 mL</w:t>
            </w:r>
          </w:p>
        </w:tc>
        <w:tc>
          <w:tcPr>
            <w:tcW w:w="2115" w:type="dxa"/>
            <w:tcBorders>
              <w:top w:val="nil"/>
            </w:tcBorders>
            <w:vAlign w:val="center"/>
          </w:tcPr>
          <w:p w:rsidR="00853663" w:rsidRPr="007F43F6" w:rsidRDefault="00853663" w:rsidP="00853663">
            <w:pPr>
              <w:pStyle w:val="TableText"/>
              <w:jc w:val="center"/>
              <w:rPr>
                <w:szCs w:val="24"/>
                <w:lang w:val="en-GB"/>
              </w:rPr>
            </w:pPr>
            <w:r w:rsidRPr="007F43F6">
              <w:rPr>
                <w:szCs w:val="24"/>
                <w:lang w:val="en-GB"/>
              </w:rPr>
              <w:t>16.0% (79/494)</w:t>
            </w:r>
          </w:p>
        </w:tc>
        <w:tc>
          <w:tcPr>
            <w:tcW w:w="2116" w:type="dxa"/>
            <w:tcBorders>
              <w:top w:val="nil"/>
            </w:tcBorders>
            <w:vAlign w:val="center"/>
          </w:tcPr>
          <w:p w:rsidR="00853663" w:rsidRPr="007F43F6" w:rsidRDefault="00853663" w:rsidP="00853663">
            <w:pPr>
              <w:pStyle w:val="TableText"/>
              <w:jc w:val="center"/>
              <w:rPr>
                <w:szCs w:val="24"/>
                <w:lang w:val="en-GB"/>
              </w:rPr>
            </w:pPr>
            <w:r w:rsidRPr="007F43F6">
              <w:rPr>
                <w:szCs w:val="24"/>
                <w:lang w:val="en-GB"/>
              </w:rPr>
              <w:t>5.6% (30/538)</w:t>
            </w:r>
          </w:p>
        </w:tc>
      </w:tr>
    </w:tbl>
    <w:p w:rsidR="00853663" w:rsidRPr="00ED36D3" w:rsidRDefault="00853663" w:rsidP="00853663">
      <w:r w:rsidRPr="007F43F6">
        <w:t>CIC = clean intermittent catheterisation; PVR = post-void residual</w:t>
      </w:r>
    </w:p>
    <w:p w:rsidR="00853663" w:rsidRDefault="00853663" w:rsidP="009D78B4">
      <w:pPr>
        <w:widowControl w:val="0"/>
        <w:rPr>
          <w:sz w:val="24"/>
          <w:szCs w:val="24"/>
        </w:rPr>
      </w:pPr>
    </w:p>
    <w:p w:rsidR="00EA4A8C" w:rsidRPr="007D0D01" w:rsidRDefault="00EA4A8C" w:rsidP="009D78B4">
      <w:pPr>
        <w:widowControl w:val="0"/>
        <w:rPr>
          <w:sz w:val="24"/>
          <w:szCs w:val="24"/>
        </w:rPr>
      </w:pPr>
      <w:r w:rsidRPr="007D0D01">
        <w:rPr>
          <w:sz w:val="24"/>
          <w:szCs w:val="24"/>
        </w:rPr>
        <w:t>A higher incidence of urinary tract infection was observed in patients with diabetes mellitus treated with BOTOX</w:t>
      </w:r>
      <w:r w:rsidRPr="00EA4A8C">
        <w:rPr>
          <w:sz w:val="24"/>
          <w:szCs w:val="24"/>
          <w:vertAlign w:val="superscript"/>
        </w:rPr>
        <w:t>®</w:t>
      </w:r>
      <w:r w:rsidRPr="007D0D01">
        <w:rPr>
          <w:sz w:val="24"/>
          <w:szCs w:val="24"/>
        </w:rPr>
        <w:t xml:space="preserve"> 100 Units and placebo than in patients without diabetes, as shown in the  Table below. </w:t>
      </w:r>
    </w:p>
    <w:p w:rsidR="00112664" w:rsidRDefault="00112664" w:rsidP="009D78B4">
      <w:pPr>
        <w:widowControl w:val="0"/>
        <w:autoSpaceDE w:val="0"/>
        <w:autoSpaceDN w:val="0"/>
        <w:adjustRightInd w:val="0"/>
        <w:rPr>
          <w:color w:val="060602"/>
          <w:sz w:val="24"/>
          <w:szCs w:val="24"/>
        </w:rPr>
      </w:pPr>
    </w:p>
    <w:p w:rsidR="000C1361" w:rsidRPr="007D0D01" w:rsidRDefault="000C1361" w:rsidP="009D78B4">
      <w:pPr>
        <w:widowControl w:val="0"/>
        <w:autoSpaceDE w:val="0"/>
        <w:autoSpaceDN w:val="0"/>
        <w:adjustRightInd w:val="0"/>
        <w:rPr>
          <w:color w:val="060602"/>
          <w:sz w:val="24"/>
          <w:szCs w:val="24"/>
        </w:rPr>
      </w:pPr>
    </w:p>
    <w:p w:rsidR="00EA4A8C" w:rsidRPr="001051DC" w:rsidRDefault="00EA4A8C" w:rsidP="009D78B4">
      <w:pPr>
        <w:widowControl w:val="0"/>
        <w:rPr>
          <w:b/>
          <w:sz w:val="24"/>
          <w:szCs w:val="24"/>
        </w:rPr>
      </w:pPr>
      <w:r w:rsidRPr="001051DC">
        <w:rPr>
          <w:b/>
          <w:sz w:val="24"/>
          <w:szCs w:val="24"/>
        </w:rPr>
        <w:t>Proportion of Patients Experiencing Urinary Tract Infection following an Injection in Double-blind, Placebo-controlled Clinical Trials in OAB according to history of Diabetes Mellitus</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tblPr>
      <w:tblGrid>
        <w:gridCol w:w="2203"/>
        <w:gridCol w:w="1865"/>
        <w:gridCol w:w="1260"/>
        <w:gridCol w:w="1800"/>
        <w:gridCol w:w="1440"/>
      </w:tblGrid>
      <w:tr w:rsidR="00EA4A8C" w:rsidRPr="007D0D01" w:rsidTr="00112664">
        <w:tc>
          <w:tcPr>
            <w:tcW w:w="2203" w:type="dxa"/>
            <w:vMerge w:val="restart"/>
          </w:tcPr>
          <w:p w:rsidR="00EA4A8C" w:rsidRPr="007D0D01" w:rsidRDefault="00EA4A8C" w:rsidP="009D78B4">
            <w:pPr>
              <w:widowControl w:val="0"/>
              <w:rPr>
                <w:sz w:val="24"/>
                <w:szCs w:val="24"/>
              </w:rPr>
            </w:pPr>
          </w:p>
        </w:tc>
        <w:tc>
          <w:tcPr>
            <w:tcW w:w="3125" w:type="dxa"/>
            <w:gridSpan w:val="2"/>
          </w:tcPr>
          <w:p w:rsidR="00EA4A8C" w:rsidRPr="0024473A" w:rsidRDefault="00EA4A8C" w:rsidP="009D78B4">
            <w:pPr>
              <w:widowControl w:val="0"/>
              <w:jc w:val="center"/>
              <w:rPr>
                <w:b/>
                <w:sz w:val="24"/>
                <w:szCs w:val="24"/>
              </w:rPr>
            </w:pPr>
            <w:r w:rsidRPr="0024473A">
              <w:rPr>
                <w:b/>
                <w:sz w:val="24"/>
                <w:szCs w:val="24"/>
              </w:rPr>
              <w:t>Patients with Diabetes</w:t>
            </w:r>
          </w:p>
        </w:tc>
        <w:tc>
          <w:tcPr>
            <w:tcW w:w="3240" w:type="dxa"/>
            <w:gridSpan w:val="2"/>
          </w:tcPr>
          <w:p w:rsidR="00EA4A8C" w:rsidRPr="0024473A" w:rsidRDefault="00EA4A8C" w:rsidP="009D78B4">
            <w:pPr>
              <w:widowControl w:val="0"/>
              <w:jc w:val="center"/>
              <w:rPr>
                <w:b/>
                <w:sz w:val="24"/>
                <w:szCs w:val="24"/>
              </w:rPr>
            </w:pPr>
            <w:r w:rsidRPr="0024473A">
              <w:rPr>
                <w:b/>
                <w:sz w:val="24"/>
                <w:szCs w:val="24"/>
              </w:rPr>
              <w:t>Patients without Diabetes</w:t>
            </w:r>
          </w:p>
        </w:tc>
      </w:tr>
      <w:tr w:rsidR="00EA4A8C" w:rsidRPr="007D0D01" w:rsidTr="00112664">
        <w:tc>
          <w:tcPr>
            <w:tcW w:w="2203" w:type="dxa"/>
            <w:vMerge/>
          </w:tcPr>
          <w:p w:rsidR="00EA4A8C" w:rsidRPr="007D0D01" w:rsidRDefault="00EA4A8C" w:rsidP="009D78B4">
            <w:pPr>
              <w:widowControl w:val="0"/>
              <w:rPr>
                <w:sz w:val="24"/>
                <w:szCs w:val="24"/>
              </w:rPr>
            </w:pPr>
          </w:p>
        </w:tc>
        <w:tc>
          <w:tcPr>
            <w:tcW w:w="1865" w:type="dxa"/>
          </w:tcPr>
          <w:p w:rsidR="00DE466E" w:rsidRDefault="00EA4A8C" w:rsidP="009D78B4">
            <w:pPr>
              <w:widowControl w:val="0"/>
              <w:jc w:val="center"/>
              <w:rPr>
                <w:b/>
                <w:sz w:val="24"/>
                <w:szCs w:val="24"/>
              </w:rPr>
            </w:pPr>
            <w:r w:rsidRPr="0024473A">
              <w:rPr>
                <w:b/>
                <w:sz w:val="24"/>
                <w:szCs w:val="24"/>
              </w:rPr>
              <w:t>BOTOX</w:t>
            </w:r>
            <w:r w:rsidRPr="0024473A">
              <w:rPr>
                <w:b/>
                <w:sz w:val="24"/>
                <w:szCs w:val="24"/>
                <w:vertAlign w:val="superscript"/>
                <w:lang w:val="pt-BR"/>
              </w:rPr>
              <w:t>®</w:t>
            </w:r>
            <w:r w:rsidRPr="0024473A">
              <w:rPr>
                <w:b/>
                <w:sz w:val="24"/>
                <w:szCs w:val="24"/>
              </w:rPr>
              <w:t xml:space="preserve"> </w:t>
            </w:r>
          </w:p>
          <w:p w:rsidR="00EA4A8C" w:rsidRPr="0024473A" w:rsidRDefault="00EA4A8C" w:rsidP="009D78B4">
            <w:pPr>
              <w:widowControl w:val="0"/>
              <w:jc w:val="center"/>
              <w:rPr>
                <w:b/>
                <w:sz w:val="24"/>
                <w:szCs w:val="24"/>
              </w:rPr>
            </w:pPr>
            <w:r w:rsidRPr="0024473A">
              <w:rPr>
                <w:b/>
                <w:sz w:val="24"/>
                <w:szCs w:val="24"/>
              </w:rPr>
              <w:t>100 Units</w:t>
            </w:r>
          </w:p>
          <w:p w:rsidR="00EA4A8C" w:rsidRPr="0024473A" w:rsidRDefault="00EA4A8C" w:rsidP="009D78B4">
            <w:pPr>
              <w:widowControl w:val="0"/>
              <w:jc w:val="center"/>
              <w:rPr>
                <w:b/>
                <w:sz w:val="24"/>
                <w:szCs w:val="24"/>
              </w:rPr>
            </w:pPr>
            <w:r w:rsidRPr="0024473A">
              <w:rPr>
                <w:b/>
                <w:sz w:val="24"/>
                <w:szCs w:val="24"/>
              </w:rPr>
              <w:t>(N=81)</w:t>
            </w:r>
          </w:p>
        </w:tc>
        <w:tc>
          <w:tcPr>
            <w:tcW w:w="1260" w:type="dxa"/>
          </w:tcPr>
          <w:p w:rsidR="00EA4A8C" w:rsidRPr="0024473A" w:rsidRDefault="00EA4A8C" w:rsidP="009D78B4">
            <w:pPr>
              <w:widowControl w:val="0"/>
              <w:jc w:val="center"/>
              <w:rPr>
                <w:b/>
                <w:sz w:val="24"/>
                <w:szCs w:val="24"/>
              </w:rPr>
            </w:pPr>
            <w:r w:rsidRPr="0024473A">
              <w:rPr>
                <w:b/>
                <w:sz w:val="24"/>
                <w:szCs w:val="24"/>
              </w:rPr>
              <w:t>Placebo</w:t>
            </w:r>
          </w:p>
          <w:p w:rsidR="00EA4A8C" w:rsidRPr="0024473A" w:rsidRDefault="00EA4A8C" w:rsidP="009D78B4">
            <w:pPr>
              <w:widowControl w:val="0"/>
              <w:jc w:val="center"/>
              <w:rPr>
                <w:b/>
                <w:sz w:val="24"/>
                <w:szCs w:val="24"/>
              </w:rPr>
            </w:pPr>
            <w:r w:rsidRPr="0024473A">
              <w:rPr>
                <w:b/>
                <w:sz w:val="24"/>
                <w:szCs w:val="24"/>
              </w:rPr>
              <w:t>(N=69)</w:t>
            </w:r>
          </w:p>
        </w:tc>
        <w:tc>
          <w:tcPr>
            <w:tcW w:w="1800" w:type="dxa"/>
          </w:tcPr>
          <w:p w:rsidR="00DE466E" w:rsidRDefault="00EA4A8C" w:rsidP="009D78B4">
            <w:pPr>
              <w:widowControl w:val="0"/>
              <w:jc w:val="center"/>
              <w:rPr>
                <w:b/>
                <w:sz w:val="24"/>
                <w:szCs w:val="24"/>
              </w:rPr>
            </w:pPr>
            <w:r w:rsidRPr="0024473A">
              <w:rPr>
                <w:b/>
                <w:sz w:val="24"/>
                <w:szCs w:val="24"/>
              </w:rPr>
              <w:t>BOTOX</w:t>
            </w:r>
            <w:r w:rsidRPr="0024473A">
              <w:rPr>
                <w:b/>
                <w:sz w:val="24"/>
                <w:szCs w:val="24"/>
                <w:vertAlign w:val="superscript"/>
                <w:lang w:val="pt-BR"/>
              </w:rPr>
              <w:t>®</w:t>
            </w:r>
            <w:r w:rsidRPr="0024473A">
              <w:rPr>
                <w:b/>
                <w:sz w:val="24"/>
                <w:szCs w:val="24"/>
              </w:rPr>
              <w:t xml:space="preserve"> </w:t>
            </w:r>
          </w:p>
          <w:p w:rsidR="00EA4A8C" w:rsidRPr="0024473A" w:rsidRDefault="00EA4A8C" w:rsidP="009D78B4">
            <w:pPr>
              <w:widowControl w:val="0"/>
              <w:jc w:val="center"/>
              <w:rPr>
                <w:b/>
                <w:sz w:val="24"/>
                <w:szCs w:val="24"/>
              </w:rPr>
            </w:pPr>
            <w:r w:rsidRPr="0024473A">
              <w:rPr>
                <w:b/>
                <w:sz w:val="24"/>
                <w:szCs w:val="24"/>
              </w:rPr>
              <w:t>100 Units (N=526)</w:t>
            </w:r>
          </w:p>
        </w:tc>
        <w:tc>
          <w:tcPr>
            <w:tcW w:w="1440" w:type="dxa"/>
          </w:tcPr>
          <w:p w:rsidR="00EA4A8C" w:rsidRPr="0024473A" w:rsidRDefault="00EA4A8C" w:rsidP="009D78B4">
            <w:pPr>
              <w:widowControl w:val="0"/>
              <w:jc w:val="center"/>
              <w:rPr>
                <w:b/>
                <w:sz w:val="24"/>
                <w:szCs w:val="24"/>
              </w:rPr>
            </w:pPr>
            <w:r w:rsidRPr="0024473A">
              <w:rPr>
                <w:b/>
                <w:sz w:val="24"/>
                <w:szCs w:val="24"/>
              </w:rPr>
              <w:t>Placebo</w:t>
            </w:r>
          </w:p>
          <w:p w:rsidR="00EA4A8C" w:rsidRPr="0024473A" w:rsidRDefault="00EA4A8C" w:rsidP="009D78B4">
            <w:pPr>
              <w:widowControl w:val="0"/>
              <w:jc w:val="center"/>
              <w:rPr>
                <w:b/>
                <w:sz w:val="24"/>
                <w:szCs w:val="24"/>
              </w:rPr>
            </w:pPr>
            <w:r w:rsidRPr="0024473A">
              <w:rPr>
                <w:b/>
                <w:sz w:val="24"/>
                <w:szCs w:val="24"/>
              </w:rPr>
              <w:t>(N=516)</w:t>
            </w:r>
          </w:p>
        </w:tc>
      </w:tr>
      <w:tr w:rsidR="00EA4A8C" w:rsidRPr="007D0D01" w:rsidTr="00112664">
        <w:tc>
          <w:tcPr>
            <w:tcW w:w="2203" w:type="dxa"/>
          </w:tcPr>
          <w:p w:rsidR="00EA4A8C" w:rsidRPr="007D0D01" w:rsidRDefault="00EA4A8C" w:rsidP="009D78B4">
            <w:pPr>
              <w:widowControl w:val="0"/>
              <w:rPr>
                <w:sz w:val="24"/>
                <w:szCs w:val="24"/>
              </w:rPr>
            </w:pPr>
            <w:r w:rsidRPr="007D0D01">
              <w:rPr>
                <w:sz w:val="24"/>
                <w:szCs w:val="24"/>
              </w:rPr>
              <w:t>Urinary tract infection  (UTI)</w:t>
            </w:r>
          </w:p>
        </w:tc>
        <w:tc>
          <w:tcPr>
            <w:tcW w:w="1865" w:type="dxa"/>
          </w:tcPr>
          <w:p w:rsidR="0024473A" w:rsidRDefault="0024473A" w:rsidP="009D78B4">
            <w:pPr>
              <w:widowControl w:val="0"/>
              <w:jc w:val="center"/>
              <w:rPr>
                <w:sz w:val="24"/>
                <w:szCs w:val="24"/>
              </w:rPr>
            </w:pPr>
          </w:p>
          <w:p w:rsidR="00EA4A8C" w:rsidRPr="007D0D01" w:rsidRDefault="00EA4A8C" w:rsidP="009D78B4">
            <w:pPr>
              <w:widowControl w:val="0"/>
              <w:jc w:val="center"/>
              <w:rPr>
                <w:sz w:val="24"/>
                <w:szCs w:val="24"/>
              </w:rPr>
            </w:pPr>
            <w:r w:rsidRPr="007D0D01">
              <w:rPr>
                <w:sz w:val="24"/>
                <w:szCs w:val="24"/>
              </w:rPr>
              <w:t>25 (31%)</w:t>
            </w:r>
          </w:p>
        </w:tc>
        <w:tc>
          <w:tcPr>
            <w:tcW w:w="1260" w:type="dxa"/>
          </w:tcPr>
          <w:p w:rsidR="0024473A" w:rsidRDefault="0024473A" w:rsidP="009D78B4">
            <w:pPr>
              <w:widowControl w:val="0"/>
              <w:jc w:val="center"/>
              <w:rPr>
                <w:sz w:val="24"/>
                <w:szCs w:val="24"/>
              </w:rPr>
            </w:pPr>
          </w:p>
          <w:p w:rsidR="00EA4A8C" w:rsidRPr="007D0D01" w:rsidRDefault="00EA4A8C" w:rsidP="009D78B4">
            <w:pPr>
              <w:widowControl w:val="0"/>
              <w:jc w:val="center"/>
              <w:rPr>
                <w:sz w:val="24"/>
                <w:szCs w:val="24"/>
              </w:rPr>
            </w:pPr>
            <w:r w:rsidRPr="007D0D01">
              <w:rPr>
                <w:sz w:val="24"/>
                <w:szCs w:val="24"/>
              </w:rPr>
              <w:t>8 (12%)</w:t>
            </w:r>
          </w:p>
        </w:tc>
        <w:tc>
          <w:tcPr>
            <w:tcW w:w="1800" w:type="dxa"/>
          </w:tcPr>
          <w:p w:rsidR="0024473A" w:rsidRDefault="0024473A" w:rsidP="009D78B4">
            <w:pPr>
              <w:widowControl w:val="0"/>
              <w:jc w:val="center"/>
              <w:rPr>
                <w:sz w:val="24"/>
                <w:szCs w:val="24"/>
              </w:rPr>
            </w:pPr>
          </w:p>
          <w:p w:rsidR="00EA4A8C" w:rsidRPr="007D0D01" w:rsidRDefault="00EA4A8C" w:rsidP="009D78B4">
            <w:pPr>
              <w:widowControl w:val="0"/>
              <w:jc w:val="center"/>
              <w:rPr>
                <w:sz w:val="24"/>
                <w:szCs w:val="24"/>
              </w:rPr>
            </w:pPr>
            <w:r w:rsidRPr="007D0D01">
              <w:rPr>
                <w:sz w:val="24"/>
                <w:szCs w:val="24"/>
              </w:rPr>
              <w:t>135 (26%)</w:t>
            </w:r>
          </w:p>
        </w:tc>
        <w:tc>
          <w:tcPr>
            <w:tcW w:w="1440" w:type="dxa"/>
          </w:tcPr>
          <w:p w:rsidR="0024473A" w:rsidRDefault="0024473A" w:rsidP="009D78B4">
            <w:pPr>
              <w:widowControl w:val="0"/>
              <w:jc w:val="center"/>
              <w:rPr>
                <w:sz w:val="24"/>
                <w:szCs w:val="24"/>
              </w:rPr>
            </w:pPr>
          </w:p>
          <w:p w:rsidR="00EA4A8C" w:rsidRPr="007D0D01" w:rsidRDefault="00EA4A8C" w:rsidP="009D78B4">
            <w:pPr>
              <w:widowControl w:val="0"/>
              <w:jc w:val="center"/>
              <w:rPr>
                <w:sz w:val="24"/>
                <w:szCs w:val="24"/>
              </w:rPr>
            </w:pPr>
            <w:r w:rsidRPr="007D0D01">
              <w:rPr>
                <w:sz w:val="24"/>
                <w:szCs w:val="24"/>
              </w:rPr>
              <w:t>51 (10%)</w:t>
            </w:r>
          </w:p>
        </w:tc>
      </w:tr>
    </w:tbl>
    <w:p w:rsidR="001E129D" w:rsidRDefault="001E129D" w:rsidP="009D78B4">
      <w:pPr>
        <w:widowControl w:val="0"/>
        <w:tabs>
          <w:tab w:val="left" w:pos="0"/>
          <w:tab w:val="left" w:pos="720"/>
        </w:tabs>
        <w:rPr>
          <w:sz w:val="24"/>
          <w:szCs w:val="24"/>
          <w:highlight w:val="cyan"/>
        </w:rPr>
      </w:pPr>
    </w:p>
    <w:p w:rsidR="00051188" w:rsidRDefault="00051188" w:rsidP="009D78B4">
      <w:pPr>
        <w:widowControl w:val="0"/>
        <w:tabs>
          <w:tab w:val="left" w:pos="0"/>
          <w:tab w:val="left" w:pos="720"/>
        </w:tabs>
        <w:rPr>
          <w:sz w:val="24"/>
          <w:szCs w:val="24"/>
          <w:highlight w:val="cyan"/>
        </w:rPr>
      </w:pPr>
      <w:r>
        <w:rPr>
          <w:sz w:val="24"/>
          <w:szCs w:val="24"/>
        </w:rPr>
        <w:t>Events considered to be procedure-related by the investigator reported at any time following initial injection were dysuria (5.8%) and haematuria (2.2%).</w:t>
      </w:r>
    </w:p>
    <w:p w:rsidR="00051188" w:rsidRDefault="00051188" w:rsidP="009D78B4">
      <w:pPr>
        <w:widowControl w:val="0"/>
        <w:tabs>
          <w:tab w:val="left" w:pos="0"/>
          <w:tab w:val="left" w:pos="720"/>
        </w:tabs>
        <w:rPr>
          <w:sz w:val="24"/>
          <w:szCs w:val="24"/>
          <w:highlight w:val="cyan"/>
        </w:rPr>
      </w:pPr>
    </w:p>
    <w:p w:rsidR="00903DC4" w:rsidRPr="007D0D01" w:rsidRDefault="00903DC4" w:rsidP="009D78B4">
      <w:pPr>
        <w:widowControl w:val="0"/>
        <w:tabs>
          <w:tab w:val="left" w:pos="0"/>
          <w:tab w:val="left" w:pos="720"/>
        </w:tabs>
        <w:rPr>
          <w:sz w:val="24"/>
          <w:szCs w:val="24"/>
        </w:rPr>
      </w:pPr>
      <w:r w:rsidRPr="007D0D01">
        <w:rPr>
          <w:sz w:val="24"/>
          <w:szCs w:val="24"/>
          <w:lang w:val="en-GB"/>
        </w:rPr>
        <w:t xml:space="preserve">Based on an ongoing open-label extension study, </w:t>
      </w:r>
      <w:r w:rsidRPr="007D0D01">
        <w:rPr>
          <w:sz w:val="24"/>
          <w:szCs w:val="24"/>
        </w:rPr>
        <w:t>no change was observed in the overall safety profile with repeat</w:t>
      </w:r>
      <w:r w:rsidR="007D0D01" w:rsidRPr="007D0D01">
        <w:rPr>
          <w:sz w:val="24"/>
          <w:szCs w:val="24"/>
        </w:rPr>
        <w:t xml:space="preserve"> dosing.</w:t>
      </w:r>
    </w:p>
    <w:p w:rsidR="00051188" w:rsidRDefault="00051188" w:rsidP="009D78B4">
      <w:pPr>
        <w:widowControl w:val="0"/>
        <w:tabs>
          <w:tab w:val="left" w:pos="0"/>
          <w:tab w:val="left" w:pos="720"/>
        </w:tabs>
        <w:rPr>
          <w:sz w:val="24"/>
          <w:szCs w:val="24"/>
          <w:highlight w:val="cyan"/>
        </w:rPr>
      </w:pPr>
    </w:p>
    <w:p w:rsidR="00051188" w:rsidRDefault="00051188" w:rsidP="009D78B4">
      <w:pPr>
        <w:widowControl w:val="0"/>
        <w:ind w:right="-108"/>
        <w:rPr>
          <w:b/>
          <w:color w:val="000000"/>
          <w:sz w:val="24"/>
          <w:szCs w:val="24"/>
        </w:rPr>
      </w:pPr>
      <w:r>
        <w:rPr>
          <w:b/>
          <w:color w:val="000000"/>
          <w:sz w:val="24"/>
          <w:szCs w:val="24"/>
        </w:rPr>
        <w:t>Neutrogenic Detrusor Overactivity</w:t>
      </w:r>
    </w:p>
    <w:p w:rsidR="00051188" w:rsidRDefault="00051188" w:rsidP="009D78B4">
      <w:pPr>
        <w:widowControl w:val="0"/>
        <w:tabs>
          <w:tab w:val="left" w:pos="0"/>
          <w:tab w:val="left" w:pos="720"/>
        </w:tabs>
        <w:rPr>
          <w:i/>
          <w:sz w:val="24"/>
          <w:szCs w:val="24"/>
        </w:rPr>
      </w:pPr>
      <w:r>
        <w:rPr>
          <w:sz w:val="24"/>
          <w:szCs w:val="24"/>
        </w:rPr>
        <w:t xml:space="preserve">Table 6 presents the most frequently reported adverse reactions in double-blind studies within 12 weeks of injection for neurogenic detrusor overactivity. </w:t>
      </w:r>
    </w:p>
    <w:p w:rsidR="00051188" w:rsidRDefault="00051188" w:rsidP="009D78B4">
      <w:pPr>
        <w:widowControl w:val="0"/>
        <w:tabs>
          <w:tab w:val="left" w:pos="0"/>
          <w:tab w:val="left" w:pos="720"/>
        </w:tabs>
        <w:rPr>
          <w:sz w:val="24"/>
          <w:szCs w:val="24"/>
        </w:rPr>
      </w:pPr>
    </w:p>
    <w:p w:rsidR="00051188" w:rsidRDefault="00051188" w:rsidP="009D78B4">
      <w:pPr>
        <w:widowControl w:val="0"/>
        <w:rPr>
          <w:b/>
          <w:sz w:val="24"/>
          <w:szCs w:val="24"/>
        </w:rPr>
      </w:pPr>
      <w:r>
        <w:rPr>
          <w:b/>
          <w:sz w:val="24"/>
          <w:szCs w:val="24"/>
        </w:rPr>
        <w:t xml:space="preserve">Table 6: Adverse Reactions Reported by </w:t>
      </w:r>
      <w:r>
        <w:rPr>
          <w:b/>
          <w:sz w:val="24"/>
          <w:szCs w:val="24"/>
          <w:u w:val="single"/>
        </w:rPr>
        <w:t>&gt;</w:t>
      </w:r>
      <w:r>
        <w:rPr>
          <w:b/>
          <w:sz w:val="24"/>
          <w:szCs w:val="24"/>
        </w:rPr>
        <w:t>1% of BOTOX</w:t>
      </w:r>
      <w:r>
        <w:rPr>
          <w:rFonts w:ascii="Times New Roman Bold" w:hAnsi="Times New Roman Bold"/>
          <w:b/>
          <w:sz w:val="24"/>
          <w:szCs w:val="24"/>
          <w:vertAlign w:val="superscript"/>
        </w:rPr>
        <w:t>®</w:t>
      </w:r>
      <w:r>
        <w:rPr>
          <w:sz w:val="24"/>
          <w:szCs w:val="24"/>
        </w:rPr>
        <w:t>-</w:t>
      </w:r>
      <w:r>
        <w:rPr>
          <w:b/>
          <w:sz w:val="24"/>
          <w:szCs w:val="24"/>
        </w:rPr>
        <w:t>treated Patients and More Frequent than in Placebo-treated Patients</w:t>
      </w:r>
      <w:r>
        <w:rPr>
          <w:rFonts w:ascii="Times New Roman Bold" w:hAnsi="Times New Roman Bold"/>
          <w:b/>
          <w:sz w:val="24"/>
          <w:szCs w:val="24"/>
        </w:rPr>
        <w:t xml:space="preserve"> </w:t>
      </w:r>
      <w:r>
        <w:rPr>
          <w:b/>
          <w:sz w:val="24"/>
          <w:szCs w:val="24"/>
        </w:rPr>
        <w:t>W</w:t>
      </w:r>
      <w:r>
        <w:rPr>
          <w:rFonts w:ascii="Times New Roman Bold" w:hAnsi="Times New Roman Bold"/>
          <w:b/>
          <w:sz w:val="24"/>
          <w:szCs w:val="24"/>
        </w:rPr>
        <w:t>ithin the First 12 Weeks,</w:t>
      </w:r>
      <w:r>
        <w:rPr>
          <w:b/>
          <w:sz w:val="24"/>
          <w:szCs w:val="24"/>
        </w:rPr>
        <w:t xml:space="preserve"> in Double-blind, Placebo-controlled Clinical Trials  </w:t>
      </w:r>
    </w:p>
    <w:tbl>
      <w:tblPr>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21"/>
        <w:gridCol w:w="1842"/>
        <w:gridCol w:w="1842"/>
      </w:tblGrid>
      <w:tr w:rsidR="00051188">
        <w:trPr>
          <w:trHeight w:val="670"/>
        </w:trPr>
        <w:tc>
          <w:tcPr>
            <w:tcW w:w="4221" w:type="dxa"/>
          </w:tcPr>
          <w:p w:rsidR="00051188" w:rsidRDefault="00051188" w:rsidP="009D78B4">
            <w:pPr>
              <w:widowControl w:val="0"/>
              <w:tabs>
                <w:tab w:val="left" w:pos="0"/>
                <w:tab w:val="left" w:pos="720"/>
              </w:tabs>
              <w:rPr>
                <w:b/>
                <w:sz w:val="24"/>
                <w:szCs w:val="24"/>
              </w:rPr>
            </w:pPr>
          </w:p>
          <w:p w:rsidR="00051188" w:rsidRDefault="00051188" w:rsidP="009D78B4">
            <w:pPr>
              <w:widowControl w:val="0"/>
              <w:tabs>
                <w:tab w:val="left" w:pos="0"/>
                <w:tab w:val="left" w:pos="720"/>
              </w:tabs>
              <w:rPr>
                <w:b/>
                <w:sz w:val="24"/>
                <w:szCs w:val="24"/>
              </w:rPr>
            </w:pPr>
            <w:r>
              <w:rPr>
                <w:b/>
                <w:sz w:val="24"/>
                <w:szCs w:val="24"/>
              </w:rPr>
              <w:t>Adverse Reactions by Body System</w:t>
            </w:r>
          </w:p>
        </w:tc>
        <w:tc>
          <w:tcPr>
            <w:tcW w:w="1842" w:type="dxa"/>
          </w:tcPr>
          <w:p w:rsidR="00051188" w:rsidRDefault="00051188" w:rsidP="009D78B4">
            <w:pPr>
              <w:widowControl w:val="0"/>
              <w:tabs>
                <w:tab w:val="left" w:pos="0"/>
                <w:tab w:val="left" w:pos="720"/>
              </w:tabs>
              <w:jc w:val="center"/>
              <w:rPr>
                <w:b/>
                <w:sz w:val="24"/>
                <w:szCs w:val="24"/>
              </w:rPr>
            </w:pPr>
            <w:r>
              <w:rPr>
                <w:b/>
                <w:sz w:val="24"/>
                <w:szCs w:val="24"/>
              </w:rPr>
              <w:t>BOTOX</w:t>
            </w:r>
            <w:r>
              <w:rPr>
                <w:rFonts w:ascii="Times New Roman Bold" w:hAnsi="Times New Roman Bold"/>
                <w:b/>
                <w:sz w:val="24"/>
                <w:szCs w:val="24"/>
                <w:vertAlign w:val="superscript"/>
              </w:rPr>
              <w:t>®</w:t>
            </w:r>
          </w:p>
          <w:p w:rsidR="00051188" w:rsidRDefault="00051188" w:rsidP="009D78B4">
            <w:pPr>
              <w:widowControl w:val="0"/>
              <w:tabs>
                <w:tab w:val="left" w:pos="0"/>
                <w:tab w:val="left" w:pos="720"/>
              </w:tabs>
              <w:jc w:val="center"/>
              <w:rPr>
                <w:b/>
                <w:sz w:val="24"/>
                <w:szCs w:val="24"/>
              </w:rPr>
            </w:pPr>
            <w:r>
              <w:rPr>
                <w:b/>
                <w:sz w:val="24"/>
                <w:szCs w:val="24"/>
              </w:rPr>
              <w:t>200 Unit</w:t>
            </w:r>
          </w:p>
          <w:p w:rsidR="00051188" w:rsidRDefault="00051188" w:rsidP="009D78B4">
            <w:pPr>
              <w:widowControl w:val="0"/>
              <w:tabs>
                <w:tab w:val="left" w:pos="0"/>
                <w:tab w:val="left" w:pos="720"/>
              </w:tabs>
              <w:jc w:val="center"/>
              <w:rPr>
                <w:b/>
                <w:sz w:val="24"/>
                <w:szCs w:val="24"/>
              </w:rPr>
            </w:pPr>
            <w:r>
              <w:rPr>
                <w:b/>
                <w:sz w:val="24"/>
                <w:szCs w:val="24"/>
              </w:rPr>
              <w:t>(N=262)</w:t>
            </w:r>
          </w:p>
        </w:tc>
        <w:tc>
          <w:tcPr>
            <w:tcW w:w="1842" w:type="dxa"/>
          </w:tcPr>
          <w:p w:rsidR="00051188" w:rsidRDefault="00051188" w:rsidP="009D78B4">
            <w:pPr>
              <w:widowControl w:val="0"/>
              <w:tabs>
                <w:tab w:val="left" w:pos="0"/>
                <w:tab w:val="left" w:pos="720"/>
              </w:tabs>
              <w:jc w:val="center"/>
              <w:rPr>
                <w:b/>
                <w:sz w:val="24"/>
                <w:szCs w:val="24"/>
              </w:rPr>
            </w:pPr>
            <w:r>
              <w:rPr>
                <w:b/>
                <w:sz w:val="24"/>
                <w:szCs w:val="24"/>
              </w:rPr>
              <w:t>Placebo</w:t>
            </w:r>
          </w:p>
          <w:p w:rsidR="00051188" w:rsidRDefault="00051188" w:rsidP="009D78B4">
            <w:pPr>
              <w:widowControl w:val="0"/>
              <w:tabs>
                <w:tab w:val="left" w:pos="0"/>
                <w:tab w:val="left" w:pos="720"/>
              </w:tabs>
              <w:jc w:val="center"/>
              <w:rPr>
                <w:b/>
                <w:sz w:val="24"/>
                <w:szCs w:val="24"/>
              </w:rPr>
            </w:pPr>
            <w:r>
              <w:rPr>
                <w:b/>
                <w:sz w:val="24"/>
                <w:szCs w:val="24"/>
              </w:rPr>
              <w:t>(N=272)</w:t>
            </w:r>
          </w:p>
        </w:tc>
      </w:tr>
      <w:tr w:rsidR="00051188">
        <w:trPr>
          <w:trHeight w:val="127"/>
        </w:trPr>
        <w:tc>
          <w:tcPr>
            <w:tcW w:w="4221" w:type="dxa"/>
          </w:tcPr>
          <w:p w:rsidR="00051188" w:rsidRDefault="00051188" w:rsidP="009D78B4">
            <w:pPr>
              <w:widowControl w:val="0"/>
              <w:tabs>
                <w:tab w:val="left" w:pos="0"/>
                <w:tab w:val="left" w:pos="720"/>
              </w:tabs>
              <w:rPr>
                <w:sz w:val="24"/>
                <w:szCs w:val="24"/>
              </w:rPr>
            </w:pPr>
            <w:r>
              <w:rPr>
                <w:sz w:val="24"/>
                <w:szCs w:val="24"/>
              </w:rPr>
              <w:t>Infections and infestations</w:t>
            </w:r>
          </w:p>
          <w:p w:rsidR="00051188" w:rsidRDefault="00051188" w:rsidP="009D78B4">
            <w:pPr>
              <w:widowControl w:val="0"/>
              <w:tabs>
                <w:tab w:val="left" w:pos="0"/>
                <w:tab w:val="left" w:pos="720"/>
              </w:tabs>
              <w:rPr>
                <w:sz w:val="24"/>
                <w:szCs w:val="24"/>
              </w:rPr>
            </w:pPr>
            <w:r>
              <w:rPr>
                <w:sz w:val="24"/>
                <w:szCs w:val="24"/>
              </w:rPr>
              <w:t xml:space="preserve">     Urinary tract infection</w:t>
            </w:r>
          </w:p>
        </w:tc>
        <w:tc>
          <w:tcPr>
            <w:tcW w:w="1842" w:type="dxa"/>
          </w:tcPr>
          <w:p w:rsidR="00051188" w:rsidRDefault="00051188" w:rsidP="009D78B4">
            <w:pPr>
              <w:widowControl w:val="0"/>
              <w:tabs>
                <w:tab w:val="left" w:pos="0"/>
                <w:tab w:val="left" w:pos="720"/>
              </w:tabs>
              <w:jc w:val="center"/>
              <w:rPr>
                <w:sz w:val="24"/>
                <w:szCs w:val="24"/>
              </w:rPr>
            </w:pPr>
          </w:p>
          <w:p w:rsidR="00051188" w:rsidRDefault="00051188" w:rsidP="009D78B4">
            <w:pPr>
              <w:widowControl w:val="0"/>
              <w:tabs>
                <w:tab w:val="left" w:pos="0"/>
                <w:tab w:val="left" w:pos="720"/>
              </w:tabs>
              <w:jc w:val="center"/>
              <w:rPr>
                <w:sz w:val="24"/>
                <w:szCs w:val="24"/>
              </w:rPr>
            </w:pPr>
            <w:r>
              <w:rPr>
                <w:sz w:val="24"/>
                <w:szCs w:val="24"/>
              </w:rPr>
              <w:t>24.4%</w:t>
            </w:r>
          </w:p>
        </w:tc>
        <w:tc>
          <w:tcPr>
            <w:tcW w:w="1842" w:type="dxa"/>
          </w:tcPr>
          <w:p w:rsidR="00051188" w:rsidRDefault="00051188" w:rsidP="009D78B4">
            <w:pPr>
              <w:widowControl w:val="0"/>
              <w:tabs>
                <w:tab w:val="left" w:pos="0"/>
                <w:tab w:val="left" w:pos="720"/>
              </w:tabs>
              <w:jc w:val="center"/>
              <w:rPr>
                <w:sz w:val="24"/>
                <w:szCs w:val="24"/>
              </w:rPr>
            </w:pPr>
          </w:p>
          <w:p w:rsidR="00051188" w:rsidRDefault="00051188" w:rsidP="009D78B4">
            <w:pPr>
              <w:widowControl w:val="0"/>
              <w:tabs>
                <w:tab w:val="left" w:pos="0"/>
                <w:tab w:val="left" w:pos="720"/>
              </w:tabs>
              <w:jc w:val="center"/>
              <w:rPr>
                <w:sz w:val="24"/>
                <w:szCs w:val="24"/>
              </w:rPr>
            </w:pPr>
            <w:r>
              <w:rPr>
                <w:sz w:val="24"/>
                <w:szCs w:val="24"/>
              </w:rPr>
              <w:t>17.3%</w:t>
            </w:r>
          </w:p>
        </w:tc>
      </w:tr>
      <w:tr w:rsidR="00051188">
        <w:trPr>
          <w:trHeight w:val="127"/>
        </w:trPr>
        <w:tc>
          <w:tcPr>
            <w:tcW w:w="4221" w:type="dxa"/>
          </w:tcPr>
          <w:p w:rsidR="00051188" w:rsidRDefault="00051188" w:rsidP="009D78B4">
            <w:pPr>
              <w:widowControl w:val="0"/>
              <w:tabs>
                <w:tab w:val="left" w:pos="0"/>
                <w:tab w:val="left" w:pos="720"/>
              </w:tabs>
              <w:rPr>
                <w:sz w:val="24"/>
                <w:szCs w:val="24"/>
              </w:rPr>
            </w:pPr>
            <w:r>
              <w:rPr>
                <w:sz w:val="24"/>
                <w:szCs w:val="24"/>
              </w:rPr>
              <w:t>Renal and urinary disorders</w:t>
            </w:r>
          </w:p>
          <w:p w:rsidR="00051188" w:rsidRDefault="00051188" w:rsidP="009D78B4">
            <w:pPr>
              <w:widowControl w:val="0"/>
              <w:tabs>
                <w:tab w:val="left" w:pos="0"/>
                <w:tab w:val="left" w:pos="720"/>
              </w:tabs>
              <w:rPr>
                <w:sz w:val="24"/>
                <w:szCs w:val="24"/>
              </w:rPr>
            </w:pPr>
            <w:r>
              <w:rPr>
                <w:sz w:val="24"/>
                <w:szCs w:val="24"/>
              </w:rPr>
              <w:t xml:space="preserve">     Urinary retention</w:t>
            </w:r>
          </w:p>
        </w:tc>
        <w:tc>
          <w:tcPr>
            <w:tcW w:w="1842" w:type="dxa"/>
          </w:tcPr>
          <w:p w:rsidR="00051188" w:rsidRDefault="00051188" w:rsidP="009D78B4">
            <w:pPr>
              <w:widowControl w:val="0"/>
              <w:tabs>
                <w:tab w:val="left" w:pos="0"/>
                <w:tab w:val="left" w:pos="720"/>
              </w:tabs>
              <w:jc w:val="center"/>
              <w:rPr>
                <w:sz w:val="24"/>
                <w:szCs w:val="24"/>
              </w:rPr>
            </w:pPr>
          </w:p>
          <w:p w:rsidR="00051188" w:rsidRDefault="00051188" w:rsidP="009D78B4">
            <w:pPr>
              <w:widowControl w:val="0"/>
              <w:tabs>
                <w:tab w:val="left" w:pos="0"/>
                <w:tab w:val="left" w:pos="720"/>
              </w:tabs>
              <w:jc w:val="center"/>
              <w:rPr>
                <w:sz w:val="24"/>
                <w:szCs w:val="24"/>
              </w:rPr>
            </w:pPr>
            <w:r>
              <w:rPr>
                <w:sz w:val="24"/>
                <w:szCs w:val="24"/>
              </w:rPr>
              <w:t>17.2%</w:t>
            </w:r>
          </w:p>
        </w:tc>
        <w:tc>
          <w:tcPr>
            <w:tcW w:w="1842" w:type="dxa"/>
          </w:tcPr>
          <w:p w:rsidR="00051188" w:rsidRDefault="00051188" w:rsidP="009D78B4">
            <w:pPr>
              <w:widowControl w:val="0"/>
              <w:tabs>
                <w:tab w:val="left" w:pos="0"/>
                <w:tab w:val="left" w:pos="720"/>
              </w:tabs>
              <w:jc w:val="center"/>
              <w:rPr>
                <w:sz w:val="24"/>
                <w:szCs w:val="24"/>
              </w:rPr>
            </w:pPr>
          </w:p>
          <w:p w:rsidR="00051188" w:rsidRDefault="00051188" w:rsidP="009D78B4">
            <w:pPr>
              <w:widowControl w:val="0"/>
              <w:tabs>
                <w:tab w:val="left" w:pos="0"/>
                <w:tab w:val="left" w:pos="720"/>
              </w:tabs>
              <w:jc w:val="center"/>
              <w:rPr>
                <w:sz w:val="24"/>
                <w:szCs w:val="24"/>
              </w:rPr>
            </w:pPr>
            <w:r>
              <w:rPr>
                <w:sz w:val="24"/>
                <w:szCs w:val="24"/>
              </w:rPr>
              <w:t>2.9%</w:t>
            </w:r>
          </w:p>
        </w:tc>
      </w:tr>
      <w:tr w:rsidR="00051188">
        <w:trPr>
          <w:trHeight w:val="127"/>
        </w:trPr>
        <w:tc>
          <w:tcPr>
            <w:tcW w:w="4221" w:type="dxa"/>
          </w:tcPr>
          <w:p w:rsidR="00051188" w:rsidRDefault="00051188" w:rsidP="009D78B4">
            <w:pPr>
              <w:widowControl w:val="0"/>
              <w:tabs>
                <w:tab w:val="left" w:pos="0"/>
                <w:tab w:val="left" w:pos="720"/>
              </w:tabs>
              <w:rPr>
                <w:sz w:val="24"/>
                <w:szCs w:val="24"/>
              </w:rPr>
            </w:pPr>
            <w:r>
              <w:rPr>
                <w:sz w:val="24"/>
                <w:szCs w:val="24"/>
              </w:rPr>
              <w:t>General disorders and administration site conditions</w:t>
            </w:r>
          </w:p>
          <w:p w:rsidR="00051188" w:rsidRDefault="00051188" w:rsidP="009D78B4">
            <w:pPr>
              <w:widowControl w:val="0"/>
              <w:tabs>
                <w:tab w:val="left" w:pos="0"/>
                <w:tab w:val="left" w:pos="720"/>
              </w:tabs>
              <w:rPr>
                <w:sz w:val="24"/>
                <w:szCs w:val="24"/>
              </w:rPr>
            </w:pPr>
            <w:r>
              <w:rPr>
                <w:sz w:val="24"/>
                <w:szCs w:val="24"/>
              </w:rPr>
              <w:t xml:space="preserve">     Fatigue </w:t>
            </w:r>
          </w:p>
        </w:tc>
        <w:tc>
          <w:tcPr>
            <w:tcW w:w="1842" w:type="dxa"/>
          </w:tcPr>
          <w:p w:rsidR="00051188" w:rsidRDefault="00051188" w:rsidP="009D78B4">
            <w:pPr>
              <w:widowControl w:val="0"/>
              <w:tabs>
                <w:tab w:val="left" w:pos="0"/>
                <w:tab w:val="left" w:pos="720"/>
              </w:tabs>
              <w:jc w:val="center"/>
              <w:rPr>
                <w:sz w:val="24"/>
                <w:szCs w:val="24"/>
              </w:rPr>
            </w:pPr>
          </w:p>
          <w:p w:rsidR="00051188" w:rsidRDefault="00051188" w:rsidP="009D78B4">
            <w:pPr>
              <w:widowControl w:val="0"/>
              <w:tabs>
                <w:tab w:val="left" w:pos="0"/>
                <w:tab w:val="left" w:pos="720"/>
              </w:tabs>
              <w:jc w:val="center"/>
              <w:rPr>
                <w:sz w:val="24"/>
                <w:szCs w:val="24"/>
              </w:rPr>
            </w:pPr>
          </w:p>
          <w:p w:rsidR="00051188" w:rsidRDefault="00051188" w:rsidP="009D78B4">
            <w:pPr>
              <w:widowControl w:val="0"/>
              <w:tabs>
                <w:tab w:val="left" w:pos="0"/>
                <w:tab w:val="left" w:pos="720"/>
              </w:tabs>
              <w:jc w:val="center"/>
              <w:rPr>
                <w:sz w:val="24"/>
                <w:szCs w:val="24"/>
              </w:rPr>
            </w:pPr>
            <w:r>
              <w:rPr>
                <w:sz w:val="24"/>
                <w:szCs w:val="24"/>
              </w:rPr>
              <w:t>3.8%</w:t>
            </w:r>
          </w:p>
        </w:tc>
        <w:tc>
          <w:tcPr>
            <w:tcW w:w="1842" w:type="dxa"/>
          </w:tcPr>
          <w:p w:rsidR="00051188" w:rsidRDefault="00051188" w:rsidP="009D78B4">
            <w:pPr>
              <w:widowControl w:val="0"/>
              <w:tabs>
                <w:tab w:val="left" w:pos="0"/>
                <w:tab w:val="left" w:pos="720"/>
              </w:tabs>
              <w:jc w:val="center"/>
              <w:rPr>
                <w:sz w:val="24"/>
                <w:szCs w:val="24"/>
              </w:rPr>
            </w:pPr>
          </w:p>
          <w:p w:rsidR="00051188" w:rsidRDefault="00051188" w:rsidP="009D78B4">
            <w:pPr>
              <w:widowControl w:val="0"/>
              <w:tabs>
                <w:tab w:val="left" w:pos="0"/>
                <w:tab w:val="left" w:pos="720"/>
              </w:tabs>
              <w:jc w:val="center"/>
              <w:rPr>
                <w:sz w:val="24"/>
                <w:szCs w:val="24"/>
              </w:rPr>
            </w:pPr>
          </w:p>
          <w:p w:rsidR="00051188" w:rsidRDefault="00051188" w:rsidP="009D78B4">
            <w:pPr>
              <w:widowControl w:val="0"/>
              <w:tabs>
                <w:tab w:val="left" w:pos="0"/>
                <w:tab w:val="left" w:pos="720"/>
              </w:tabs>
              <w:jc w:val="center"/>
              <w:rPr>
                <w:sz w:val="24"/>
                <w:szCs w:val="24"/>
              </w:rPr>
            </w:pPr>
            <w:r>
              <w:rPr>
                <w:sz w:val="24"/>
                <w:szCs w:val="24"/>
              </w:rPr>
              <w:t>1.1%</w:t>
            </w:r>
          </w:p>
        </w:tc>
      </w:tr>
      <w:tr w:rsidR="00051188">
        <w:trPr>
          <w:trHeight w:val="513"/>
        </w:trPr>
        <w:tc>
          <w:tcPr>
            <w:tcW w:w="4221" w:type="dxa"/>
          </w:tcPr>
          <w:p w:rsidR="00051188" w:rsidRDefault="00051188" w:rsidP="009D78B4">
            <w:pPr>
              <w:widowControl w:val="0"/>
              <w:tabs>
                <w:tab w:val="left" w:pos="0"/>
                <w:tab w:val="left" w:pos="720"/>
              </w:tabs>
              <w:rPr>
                <w:sz w:val="24"/>
                <w:szCs w:val="24"/>
              </w:rPr>
            </w:pPr>
            <w:r>
              <w:rPr>
                <w:sz w:val="24"/>
                <w:szCs w:val="24"/>
              </w:rPr>
              <w:t>Psychiatric disorders</w:t>
            </w:r>
          </w:p>
          <w:p w:rsidR="00051188" w:rsidRDefault="00051188" w:rsidP="009D78B4">
            <w:pPr>
              <w:widowControl w:val="0"/>
              <w:tabs>
                <w:tab w:val="left" w:pos="0"/>
                <w:tab w:val="left" w:pos="720"/>
              </w:tabs>
              <w:rPr>
                <w:sz w:val="24"/>
                <w:szCs w:val="24"/>
              </w:rPr>
            </w:pPr>
            <w:r>
              <w:rPr>
                <w:sz w:val="24"/>
                <w:szCs w:val="24"/>
              </w:rPr>
              <w:t xml:space="preserve">     Insomnia</w:t>
            </w:r>
          </w:p>
        </w:tc>
        <w:tc>
          <w:tcPr>
            <w:tcW w:w="1842" w:type="dxa"/>
          </w:tcPr>
          <w:p w:rsidR="00051188" w:rsidRDefault="00051188" w:rsidP="009D78B4">
            <w:pPr>
              <w:widowControl w:val="0"/>
              <w:tabs>
                <w:tab w:val="left" w:pos="0"/>
                <w:tab w:val="left" w:pos="720"/>
              </w:tabs>
              <w:jc w:val="center"/>
              <w:rPr>
                <w:sz w:val="24"/>
                <w:szCs w:val="24"/>
              </w:rPr>
            </w:pPr>
          </w:p>
          <w:p w:rsidR="00051188" w:rsidRDefault="00051188" w:rsidP="009D78B4">
            <w:pPr>
              <w:widowControl w:val="0"/>
              <w:tabs>
                <w:tab w:val="left" w:pos="0"/>
                <w:tab w:val="left" w:pos="720"/>
              </w:tabs>
              <w:jc w:val="center"/>
              <w:rPr>
                <w:sz w:val="24"/>
                <w:szCs w:val="24"/>
              </w:rPr>
            </w:pPr>
            <w:r>
              <w:rPr>
                <w:sz w:val="24"/>
                <w:szCs w:val="24"/>
              </w:rPr>
              <w:t>1.5%</w:t>
            </w:r>
          </w:p>
        </w:tc>
        <w:tc>
          <w:tcPr>
            <w:tcW w:w="1842" w:type="dxa"/>
          </w:tcPr>
          <w:p w:rsidR="00051188" w:rsidRDefault="00051188" w:rsidP="009D78B4">
            <w:pPr>
              <w:widowControl w:val="0"/>
              <w:tabs>
                <w:tab w:val="left" w:pos="0"/>
                <w:tab w:val="left" w:pos="720"/>
              </w:tabs>
              <w:jc w:val="center"/>
              <w:rPr>
                <w:sz w:val="24"/>
                <w:szCs w:val="24"/>
              </w:rPr>
            </w:pPr>
          </w:p>
          <w:p w:rsidR="00051188" w:rsidRDefault="00051188" w:rsidP="009D78B4">
            <w:pPr>
              <w:widowControl w:val="0"/>
              <w:tabs>
                <w:tab w:val="left" w:pos="0"/>
                <w:tab w:val="left" w:pos="720"/>
              </w:tabs>
              <w:jc w:val="center"/>
              <w:rPr>
                <w:sz w:val="24"/>
                <w:szCs w:val="24"/>
              </w:rPr>
            </w:pPr>
            <w:r>
              <w:rPr>
                <w:sz w:val="24"/>
                <w:szCs w:val="24"/>
              </w:rPr>
              <w:t>0%</w:t>
            </w:r>
          </w:p>
        </w:tc>
      </w:tr>
    </w:tbl>
    <w:p w:rsidR="00051188" w:rsidRDefault="00051188" w:rsidP="009D78B4">
      <w:pPr>
        <w:widowControl w:val="0"/>
        <w:tabs>
          <w:tab w:val="left" w:pos="0"/>
          <w:tab w:val="left" w:pos="720"/>
        </w:tabs>
        <w:rPr>
          <w:sz w:val="24"/>
          <w:szCs w:val="24"/>
        </w:rPr>
      </w:pPr>
    </w:p>
    <w:p w:rsidR="00051188" w:rsidRDefault="00051188" w:rsidP="009D78B4">
      <w:pPr>
        <w:widowControl w:val="0"/>
        <w:tabs>
          <w:tab w:val="left" w:pos="0"/>
          <w:tab w:val="left" w:pos="720"/>
        </w:tabs>
        <w:rPr>
          <w:sz w:val="24"/>
          <w:szCs w:val="24"/>
        </w:rPr>
      </w:pPr>
      <w:r>
        <w:rPr>
          <w:sz w:val="24"/>
          <w:szCs w:val="24"/>
        </w:rPr>
        <w:t>The following rates with BOTOX</w:t>
      </w:r>
      <w:r>
        <w:rPr>
          <w:sz w:val="24"/>
          <w:szCs w:val="24"/>
          <w:vertAlign w:val="superscript"/>
        </w:rPr>
        <w:t>®</w:t>
      </w:r>
      <w:r>
        <w:rPr>
          <w:sz w:val="24"/>
          <w:szCs w:val="24"/>
        </w:rPr>
        <w:t xml:space="preserve"> 200 Units were reported during the complete treatment cycle (median duration of 44 weeks of exposure): urinary tract infections (49.2%), urinary retention (17.2%), fatigue (6.1%), and insomnia (3.1%).</w:t>
      </w:r>
    </w:p>
    <w:p w:rsidR="00051188" w:rsidRDefault="00051188" w:rsidP="009D78B4">
      <w:pPr>
        <w:widowControl w:val="0"/>
        <w:tabs>
          <w:tab w:val="left" w:pos="0"/>
          <w:tab w:val="left" w:pos="720"/>
        </w:tabs>
        <w:rPr>
          <w:sz w:val="24"/>
          <w:szCs w:val="24"/>
        </w:rPr>
      </w:pPr>
      <w:r>
        <w:rPr>
          <w:sz w:val="24"/>
          <w:szCs w:val="24"/>
        </w:rPr>
        <w:br/>
        <w:t xml:space="preserve">In these neurogenic patients, the following additional adverse reactions were reported during the complete treatment cycle: constipation (4.2%), muscular weakness (3.8%), fall (3.1%), gait disturbance (2.7%), muscle spasm (2.3%), and bladder diverticulum (1.1%). </w:t>
      </w:r>
      <w:r>
        <w:rPr>
          <w:sz w:val="24"/>
          <w:szCs w:val="24"/>
          <w:highlight w:val="yellow"/>
        </w:rPr>
        <w:br/>
      </w:r>
      <w:r>
        <w:rPr>
          <w:sz w:val="24"/>
          <w:szCs w:val="24"/>
        </w:rPr>
        <w:t>Procedure-related events in the 200 Unit BOTOX</w:t>
      </w:r>
      <w:r>
        <w:rPr>
          <w:sz w:val="24"/>
          <w:szCs w:val="24"/>
          <w:vertAlign w:val="superscript"/>
        </w:rPr>
        <w:t>®</w:t>
      </w:r>
      <w:r>
        <w:rPr>
          <w:sz w:val="24"/>
          <w:szCs w:val="24"/>
        </w:rPr>
        <w:t xml:space="preserve"> group included: haematuria (3.8%), dysuria (2.3%), and autonomic dysreflexia (1.5%).</w:t>
      </w:r>
    </w:p>
    <w:p w:rsidR="00051188" w:rsidRDefault="00051188" w:rsidP="009D78B4">
      <w:pPr>
        <w:widowControl w:val="0"/>
        <w:tabs>
          <w:tab w:val="left" w:pos="0"/>
          <w:tab w:val="left" w:pos="720"/>
        </w:tabs>
        <w:rPr>
          <w:sz w:val="24"/>
          <w:szCs w:val="24"/>
        </w:rPr>
      </w:pPr>
      <w:r>
        <w:rPr>
          <w:sz w:val="24"/>
          <w:szCs w:val="24"/>
        </w:rPr>
        <w:t>No change was observed in the overall safety profile with repeat dosing.</w:t>
      </w:r>
    </w:p>
    <w:p w:rsidR="00051188" w:rsidRDefault="00051188" w:rsidP="009D78B4">
      <w:pPr>
        <w:widowControl w:val="0"/>
        <w:tabs>
          <w:tab w:val="left" w:pos="0"/>
          <w:tab w:val="left" w:pos="720"/>
        </w:tabs>
        <w:rPr>
          <w:sz w:val="24"/>
          <w:szCs w:val="24"/>
        </w:rPr>
      </w:pPr>
    </w:p>
    <w:p w:rsidR="00051188" w:rsidRDefault="00051188" w:rsidP="009D78B4">
      <w:pPr>
        <w:widowControl w:val="0"/>
        <w:rPr>
          <w:sz w:val="24"/>
          <w:szCs w:val="24"/>
        </w:rPr>
      </w:pPr>
      <w:r>
        <w:rPr>
          <w:sz w:val="24"/>
          <w:szCs w:val="24"/>
        </w:rPr>
        <w:t>In the multiple sclerosis (MS) patients enrolled in the pooled pivotal studies, the annualised MS exacerbation rate (i.e., number of MS exacerbation events per patient-year) was 0.23 for BOTOX</w:t>
      </w:r>
      <w:r>
        <w:rPr>
          <w:sz w:val="24"/>
          <w:szCs w:val="24"/>
          <w:vertAlign w:val="superscript"/>
        </w:rPr>
        <w:t>®</w:t>
      </w:r>
      <w:r>
        <w:rPr>
          <w:sz w:val="24"/>
          <w:szCs w:val="24"/>
        </w:rPr>
        <w:t xml:space="preserve"> and 0.20 for placebo.  The annualised MS exacerbation rates reported in the individual studies, showed differing trends between the two pivotal studies:  0.14 for BOTOX</w:t>
      </w:r>
      <w:r>
        <w:rPr>
          <w:sz w:val="24"/>
          <w:szCs w:val="24"/>
          <w:vertAlign w:val="superscript"/>
        </w:rPr>
        <w:t>®</w:t>
      </w:r>
      <w:r>
        <w:rPr>
          <w:sz w:val="24"/>
          <w:szCs w:val="24"/>
        </w:rPr>
        <w:t xml:space="preserve"> and 0.22 for placebo for study 191622-515, and 0.36 for BOTOX</w:t>
      </w:r>
      <w:r>
        <w:rPr>
          <w:sz w:val="24"/>
          <w:szCs w:val="24"/>
          <w:vertAlign w:val="superscript"/>
        </w:rPr>
        <w:t>®</w:t>
      </w:r>
      <w:r>
        <w:rPr>
          <w:sz w:val="24"/>
          <w:szCs w:val="24"/>
        </w:rPr>
        <w:t xml:space="preserve"> and 0.19 for placebo for study 191622-516.</w:t>
      </w:r>
    </w:p>
    <w:p w:rsidR="00051188" w:rsidRDefault="00051188" w:rsidP="009D78B4">
      <w:pPr>
        <w:widowControl w:val="0"/>
        <w:tabs>
          <w:tab w:val="left" w:pos="0"/>
          <w:tab w:val="left" w:pos="720"/>
        </w:tabs>
        <w:rPr>
          <w:sz w:val="24"/>
          <w:szCs w:val="24"/>
        </w:rPr>
      </w:pPr>
    </w:p>
    <w:p w:rsidR="00051188" w:rsidRDefault="00051188" w:rsidP="009D78B4">
      <w:pPr>
        <w:widowControl w:val="0"/>
        <w:ind w:right="-108"/>
        <w:rPr>
          <w:sz w:val="24"/>
          <w:szCs w:val="24"/>
        </w:rPr>
      </w:pPr>
      <w:r>
        <w:rPr>
          <w:sz w:val="24"/>
          <w:szCs w:val="24"/>
        </w:rPr>
        <w:t>Among patients who were not catheterising at baseline prior to treatment, catheterisation was initiated in 38.9% following treatment with BOTOX</w:t>
      </w:r>
      <w:r>
        <w:rPr>
          <w:sz w:val="24"/>
          <w:szCs w:val="24"/>
          <w:vertAlign w:val="superscript"/>
        </w:rPr>
        <w:t>®</w:t>
      </w:r>
      <w:r>
        <w:rPr>
          <w:sz w:val="24"/>
          <w:szCs w:val="24"/>
        </w:rPr>
        <w:t xml:space="preserve"> 200 U versus 17.3% on placebo.</w:t>
      </w:r>
    </w:p>
    <w:p w:rsidR="00051188" w:rsidRDefault="00051188" w:rsidP="009D78B4">
      <w:pPr>
        <w:widowControl w:val="0"/>
        <w:ind w:right="-108"/>
        <w:rPr>
          <w:sz w:val="24"/>
          <w:szCs w:val="24"/>
        </w:rPr>
      </w:pPr>
    </w:p>
    <w:p w:rsidR="00051188" w:rsidRDefault="00051188" w:rsidP="009D78B4">
      <w:pPr>
        <w:widowControl w:val="0"/>
        <w:autoSpaceDE w:val="0"/>
        <w:autoSpaceDN w:val="0"/>
        <w:adjustRightInd w:val="0"/>
        <w:rPr>
          <w:sz w:val="24"/>
          <w:szCs w:val="24"/>
        </w:rPr>
      </w:pPr>
      <w:r>
        <w:rPr>
          <w:sz w:val="24"/>
          <w:szCs w:val="24"/>
        </w:rPr>
        <w:lastRenderedPageBreak/>
        <w:t>In the pivotal studies of neurogenic detrusor overactivity, in the subgroup not using catheterisation at baseline, only 10.1 % of placebo recipients had commenced catheterisation at Week 12, compared to 25.5% of the 200 U group. Urinary tract infections were increased in patients who developed elevated residual volumes, even if they did not commence catheterisation.</w:t>
      </w:r>
    </w:p>
    <w:p w:rsidR="006369C8" w:rsidRDefault="006369C8" w:rsidP="009D78B4">
      <w:pPr>
        <w:widowControl w:val="0"/>
        <w:autoSpaceDE w:val="0"/>
        <w:autoSpaceDN w:val="0"/>
        <w:adjustRightInd w:val="0"/>
        <w:rPr>
          <w:sz w:val="24"/>
          <w:szCs w:val="24"/>
        </w:rPr>
      </w:pPr>
    </w:p>
    <w:p w:rsidR="00051188" w:rsidRDefault="00051188" w:rsidP="009D78B4">
      <w:pPr>
        <w:widowControl w:val="0"/>
        <w:ind w:right="-108"/>
        <w:rPr>
          <w:sz w:val="24"/>
          <w:szCs w:val="24"/>
        </w:rPr>
      </w:pPr>
      <w:r>
        <w:rPr>
          <w:sz w:val="24"/>
          <w:szCs w:val="24"/>
        </w:rPr>
        <w:t xml:space="preserve">The following table presents a summary of UTI rates by pre- and post-treatment CIC status and post-void residual urine volume during the first 12 weeks. </w:t>
      </w:r>
    </w:p>
    <w:p w:rsidR="00051188" w:rsidRDefault="00051188" w:rsidP="009D78B4">
      <w:pPr>
        <w:widowControl w:val="0"/>
        <w:ind w:right="-108"/>
        <w:rPr>
          <w:b/>
          <w:sz w:val="24"/>
          <w:szCs w:val="24"/>
        </w:rPr>
      </w:pPr>
    </w:p>
    <w:p w:rsidR="00051188" w:rsidRDefault="00051188" w:rsidP="009D78B4">
      <w:pPr>
        <w:widowControl w:val="0"/>
        <w:autoSpaceDE w:val="0"/>
        <w:autoSpaceDN w:val="0"/>
        <w:adjustRightInd w:val="0"/>
        <w:rPr>
          <w:color w:val="3C3C3C"/>
          <w:sz w:val="25"/>
          <w:szCs w:val="25"/>
        </w:rPr>
      </w:pPr>
      <w:r>
        <w:rPr>
          <w:b/>
          <w:sz w:val="24"/>
          <w:szCs w:val="24"/>
        </w:rPr>
        <w:t>Summary of UTI Rates by Pre- and Post-treatment CIC Status and post-void Residual Urine Volume During the First 12 Weeks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2268"/>
        <w:gridCol w:w="1984"/>
        <w:gridCol w:w="2126"/>
      </w:tblGrid>
      <w:tr w:rsidR="00051188">
        <w:tc>
          <w:tcPr>
            <w:tcW w:w="3936" w:type="dxa"/>
            <w:gridSpan w:val="2"/>
          </w:tcPr>
          <w:p w:rsidR="00051188" w:rsidRDefault="00051188" w:rsidP="009D78B4">
            <w:pPr>
              <w:widowControl w:val="0"/>
              <w:tabs>
                <w:tab w:val="left" w:pos="-720"/>
              </w:tabs>
              <w:jc w:val="center"/>
              <w:rPr>
                <w:b/>
                <w:sz w:val="24"/>
                <w:szCs w:val="24"/>
              </w:rPr>
            </w:pPr>
            <w:r>
              <w:rPr>
                <w:b/>
                <w:sz w:val="24"/>
                <w:szCs w:val="24"/>
              </w:rPr>
              <w:t>CIC Status</w:t>
            </w:r>
          </w:p>
        </w:tc>
        <w:tc>
          <w:tcPr>
            <w:tcW w:w="1984" w:type="dxa"/>
            <w:vMerge w:val="restart"/>
          </w:tcPr>
          <w:p w:rsidR="00051188" w:rsidRDefault="00051188" w:rsidP="009D78B4">
            <w:pPr>
              <w:widowControl w:val="0"/>
              <w:tabs>
                <w:tab w:val="left" w:pos="-720"/>
              </w:tabs>
              <w:rPr>
                <w:b/>
                <w:sz w:val="24"/>
                <w:szCs w:val="24"/>
              </w:rPr>
            </w:pPr>
          </w:p>
          <w:p w:rsidR="00051188" w:rsidRDefault="00051188" w:rsidP="009D78B4">
            <w:pPr>
              <w:widowControl w:val="0"/>
              <w:tabs>
                <w:tab w:val="left" w:pos="-720"/>
              </w:tabs>
              <w:spacing w:after="100" w:afterAutospacing="1"/>
              <w:jc w:val="center"/>
              <w:rPr>
                <w:b/>
                <w:sz w:val="24"/>
                <w:szCs w:val="24"/>
              </w:rPr>
            </w:pPr>
            <w:r>
              <w:rPr>
                <w:b/>
                <w:sz w:val="24"/>
                <w:szCs w:val="24"/>
              </w:rPr>
              <w:t>200U BOTOX</w:t>
            </w:r>
            <w:r>
              <w:rPr>
                <w:b/>
                <w:sz w:val="24"/>
                <w:szCs w:val="24"/>
                <w:vertAlign w:val="superscript"/>
              </w:rPr>
              <w:t>®</w:t>
            </w:r>
          </w:p>
        </w:tc>
        <w:tc>
          <w:tcPr>
            <w:tcW w:w="2126" w:type="dxa"/>
            <w:vMerge w:val="restart"/>
          </w:tcPr>
          <w:p w:rsidR="00051188" w:rsidRDefault="00051188" w:rsidP="009D78B4">
            <w:pPr>
              <w:widowControl w:val="0"/>
              <w:tabs>
                <w:tab w:val="left" w:pos="-720"/>
              </w:tabs>
              <w:rPr>
                <w:b/>
                <w:sz w:val="24"/>
                <w:szCs w:val="24"/>
              </w:rPr>
            </w:pPr>
          </w:p>
          <w:p w:rsidR="00051188" w:rsidRDefault="00051188" w:rsidP="009D78B4">
            <w:pPr>
              <w:widowControl w:val="0"/>
              <w:tabs>
                <w:tab w:val="left" w:pos="-720"/>
              </w:tabs>
              <w:jc w:val="center"/>
              <w:rPr>
                <w:b/>
                <w:sz w:val="24"/>
                <w:szCs w:val="24"/>
              </w:rPr>
            </w:pPr>
            <w:r>
              <w:rPr>
                <w:b/>
                <w:sz w:val="24"/>
                <w:szCs w:val="24"/>
              </w:rPr>
              <w:t>Placebo</w:t>
            </w:r>
          </w:p>
          <w:p w:rsidR="00051188" w:rsidRDefault="00051188" w:rsidP="009D78B4">
            <w:pPr>
              <w:widowControl w:val="0"/>
              <w:tabs>
                <w:tab w:val="left" w:pos="-720"/>
              </w:tabs>
              <w:jc w:val="center"/>
              <w:rPr>
                <w:b/>
                <w:sz w:val="24"/>
                <w:szCs w:val="24"/>
              </w:rPr>
            </w:pPr>
          </w:p>
        </w:tc>
      </w:tr>
      <w:tr w:rsidR="00051188">
        <w:tc>
          <w:tcPr>
            <w:tcW w:w="1668" w:type="dxa"/>
          </w:tcPr>
          <w:p w:rsidR="00051188" w:rsidRDefault="00051188" w:rsidP="009D78B4">
            <w:pPr>
              <w:widowControl w:val="0"/>
              <w:tabs>
                <w:tab w:val="left" w:pos="-720"/>
              </w:tabs>
              <w:rPr>
                <w:b/>
                <w:sz w:val="24"/>
                <w:szCs w:val="24"/>
              </w:rPr>
            </w:pPr>
            <w:r>
              <w:rPr>
                <w:b/>
                <w:sz w:val="24"/>
                <w:szCs w:val="24"/>
              </w:rPr>
              <w:t>Pre-treatment</w:t>
            </w:r>
          </w:p>
        </w:tc>
        <w:tc>
          <w:tcPr>
            <w:tcW w:w="2268" w:type="dxa"/>
          </w:tcPr>
          <w:p w:rsidR="00051188" w:rsidRDefault="00051188" w:rsidP="009D78B4">
            <w:pPr>
              <w:widowControl w:val="0"/>
              <w:tabs>
                <w:tab w:val="left" w:pos="-720"/>
              </w:tabs>
              <w:rPr>
                <w:b/>
                <w:sz w:val="24"/>
                <w:szCs w:val="24"/>
              </w:rPr>
            </w:pPr>
            <w:r>
              <w:rPr>
                <w:b/>
                <w:sz w:val="24"/>
                <w:szCs w:val="24"/>
              </w:rPr>
              <w:t>Post-treatment</w:t>
            </w:r>
          </w:p>
        </w:tc>
        <w:tc>
          <w:tcPr>
            <w:tcW w:w="1984" w:type="dxa"/>
            <w:vMerge/>
          </w:tcPr>
          <w:p w:rsidR="00051188" w:rsidRDefault="00051188" w:rsidP="009D78B4">
            <w:pPr>
              <w:widowControl w:val="0"/>
              <w:tabs>
                <w:tab w:val="left" w:pos="-720"/>
              </w:tabs>
              <w:rPr>
                <w:sz w:val="24"/>
                <w:szCs w:val="24"/>
              </w:rPr>
            </w:pPr>
          </w:p>
        </w:tc>
        <w:tc>
          <w:tcPr>
            <w:tcW w:w="2126" w:type="dxa"/>
            <w:vMerge/>
          </w:tcPr>
          <w:p w:rsidR="00051188" w:rsidRDefault="00051188" w:rsidP="009D78B4">
            <w:pPr>
              <w:widowControl w:val="0"/>
              <w:tabs>
                <w:tab w:val="left" w:pos="-720"/>
              </w:tabs>
              <w:rPr>
                <w:sz w:val="24"/>
                <w:szCs w:val="24"/>
              </w:rPr>
            </w:pPr>
          </w:p>
        </w:tc>
      </w:tr>
      <w:tr w:rsidR="00051188">
        <w:tc>
          <w:tcPr>
            <w:tcW w:w="1668" w:type="dxa"/>
          </w:tcPr>
          <w:p w:rsidR="00051188" w:rsidRDefault="00051188" w:rsidP="009D78B4">
            <w:pPr>
              <w:widowControl w:val="0"/>
              <w:tabs>
                <w:tab w:val="left" w:pos="-720"/>
              </w:tabs>
              <w:rPr>
                <w:b/>
                <w:sz w:val="24"/>
                <w:szCs w:val="24"/>
              </w:rPr>
            </w:pPr>
            <w:r>
              <w:rPr>
                <w:b/>
                <w:sz w:val="24"/>
                <w:szCs w:val="24"/>
              </w:rPr>
              <w:t>Using CIC</w:t>
            </w:r>
          </w:p>
        </w:tc>
        <w:tc>
          <w:tcPr>
            <w:tcW w:w="2268" w:type="dxa"/>
            <w:tcBorders>
              <w:bottom w:val="single" w:sz="4" w:space="0" w:color="auto"/>
            </w:tcBorders>
          </w:tcPr>
          <w:p w:rsidR="00051188" w:rsidRDefault="00051188" w:rsidP="009D78B4">
            <w:pPr>
              <w:widowControl w:val="0"/>
              <w:tabs>
                <w:tab w:val="left" w:pos="-720"/>
              </w:tabs>
              <w:rPr>
                <w:b/>
                <w:sz w:val="24"/>
                <w:szCs w:val="24"/>
              </w:rPr>
            </w:pPr>
            <w:r>
              <w:rPr>
                <w:b/>
                <w:sz w:val="24"/>
                <w:szCs w:val="24"/>
              </w:rPr>
              <w:t>Using CIC</w:t>
            </w:r>
            <w:r>
              <w:rPr>
                <w:b/>
                <w:sz w:val="24"/>
                <w:szCs w:val="24"/>
                <w:vertAlign w:val="superscript"/>
              </w:rPr>
              <w:t>a</w:t>
            </w:r>
          </w:p>
        </w:tc>
        <w:tc>
          <w:tcPr>
            <w:tcW w:w="1984" w:type="dxa"/>
            <w:tcBorders>
              <w:bottom w:val="single" w:sz="4" w:space="0" w:color="auto"/>
            </w:tcBorders>
          </w:tcPr>
          <w:p w:rsidR="00051188" w:rsidRDefault="00051188" w:rsidP="009D78B4">
            <w:pPr>
              <w:widowControl w:val="0"/>
              <w:tabs>
                <w:tab w:val="left" w:pos="-720"/>
              </w:tabs>
              <w:jc w:val="center"/>
              <w:rPr>
                <w:sz w:val="24"/>
                <w:szCs w:val="24"/>
              </w:rPr>
            </w:pPr>
            <w:r>
              <w:rPr>
                <w:sz w:val="24"/>
                <w:szCs w:val="24"/>
              </w:rPr>
              <w:t>22.0% (29/132)</w:t>
            </w:r>
          </w:p>
        </w:tc>
        <w:tc>
          <w:tcPr>
            <w:tcW w:w="2126" w:type="dxa"/>
            <w:tcBorders>
              <w:bottom w:val="single" w:sz="4" w:space="0" w:color="auto"/>
            </w:tcBorders>
          </w:tcPr>
          <w:p w:rsidR="00051188" w:rsidRDefault="00051188" w:rsidP="009D78B4">
            <w:pPr>
              <w:widowControl w:val="0"/>
              <w:tabs>
                <w:tab w:val="left" w:pos="-720"/>
              </w:tabs>
              <w:jc w:val="center"/>
              <w:rPr>
                <w:sz w:val="24"/>
                <w:szCs w:val="24"/>
              </w:rPr>
            </w:pPr>
            <w:r>
              <w:rPr>
                <w:sz w:val="24"/>
                <w:szCs w:val="24"/>
              </w:rPr>
              <w:t>20.7% (29/140)</w:t>
            </w:r>
          </w:p>
        </w:tc>
      </w:tr>
      <w:tr w:rsidR="00051188">
        <w:tc>
          <w:tcPr>
            <w:tcW w:w="1668" w:type="dxa"/>
            <w:vMerge w:val="restart"/>
          </w:tcPr>
          <w:p w:rsidR="00051188" w:rsidRDefault="00051188" w:rsidP="009D78B4">
            <w:pPr>
              <w:widowControl w:val="0"/>
              <w:tabs>
                <w:tab w:val="left" w:pos="-720"/>
              </w:tabs>
              <w:jc w:val="center"/>
              <w:rPr>
                <w:b/>
                <w:sz w:val="24"/>
                <w:szCs w:val="24"/>
              </w:rPr>
            </w:pPr>
          </w:p>
          <w:p w:rsidR="00051188" w:rsidRDefault="00051188" w:rsidP="009D78B4">
            <w:pPr>
              <w:widowControl w:val="0"/>
              <w:tabs>
                <w:tab w:val="left" w:pos="-720"/>
              </w:tabs>
              <w:jc w:val="center"/>
              <w:rPr>
                <w:b/>
                <w:sz w:val="24"/>
                <w:szCs w:val="24"/>
              </w:rPr>
            </w:pPr>
          </w:p>
          <w:p w:rsidR="00051188" w:rsidRDefault="00051188" w:rsidP="009D78B4">
            <w:pPr>
              <w:widowControl w:val="0"/>
              <w:tabs>
                <w:tab w:val="left" w:pos="-720"/>
              </w:tabs>
              <w:jc w:val="center"/>
              <w:rPr>
                <w:b/>
                <w:sz w:val="24"/>
                <w:szCs w:val="24"/>
              </w:rPr>
            </w:pPr>
            <w:r>
              <w:rPr>
                <w:b/>
                <w:sz w:val="24"/>
                <w:szCs w:val="24"/>
              </w:rPr>
              <w:t>Not Using CIC</w:t>
            </w:r>
          </w:p>
        </w:tc>
        <w:tc>
          <w:tcPr>
            <w:tcW w:w="2268" w:type="dxa"/>
            <w:tcBorders>
              <w:bottom w:val="nil"/>
            </w:tcBorders>
          </w:tcPr>
          <w:p w:rsidR="00051188" w:rsidRDefault="00051188" w:rsidP="009D78B4">
            <w:pPr>
              <w:widowControl w:val="0"/>
              <w:tabs>
                <w:tab w:val="left" w:pos="-720"/>
              </w:tabs>
              <w:rPr>
                <w:b/>
                <w:sz w:val="24"/>
                <w:szCs w:val="24"/>
              </w:rPr>
            </w:pPr>
          </w:p>
          <w:p w:rsidR="00051188" w:rsidRDefault="00051188" w:rsidP="009D78B4">
            <w:pPr>
              <w:widowControl w:val="0"/>
              <w:tabs>
                <w:tab w:val="left" w:pos="-720"/>
              </w:tabs>
              <w:rPr>
                <w:b/>
                <w:sz w:val="24"/>
                <w:szCs w:val="24"/>
              </w:rPr>
            </w:pPr>
            <w:r>
              <w:rPr>
                <w:b/>
                <w:sz w:val="24"/>
                <w:szCs w:val="24"/>
              </w:rPr>
              <w:t>Using CIC</w:t>
            </w:r>
          </w:p>
        </w:tc>
        <w:tc>
          <w:tcPr>
            <w:tcW w:w="1984" w:type="dxa"/>
            <w:tcBorders>
              <w:bottom w:val="nil"/>
            </w:tcBorders>
          </w:tcPr>
          <w:p w:rsidR="00051188" w:rsidRDefault="00051188" w:rsidP="009D78B4">
            <w:pPr>
              <w:widowControl w:val="0"/>
              <w:tabs>
                <w:tab w:val="left" w:pos="-720"/>
              </w:tabs>
              <w:jc w:val="center"/>
              <w:rPr>
                <w:sz w:val="24"/>
                <w:szCs w:val="24"/>
              </w:rPr>
            </w:pPr>
          </w:p>
          <w:p w:rsidR="00051188" w:rsidRDefault="00051188" w:rsidP="009D78B4">
            <w:pPr>
              <w:widowControl w:val="0"/>
              <w:tabs>
                <w:tab w:val="left" w:pos="-720"/>
              </w:tabs>
              <w:jc w:val="center"/>
              <w:rPr>
                <w:sz w:val="24"/>
                <w:szCs w:val="24"/>
              </w:rPr>
            </w:pPr>
            <w:r>
              <w:rPr>
                <w:sz w:val="24"/>
                <w:szCs w:val="24"/>
              </w:rPr>
              <w:t>40.4% (19/47)</w:t>
            </w:r>
          </w:p>
        </w:tc>
        <w:tc>
          <w:tcPr>
            <w:tcW w:w="2126" w:type="dxa"/>
            <w:tcBorders>
              <w:bottom w:val="nil"/>
            </w:tcBorders>
          </w:tcPr>
          <w:p w:rsidR="00051188" w:rsidRDefault="00051188" w:rsidP="009D78B4">
            <w:pPr>
              <w:widowControl w:val="0"/>
              <w:tabs>
                <w:tab w:val="left" w:pos="-720"/>
              </w:tabs>
              <w:jc w:val="center"/>
              <w:rPr>
                <w:sz w:val="24"/>
                <w:szCs w:val="24"/>
              </w:rPr>
            </w:pPr>
          </w:p>
          <w:p w:rsidR="00051188" w:rsidRDefault="00051188" w:rsidP="009D78B4">
            <w:pPr>
              <w:widowControl w:val="0"/>
              <w:tabs>
                <w:tab w:val="left" w:pos="-720"/>
              </w:tabs>
              <w:jc w:val="center"/>
              <w:rPr>
                <w:sz w:val="24"/>
                <w:szCs w:val="24"/>
              </w:rPr>
            </w:pPr>
            <w:r>
              <w:rPr>
                <w:sz w:val="24"/>
                <w:szCs w:val="24"/>
              </w:rPr>
              <w:t>11.9% (5/42)</w:t>
            </w:r>
          </w:p>
        </w:tc>
      </w:tr>
      <w:tr w:rsidR="00051188">
        <w:tc>
          <w:tcPr>
            <w:tcW w:w="1668" w:type="dxa"/>
            <w:vMerge/>
          </w:tcPr>
          <w:p w:rsidR="00051188" w:rsidRDefault="00051188" w:rsidP="009D78B4">
            <w:pPr>
              <w:widowControl w:val="0"/>
              <w:tabs>
                <w:tab w:val="left" w:pos="-720"/>
              </w:tabs>
              <w:rPr>
                <w:b/>
                <w:sz w:val="24"/>
                <w:szCs w:val="24"/>
              </w:rPr>
            </w:pPr>
          </w:p>
        </w:tc>
        <w:tc>
          <w:tcPr>
            <w:tcW w:w="2268" w:type="dxa"/>
            <w:tcBorders>
              <w:top w:val="nil"/>
              <w:bottom w:val="nil"/>
              <w:right w:val="single" w:sz="4" w:space="0" w:color="auto"/>
            </w:tcBorders>
          </w:tcPr>
          <w:p w:rsidR="00051188" w:rsidRDefault="00051188" w:rsidP="009D78B4">
            <w:pPr>
              <w:widowControl w:val="0"/>
              <w:tabs>
                <w:tab w:val="left" w:pos="-720"/>
              </w:tabs>
              <w:rPr>
                <w:b/>
                <w:sz w:val="24"/>
                <w:szCs w:val="24"/>
              </w:rPr>
            </w:pPr>
          </w:p>
          <w:p w:rsidR="00051188" w:rsidRDefault="00051188" w:rsidP="009D78B4">
            <w:pPr>
              <w:widowControl w:val="0"/>
              <w:tabs>
                <w:tab w:val="left" w:pos="-720"/>
              </w:tabs>
              <w:rPr>
                <w:b/>
                <w:sz w:val="24"/>
                <w:szCs w:val="24"/>
              </w:rPr>
            </w:pPr>
            <w:r>
              <w:rPr>
                <w:b/>
                <w:sz w:val="24"/>
                <w:szCs w:val="24"/>
              </w:rPr>
              <w:t>Not Using CIC</w:t>
            </w:r>
          </w:p>
        </w:tc>
        <w:tc>
          <w:tcPr>
            <w:tcW w:w="1984" w:type="dxa"/>
            <w:tcBorders>
              <w:top w:val="nil"/>
              <w:left w:val="single" w:sz="4" w:space="0" w:color="auto"/>
              <w:bottom w:val="nil"/>
              <w:right w:val="single" w:sz="4" w:space="0" w:color="auto"/>
            </w:tcBorders>
          </w:tcPr>
          <w:p w:rsidR="00051188" w:rsidRDefault="00051188" w:rsidP="009D78B4">
            <w:pPr>
              <w:widowControl w:val="0"/>
              <w:tabs>
                <w:tab w:val="left" w:pos="-720"/>
              </w:tabs>
              <w:jc w:val="center"/>
              <w:rPr>
                <w:sz w:val="24"/>
                <w:szCs w:val="24"/>
              </w:rPr>
            </w:pPr>
          </w:p>
          <w:p w:rsidR="00051188" w:rsidRDefault="00051188" w:rsidP="009D78B4">
            <w:pPr>
              <w:widowControl w:val="0"/>
              <w:tabs>
                <w:tab w:val="left" w:pos="-720"/>
              </w:tabs>
              <w:jc w:val="center"/>
              <w:rPr>
                <w:sz w:val="24"/>
                <w:szCs w:val="24"/>
              </w:rPr>
            </w:pPr>
            <w:r>
              <w:rPr>
                <w:sz w:val="24"/>
                <w:szCs w:val="24"/>
              </w:rPr>
              <w:t>21.3% (13/61)</w:t>
            </w:r>
          </w:p>
        </w:tc>
        <w:tc>
          <w:tcPr>
            <w:tcW w:w="2126" w:type="dxa"/>
            <w:tcBorders>
              <w:top w:val="nil"/>
              <w:left w:val="single" w:sz="4" w:space="0" w:color="auto"/>
              <w:bottom w:val="nil"/>
            </w:tcBorders>
          </w:tcPr>
          <w:p w:rsidR="00051188" w:rsidRDefault="00051188" w:rsidP="009D78B4">
            <w:pPr>
              <w:widowControl w:val="0"/>
              <w:tabs>
                <w:tab w:val="left" w:pos="-720"/>
              </w:tabs>
              <w:jc w:val="center"/>
              <w:rPr>
                <w:sz w:val="24"/>
                <w:szCs w:val="24"/>
              </w:rPr>
            </w:pPr>
          </w:p>
          <w:p w:rsidR="00051188" w:rsidRDefault="00051188" w:rsidP="009D78B4">
            <w:pPr>
              <w:widowControl w:val="0"/>
              <w:tabs>
                <w:tab w:val="left" w:pos="-720"/>
              </w:tabs>
              <w:jc w:val="center"/>
              <w:rPr>
                <w:sz w:val="24"/>
                <w:szCs w:val="24"/>
              </w:rPr>
            </w:pPr>
            <w:r>
              <w:rPr>
                <w:sz w:val="24"/>
                <w:szCs w:val="24"/>
              </w:rPr>
              <w:t>16.4% (10/61)</w:t>
            </w:r>
          </w:p>
        </w:tc>
      </w:tr>
      <w:tr w:rsidR="00051188">
        <w:tc>
          <w:tcPr>
            <w:tcW w:w="1668" w:type="dxa"/>
            <w:vMerge/>
          </w:tcPr>
          <w:p w:rsidR="00051188" w:rsidRDefault="00051188" w:rsidP="009D78B4">
            <w:pPr>
              <w:widowControl w:val="0"/>
              <w:tabs>
                <w:tab w:val="left" w:pos="-720"/>
              </w:tabs>
              <w:rPr>
                <w:b/>
                <w:sz w:val="24"/>
                <w:szCs w:val="24"/>
              </w:rPr>
            </w:pPr>
          </w:p>
        </w:tc>
        <w:tc>
          <w:tcPr>
            <w:tcW w:w="2268" w:type="dxa"/>
            <w:tcBorders>
              <w:top w:val="nil"/>
              <w:bottom w:val="nil"/>
              <w:right w:val="single" w:sz="4" w:space="0" w:color="auto"/>
            </w:tcBorders>
          </w:tcPr>
          <w:p w:rsidR="00051188" w:rsidRDefault="00051188" w:rsidP="009D78B4">
            <w:pPr>
              <w:widowControl w:val="0"/>
              <w:tabs>
                <w:tab w:val="left" w:pos="-720"/>
              </w:tabs>
              <w:rPr>
                <w:b/>
                <w:sz w:val="24"/>
                <w:szCs w:val="24"/>
              </w:rPr>
            </w:pPr>
          </w:p>
          <w:p w:rsidR="00C37EA6" w:rsidRDefault="00051188" w:rsidP="009D78B4">
            <w:pPr>
              <w:widowControl w:val="0"/>
              <w:tabs>
                <w:tab w:val="left" w:pos="-720"/>
              </w:tabs>
              <w:ind w:left="720"/>
              <w:rPr>
                <w:b/>
                <w:sz w:val="24"/>
                <w:szCs w:val="24"/>
              </w:rPr>
            </w:pPr>
            <w:r>
              <w:rPr>
                <w:b/>
                <w:sz w:val="24"/>
                <w:szCs w:val="24"/>
              </w:rPr>
              <w:t xml:space="preserve">Not Using CIC and PVR urine </w:t>
            </w:r>
          </w:p>
          <w:p w:rsidR="00051188" w:rsidRDefault="00051188" w:rsidP="009D78B4">
            <w:pPr>
              <w:widowControl w:val="0"/>
              <w:tabs>
                <w:tab w:val="left" w:pos="-720"/>
              </w:tabs>
              <w:ind w:left="720"/>
              <w:rPr>
                <w:b/>
                <w:sz w:val="24"/>
                <w:szCs w:val="24"/>
              </w:rPr>
            </w:pPr>
            <w:r>
              <w:rPr>
                <w:b/>
                <w:sz w:val="24"/>
                <w:szCs w:val="24"/>
              </w:rPr>
              <w:t>≥ 200 mL</w:t>
            </w:r>
          </w:p>
        </w:tc>
        <w:tc>
          <w:tcPr>
            <w:tcW w:w="1984" w:type="dxa"/>
            <w:tcBorders>
              <w:top w:val="nil"/>
              <w:left w:val="single" w:sz="4" w:space="0" w:color="auto"/>
              <w:bottom w:val="nil"/>
              <w:right w:val="single" w:sz="4" w:space="0" w:color="auto"/>
            </w:tcBorders>
          </w:tcPr>
          <w:p w:rsidR="00051188" w:rsidRDefault="00051188" w:rsidP="009D78B4">
            <w:pPr>
              <w:widowControl w:val="0"/>
              <w:tabs>
                <w:tab w:val="left" w:pos="-720"/>
              </w:tabs>
              <w:jc w:val="center"/>
              <w:rPr>
                <w:sz w:val="24"/>
                <w:szCs w:val="24"/>
              </w:rPr>
            </w:pPr>
          </w:p>
          <w:p w:rsidR="00051188" w:rsidRDefault="00051188" w:rsidP="009D78B4">
            <w:pPr>
              <w:widowControl w:val="0"/>
              <w:tabs>
                <w:tab w:val="left" w:pos="-720"/>
              </w:tabs>
              <w:jc w:val="center"/>
              <w:rPr>
                <w:sz w:val="24"/>
                <w:szCs w:val="24"/>
              </w:rPr>
            </w:pPr>
            <w:r>
              <w:rPr>
                <w:sz w:val="24"/>
                <w:szCs w:val="24"/>
              </w:rPr>
              <w:t>32.0% (8/25)</w:t>
            </w:r>
          </w:p>
        </w:tc>
        <w:tc>
          <w:tcPr>
            <w:tcW w:w="2126" w:type="dxa"/>
            <w:tcBorders>
              <w:top w:val="nil"/>
              <w:left w:val="single" w:sz="4" w:space="0" w:color="auto"/>
              <w:bottom w:val="nil"/>
            </w:tcBorders>
          </w:tcPr>
          <w:p w:rsidR="00051188" w:rsidRDefault="00051188" w:rsidP="009D78B4">
            <w:pPr>
              <w:widowControl w:val="0"/>
              <w:tabs>
                <w:tab w:val="left" w:pos="-720"/>
              </w:tabs>
              <w:jc w:val="center"/>
              <w:rPr>
                <w:sz w:val="24"/>
                <w:szCs w:val="24"/>
              </w:rPr>
            </w:pPr>
          </w:p>
          <w:p w:rsidR="00051188" w:rsidRDefault="00051188" w:rsidP="009D78B4">
            <w:pPr>
              <w:widowControl w:val="0"/>
              <w:tabs>
                <w:tab w:val="left" w:pos="-720"/>
              </w:tabs>
              <w:jc w:val="center"/>
              <w:rPr>
                <w:sz w:val="24"/>
                <w:szCs w:val="24"/>
              </w:rPr>
            </w:pPr>
            <w:r>
              <w:rPr>
                <w:sz w:val="24"/>
                <w:szCs w:val="24"/>
              </w:rPr>
              <w:t>0.0% (0/5)</w:t>
            </w:r>
          </w:p>
        </w:tc>
      </w:tr>
      <w:tr w:rsidR="00051188">
        <w:tc>
          <w:tcPr>
            <w:tcW w:w="1668" w:type="dxa"/>
            <w:vMerge/>
          </w:tcPr>
          <w:p w:rsidR="00051188" w:rsidRDefault="00051188" w:rsidP="009D78B4">
            <w:pPr>
              <w:widowControl w:val="0"/>
              <w:tabs>
                <w:tab w:val="left" w:pos="-720"/>
              </w:tabs>
              <w:rPr>
                <w:b/>
                <w:sz w:val="24"/>
                <w:szCs w:val="24"/>
              </w:rPr>
            </w:pPr>
          </w:p>
        </w:tc>
        <w:tc>
          <w:tcPr>
            <w:tcW w:w="2268" w:type="dxa"/>
            <w:tcBorders>
              <w:top w:val="nil"/>
              <w:right w:val="single" w:sz="4" w:space="0" w:color="auto"/>
            </w:tcBorders>
          </w:tcPr>
          <w:p w:rsidR="00051188" w:rsidRDefault="00051188" w:rsidP="009D78B4">
            <w:pPr>
              <w:widowControl w:val="0"/>
              <w:tabs>
                <w:tab w:val="left" w:pos="-720"/>
              </w:tabs>
              <w:rPr>
                <w:b/>
                <w:sz w:val="24"/>
                <w:szCs w:val="24"/>
              </w:rPr>
            </w:pPr>
          </w:p>
          <w:p w:rsidR="00C37EA6" w:rsidRDefault="00051188" w:rsidP="009D78B4">
            <w:pPr>
              <w:widowControl w:val="0"/>
              <w:tabs>
                <w:tab w:val="left" w:pos="-720"/>
              </w:tabs>
              <w:ind w:left="720"/>
              <w:rPr>
                <w:b/>
                <w:sz w:val="24"/>
                <w:szCs w:val="24"/>
              </w:rPr>
            </w:pPr>
            <w:r>
              <w:rPr>
                <w:b/>
                <w:sz w:val="24"/>
                <w:szCs w:val="24"/>
              </w:rPr>
              <w:t xml:space="preserve">Not Using CIC and PVR urine </w:t>
            </w:r>
          </w:p>
          <w:p w:rsidR="00051188" w:rsidRDefault="00051188" w:rsidP="009D78B4">
            <w:pPr>
              <w:widowControl w:val="0"/>
              <w:tabs>
                <w:tab w:val="left" w:pos="-720"/>
              </w:tabs>
              <w:ind w:left="720"/>
              <w:rPr>
                <w:b/>
                <w:sz w:val="24"/>
                <w:szCs w:val="24"/>
              </w:rPr>
            </w:pPr>
            <w:r>
              <w:rPr>
                <w:b/>
                <w:sz w:val="24"/>
                <w:szCs w:val="24"/>
              </w:rPr>
              <w:t>&lt; 200 mL</w:t>
            </w:r>
          </w:p>
        </w:tc>
        <w:tc>
          <w:tcPr>
            <w:tcW w:w="1984" w:type="dxa"/>
            <w:tcBorders>
              <w:top w:val="nil"/>
              <w:left w:val="single" w:sz="4" w:space="0" w:color="auto"/>
              <w:right w:val="single" w:sz="4" w:space="0" w:color="auto"/>
            </w:tcBorders>
          </w:tcPr>
          <w:p w:rsidR="00051188" w:rsidRDefault="00051188" w:rsidP="009D78B4">
            <w:pPr>
              <w:widowControl w:val="0"/>
              <w:tabs>
                <w:tab w:val="left" w:pos="-720"/>
              </w:tabs>
              <w:jc w:val="center"/>
              <w:rPr>
                <w:sz w:val="24"/>
                <w:szCs w:val="24"/>
              </w:rPr>
            </w:pPr>
          </w:p>
          <w:p w:rsidR="00051188" w:rsidRDefault="00051188" w:rsidP="009D78B4">
            <w:pPr>
              <w:widowControl w:val="0"/>
              <w:tabs>
                <w:tab w:val="left" w:pos="-720"/>
              </w:tabs>
              <w:jc w:val="center"/>
              <w:rPr>
                <w:sz w:val="24"/>
                <w:szCs w:val="24"/>
              </w:rPr>
            </w:pPr>
            <w:r>
              <w:rPr>
                <w:sz w:val="24"/>
                <w:szCs w:val="24"/>
              </w:rPr>
              <w:t>13.9% (5/36)</w:t>
            </w:r>
          </w:p>
        </w:tc>
        <w:tc>
          <w:tcPr>
            <w:tcW w:w="2126" w:type="dxa"/>
            <w:tcBorders>
              <w:top w:val="nil"/>
              <w:left w:val="single" w:sz="4" w:space="0" w:color="auto"/>
            </w:tcBorders>
          </w:tcPr>
          <w:p w:rsidR="00051188" w:rsidRDefault="00051188" w:rsidP="009D78B4">
            <w:pPr>
              <w:widowControl w:val="0"/>
              <w:tabs>
                <w:tab w:val="left" w:pos="-720"/>
              </w:tabs>
              <w:jc w:val="center"/>
              <w:rPr>
                <w:sz w:val="24"/>
                <w:szCs w:val="24"/>
              </w:rPr>
            </w:pPr>
          </w:p>
          <w:p w:rsidR="00051188" w:rsidRDefault="00051188" w:rsidP="009D78B4">
            <w:pPr>
              <w:widowControl w:val="0"/>
              <w:tabs>
                <w:tab w:val="left" w:pos="-720"/>
              </w:tabs>
              <w:jc w:val="center"/>
              <w:rPr>
                <w:sz w:val="24"/>
                <w:szCs w:val="24"/>
              </w:rPr>
            </w:pPr>
            <w:r>
              <w:rPr>
                <w:sz w:val="24"/>
                <w:szCs w:val="24"/>
              </w:rPr>
              <w:t>17.9% (10/56)</w:t>
            </w:r>
          </w:p>
        </w:tc>
      </w:tr>
    </w:tbl>
    <w:p w:rsidR="00051188" w:rsidRDefault="00051188" w:rsidP="009D78B4">
      <w:pPr>
        <w:widowControl w:val="0"/>
        <w:rPr>
          <w:sz w:val="22"/>
          <w:szCs w:val="22"/>
        </w:rPr>
      </w:pPr>
      <w:r>
        <w:rPr>
          <w:sz w:val="22"/>
          <w:szCs w:val="22"/>
        </w:rPr>
        <w:t>CIC = clean intermittent catheterisation; PVR = post-void residual</w:t>
      </w:r>
    </w:p>
    <w:p w:rsidR="00051188" w:rsidRDefault="00051188" w:rsidP="009D78B4">
      <w:pPr>
        <w:widowControl w:val="0"/>
        <w:rPr>
          <w:sz w:val="22"/>
          <w:szCs w:val="22"/>
        </w:rPr>
      </w:pPr>
      <w:r>
        <w:rPr>
          <w:sz w:val="22"/>
          <w:szCs w:val="22"/>
          <w:vertAlign w:val="superscript"/>
        </w:rPr>
        <w:t xml:space="preserve">a    </w:t>
      </w:r>
      <w:r>
        <w:rPr>
          <w:sz w:val="22"/>
          <w:szCs w:val="22"/>
        </w:rPr>
        <w:t>Patients who were using CIC pre-treatment continued to use it post-treatment</w:t>
      </w:r>
    </w:p>
    <w:p w:rsidR="00051188" w:rsidRDefault="00051188" w:rsidP="009D78B4">
      <w:pPr>
        <w:widowControl w:val="0"/>
        <w:ind w:right="-108"/>
        <w:rPr>
          <w:sz w:val="24"/>
        </w:rPr>
      </w:pPr>
    </w:p>
    <w:p w:rsidR="00051188" w:rsidRDefault="00051188" w:rsidP="009D78B4">
      <w:pPr>
        <w:widowControl w:val="0"/>
        <w:tabs>
          <w:tab w:val="left" w:pos="-720"/>
        </w:tabs>
        <w:rPr>
          <w:b/>
          <w:sz w:val="24"/>
          <w:lang w:val="en-GB"/>
        </w:rPr>
      </w:pPr>
      <w:r>
        <w:rPr>
          <w:b/>
          <w:sz w:val="24"/>
          <w:lang w:val="en-GB"/>
        </w:rPr>
        <w:t>Chronic Migraine</w:t>
      </w:r>
    </w:p>
    <w:p w:rsidR="00051188" w:rsidRDefault="00051188" w:rsidP="009D78B4">
      <w:pPr>
        <w:widowControl w:val="0"/>
        <w:tabs>
          <w:tab w:val="left" w:pos="-720"/>
        </w:tabs>
        <w:rPr>
          <w:sz w:val="24"/>
        </w:rPr>
      </w:pPr>
      <w:r>
        <w:rPr>
          <w:sz w:val="24"/>
        </w:rPr>
        <w:t>Safety data were compiled from two Chronic Migraine double-blind, placebo-controlled studies involving 687 patients treated with BOTOX</w:t>
      </w:r>
      <w:r>
        <w:rPr>
          <w:sz w:val="24"/>
          <w:vertAlign w:val="superscript"/>
        </w:rPr>
        <w:t>®</w:t>
      </w:r>
      <w:r>
        <w:rPr>
          <w:sz w:val="24"/>
        </w:rPr>
        <w:t xml:space="preserve">.  The following adverse reactions were reported.  </w:t>
      </w:r>
    </w:p>
    <w:p w:rsidR="00051188" w:rsidRDefault="00051188" w:rsidP="009D78B4">
      <w:pPr>
        <w:widowControl w:val="0"/>
        <w:tabs>
          <w:tab w:val="left" w:pos="-720"/>
        </w:tabs>
        <w:rPr>
          <w:sz w:val="24"/>
        </w:rPr>
      </w:pPr>
    </w:p>
    <w:p w:rsidR="00796A1F" w:rsidRDefault="00796A1F" w:rsidP="009D78B4">
      <w:pPr>
        <w:widowControl w:val="0"/>
        <w:tabs>
          <w:tab w:val="left" w:pos="-720"/>
        </w:tabs>
        <w:rPr>
          <w:sz w:val="24"/>
        </w:rPr>
      </w:pPr>
    </w:p>
    <w:p w:rsidR="00796A1F" w:rsidRDefault="00796A1F" w:rsidP="009D78B4">
      <w:pPr>
        <w:widowControl w:val="0"/>
        <w:tabs>
          <w:tab w:val="left" w:pos="-720"/>
        </w:tabs>
        <w:rPr>
          <w:sz w:val="24"/>
        </w:rPr>
      </w:pPr>
    </w:p>
    <w:p w:rsidR="00796A1F" w:rsidRDefault="00796A1F" w:rsidP="009D78B4">
      <w:pPr>
        <w:widowControl w:val="0"/>
        <w:tabs>
          <w:tab w:val="left" w:pos="-720"/>
        </w:tabs>
        <w:rPr>
          <w:sz w:val="24"/>
        </w:rPr>
      </w:pPr>
    </w:p>
    <w:p w:rsidR="00796A1F" w:rsidRDefault="00796A1F" w:rsidP="009D78B4">
      <w:pPr>
        <w:widowControl w:val="0"/>
        <w:tabs>
          <w:tab w:val="left" w:pos="-720"/>
        </w:tabs>
        <w:rPr>
          <w:sz w:val="24"/>
        </w:rPr>
      </w:pPr>
    </w:p>
    <w:p w:rsidR="00796A1F" w:rsidRDefault="00796A1F" w:rsidP="009D78B4">
      <w:pPr>
        <w:widowControl w:val="0"/>
        <w:tabs>
          <w:tab w:val="left" w:pos="-720"/>
        </w:tabs>
        <w:rPr>
          <w:sz w:val="24"/>
        </w:rPr>
      </w:pPr>
    </w:p>
    <w:p w:rsidR="00796A1F" w:rsidRDefault="00796A1F" w:rsidP="009D78B4">
      <w:pPr>
        <w:widowControl w:val="0"/>
        <w:tabs>
          <w:tab w:val="left" w:pos="-720"/>
        </w:tabs>
        <w:rPr>
          <w:sz w:val="24"/>
        </w:rPr>
      </w:pPr>
    </w:p>
    <w:p w:rsidR="00796A1F" w:rsidRDefault="00796A1F" w:rsidP="009D78B4">
      <w:pPr>
        <w:widowControl w:val="0"/>
        <w:tabs>
          <w:tab w:val="left" w:pos="-720"/>
        </w:tabs>
        <w:rPr>
          <w:sz w:val="24"/>
        </w:rPr>
      </w:pPr>
    </w:p>
    <w:p w:rsidR="00796A1F" w:rsidRDefault="00796A1F" w:rsidP="009D78B4">
      <w:pPr>
        <w:widowControl w:val="0"/>
        <w:tabs>
          <w:tab w:val="left" w:pos="-720"/>
        </w:tabs>
        <w:rPr>
          <w:sz w:val="24"/>
        </w:rPr>
      </w:pPr>
    </w:p>
    <w:p w:rsidR="00796A1F" w:rsidRDefault="00796A1F" w:rsidP="009D78B4">
      <w:pPr>
        <w:widowControl w:val="0"/>
        <w:tabs>
          <w:tab w:val="left" w:pos="-720"/>
        </w:tabs>
        <w:rPr>
          <w:sz w:val="24"/>
        </w:rPr>
      </w:pPr>
    </w:p>
    <w:p w:rsidR="00112664" w:rsidRDefault="00112664" w:rsidP="009D78B4">
      <w:pPr>
        <w:widowControl w:val="0"/>
        <w:tabs>
          <w:tab w:val="left" w:pos="-720"/>
        </w:tabs>
        <w:rPr>
          <w:sz w:val="24"/>
        </w:rPr>
      </w:pPr>
    </w:p>
    <w:p w:rsidR="00925456" w:rsidRDefault="00925456" w:rsidP="009D78B4">
      <w:pPr>
        <w:widowControl w:val="0"/>
        <w:tabs>
          <w:tab w:val="left" w:pos="-720"/>
        </w:tabs>
        <w:rPr>
          <w:sz w:val="24"/>
        </w:rPr>
      </w:pPr>
    </w:p>
    <w:p w:rsidR="00112664" w:rsidRDefault="00112664" w:rsidP="009D78B4">
      <w:pPr>
        <w:widowControl w:val="0"/>
        <w:tabs>
          <w:tab w:val="left" w:pos="-720"/>
        </w:tabs>
        <w:rPr>
          <w:sz w:val="24"/>
        </w:rPr>
      </w:pPr>
    </w:p>
    <w:p w:rsidR="00051188" w:rsidRDefault="00051188" w:rsidP="009D78B4">
      <w:pPr>
        <w:widowControl w:val="0"/>
        <w:rPr>
          <w:b/>
          <w:sz w:val="24"/>
          <w:szCs w:val="24"/>
          <w:lang w:val="en-AU"/>
        </w:rPr>
      </w:pPr>
      <w:r>
        <w:rPr>
          <w:b/>
          <w:sz w:val="24"/>
          <w:szCs w:val="24"/>
        </w:rPr>
        <w:lastRenderedPageBreak/>
        <w:t>Adverse Reactions Reported by ≥1% of BOTOX</w:t>
      </w:r>
      <w:r>
        <w:rPr>
          <w:b/>
          <w:sz w:val="22"/>
          <w:szCs w:val="22"/>
          <w:vertAlign w:val="superscript"/>
        </w:rPr>
        <w:t>®</w:t>
      </w:r>
      <w:r>
        <w:rPr>
          <w:b/>
          <w:sz w:val="24"/>
          <w:szCs w:val="24"/>
        </w:rPr>
        <w:t xml:space="preserve"> treated Patients and More Frequent than in Placebo-treated Patients</w:t>
      </w:r>
      <w:r>
        <w:rPr>
          <w:rFonts w:ascii="Times New Roman Bold" w:hAnsi="Times New Roman Bold"/>
          <w:b/>
          <w:sz w:val="24"/>
          <w:szCs w:val="24"/>
        </w:rPr>
        <w:t xml:space="preserve"> in</w:t>
      </w:r>
      <w:r>
        <w:rPr>
          <w:b/>
          <w:sz w:val="24"/>
          <w:szCs w:val="24"/>
        </w:rPr>
        <w:t xml:space="preserve"> Two Chronic Migraine Double-blind, Placebo-controlled Clinical Trials</w:t>
      </w:r>
    </w:p>
    <w:p w:rsidR="00051188" w:rsidRDefault="00051188" w:rsidP="009D78B4">
      <w:pPr>
        <w:widowControl w:val="0"/>
        <w:tabs>
          <w:tab w:val="left" w:pos="-720"/>
        </w:tabs>
        <w:rPr>
          <w:sz w:val="24"/>
        </w:rPr>
      </w:pPr>
    </w:p>
    <w:tbl>
      <w:tblPr>
        <w:tblpPr w:leftFromText="180" w:rightFromText="180" w:vertAnchor="text" w:horzAnchor="margin" w:tblpY="-51"/>
        <w:tblW w:w="8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78"/>
        <w:gridCol w:w="2098"/>
        <w:gridCol w:w="2030"/>
      </w:tblGrid>
      <w:tr w:rsidR="00051188">
        <w:trPr>
          <w:trHeight w:val="191"/>
        </w:trPr>
        <w:tc>
          <w:tcPr>
            <w:tcW w:w="4578" w:type="dxa"/>
          </w:tcPr>
          <w:p w:rsidR="00051188" w:rsidRDefault="00051188" w:rsidP="009D78B4">
            <w:pPr>
              <w:widowControl w:val="0"/>
              <w:jc w:val="center"/>
              <w:rPr>
                <w:sz w:val="22"/>
                <w:szCs w:val="22"/>
              </w:rPr>
            </w:pPr>
          </w:p>
          <w:p w:rsidR="00051188" w:rsidRDefault="00051188" w:rsidP="009D78B4">
            <w:pPr>
              <w:widowControl w:val="0"/>
              <w:jc w:val="center"/>
              <w:rPr>
                <w:sz w:val="22"/>
                <w:szCs w:val="22"/>
              </w:rPr>
            </w:pPr>
            <w:r>
              <w:rPr>
                <w:b/>
                <w:bCs/>
                <w:sz w:val="22"/>
                <w:szCs w:val="22"/>
              </w:rPr>
              <w:t>Adverse Reactions</w:t>
            </w:r>
          </w:p>
        </w:tc>
        <w:tc>
          <w:tcPr>
            <w:tcW w:w="2098" w:type="dxa"/>
          </w:tcPr>
          <w:p w:rsidR="00051188" w:rsidRDefault="00051188" w:rsidP="009D78B4">
            <w:pPr>
              <w:widowControl w:val="0"/>
              <w:ind w:left="-173" w:right="-103"/>
              <w:jc w:val="center"/>
              <w:rPr>
                <w:sz w:val="22"/>
                <w:szCs w:val="22"/>
              </w:rPr>
            </w:pPr>
            <w:r>
              <w:rPr>
                <w:b/>
                <w:caps/>
                <w:sz w:val="22"/>
                <w:szCs w:val="22"/>
              </w:rPr>
              <w:t>Botox</w:t>
            </w:r>
            <w:r>
              <w:rPr>
                <w:b/>
                <w:sz w:val="22"/>
                <w:szCs w:val="22"/>
                <w:vertAlign w:val="superscript"/>
              </w:rPr>
              <w:t>®</w:t>
            </w:r>
          </w:p>
          <w:p w:rsidR="00051188" w:rsidRDefault="00051188" w:rsidP="009D78B4">
            <w:pPr>
              <w:widowControl w:val="0"/>
              <w:ind w:left="-173" w:right="-103"/>
              <w:jc w:val="center"/>
              <w:rPr>
                <w:sz w:val="22"/>
                <w:szCs w:val="22"/>
              </w:rPr>
            </w:pPr>
            <w:r>
              <w:rPr>
                <w:b/>
                <w:bCs/>
                <w:sz w:val="22"/>
                <w:szCs w:val="22"/>
              </w:rPr>
              <w:t>N=687</w:t>
            </w:r>
          </w:p>
        </w:tc>
        <w:tc>
          <w:tcPr>
            <w:tcW w:w="2030" w:type="dxa"/>
          </w:tcPr>
          <w:p w:rsidR="00051188" w:rsidRDefault="00051188" w:rsidP="009D78B4">
            <w:pPr>
              <w:widowControl w:val="0"/>
              <w:jc w:val="center"/>
              <w:rPr>
                <w:b/>
                <w:bCs/>
                <w:sz w:val="22"/>
                <w:szCs w:val="22"/>
              </w:rPr>
            </w:pPr>
            <w:r>
              <w:rPr>
                <w:b/>
                <w:bCs/>
                <w:sz w:val="22"/>
                <w:szCs w:val="22"/>
              </w:rPr>
              <w:t>Placebo</w:t>
            </w:r>
          </w:p>
          <w:p w:rsidR="00051188" w:rsidRDefault="00051188" w:rsidP="009D78B4">
            <w:pPr>
              <w:widowControl w:val="0"/>
              <w:jc w:val="center"/>
              <w:rPr>
                <w:sz w:val="22"/>
                <w:szCs w:val="22"/>
              </w:rPr>
            </w:pPr>
            <w:r>
              <w:rPr>
                <w:b/>
                <w:bCs/>
                <w:sz w:val="22"/>
                <w:szCs w:val="22"/>
              </w:rPr>
              <w:t>N=692</w:t>
            </w:r>
          </w:p>
        </w:tc>
      </w:tr>
      <w:tr w:rsidR="00051188">
        <w:trPr>
          <w:trHeight w:val="90"/>
        </w:trPr>
        <w:tc>
          <w:tcPr>
            <w:tcW w:w="4578" w:type="dxa"/>
          </w:tcPr>
          <w:p w:rsidR="00051188" w:rsidRDefault="00051188" w:rsidP="009D78B4">
            <w:pPr>
              <w:widowControl w:val="0"/>
              <w:rPr>
                <w:rFonts w:eastAsia="MS Mincho"/>
                <w:b/>
                <w:bCs/>
                <w:sz w:val="22"/>
                <w:szCs w:val="22"/>
              </w:rPr>
            </w:pPr>
            <w:r>
              <w:rPr>
                <w:rFonts w:eastAsia="MS Mincho"/>
                <w:b/>
                <w:bCs/>
                <w:sz w:val="22"/>
                <w:szCs w:val="22"/>
              </w:rPr>
              <w:t>Nervous system disorders</w:t>
            </w:r>
          </w:p>
          <w:p w:rsidR="00051188" w:rsidRDefault="00051188" w:rsidP="009D78B4">
            <w:pPr>
              <w:widowControl w:val="0"/>
              <w:rPr>
                <w:rFonts w:eastAsia="MS Mincho"/>
                <w:bCs/>
                <w:sz w:val="22"/>
                <w:szCs w:val="22"/>
              </w:rPr>
            </w:pPr>
            <w:r>
              <w:rPr>
                <w:rFonts w:eastAsia="MS Mincho"/>
                <w:bCs/>
                <w:sz w:val="22"/>
                <w:szCs w:val="22"/>
              </w:rPr>
              <w:t xml:space="preserve">   Headache</w:t>
            </w:r>
          </w:p>
          <w:p w:rsidR="00051188" w:rsidRDefault="00051188" w:rsidP="009D78B4">
            <w:pPr>
              <w:widowControl w:val="0"/>
              <w:rPr>
                <w:rFonts w:eastAsia="MS Mincho"/>
                <w:bCs/>
                <w:sz w:val="22"/>
                <w:szCs w:val="22"/>
              </w:rPr>
            </w:pPr>
            <w:r>
              <w:rPr>
                <w:rFonts w:eastAsia="MS Mincho"/>
                <w:bCs/>
                <w:sz w:val="22"/>
                <w:szCs w:val="22"/>
              </w:rPr>
              <w:t xml:space="preserve">   Migraine</w:t>
            </w:r>
          </w:p>
          <w:p w:rsidR="00051188" w:rsidRDefault="00051188" w:rsidP="009D78B4">
            <w:pPr>
              <w:widowControl w:val="0"/>
              <w:rPr>
                <w:b/>
                <w:bCs/>
                <w:sz w:val="22"/>
                <w:szCs w:val="22"/>
              </w:rPr>
            </w:pPr>
            <w:r>
              <w:rPr>
                <w:rFonts w:eastAsia="MS Mincho"/>
                <w:bCs/>
                <w:sz w:val="22"/>
                <w:szCs w:val="22"/>
              </w:rPr>
              <w:t xml:space="preserve">   Facial paresis</w:t>
            </w:r>
          </w:p>
        </w:tc>
        <w:tc>
          <w:tcPr>
            <w:tcW w:w="2098" w:type="dxa"/>
          </w:tcPr>
          <w:p w:rsidR="00051188" w:rsidRDefault="00051188" w:rsidP="009D78B4">
            <w:pPr>
              <w:pStyle w:val="TableText10pt"/>
              <w:keepNext w:val="0"/>
              <w:widowControl w:val="0"/>
              <w:spacing w:before="0" w:after="0"/>
              <w:jc w:val="center"/>
              <w:rPr>
                <w:rFonts w:eastAsia="MS Mincho"/>
                <w:sz w:val="22"/>
                <w:szCs w:val="22"/>
              </w:rPr>
            </w:pPr>
          </w:p>
          <w:p w:rsidR="00051188" w:rsidRDefault="00051188" w:rsidP="009D78B4">
            <w:pPr>
              <w:pStyle w:val="TableText10pt"/>
              <w:keepNext w:val="0"/>
              <w:widowControl w:val="0"/>
              <w:spacing w:before="0" w:after="0"/>
              <w:jc w:val="center"/>
              <w:rPr>
                <w:rFonts w:eastAsia="MS Mincho"/>
                <w:sz w:val="22"/>
                <w:szCs w:val="22"/>
              </w:rPr>
            </w:pPr>
            <w:r>
              <w:rPr>
                <w:rFonts w:eastAsia="MS Mincho"/>
                <w:sz w:val="22"/>
                <w:szCs w:val="22"/>
              </w:rPr>
              <w:t>32 (</w:t>
            </w:r>
            <w:r>
              <w:rPr>
                <w:sz w:val="22"/>
                <w:szCs w:val="22"/>
              </w:rPr>
              <w:t>4.7</w:t>
            </w:r>
            <w:r>
              <w:rPr>
                <w:rFonts w:eastAsia="MS Mincho"/>
                <w:sz w:val="22"/>
                <w:szCs w:val="22"/>
              </w:rPr>
              <w:t>%)</w:t>
            </w:r>
          </w:p>
          <w:p w:rsidR="00051188" w:rsidRDefault="00051188" w:rsidP="009D78B4">
            <w:pPr>
              <w:pStyle w:val="TableText10pt"/>
              <w:keepNext w:val="0"/>
              <w:widowControl w:val="0"/>
              <w:spacing w:before="0" w:after="0"/>
              <w:jc w:val="center"/>
              <w:rPr>
                <w:rFonts w:eastAsia="MS Mincho"/>
                <w:kern w:val="0"/>
                <w:sz w:val="22"/>
                <w:szCs w:val="22"/>
                <w:lang w:eastAsia="en-US"/>
              </w:rPr>
            </w:pPr>
            <w:r>
              <w:rPr>
                <w:rFonts w:eastAsia="MS Mincho"/>
                <w:sz w:val="22"/>
                <w:szCs w:val="22"/>
              </w:rPr>
              <w:t>26 (</w:t>
            </w:r>
            <w:r>
              <w:rPr>
                <w:sz w:val="22"/>
                <w:szCs w:val="22"/>
              </w:rPr>
              <w:t>3.8</w:t>
            </w:r>
            <w:r>
              <w:rPr>
                <w:rFonts w:eastAsia="MS Mincho"/>
                <w:kern w:val="0"/>
                <w:sz w:val="22"/>
                <w:szCs w:val="22"/>
                <w:lang w:eastAsia="en-US"/>
              </w:rPr>
              <w:t>%)</w:t>
            </w:r>
          </w:p>
          <w:p w:rsidR="00051188" w:rsidRDefault="00051188" w:rsidP="009D78B4">
            <w:pPr>
              <w:pStyle w:val="TableText10pt"/>
              <w:keepNext w:val="0"/>
              <w:widowControl w:val="0"/>
              <w:spacing w:before="0" w:after="0"/>
              <w:jc w:val="center"/>
              <w:rPr>
                <w:sz w:val="22"/>
                <w:szCs w:val="22"/>
              </w:rPr>
            </w:pPr>
            <w:r>
              <w:rPr>
                <w:rFonts w:eastAsia="MS Mincho"/>
                <w:sz w:val="22"/>
                <w:szCs w:val="22"/>
              </w:rPr>
              <w:t>15 (</w:t>
            </w:r>
            <w:r>
              <w:rPr>
                <w:sz w:val="22"/>
                <w:szCs w:val="22"/>
              </w:rPr>
              <w:t>2.2</w:t>
            </w:r>
            <w:r>
              <w:rPr>
                <w:rFonts w:eastAsia="MS Mincho"/>
                <w:sz w:val="22"/>
                <w:szCs w:val="22"/>
              </w:rPr>
              <w:t>%)</w:t>
            </w:r>
          </w:p>
        </w:tc>
        <w:tc>
          <w:tcPr>
            <w:tcW w:w="2030" w:type="dxa"/>
          </w:tcPr>
          <w:p w:rsidR="00051188" w:rsidRDefault="00051188" w:rsidP="009D78B4">
            <w:pPr>
              <w:pStyle w:val="TableText10pt"/>
              <w:keepNext w:val="0"/>
              <w:widowControl w:val="0"/>
              <w:spacing w:before="0" w:after="0"/>
              <w:jc w:val="center"/>
              <w:rPr>
                <w:rFonts w:eastAsia="MS Mincho"/>
                <w:sz w:val="22"/>
                <w:szCs w:val="22"/>
              </w:rPr>
            </w:pPr>
          </w:p>
          <w:p w:rsidR="00051188" w:rsidRDefault="00051188" w:rsidP="009D78B4">
            <w:pPr>
              <w:pStyle w:val="TableText10pt"/>
              <w:keepNext w:val="0"/>
              <w:widowControl w:val="0"/>
              <w:spacing w:before="0" w:after="0"/>
              <w:jc w:val="center"/>
              <w:rPr>
                <w:rFonts w:eastAsia="MS Mincho"/>
                <w:sz w:val="22"/>
                <w:szCs w:val="22"/>
              </w:rPr>
            </w:pPr>
            <w:r>
              <w:rPr>
                <w:rFonts w:eastAsia="MS Mincho"/>
                <w:sz w:val="22"/>
                <w:szCs w:val="22"/>
              </w:rPr>
              <w:t>22 (</w:t>
            </w:r>
            <w:r>
              <w:rPr>
                <w:sz w:val="22"/>
                <w:szCs w:val="22"/>
              </w:rPr>
              <w:t>3.2</w:t>
            </w:r>
            <w:r>
              <w:rPr>
                <w:rFonts w:eastAsia="MS Mincho"/>
                <w:sz w:val="22"/>
                <w:szCs w:val="22"/>
              </w:rPr>
              <w:t>%)</w:t>
            </w:r>
          </w:p>
          <w:p w:rsidR="00051188" w:rsidRDefault="00051188" w:rsidP="009D78B4">
            <w:pPr>
              <w:pStyle w:val="TableText10pt"/>
              <w:keepNext w:val="0"/>
              <w:widowControl w:val="0"/>
              <w:spacing w:before="0" w:after="0"/>
              <w:jc w:val="center"/>
              <w:rPr>
                <w:rFonts w:eastAsia="MS Mincho"/>
                <w:sz w:val="22"/>
                <w:szCs w:val="22"/>
              </w:rPr>
            </w:pPr>
            <w:r>
              <w:rPr>
                <w:rFonts w:eastAsia="MS Mincho"/>
                <w:sz w:val="22"/>
                <w:szCs w:val="22"/>
              </w:rPr>
              <w:t>18 (</w:t>
            </w:r>
            <w:r>
              <w:rPr>
                <w:sz w:val="22"/>
                <w:szCs w:val="22"/>
              </w:rPr>
              <w:t>2.6</w:t>
            </w:r>
            <w:r>
              <w:rPr>
                <w:rFonts w:eastAsia="MS Mincho"/>
                <w:sz w:val="22"/>
                <w:szCs w:val="22"/>
              </w:rPr>
              <w:t>%)</w:t>
            </w:r>
          </w:p>
          <w:p w:rsidR="00051188" w:rsidRDefault="00051188" w:rsidP="009D78B4">
            <w:pPr>
              <w:pStyle w:val="TableText10pt"/>
              <w:keepNext w:val="0"/>
              <w:widowControl w:val="0"/>
              <w:spacing w:before="0" w:after="0"/>
              <w:jc w:val="center"/>
              <w:rPr>
                <w:sz w:val="22"/>
                <w:szCs w:val="22"/>
              </w:rPr>
            </w:pPr>
            <w:r>
              <w:rPr>
                <w:rFonts w:eastAsia="MS Mincho"/>
                <w:sz w:val="22"/>
                <w:szCs w:val="22"/>
              </w:rPr>
              <w:t>0 (0.0%)</w:t>
            </w:r>
          </w:p>
        </w:tc>
      </w:tr>
      <w:tr w:rsidR="00051188">
        <w:trPr>
          <w:trHeight w:val="155"/>
        </w:trPr>
        <w:tc>
          <w:tcPr>
            <w:tcW w:w="4578" w:type="dxa"/>
          </w:tcPr>
          <w:p w:rsidR="00051188" w:rsidRDefault="00051188" w:rsidP="009D78B4">
            <w:pPr>
              <w:widowControl w:val="0"/>
              <w:rPr>
                <w:rFonts w:eastAsia="MS Mincho"/>
                <w:b/>
                <w:bCs/>
                <w:sz w:val="22"/>
                <w:szCs w:val="22"/>
              </w:rPr>
            </w:pPr>
            <w:r>
              <w:rPr>
                <w:rFonts w:eastAsia="MS Mincho"/>
                <w:b/>
                <w:bCs/>
                <w:sz w:val="22"/>
                <w:szCs w:val="22"/>
              </w:rPr>
              <w:t>Eye disorders</w:t>
            </w:r>
          </w:p>
          <w:p w:rsidR="00051188" w:rsidRDefault="00051188" w:rsidP="009D78B4">
            <w:pPr>
              <w:widowControl w:val="0"/>
              <w:rPr>
                <w:b/>
                <w:bCs/>
                <w:sz w:val="22"/>
                <w:szCs w:val="22"/>
              </w:rPr>
            </w:pPr>
            <w:r>
              <w:rPr>
                <w:rFonts w:eastAsia="MS Mincho"/>
                <w:bCs/>
                <w:sz w:val="22"/>
                <w:szCs w:val="22"/>
              </w:rPr>
              <w:t xml:space="preserve">   Eyelid ptosis</w:t>
            </w:r>
          </w:p>
        </w:tc>
        <w:tc>
          <w:tcPr>
            <w:tcW w:w="2098" w:type="dxa"/>
          </w:tcPr>
          <w:p w:rsidR="00051188" w:rsidRDefault="00051188" w:rsidP="009D78B4">
            <w:pPr>
              <w:pStyle w:val="TableText10pt"/>
              <w:keepNext w:val="0"/>
              <w:widowControl w:val="0"/>
              <w:spacing w:before="0" w:after="0"/>
              <w:jc w:val="center"/>
              <w:rPr>
                <w:rFonts w:eastAsia="MS Mincho"/>
                <w:sz w:val="22"/>
                <w:szCs w:val="22"/>
              </w:rPr>
            </w:pPr>
          </w:p>
          <w:p w:rsidR="00051188" w:rsidRDefault="00051188" w:rsidP="009D78B4">
            <w:pPr>
              <w:pStyle w:val="TableText10pt"/>
              <w:keepNext w:val="0"/>
              <w:widowControl w:val="0"/>
              <w:spacing w:before="0" w:after="0"/>
              <w:jc w:val="center"/>
              <w:rPr>
                <w:sz w:val="22"/>
                <w:szCs w:val="22"/>
              </w:rPr>
            </w:pPr>
            <w:r>
              <w:rPr>
                <w:rFonts w:eastAsia="MS Mincho"/>
                <w:sz w:val="22"/>
                <w:szCs w:val="22"/>
              </w:rPr>
              <w:t>25 (</w:t>
            </w:r>
            <w:r>
              <w:rPr>
                <w:sz w:val="22"/>
                <w:szCs w:val="22"/>
              </w:rPr>
              <w:t>3.6</w:t>
            </w:r>
            <w:r>
              <w:rPr>
                <w:rFonts w:eastAsia="MS Mincho"/>
                <w:sz w:val="22"/>
                <w:szCs w:val="22"/>
              </w:rPr>
              <w:t>%)</w:t>
            </w:r>
          </w:p>
        </w:tc>
        <w:tc>
          <w:tcPr>
            <w:tcW w:w="2030" w:type="dxa"/>
          </w:tcPr>
          <w:p w:rsidR="00051188" w:rsidRDefault="00051188" w:rsidP="009D78B4">
            <w:pPr>
              <w:pStyle w:val="TableText10pt"/>
              <w:keepNext w:val="0"/>
              <w:widowControl w:val="0"/>
              <w:spacing w:before="0" w:after="0"/>
              <w:jc w:val="center"/>
              <w:rPr>
                <w:rFonts w:eastAsia="MS Mincho"/>
                <w:sz w:val="22"/>
                <w:szCs w:val="22"/>
              </w:rPr>
            </w:pPr>
          </w:p>
          <w:p w:rsidR="00051188" w:rsidRDefault="00051188" w:rsidP="009D78B4">
            <w:pPr>
              <w:pStyle w:val="TableText10pt"/>
              <w:keepNext w:val="0"/>
              <w:widowControl w:val="0"/>
              <w:spacing w:before="0" w:after="0"/>
              <w:jc w:val="center"/>
              <w:rPr>
                <w:sz w:val="22"/>
                <w:szCs w:val="22"/>
              </w:rPr>
            </w:pPr>
            <w:r>
              <w:rPr>
                <w:rFonts w:eastAsia="MS Mincho"/>
                <w:sz w:val="22"/>
                <w:szCs w:val="22"/>
              </w:rPr>
              <w:t>2 (</w:t>
            </w:r>
            <w:r>
              <w:rPr>
                <w:sz w:val="22"/>
                <w:szCs w:val="22"/>
              </w:rPr>
              <w:t>0.3</w:t>
            </w:r>
            <w:r>
              <w:rPr>
                <w:rFonts w:eastAsia="MS Mincho"/>
                <w:kern w:val="0"/>
                <w:sz w:val="22"/>
                <w:szCs w:val="22"/>
                <w:lang w:eastAsia="en-US"/>
              </w:rPr>
              <w:t>%)</w:t>
            </w:r>
          </w:p>
        </w:tc>
      </w:tr>
      <w:tr w:rsidR="00051188">
        <w:trPr>
          <w:trHeight w:val="161"/>
        </w:trPr>
        <w:tc>
          <w:tcPr>
            <w:tcW w:w="4578" w:type="dxa"/>
          </w:tcPr>
          <w:p w:rsidR="00051188" w:rsidRDefault="00051188" w:rsidP="009D78B4">
            <w:pPr>
              <w:widowControl w:val="0"/>
              <w:rPr>
                <w:rFonts w:eastAsia="MS Mincho"/>
                <w:b/>
                <w:bCs/>
                <w:sz w:val="22"/>
                <w:szCs w:val="22"/>
              </w:rPr>
            </w:pPr>
            <w:r>
              <w:rPr>
                <w:rFonts w:eastAsia="MS Mincho"/>
                <w:b/>
                <w:bCs/>
                <w:sz w:val="22"/>
                <w:szCs w:val="22"/>
              </w:rPr>
              <w:t>Musculoskeletal and connective tissue disorders</w:t>
            </w:r>
          </w:p>
          <w:p w:rsidR="00051188" w:rsidRDefault="00051188" w:rsidP="009D78B4">
            <w:pPr>
              <w:widowControl w:val="0"/>
              <w:rPr>
                <w:rFonts w:eastAsia="MS Mincho"/>
                <w:bCs/>
                <w:sz w:val="22"/>
                <w:szCs w:val="22"/>
              </w:rPr>
            </w:pPr>
            <w:r>
              <w:rPr>
                <w:rFonts w:eastAsia="MS Mincho"/>
                <w:bCs/>
                <w:sz w:val="22"/>
                <w:szCs w:val="22"/>
              </w:rPr>
              <w:t xml:space="preserve">   Neck pain</w:t>
            </w:r>
          </w:p>
          <w:p w:rsidR="00051188" w:rsidRDefault="00051188" w:rsidP="009D78B4">
            <w:pPr>
              <w:widowControl w:val="0"/>
              <w:rPr>
                <w:rFonts w:eastAsia="MS Mincho"/>
                <w:bCs/>
                <w:sz w:val="22"/>
                <w:szCs w:val="22"/>
              </w:rPr>
            </w:pPr>
            <w:r>
              <w:rPr>
                <w:rFonts w:eastAsia="MS Mincho"/>
                <w:bCs/>
                <w:sz w:val="22"/>
                <w:szCs w:val="22"/>
              </w:rPr>
              <w:t xml:space="preserve">   Musculoskeletal stiffness</w:t>
            </w:r>
          </w:p>
          <w:p w:rsidR="00051188" w:rsidRDefault="00051188" w:rsidP="009D78B4">
            <w:pPr>
              <w:widowControl w:val="0"/>
              <w:rPr>
                <w:rFonts w:eastAsia="MS Mincho"/>
                <w:bCs/>
                <w:sz w:val="22"/>
                <w:szCs w:val="22"/>
              </w:rPr>
            </w:pPr>
            <w:r>
              <w:rPr>
                <w:rFonts w:eastAsia="MS Mincho"/>
                <w:bCs/>
                <w:sz w:val="22"/>
                <w:szCs w:val="22"/>
              </w:rPr>
              <w:t xml:space="preserve">   Muscular weakness</w:t>
            </w:r>
          </w:p>
          <w:p w:rsidR="00051188" w:rsidRDefault="00051188" w:rsidP="009D78B4">
            <w:pPr>
              <w:widowControl w:val="0"/>
              <w:rPr>
                <w:rFonts w:eastAsia="MS Mincho"/>
                <w:bCs/>
                <w:sz w:val="22"/>
                <w:szCs w:val="22"/>
              </w:rPr>
            </w:pPr>
            <w:r>
              <w:rPr>
                <w:rFonts w:eastAsia="MS Mincho"/>
                <w:bCs/>
                <w:sz w:val="22"/>
                <w:szCs w:val="22"/>
              </w:rPr>
              <w:t xml:space="preserve">   Myalgia</w:t>
            </w:r>
          </w:p>
          <w:p w:rsidR="00051188" w:rsidRDefault="00051188" w:rsidP="009D78B4">
            <w:pPr>
              <w:widowControl w:val="0"/>
              <w:rPr>
                <w:rFonts w:eastAsia="MS Mincho"/>
                <w:bCs/>
                <w:sz w:val="22"/>
                <w:szCs w:val="22"/>
              </w:rPr>
            </w:pPr>
            <w:r>
              <w:rPr>
                <w:rFonts w:eastAsia="MS Mincho"/>
                <w:bCs/>
                <w:sz w:val="22"/>
                <w:szCs w:val="22"/>
              </w:rPr>
              <w:t xml:space="preserve">   Musculoskeletal pain</w:t>
            </w:r>
          </w:p>
          <w:p w:rsidR="00051188" w:rsidRDefault="00051188" w:rsidP="009D78B4">
            <w:pPr>
              <w:widowControl w:val="0"/>
              <w:rPr>
                <w:rFonts w:eastAsia="MS Mincho"/>
                <w:bCs/>
                <w:sz w:val="22"/>
                <w:szCs w:val="22"/>
              </w:rPr>
            </w:pPr>
            <w:r>
              <w:rPr>
                <w:rFonts w:eastAsia="MS Mincho"/>
                <w:bCs/>
                <w:sz w:val="22"/>
                <w:szCs w:val="22"/>
              </w:rPr>
              <w:t xml:space="preserve">   Muscle spasms   </w:t>
            </w:r>
          </w:p>
          <w:p w:rsidR="00051188" w:rsidRDefault="00051188" w:rsidP="009D78B4">
            <w:pPr>
              <w:widowControl w:val="0"/>
              <w:rPr>
                <w:b/>
                <w:bCs/>
                <w:sz w:val="22"/>
                <w:szCs w:val="22"/>
              </w:rPr>
            </w:pPr>
            <w:r>
              <w:rPr>
                <w:rFonts w:eastAsia="MS Mincho"/>
                <w:bCs/>
                <w:sz w:val="22"/>
                <w:szCs w:val="22"/>
              </w:rPr>
              <w:t xml:space="preserve">   Muscle tightness</w:t>
            </w:r>
          </w:p>
        </w:tc>
        <w:tc>
          <w:tcPr>
            <w:tcW w:w="2098" w:type="dxa"/>
          </w:tcPr>
          <w:p w:rsidR="00051188" w:rsidRDefault="00051188" w:rsidP="009D78B4">
            <w:pPr>
              <w:pStyle w:val="TableText10pt"/>
              <w:keepNext w:val="0"/>
              <w:widowControl w:val="0"/>
              <w:spacing w:before="0" w:after="0"/>
              <w:jc w:val="center"/>
              <w:rPr>
                <w:rFonts w:eastAsia="MS Mincho"/>
                <w:sz w:val="22"/>
                <w:szCs w:val="22"/>
              </w:rPr>
            </w:pPr>
          </w:p>
          <w:p w:rsidR="00051188" w:rsidRDefault="00051188" w:rsidP="009D78B4">
            <w:pPr>
              <w:pStyle w:val="TableText10pt"/>
              <w:keepNext w:val="0"/>
              <w:widowControl w:val="0"/>
              <w:spacing w:before="0" w:after="0"/>
              <w:jc w:val="center"/>
              <w:rPr>
                <w:rFonts w:eastAsia="MS Mincho"/>
                <w:sz w:val="22"/>
                <w:szCs w:val="22"/>
              </w:rPr>
            </w:pPr>
          </w:p>
          <w:p w:rsidR="00051188" w:rsidRDefault="00051188" w:rsidP="009D78B4">
            <w:pPr>
              <w:pStyle w:val="TableText10pt"/>
              <w:keepNext w:val="0"/>
              <w:widowControl w:val="0"/>
              <w:spacing w:before="0" w:after="0"/>
              <w:jc w:val="center"/>
              <w:rPr>
                <w:sz w:val="22"/>
                <w:szCs w:val="22"/>
              </w:rPr>
            </w:pPr>
            <w:r>
              <w:rPr>
                <w:sz w:val="22"/>
                <w:szCs w:val="22"/>
              </w:rPr>
              <w:t>60 (8.7%)</w:t>
            </w:r>
          </w:p>
          <w:p w:rsidR="00051188" w:rsidRDefault="00051188" w:rsidP="009D78B4">
            <w:pPr>
              <w:pStyle w:val="TableText10pt"/>
              <w:keepNext w:val="0"/>
              <w:widowControl w:val="0"/>
              <w:spacing w:before="0" w:after="0"/>
              <w:jc w:val="center"/>
              <w:rPr>
                <w:rFonts w:eastAsia="MS Mincho"/>
                <w:sz w:val="22"/>
                <w:szCs w:val="22"/>
              </w:rPr>
            </w:pPr>
            <w:r>
              <w:rPr>
                <w:rFonts w:eastAsia="MS Mincho"/>
                <w:sz w:val="22"/>
                <w:szCs w:val="22"/>
              </w:rPr>
              <w:t>25 (</w:t>
            </w:r>
            <w:r>
              <w:rPr>
                <w:sz w:val="22"/>
                <w:szCs w:val="22"/>
              </w:rPr>
              <w:t>3.6</w:t>
            </w:r>
            <w:r>
              <w:rPr>
                <w:rFonts w:eastAsia="MS Mincho"/>
                <w:sz w:val="22"/>
                <w:szCs w:val="22"/>
              </w:rPr>
              <w:t>%)</w:t>
            </w:r>
          </w:p>
          <w:p w:rsidR="00051188" w:rsidRDefault="00051188" w:rsidP="009D78B4">
            <w:pPr>
              <w:pStyle w:val="TableText10pt"/>
              <w:keepNext w:val="0"/>
              <w:widowControl w:val="0"/>
              <w:spacing w:before="0" w:after="0"/>
              <w:jc w:val="center"/>
              <w:rPr>
                <w:rFonts w:eastAsia="MS Mincho"/>
                <w:sz w:val="22"/>
                <w:szCs w:val="22"/>
              </w:rPr>
            </w:pPr>
            <w:r>
              <w:rPr>
                <w:rFonts w:eastAsia="MS Mincho"/>
                <w:sz w:val="22"/>
                <w:szCs w:val="22"/>
              </w:rPr>
              <w:t>24 (</w:t>
            </w:r>
            <w:r>
              <w:rPr>
                <w:sz w:val="22"/>
                <w:szCs w:val="22"/>
              </w:rPr>
              <w:t>3.5</w:t>
            </w:r>
            <w:r>
              <w:rPr>
                <w:rFonts w:eastAsia="MS Mincho"/>
                <w:sz w:val="22"/>
                <w:szCs w:val="22"/>
              </w:rPr>
              <w:t>%)</w:t>
            </w:r>
          </w:p>
          <w:p w:rsidR="00051188" w:rsidRDefault="00051188" w:rsidP="009D78B4">
            <w:pPr>
              <w:pStyle w:val="TableText10pt"/>
              <w:keepNext w:val="0"/>
              <w:widowControl w:val="0"/>
              <w:spacing w:before="0" w:after="0"/>
              <w:jc w:val="center"/>
              <w:rPr>
                <w:rFonts w:eastAsia="MS Mincho"/>
                <w:sz w:val="22"/>
                <w:szCs w:val="22"/>
              </w:rPr>
            </w:pPr>
            <w:r>
              <w:rPr>
                <w:rFonts w:eastAsia="MS Mincho"/>
                <w:sz w:val="22"/>
                <w:szCs w:val="22"/>
              </w:rPr>
              <w:t>21 (</w:t>
            </w:r>
            <w:r>
              <w:rPr>
                <w:sz w:val="22"/>
                <w:szCs w:val="22"/>
              </w:rPr>
              <w:t>3.1</w:t>
            </w:r>
            <w:r>
              <w:rPr>
                <w:rFonts w:eastAsia="MS Mincho"/>
                <w:sz w:val="22"/>
                <w:szCs w:val="22"/>
              </w:rPr>
              <w:t>%)</w:t>
            </w:r>
          </w:p>
          <w:p w:rsidR="00051188" w:rsidRDefault="00051188" w:rsidP="009D78B4">
            <w:pPr>
              <w:pStyle w:val="TableText10pt"/>
              <w:keepNext w:val="0"/>
              <w:widowControl w:val="0"/>
              <w:spacing w:before="0" w:after="0"/>
              <w:jc w:val="center"/>
              <w:rPr>
                <w:rFonts w:eastAsia="MS Mincho"/>
                <w:sz w:val="22"/>
                <w:szCs w:val="22"/>
              </w:rPr>
            </w:pPr>
            <w:r>
              <w:rPr>
                <w:rFonts w:eastAsia="MS Mincho"/>
                <w:sz w:val="22"/>
                <w:szCs w:val="22"/>
              </w:rPr>
              <w:t>18 (</w:t>
            </w:r>
            <w:r>
              <w:rPr>
                <w:sz w:val="22"/>
                <w:szCs w:val="22"/>
              </w:rPr>
              <w:t>2.6</w:t>
            </w:r>
            <w:r>
              <w:rPr>
                <w:rFonts w:eastAsia="MS Mincho"/>
                <w:sz w:val="22"/>
                <w:szCs w:val="22"/>
              </w:rPr>
              <w:t>%)</w:t>
            </w:r>
          </w:p>
          <w:p w:rsidR="00051188" w:rsidRDefault="00051188" w:rsidP="009D78B4">
            <w:pPr>
              <w:pStyle w:val="TableText10pt"/>
              <w:keepNext w:val="0"/>
              <w:widowControl w:val="0"/>
              <w:spacing w:before="0" w:after="0"/>
              <w:jc w:val="center"/>
              <w:rPr>
                <w:rFonts w:eastAsia="MS Mincho"/>
                <w:sz w:val="22"/>
                <w:szCs w:val="22"/>
              </w:rPr>
            </w:pPr>
            <w:r>
              <w:rPr>
                <w:rFonts w:eastAsia="MS Mincho"/>
                <w:sz w:val="22"/>
                <w:szCs w:val="22"/>
              </w:rPr>
              <w:t>13 (</w:t>
            </w:r>
            <w:r>
              <w:rPr>
                <w:sz w:val="22"/>
                <w:szCs w:val="22"/>
              </w:rPr>
              <w:t>1.9</w:t>
            </w:r>
            <w:r>
              <w:rPr>
                <w:rFonts w:eastAsia="MS Mincho"/>
                <w:sz w:val="22"/>
                <w:szCs w:val="22"/>
              </w:rPr>
              <w:t>%)</w:t>
            </w:r>
          </w:p>
          <w:p w:rsidR="00051188" w:rsidRDefault="00051188" w:rsidP="009D78B4">
            <w:pPr>
              <w:pStyle w:val="TableText10pt"/>
              <w:keepNext w:val="0"/>
              <w:widowControl w:val="0"/>
              <w:spacing w:before="0" w:after="0"/>
              <w:jc w:val="center"/>
              <w:rPr>
                <w:sz w:val="22"/>
                <w:szCs w:val="22"/>
              </w:rPr>
            </w:pPr>
            <w:r>
              <w:rPr>
                <w:rFonts w:eastAsia="MS Mincho"/>
                <w:sz w:val="22"/>
                <w:szCs w:val="22"/>
              </w:rPr>
              <w:t>9 (1.3%)</w:t>
            </w:r>
          </w:p>
        </w:tc>
        <w:tc>
          <w:tcPr>
            <w:tcW w:w="2030" w:type="dxa"/>
          </w:tcPr>
          <w:p w:rsidR="00051188" w:rsidRDefault="00051188" w:rsidP="009D78B4">
            <w:pPr>
              <w:pStyle w:val="TableText10pt"/>
              <w:keepNext w:val="0"/>
              <w:widowControl w:val="0"/>
              <w:spacing w:before="0" w:after="0"/>
              <w:jc w:val="center"/>
              <w:rPr>
                <w:rFonts w:eastAsia="MS Mincho"/>
                <w:sz w:val="22"/>
                <w:szCs w:val="22"/>
              </w:rPr>
            </w:pPr>
          </w:p>
          <w:p w:rsidR="00051188" w:rsidRDefault="00051188" w:rsidP="009D78B4">
            <w:pPr>
              <w:pStyle w:val="TableText10pt"/>
              <w:keepNext w:val="0"/>
              <w:widowControl w:val="0"/>
              <w:spacing w:before="0" w:after="0"/>
              <w:jc w:val="center"/>
              <w:rPr>
                <w:rFonts w:eastAsia="MS Mincho"/>
                <w:sz w:val="22"/>
                <w:szCs w:val="22"/>
              </w:rPr>
            </w:pPr>
          </w:p>
          <w:p w:rsidR="00051188" w:rsidRDefault="00051188" w:rsidP="009D78B4">
            <w:pPr>
              <w:pStyle w:val="TableText10pt"/>
              <w:keepNext w:val="0"/>
              <w:widowControl w:val="0"/>
              <w:spacing w:before="0" w:after="0"/>
              <w:jc w:val="center"/>
              <w:rPr>
                <w:rFonts w:eastAsia="MS Mincho"/>
                <w:sz w:val="22"/>
                <w:szCs w:val="22"/>
              </w:rPr>
            </w:pPr>
            <w:r>
              <w:rPr>
                <w:rFonts w:eastAsia="MS Mincho"/>
                <w:sz w:val="22"/>
                <w:szCs w:val="22"/>
              </w:rPr>
              <w:t>19 (</w:t>
            </w:r>
            <w:r>
              <w:rPr>
                <w:sz w:val="22"/>
                <w:szCs w:val="22"/>
              </w:rPr>
              <w:t>2.7</w:t>
            </w:r>
            <w:r>
              <w:rPr>
                <w:rFonts w:eastAsia="MS Mincho"/>
                <w:sz w:val="22"/>
                <w:szCs w:val="22"/>
              </w:rPr>
              <w:t>%)</w:t>
            </w:r>
          </w:p>
          <w:p w:rsidR="00051188" w:rsidRDefault="00051188" w:rsidP="009D78B4">
            <w:pPr>
              <w:pStyle w:val="TableText10pt"/>
              <w:keepNext w:val="0"/>
              <w:widowControl w:val="0"/>
              <w:spacing w:before="0" w:after="0"/>
              <w:jc w:val="center"/>
              <w:rPr>
                <w:rFonts w:eastAsia="MS Mincho"/>
                <w:sz w:val="22"/>
                <w:szCs w:val="22"/>
              </w:rPr>
            </w:pPr>
            <w:r>
              <w:rPr>
                <w:rFonts w:eastAsia="MS Mincho"/>
                <w:sz w:val="22"/>
                <w:szCs w:val="22"/>
              </w:rPr>
              <w:t>6 (</w:t>
            </w:r>
            <w:r>
              <w:rPr>
                <w:sz w:val="22"/>
                <w:szCs w:val="22"/>
              </w:rPr>
              <w:t>0.9</w:t>
            </w:r>
            <w:r>
              <w:rPr>
                <w:rFonts w:eastAsia="MS Mincho"/>
                <w:sz w:val="22"/>
                <w:szCs w:val="22"/>
              </w:rPr>
              <w:t>%)</w:t>
            </w:r>
          </w:p>
          <w:p w:rsidR="00051188" w:rsidRDefault="00051188" w:rsidP="009D78B4">
            <w:pPr>
              <w:pStyle w:val="TableText10pt"/>
              <w:keepNext w:val="0"/>
              <w:widowControl w:val="0"/>
              <w:spacing w:before="0" w:after="0"/>
              <w:jc w:val="center"/>
              <w:rPr>
                <w:rFonts w:eastAsia="MS Mincho"/>
                <w:sz w:val="22"/>
                <w:szCs w:val="22"/>
              </w:rPr>
            </w:pPr>
            <w:r>
              <w:rPr>
                <w:rFonts w:eastAsia="MS Mincho"/>
                <w:sz w:val="22"/>
                <w:szCs w:val="22"/>
              </w:rPr>
              <w:t>2 (</w:t>
            </w:r>
            <w:r>
              <w:rPr>
                <w:sz w:val="22"/>
                <w:szCs w:val="22"/>
              </w:rPr>
              <w:t>0.3</w:t>
            </w:r>
            <w:r>
              <w:rPr>
                <w:rFonts w:eastAsia="MS Mincho"/>
                <w:sz w:val="22"/>
                <w:szCs w:val="22"/>
              </w:rPr>
              <w:t>%)</w:t>
            </w:r>
          </w:p>
          <w:p w:rsidR="00051188" w:rsidRDefault="00051188" w:rsidP="009D78B4">
            <w:pPr>
              <w:pStyle w:val="TableText10pt"/>
              <w:keepNext w:val="0"/>
              <w:widowControl w:val="0"/>
              <w:spacing w:before="0" w:after="0"/>
              <w:jc w:val="center"/>
              <w:rPr>
                <w:rFonts w:eastAsia="MS Mincho"/>
                <w:sz w:val="22"/>
                <w:szCs w:val="22"/>
              </w:rPr>
            </w:pPr>
            <w:r>
              <w:rPr>
                <w:rFonts w:eastAsia="MS Mincho"/>
                <w:sz w:val="22"/>
                <w:szCs w:val="22"/>
              </w:rPr>
              <w:t>6 (</w:t>
            </w:r>
            <w:r>
              <w:rPr>
                <w:sz w:val="22"/>
                <w:szCs w:val="22"/>
              </w:rPr>
              <w:t>0.9</w:t>
            </w:r>
            <w:r>
              <w:rPr>
                <w:rFonts w:eastAsia="MS Mincho"/>
                <w:sz w:val="22"/>
                <w:szCs w:val="22"/>
              </w:rPr>
              <w:t>%)</w:t>
            </w:r>
          </w:p>
          <w:p w:rsidR="00051188" w:rsidRDefault="00051188" w:rsidP="009D78B4">
            <w:pPr>
              <w:pStyle w:val="TableText10pt"/>
              <w:keepNext w:val="0"/>
              <w:widowControl w:val="0"/>
              <w:spacing w:before="0" w:after="0"/>
              <w:jc w:val="center"/>
              <w:rPr>
                <w:rFonts w:eastAsia="MS Mincho"/>
                <w:sz w:val="22"/>
                <w:szCs w:val="22"/>
              </w:rPr>
            </w:pPr>
            <w:r>
              <w:rPr>
                <w:rFonts w:eastAsia="MS Mincho"/>
                <w:sz w:val="22"/>
                <w:szCs w:val="22"/>
              </w:rPr>
              <w:t>10 (</w:t>
            </w:r>
            <w:r>
              <w:rPr>
                <w:sz w:val="22"/>
                <w:szCs w:val="22"/>
              </w:rPr>
              <w:t>1.4</w:t>
            </w:r>
            <w:r>
              <w:rPr>
                <w:rFonts w:eastAsia="MS Mincho"/>
                <w:sz w:val="22"/>
                <w:szCs w:val="22"/>
              </w:rPr>
              <w:t>%)</w:t>
            </w:r>
          </w:p>
          <w:p w:rsidR="00051188" w:rsidRDefault="00051188" w:rsidP="009D78B4">
            <w:pPr>
              <w:pStyle w:val="TableText10pt"/>
              <w:keepNext w:val="0"/>
              <w:widowControl w:val="0"/>
              <w:spacing w:before="0" w:after="0"/>
              <w:jc w:val="center"/>
              <w:rPr>
                <w:rFonts w:eastAsia="MS Mincho"/>
                <w:sz w:val="22"/>
                <w:szCs w:val="22"/>
              </w:rPr>
            </w:pPr>
            <w:r>
              <w:rPr>
                <w:rFonts w:eastAsia="MS Mincho"/>
                <w:sz w:val="22"/>
                <w:szCs w:val="22"/>
              </w:rPr>
              <w:t>6 (</w:t>
            </w:r>
            <w:r>
              <w:rPr>
                <w:sz w:val="22"/>
                <w:szCs w:val="22"/>
              </w:rPr>
              <w:t>0.9</w:t>
            </w:r>
            <w:r>
              <w:rPr>
                <w:rFonts w:eastAsia="MS Mincho"/>
                <w:sz w:val="22"/>
                <w:szCs w:val="22"/>
              </w:rPr>
              <w:t>%)</w:t>
            </w:r>
          </w:p>
          <w:p w:rsidR="00051188" w:rsidRDefault="00051188" w:rsidP="009D78B4">
            <w:pPr>
              <w:pStyle w:val="TableText10pt"/>
              <w:keepNext w:val="0"/>
              <w:widowControl w:val="0"/>
              <w:spacing w:before="0" w:after="0"/>
              <w:jc w:val="center"/>
              <w:rPr>
                <w:sz w:val="22"/>
                <w:szCs w:val="22"/>
              </w:rPr>
            </w:pPr>
            <w:r>
              <w:rPr>
                <w:rFonts w:eastAsia="MS Mincho"/>
                <w:sz w:val="22"/>
                <w:szCs w:val="22"/>
              </w:rPr>
              <w:t>3 (0.4%)</w:t>
            </w:r>
          </w:p>
        </w:tc>
      </w:tr>
      <w:tr w:rsidR="00051188">
        <w:trPr>
          <w:trHeight w:val="161"/>
        </w:trPr>
        <w:tc>
          <w:tcPr>
            <w:tcW w:w="4578" w:type="dxa"/>
          </w:tcPr>
          <w:p w:rsidR="00051188" w:rsidRDefault="00051188" w:rsidP="009D78B4">
            <w:pPr>
              <w:widowControl w:val="0"/>
              <w:rPr>
                <w:rFonts w:eastAsia="MS Mincho"/>
                <w:b/>
                <w:bCs/>
                <w:sz w:val="22"/>
                <w:szCs w:val="22"/>
              </w:rPr>
            </w:pPr>
            <w:r>
              <w:rPr>
                <w:rFonts w:eastAsia="MS Mincho"/>
                <w:b/>
                <w:bCs/>
                <w:sz w:val="22"/>
                <w:szCs w:val="22"/>
              </w:rPr>
              <w:t>General disorders and administration site conditions</w:t>
            </w:r>
          </w:p>
          <w:p w:rsidR="00051188" w:rsidRDefault="00051188" w:rsidP="009D78B4">
            <w:pPr>
              <w:widowControl w:val="0"/>
              <w:rPr>
                <w:b/>
                <w:bCs/>
                <w:sz w:val="22"/>
                <w:szCs w:val="22"/>
              </w:rPr>
            </w:pPr>
            <w:r>
              <w:rPr>
                <w:rFonts w:eastAsia="MS Mincho"/>
                <w:bCs/>
                <w:sz w:val="22"/>
                <w:szCs w:val="22"/>
              </w:rPr>
              <w:t xml:space="preserve">   Injection site pain</w:t>
            </w:r>
          </w:p>
        </w:tc>
        <w:tc>
          <w:tcPr>
            <w:tcW w:w="2098" w:type="dxa"/>
          </w:tcPr>
          <w:p w:rsidR="00051188" w:rsidRDefault="00051188" w:rsidP="009D78B4">
            <w:pPr>
              <w:pStyle w:val="TableText10pt"/>
              <w:keepNext w:val="0"/>
              <w:widowControl w:val="0"/>
              <w:spacing w:before="0" w:after="0"/>
              <w:jc w:val="center"/>
              <w:rPr>
                <w:rFonts w:eastAsia="MS Mincho"/>
                <w:sz w:val="22"/>
                <w:szCs w:val="22"/>
              </w:rPr>
            </w:pPr>
          </w:p>
          <w:p w:rsidR="00051188" w:rsidRDefault="00051188" w:rsidP="009D78B4">
            <w:pPr>
              <w:pStyle w:val="TableText10pt"/>
              <w:keepNext w:val="0"/>
              <w:widowControl w:val="0"/>
              <w:spacing w:before="0" w:after="0"/>
              <w:jc w:val="center"/>
              <w:rPr>
                <w:rFonts w:eastAsia="MS Mincho"/>
                <w:sz w:val="22"/>
                <w:szCs w:val="22"/>
              </w:rPr>
            </w:pPr>
          </w:p>
          <w:p w:rsidR="00051188" w:rsidRDefault="00051188" w:rsidP="009D78B4">
            <w:pPr>
              <w:pStyle w:val="TableText10pt"/>
              <w:keepNext w:val="0"/>
              <w:widowControl w:val="0"/>
              <w:spacing w:before="0" w:after="0"/>
              <w:jc w:val="center"/>
              <w:rPr>
                <w:sz w:val="22"/>
                <w:szCs w:val="22"/>
              </w:rPr>
            </w:pPr>
            <w:r>
              <w:rPr>
                <w:rFonts w:eastAsia="MS Mincho"/>
                <w:sz w:val="22"/>
                <w:szCs w:val="22"/>
              </w:rPr>
              <w:t>23 (</w:t>
            </w:r>
            <w:r>
              <w:rPr>
                <w:sz w:val="22"/>
                <w:szCs w:val="22"/>
              </w:rPr>
              <w:t>3.3</w:t>
            </w:r>
            <w:r>
              <w:rPr>
                <w:rFonts w:eastAsia="MS Mincho"/>
                <w:sz w:val="22"/>
                <w:szCs w:val="22"/>
              </w:rPr>
              <w:t>%)</w:t>
            </w:r>
          </w:p>
        </w:tc>
        <w:tc>
          <w:tcPr>
            <w:tcW w:w="2030" w:type="dxa"/>
          </w:tcPr>
          <w:p w:rsidR="00051188" w:rsidRDefault="00051188" w:rsidP="009D78B4">
            <w:pPr>
              <w:pStyle w:val="TableText10pt"/>
              <w:keepNext w:val="0"/>
              <w:widowControl w:val="0"/>
              <w:spacing w:before="0" w:after="0"/>
              <w:jc w:val="center"/>
              <w:rPr>
                <w:rFonts w:eastAsia="MS Mincho"/>
                <w:sz w:val="22"/>
                <w:szCs w:val="22"/>
              </w:rPr>
            </w:pPr>
          </w:p>
          <w:p w:rsidR="00051188" w:rsidRDefault="00051188" w:rsidP="009D78B4">
            <w:pPr>
              <w:pStyle w:val="TableText10pt"/>
              <w:keepNext w:val="0"/>
              <w:widowControl w:val="0"/>
              <w:spacing w:before="0" w:after="0"/>
              <w:jc w:val="center"/>
              <w:rPr>
                <w:rFonts w:eastAsia="MS Mincho"/>
                <w:sz w:val="22"/>
                <w:szCs w:val="22"/>
              </w:rPr>
            </w:pPr>
          </w:p>
          <w:p w:rsidR="00051188" w:rsidRDefault="00051188" w:rsidP="009D78B4">
            <w:pPr>
              <w:pStyle w:val="TableText10pt"/>
              <w:keepNext w:val="0"/>
              <w:widowControl w:val="0"/>
              <w:spacing w:before="0" w:after="0"/>
              <w:jc w:val="center"/>
              <w:rPr>
                <w:sz w:val="22"/>
                <w:szCs w:val="22"/>
              </w:rPr>
            </w:pPr>
            <w:r>
              <w:rPr>
                <w:rFonts w:eastAsia="MS Mincho"/>
                <w:sz w:val="22"/>
                <w:szCs w:val="22"/>
              </w:rPr>
              <w:t>14 (</w:t>
            </w:r>
            <w:r>
              <w:rPr>
                <w:sz w:val="22"/>
                <w:szCs w:val="22"/>
              </w:rPr>
              <w:t>2.0</w:t>
            </w:r>
            <w:r>
              <w:rPr>
                <w:rFonts w:eastAsia="MS Mincho"/>
                <w:sz w:val="22"/>
                <w:szCs w:val="22"/>
              </w:rPr>
              <w:t>%)</w:t>
            </w:r>
          </w:p>
        </w:tc>
      </w:tr>
      <w:tr w:rsidR="00051188">
        <w:trPr>
          <w:trHeight w:val="155"/>
        </w:trPr>
        <w:tc>
          <w:tcPr>
            <w:tcW w:w="4578" w:type="dxa"/>
          </w:tcPr>
          <w:p w:rsidR="00051188" w:rsidRDefault="00051188" w:rsidP="009D78B4">
            <w:pPr>
              <w:widowControl w:val="0"/>
              <w:rPr>
                <w:b/>
                <w:bCs/>
                <w:sz w:val="22"/>
                <w:szCs w:val="22"/>
              </w:rPr>
            </w:pPr>
            <w:r>
              <w:rPr>
                <w:b/>
                <w:bCs/>
                <w:sz w:val="22"/>
                <w:szCs w:val="22"/>
              </w:rPr>
              <w:t>Skin and subcutaneous tissue disorders</w:t>
            </w:r>
          </w:p>
          <w:p w:rsidR="00051188" w:rsidRDefault="00051188" w:rsidP="009D78B4">
            <w:pPr>
              <w:widowControl w:val="0"/>
              <w:rPr>
                <w:bCs/>
                <w:sz w:val="22"/>
                <w:szCs w:val="22"/>
              </w:rPr>
            </w:pPr>
            <w:r>
              <w:rPr>
                <w:bCs/>
                <w:sz w:val="22"/>
                <w:szCs w:val="22"/>
              </w:rPr>
              <w:t xml:space="preserve">   Pruritus</w:t>
            </w:r>
          </w:p>
          <w:p w:rsidR="00051188" w:rsidRDefault="00051188" w:rsidP="009D78B4">
            <w:pPr>
              <w:widowControl w:val="0"/>
              <w:rPr>
                <w:bCs/>
                <w:sz w:val="22"/>
                <w:szCs w:val="22"/>
              </w:rPr>
            </w:pPr>
            <w:r>
              <w:rPr>
                <w:bCs/>
                <w:sz w:val="22"/>
                <w:szCs w:val="22"/>
              </w:rPr>
              <w:t xml:space="preserve">   Rash</w:t>
            </w:r>
          </w:p>
        </w:tc>
        <w:tc>
          <w:tcPr>
            <w:tcW w:w="2098" w:type="dxa"/>
          </w:tcPr>
          <w:p w:rsidR="00051188" w:rsidRDefault="00051188" w:rsidP="009D78B4">
            <w:pPr>
              <w:pStyle w:val="TableText10pt"/>
              <w:keepNext w:val="0"/>
              <w:widowControl w:val="0"/>
              <w:spacing w:before="0" w:after="0"/>
              <w:jc w:val="center"/>
              <w:rPr>
                <w:sz w:val="22"/>
                <w:szCs w:val="22"/>
              </w:rPr>
            </w:pPr>
          </w:p>
          <w:p w:rsidR="00051188" w:rsidRDefault="00051188" w:rsidP="009D78B4">
            <w:pPr>
              <w:pStyle w:val="TableText10pt"/>
              <w:keepNext w:val="0"/>
              <w:widowControl w:val="0"/>
              <w:spacing w:before="0" w:after="0"/>
              <w:jc w:val="center"/>
              <w:rPr>
                <w:sz w:val="22"/>
                <w:szCs w:val="22"/>
              </w:rPr>
            </w:pPr>
          </w:p>
          <w:p w:rsidR="00051188" w:rsidRDefault="00051188" w:rsidP="009D78B4">
            <w:pPr>
              <w:pStyle w:val="TableText10pt"/>
              <w:keepNext w:val="0"/>
              <w:widowControl w:val="0"/>
              <w:spacing w:before="0" w:after="0"/>
              <w:jc w:val="center"/>
              <w:rPr>
                <w:sz w:val="22"/>
                <w:szCs w:val="22"/>
              </w:rPr>
            </w:pPr>
            <w:r>
              <w:rPr>
                <w:sz w:val="22"/>
                <w:szCs w:val="22"/>
              </w:rPr>
              <w:t>7 (1.0%)</w:t>
            </w:r>
          </w:p>
          <w:p w:rsidR="00051188" w:rsidRDefault="00051188" w:rsidP="009D78B4">
            <w:pPr>
              <w:pStyle w:val="TableText10pt"/>
              <w:keepNext w:val="0"/>
              <w:widowControl w:val="0"/>
              <w:spacing w:before="0" w:after="0"/>
              <w:jc w:val="center"/>
              <w:rPr>
                <w:sz w:val="22"/>
                <w:szCs w:val="22"/>
              </w:rPr>
            </w:pPr>
            <w:r>
              <w:rPr>
                <w:sz w:val="22"/>
                <w:szCs w:val="22"/>
              </w:rPr>
              <w:t>7 (1.0%)</w:t>
            </w:r>
          </w:p>
        </w:tc>
        <w:tc>
          <w:tcPr>
            <w:tcW w:w="2030" w:type="dxa"/>
          </w:tcPr>
          <w:p w:rsidR="00051188" w:rsidRDefault="00051188" w:rsidP="009D78B4">
            <w:pPr>
              <w:pStyle w:val="TableText10pt"/>
              <w:keepNext w:val="0"/>
              <w:widowControl w:val="0"/>
              <w:spacing w:before="0" w:after="0"/>
              <w:jc w:val="center"/>
              <w:rPr>
                <w:sz w:val="22"/>
                <w:szCs w:val="22"/>
              </w:rPr>
            </w:pPr>
          </w:p>
          <w:p w:rsidR="00051188" w:rsidRDefault="00051188" w:rsidP="009D78B4">
            <w:pPr>
              <w:pStyle w:val="TableText10pt"/>
              <w:keepNext w:val="0"/>
              <w:widowControl w:val="0"/>
              <w:spacing w:before="0" w:after="0"/>
              <w:jc w:val="center"/>
              <w:rPr>
                <w:sz w:val="22"/>
                <w:szCs w:val="22"/>
              </w:rPr>
            </w:pPr>
          </w:p>
          <w:p w:rsidR="00051188" w:rsidRDefault="00051188" w:rsidP="009D78B4">
            <w:pPr>
              <w:pStyle w:val="TableText10pt"/>
              <w:keepNext w:val="0"/>
              <w:widowControl w:val="0"/>
              <w:spacing w:before="0" w:after="0"/>
              <w:jc w:val="center"/>
              <w:rPr>
                <w:sz w:val="22"/>
                <w:szCs w:val="22"/>
              </w:rPr>
            </w:pPr>
            <w:r>
              <w:rPr>
                <w:sz w:val="22"/>
                <w:szCs w:val="22"/>
              </w:rPr>
              <w:t>2 (0.3%)</w:t>
            </w:r>
          </w:p>
          <w:p w:rsidR="00051188" w:rsidRDefault="00051188" w:rsidP="009D78B4">
            <w:pPr>
              <w:pStyle w:val="TableText10pt"/>
              <w:keepNext w:val="0"/>
              <w:widowControl w:val="0"/>
              <w:spacing w:before="0" w:after="0"/>
              <w:jc w:val="center"/>
              <w:rPr>
                <w:sz w:val="22"/>
                <w:szCs w:val="22"/>
              </w:rPr>
            </w:pPr>
            <w:r>
              <w:rPr>
                <w:sz w:val="22"/>
                <w:szCs w:val="22"/>
              </w:rPr>
              <w:t>6 (0.9%)</w:t>
            </w:r>
          </w:p>
        </w:tc>
      </w:tr>
    </w:tbl>
    <w:p w:rsidR="00051188" w:rsidRDefault="00051188" w:rsidP="009D78B4">
      <w:pPr>
        <w:widowControl w:val="0"/>
        <w:tabs>
          <w:tab w:val="left" w:pos="-720"/>
        </w:tabs>
        <w:rPr>
          <w:sz w:val="24"/>
        </w:rPr>
      </w:pPr>
      <w:r>
        <w:rPr>
          <w:sz w:val="24"/>
        </w:rPr>
        <w:t>Migraine, including worsening migraine, was reported in 3.8% of BOTOX</w:t>
      </w:r>
      <w:r>
        <w:rPr>
          <w:sz w:val="24"/>
          <w:vertAlign w:val="superscript"/>
        </w:rPr>
        <w:t>®</w:t>
      </w:r>
      <w:r>
        <w:rPr>
          <w:sz w:val="24"/>
        </w:rPr>
        <w:t xml:space="preserve"> and 2.6% of placebo (saline) patients, typically occurring within the first month after treatment.  These reactions did not consistently reoccur with subsequent treatment cycles, and the overall incidence decreased with repeated treatments.</w:t>
      </w:r>
    </w:p>
    <w:p w:rsidR="00051188" w:rsidRDefault="00051188" w:rsidP="009D78B4">
      <w:pPr>
        <w:widowControl w:val="0"/>
        <w:tabs>
          <w:tab w:val="left" w:pos="-720"/>
        </w:tabs>
        <w:rPr>
          <w:sz w:val="24"/>
        </w:rPr>
      </w:pPr>
    </w:p>
    <w:p w:rsidR="00051188" w:rsidRDefault="00051188" w:rsidP="009D78B4">
      <w:pPr>
        <w:widowControl w:val="0"/>
        <w:tabs>
          <w:tab w:val="left" w:pos="-720"/>
        </w:tabs>
        <w:rPr>
          <w:sz w:val="24"/>
        </w:rPr>
      </w:pPr>
      <w:r>
        <w:rPr>
          <w:sz w:val="24"/>
        </w:rPr>
        <w:t>Other adverse reactions reported more frequently in the BOTOX</w:t>
      </w:r>
      <w:r>
        <w:rPr>
          <w:sz w:val="24"/>
          <w:vertAlign w:val="superscript"/>
        </w:rPr>
        <w:t>®</w:t>
      </w:r>
      <w:r>
        <w:rPr>
          <w:sz w:val="24"/>
        </w:rPr>
        <w:t xml:space="preserve"> group compared to the placebo group at a frequency less than 1% include: dysphagia, pain in jaw, and pain of skin.</w:t>
      </w:r>
    </w:p>
    <w:p w:rsidR="00051188" w:rsidRDefault="00051188" w:rsidP="009D78B4">
      <w:pPr>
        <w:widowControl w:val="0"/>
        <w:tabs>
          <w:tab w:val="left" w:pos="-720"/>
        </w:tabs>
        <w:rPr>
          <w:sz w:val="24"/>
        </w:rPr>
      </w:pPr>
    </w:p>
    <w:p w:rsidR="00051188" w:rsidRDefault="00051188" w:rsidP="009D78B4">
      <w:pPr>
        <w:widowControl w:val="0"/>
        <w:tabs>
          <w:tab w:val="left" w:pos="-720"/>
        </w:tabs>
        <w:rPr>
          <w:sz w:val="24"/>
        </w:rPr>
      </w:pPr>
      <w:r>
        <w:rPr>
          <w:sz w:val="24"/>
        </w:rPr>
        <w:t>The discontinuation rate due to adverse events in these phase 3 trials was 3.8% for BOTOX</w:t>
      </w:r>
      <w:r>
        <w:rPr>
          <w:sz w:val="24"/>
          <w:vertAlign w:val="superscript"/>
        </w:rPr>
        <w:t>®</w:t>
      </w:r>
      <w:r>
        <w:rPr>
          <w:sz w:val="24"/>
        </w:rPr>
        <w:t xml:space="preserve"> vs. 1.2% for placebo (saline).</w:t>
      </w:r>
    </w:p>
    <w:p w:rsidR="00051188" w:rsidRDefault="00051188" w:rsidP="009D78B4">
      <w:pPr>
        <w:widowControl w:val="0"/>
        <w:tabs>
          <w:tab w:val="left" w:pos="-720"/>
        </w:tabs>
        <w:rPr>
          <w:b/>
          <w:sz w:val="24"/>
          <w:lang w:val="en-GB"/>
        </w:rPr>
      </w:pPr>
    </w:p>
    <w:p w:rsidR="00051188" w:rsidRDefault="00051188" w:rsidP="009D78B4">
      <w:pPr>
        <w:widowControl w:val="0"/>
        <w:tabs>
          <w:tab w:val="left" w:pos="-720"/>
        </w:tabs>
        <w:rPr>
          <w:b/>
          <w:sz w:val="24"/>
          <w:lang w:val="en-GB"/>
        </w:rPr>
      </w:pPr>
      <w:r>
        <w:rPr>
          <w:b/>
          <w:sz w:val="24"/>
          <w:lang w:val="en-GB"/>
        </w:rPr>
        <w:t>Blepharospasm</w:t>
      </w:r>
    </w:p>
    <w:p w:rsidR="00051188" w:rsidRDefault="00051188" w:rsidP="009D78B4">
      <w:pPr>
        <w:widowControl w:val="0"/>
        <w:tabs>
          <w:tab w:val="left" w:pos="-720"/>
        </w:tabs>
        <w:rPr>
          <w:sz w:val="24"/>
          <w:lang w:val="en-GB"/>
        </w:rPr>
      </w:pPr>
      <w:r>
        <w:rPr>
          <w:sz w:val="24"/>
          <w:lang w:val="en-GB"/>
        </w:rPr>
        <w:t>In clinical studies of 1684 patients who received 4258 treatments (involving multiple injections) for blepharospasm, the incidence rates of adverse reactions per treated eye are listed below:</w:t>
      </w:r>
    </w:p>
    <w:p w:rsidR="000C1361" w:rsidRDefault="000C1361" w:rsidP="009D78B4">
      <w:pPr>
        <w:pStyle w:val="Heading4"/>
        <w:keepNext w:val="0"/>
        <w:widowControl w:val="0"/>
        <w:tabs>
          <w:tab w:val="left" w:pos="0"/>
        </w:tabs>
        <w:jc w:val="both"/>
        <w:rPr>
          <w:b w:val="0"/>
          <w:sz w:val="24"/>
          <w:szCs w:val="24"/>
        </w:rPr>
      </w:pPr>
    </w:p>
    <w:p w:rsidR="00051188" w:rsidRDefault="00051188" w:rsidP="009D78B4">
      <w:pPr>
        <w:pStyle w:val="Heading4"/>
        <w:keepNext w:val="0"/>
        <w:widowControl w:val="0"/>
        <w:tabs>
          <w:tab w:val="left" w:pos="0"/>
        </w:tabs>
        <w:jc w:val="both"/>
        <w:rPr>
          <w:b w:val="0"/>
          <w:sz w:val="24"/>
          <w:szCs w:val="24"/>
        </w:rPr>
      </w:pPr>
      <w:r>
        <w:rPr>
          <w:b w:val="0"/>
          <w:sz w:val="24"/>
          <w:szCs w:val="24"/>
        </w:rPr>
        <w:t>Ptosis</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11.0%</w:t>
      </w:r>
    </w:p>
    <w:p w:rsidR="00051188" w:rsidRDefault="00051188" w:rsidP="009D78B4">
      <w:pPr>
        <w:widowControl w:val="0"/>
        <w:tabs>
          <w:tab w:val="left" w:pos="-720"/>
          <w:tab w:val="left" w:pos="0"/>
        </w:tabs>
        <w:jc w:val="both"/>
        <w:rPr>
          <w:sz w:val="24"/>
          <w:lang w:val="en-GB"/>
        </w:rPr>
      </w:pPr>
      <w:r>
        <w:rPr>
          <w:sz w:val="24"/>
          <w:lang w:val="en-GB"/>
        </w:rPr>
        <w:t>Irritation/tearing (includes dry eye, lagophthalmos and photophobia)</w:t>
      </w:r>
      <w:r>
        <w:rPr>
          <w:sz w:val="24"/>
          <w:lang w:val="en-GB"/>
        </w:rPr>
        <w:tab/>
        <w:t>10.0%</w:t>
      </w:r>
    </w:p>
    <w:p w:rsidR="00051188" w:rsidRDefault="00051188" w:rsidP="009D78B4">
      <w:pPr>
        <w:widowControl w:val="0"/>
        <w:tabs>
          <w:tab w:val="left" w:pos="-720"/>
          <w:tab w:val="left" w:pos="0"/>
          <w:tab w:val="left" w:pos="720"/>
          <w:tab w:val="left" w:pos="1440"/>
          <w:tab w:val="left" w:pos="2160"/>
          <w:tab w:val="left" w:pos="2880"/>
          <w:tab w:val="left" w:pos="3600"/>
          <w:tab w:val="left" w:pos="4320"/>
          <w:tab w:val="left" w:pos="5040"/>
          <w:tab w:val="left" w:pos="5760"/>
        </w:tabs>
        <w:jc w:val="both"/>
        <w:rPr>
          <w:sz w:val="24"/>
          <w:lang w:val="en-GB"/>
        </w:rPr>
      </w:pPr>
      <w:r>
        <w:rPr>
          <w:sz w:val="24"/>
          <w:lang w:val="en-GB"/>
        </w:rPr>
        <w:t>Ectropion, keratitis, diplopia and entropion were reported rarely</w:t>
      </w:r>
      <w:r>
        <w:rPr>
          <w:sz w:val="24"/>
          <w:lang w:val="en-GB"/>
        </w:rPr>
        <w:tab/>
      </w:r>
      <w:r>
        <w:rPr>
          <w:sz w:val="24"/>
          <w:lang w:val="en-GB"/>
        </w:rPr>
        <w:tab/>
        <w:t>&lt;1.0%</w:t>
      </w:r>
    </w:p>
    <w:p w:rsidR="00051188" w:rsidRDefault="00051188" w:rsidP="009D78B4">
      <w:pPr>
        <w:widowControl w:val="0"/>
        <w:tabs>
          <w:tab w:val="left" w:pos="-720"/>
        </w:tabs>
        <w:jc w:val="both"/>
        <w:rPr>
          <w:sz w:val="24"/>
          <w:lang w:val="en-GB"/>
        </w:rPr>
      </w:pPr>
    </w:p>
    <w:p w:rsidR="00051188" w:rsidRDefault="00051188" w:rsidP="009D78B4">
      <w:pPr>
        <w:widowControl w:val="0"/>
        <w:tabs>
          <w:tab w:val="left" w:pos="-720"/>
        </w:tabs>
        <w:rPr>
          <w:sz w:val="24"/>
          <w:lang w:val="en-GB"/>
        </w:rPr>
      </w:pPr>
      <w:r>
        <w:rPr>
          <w:sz w:val="24"/>
          <w:lang w:val="en-GB"/>
        </w:rPr>
        <w:lastRenderedPageBreak/>
        <w:t>Ecchymosis occurs easily in the soft eyelid tissues.  This can be prevented by applying pressure at the injection site immediately after the injection.</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sz w:val="24"/>
          <w:lang w:val="en-GB"/>
        </w:rPr>
        <w:t>Diffuse skin rash and local swelling of the eyelid skin lasting for several days following eyelid injection were reported infrequently in clinical studies.</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sz w:val="24"/>
          <w:lang w:val="en-GB"/>
        </w:rPr>
        <w:t xml:space="preserve">In two cases of </w:t>
      </w:r>
      <w:r>
        <w:rPr>
          <w:sz w:val="24"/>
          <w:szCs w:val="24"/>
          <w:lang w:val="en-GB"/>
        </w:rPr>
        <w:t>VIIth</w:t>
      </w:r>
      <w:r>
        <w:rPr>
          <w:sz w:val="24"/>
          <w:lang w:val="en-GB"/>
        </w:rPr>
        <w:t xml:space="preserve"> nerve disorder (one case of an aphakic eye) reduced blinking from </w:t>
      </w:r>
      <w:r>
        <w:rPr>
          <w:caps/>
          <w:sz w:val="24"/>
          <w:szCs w:val="24"/>
        </w:rPr>
        <w:t>Botox</w:t>
      </w:r>
      <w:r>
        <w:rPr>
          <w:caps/>
          <w:sz w:val="24"/>
          <w:szCs w:val="24"/>
          <w:vertAlign w:val="superscript"/>
        </w:rPr>
        <w:sym w:font="Symbol" w:char="F0D2"/>
      </w:r>
      <w:r>
        <w:rPr>
          <w:sz w:val="24"/>
          <w:lang w:val="en-GB"/>
        </w:rPr>
        <w:t xml:space="preserve"> injection of the orbicularis muscle led to serious corneal exposure, persistent epithelial defect and corneal ulceration.  Perforation requiring corneal grafting occurred in one case, an aphakic eye.  Avoidance of injection into the lower lid area to avoid ectropion may reduce this hazard.  Vigorous treatment of any corneal epithelial defect should be employed.  This may require protective drops, ointment, therapeutic soft contact lenses or closure of the eye by patching or other means.</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sz w:val="24"/>
          <w:lang w:val="en-GB"/>
        </w:rPr>
        <w:t xml:space="preserve">Two patients previously incapacitated by blepharospasm experienced cardiac collapse attributed to over-exertion within three weeks following </w:t>
      </w:r>
      <w:r>
        <w:rPr>
          <w:caps/>
          <w:sz w:val="24"/>
          <w:szCs w:val="24"/>
        </w:rPr>
        <w:t>Botox</w:t>
      </w:r>
      <w:r>
        <w:rPr>
          <w:caps/>
          <w:sz w:val="24"/>
          <w:szCs w:val="24"/>
          <w:vertAlign w:val="superscript"/>
        </w:rPr>
        <w:sym w:font="Symbol" w:char="F0D2"/>
      </w:r>
      <w:r>
        <w:rPr>
          <w:sz w:val="24"/>
          <w:lang w:val="en-GB"/>
        </w:rPr>
        <w:t xml:space="preserve"> therapy. Sedentary patients should be cautioned to resume activity slowly and carefully following the administration of </w:t>
      </w:r>
      <w:r>
        <w:rPr>
          <w:caps/>
          <w:sz w:val="24"/>
          <w:szCs w:val="24"/>
        </w:rPr>
        <w:t>Botox</w:t>
      </w:r>
      <w:r>
        <w:rPr>
          <w:caps/>
          <w:sz w:val="24"/>
          <w:szCs w:val="24"/>
          <w:vertAlign w:val="superscript"/>
        </w:rPr>
        <w:sym w:font="Symbol" w:char="F0D2"/>
      </w:r>
      <w:r>
        <w:rPr>
          <w:sz w:val="24"/>
          <w:lang w:val="en-GB"/>
        </w:rPr>
        <w:t>.</w:t>
      </w:r>
    </w:p>
    <w:p w:rsidR="00051188" w:rsidRDefault="00051188" w:rsidP="009D78B4">
      <w:pPr>
        <w:widowControl w:val="0"/>
        <w:tabs>
          <w:tab w:val="left" w:pos="-720"/>
        </w:tabs>
        <w:rPr>
          <w:sz w:val="24"/>
          <w:lang w:val="en-GB"/>
        </w:rPr>
      </w:pPr>
    </w:p>
    <w:p w:rsidR="00051188" w:rsidRDefault="00051188" w:rsidP="009D78B4">
      <w:pPr>
        <w:pStyle w:val="BodyText3"/>
        <w:keepLines w:val="0"/>
        <w:widowControl w:val="0"/>
        <w:ind w:right="-14"/>
        <w:rPr>
          <w:b/>
          <w:i w:val="0"/>
          <w:color w:val="auto"/>
          <w:sz w:val="24"/>
          <w:lang w:val="en-GB"/>
        </w:rPr>
      </w:pPr>
      <w:r>
        <w:rPr>
          <w:i w:val="0"/>
          <w:color w:val="auto"/>
          <w:sz w:val="24"/>
          <w:lang w:val="en-GB"/>
        </w:rPr>
        <w:t xml:space="preserve">Acute angle closure glaucoma has been reported very rarely following periorbital injections of botulinum toxin (See </w:t>
      </w:r>
      <w:r>
        <w:rPr>
          <w:b/>
          <w:i w:val="0"/>
          <w:color w:val="auto"/>
          <w:sz w:val="24"/>
          <w:lang w:val="en-GB"/>
        </w:rPr>
        <w:t>Precautions</w:t>
      </w:r>
      <w:r>
        <w:rPr>
          <w:i w:val="0"/>
          <w:color w:val="auto"/>
          <w:sz w:val="24"/>
          <w:lang w:val="en-GB"/>
        </w:rPr>
        <w:t>).</w:t>
      </w:r>
    </w:p>
    <w:p w:rsidR="00051188" w:rsidRDefault="00051188" w:rsidP="009D78B4">
      <w:pPr>
        <w:widowControl w:val="0"/>
        <w:tabs>
          <w:tab w:val="left" w:pos="-720"/>
        </w:tabs>
        <w:rPr>
          <w:b/>
          <w:sz w:val="24"/>
          <w:lang w:val="en-GB"/>
        </w:rPr>
      </w:pPr>
    </w:p>
    <w:p w:rsidR="00051188" w:rsidRDefault="00051188" w:rsidP="009D78B4">
      <w:pPr>
        <w:widowControl w:val="0"/>
        <w:rPr>
          <w:b/>
          <w:sz w:val="24"/>
          <w:szCs w:val="24"/>
        </w:rPr>
      </w:pPr>
      <w:r>
        <w:rPr>
          <w:b/>
          <w:sz w:val="24"/>
          <w:szCs w:val="24"/>
        </w:rPr>
        <w:t>Strabismus</w:t>
      </w:r>
    </w:p>
    <w:p w:rsidR="00051188" w:rsidRDefault="00051188" w:rsidP="009D78B4">
      <w:pPr>
        <w:widowControl w:val="0"/>
        <w:rPr>
          <w:sz w:val="24"/>
          <w:szCs w:val="24"/>
        </w:rPr>
      </w:pPr>
      <w:r>
        <w:rPr>
          <w:sz w:val="24"/>
          <w:szCs w:val="24"/>
        </w:rPr>
        <w:t>In a clinical investigation of botulinum toxin use in strabismus over a 9-year period, the incidence rates (% injections) of adverse events from 8,300 injections are reported (1).  The total number of patients who received the injections is not reported.</w:t>
      </w:r>
    </w:p>
    <w:p w:rsidR="00051188" w:rsidRDefault="00051188" w:rsidP="009D78B4">
      <w:pPr>
        <w:widowControl w:val="0"/>
        <w:rPr>
          <w:sz w:val="24"/>
          <w:szCs w:val="24"/>
        </w:rPr>
      </w:pPr>
    </w:p>
    <w:p w:rsidR="00051188" w:rsidRDefault="00051188" w:rsidP="009D78B4">
      <w:pPr>
        <w:widowControl w:val="0"/>
        <w:rPr>
          <w:sz w:val="24"/>
          <w:szCs w:val="24"/>
        </w:rPr>
      </w:pPr>
      <w:r>
        <w:rPr>
          <w:sz w:val="24"/>
          <w:szCs w:val="24"/>
        </w:rPr>
        <w:t>Effects on adjacent muscles: the incidence of partial ptosis and vertical deviation were 16% and 17% respectively.  Complete ptosis was rare.  In one series, slight residual ptosis (0.16%) and induced vertical deviation of greater than two prism dioptres (2%) persisted for 6 months or longer.</w:t>
      </w:r>
    </w:p>
    <w:p w:rsidR="00051188" w:rsidRDefault="00051188" w:rsidP="009D78B4">
      <w:pPr>
        <w:widowControl w:val="0"/>
        <w:rPr>
          <w:sz w:val="24"/>
          <w:szCs w:val="24"/>
        </w:rPr>
      </w:pPr>
    </w:p>
    <w:p w:rsidR="00051188" w:rsidRDefault="00051188" w:rsidP="009D78B4">
      <w:pPr>
        <w:widowControl w:val="0"/>
        <w:rPr>
          <w:sz w:val="24"/>
          <w:szCs w:val="24"/>
        </w:rPr>
      </w:pPr>
      <w:r>
        <w:rPr>
          <w:sz w:val="24"/>
          <w:szCs w:val="24"/>
        </w:rPr>
        <w:t>Retrobulbar haemorrhage (0.2%) occurred without visual loss.  Decompression of the orbit after five minutes was performed to restore retinal circulation in one case.</w:t>
      </w:r>
    </w:p>
    <w:p w:rsidR="00051188" w:rsidRDefault="00051188" w:rsidP="009D78B4">
      <w:pPr>
        <w:widowControl w:val="0"/>
        <w:rPr>
          <w:sz w:val="24"/>
          <w:szCs w:val="24"/>
        </w:rPr>
      </w:pPr>
    </w:p>
    <w:p w:rsidR="00051188" w:rsidRDefault="00051188" w:rsidP="009D78B4">
      <w:pPr>
        <w:widowControl w:val="0"/>
        <w:rPr>
          <w:sz w:val="24"/>
          <w:szCs w:val="24"/>
        </w:rPr>
      </w:pPr>
      <w:r>
        <w:rPr>
          <w:sz w:val="24"/>
          <w:szCs w:val="24"/>
        </w:rPr>
        <w:t xml:space="preserve">Scleral perforation (0.11%): these tended to occur in myopic eyes and at a prior surgical site.  A vitreous haemorrhage occurred in one patient which reduced vision for several months before clearing.  In another patient, a reduction in vision from 20/25 to 20/30 was reported. </w:t>
      </w:r>
    </w:p>
    <w:p w:rsidR="00051188" w:rsidRDefault="00051188" w:rsidP="009D78B4">
      <w:pPr>
        <w:widowControl w:val="0"/>
        <w:rPr>
          <w:sz w:val="24"/>
          <w:szCs w:val="24"/>
        </w:rPr>
      </w:pPr>
    </w:p>
    <w:p w:rsidR="00051188" w:rsidRDefault="00051188" w:rsidP="009D78B4">
      <w:pPr>
        <w:widowControl w:val="0"/>
        <w:rPr>
          <w:sz w:val="24"/>
          <w:szCs w:val="24"/>
        </w:rPr>
      </w:pPr>
      <w:r>
        <w:rPr>
          <w:sz w:val="24"/>
          <w:szCs w:val="24"/>
        </w:rPr>
        <w:t>Pupillary dilation (0.06%): at least two of these were consistent with ciliary ganglion damage (Adie’s pupil).</w:t>
      </w:r>
    </w:p>
    <w:p w:rsidR="00051188" w:rsidRDefault="00051188" w:rsidP="009D78B4">
      <w:pPr>
        <w:widowControl w:val="0"/>
        <w:rPr>
          <w:sz w:val="24"/>
          <w:szCs w:val="24"/>
        </w:rPr>
      </w:pPr>
    </w:p>
    <w:p w:rsidR="00051188" w:rsidRDefault="00051188" w:rsidP="009D78B4">
      <w:pPr>
        <w:widowControl w:val="0"/>
        <w:rPr>
          <w:sz w:val="24"/>
          <w:szCs w:val="24"/>
        </w:rPr>
      </w:pPr>
      <w:r>
        <w:rPr>
          <w:sz w:val="24"/>
          <w:szCs w:val="24"/>
        </w:rPr>
        <w:t>Past pointing and spatial disorientation may result from inducing paralysis in one or more extraocular muscles.  Covering the affected eye may alleviate these symptoms.</w:t>
      </w:r>
    </w:p>
    <w:p w:rsidR="00051188" w:rsidRDefault="00051188" w:rsidP="009D78B4">
      <w:pPr>
        <w:widowControl w:val="0"/>
        <w:rPr>
          <w:sz w:val="24"/>
          <w:szCs w:val="24"/>
        </w:rPr>
      </w:pPr>
    </w:p>
    <w:p w:rsidR="00051188" w:rsidRDefault="00051188" w:rsidP="009D78B4">
      <w:pPr>
        <w:widowControl w:val="0"/>
        <w:rPr>
          <w:sz w:val="24"/>
          <w:szCs w:val="24"/>
        </w:rPr>
      </w:pPr>
      <w:r>
        <w:rPr>
          <w:sz w:val="24"/>
          <w:szCs w:val="24"/>
        </w:rPr>
        <w:t>Diplopia is common after treatment in patients with good vision in both eyes.  Diplopia in adults can be managed by patching.  In one case, diplopia appeared to be permanent due to loss of suppression.</w:t>
      </w:r>
    </w:p>
    <w:p w:rsidR="00051188" w:rsidRDefault="00051188" w:rsidP="009D78B4">
      <w:pPr>
        <w:widowControl w:val="0"/>
        <w:rPr>
          <w:sz w:val="24"/>
          <w:szCs w:val="24"/>
        </w:rPr>
      </w:pPr>
    </w:p>
    <w:p w:rsidR="00051188" w:rsidRDefault="00051188" w:rsidP="009D78B4">
      <w:pPr>
        <w:widowControl w:val="0"/>
        <w:rPr>
          <w:sz w:val="24"/>
          <w:szCs w:val="24"/>
        </w:rPr>
      </w:pPr>
      <w:r>
        <w:rPr>
          <w:sz w:val="24"/>
          <w:szCs w:val="24"/>
        </w:rPr>
        <w:t xml:space="preserve">No systemic paralytic effect has been seen or suspected in any patient treated with the small doses used for strabismus. </w:t>
      </w:r>
    </w:p>
    <w:p w:rsidR="00051188" w:rsidRDefault="00051188" w:rsidP="009D78B4">
      <w:pPr>
        <w:widowControl w:val="0"/>
        <w:rPr>
          <w:sz w:val="24"/>
          <w:szCs w:val="24"/>
        </w:rPr>
      </w:pPr>
    </w:p>
    <w:p w:rsidR="00051188" w:rsidRDefault="00051188" w:rsidP="009D78B4">
      <w:pPr>
        <w:widowControl w:val="0"/>
        <w:rPr>
          <w:sz w:val="24"/>
          <w:szCs w:val="24"/>
        </w:rPr>
      </w:pPr>
      <w:r>
        <w:rPr>
          <w:sz w:val="24"/>
          <w:szCs w:val="24"/>
        </w:rPr>
        <w:t>Variation in incidence rates of the most frequently observed effects, ptosis and vertical deviation per patient, have also been reported in other retrospective observational studies.  There is no obvious explanation for the substantial variation.  In the literature, 3 different studies (2-4) evaluating BOTOX</w:t>
      </w:r>
      <w:r>
        <w:rPr>
          <w:sz w:val="24"/>
          <w:szCs w:val="24"/>
          <w:vertAlign w:val="superscript"/>
        </w:rPr>
        <w:t>®</w:t>
      </w:r>
      <w:r>
        <w:rPr>
          <w:sz w:val="24"/>
          <w:szCs w:val="24"/>
        </w:rPr>
        <w:t xml:space="preserve"> for the treatment of strabismus (n=266) indicated percent incidence of ptosis occurred in a range of 30% to 37% of injections or 37% of patients.  Vertical deviation was reported in 42% of injections or from 10% to 34% of patients.</w:t>
      </w:r>
    </w:p>
    <w:p w:rsidR="00051188" w:rsidRDefault="00051188" w:rsidP="009D78B4">
      <w:pPr>
        <w:widowControl w:val="0"/>
        <w:rPr>
          <w:sz w:val="24"/>
          <w:szCs w:val="24"/>
        </w:rPr>
      </w:pPr>
    </w:p>
    <w:p w:rsidR="00051188" w:rsidRDefault="00051188" w:rsidP="009D78B4">
      <w:pPr>
        <w:widowControl w:val="0"/>
        <w:rPr>
          <w:sz w:val="24"/>
          <w:szCs w:val="24"/>
        </w:rPr>
      </w:pPr>
      <w:r>
        <w:rPr>
          <w:sz w:val="24"/>
          <w:szCs w:val="24"/>
        </w:rPr>
        <w:t>Other studies have shown side effects such as sub-conjunctival and conjunctival haemorrhages to be fairly common.  There have also been infrequent reports of headache, cycloplegia, ocular vertigo and corneal irritation.  In one study, 5/45 (11.1%) patients were shown to exhibit an increase in intra-ocular pressure which was reversible.</w:t>
      </w:r>
    </w:p>
    <w:p w:rsidR="00051188" w:rsidRDefault="00051188" w:rsidP="009D78B4">
      <w:pPr>
        <w:widowControl w:val="0"/>
        <w:tabs>
          <w:tab w:val="left" w:pos="-720"/>
        </w:tabs>
        <w:rPr>
          <w:b/>
          <w:sz w:val="24"/>
          <w:lang w:val="en-GB"/>
        </w:rPr>
      </w:pPr>
    </w:p>
    <w:p w:rsidR="00051188" w:rsidRDefault="00051188" w:rsidP="009D78B4">
      <w:pPr>
        <w:widowControl w:val="0"/>
        <w:tabs>
          <w:tab w:val="left" w:pos="-720"/>
        </w:tabs>
        <w:rPr>
          <w:b/>
          <w:sz w:val="24"/>
          <w:szCs w:val="24"/>
          <w:lang w:val="en-GB"/>
        </w:rPr>
      </w:pPr>
      <w:r>
        <w:rPr>
          <w:b/>
          <w:sz w:val="24"/>
          <w:szCs w:val="24"/>
          <w:lang w:val="en-GB"/>
        </w:rPr>
        <w:t>VIIth Nerve Disorders (hemifacial spasm)</w:t>
      </w:r>
    </w:p>
    <w:p w:rsidR="00051188" w:rsidRDefault="00051188" w:rsidP="009D78B4">
      <w:pPr>
        <w:widowControl w:val="0"/>
        <w:tabs>
          <w:tab w:val="left" w:pos="-720"/>
        </w:tabs>
        <w:rPr>
          <w:b/>
          <w:sz w:val="24"/>
          <w:szCs w:val="24"/>
          <w:lang w:val="en-GB"/>
        </w:rPr>
      </w:pPr>
      <w:r>
        <w:rPr>
          <w:sz w:val="24"/>
          <w:szCs w:val="24"/>
          <w:lang w:val="en-GB"/>
        </w:rPr>
        <w:t xml:space="preserve">Adverse effects reported after injection of </w:t>
      </w:r>
      <w:r>
        <w:rPr>
          <w:caps/>
          <w:sz w:val="24"/>
          <w:szCs w:val="24"/>
        </w:rPr>
        <w:t>Botox</w:t>
      </w:r>
      <w:r>
        <w:rPr>
          <w:caps/>
          <w:sz w:val="24"/>
          <w:szCs w:val="24"/>
          <w:vertAlign w:val="superscript"/>
        </w:rPr>
        <w:sym w:font="Symbol" w:char="F0D2"/>
      </w:r>
      <w:r>
        <w:rPr>
          <w:sz w:val="24"/>
          <w:szCs w:val="24"/>
          <w:lang w:val="en-GB"/>
        </w:rPr>
        <w:t xml:space="preserve"> have included blurring of vision, facial droop, dizziness and tiredness, in addition to those listed above.</w:t>
      </w:r>
    </w:p>
    <w:p w:rsidR="00051188" w:rsidRDefault="00051188" w:rsidP="009D78B4">
      <w:pPr>
        <w:widowControl w:val="0"/>
        <w:tabs>
          <w:tab w:val="left" w:pos="-720"/>
        </w:tabs>
        <w:rPr>
          <w:b/>
          <w:sz w:val="24"/>
          <w:szCs w:val="24"/>
          <w:lang w:val="en-GB"/>
        </w:rPr>
      </w:pPr>
    </w:p>
    <w:p w:rsidR="00051188" w:rsidRDefault="00051188" w:rsidP="009D78B4">
      <w:pPr>
        <w:widowControl w:val="0"/>
        <w:tabs>
          <w:tab w:val="left" w:pos="-720"/>
        </w:tabs>
        <w:rPr>
          <w:b/>
          <w:sz w:val="24"/>
          <w:szCs w:val="24"/>
          <w:lang w:val="en-GB"/>
        </w:rPr>
      </w:pPr>
      <w:r>
        <w:rPr>
          <w:b/>
          <w:sz w:val="24"/>
          <w:szCs w:val="24"/>
          <w:lang w:val="en-GB"/>
        </w:rPr>
        <w:t>Focal spasticity in children two years and older</w:t>
      </w:r>
    </w:p>
    <w:p w:rsidR="00051188" w:rsidRDefault="00051188" w:rsidP="009D78B4">
      <w:pPr>
        <w:widowControl w:val="0"/>
        <w:tabs>
          <w:tab w:val="left" w:pos="-720"/>
        </w:tabs>
        <w:rPr>
          <w:sz w:val="24"/>
          <w:szCs w:val="24"/>
          <w:lang w:val="en-GB"/>
        </w:rPr>
      </w:pPr>
      <w:r>
        <w:rPr>
          <w:sz w:val="24"/>
          <w:szCs w:val="24"/>
          <w:lang w:val="en-GB"/>
        </w:rPr>
        <w:t xml:space="preserve">The safety of </w:t>
      </w:r>
      <w:r>
        <w:rPr>
          <w:caps/>
          <w:sz w:val="24"/>
          <w:szCs w:val="24"/>
        </w:rPr>
        <w:t>Botox</w:t>
      </w:r>
      <w:r>
        <w:rPr>
          <w:caps/>
          <w:sz w:val="24"/>
          <w:szCs w:val="24"/>
          <w:vertAlign w:val="superscript"/>
        </w:rPr>
        <w:sym w:font="Symbol" w:char="F0D2"/>
      </w:r>
      <w:r>
        <w:rPr>
          <w:sz w:val="24"/>
          <w:szCs w:val="24"/>
          <w:lang w:val="en-GB"/>
        </w:rPr>
        <w:t xml:space="preserve"> used for the treatment of focal spasticity was evaluated, from clinical studies for the treatment of dynamic equinus foot deformity, upper limb spasticity and lower limb spasticity.  As is expected for any intramuscular injection procedure, localised pain, discomfort, bruising and oedema was associated with the injection in these patients.  All treatment-related adverse events were mild to moderate in severity and were self-limiting.</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In children treated for upper limb spasticity, the most frequently reported treatment related adverse events included local and general weakness, trigger finger, clumsiness, hypokinesia, falling and increased frequency of micturition, joint dislocation and muscle spasms.  The percent of patients who experienced these events at least once during the study are summarised below:</w:t>
      </w:r>
    </w:p>
    <w:p w:rsidR="00051188" w:rsidRDefault="00051188" w:rsidP="009D78B4">
      <w:pPr>
        <w:widowControl w:val="0"/>
        <w:tabs>
          <w:tab w:val="left" w:pos="-720"/>
          <w:tab w:val="left" w:pos="3780"/>
        </w:tabs>
        <w:jc w:val="center"/>
        <w:rPr>
          <w:sz w:val="24"/>
          <w:szCs w:val="24"/>
          <w:lang w:val="en-GB"/>
        </w:rPr>
      </w:pPr>
      <w:r>
        <w:rPr>
          <w:caps/>
          <w:sz w:val="24"/>
          <w:szCs w:val="24"/>
        </w:rPr>
        <w:t>Botox</w:t>
      </w:r>
      <w:r>
        <w:rPr>
          <w:caps/>
          <w:sz w:val="24"/>
          <w:szCs w:val="24"/>
          <w:vertAlign w:val="superscript"/>
        </w:rPr>
        <w:sym w:font="Symbol" w:char="F0D2"/>
      </w:r>
      <w:r>
        <w:rPr>
          <w:smallCaps/>
          <w:position w:val="4"/>
          <w:sz w:val="24"/>
          <w:szCs w:val="24"/>
          <w:lang w:val="en-GB"/>
        </w:rPr>
        <w:t xml:space="preserve">  </w:t>
      </w:r>
      <w:r>
        <w:rPr>
          <w:sz w:val="24"/>
          <w:szCs w:val="24"/>
          <w:lang w:val="en-GB"/>
        </w:rPr>
        <w:t>(n=74)</w:t>
      </w:r>
    </w:p>
    <w:p w:rsidR="00051188" w:rsidRDefault="00051188" w:rsidP="009D78B4">
      <w:pPr>
        <w:pStyle w:val="Heading4"/>
        <w:keepNext w:val="0"/>
        <w:widowControl w:val="0"/>
        <w:spacing w:before="0" w:after="0"/>
        <w:jc w:val="both"/>
        <w:rPr>
          <w:b w:val="0"/>
          <w:sz w:val="24"/>
          <w:szCs w:val="24"/>
        </w:rPr>
      </w:pPr>
      <w:r>
        <w:rPr>
          <w:b w:val="0"/>
          <w:sz w:val="24"/>
          <w:szCs w:val="24"/>
        </w:rPr>
        <w:tab/>
        <w:t>Muscular weakness, local</w:t>
      </w:r>
      <w:r>
        <w:rPr>
          <w:b w:val="0"/>
          <w:sz w:val="24"/>
          <w:szCs w:val="24"/>
        </w:rPr>
        <w:tab/>
      </w:r>
      <w:r>
        <w:rPr>
          <w:b w:val="0"/>
          <w:sz w:val="24"/>
          <w:szCs w:val="24"/>
        </w:rPr>
        <w:tab/>
        <w:t>5.4%</w:t>
      </w:r>
    </w:p>
    <w:p w:rsidR="00051188" w:rsidRDefault="00051188" w:rsidP="009D78B4">
      <w:pPr>
        <w:pStyle w:val="Heading4"/>
        <w:keepNext w:val="0"/>
        <w:widowControl w:val="0"/>
        <w:spacing w:before="0" w:after="0"/>
        <w:ind w:firstLine="720"/>
        <w:jc w:val="both"/>
        <w:rPr>
          <w:b w:val="0"/>
          <w:sz w:val="24"/>
          <w:szCs w:val="24"/>
        </w:rPr>
      </w:pPr>
      <w:r>
        <w:rPr>
          <w:b w:val="0"/>
          <w:sz w:val="24"/>
          <w:szCs w:val="24"/>
        </w:rPr>
        <w:t>Muscular weakness, general</w:t>
      </w:r>
      <w:r>
        <w:rPr>
          <w:b w:val="0"/>
          <w:sz w:val="24"/>
          <w:szCs w:val="24"/>
        </w:rPr>
        <w:tab/>
      </w:r>
      <w:r>
        <w:rPr>
          <w:b w:val="0"/>
          <w:sz w:val="24"/>
          <w:szCs w:val="24"/>
        </w:rPr>
        <w:tab/>
        <w:t>2.7%</w:t>
      </w:r>
    </w:p>
    <w:p w:rsidR="00051188" w:rsidRDefault="00051188" w:rsidP="009D78B4">
      <w:pPr>
        <w:widowControl w:val="0"/>
        <w:rPr>
          <w:sz w:val="24"/>
          <w:szCs w:val="24"/>
        </w:rPr>
      </w:pPr>
      <w:r>
        <w:tab/>
      </w:r>
      <w:r>
        <w:rPr>
          <w:sz w:val="24"/>
          <w:szCs w:val="24"/>
        </w:rPr>
        <w:t>Trigger finger</w:t>
      </w:r>
      <w:r>
        <w:rPr>
          <w:sz w:val="24"/>
          <w:szCs w:val="24"/>
        </w:rPr>
        <w:tab/>
      </w:r>
      <w:r>
        <w:rPr>
          <w:sz w:val="24"/>
          <w:szCs w:val="24"/>
        </w:rPr>
        <w:tab/>
      </w:r>
      <w:r>
        <w:rPr>
          <w:sz w:val="24"/>
          <w:szCs w:val="24"/>
        </w:rPr>
        <w:tab/>
      </w:r>
      <w:r>
        <w:rPr>
          <w:sz w:val="24"/>
          <w:szCs w:val="24"/>
        </w:rPr>
        <w:tab/>
        <w:t>2.7%</w:t>
      </w:r>
    </w:p>
    <w:p w:rsidR="00051188" w:rsidRDefault="00051188" w:rsidP="009D78B4">
      <w:pPr>
        <w:widowControl w:val="0"/>
        <w:ind w:firstLine="720"/>
        <w:rPr>
          <w:sz w:val="24"/>
          <w:szCs w:val="24"/>
        </w:rPr>
      </w:pPr>
      <w:r>
        <w:rPr>
          <w:sz w:val="24"/>
          <w:szCs w:val="24"/>
        </w:rPr>
        <w:t>Clumsiness</w:t>
      </w:r>
      <w:r>
        <w:rPr>
          <w:sz w:val="24"/>
          <w:szCs w:val="24"/>
        </w:rPr>
        <w:tab/>
      </w:r>
      <w:r>
        <w:rPr>
          <w:sz w:val="24"/>
          <w:szCs w:val="24"/>
        </w:rPr>
        <w:tab/>
      </w:r>
      <w:r>
        <w:rPr>
          <w:sz w:val="24"/>
          <w:szCs w:val="24"/>
        </w:rPr>
        <w:tab/>
      </w:r>
      <w:r>
        <w:rPr>
          <w:sz w:val="24"/>
          <w:szCs w:val="24"/>
        </w:rPr>
        <w:tab/>
        <w:t>1.4%</w:t>
      </w:r>
    </w:p>
    <w:p w:rsidR="00051188" w:rsidRDefault="00051188" w:rsidP="009D78B4">
      <w:pPr>
        <w:pStyle w:val="Heading4"/>
        <w:keepNext w:val="0"/>
        <w:widowControl w:val="0"/>
        <w:spacing w:before="0" w:after="0"/>
        <w:ind w:firstLine="720"/>
        <w:jc w:val="both"/>
        <w:rPr>
          <w:b w:val="0"/>
          <w:sz w:val="24"/>
          <w:szCs w:val="24"/>
        </w:rPr>
      </w:pPr>
      <w:r>
        <w:rPr>
          <w:b w:val="0"/>
          <w:sz w:val="24"/>
          <w:szCs w:val="24"/>
        </w:rPr>
        <w:t>Falling</w:t>
      </w:r>
      <w:r>
        <w:rPr>
          <w:b w:val="0"/>
          <w:sz w:val="24"/>
          <w:szCs w:val="24"/>
        </w:rPr>
        <w:tab/>
      </w:r>
      <w:r>
        <w:rPr>
          <w:b w:val="0"/>
          <w:sz w:val="24"/>
          <w:szCs w:val="24"/>
        </w:rPr>
        <w:tab/>
      </w:r>
      <w:r>
        <w:rPr>
          <w:b w:val="0"/>
          <w:sz w:val="24"/>
          <w:szCs w:val="24"/>
        </w:rPr>
        <w:tab/>
      </w:r>
      <w:r>
        <w:rPr>
          <w:b w:val="0"/>
          <w:sz w:val="24"/>
          <w:szCs w:val="24"/>
        </w:rPr>
        <w:tab/>
      </w:r>
      <w:r>
        <w:rPr>
          <w:b w:val="0"/>
          <w:sz w:val="24"/>
          <w:szCs w:val="24"/>
        </w:rPr>
        <w:tab/>
        <w:t>1.4%</w:t>
      </w:r>
    </w:p>
    <w:p w:rsidR="00051188" w:rsidRDefault="00051188" w:rsidP="009D78B4">
      <w:pPr>
        <w:widowControl w:val="0"/>
        <w:tabs>
          <w:tab w:val="left" w:pos="-720"/>
        </w:tabs>
        <w:jc w:val="both"/>
        <w:rPr>
          <w:sz w:val="24"/>
          <w:szCs w:val="24"/>
          <w:lang w:val="en-GB"/>
        </w:rPr>
      </w:pPr>
      <w:r>
        <w:rPr>
          <w:sz w:val="24"/>
          <w:szCs w:val="24"/>
          <w:lang w:val="en-GB"/>
        </w:rPr>
        <w:tab/>
        <w:t>Hypokinesia</w:t>
      </w:r>
      <w:r>
        <w:rPr>
          <w:sz w:val="24"/>
          <w:szCs w:val="24"/>
          <w:lang w:val="en-GB"/>
        </w:rPr>
        <w:tab/>
      </w:r>
      <w:r>
        <w:rPr>
          <w:sz w:val="24"/>
          <w:szCs w:val="24"/>
          <w:lang w:val="en-GB"/>
        </w:rPr>
        <w:tab/>
      </w:r>
      <w:r>
        <w:rPr>
          <w:sz w:val="24"/>
          <w:szCs w:val="24"/>
          <w:lang w:val="en-GB"/>
        </w:rPr>
        <w:tab/>
      </w:r>
      <w:r>
        <w:rPr>
          <w:sz w:val="24"/>
          <w:szCs w:val="24"/>
          <w:lang w:val="en-GB"/>
        </w:rPr>
        <w:tab/>
        <w:t>1.4%</w:t>
      </w:r>
    </w:p>
    <w:p w:rsidR="00051188" w:rsidRDefault="00051188" w:rsidP="009D78B4">
      <w:pPr>
        <w:widowControl w:val="0"/>
        <w:tabs>
          <w:tab w:val="left" w:pos="-720"/>
        </w:tabs>
        <w:jc w:val="both"/>
        <w:rPr>
          <w:sz w:val="24"/>
          <w:szCs w:val="24"/>
          <w:lang w:val="en-GB"/>
        </w:rPr>
      </w:pPr>
      <w:r>
        <w:rPr>
          <w:sz w:val="24"/>
          <w:szCs w:val="24"/>
          <w:lang w:val="en-GB"/>
        </w:rPr>
        <w:tab/>
        <w:t>Increased frequency of micturition</w:t>
      </w:r>
      <w:r>
        <w:rPr>
          <w:sz w:val="24"/>
          <w:szCs w:val="24"/>
          <w:lang w:val="en-GB"/>
        </w:rPr>
        <w:tab/>
        <w:t>1.4%</w:t>
      </w:r>
    </w:p>
    <w:p w:rsidR="00051188" w:rsidRDefault="00051188" w:rsidP="009D78B4">
      <w:pPr>
        <w:widowControl w:val="0"/>
        <w:tabs>
          <w:tab w:val="left" w:pos="-720"/>
        </w:tabs>
        <w:jc w:val="both"/>
        <w:rPr>
          <w:sz w:val="24"/>
          <w:szCs w:val="24"/>
          <w:lang w:val="en-GB"/>
        </w:rPr>
      </w:pPr>
      <w:r>
        <w:rPr>
          <w:sz w:val="24"/>
          <w:szCs w:val="24"/>
          <w:lang w:val="en-GB"/>
        </w:rPr>
        <w:tab/>
        <w:t>Joint dislocation</w:t>
      </w:r>
      <w:r>
        <w:rPr>
          <w:sz w:val="24"/>
          <w:szCs w:val="24"/>
          <w:lang w:val="en-GB"/>
        </w:rPr>
        <w:tab/>
      </w:r>
      <w:r>
        <w:rPr>
          <w:sz w:val="24"/>
          <w:szCs w:val="24"/>
          <w:lang w:val="en-GB"/>
        </w:rPr>
        <w:tab/>
      </w:r>
      <w:r>
        <w:rPr>
          <w:sz w:val="24"/>
          <w:szCs w:val="24"/>
          <w:lang w:val="en-GB"/>
        </w:rPr>
        <w:tab/>
        <w:t>1.4%</w:t>
      </w:r>
    </w:p>
    <w:p w:rsidR="00051188" w:rsidRDefault="00051188" w:rsidP="009D78B4">
      <w:pPr>
        <w:widowControl w:val="0"/>
        <w:tabs>
          <w:tab w:val="left" w:pos="-720"/>
        </w:tabs>
        <w:jc w:val="both"/>
        <w:rPr>
          <w:sz w:val="24"/>
          <w:szCs w:val="24"/>
          <w:lang w:val="en-GB"/>
        </w:rPr>
      </w:pPr>
      <w:r>
        <w:rPr>
          <w:sz w:val="24"/>
          <w:szCs w:val="24"/>
          <w:lang w:val="en-GB"/>
        </w:rPr>
        <w:tab/>
        <w:t>Muscle spasms</w:t>
      </w:r>
      <w:r>
        <w:rPr>
          <w:sz w:val="24"/>
          <w:szCs w:val="24"/>
          <w:lang w:val="en-GB"/>
        </w:rPr>
        <w:tab/>
      </w:r>
      <w:r>
        <w:rPr>
          <w:sz w:val="24"/>
          <w:szCs w:val="24"/>
          <w:lang w:val="en-GB"/>
        </w:rPr>
        <w:tab/>
      </w:r>
      <w:r>
        <w:rPr>
          <w:sz w:val="24"/>
          <w:szCs w:val="24"/>
          <w:lang w:val="en-GB"/>
        </w:rPr>
        <w:tab/>
        <w:t>1.4%</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Other adverse events reported commonly or very commonly in these studies were convulsions, nasopharyngitis, pneumonia, vomiting and contusion.</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lang w:val="en-GB"/>
        </w:rPr>
      </w:pPr>
      <w:r>
        <w:rPr>
          <w:sz w:val="24"/>
          <w:szCs w:val="24"/>
          <w:lang w:val="en-GB"/>
        </w:rPr>
        <w:t xml:space="preserve">In children treated for dynamic equinus foot deformity due to spasticity in juvenile cerebral palsy, the adverse events most frequently reported treatment-related included falling, leg pain, </w:t>
      </w:r>
      <w:r>
        <w:rPr>
          <w:sz w:val="24"/>
          <w:szCs w:val="24"/>
          <w:lang w:val="en-GB"/>
        </w:rPr>
        <w:lastRenderedPageBreak/>
        <w:t>leg (local) weakness and general weakness.  The percent of</w:t>
      </w:r>
      <w:r>
        <w:rPr>
          <w:sz w:val="24"/>
          <w:lang w:val="en-GB"/>
        </w:rPr>
        <w:t xml:space="preserve"> patients who experienced these events at least once during the study are summarised below:</w:t>
      </w:r>
    </w:p>
    <w:p w:rsidR="00796A1F" w:rsidRDefault="00796A1F" w:rsidP="009D78B4">
      <w:pPr>
        <w:widowControl w:val="0"/>
        <w:tabs>
          <w:tab w:val="left" w:pos="-720"/>
        </w:tabs>
        <w:jc w:val="both"/>
        <w:rPr>
          <w:sz w:val="24"/>
          <w:lang w:val="en-GB"/>
        </w:rPr>
      </w:pPr>
    </w:p>
    <w:p w:rsidR="00051188" w:rsidRDefault="00051188" w:rsidP="009D78B4">
      <w:pPr>
        <w:widowControl w:val="0"/>
        <w:tabs>
          <w:tab w:val="left" w:pos="-720"/>
          <w:tab w:val="left" w:pos="3780"/>
        </w:tabs>
        <w:jc w:val="center"/>
        <w:rPr>
          <w:sz w:val="24"/>
          <w:szCs w:val="24"/>
          <w:lang w:val="en-GB"/>
        </w:rPr>
      </w:pPr>
      <w:r>
        <w:rPr>
          <w:caps/>
          <w:sz w:val="24"/>
          <w:szCs w:val="24"/>
        </w:rPr>
        <w:t>Botox</w:t>
      </w:r>
      <w:r>
        <w:rPr>
          <w:caps/>
          <w:sz w:val="24"/>
          <w:szCs w:val="24"/>
          <w:vertAlign w:val="superscript"/>
        </w:rPr>
        <w:sym w:font="Symbol" w:char="F0D2"/>
      </w:r>
      <w:r>
        <w:rPr>
          <w:smallCaps/>
          <w:position w:val="4"/>
          <w:sz w:val="24"/>
          <w:szCs w:val="24"/>
          <w:lang w:val="en-GB"/>
        </w:rPr>
        <w:t xml:space="preserve">  </w:t>
      </w:r>
      <w:r>
        <w:rPr>
          <w:sz w:val="24"/>
          <w:szCs w:val="24"/>
          <w:lang w:val="en-GB"/>
        </w:rPr>
        <w:t>(n=215)</w:t>
      </w:r>
    </w:p>
    <w:p w:rsidR="00051188" w:rsidRDefault="00051188" w:rsidP="009D78B4">
      <w:pPr>
        <w:pStyle w:val="Heading4"/>
        <w:keepNext w:val="0"/>
        <w:widowControl w:val="0"/>
        <w:jc w:val="both"/>
        <w:rPr>
          <w:b w:val="0"/>
          <w:sz w:val="24"/>
          <w:szCs w:val="24"/>
        </w:rPr>
      </w:pPr>
      <w:r>
        <w:rPr>
          <w:b w:val="0"/>
          <w:sz w:val="24"/>
          <w:szCs w:val="24"/>
        </w:rPr>
        <w:tab/>
        <w:t>Falling</w:t>
      </w:r>
      <w:r>
        <w:rPr>
          <w:b w:val="0"/>
          <w:sz w:val="24"/>
          <w:szCs w:val="24"/>
        </w:rPr>
        <w:tab/>
      </w:r>
      <w:r>
        <w:rPr>
          <w:b w:val="0"/>
          <w:sz w:val="24"/>
          <w:szCs w:val="24"/>
        </w:rPr>
        <w:tab/>
      </w:r>
      <w:r>
        <w:rPr>
          <w:b w:val="0"/>
          <w:sz w:val="24"/>
          <w:szCs w:val="24"/>
        </w:rPr>
        <w:tab/>
      </w:r>
      <w:r>
        <w:rPr>
          <w:b w:val="0"/>
          <w:sz w:val="24"/>
          <w:szCs w:val="24"/>
        </w:rPr>
        <w:tab/>
      </w:r>
      <w:r>
        <w:rPr>
          <w:b w:val="0"/>
          <w:sz w:val="24"/>
          <w:szCs w:val="24"/>
        </w:rPr>
        <w:tab/>
        <w:t>9.3%</w:t>
      </w:r>
    </w:p>
    <w:p w:rsidR="00051188" w:rsidRDefault="00051188" w:rsidP="009D78B4">
      <w:pPr>
        <w:widowControl w:val="0"/>
        <w:tabs>
          <w:tab w:val="left" w:pos="-720"/>
        </w:tabs>
        <w:jc w:val="both"/>
        <w:rPr>
          <w:sz w:val="24"/>
          <w:szCs w:val="24"/>
          <w:lang w:val="en-GB"/>
        </w:rPr>
      </w:pPr>
      <w:r>
        <w:rPr>
          <w:sz w:val="24"/>
          <w:szCs w:val="24"/>
          <w:lang w:val="en-GB"/>
        </w:rPr>
        <w:tab/>
        <w:t>Leg Pain</w:t>
      </w:r>
      <w:r>
        <w:rPr>
          <w:sz w:val="24"/>
          <w:szCs w:val="24"/>
          <w:lang w:val="en-GB"/>
        </w:rPr>
        <w:tab/>
      </w:r>
      <w:r>
        <w:rPr>
          <w:sz w:val="24"/>
          <w:szCs w:val="24"/>
          <w:lang w:val="en-GB"/>
        </w:rPr>
        <w:tab/>
      </w:r>
      <w:r>
        <w:rPr>
          <w:sz w:val="24"/>
          <w:szCs w:val="24"/>
          <w:lang w:val="en-GB"/>
        </w:rPr>
        <w:tab/>
      </w:r>
      <w:r>
        <w:rPr>
          <w:sz w:val="24"/>
          <w:szCs w:val="24"/>
          <w:lang w:val="en-GB"/>
        </w:rPr>
        <w:tab/>
        <w:t>2.3%</w:t>
      </w:r>
    </w:p>
    <w:p w:rsidR="00051188" w:rsidRDefault="00051188" w:rsidP="009D78B4">
      <w:pPr>
        <w:widowControl w:val="0"/>
        <w:tabs>
          <w:tab w:val="left" w:pos="-720"/>
        </w:tabs>
        <w:jc w:val="both"/>
        <w:rPr>
          <w:sz w:val="24"/>
          <w:szCs w:val="24"/>
          <w:lang w:val="en-GB"/>
        </w:rPr>
      </w:pPr>
      <w:r>
        <w:rPr>
          <w:sz w:val="24"/>
          <w:szCs w:val="24"/>
          <w:lang w:val="en-GB"/>
        </w:rPr>
        <w:tab/>
        <w:t>Weakness, local</w:t>
      </w:r>
      <w:r>
        <w:rPr>
          <w:sz w:val="24"/>
          <w:szCs w:val="24"/>
          <w:lang w:val="en-GB"/>
        </w:rPr>
        <w:tab/>
      </w:r>
      <w:r>
        <w:rPr>
          <w:sz w:val="24"/>
          <w:szCs w:val="24"/>
          <w:lang w:val="en-GB"/>
        </w:rPr>
        <w:tab/>
      </w:r>
      <w:r>
        <w:rPr>
          <w:sz w:val="24"/>
          <w:szCs w:val="24"/>
          <w:lang w:val="en-GB"/>
        </w:rPr>
        <w:tab/>
        <w:t>2.3%</w:t>
      </w:r>
    </w:p>
    <w:p w:rsidR="00051188" w:rsidRDefault="00051188" w:rsidP="009D78B4">
      <w:pPr>
        <w:widowControl w:val="0"/>
        <w:tabs>
          <w:tab w:val="left" w:pos="-720"/>
        </w:tabs>
        <w:jc w:val="both"/>
        <w:rPr>
          <w:sz w:val="24"/>
          <w:szCs w:val="24"/>
          <w:lang w:val="en-GB"/>
        </w:rPr>
      </w:pPr>
      <w:r>
        <w:rPr>
          <w:sz w:val="24"/>
          <w:szCs w:val="24"/>
          <w:lang w:val="en-GB"/>
        </w:rPr>
        <w:tab/>
        <w:t>Weakness, general</w:t>
      </w:r>
      <w:r>
        <w:rPr>
          <w:sz w:val="24"/>
          <w:szCs w:val="24"/>
          <w:lang w:val="en-GB"/>
        </w:rPr>
        <w:tab/>
      </w:r>
      <w:r>
        <w:rPr>
          <w:sz w:val="24"/>
          <w:szCs w:val="24"/>
          <w:lang w:val="en-GB"/>
        </w:rPr>
        <w:tab/>
      </w:r>
      <w:r>
        <w:rPr>
          <w:sz w:val="24"/>
          <w:szCs w:val="24"/>
          <w:lang w:val="en-GB"/>
        </w:rPr>
        <w:tab/>
        <w:t>2.3%</w:t>
      </w:r>
    </w:p>
    <w:p w:rsidR="00051188" w:rsidRDefault="00051188" w:rsidP="009D78B4">
      <w:pPr>
        <w:widowControl w:val="0"/>
        <w:tabs>
          <w:tab w:val="left" w:pos="-720"/>
        </w:tabs>
        <w:jc w:val="both"/>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Falling may be attributable to a change in ankle position and gait pattern and/or local weakness.  Local weakness represents the expected pharmacological action of botulinum toxin.</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Other treatment-related adverse reactions reported in 1% of patients were:  leg cramps, fever, knee pain, ankle pain, pain at the injection site post-treatment and lethargy. Urinary incontinence has also been reported.</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In children treated for spasticity of the hip adductor muscles, there were no adverse events reported in the studies evaluated.</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b/>
          <w:sz w:val="24"/>
          <w:szCs w:val="24"/>
          <w:lang w:val="en-GB"/>
        </w:rPr>
      </w:pPr>
      <w:r>
        <w:rPr>
          <w:b/>
          <w:sz w:val="24"/>
          <w:szCs w:val="24"/>
          <w:lang w:val="en-GB"/>
        </w:rPr>
        <w:t>Focal Spasticity in Adults</w:t>
      </w:r>
    </w:p>
    <w:p w:rsidR="00051188" w:rsidRDefault="00051188" w:rsidP="009D78B4">
      <w:pPr>
        <w:widowControl w:val="0"/>
        <w:tabs>
          <w:tab w:val="left" w:pos="-720"/>
        </w:tabs>
        <w:rPr>
          <w:sz w:val="24"/>
          <w:szCs w:val="24"/>
        </w:rPr>
      </w:pPr>
      <w:r>
        <w:rPr>
          <w:sz w:val="24"/>
          <w:szCs w:val="24"/>
        </w:rPr>
        <w:t xml:space="preserve">The safety of </w:t>
      </w:r>
      <w:r>
        <w:rPr>
          <w:caps/>
          <w:sz w:val="24"/>
          <w:szCs w:val="24"/>
        </w:rPr>
        <w:t>Botox</w:t>
      </w:r>
      <w:r>
        <w:rPr>
          <w:caps/>
          <w:sz w:val="24"/>
          <w:szCs w:val="24"/>
          <w:vertAlign w:val="superscript"/>
        </w:rPr>
        <w:sym w:font="Symbol" w:char="F0D2"/>
      </w:r>
      <w:r>
        <w:rPr>
          <w:sz w:val="24"/>
          <w:szCs w:val="24"/>
        </w:rPr>
        <w:t xml:space="preserve"> was evaluated in 339 unique patients who received treatment for upper limb spasticity associated with stroke in double-blind and open-label studies.  In general, the majority of adverse events reported were mild to moderate in severity and were typically self-limiting.</w:t>
      </w:r>
    </w:p>
    <w:p w:rsidR="00051188" w:rsidRDefault="00051188" w:rsidP="009D78B4">
      <w:pPr>
        <w:widowControl w:val="0"/>
        <w:tabs>
          <w:tab w:val="left" w:pos="-720"/>
        </w:tabs>
        <w:rPr>
          <w:sz w:val="24"/>
          <w:szCs w:val="24"/>
        </w:rPr>
      </w:pPr>
    </w:p>
    <w:p w:rsidR="00051188" w:rsidRDefault="00051188" w:rsidP="009D78B4">
      <w:pPr>
        <w:widowControl w:val="0"/>
        <w:tabs>
          <w:tab w:val="left" w:pos="0"/>
        </w:tabs>
        <w:rPr>
          <w:snapToGrid w:val="0"/>
          <w:sz w:val="24"/>
          <w:szCs w:val="24"/>
        </w:rPr>
      </w:pPr>
      <w:r>
        <w:rPr>
          <w:snapToGrid w:val="0"/>
          <w:sz w:val="24"/>
          <w:szCs w:val="24"/>
        </w:rPr>
        <w:t xml:space="preserve">The following events were reported as treatment related in 1 - </w:t>
      </w:r>
      <w:r>
        <w:rPr>
          <w:snapToGrid w:val="0"/>
          <w:color w:val="000000"/>
          <w:sz w:val="24"/>
          <w:szCs w:val="24"/>
        </w:rPr>
        <w:t>4</w:t>
      </w:r>
      <w:r>
        <w:rPr>
          <w:snapToGrid w:val="0"/>
          <w:sz w:val="24"/>
          <w:szCs w:val="24"/>
        </w:rPr>
        <w:t>% of patients and are listed in decreasing order of incidence: arm pain and hypertonia.</w:t>
      </w:r>
    </w:p>
    <w:p w:rsidR="00051188" w:rsidRDefault="00051188" w:rsidP="009D78B4">
      <w:pPr>
        <w:widowControl w:val="0"/>
        <w:tabs>
          <w:tab w:val="left" w:pos="0"/>
        </w:tabs>
        <w:rPr>
          <w:snapToGrid w:val="0"/>
          <w:sz w:val="24"/>
          <w:szCs w:val="24"/>
        </w:rPr>
      </w:pPr>
    </w:p>
    <w:p w:rsidR="00051188" w:rsidRDefault="00051188" w:rsidP="009D78B4">
      <w:pPr>
        <w:widowControl w:val="0"/>
        <w:tabs>
          <w:tab w:val="left" w:pos="0"/>
        </w:tabs>
        <w:rPr>
          <w:snapToGrid w:val="0"/>
          <w:sz w:val="24"/>
          <w:szCs w:val="24"/>
        </w:rPr>
      </w:pPr>
      <w:r>
        <w:rPr>
          <w:snapToGrid w:val="0"/>
          <w:sz w:val="24"/>
          <w:szCs w:val="24"/>
        </w:rPr>
        <w:t>Fever and flu syndrome were also reported in approximately 1% of patients. The following events were reported as treatment related in less than 1% of patients and are listed in decreasing order of incidence: hyperesthesia, arthralgia, asthenia, bursitis, dermatitis, headache, injection site hypersensitivity, malaise, nausea, paresthesia, postural hypotension and pruritus.</w:t>
      </w:r>
    </w:p>
    <w:p w:rsidR="00051188" w:rsidRDefault="00051188" w:rsidP="009D78B4">
      <w:pPr>
        <w:widowControl w:val="0"/>
        <w:tabs>
          <w:tab w:val="left" w:pos="0"/>
        </w:tabs>
        <w:rPr>
          <w:snapToGrid w:val="0"/>
          <w:sz w:val="24"/>
          <w:szCs w:val="24"/>
        </w:rPr>
      </w:pPr>
    </w:p>
    <w:p w:rsidR="00051188" w:rsidRDefault="00051188" w:rsidP="009D78B4">
      <w:pPr>
        <w:widowControl w:val="0"/>
        <w:tabs>
          <w:tab w:val="left" w:pos="-720"/>
        </w:tabs>
        <w:rPr>
          <w:sz w:val="24"/>
          <w:szCs w:val="24"/>
        </w:rPr>
      </w:pPr>
      <w:r>
        <w:rPr>
          <w:snapToGrid w:val="0"/>
          <w:sz w:val="24"/>
          <w:szCs w:val="24"/>
        </w:rPr>
        <w:t xml:space="preserve">The safety of </w:t>
      </w:r>
      <w:r>
        <w:rPr>
          <w:caps/>
          <w:sz w:val="24"/>
          <w:szCs w:val="24"/>
        </w:rPr>
        <w:t>Botox</w:t>
      </w:r>
      <w:r>
        <w:rPr>
          <w:caps/>
          <w:sz w:val="24"/>
          <w:szCs w:val="24"/>
          <w:vertAlign w:val="superscript"/>
        </w:rPr>
        <w:sym w:font="Symbol" w:char="F0D2"/>
      </w:r>
      <w:r>
        <w:rPr>
          <w:snapToGrid w:val="0"/>
          <w:sz w:val="24"/>
          <w:szCs w:val="24"/>
        </w:rPr>
        <w:t xml:space="preserve"> was evaluated in 82 patients who received a single treatment for lower limb spasticity associated with stroke in either a double-blind or an open-label study.  The following treatment related adverse events were reported: accidental injury (1.2%), incoordination (1.2%) and paresthesia (1.2%).</w:t>
      </w:r>
      <w:r>
        <w:rPr>
          <w:sz w:val="24"/>
          <w:szCs w:val="24"/>
        </w:rPr>
        <w:t xml:space="preserve">  Adverse events reported were mild to moderate in severity.</w:t>
      </w:r>
    </w:p>
    <w:p w:rsidR="00051188" w:rsidRDefault="00051188" w:rsidP="009D78B4">
      <w:pPr>
        <w:widowControl w:val="0"/>
        <w:tabs>
          <w:tab w:val="left" w:pos="-720"/>
        </w:tabs>
        <w:rPr>
          <w:sz w:val="24"/>
          <w:szCs w:val="24"/>
        </w:rPr>
      </w:pPr>
    </w:p>
    <w:p w:rsidR="00051188" w:rsidRDefault="00051188" w:rsidP="009D78B4">
      <w:pPr>
        <w:widowControl w:val="0"/>
        <w:tabs>
          <w:tab w:val="left" w:pos="-720"/>
        </w:tabs>
        <w:rPr>
          <w:sz w:val="24"/>
          <w:szCs w:val="24"/>
        </w:rPr>
      </w:pPr>
      <w:r>
        <w:rPr>
          <w:sz w:val="24"/>
          <w:szCs w:val="24"/>
        </w:rPr>
        <w:t xml:space="preserve">Of the 56 patients who received </w:t>
      </w:r>
      <w:r>
        <w:rPr>
          <w:caps/>
          <w:sz w:val="24"/>
          <w:szCs w:val="24"/>
        </w:rPr>
        <w:t>Botox</w:t>
      </w:r>
      <w:r>
        <w:rPr>
          <w:caps/>
          <w:sz w:val="24"/>
          <w:szCs w:val="24"/>
          <w:vertAlign w:val="superscript"/>
        </w:rPr>
        <w:sym w:font="Symbol" w:char="F0D2"/>
      </w:r>
      <w:r>
        <w:rPr>
          <w:sz w:val="24"/>
          <w:szCs w:val="24"/>
        </w:rPr>
        <w:t xml:space="preserve"> in the double-blind phase of the study, 44 went on to receive a second injection in the open-label study.  Additional treatment related adverse reactions reported were: hypertonia (4.5%), asthenia (2.3%), headache (2.3%) and hyperkinesia (2.3%).</w:t>
      </w:r>
    </w:p>
    <w:p w:rsidR="00051188" w:rsidRDefault="00051188" w:rsidP="009D78B4">
      <w:pPr>
        <w:widowControl w:val="0"/>
        <w:tabs>
          <w:tab w:val="left" w:pos="-720"/>
        </w:tabs>
        <w:jc w:val="both"/>
        <w:rPr>
          <w:sz w:val="24"/>
          <w:szCs w:val="24"/>
          <w:lang w:val="en-GB"/>
        </w:rPr>
      </w:pPr>
    </w:p>
    <w:p w:rsidR="00051188" w:rsidRDefault="00051188" w:rsidP="009D78B4">
      <w:pPr>
        <w:widowControl w:val="0"/>
        <w:tabs>
          <w:tab w:val="left" w:pos="-720"/>
        </w:tabs>
        <w:jc w:val="both"/>
        <w:rPr>
          <w:b/>
          <w:sz w:val="24"/>
          <w:szCs w:val="24"/>
          <w:lang w:val="en-GB"/>
        </w:rPr>
      </w:pPr>
      <w:r>
        <w:rPr>
          <w:b/>
          <w:sz w:val="24"/>
          <w:szCs w:val="24"/>
          <w:lang w:val="en-GB"/>
        </w:rPr>
        <w:t>Cervical Dystonia (spasmodic torticollis)</w:t>
      </w:r>
    </w:p>
    <w:p w:rsidR="00051188" w:rsidRDefault="00051188" w:rsidP="009D78B4">
      <w:pPr>
        <w:widowControl w:val="0"/>
        <w:jc w:val="both"/>
        <w:rPr>
          <w:sz w:val="24"/>
          <w:szCs w:val="24"/>
          <w:lang w:val="en-GB"/>
        </w:rPr>
      </w:pPr>
      <w:r>
        <w:rPr>
          <w:sz w:val="24"/>
          <w:szCs w:val="24"/>
          <w:lang w:val="en-GB"/>
        </w:rPr>
        <w:lastRenderedPageBreak/>
        <w:t xml:space="preserve">The following adverse events were reported following </w:t>
      </w:r>
      <w:r>
        <w:rPr>
          <w:caps/>
          <w:sz w:val="24"/>
          <w:szCs w:val="24"/>
        </w:rPr>
        <w:t>Botox</w:t>
      </w:r>
      <w:r>
        <w:rPr>
          <w:caps/>
          <w:sz w:val="24"/>
          <w:szCs w:val="24"/>
          <w:vertAlign w:val="superscript"/>
        </w:rPr>
        <w:sym w:font="Symbol" w:char="F0D2"/>
      </w:r>
      <w:r>
        <w:rPr>
          <w:sz w:val="24"/>
          <w:szCs w:val="24"/>
          <w:lang w:val="en-GB"/>
        </w:rPr>
        <w:t xml:space="preserve"> treatment for cervical dystonia.  Patients received an average dose of 155 U (range 100 – 300 U).</w:t>
      </w:r>
    </w:p>
    <w:p w:rsidR="00051188" w:rsidRDefault="00051188" w:rsidP="009D78B4">
      <w:pPr>
        <w:widowControl w:val="0"/>
        <w:jc w:val="both"/>
        <w:rPr>
          <w:rFonts w:ascii="Arial" w:hAnsi="Arial"/>
          <w:b/>
          <w:lang w:val="en-G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32"/>
        <w:gridCol w:w="2541"/>
      </w:tblGrid>
      <w:tr w:rsidR="00051188">
        <w:trPr>
          <w:tblHeader/>
        </w:trPr>
        <w:tc>
          <w:tcPr>
            <w:tcW w:w="2732" w:type="dxa"/>
            <w:tcBorders>
              <w:bottom w:val="nil"/>
            </w:tcBorders>
          </w:tcPr>
          <w:p w:rsidR="00051188" w:rsidRPr="00112664" w:rsidRDefault="00051188" w:rsidP="009D78B4">
            <w:pPr>
              <w:widowControl w:val="0"/>
              <w:tabs>
                <w:tab w:val="left" w:pos="3240"/>
              </w:tabs>
              <w:ind w:left="284"/>
              <w:jc w:val="center"/>
              <w:rPr>
                <w:b/>
                <w:smallCaps/>
                <w:sz w:val="24"/>
                <w:szCs w:val="24"/>
                <w:lang w:val="en-GB"/>
              </w:rPr>
            </w:pPr>
            <w:r w:rsidRPr="00112664">
              <w:rPr>
                <w:b/>
                <w:smallCaps/>
                <w:sz w:val="24"/>
                <w:szCs w:val="24"/>
                <w:lang w:val="en-GB"/>
              </w:rPr>
              <w:t>Adverse Event</w:t>
            </w:r>
          </w:p>
        </w:tc>
        <w:tc>
          <w:tcPr>
            <w:tcW w:w="2541" w:type="dxa"/>
            <w:tcBorders>
              <w:bottom w:val="nil"/>
            </w:tcBorders>
          </w:tcPr>
          <w:p w:rsidR="00051188" w:rsidRPr="00112664" w:rsidRDefault="00051188" w:rsidP="009D78B4">
            <w:pPr>
              <w:widowControl w:val="0"/>
              <w:tabs>
                <w:tab w:val="left" w:pos="3240"/>
              </w:tabs>
              <w:jc w:val="center"/>
              <w:rPr>
                <w:b/>
                <w:sz w:val="24"/>
                <w:szCs w:val="24"/>
                <w:lang w:val="en-GB"/>
              </w:rPr>
            </w:pPr>
            <w:r w:rsidRPr="00112664">
              <w:rPr>
                <w:b/>
                <w:caps/>
                <w:sz w:val="24"/>
                <w:szCs w:val="24"/>
                <w:lang w:val="en-GB"/>
              </w:rPr>
              <w:t>Botox</w:t>
            </w:r>
            <w:r w:rsidRPr="00112664">
              <w:rPr>
                <w:b/>
                <w:caps/>
                <w:position w:val="2"/>
                <w:sz w:val="24"/>
                <w:szCs w:val="24"/>
                <w:vertAlign w:val="superscript"/>
                <w:lang w:val="en-GB"/>
              </w:rPr>
              <w:sym w:font="Symbol" w:char="F0D2"/>
            </w:r>
          </w:p>
          <w:p w:rsidR="00051188" w:rsidRPr="00112664" w:rsidRDefault="00051188" w:rsidP="009D78B4">
            <w:pPr>
              <w:widowControl w:val="0"/>
              <w:tabs>
                <w:tab w:val="left" w:pos="3240"/>
              </w:tabs>
              <w:jc w:val="center"/>
              <w:rPr>
                <w:b/>
                <w:sz w:val="24"/>
                <w:szCs w:val="24"/>
                <w:lang w:val="en-GB"/>
              </w:rPr>
            </w:pPr>
            <w:r w:rsidRPr="00112664">
              <w:rPr>
                <w:b/>
                <w:sz w:val="24"/>
                <w:szCs w:val="24"/>
                <w:lang w:val="en-GB"/>
              </w:rPr>
              <w:t>(n = 131)</w:t>
            </w:r>
          </w:p>
        </w:tc>
      </w:tr>
      <w:tr w:rsidR="00051188">
        <w:trPr>
          <w:cantSplit/>
        </w:trPr>
        <w:tc>
          <w:tcPr>
            <w:tcW w:w="2732" w:type="dxa"/>
            <w:tcBorders>
              <w:bottom w:val="nil"/>
            </w:tcBorders>
          </w:tcPr>
          <w:p w:rsidR="00051188" w:rsidRPr="00112664" w:rsidRDefault="00051188" w:rsidP="009D78B4">
            <w:pPr>
              <w:widowControl w:val="0"/>
              <w:tabs>
                <w:tab w:val="left" w:pos="3240"/>
              </w:tabs>
              <w:ind w:left="454"/>
              <w:jc w:val="both"/>
              <w:rPr>
                <w:sz w:val="24"/>
                <w:szCs w:val="24"/>
                <w:lang w:val="en-GB"/>
              </w:rPr>
            </w:pPr>
            <w:r w:rsidRPr="00112664">
              <w:rPr>
                <w:sz w:val="24"/>
                <w:szCs w:val="24"/>
                <w:lang w:val="en-GB"/>
              </w:rPr>
              <w:t>Body as a whole:</w:t>
            </w:r>
          </w:p>
        </w:tc>
        <w:tc>
          <w:tcPr>
            <w:tcW w:w="2541" w:type="dxa"/>
            <w:tcBorders>
              <w:bottom w:val="nil"/>
            </w:tcBorders>
          </w:tcPr>
          <w:p w:rsidR="00051188" w:rsidRPr="00112664" w:rsidRDefault="00051188" w:rsidP="009D78B4">
            <w:pPr>
              <w:widowControl w:val="0"/>
              <w:tabs>
                <w:tab w:val="left" w:pos="3240"/>
              </w:tabs>
              <w:jc w:val="center"/>
              <w:rPr>
                <w:sz w:val="24"/>
                <w:szCs w:val="24"/>
                <w:lang w:val="en-GB"/>
              </w:rPr>
            </w:pPr>
          </w:p>
        </w:tc>
      </w:tr>
      <w:tr w:rsidR="00051188">
        <w:trPr>
          <w:cantSplit/>
        </w:trPr>
        <w:tc>
          <w:tcPr>
            <w:tcW w:w="2732" w:type="dxa"/>
            <w:tcBorders>
              <w:top w:val="nil"/>
              <w:bottom w:val="nil"/>
            </w:tcBorders>
          </w:tcPr>
          <w:p w:rsidR="00051188" w:rsidRPr="00112664" w:rsidRDefault="00051188" w:rsidP="009D78B4">
            <w:pPr>
              <w:pStyle w:val="CommentText"/>
              <w:widowControl w:val="0"/>
              <w:tabs>
                <w:tab w:val="left" w:pos="3240"/>
              </w:tabs>
              <w:ind w:left="454"/>
              <w:jc w:val="both"/>
              <w:rPr>
                <w:rFonts w:ascii="Times New Roman" w:hAnsi="Times New Roman"/>
                <w:sz w:val="24"/>
                <w:szCs w:val="24"/>
                <w:lang w:val="en-GB"/>
              </w:rPr>
            </w:pPr>
            <w:r w:rsidRPr="00112664">
              <w:rPr>
                <w:rFonts w:ascii="Times New Roman" w:hAnsi="Times New Roman"/>
                <w:sz w:val="24"/>
                <w:szCs w:val="24"/>
                <w:lang w:val="en-GB"/>
              </w:rPr>
              <w:t>- neck pain</w:t>
            </w:r>
          </w:p>
        </w:tc>
        <w:tc>
          <w:tcPr>
            <w:tcW w:w="2541" w:type="dxa"/>
            <w:tcBorders>
              <w:top w:val="nil"/>
              <w:bottom w:val="nil"/>
            </w:tcBorders>
          </w:tcPr>
          <w:p w:rsidR="00051188" w:rsidRPr="00112664" w:rsidRDefault="00051188" w:rsidP="009D78B4">
            <w:pPr>
              <w:widowControl w:val="0"/>
              <w:tabs>
                <w:tab w:val="left" w:pos="3240"/>
              </w:tabs>
              <w:jc w:val="center"/>
              <w:rPr>
                <w:sz w:val="24"/>
                <w:szCs w:val="24"/>
                <w:lang w:val="en-GB"/>
              </w:rPr>
            </w:pPr>
            <w:r w:rsidRPr="00112664">
              <w:rPr>
                <w:sz w:val="24"/>
                <w:szCs w:val="24"/>
                <w:lang w:val="en-GB"/>
              </w:rPr>
              <w:t>5.3%</w:t>
            </w:r>
          </w:p>
        </w:tc>
      </w:tr>
      <w:tr w:rsidR="00051188">
        <w:trPr>
          <w:cantSplit/>
        </w:trPr>
        <w:tc>
          <w:tcPr>
            <w:tcW w:w="2732" w:type="dxa"/>
            <w:tcBorders>
              <w:top w:val="nil"/>
              <w:bottom w:val="nil"/>
            </w:tcBorders>
          </w:tcPr>
          <w:p w:rsidR="00051188" w:rsidRPr="00112664" w:rsidRDefault="00051188" w:rsidP="009D78B4">
            <w:pPr>
              <w:widowControl w:val="0"/>
              <w:tabs>
                <w:tab w:val="left" w:pos="3240"/>
              </w:tabs>
              <w:ind w:left="454"/>
              <w:jc w:val="both"/>
              <w:rPr>
                <w:sz w:val="24"/>
                <w:szCs w:val="24"/>
                <w:lang w:val="en-GB"/>
              </w:rPr>
            </w:pPr>
            <w:r w:rsidRPr="00112664">
              <w:rPr>
                <w:sz w:val="24"/>
                <w:szCs w:val="24"/>
                <w:lang w:val="en-GB"/>
              </w:rPr>
              <w:t>- asthenia</w:t>
            </w:r>
          </w:p>
        </w:tc>
        <w:tc>
          <w:tcPr>
            <w:tcW w:w="2541" w:type="dxa"/>
            <w:tcBorders>
              <w:top w:val="nil"/>
              <w:bottom w:val="nil"/>
            </w:tcBorders>
          </w:tcPr>
          <w:p w:rsidR="00051188" w:rsidRPr="00112664" w:rsidRDefault="00051188" w:rsidP="009D78B4">
            <w:pPr>
              <w:widowControl w:val="0"/>
              <w:tabs>
                <w:tab w:val="left" w:pos="3240"/>
              </w:tabs>
              <w:jc w:val="center"/>
              <w:rPr>
                <w:sz w:val="24"/>
                <w:szCs w:val="24"/>
                <w:lang w:val="en-GB"/>
              </w:rPr>
            </w:pPr>
            <w:r w:rsidRPr="00112664">
              <w:rPr>
                <w:sz w:val="24"/>
                <w:szCs w:val="24"/>
                <w:lang w:val="en-GB"/>
              </w:rPr>
              <w:t>3.1%</w:t>
            </w:r>
          </w:p>
        </w:tc>
      </w:tr>
      <w:tr w:rsidR="00051188">
        <w:trPr>
          <w:cantSplit/>
        </w:trPr>
        <w:tc>
          <w:tcPr>
            <w:tcW w:w="2732" w:type="dxa"/>
            <w:tcBorders>
              <w:top w:val="nil"/>
              <w:bottom w:val="nil"/>
            </w:tcBorders>
          </w:tcPr>
          <w:p w:rsidR="00051188" w:rsidRPr="00112664" w:rsidRDefault="00051188" w:rsidP="009D78B4">
            <w:pPr>
              <w:widowControl w:val="0"/>
              <w:tabs>
                <w:tab w:val="left" w:pos="3240"/>
              </w:tabs>
              <w:ind w:left="454"/>
              <w:jc w:val="both"/>
              <w:rPr>
                <w:sz w:val="24"/>
                <w:szCs w:val="24"/>
                <w:lang w:val="en-GB"/>
              </w:rPr>
            </w:pPr>
            <w:r w:rsidRPr="00112664">
              <w:rPr>
                <w:sz w:val="24"/>
                <w:szCs w:val="24"/>
                <w:lang w:val="en-GB"/>
              </w:rPr>
              <w:t>- headache</w:t>
            </w:r>
          </w:p>
        </w:tc>
        <w:tc>
          <w:tcPr>
            <w:tcW w:w="2541" w:type="dxa"/>
            <w:tcBorders>
              <w:top w:val="nil"/>
              <w:bottom w:val="nil"/>
            </w:tcBorders>
          </w:tcPr>
          <w:p w:rsidR="00051188" w:rsidRPr="00112664" w:rsidRDefault="00051188" w:rsidP="009D78B4">
            <w:pPr>
              <w:widowControl w:val="0"/>
              <w:tabs>
                <w:tab w:val="left" w:pos="3240"/>
              </w:tabs>
              <w:jc w:val="center"/>
              <w:rPr>
                <w:sz w:val="24"/>
                <w:szCs w:val="24"/>
                <w:lang w:val="en-GB"/>
              </w:rPr>
            </w:pPr>
            <w:r w:rsidRPr="00112664">
              <w:rPr>
                <w:sz w:val="24"/>
                <w:szCs w:val="24"/>
                <w:lang w:val="en-GB"/>
              </w:rPr>
              <w:t>1.5%</w:t>
            </w:r>
          </w:p>
        </w:tc>
      </w:tr>
      <w:tr w:rsidR="00051188">
        <w:trPr>
          <w:cantSplit/>
        </w:trPr>
        <w:tc>
          <w:tcPr>
            <w:tcW w:w="2732" w:type="dxa"/>
            <w:tcBorders>
              <w:top w:val="nil"/>
              <w:bottom w:val="nil"/>
            </w:tcBorders>
          </w:tcPr>
          <w:p w:rsidR="00051188" w:rsidRPr="00112664" w:rsidRDefault="00051188" w:rsidP="009D78B4">
            <w:pPr>
              <w:widowControl w:val="0"/>
              <w:tabs>
                <w:tab w:val="left" w:pos="3240"/>
              </w:tabs>
              <w:ind w:left="454"/>
              <w:jc w:val="both"/>
              <w:rPr>
                <w:sz w:val="24"/>
                <w:szCs w:val="24"/>
                <w:lang w:val="en-GB"/>
              </w:rPr>
            </w:pPr>
            <w:r w:rsidRPr="00112664">
              <w:rPr>
                <w:sz w:val="24"/>
                <w:szCs w:val="24"/>
                <w:lang w:val="en-GB"/>
              </w:rPr>
              <w:t>- pain at injection site</w:t>
            </w:r>
          </w:p>
        </w:tc>
        <w:tc>
          <w:tcPr>
            <w:tcW w:w="2541" w:type="dxa"/>
            <w:tcBorders>
              <w:top w:val="nil"/>
              <w:bottom w:val="nil"/>
            </w:tcBorders>
          </w:tcPr>
          <w:p w:rsidR="00051188" w:rsidRPr="00112664" w:rsidRDefault="00051188" w:rsidP="009D78B4">
            <w:pPr>
              <w:widowControl w:val="0"/>
              <w:tabs>
                <w:tab w:val="left" w:pos="3240"/>
              </w:tabs>
              <w:jc w:val="center"/>
              <w:rPr>
                <w:sz w:val="24"/>
                <w:szCs w:val="24"/>
                <w:lang w:val="en-GB"/>
              </w:rPr>
            </w:pPr>
            <w:r w:rsidRPr="00112664">
              <w:rPr>
                <w:sz w:val="24"/>
                <w:szCs w:val="24"/>
                <w:lang w:val="en-GB"/>
              </w:rPr>
              <w:t>1.5%</w:t>
            </w:r>
          </w:p>
        </w:tc>
      </w:tr>
      <w:tr w:rsidR="00051188">
        <w:trPr>
          <w:cantSplit/>
        </w:trPr>
        <w:tc>
          <w:tcPr>
            <w:tcW w:w="2732" w:type="dxa"/>
            <w:tcBorders>
              <w:top w:val="nil"/>
              <w:bottom w:val="nil"/>
            </w:tcBorders>
          </w:tcPr>
          <w:p w:rsidR="00051188" w:rsidRPr="00112664" w:rsidRDefault="00051188" w:rsidP="009D78B4">
            <w:pPr>
              <w:widowControl w:val="0"/>
              <w:tabs>
                <w:tab w:val="left" w:pos="3240"/>
              </w:tabs>
              <w:ind w:left="454"/>
              <w:jc w:val="both"/>
              <w:rPr>
                <w:sz w:val="24"/>
                <w:szCs w:val="24"/>
                <w:lang w:val="en-GB"/>
              </w:rPr>
            </w:pPr>
            <w:r w:rsidRPr="00112664">
              <w:rPr>
                <w:sz w:val="24"/>
                <w:szCs w:val="24"/>
                <w:lang w:val="en-GB"/>
              </w:rPr>
              <w:t>Digestive system</w:t>
            </w:r>
          </w:p>
        </w:tc>
        <w:tc>
          <w:tcPr>
            <w:tcW w:w="2541" w:type="dxa"/>
            <w:tcBorders>
              <w:top w:val="nil"/>
              <w:bottom w:val="nil"/>
            </w:tcBorders>
          </w:tcPr>
          <w:p w:rsidR="00051188" w:rsidRPr="00112664" w:rsidRDefault="00051188" w:rsidP="009D78B4">
            <w:pPr>
              <w:widowControl w:val="0"/>
              <w:tabs>
                <w:tab w:val="left" w:pos="3240"/>
              </w:tabs>
              <w:jc w:val="center"/>
              <w:rPr>
                <w:sz w:val="24"/>
                <w:szCs w:val="24"/>
                <w:lang w:val="en-GB"/>
              </w:rPr>
            </w:pPr>
          </w:p>
        </w:tc>
      </w:tr>
      <w:tr w:rsidR="00051188">
        <w:trPr>
          <w:cantSplit/>
        </w:trPr>
        <w:tc>
          <w:tcPr>
            <w:tcW w:w="2732" w:type="dxa"/>
            <w:tcBorders>
              <w:top w:val="nil"/>
              <w:bottom w:val="nil"/>
            </w:tcBorders>
          </w:tcPr>
          <w:p w:rsidR="00051188" w:rsidRPr="00112664" w:rsidRDefault="00051188" w:rsidP="009D78B4">
            <w:pPr>
              <w:widowControl w:val="0"/>
              <w:tabs>
                <w:tab w:val="left" w:pos="3240"/>
              </w:tabs>
              <w:ind w:left="454" w:hanging="270"/>
              <w:jc w:val="both"/>
              <w:rPr>
                <w:sz w:val="24"/>
                <w:szCs w:val="24"/>
                <w:lang w:val="en-GB"/>
              </w:rPr>
            </w:pPr>
            <w:r w:rsidRPr="00112664">
              <w:rPr>
                <w:sz w:val="24"/>
                <w:szCs w:val="24"/>
                <w:lang w:val="en-GB"/>
              </w:rPr>
              <w:t xml:space="preserve">      - dysphagia</w:t>
            </w:r>
          </w:p>
        </w:tc>
        <w:tc>
          <w:tcPr>
            <w:tcW w:w="2541" w:type="dxa"/>
            <w:tcBorders>
              <w:top w:val="nil"/>
              <w:bottom w:val="nil"/>
            </w:tcBorders>
          </w:tcPr>
          <w:p w:rsidR="00051188" w:rsidRPr="00112664" w:rsidRDefault="00051188" w:rsidP="009D78B4">
            <w:pPr>
              <w:widowControl w:val="0"/>
              <w:tabs>
                <w:tab w:val="left" w:pos="3240"/>
              </w:tabs>
              <w:jc w:val="center"/>
              <w:rPr>
                <w:sz w:val="24"/>
                <w:szCs w:val="24"/>
                <w:lang w:val="en-GB"/>
              </w:rPr>
            </w:pPr>
            <w:r w:rsidRPr="00112664">
              <w:rPr>
                <w:sz w:val="24"/>
                <w:szCs w:val="24"/>
                <w:lang w:val="en-GB"/>
              </w:rPr>
              <w:t>12.2%</w:t>
            </w:r>
          </w:p>
        </w:tc>
      </w:tr>
      <w:tr w:rsidR="00051188">
        <w:trPr>
          <w:cantSplit/>
        </w:trPr>
        <w:tc>
          <w:tcPr>
            <w:tcW w:w="2732" w:type="dxa"/>
            <w:tcBorders>
              <w:top w:val="nil"/>
              <w:bottom w:val="nil"/>
            </w:tcBorders>
          </w:tcPr>
          <w:p w:rsidR="00051188" w:rsidRPr="00112664" w:rsidRDefault="00051188" w:rsidP="009D78B4">
            <w:pPr>
              <w:widowControl w:val="0"/>
              <w:tabs>
                <w:tab w:val="left" w:pos="3240"/>
              </w:tabs>
              <w:ind w:left="454"/>
              <w:jc w:val="both"/>
              <w:rPr>
                <w:sz w:val="24"/>
                <w:szCs w:val="24"/>
                <w:lang w:val="en-GB"/>
              </w:rPr>
            </w:pPr>
            <w:r w:rsidRPr="00112664">
              <w:rPr>
                <w:sz w:val="24"/>
                <w:szCs w:val="24"/>
                <w:lang w:val="en-GB"/>
              </w:rPr>
              <w:t>Muscular system</w:t>
            </w:r>
          </w:p>
        </w:tc>
        <w:tc>
          <w:tcPr>
            <w:tcW w:w="2541" w:type="dxa"/>
            <w:tcBorders>
              <w:top w:val="nil"/>
              <w:bottom w:val="nil"/>
            </w:tcBorders>
          </w:tcPr>
          <w:p w:rsidR="00051188" w:rsidRPr="00112664" w:rsidRDefault="00051188" w:rsidP="009D78B4">
            <w:pPr>
              <w:widowControl w:val="0"/>
              <w:tabs>
                <w:tab w:val="left" w:pos="3240"/>
              </w:tabs>
              <w:jc w:val="center"/>
              <w:rPr>
                <w:sz w:val="24"/>
                <w:szCs w:val="24"/>
                <w:lang w:val="en-GB"/>
              </w:rPr>
            </w:pPr>
          </w:p>
        </w:tc>
      </w:tr>
      <w:tr w:rsidR="00051188">
        <w:trPr>
          <w:cantSplit/>
        </w:trPr>
        <w:tc>
          <w:tcPr>
            <w:tcW w:w="2732" w:type="dxa"/>
            <w:tcBorders>
              <w:top w:val="nil"/>
              <w:bottom w:val="single" w:sz="4" w:space="0" w:color="auto"/>
            </w:tcBorders>
          </w:tcPr>
          <w:p w:rsidR="00051188" w:rsidRPr="00112664" w:rsidRDefault="00051188" w:rsidP="009D78B4">
            <w:pPr>
              <w:widowControl w:val="0"/>
              <w:tabs>
                <w:tab w:val="left" w:pos="3240"/>
              </w:tabs>
              <w:ind w:left="454"/>
              <w:jc w:val="both"/>
              <w:rPr>
                <w:sz w:val="24"/>
                <w:szCs w:val="24"/>
                <w:lang w:val="en-GB"/>
              </w:rPr>
            </w:pPr>
            <w:r w:rsidRPr="00112664">
              <w:rPr>
                <w:sz w:val="24"/>
                <w:szCs w:val="24"/>
                <w:lang w:val="en-GB"/>
              </w:rPr>
              <w:t>- muscle weakness</w:t>
            </w:r>
          </w:p>
        </w:tc>
        <w:tc>
          <w:tcPr>
            <w:tcW w:w="2541" w:type="dxa"/>
            <w:tcBorders>
              <w:top w:val="nil"/>
              <w:bottom w:val="single" w:sz="4" w:space="0" w:color="auto"/>
            </w:tcBorders>
          </w:tcPr>
          <w:p w:rsidR="00051188" w:rsidRPr="00112664" w:rsidRDefault="00051188" w:rsidP="009D78B4">
            <w:pPr>
              <w:widowControl w:val="0"/>
              <w:tabs>
                <w:tab w:val="left" w:pos="3240"/>
              </w:tabs>
              <w:jc w:val="center"/>
              <w:rPr>
                <w:sz w:val="24"/>
                <w:szCs w:val="24"/>
                <w:lang w:val="en-GB"/>
              </w:rPr>
            </w:pPr>
            <w:r w:rsidRPr="00112664">
              <w:rPr>
                <w:sz w:val="24"/>
                <w:szCs w:val="24"/>
                <w:lang w:val="en-GB"/>
              </w:rPr>
              <w:t>0.8%</w:t>
            </w:r>
          </w:p>
        </w:tc>
      </w:tr>
    </w:tbl>
    <w:p w:rsidR="00051188" w:rsidRDefault="00051188" w:rsidP="009D78B4">
      <w:pPr>
        <w:widowControl w:val="0"/>
        <w:jc w:val="both"/>
        <w:rPr>
          <w:rFonts w:ascii="Arial" w:hAnsi="Arial"/>
          <w:b/>
          <w:lang w:val="en-GB"/>
        </w:rPr>
      </w:pPr>
    </w:p>
    <w:p w:rsidR="00051188" w:rsidRDefault="00051188" w:rsidP="009D78B4">
      <w:pPr>
        <w:widowControl w:val="0"/>
        <w:ind w:right="-108"/>
        <w:rPr>
          <w:sz w:val="24"/>
          <w:szCs w:val="24"/>
          <w:lang w:val="en-GB"/>
        </w:rPr>
      </w:pPr>
      <w:r>
        <w:rPr>
          <w:sz w:val="24"/>
          <w:szCs w:val="24"/>
          <w:lang w:val="en-GB"/>
        </w:rPr>
        <w:t xml:space="preserve">Dysphagia was the most commonly reported adverse event after treatment with </w:t>
      </w:r>
      <w:r>
        <w:rPr>
          <w:caps/>
          <w:sz w:val="24"/>
          <w:szCs w:val="24"/>
        </w:rPr>
        <w:t>Botox</w:t>
      </w:r>
      <w:r>
        <w:rPr>
          <w:caps/>
          <w:sz w:val="24"/>
          <w:szCs w:val="24"/>
          <w:vertAlign w:val="superscript"/>
        </w:rPr>
        <w:sym w:font="Symbol" w:char="F0D2"/>
      </w:r>
      <w:r>
        <w:rPr>
          <w:sz w:val="24"/>
          <w:szCs w:val="24"/>
          <w:lang w:val="en-GB"/>
        </w:rPr>
        <w:t xml:space="preserve">.  Dysphagia and symptomatic general weakness may be attributable to an extension of the pharmacology of </w:t>
      </w:r>
      <w:r>
        <w:rPr>
          <w:caps/>
          <w:sz w:val="24"/>
          <w:szCs w:val="24"/>
        </w:rPr>
        <w:t>Botox</w:t>
      </w:r>
      <w:r>
        <w:rPr>
          <w:caps/>
          <w:sz w:val="24"/>
          <w:szCs w:val="24"/>
          <w:vertAlign w:val="superscript"/>
        </w:rPr>
        <w:sym w:font="Symbol" w:char="F0D2"/>
      </w:r>
      <w:r>
        <w:rPr>
          <w:sz w:val="24"/>
          <w:szCs w:val="24"/>
          <w:lang w:val="en-GB"/>
        </w:rPr>
        <w:t xml:space="preserve"> resulting from the spread of the toxin outside the injected muscles.  Dysphagia is usually reported as mild to moderate severity in most patients.  However, in an occasional patient it may be associated with more severe problems. Limiting the dose injected into the sternocleidomastoid muscle to less than 100 U may decrease the occurrence of dysphagia.  (See </w:t>
      </w:r>
      <w:r>
        <w:rPr>
          <w:b/>
          <w:sz w:val="24"/>
          <w:szCs w:val="24"/>
          <w:lang w:val="en-GB"/>
        </w:rPr>
        <w:t>Precautions</w:t>
      </w:r>
      <w:r>
        <w:rPr>
          <w:sz w:val="24"/>
          <w:szCs w:val="24"/>
          <w:lang w:val="en-GB"/>
        </w:rPr>
        <w:t>).</w:t>
      </w:r>
    </w:p>
    <w:p w:rsidR="00051188" w:rsidRDefault="00051188" w:rsidP="009D78B4">
      <w:pPr>
        <w:widowControl w:val="0"/>
        <w:ind w:right="-108"/>
        <w:rPr>
          <w:sz w:val="24"/>
          <w:szCs w:val="24"/>
          <w:lang w:val="en-GB"/>
        </w:rPr>
      </w:pPr>
    </w:p>
    <w:p w:rsidR="00051188" w:rsidRDefault="00051188" w:rsidP="009D78B4">
      <w:pPr>
        <w:widowControl w:val="0"/>
        <w:rPr>
          <w:sz w:val="24"/>
          <w:szCs w:val="24"/>
          <w:lang w:val="en-GB"/>
        </w:rPr>
      </w:pPr>
      <w:r>
        <w:rPr>
          <w:sz w:val="24"/>
          <w:szCs w:val="24"/>
          <w:lang w:val="en-GB"/>
        </w:rPr>
        <w:t xml:space="preserve">Neck pain due to </w:t>
      </w:r>
      <w:r>
        <w:rPr>
          <w:caps/>
          <w:sz w:val="24"/>
          <w:szCs w:val="24"/>
        </w:rPr>
        <w:t>Botox</w:t>
      </w:r>
      <w:r>
        <w:rPr>
          <w:caps/>
          <w:sz w:val="24"/>
          <w:szCs w:val="24"/>
          <w:vertAlign w:val="superscript"/>
        </w:rPr>
        <w:sym w:font="Symbol" w:char="F0D2"/>
      </w:r>
      <w:r>
        <w:rPr>
          <w:sz w:val="24"/>
          <w:szCs w:val="24"/>
          <w:lang w:val="en-GB"/>
        </w:rPr>
        <w:t xml:space="preserve"> injection may be due to a change in resting tone for the contralateral muscles, or other muscles not previously affected by dystonia.  In rare instances, neck pain has been severe.  Dysphonia has also been reported in the literature for patients who have been treated for cervical dystonia.  Rhinitis has also been reported.</w:t>
      </w:r>
    </w:p>
    <w:p w:rsidR="00051188" w:rsidRDefault="00051188" w:rsidP="009D78B4">
      <w:pPr>
        <w:widowControl w:val="0"/>
        <w:rPr>
          <w:strike/>
          <w:sz w:val="24"/>
          <w:szCs w:val="24"/>
          <w:lang w:val="en-GB"/>
        </w:rPr>
      </w:pPr>
    </w:p>
    <w:p w:rsidR="00051188" w:rsidRDefault="00051188" w:rsidP="009D78B4">
      <w:pPr>
        <w:pStyle w:val="Heading1"/>
        <w:keepNext w:val="0"/>
        <w:widowControl w:val="0"/>
        <w:tabs>
          <w:tab w:val="clear" w:pos="-720"/>
        </w:tabs>
        <w:rPr>
          <w:i w:val="0"/>
          <w:szCs w:val="24"/>
        </w:rPr>
      </w:pPr>
      <w:r>
        <w:rPr>
          <w:i w:val="0"/>
          <w:szCs w:val="24"/>
        </w:rPr>
        <w:t>Primary Hyperhidrosis of the Axillae</w:t>
      </w:r>
    </w:p>
    <w:p w:rsidR="00051188" w:rsidRDefault="00051188" w:rsidP="009D78B4">
      <w:pPr>
        <w:widowControl w:val="0"/>
        <w:tabs>
          <w:tab w:val="left" w:pos="-720"/>
        </w:tabs>
        <w:rPr>
          <w:sz w:val="24"/>
          <w:szCs w:val="24"/>
          <w:lang w:val="en-GB"/>
        </w:rPr>
      </w:pPr>
      <w:r>
        <w:rPr>
          <w:sz w:val="24"/>
          <w:szCs w:val="24"/>
          <w:lang w:val="en-GB"/>
        </w:rPr>
        <w:t xml:space="preserve">The safety of </w:t>
      </w:r>
      <w:r>
        <w:rPr>
          <w:caps/>
          <w:sz w:val="24"/>
          <w:szCs w:val="24"/>
        </w:rPr>
        <w:t>Botox</w:t>
      </w:r>
      <w:r>
        <w:rPr>
          <w:caps/>
          <w:sz w:val="24"/>
          <w:szCs w:val="24"/>
          <w:vertAlign w:val="superscript"/>
        </w:rPr>
        <w:sym w:font="Symbol" w:char="F0D2"/>
      </w:r>
      <w:r>
        <w:rPr>
          <w:sz w:val="24"/>
          <w:szCs w:val="24"/>
          <w:lang w:val="en-GB"/>
        </w:rPr>
        <w:t xml:space="preserve"> was evaluated in 287 patients who received at least 1 treatment exposure of primary hyperhidrosis of the axillae in double-blind and open-label studies.  Adverse events reported as treatment related in greater than 1% of </w:t>
      </w:r>
      <w:r>
        <w:rPr>
          <w:caps/>
          <w:sz w:val="24"/>
          <w:szCs w:val="24"/>
        </w:rPr>
        <w:t>Botox</w:t>
      </w:r>
      <w:r>
        <w:rPr>
          <w:caps/>
          <w:sz w:val="24"/>
          <w:szCs w:val="24"/>
          <w:vertAlign w:val="superscript"/>
        </w:rPr>
        <w:sym w:font="Symbol" w:char="F0D2"/>
      </w:r>
      <w:r>
        <w:rPr>
          <w:caps/>
          <w:sz w:val="24"/>
          <w:szCs w:val="24"/>
        </w:rPr>
        <w:t>-</w:t>
      </w:r>
      <w:r>
        <w:rPr>
          <w:sz w:val="24"/>
          <w:szCs w:val="24"/>
          <w:lang w:val="en-GB"/>
        </w:rPr>
        <w:t>treated patients are listed in decreasing order of incidence: perceived increase in non-axillary sweating (4.5%), injection site pain (1.7%), pain (1.4%) and vasodilation (hot flushes) (1.0%).  Two of 207 subjects (1.0%) who received repeated injections of BOTOX</w:t>
      </w:r>
      <w:r>
        <w:rPr>
          <w:sz w:val="24"/>
          <w:szCs w:val="24"/>
          <w:vertAlign w:val="superscript"/>
          <w:lang w:val="en-GB"/>
        </w:rPr>
        <w:sym w:font="Symbol" w:char="F0D2"/>
      </w:r>
      <w:r>
        <w:rPr>
          <w:sz w:val="24"/>
          <w:szCs w:val="24"/>
          <w:vertAlign w:val="superscript"/>
          <w:lang w:val="en-GB"/>
        </w:rPr>
        <w:t xml:space="preserve"> </w:t>
      </w:r>
      <w:r>
        <w:rPr>
          <w:sz w:val="24"/>
          <w:szCs w:val="24"/>
          <w:lang w:val="en-GB"/>
        </w:rPr>
        <w:t>developed transient arm weakness.  Body odour has also been reported.</w:t>
      </w:r>
    </w:p>
    <w:p w:rsidR="00051188" w:rsidRDefault="00051188" w:rsidP="009D78B4">
      <w:pPr>
        <w:widowControl w:val="0"/>
        <w:tabs>
          <w:tab w:val="left" w:pos="-720"/>
        </w:tabs>
        <w:rPr>
          <w:sz w:val="24"/>
          <w:szCs w:val="24"/>
          <w:lang w:val="en-GB"/>
        </w:rPr>
      </w:pPr>
    </w:p>
    <w:p w:rsidR="00051188" w:rsidRDefault="00051188" w:rsidP="009D78B4">
      <w:pPr>
        <w:widowControl w:val="0"/>
        <w:spacing w:line="240" w:lineRule="atLeast"/>
        <w:ind w:right="117"/>
        <w:rPr>
          <w:b/>
          <w:i/>
          <w:sz w:val="24"/>
        </w:rPr>
      </w:pPr>
      <w:r>
        <w:rPr>
          <w:b/>
          <w:sz w:val="24"/>
        </w:rPr>
        <w:t>Spasmodic Dysphonia</w:t>
      </w:r>
    </w:p>
    <w:p w:rsidR="00051188" w:rsidRDefault="00051188" w:rsidP="009D78B4">
      <w:pPr>
        <w:widowControl w:val="0"/>
        <w:spacing w:line="240" w:lineRule="atLeast"/>
        <w:ind w:right="117"/>
        <w:rPr>
          <w:sz w:val="24"/>
        </w:rPr>
      </w:pPr>
      <w:r>
        <w:rPr>
          <w:sz w:val="24"/>
        </w:rPr>
        <w:t>In the largest series reported of BOTOX</w:t>
      </w:r>
      <w:r>
        <w:rPr>
          <w:sz w:val="24"/>
          <w:vertAlign w:val="superscript"/>
        </w:rPr>
        <w:t xml:space="preserve">® </w:t>
      </w:r>
      <w:r>
        <w:rPr>
          <w:sz w:val="24"/>
        </w:rPr>
        <w:t>treatment for this disorder common adverse events after treatment with BOTOX</w:t>
      </w:r>
      <w:r>
        <w:rPr>
          <w:sz w:val="24"/>
          <w:vertAlign w:val="superscript"/>
        </w:rPr>
        <w:t>®</w:t>
      </w:r>
      <w:r>
        <w:rPr>
          <w:sz w:val="24"/>
        </w:rPr>
        <w:t xml:space="preserve"> were breathy dysphonia (47.6% of all treatment sessions), dysphagia (14.9%) and aspiration (5.9%) for adductor spasmodic dysphonia and dysphagia (11.2%) and stridor (6.9%) for abductor dysphonia.</w:t>
      </w:r>
    </w:p>
    <w:p w:rsidR="00051188" w:rsidRDefault="00051188" w:rsidP="009D78B4">
      <w:pPr>
        <w:widowControl w:val="0"/>
        <w:spacing w:line="240" w:lineRule="atLeast"/>
        <w:ind w:right="117"/>
        <w:rPr>
          <w:sz w:val="24"/>
        </w:rPr>
      </w:pPr>
    </w:p>
    <w:p w:rsidR="00051188" w:rsidRDefault="00051188" w:rsidP="009D78B4">
      <w:pPr>
        <w:widowControl w:val="0"/>
        <w:spacing w:line="240" w:lineRule="atLeast"/>
        <w:ind w:right="117"/>
        <w:rPr>
          <w:sz w:val="24"/>
        </w:rPr>
      </w:pPr>
      <w:r>
        <w:rPr>
          <w:sz w:val="24"/>
        </w:rPr>
        <w:t>In another large trial of 169 patients with spasmodic dysphonia, the following adverse events were recorded in ≥1 of 1093 BOTOX</w:t>
      </w:r>
      <w:r>
        <w:rPr>
          <w:sz w:val="24"/>
          <w:vertAlign w:val="superscript"/>
        </w:rPr>
        <w:t>®</w:t>
      </w:r>
      <w:r>
        <w:rPr>
          <w:sz w:val="24"/>
        </w:rPr>
        <w:t xml:space="preserve"> treatments.   Paralytic dysphonia (breathy dysphonia) in 338/1093 (31%) treatments (mild 139, moderate 114, severe 73, very severe 12), technical failure in 90/1093 (8%) treatments, dysphagia in 38/1093 (3%) treatments </w:t>
      </w:r>
      <w:r>
        <w:rPr>
          <w:sz w:val="24"/>
        </w:rPr>
        <w:lastRenderedPageBreak/>
        <w:t xml:space="preserve">(mild 17, moderate 15, severe 4, very severe 2), pain in 13/1093 (1%) treatments (mild 5, moderate 6, severe 2), gagging in 6/1093 (0.5%) treatments (mild 3, moderate 3), diplophonia in 3/1093 treatments,   flu-like symptoms in 2/1093 treatments of moderate severity, and persistent cough in 2/1093 treatments. </w:t>
      </w:r>
    </w:p>
    <w:p w:rsidR="007D0D01" w:rsidRDefault="007D0D01" w:rsidP="009D78B4">
      <w:pPr>
        <w:widowControl w:val="0"/>
        <w:tabs>
          <w:tab w:val="left" w:pos="-720"/>
        </w:tabs>
        <w:rPr>
          <w:b/>
          <w:sz w:val="24"/>
          <w:szCs w:val="24"/>
          <w:lang w:val="en-GB"/>
        </w:rPr>
      </w:pPr>
    </w:p>
    <w:p w:rsidR="00051188" w:rsidRDefault="00051188" w:rsidP="009D78B4">
      <w:pPr>
        <w:widowControl w:val="0"/>
        <w:tabs>
          <w:tab w:val="left" w:pos="-720"/>
        </w:tabs>
        <w:rPr>
          <w:b/>
          <w:sz w:val="24"/>
          <w:szCs w:val="24"/>
          <w:lang w:val="en-GB"/>
        </w:rPr>
      </w:pPr>
      <w:r>
        <w:rPr>
          <w:b/>
          <w:sz w:val="24"/>
          <w:szCs w:val="24"/>
          <w:lang w:val="en-GB"/>
        </w:rPr>
        <w:t>Glabellar Lines</w:t>
      </w:r>
    </w:p>
    <w:p w:rsidR="00051188" w:rsidRDefault="00051188" w:rsidP="009D78B4">
      <w:pPr>
        <w:widowControl w:val="0"/>
        <w:tabs>
          <w:tab w:val="left" w:pos="-720"/>
        </w:tabs>
        <w:rPr>
          <w:sz w:val="24"/>
          <w:szCs w:val="24"/>
          <w:lang w:val="en-GB"/>
        </w:rPr>
      </w:pPr>
      <w:r>
        <w:rPr>
          <w:sz w:val="24"/>
          <w:szCs w:val="24"/>
          <w:lang w:val="en-GB"/>
        </w:rPr>
        <w:t>Safety of BOTOX</w:t>
      </w:r>
      <w:r>
        <w:rPr>
          <w:sz w:val="24"/>
          <w:szCs w:val="24"/>
          <w:vertAlign w:val="superscript"/>
          <w:lang w:val="en-GB"/>
        </w:rPr>
        <w:sym w:font="Symbol" w:char="F0D2"/>
      </w:r>
      <w:r>
        <w:rPr>
          <w:sz w:val="24"/>
          <w:szCs w:val="24"/>
          <w:lang w:val="en-GB"/>
        </w:rPr>
        <w:t xml:space="preserve"> for the treatment of glabellar lines was evaluated in two multicentre, double-blind, placebo-controlled, parallel-group studies (n=535; 405 in the BOTOX</w:t>
      </w:r>
      <w:r>
        <w:rPr>
          <w:sz w:val="24"/>
          <w:szCs w:val="24"/>
          <w:vertAlign w:val="superscript"/>
          <w:lang w:val="en-GB"/>
        </w:rPr>
        <w:sym w:font="Symbol" w:char="F0D2"/>
      </w:r>
      <w:r>
        <w:rPr>
          <w:sz w:val="24"/>
          <w:szCs w:val="24"/>
          <w:lang w:val="en-GB"/>
        </w:rPr>
        <w:t>-treated group and 130 in the placebo-treated group).  Most adverse events reported were of mild to moderate severity and all were transient.  The most frequently reported treatment related adverse events were headache (9.4% in the BOTOX</w:t>
      </w:r>
      <w:r>
        <w:rPr>
          <w:sz w:val="24"/>
          <w:szCs w:val="24"/>
          <w:vertAlign w:val="superscript"/>
          <w:lang w:val="en-GB"/>
        </w:rPr>
        <w:sym w:font="Symbol" w:char="F0D2"/>
      </w:r>
      <w:r>
        <w:rPr>
          <w:sz w:val="24"/>
          <w:szCs w:val="24"/>
          <w:lang w:val="en-GB"/>
        </w:rPr>
        <w:t xml:space="preserve"> group and 12.3% in the placebo group) and blepharoptosis (3.2% in the BOTOX</w:t>
      </w:r>
      <w:r>
        <w:rPr>
          <w:sz w:val="24"/>
          <w:szCs w:val="24"/>
          <w:vertAlign w:val="superscript"/>
          <w:lang w:val="en-GB"/>
        </w:rPr>
        <w:sym w:font="Symbol" w:char="F0D2"/>
      </w:r>
      <w:r>
        <w:rPr>
          <w:sz w:val="24"/>
          <w:szCs w:val="24"/>
          <w:lang w:val="en-GB"/>
        </w:rPr>
        <w:t xml:space="preserve"> group and 0% in the placebo group).  Blepharoptosis is consistent with the pharmacologic action of BOTOX</w:t>
      </w:r>
      <w:r>
        <w:rPr>
          <w:sz w:val="24"/>
          <w:szCs w:val="24"/>
          <w:vertAlign w:val="superscript"/>
          <w:lang w:val="en-GB"/>
        </w:rPr>
        <w:sym w:font="Symbol" w:char="F0D2"/>
      </w:r>
      <w:r>
        <w:rPr>
          <w:sz w:val="24"/>
          <w:szCs w:val="24"/>
          <w:lang w:val="en-GB"/>
        </w:rPr>
        <w:t xml:space="preserve"> and may be injection technique-related.</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Adverse events reported as treatment related in 1-3% of BOTOX</w:t>
      </w:r>
      <w:r>
        <w:rPr>
          <w:sz w:val="24"/>
          <w:szCs w:val="24"/>
          <w:vertAlign w:val="superscript"/>
          <w:lang w:val="en-GB"/>
        </w:rPr>
        <w:sym w:font="Symbol" w:char="F0D2"/>
      </w:r>
      <w:r>
        <w:rPr>
          <w:sz w:val="24"/>
          <w:szCs w:val="24"/>
          <w:lang w:val="en-GB"/>
        </w:rPr>
        <w:t>-treated patients, listed in decreasing order of incidence were</w:t>
      </w:r>
      <w:r>
        <w:rPr>
          <w:color w:val="0000FF"/>
          <w:sz w:val="24"/>
          <w:szCs w:val="24"/>
          <w:lang w:val="en-GB"/>
        </w:rPr>
        <w:t>:</w:t>
      </w:r>
      <w:r>
        <w:rPr>
          <w:sz w:val="24"/>
          <w:szCs w:val="24"/>
          <w:lang w:val="en-GB"/>
        </w:rPr>
        <w:t xml:space="preserve"> injection site pain/burning/stinging (2.5%), face pain (2.2%), erythema (1.7%), local muscle weakness (1.7%), injection site oedema (1.5%), ecchymosis (1.0%), skin tightness (1.0%), paresthesia (1.0%) and nausea (1.0%).</w:t>
      </w:r>
    </w:p>
    <w:p w:rsidR="00051188" w:rsidRDefault="00051188" w:rsidP="009D78B4">
      <w:pPr>
        <w:widowControl w:val="0"/>
        <w:tabs>
          <w:tab w:val="left" w:pos="-720"/>
        </w:tabs>
        <w:rPr>
          <w:b/>
          <w:sz w:val="24"/>
          <w:lang w:val="en-GB"/>
        </w:rPr>
      </w:pPr>
    </w:p>
    <w:p w:rsidR="00051188" w:rsidRDefault="00051188" w:rsidP="009D78B4">
      <w:pPr>
        <w:widowControl w:val="0"/>
        <w:tabs>
          <w:tab w:val="left" w:pos="-720"/>
        </w:tabs>
        <w:rPr>
          <w:b/>
          <w:sz w:val="24"/>
          <w:lang w:val="en-GB"/>
        </w:rPr>
      </w:pPr>
      <w:r>
        <w:rPr>
          <w:b/>
          <w:sz w:val="24"/>
          <w:lang w:val="en-GB"/>
        </w:rPr>
        <w:t>Crow’s Feet</w:t>
      </w:r>
    </w:p>
    <w:p w:rsidR="00051188" w:rsidRDefault="00051188" w:rsidP="009D78B4">
      <w:pPr>
        <w:widowControl w:val="0"/>
        <w:tabs>
          <w:tab w:val="left" w:pos="-720"/>
        </w:tabs>
        <w:rPr>
          <w:sz w:val="24"/>
          <w:szCs w:val="24"/>
          <w:lang w:val="en-GB"/>
        </w:rPr>
      </w:pPr>
      <w:r>
        <w:rPr>
          <w:sz w:val="24"/>
          <w:lang w:val="en-GB"/>
        </w:rPr>
        <w:t xml:space="preserve">The safety of </w:t>
      </w:r>
      <w:r>
        <w:rPr>
          <w:sz w:val="24"/>
        </w:rPr>
        <w:t>BOTOX</w:t>
      </w:r>
      <w:r>
        <w:rPr>
          <w:sz w:val="24"/>
          <w:vertAlign w:val="superscript"/>
        </w:rPr>
        <w:t>®</w:t>
      </w:r>
      <w:r>
        <w:rPr>
          <w:sz w:val="24"/>
          <w:lang w:val="en-GB"/>
        </w:rPr>
        <w:t xml:space="preserve"> for the treatment of crow’s feet was evaluated in two multicentre, double-blind, placebo-controlled, parallel group studies </w:t>
      </w:r>
      <w:r>
        <w:rPr>
          <w:sz w:val="24"/>
          <w:szCs w:val="24"/>
          <w:lang w:val="en-GB"/>
        </w:rPr>
        <w:t>(246 in the BOTOX</w:t>
      </w:r>
      <w:r>
        <w:rPr>
          <w:sz w:val="24"/>
          <w:szCs w:val="24"/>
          <w:vertAlign w:val="superscript"/>
          <w:lang w:val="en-GB"/>
        </w:rPr>
        <w:sym w:font="Symbol" w:char="F0D2"/>
      </w:r>
      <w:r>
        <w:rPr>
          <w:sz w:val="24"/>
          <w:szCs w:val="24"/>
          <w:lang w:val="en-GB"/>
        </w:rPr>
        <w:t>-treated groups (6 U to 18 U/side) and 80 in the placebo-treated group).  Most adverse events reported were of mild to moderate severity and all were transient.  The most frequently reported treatment-related adverse events were injection site haemorrhage i.e. bruising at the injection site (8.1% in the BOTOX</w:t>
      </w:r>
      <w:r>
        <w:rPr>
          <w:sz w:val="24"/>
          <w:szCs w:val="24"/>
          <w:vertAlign w:val="superscript"/>
          <w:lang w:val="en-GB"/>
        </w:rPr>
        <w:sym w:font="Symbol" w:char="F0D2"/>
      </w:r>
      <w:r>
        <w:rPr>
          <w:sz w:val="24"/>
          <w:szCs w:val="24"/>
          <w:lang w:val="en-GB"/>
        </w:rPr>
        <w:t xml:space="preserve"> 6 U to 18 U/side groups and 10.0% in the placebo group) and headache (3.7% in the BOTOX</w:t>
      </w:r>
      <w:r>
        <w:rPr>
          <w:sz w:val="24"/>
          <w:szCs w:val="24"/>
          <w:vertAlign w:val="superscript"/>
          <w:lang w:val="en-GB"/>
        </w:rPr>
        <w:sym w:font="Symbol" w:char="F0D2"/>
      </w:r>
      <w:r>
        <w:rPr>
          <w:sz w:val="24"/>
          <w:szCs w:val="24"/>
          <w:lang w:val="en-GB"/>
        </w:rPr>
        <w:t xml:space="preserve"> 6 U to 18 U/side groups and 2.5% in the placebo group).  Flu syndrome was reported in 1.6% of </w:t>
      </w:r>
      <w:r>
        <w:rPr>
          <w:sz w:val="24"/>
          <w:szCs w:val="24"/>
        </w:rPr>
        <w:t>BOTOX</w:t>
      </w:r>
      <w:r>
        <w:rPr>
          <w:sz w:val="24"/>
          <w:szCs w:val="24"/>
          <w:vertAlign w:val="superscript"/>
        </w:rPr>
        <w:t>®</w:t>
      </w:r>
      <w:r>
        <w:rPr>
          <w:sz w:val="24"/>
          <w:szCs w:val="24"/>
          <w:lang w:val="en-GB"/>
        </w:rPr>
        <w:t xml:space="preserve">-treated patients (6 U to 18 U/side) and in none of the placebo-treated patients.  All other adverse events reported as treatment-related in the </w:t>
      </w:r>
      <w:r>
        <w:rPr>
          <w:sz w:val="24"/>
          <w:szCs w:val="24"/>
        </w:rPr>
        <w:t>BOTOX</w:t>
      </w:r>
      <w:r>
        <w:rPr>
          <w:sz w:val="24"/>
          <w:szCs w:val="24"/>
          <w:vertAlign w:val="superscript"/>
        </w:rPr>
        <w:t>®</w:t>
      </w:r>
      <w:r>
        <w:rPr>
          <w:sz w:val="24"/>
          <w:szCs w:val="24"/>
          <w:lang w:val="en-GB"/>
        </w:rPr>
        <w:t xml:space="preserve"> groups were reported in less than 1% of patients.</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 xml:space="preserve">Other studies have reported the incidence of injection site bruising to be between 4-25% of </w:t>
      </w:r>
      <w:r>
        <w:rPr>
          <w:sz w:val="24"/>
          <w:szCs w:val="24"/>
        </w:rPr>
        <w:t>BOTOX</w:t>
      </w:r>
      <w:r>
        <w:rPr>
          <w:sz w:val="24"/>
          <w:szCs w:val="24"/>
          <w:vertAlign w:val="superscript"/>
        </w:rPr>
        <w:t>®</w:t>
      </w:r>
      <w:r>
        <w:rPr>
          <w:sz w:val="24"/>
          <w:szCs w:val="24"/>
          <w:lang w:val="en-GB"/>
        </w:rPr>
        <w:t xml:space="preserve">-treated patients, with similar rates noted for placebo.  Other adverse events related to </w:t>
      </w:r>
      <w:r>
        <w:rPr>
          <w:sz w:val="24"/>
          <w:szCs w:val="24"/>
        </w:rPr>
        <w:t>BOTOX</w:t>
      </w:r>
      <w:r>
        <w:rPr>
          <w:sz w:val="24"/>
          <w:szCs w:val="24"/>
          <w:vertAlign w:val="superscript"/>
        </w:rPr>
        <w:t>®</w:t>
      </w:r>
      <w:r>
        <w:rPr>
          <w:sz w:val="24"/>
          <w:szCs w:val="24"/>
          <w:lang w:val="en-GB"/>
        </w:rPr>
        <w:t xml:space="preserve"> treatment included temporary droop of the lateral portion of the lower eyelid (5%), which is consistent with the pharmacologic action of BOTOX</w:t>
      </w:r>
      <w:r>
        <w:rPr>
          <w:sz w:val="24"/>
          <w:szCs w:val="24"/>
          <w:vertAlign w:val="superscript"/>
          <w:lang w:val="en-GB"/>
        </w:rPr>
        <w:sym w:font="Symbol" w:char="F0D2"/>
      </w:r>
      <w:r>
        <w:rPr>
          <w:sz w:val="24"/>
          <w:szCs w:val="24"/>
          <w:lang w:val="en-GB"/>
        </w:rPr>
        <w:t xml:space="preserve"> and may be injection technique-related.</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b/>
          <w:sz w:val="24"/>
          <w:lang w:val="en-GB"/>
        </w:rPr>
      </w:pPr>
      <w:r>
        <w:rPr>
          <w:b/>
          <w:sz w:val="24"/>
          <w:lang w:val="en-GB"/>
        </w:rPr>
        <w:t>Forehead Lines</w:t>
      </w:r>
    </w:p>
    <w:p w:rsidR="00051188" w:rsidRDefault="00051188" w:rsidP="009D78B4">
      <w:pPr>
        <w:widowControl w:val="0"/>
        <w:tabs>
          <w:tab w:val="left" w:pos="-720"/>
        </w:tabs>
        <w:rPr>
          <w:sz w:val="24"/>
          <w:lang w:val="en-GB"/>
        </w:rPr>
      </w:pPr>
      <w:r>
        <w:rPr>
          <w:sz w:val="24"/>
          <w:lang w:val="en-GB"/>
        </w:rPr>
        <w:t xml:space="preserve">In a clinical study where </w:t>
      </w:r>
      <w:r>
        <w:rPr>
          <w:sz w:val="24"/>
        </w:rPr>
        <w:t>BOTOX</w:t>
      </w:r>
      <w:r>
        <w:rPr>
          <w:sz w:val="24"/>
          <w:vertAlign w:val="superscript"/>
        </w:rPr>
        <w:t>®</w:t>
      </w:r>
      <w:r>
        <w:rPr>
          <w:sz w:val="24"/>
          <w:lang w:val="en-GB"/>
        </w:rPr>
        <w:t xml:space="preserve"> was administered to 59 patients with horizontal forehead lines (8 U to 24 U into frontalis), the following treatment related adverse events were reported: headache (22.0%), bruising (10.2%), eyebrow ptosis (10.2%), eyelid swelling (20.3%), aching/itching forehead (5.1%), nausea (3.4%), feeling of tension (1.7%), flu-like symptoms/cold (1.7%) and other (6.8%).  All adverse events were mild or moderate in severity and no serious adverse events were reported.</w:t>
      </w:r>
    </w:p>
    <w:p w:rsidR="00051188" w:rsidRDefault="00051188" w:rsidP="009D78B4">
      <w:pPr>
        <w:widowControl w:val="0"/>
        <w:tabs>
          <w:tab w:val="left" w:pos="-720"/>
        </w:tabs>
        <w:rPr>
          <w:b/>
          <w:sz w:val="24"/>
          <w:lang w:val="en-GB"/>
        </w:rPr>
      </w:pPr>
    </w:p>
    <w:p w:rsidR="00051188" w:rsidRDefault="00051188" w:rsidP="009D78B4">
      <w:pPr>
        <w:pStyle w:val="BodyText1"/>
        <w:widowControl w:val="0"/>
        <w:spacing w:line="240" w:lineRule="auto"/>
        <w:jc w:val="both"/>
        <w:rPr>
          <w:b/>
          <w:color w:val="000000"/>
        </w:rPr>
      </w:pPr>
      <w:r>
        <w:rPr>
          <w:b/>
          <w:color w:val="000000"/>
        </w:rPr>
        <w:t>Post-marketing Experience</w:t>
      </w:r>
    </w:p>
    <w:p w:rsidR="00051188" w:rsidRDefault="00051188" w:rsidP="009D78B4">
      <w:pPr>
        <w:widowControl w:val="0"/>
        <w:tabs>
          <w:tab w:val="left" w:pos="-720"/>
        </w:tabs>
        <w:rPr>
          <w:sz w:val="24"/>
        </w:rPr>
      </w:pPr>
      <w:r>
        <w:rPr>
          <w:sz w:val="24"/>
        </w:rPr>
        <w:t xml:space="preserve">There have been rare spontaneous reports of death, sometimes associated with dysphagia, </w:t>
      </w:r>
      <w:r>
        <w:rPr>
          <w:sz w:val="24"/>
        </w:rPr>
        <w:lastRenderedPageBreak/>
        <w:t>pneumonia, and/or other significant debility, after treatment with BOTOX</w:t>
      </w:r>
      <w:r>
        <w:rPr>
          <w:caps/>
          <w:sz w:val="24"/>
          <w:szCs w:val="24"/>
          <w:vertAlign w:val="superscript"/>
        </w:rPr>
        <w:sym w:font="Symbol" w:char="F0D2"/>
      </w:r>
      <w:r>
        <w:rPr>
          <w:sz w:val="24"/>
        </w:rPr>
        <w:t>.</w:t>
      </w:r>
    </w:p>
    <w:p w:rsidR="00051188" w:rsidRDefault="00051188" w:rsidP="009D78B4">
      <w:pPr>
        <w:widowControl w:val="0"/>
        <w:tabs>
          <w:tab w:val="left" w:pos="-720"/>
        </w:tabs>
        <w:rPr>
          <w:sz w:val="24"/>
        </w:rPr>
      </w:pPr>
    </w:p>
    <w:p w:rsidR="00051188" w:rsidRDefault="00051188" w:rsidP="009D78B4">
      <w:pPr>
        <w:widowControl w:val="0"/>
        <w:tabs>
          <w:tab w:val="left" w:pos="-720"/>
        </w:tabs>
        <w:rPr>
          <w:sz w:val="24"/>
        </w:rPr>
      </w:pPr>
      <w:r>
        <w:rPr>
          <w:sz w:val="24"/>
        </w:rPr>
        <w:t xml:space="preserve">Serious and/or immediate hypersensitivity reactions such as anaphylaxis and serum sickness have been rarely reported, as well as other manifestations of hypersensitivity including skin rash, urticaria, soft tissue oedema, and dyspnoea (See </w:t>
      </w:r>
      <w:r>
        <w:rPr>
          <w:b/>
          <w:bCs/>
          <w:sz w:val="24"/>
        </w:rPr>
        <w:t>PRECAUTIONS</w:t>
      </w:r>
      <w:r>
        <w:rPr>
          <w:sz w:val="24"/>
        </w:rPr>
        <w:t xml:space="preserve">).  </w:t>
      </w:r>
    </w:p>
    <w:p w:rsidR="00051188" w:rsidRDefault="00051188" w:rsidP="009D78B4">
      <w:pPr>
        <w:widowControl w:val="0"/>
        <w:tabs>
          <w:tab w:val="left" w:pos="-720"/>
        </w:tabs>
        <w:rPr>
          <w:sz w:val="24"/>
        </w:rPr>
      </w:pPr>
    </w:p>
    <w:p w:rsidR="00051188" w:rsidRDefault="00051188" w:rsidP="009D78B4">
      <w:pPr>
        <w:widowControl w:val="0"/>
        <w:tabs>
          <w:tab w:val="left" w:pos="-720"/>
        </w:tabs>
        <w:rPr>
          <w:sz w:val="24"/>
        </w:rPr>
      </w:pPr>
      <w:r>
        <w:rPr>
          <w:sz w:val="24"/>
        </w:rPr>
        <w:t>There have also been rare reports of adverse events involving the cardiovascular system, including arrhythmia and myocardial infarction, some with fatal outcomes following BOTOX</w:t>
      </w:r>
      <w:r>
        <w:rPr>
          <w:sz w:val="24"/>
          <w:vertAlign w:val="superscript"/>
        </w:rPr>
        <w:t xml:space="preserve">® </w:t>
      </w:r>
      <w:r>
        <w:rPr>
          <w:sz w:val="24"/>
        </w:rPr>
        <w:t>treatment.  Some of these patients had risk factors including cardiovascular disease.</w:t>
      </w:r>
    </w:p>
    <w:p w:rsidR="00051188" w:rsidRDefault="00051188" w:rsidP="009D78B4">
      <w:pPr>
        <w:widowControl w:val="0"/>
        <w:tabs>
          <w:tab w:val="left" w:pos="-720"/>
        </w:tabs>
        <w:rPr>
          <w:sz w:val="24"/>
        </w:rPr>
      </w:pPr>
    </w:p>
    <w:p w:rsidR="00051188" w:rsidRDefault="00051188" w:rsidP="009D78B4">
      <w:pPr>
        <w:widowControl w:val="0"/>
        <w:tabs>
          <w:tab w:val="left" w:pos="-720"/>
        </w:tabs>
        <w:rPr>
          <w:sz w:val="24"/>
        </w:rPr>
      </w:pPr>
      <w:r>
        <w:rPr>
          <w:sz w:val="24"/>
        </w:rPr>
        <w:t>New onset or recurrent seizures have also been reported following BOTOX</w:t>
      </w:r>
      <w:r>
        <w:rPr>
          <w:sz w:val="24"/>
          <w:vertAlign w:val="superscript"/>
        </w:rPr>
        <w:t xml:space="preserve">® </w:t>
      </w:r>
      <w:r>
        <w:rPr>
          <w:sz w:val="24"/>
        </w:rPr>
        <w:t>treatment, typically in patients who are predisposed to experiencing these events.</w:t>
      </w:r>
    </w:p>
    <w:p w:rsidR="00051188" w:rsidRDefault="00051188" w:rsidP="009D78B4">
      <w:pPr>
        <w:widowControl w:val="0"/>
        <w:tabs>
          <w:tab w:val="left" w:pos="-720"/>
        </w:tabs>
        <w:rPr>
          <w:sz w:val="24"/>
        </w:rPr>
      </w:pPr>
    </w:p>
    <w:p w:rsidR="00051188" w:rsidRDefault="00051188" w:rsidP="009D78B4">
      <w:pPr>
        <w:widowControl w:val="0"/>
        <w:tabs>
          <w:tab w:val="left" w:pos="-720"/>
        </w:tabs>
        <w:rPr>
          <w:sz w:val="24"/>
        </w:rPr>
      </w:pPr>
      <w:r>
        <w:rPr>
          <w:sz w:val="24"/>
        </w:rPr>
        <w:t>Angle closure glaucoma has been reported very rarely following BOTOX</w:t>
      </w:r>
      <w:r>
        <w:rPr>
          <w:sz w:val="24"/>
          <w:vertAlign w:val="superscript"/>
        </w:rPr>
        <w:t>®</w:t>
      </w:r>
      <w:r>
        <w:rPr>
          <w:sz w:val="24"/>
        </w:rPr>
        <w:t xml:space="preserve"> treatment for blepharospasm.</w:t>
      </w:r>
    </w:p>
    <w:p w:rsidR="00051188" w:rsidRDefault="00051188" w:rsidP="009D78B4">
      <w:pPr>
        <w:widowControl w:val="0"/>
        <w:tabs>
          <w:tab w:val="left" w:pos="-720"/>
        </w:tabs>
        <w:rPr>
          <w:sz w:val="24"/>
        </w:rPr>
      </w:pPr>
    </w:p>
    <w:p w:rsidR="00051188" w:rsidRDefault="00051188" w:rsidP="009D78B4">
      <w:pPr>
        <w:widowControl w:val="0"/>
        <w:tabs>
          <w:tab w:val="left" w:pos="-720"/>
        </w:tabs>
        <w:rPr>
          <w:b/>
          <w:color w:val="000000"/>
          <w:sz w:val="24"/>
          <w:lang w:val="en-GB"/>
        </w:rPr>
      </w:pPr>
      <w:r>
        <w:rPr>
          <w:sz w:val="24"/>
        </w:rPr>
        <w:t xml:space="preserve">The following list includes adverse drug reactions or other medically relevant adverse events that have been reported since the drug has been marketed, regardless of indication, and may be in addition to those cited in the </w:t>
      </w:r>
      <w:r>
        <w:rPr>
          <w:b/>
          <w:sz w:val="24"/>
        </w:rPr>
        <w:t>PRECAUTIONS</w:t>
      </w:r>
      <w:r>
        <w:rPr>
          <w:sz w:val="24"/>
        </w:rPr>
        <w:t xml:space="preserve"> and </w:t>
      </w:r>
      <w:r>
        <w:rPr>
          <w:b/>
          <w:sz w:val="24"/>
        </w:rPr>
        <w:t>ADVERSE EFFECTS</w:t>
      </w:r>
      <w:r>
        <w:rPr>
          <w:sz w:val="24"/>
        </w:rPr>
        <w:t xml:space="preserve"> sections: denervation/muscle atrophy; respiratory depression and/or respiratory failure (non-Cosmetic indications); dyspnea; aspiration pneumonia (non-Cosmetic indications); dysarthria; dry mouth; strabismus; peripheral neuropathy, </w:t>
      </w:r>
      <w:r>
        <w:rPr>
          <w:color w:val="000000"/>
          <w:sz w:val="24"/>
        </w:rPr>
        <w:t>abdominal pain</w:t>
      </w:r>
      <w:r>
        <w:rPr>
          <w:sz w:val="24"/>
        </w:rPr>
        <w:t>; diarrhoea; nausea; vomiting; pyrexia; anorexia; vision blurred; visual disturbance, hypoacusis; tinnitus; vertigo; facial palsy, facial paresis</w:t>
      </w:r>
      <w:r>
        <w:rPr>
          <w:color w:val="000000"/>
          <w:sz w:val="24"/>
        </w:rPr>
        <w:t xml:space="preserve">; brachial plexopathy; </w:t>
      </w:r>
      <w:r>
        <w:rPr>
          <w:sz w:val="24"/>
        </w:rPr>
        <w:t xml:space="preserve">radiculopathy; syncope; hypoaesthesia; malaise; myalgia; myasthenia gravis; paraesthesia; rash; erythema multiforme; pruritus; dermatitis </w:t>
      </w:r>
      <w:r>
        <w:rPr>
          <w:color w:val="000000"/>
          <w:sz w:val="24"/>
        </w:rPr>
        <w:t>psoriasiform</w:t>
      </w:r>
      <w:r>
        <w:rPr>
          <w:sz w:val="24"/>
        </w:rPr>
        <w:t>; hyperhidrosis;</w:t>
      </w:r>
      <w:r>
        <w:rPr>
          <w:color w:val="000000"/>
          <w:sz w:val="24"/>
        </w:rPr>
        <w:t xml:space="preserve"> and alopecia including madarosis.</w:t>
      </w:r>
    </w:p>
    <w:p w:rsidR="00051188" w:rsidRDefault="00051188" w:rsidP="009D78B4">
      <w:pPr>
        <w:widowControl w:val="0"/>
        <w:tabs>
          <w:tab w:val="left" w:pos="-720"/>
        </w:tabs>
        <w:rPr>
          <w:b/>
          <w:sz w:val="24"/>
          <w:lang w:val="en-GB"/>
        </w:rPr>
      </w:pPr>
    </w:p>
    <w:p w:rsidR="00051188" w:rsidRDefault="00051188" w:rsidP="009D78B4">
      <w:pPr>
        <w:widowControl w:val="0"/>
        <w:tabs>
          <w:tab w:val="left" w:pos="-720"/>
        </w:tabs>
        <w:spacing w:after="240"/>
        <w:rPr>
          <w:i/>
          <w:sz w:val="24"/>
          <w:lang w:val="en-GB"/>
        </w:rPr>
      </w:pPr>
      <w:r>
        <w:rPr>
          <w:b/>
          <w:sz w:val="24"/>
          <w:lang w:val="en-GB"/>
        </w:rPr>
        <w:t>DOSAGE AND ADMINISTRATION</w:t>
      </w:r>
    </w:p>
    <w:p w:rsidR="00051188" w:rsidRDefault="00051188" w:rsidP="009D78B4">
      <w:pPr>
        <w:widowControl w:val="0"/>
        <w:tabs>
          <w:tab w:val="left" w:pos="-720"/>
        </w:tabs>
        <w:rPr>
          <w:b/>
          <w:sz w:val="24"/>
          <w:lang w:val="en-GB"/>
        </w:rPr>
      </w:pPr>
      <w:r>
        <w:rPr>
          <w:b/>
          <w:sz w:val="24"/>
          <w:lang w:val="en-GB"/>
        </w:rPr>
        <w:t>Route of Administration</w:t>
      </w:r>
    </w:p>
    <w:p w:rsidR="00051188" w:rsidRDefault="00051188" w:rsidP="009D78B4">
      <w:pPr>
        <w:widowControl w:val="0"/>
        <w:tabs>
          <w:tab w:val="left" w:pos="-720"/>
        </w:tabs>
        <w:rPr>
          <w:b/>
          <w:sz w:val="24"/>
          <w:lang w:val="en-GB"/>
        </w:rPr>
      </w:pPr>
      <w:r>
        <w:rPr>
          <w:sz w:val="24"/>
          <w:lang w:val="en-GB"/>
        </w:rPr>
        <w:t xml:space="preserve">Intramuscular injection.  Reconstituted </w:t>
      </w:r>
      <w:r>
        <w:rPr>
          <w:sz w:val="24"/>
          <w:szCs w:val="24"/>
          <w:lang w:val="en-GB"/>
        </w:rPr>
        <w:t>BOTOX</w:t>
      </w:r>
      <w:r>
        <w:rPr>
          <w:sz w:val="24"/>
          <w:szCs w:val="24"/>
          <w:vertAlign w:val="superscript"/>
          <w:lang w:val="en-GB"/>
        </w:rPr>
        <w:sym w:font="Symbol" w:char="F0D2"/>
      </w:r>
      <w:r>
        <w:rPr>
          <w:sz w:val="24"/>
          <w:szCs w:val="24"/>
          <w:lang w:val="en-GB"/>
        </w:rPr>
        <w:t xml:space="preserve"> is injected with the purpose of reaching the motor endplate region of the muscle to be treated.  May be subcutaneous for blepharospasm</w:t>
      </w:r>
      <w:r>
        <w:rPr>
          <w:sz w:val="24"/>
          <w:lang w:val="en-GB"/>
        </w:rPr>
        <w:t>.  Intradermal for primary hyperhidrosis of the axillae.</w:t>
      </w:r>
    </w:p>
    <w:p w:rsidR="00051188" w:rsidRDefault="00051188" w:rsidP="009D78B4">
      <w:pPr>
        <w:pStyle w:val="Footer"/>
        <w:widowControl w:val="0"/>
        <w:tabs>
          <w:tab w:val="clear" w:pos="4819"/>
          <w:tab w:val="clear" w:pos="9071"/>
          <w:tab w:val="left" w:pos="-720"/>
        </w:tabs>
        <w:rPr>
          <w:rFonts w:ascii="Times New Roman" w:hAnsi="Times New Roman"/>
          <w:lang w:val="en-GB"/>
        </w:rPr>
      </w:pPr>
    </w:p>
    <w:p w:rsidR="00051188" w:rsidRDefault="00051188" w:rsidP="009D78B4">
      <w:pPr>
        <w:widowControl w:val="0"/>
        <w:tabs>
          <w:tab w:val="left" w:pos="-720"/>
        </w:tabs>
        <w:rPr>
          <w:b/>
          <w:sz w:val="24"/>
          <w:lang w:val="en-GB"/>
        </w:rPr>
      </w:pPr>
      <w:r>
        <w:rPr>
          <w:b/>
          <w:sz w:val="24"/>
          <w:lang w:val="en-GB"/>
        </w:rPr>
        <w:t>General</w:t>
      </w:r>
    </w:p>
    <w:p w:rsidR="00051188" w:rsidRDefault="00051188" w:rsidP="009D78B4">
      <w:pPr>
        <w:widowControl w:val="0"/>
        <w:tabs>
          <w:tab w:val="left" w:pos="-720"/>
        </w:tabs>
        <w:rPr>
          <w:b/>
          <w:sz w:val="24"/>
          <w:szCs w:val="24"/>
          <w:lang w:val="en-GB"/>
        </w:rPr>
      </w:pPr>
    </w:p>
    <w:p w:rsidR="00051188" w:rsidRPr="00B17E96" w:rsidRDefault="00051188" w:rsidP="009D78B4">
      <w:pPr>
        <w:widowControl w:val="0"/>
        <w:autoSpaceDE w:val="0"/>
        <w:autoSpaceDN w:val="0"/>
        <w:adjustRightInd w:val="0"/>
        <w:rPr>
          <w:b/>
          <w:sz w:val="24"/>
          <w:szCs w:val="24"/>
          <w:lang w:val="en-GB"/>
        </w:rPr>
      </w:pPr>
      <w:r w:rsidRPr="00B17E96">
        <w:rPr>
          <w:b/>
          <w:caps/>
          <w:sz w:val="24"/>
          <w:szCs w:val="24"/>
        </w:rPr>
        <w:t>Botox</w:t>
      </w:r>
      <w:r w:rsidRPr="00B17E96">
        <w:rPr>
          <w:b/>
          <w:caps/>
          <w:sz w:val="24"/>
          <w:szCs w:val="24"/>
          <w:vertAlign w:val="superscript"/>
        </w:rPr>
        <w:sym w:font="Symbol" w:char="F0D2"/>
      </w:r>
      <w:r w:rsidRPr="00B17E96">
        <w:rPr>
          <w:b/>
          <w:caps/>
          <w:sz w:val="24"/>
          <w:szCs w:val="24"/>
          <w:vertAlign w:val="superscript"/>
        </w:rPr>
        <w:t xml:space="preserve"> </w:t>
      </w:r>
      <w:r w:rsidRPr="00B17E96">
        <w:rPr>
          <w:rFonts w:eastAsia="SimSun"/>
          <w:b/>
          <w:sz w:val="24"/>
          <w:szCs w:val="24"/>
          <w:lang w:val="en-AU" w:eastAsia="en-AU"/>
        </w:rPr>
        <w:t>should only be given by physicians with the appropriate qualifications and experience in the treatment of patients and the use of required equipment</w:t>
      </w:r>
      <w:r w:rsidRPr="00B17E96">
        <w:rPr>
          <w:b/>
          <w:sz w:val="24"/>
          <w:szCs w:val="24"/>
          <w:lang w:val="en-GB"/>
        </w:rPr>
        <w:t xml:space="preserve">.    </w:t>
      </w:r>
    </w:p>
    <w:p w:rsidR="00051188" w:rsidRDefault="00BE56BD" w:rsidP="009D78B4">
      <w:pPr>
        <w:widowControl w:val="0"/>
        <w:tabs>
          <w:tab w:val="left" w:pos="-720"/>
        </w:tabs>
        <w:rPr>
          <w:b/>
          <w:sz w:val="24"/>
          <w:szCs w:val="24"/>
          <w:lang w:val="en-GB"/>
        </w:rPr>
      </w:pPr>
      <w:r w:rsidRPr="00B17E96">
        <w:rPr>
          <w:b/>
          <w:sz w:val="24"/>
          <w:szCs w:val="24"/>
          <w:lang w:val="en-GB"/>
        </w:rPr>
        <w:t>The product is for single use in one patient during one session only</w:t>
      </w:r>
      <w:r w:rsidR="00051188" w:rsidRPr="00B17E96">
        <w:rPr>
          <w:b/>
          <w:sz w:val="24"/>
          <w:szCs w:val="24"/>
          <w:lang w:val="en-GB"/>
        </w:rPr>
        <w:t xml:space="preserve"> because the product and diluent do not contain a preservative.  Once opened and reconstituted, store in the refrigerator and use within </w:t>
      </w:r>
      <w:r w:rsidR="00051188" w:rsidRPr="00B17E96">
        <w:rPr>
          <w:b/>
          <w:color w:val="000000"/>
          <w:sz w:val="24"/>
          <w:szCs w:val="24"/>
          <w:lang w:val="en-GB"/>
        </w:rPr>
        <w:t>twenty four</w:t>
      </w:r>
      <w:r w:rsidR="00051188" w:rsidRPr="00B17E96">
        <w:rPr>
          <w:b/>
          <w:sz w:val="24"/>
          <w:szCs w:val="24"/>
          <w:lang w:val="en-GB"/>
        </w:rPr>
        <w:t xml:space="preserve"> hours.  Discard any remaining solution.  Do not freeze reconstituted </w:t>
      </w:r>
      <w:r w:rsidR="00051188" w:rsidRPr="00B17E96">
        <w:rPr>
          <w:b/>
          <w:caps/>
          <w:sz w:val="24"/>
          <w:szCs w:val="24"/>
        </w:rPr>
        <w:t>Botox</w:t>
      </w:r>
      <w:r w:rsidR="00051188" w:rsidRPr="00B17E96">
        <w:rPr>
          <w:b/>
          <w:caps/>
          <w:sz w:val="24"/>
          <w:szCs w:val="24"/>
          <w:vertAlign w:val="superscript"/>
        </w:rPr>
        <w:sym w:font="Symbol" w:char="F0D2"/>
      </w:r>
      <w:r w:rsidR="00051188" w:rsidRPr="00B17E96">
        <w:rPr>
          <w:b/>
          <w:sz w:val="24"/>
          <w:szCs w:val="24"/>
          <w:lang w:val="en-GB"/>
        </w:rPr>
        <w:t>.</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 xml:space="preserve">In general, dosing of </w:t>
      </w:r>
      <w:r>
        <w:rPr>
          <w:caps/>
          <w:sz w:val="24"/>
          <w:szCs w:val="24"/>
        </w:rPr>
        <w:t>Botox</w:t>
      </w:r>
      <w:r>
        <w:rPr>
          <w:caps/>
          <w:sz w:val="24"/>
          <w:szCs w:val="24"/>
          <w:vertAlign w:val="superscript"/>
        </w:rPr>
        <w:sym w:font="Symbol" w:char="F0D2"/>
      </w:r>
      <w:r>
        <w:rPr>
          <w:sz w:val="24"/>
          <w:szCs w:val="24"/>
          <w:lang w:val="en-GB"/>
        </w:rPr>
        <w:t xml:space="preserve"> should be individualised for each patient and always start with the minimal effective dose.  The dosing interval should typically not be more frequent than every three months.  </w:t>
      </w:r>
    </w:p>
    <w:p w:rsidR="00051188" w:rsidRDefault="00051188" w:rsidP="009D78B4">
      <w:pPr>
        <w:widowControl w:val="0"/>
        <w:tabs>
          <w:tab w:val="left" w:pos="-720"/>
        </w:tabs>
        <w:rPr>
          <w:sz w:val="24"/>
          <w:szCs w:val="24"/>
          <w:lang w:val="en-GB"/>
        </w:rPr>
      </w:pPr>
    </w:p>
    <w:p w:rsidR="00051188" w:rsidRDefault="00051188" w:rsidP="009D78B4">
      <w:pPr>
        <w:widowControl w:val="0"/>
        <w:jc w:val="both"/>
        <w:rPr>
          <w:sz w:val="24"/>
          <w:szCs w:val="24"/>
        </w:rPr>
      </w:pPr>
      <w:r>
        <w:rPr>
          <w:sz w:val="24"/>
          <w:szCs w:val="24"/>
        </w:rPr>
        <w:t>If different vial sizes of BOTOX</w:t>
      </w:r>
      <w:r>
        <w:rPr>
          <w:sz w:val="24"/>
          <w:szCs w:val="24"/>
          <w:vertAlign w:val="superscript"/>
          <w:lang w:val="en-GB"/>
        </w:rPr>
        <w:sym w:font="Symbol" w:char="F0D2"/>
      </w:r>
      <w:r>
        <w:rPr>
          <w:sz w:val="24"/>
          <w:szCs w:val="24"/>
        </w:rPr>
        <w:t xml:space="preserve"> are being used as part of one injection procedure, care </w:t>
      </w:r>
      <w:r>
        <w:rPr>
          <w:sz w:val="24"/>
          <w:szCs w:val="24"/>
        </w:rPr>
        <w:lastRenderedPageBreak/>
        <w:t>should be taken to use the correct amount of diluent when reconstituting a particular number of units per 0.1 ml. The amount of diluent varies between BOTOX</w:t>
      </w:r>
      <w:r>
        <w:rPr>
          <w:sz w:val="24"/>
          <w:szCs w:val="24"/>
          <w:vertAlign w:val="superscript"/>
          <w:lang w:val="en-GB"/>
        </w:rPr>
        <w:sym w:font="Symbol" w:char="F0D2"/>
      </w:r>
      <w:r>
        <w:rPr>
          <w:sz w:val="24"/>
          <w:szCs w:val="24"/>
        </w:rPr>
        <w:t xml:space="preserve"> 100 Allergan Units and BOTOX</w:t>
      </w:r>
      <w:r>
        <w:rPr>
          <w:sz w:val="24"/>
          <w:szCs w:val="24"/>
          <w:vertAlign w:val="superscript"/>
          <w:lang w:val="en-GB"/>
        </w:rPr>
        <w:sym w:font="Symbol" w:char="F0D2"/>
      </w:r>
      <w:r>
        <w:rPr>
          <w:sz w:val="24"/>
          <w:szCs w:val="24"/>
        </w:rPr>
        <w:t xml:space="preserve"> 200 Allergan Units. Each syringe should be labelled accordingly.</w:t>
      </w:r>
    </w:p>
    <w:p w:rsidR="00051188" w:rsidRDefault="00051188" w:rsidP="009D78B4">
      <w:pPr>
        <w:widowControl w:val="0"/>
        <w:tabs>
          <w:tab w:val="left" w:pos="-720"/>
        </w:tabs>
        <w:rPr>
          <w:sz w:val="24"/>
          <w:szCs w:val="24"/>
          <w:lang w:val="en-GB"/>
        </w:rPr>
      </w:pPr>
    </w:p>
    <w:p w:rsidR="00796A1F" w:rsidRDefault="00796A1F" w:rsidP="009D78B4">
      <w:pPr>
        <w:widowControl w:val="0"/>
        <w:tabs>
          <w:tab w:val="left" w:pos="-720"/>
        </w:tabs>
        <w:rPr>
          <w:sz w:val="24"/>
          <w:szCs w:val="24"/>
          <w:lang w:val="en-GB"/>
        </w:rPr>
      </w:pPr>
    </w:p>
    <w:p w:rsidR="00051188" w:rsidRDefault="00051188" w:rsidP="009D78B4">
      <w:pPr>
        <w:widowControl w:val="0"/>
        <w:autoSpaceDE w:val="0"/>
        <w:autoSpaceDN w:val="0"/>
        <w:adjustRightInd w:val="0"/>
        <w:rPr>
          <w:b/>
          <w:color w:val="252525"/>
          <w:sz w:val="24"/>
          <w:szCs w:val="24"/>
        </w:rPr>
      </w:pPr>
      <w:r>
        <w:rPr>
          <w:b/>
          <w:color w:val="252525"/>
          <w:sz w:val="24"/>
          <w:szCs w:val="24"/>
        </w:rPr>
        <w:t>Bladder Dysfunction</w:t>
      </w:r>
    </w:p>
    <w:p w:rsidR="00051188" w:rsidRDefault="00051188" w:rsidP="009D78B4">
      <w:pPr>
        <w:pStyle w:val="BodyText3"/>
        <w:keepLines w:val="0"/>
        <w:widowControl w:val="0"/>
        <w:ind w:right="-14"/>
        <w:rPr>
          <w:i w:val="0"/>
          <w:color w:val="auto"/>
          <w:sz w:val="24"/>
          <w:lang w:val="en-GB"/>
        </w:rPr>
      </w:pPr>
      <w:r>
        <w:rPr>
          <w:i w:val="0"/>
          <w:color w:val="auto"/>
          <w:sz w:val="24"/>
          <w:lang w:val="en-GB"/>
        </w:rPr>
        <w:t xml:space="preserve">The intradetrusor administration of </w:t>
      </w:r>
      <w:r>
        <w:rPr>
          <w:bCs/>
          <w:i w:val="0"/>
          <w:iCs/>
          <w:color w:val="auto"/>
          <w:sz w:val="24"/>
          <w:szCs w:val="24"/>
        </w:rPr>
        <w:t>BOTOX</w:t>
      </w:r>
      <w:r>
        <w:rPr>
          <w:i w:val="0"/>
          <w:color w:val="auto"/>
          <w:sz w:val="24"/>
          <w:szCs w:val="24"/>
          <w:vertAlign w:val="superscript"/>
        </w:rPr>
        <w:t>®</w:t>
      </w:r>
      <w:r>
        <w:rPr>
          <w:i w:val="0"/>
          <w:color w:val="auto"/>
          <w:sz w:val="24"/>
          <w:szCs w:val="24"/>
        </w:rPr>
        <w:t xml:space="preserve"> is only to be conducted by a urologist/urogynaecologist who has been trained in this highly specialised technique or by a urologist/urogynaecologist under the direct supervision of a urologist/urogynaecologist who has been so trained.</w:t>
      </w:r>
    </w:p>
    <w:p w:rsidR="00051188" w:rsidRDefault="00051188" w:rsidP="009D78B4">
      <w:pPr>
        <w:widowControl w:val="0"/>
        <w:tabs>
          <w:tab w:val="left" w:pos="-720"/>
        </w:tabs>
        <w:rPr>
          <w:b/>
          <w:sz w:val="24"/>
          <w:szCs w:val="24"/>
          <w:lang w:val="en-GB"/>
        </w:rPr>
      </w:pPr>
    </w:p>
    <w:p w:rsidR="00903DC4" w:rsidRPr="007D0D01" w:rsidRDefault="00903DC4" w:rsidP="009D78B4">
      <w:pPr>
        <w:widowControl w:val="0"/>
        <w:tabs>
          <w:tab w:val="left" w:pos="-720"/>
        </w:tabs>
        <w:rPr>
          <w:sz w:val="24"/>
          <w:szCs w:val="24"/>
          <w:lang w:val="en-GB"/>
        </w:rPr>
      </w:pPr>
      <w:r w:rsidRPr="007D0D01">
        <w:rPr>
          <w:sz w:val="24"/>
          <w:szCs w:val="24"/>
          <w:lang w:val="en-GB"/>
        </w:rPr>
        <w:t xml:space="preserve">Patients should not have a urinary tract infection at the time of treatment.  Prophylactic antibiotics, except aminoglycosides, (see </w:t>
      </w:r>
      <w:r w:rsidRPr="007D0D01">
        <w:rPr>
          <w:b/>
          <w:sz w:val="24"/>
          <w:szCs w:val="24"/>
          <w:lang w:val="en-GB"/>
        </w:rPr>
        <w:t>Interactions with other Medicines</w:t>
      </w:r>
      <w:r w:rsidRPr="007D0D01">
        <w:rPr>
          <w:sz w:val="24"/>
          <w:szCs w:val="24"/>
          <w:lang w:val="en-GB"/>
        </w:rPr>
        <w:t>) should be administered 1-3 days pre-treatment, on the treatment day, and 1-3 days post-treatment.</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 xml:space="preserve">It is recommended that patients discontinue anti-platelet therapy at least 3 days before the injection procedure.  Patients on anti-coagulant therapy need to be managed appropriately to decrease the risk of bleeding.  </w:t>
      </w:r>
    </w:p>
    <w:p w:rsidR="00051188" w:rsidRDefault="00051188" w:rsidP="009D78B4">
      <w:pPr>
        <w:widowControl w:val="0"/>
        <w:rPr>
          <w:b/>
          <w:i/>
        </w:rPr>
      </w:pPr>
      <w:r>
        <w:rPr>
          <w:sz w:val="24"/>
          <w:szCs w:val="24"/>
          <w:lang w:val="en-GB"/>
        </w:rPr>
        <w:t xml:space="preserve">  </w:t>
      </w:r>
    </w:p>
    <w:p w:rsidR="00051188" w:rsidRDefault="00051188" w:rsidP="009D78B4">
      <w:pPr>
        <w:widowControl w:val="0"/>
        <w:rPr>
          <w:b/>
          <w:sz w:val="24"/>
          <w:szCs w:val="24"/>
        </w:rPr>
      </w:pPr>
      <w:r>
        <w:rPr>
          <w:b/>
          <w:sz w:val="24"/>
          <w:szCs w:val="24"/>
        </w:rPr>
        <w:t>Overactive Bladder</w:t>
      </w:r>
    </w:p>
    <w:p w:rsidR="00051188" w:rsidRDefault="00051188" w:rsidP="009D78B4">
      <w:pPr>
        <w:widowControl w:val="0"/>
        <w:tabs>
          <w:tab w:val="left" w:pos="-720"/>
        </w:tabs>
        <w:rPr>
          <w:sz w:val="24"/>
          <w:szCs w:val="24"/>
          <w:lang w:val="en-GB"/>
        </w:rPr>
      </w:pPr>
      <w:r>
        <w:rPr>
          <w:sz w:val="24"/>
          <w:szCs w:val="24"/>
          <w:lang w:val="en-GB"/>
        </w:rPr>
        <w:t>An intravesical instillation of diluted local anaesthetic with or without sedation may be used prior to injection, per local site practice.  If a local anaesthetic instillation is performed, the bladder should be drained and irrigated with sterile saline before injection.</w:t>
      </w:r>
    </w:p>
    <w:p w:rsidR="00051188" w:rsidRDefault="00051188" w:rsidP="009D78B4">
      <w:pPr>
        <w:widowControl w:val="0"/>
        <w:rPr>
          <w:b/>
          <w:sz w:val="24"/>
          <w:szCs w:val="24"/>
          <w:lang w:val="en-GB"/>
        </w:rPr>
      </w:pPr>
    </w:p>
    <w:p w:rsidR="009E3FAC" w:rsidRPr="007D0D01" w:rsidRDefault="005B78EC" w:rsidP="009D78B4">
      <w:pPr>
        <w:widowControl w:val="0"/>
        <w:tabs>
          <w:tab w:val="left" w:pos="-720"/>
        </w:tabs>
        <w:rPr>
          <w:sz w:val="24"/>
          <w:szCs w:val="24"/>
        </w:rPr>
      </w:pPr>
      <w:r w:rsidRPr="007D0D01">
        <w:rPr>
          <w:sz w:val="24"/>
          <w:szCs w:val="24"/>
        </w:rPr>
        <w:t>The recommended dose is 100 Units of BOTOX</w:t>
      </w:r>
      <w:r w:rsidRPr="007D0D01">
        <w:rPr>
          <w:sz w:val="24"/>
          <w:szCs w:val="24"/>
          <w:vertAlign w:val="superscript"/>
        </w:rPr>
        <w:t>®</w:t>
      </w:r>
      <w:r w:rsidRPr="007D0D01">
        <w:rPr>
          <w:sz w:val="24"/>
          <w:szCs w:val="24"/>
        </w:rPr>
        <w:t>,  as 0.5 mL (5 Units) injections across 20 sites in the detrusor, which is also  the maximum recommended dose.</w:t>
      </w:r>
    </w:p>
    <w:p w:rsidR="00051188" w:rsidRDefault="00051188" w:rsidP="009D78B4">
      <w:pPr>
        <w:widowControl w:val="0"/>
        <w:tabs>
          <w:tab w:val="left" w:pos="-720"/>
        </w:tabs>
        <w:rPr>
          <w:sz w:val="24"/>
          <w:szCs w:val="24"/>
        </w:rPr>
      </w:pPr>
    </w:p>
    <w:p w:rsidR="00051188" w:rsidRDefault="00051188" w:rsidP="009D78B4">
      <w:pPr>
        <w:widowControl w:val="0"/>
        <w:tabs>
          <w:tab w:val="left" w:pos="-720"/>
        </w:tabs>
        <w:rPr>
          <w:color w:val="FF0000"/>
          <w:sz w:val="24"/>
          <w:szCs w:val="24"/>
        </w:rPr>
      </w:pPr>
      <w:r>
        <w:rPr>
          <w:sz w:val="24"/>
          <w:szCs w:val="24"/>
        </w:rPr>
        <w:t xml:space="preserve">The recommended dilution is 100 Units/10 mL with 0.9% non-preserved saline solution (see </w:t>
      </w:r>
      <w:r>
        <w:rPr>
          <w:b/>
          <w:sz w:val="24"/>
          <w:szCs w:val="24"/>
        </w:rPr>
        <w:t>Dilution Table</w:t>
      </w:r>
      <w:r>
        <w:rPr>
          <w:sz w:val="24"/>
          <w:szCs w:val="24"/>
        </w:rPr>
        <w:t xml:space="preserve">). </w:t>
      </w:r>
      <w:r w:rsidRPr="007D0D01">
        <w:rPr>
          <w:sz w:val="24"/>
          <w:szCs w:val="24"/>
        </w:rPr>
        <w:t>Dispose of any unused saline.</w:t>
      </w:r>
      <w:r>
        <w:rPr>
          <w:color w:val="FF0000"/>
          <w:sz w:val="24"/>
          <w:szCs w:val="24"/>
        </w:rPr>
        <w:t xml:space="preserve">  </w:t>
      </w:r>
    </w:p>
    <w:p w:rsidR="00051188" w:rsidRDefault="00051188" w:rsidP="009D78B4">
      <w:pPr>
        <w:widowControl w:val="0"/>
        <w:jc w:val="both"/>
        <w:rPr>
          <w:color w:val="FF0000"/>
          <w:sz w:val="24"/>
          <w:szCs w:val="24"/>
        </w:rPr>
      </w:pPr>
    </w:p>
    <w:p w:rsidR="00051188" w:rsidRDefault="00051188" w:rsidP="009D78B4">
      <w:pPr>
        <w:widowControl w:val="0"/>
        <w:rPr>
          <w:sz w:val="24"/>
          <w:szCs w:val="24"/>
        </w:rPr>
      </w:pPr>
      <w:r>
        <w:rPr>
          <w:sz w:val="24"/>
          <w:szCs w:val="24"/>
        </w:rPr>
        <w:t>Reconstituted BOTOX</w:t>
      </w:r>
      <w:r>
        <w:rPr>
          <w:sz w:val="24"/>
          <w:szCs w:val="24"/>
          <w:vertAlign w:val="superscript"/>
        </w:rPr>
        <w:t>®</w:t>
      </w:r>
      <w:r>
        <w:rPr>
          <w:sz w:val="24"/>
          <w:szCs w:val="24"/>
        </w:rPr>
        <w:t xml:space="preserve"> (100 Units/10 mL) is injected into the detrusor muscle via a flexible or rigid cystoscope, avoiding the trigone</w:t>
      </w:r>
      <w:r w:rsidR="009E3FAC">
        <w:rPr>
          <w:sz w:val="24"/>
          <w:szCs w:val="24"/>
        </w:rPr>
        <w:t xml:space="preserve"> </w:t>
      </w:r>
      <w:r w:rsidR="009E3FAC" w:rsidRPr="007D0D01">
        <w:rPr>
          <w:sz w:val="24"/>
          <w:szCs w:val="24"/>
        </w:rPr>
        <w:t>and bladder base</w:t>
      </w:r>
      <w:r>
        <w:rPr>
          <w:sz w:val="24"/>
          <w:szCs w:val="24"/>
        </w:rPr>
        <w:t>. The bladder should be instilled with enough saline to achieve adequate visuali</w:t>
      </w:r>
      <w:r w:rsidR="007D0D01">
        <w:rPr>
          <w:sz w:val="24"/>
          <w:szCs w:val="24"/>
        </w:rPr>
        <w:t>s</w:t>
      </w:r>
      <w:r>
        <w:rPr>
          <w:sz w:val="24"/>
          <w:szCs w:val="24"/>
        </w:rPr>
        <w:t xml:space="preserve">ation for the injections, but over-distension should be avoided.  </w:t>
      </w:r>
    </w:p>
    <w:p w:rsidR="00051188" w:rsidRDefault="00051188" w:rsidP="009D78B4">
      <w:pPr>
        <w:widowControl w:val="0"/>
        <w:rPr>
          <w:sz w:val="24"/>
          <w:szCs w:val="24"/>
        </w:rPr>
      </w:pPr>
    </w:p>
    <w:p w:rsidR="00051188" w:rsidRDefault="00051188" w:rsidP="009D78B4">
      <w:pPr>
        <w:widowControl w:val="0"/>
        <w:rPr>
          <w:sz w:val="24"/>
          <w:szCs w:val="24"/>
          <w:highlight w:val="cyan"/>
        </w:rPr>
      </w:pPr>
      <w:r>
        <w:rPr>
          <w:sz w:val="24"/>
          <w:szCs w:val="24"/>
        </w:rPr>
        <w:t>The injection needle should be filled (primed) with approximately 1 mL of reconstituted BOTOX</w:t>
      </w:r>
      <w:r>
        <w:rPr>
          <w:sz w:val="24"/>
          <w:szCs w:val="24"/>
          <w:vertAlign w:val="superscript"/>
        </w:rPr>
        <w:t>®</w:t>
      </w:r>
      <w:r>
        <w:rPr>
          <w:sz w:val="24"/>
          <w:szCs w:val="24"/>
        </w:rPr>
        <w:t xml:space="preserve"> prior to the start of injections (depending on the needle length) to remove any air. </w:t>
      </w:r>
    </w:p>
    <w:p w:rsidR="00051188" w:rsidRDefault="00051188" w:rsidP="009D78B4">
      <w:pPr>
        <w:widowControl w:val="0"/>
        <w:rPr>
          <w:sz w:val="24"/>
          <w:szCs w:val="24"/>
          <w:highlight w:val="cyan"/>
        </w:rPr>
      </w:pPr>
    </w:p>
    <w:p w:rsidR="00051188" w:rsidRDefault="00051188" w:rsidP="009D78B4">
      <w:pPr>
        <w:widowControl w:val="0"/>
        <w:rPr>
          <w:sz w:val="24"/>
          <w:szCs w:val="24"/>
        </w:rPr>
      </w:pPr>
      <w:r>
        <w:rPr>
          <w:sz w:val="24"/>
          <w:szCs w:val="24"/>
        </w:rPr>
        <w:t>The needle should be inserted approximately 2 mm into the detrusor, and 20 injections of 0.5 mL each (total volume of 10 mL) should be spaced approximately 1 cm apart (see figure below). For the final injection, approximately 1 mL of sterile normal saline should be injected so the full dose is delivered. After the injections are given, the saline used for bladder wall visualization should not be drained so that patients can demonstrate their ability to void prior to leaving the clinic. The patient should be observed for at least 30 minutes post-injection and until a spontaneous void has occurred.</w:t>
      </w:r>
    </w:p>
    <w:p w:rsidR="00051188" w:rsidRDefault="00051188" w:rsidP="009D78B4">
      <w:pPr>
        <w:widowControl w:val="0"/>
        <w:rPr>
          <w:sz w:val="24"/>
          <w:szCs w:val="24"/>
        </w:rPr>
      </w:pPr>
    </w:p>
    <w:p w:rsidR="00051188" w:rsidRDefault="00051188" w:rsidP="009D78B4">
      <w:pPr>
        <w:widowControl w:val="0"/>
        <w:jc w:val="both"/>
        <w:rPr>
          <w:sz w:val="24"/>
          <w:szCs w:val="24"/>
        </w:rPr>
      </w:pPr>
      <w:r>
        <w:rPr>
          <w:sz w:val="24"/>
          <w:szCs w:val="24"/>
        </w:rPr>
        <w:t xml:space="preserve">Clinical improvement may occur within 2 weeks. Patients should be considered for reinjection when the clinical effect of the previous injection has diminished (median duration in phase 3 clinical studies was 166 days [~24 weeks]), but no sooner than 3 months from the </w:t>
      </w:r>
      <w:r>
        <w:rPr>
          <w:sz w:val="24"/>
          <w:szCs w:val="24"/>
        </w:rPr>
        <w:lastRenderedPageBreak/>
        <w:t>prior bladder injection.</w:t>
      </w:r>
    </w:p>
    <w:p w:rsidR="00051188" w:rsidRDefault="00051188" w:rsidP="009D78B4">
      <w:pPr>
        <w:widowControl w:val="0"/>
        <w:jc w:val="both"/>
        <w:rPr>
          <w:sz w:val="24"/>
          <w:szCs w:val="24"/>
        </w:rPr>
      </w:pPr>
    </w:p>
    <w:p w:rsidR="00051188" w:rsidRDefault="00840611" w:rsidP="009D78B4">
      <w:pPr>
        <w:widowControl w:val="0"/>
        <w:jc w:val="both"/>
        <w:rPr>
          <w:iCs/>
          <w:color w:val="FF0000"/>
          <w:sz w:val="24"/>
          <w:szCs w:val="24"/>
        </w:rPr>
      </w:pPr>
      <w:r>
        <w:rPr>
          <w:noProof/>
          <w:lang w:val="en-AU" w:eastAsia="en-AU"/>
        </w:rPr>
        <w:drawing>
          <wp:inline distT="0" distB="0" distL="0" distR="0">
            <wp:extent cx="2518410" cy="2061210"/>
            <wp:effectExtent l="1905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2" cstate="print"/>
                    <a:srcRect t="8994" r="2168" b="8147"/>
                    <a:stretch>
                      <a:fillRect/>
                    </a:stretch>
                  </pic:blipFill>
                  <pic:spPr bwMode="auto">
                    <a:xfrm>
                      <a:off x="0" y="0"/>
                      <a:ext cx="2518410" cy="2061210"/>
                    </a:xfrm>
                    <a:prstGeom prst="rect">
                      <a:avLst/>
                    </a:prstGeom>
                    <a:noFill/>
                    <a:ln w="9525">
                      <a:noFill/>
                      <a:miter lim="800000"/>
                      <a:headEnd/>
                      <a:tailEnd/>
                    </a:ln>
                  </pic:spPr>
                </pic:pic>
              </a:graphicData>
            </a:graphic>
          </wp:inline>
        </w:drawing>
      </w:r>
    </w:p>
    <w:p w:rsidR="00051188" w:rsidRDefault="00051188" w:rsidP="009D78B4">
      <w:pPr>
        <w:widowControl w:val="0"/>
        <w:tabs>
          <w:tab w:val="left" w:pos="-720"/>
        </w:tabs>
        <w:rPr>
          <w:b/>
          <w:sz w:val="24"/>
          <w:szCs w:val="24"/>
          <w:lang w:val="en-GB"/>
        </w:rPr>
      </w:pPr>
    </w:p>
    <w:p w:rsidR="003241ED" w:rsidRDefault="003241ED" w:rsidP="009D78B4">
      <w:pPr>
        <w:widowControl w:val="0"/>
        <w:tabs>
          <w:tab w:val="left" w:pos="-720"/>
        </w:tabs>
        <w:rPr>
          <w:b/>
          <w:sz w:val="24"/>
          <w:szCs w:val="24"/>
          <w:lang w:val="en-GB"/>
        </w:rPr>
      </w:pPr>
    </w:p>
    <w:p w:rsidR="003241ED" w:rsidRDefault="003241ED" w:rsidP="009D78B4">
      <w:pPr>
        <w:widowControl w:val="0"/>
        <w:tabs>
          <w:tab w:val="left" w:pos="-720"/>
        </w:tabs>
        <w:rPr>
          <w:b/>
          <w:sz w:val="24"/>
          <w:szCs w:val="24"/>
          <w:lang w:val="en-GB"/>
        </w:rPr>
      </w:pPr>
    </w:p>
    <w:p w:rsidR="00051188" w:rsidRDefault="00051188" w:rsidP="009D78B4">
      <w:pPr>
        <w:widowControl w:val="0"/>
        <w:tabs>
          <w:tab w:val="left" w:pos="-720"/>
        </w:tabs>
        <w:rPr>
          <w:sz w:val="24"/>
          <w:szCs w:val="24"/>
          <w:lang w:val="en-GB"/>
        </w:rPr>
      </w:pPr>
      <w:r>
        <w:rPr>
          <w:b/>
          <w:sz w:val="24"/>
          <w:szCs w:val="24"/>
          <w:lang w:val="en-GB"/>
        </w:rPr>
        <w:t>Neurogenic Detrusor Overactivity</w:t>
      </w:r>
    </w:p>
    <w:p w:rsidR="00051188" w:rsidRDefault="00051188" w:rsidP="009D78B4">
      <w:pPr>
        <w:widowControl w:val="0"/>
        <w:tabs>
          <w:tab w:val="left" w:pos="-720"/>
        </w:tabs>
        <w:rPr>
          <w:sz w:val="24"/>
          <w:szCs w:val="24"/>
          <w:lang w:val="en-GB"/>
        </w:rPr>
      </w:pPr>
      <w:r>
        <w:rPr>
          <w:sz w:val="24"/>
          <w:szCs w:val="24"/>
          <w:lang w:val="en-GB"/>
        </w:rPr>
        <w:t>An intravesical instillation of diluted local anaesthetic with or without sedation, or general anaesthesia, may be used prior to injection, per local site practice.  If a local anaesthetic instillation is performed, the bladder should be drained and irrigated with sterile saline before injection.</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The recommended dose is 200 U of BOTOX</w:t>
      </w:r>
      <w:r>
        <w:rPr>
          <w:sz w:val="24"/>
          <w:szCs w:val="24"/>
          <w:vertAlign w:val="superscript"/>
          <w:lang w:val="en-GB"/>
        </w:rPr>
        <w:t>®</w:t>
      </w:r>
      <w:r>
        <w:rPr>
          <w:sz w:val="24"/>
          <w:szCs w:val="24"/>
          <w:lang w:val="en-GB"/>
        </w:rPr>
        <w:t xml:space="preserve">. </w:t>
      </w:r>
    </w:p>
    <w:p w:rsidR="00051188" w:rsidRDefault="00051188" w:rsidP="009D78B4">
      <w:pPr>
        <w:widowControl w:val="0"/>
        <w:tabs>
          <w:tab w:val="left" w:pos="-720"/>
        </w:tabs>
        <w:rPr>
          <w:sz w:val="24"/>
          <w:szCs w:val="24"/>
          <w:lang w:val="en-GB"/>
        </w:rPr>
      </w:pPr>
    </w:p>
    <w:p w:rsidR="00051188" w:rsidRDefault="00051188" w:rsidP="009D78B4">
      <w:pPr>
        <w:widowControl w:val="0"/>
        <w:rPr>
          <w:iCs/>
          <w:sz w:val="24"/>
          <w:szCs w:val="24"/>
          <w:vertAlign w:val="superscript"/>
        </w:rPr>
      </w:pPr>
      <w:r>
        <w:rPr>
          <w:iCs/>
          <w:sz w:val="24"/>
          <w:szCs w:val="24"/>
        </w:rPr>
        <w:t>Reconstitute a 200 Unit vial of</w:t>
      </w:r>
      <w:r>
        <w:rPr>
          <w:b/>
          <w:bCs/>
          <w:iCs/>
          <w:sz w:val="24"/>
          <w:szCs w:val="24"/>
        </w:rPr>
        <w:t xml:space="preserve"> </w:t>
      </w:r>
      <w:r>
        <w:rPr>
          <w:iCs/>
          <w:sz w:val="24"/>
          <w:szCs w:val="24"/>
        </w:rPr>
        <w:t>BOTOX</w:t>
      </w:r>
      <w:r>
        <w:rPr>
          <w:iCs/>
          <w:sz w:val="24"/>
          <w:szCs w:val="24"/>
          <w:vertAlign w:val="superscript"/>
        </w:rPr>
        <w:t xml:space="preserve">® </w:t>
      </w:r>
      <w:r>
        <w:rPr>
          <w:iCs/>
          <w:sz w:val="24"/>
          <w:szCs w:val="24"/>
        </w:rPr>
        <w:t>with 6 mL of 0.9% non-preserved saline solution and mix the vial gently. Draw 2 mL from the vial into each of three 10 mL syringes. Complete the reconstitution by adding 8 mL of 0.9% non-preserved saline solution into each of the 10 mL syringes, and mix gently. This will result in three 10 mL syringes each containing 10 mL (~67 Units in each), for a total of 200 Units of reconstituted BOTOX</w:t>
      </w:r>
      <w:r>
        <w:rPr>
          <w:iCs/>
          <w:sz w:val="24"/>
          <w:szCs w:val="24"/>
          <w:vertAlign w:val="superscript"/>
        </w:rPr>
        <w:t>®</w:t>
      </w:r>
      <w:r>
        <w:rPr>
          <w:iCs/>
          <w:sz w:val="24"/>
          <w:szCs w:val="24"/>
        </w:rPr>
        <w:t>. Use immediately after reconstitution in the syringe. Dispose of any unused saline.</w:t>
      </w:r>
    </w:p>
    <w:p w:rsidR="00051188" w:rsidRDefault="00051188" w:rsidP="009D78B4">
      <w:pPr>
        <w:widowControl w:val="0"/>
        <w:rPr>
          <w:iCs/>
          <w:sz w:val="24"/>
          <w:szCs w:val="24"/>
        </w:rPr>
      </w:pPr>
    </w:p>
    <w:p w:rsidR="00051188" w:rsidRDefault="00051188" w:rsidP="009D78B4">
      <w:pPr>
        <w:widowControl w:val="0"/>
        <w:jc w:val="both"/>
        <w:rPr>
          <w:sz w:val="24"/>
          <w:szCs w:val="24"/>
        </w:rPr>
      </w:pPr>
      <w:r>
        <w:rPr>
          <w:iCs/>
          <w:sz w:val="24"/>
          <w:szCs w:val="24"/>
        </w:rPr>
        <w:t>Reconstitute two 100 Unit vials of BOTOX</w:t>
      </w:r>
      <w:r>
        <w:rPr>
          <w:iCs/>
          <w:sz w:val="24"/>
          <w:szCs w:val="24"/>
          <w:vertAlign w:val="superscript"/>
        </w:rPr>
        <w:t>®</w:t>
      </w:r>
      <w:r>
        <w:rPr>
          <w:iCs/>
          <w:sz w:val="24"/>
          <w:szCs w:val="24"/>
        </w:rPr>
        <w:t>, each with 6 mL of 0.9% non-preserved saline solution and mix the vials gently. Draw 4 mL from each vial into each of two 10 mL syringes. Draw the remaining 2 mL from each vial into a third 10 mL syringe. Complete the reconstitution by adding 6 mL of 0.9% non-preserved saline solution into each of the 10 mL syringes, and mix gently. This will result in three 10 mL syringes each containing 10 mL (~67 Units in each), for a total of 200 Units of reconstituted BOTOX</w:t>
      </w:r>
      <w:r>
        <w:rPr>
          <w:iCs/>
          <w:sz w:val="24"/>
          <w:szCs w:val="24"/>
          <w:vertAlign w:val="superscript"/>
        </w:rPr>
        <w:t>®</w:t>
      </w:r>
      <w:r>
        <w:rPr>
          <w:iCs/>
          <w:sz w:val="24"/>
          <w:szCs w:val="24"/>
        </w:rPr>
        <w:t>. Use immediately after reconstitution in the syringe. Dispose of any unused saline.</w:t>
      </w:r>
      <w:r>
        <w:rPr>
          <w:sz w:val="24"/>
          <w:szCs w:val="24"/>
        </w:rPr>
        <w:t xml:space="preserve"> </w:t>
      </w:r>
    </w:p>
    <w:p w:rsidR="00051188" w:rsidRDefault="00051188" w:rsidP="009D78B4">
      <w:pPr>
        <w:widowControl w:val="0"/>
        <w:tabs>
          <w:tab w:val="left" w:pos="-720"/>
        </w:tabs>
        <w:jc w:val="right"/>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Reconstituted BOTOX</w:t>
      </w:r>
      <w:r>
        <w:rPr>
          <w:sz w:val="24"/>
          <w:szCs w:val="24"/>
          <w:vertAlign w:val="superscript"/>
          <w:lang w:val="en-GB"/>
        </w:rPr>
        <w:t>®</w:t>
      </w:r>
      <w:r>
        <w:rPr>
          <w:sz w:val="24"/>
          <w:szCs w:val="24"/>
          <w:lang w:val="en-GB"/>
        </w:rPr>
        <w:t xml:space="preserve"> (200 U/30 mL) is injected into the detrusor muscle via a flexible or rigid cystoscope, avoiding the trigone.  The bladder should be instilled with enough saline to achieve adequate visualisation for the injections, but over-distension should be avoided.  </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 xml:space="preserve">The injection needle should be filled (primed) with approximately 1 mL prior to the start of injections (depending on the needle length) to remove any air. </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 xml:space="preserve">The needle should be inserted approximately 2 mm into the detrusor, and 30 injections of 1 mL (~6.7 U) each (total volume of 30 mL) should be spaced approximately 1 cm apart (see </w:t>
      </w:r>
      <w:r>
        <w:rPr>
          <w:sz w:val="24"/>
          <w:szCs w:val="24"/>
          <w:lang w:val="en-GB"/>
        </w:rPr>
        <w:lastRenderedPageBreak/>
        <w:t xml:space="preserve">figure above).  For the final injection, approximately 1 mL of sterile normal saline should be injected so the full dose is delivered.  After the injections are given, the saline used for bladder wall visualisation should be drained.  The patient should be observed for at least 30 minutes post-injection.   </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 xml:space="preserve">Clinical improvement generally occurs within 2 weeks.  </w:t>
      </w:r>
      <w:r>
        <w:rPr>
          <w:sz w:val="24"/>
          <w:szCs w:val="24"/>
        </w:rPr>
        <w:t>It is not recommended that patients be retreated pre-emptively, at fixed intervals</w:t>
      </w:r>
      <w:r>
        <w:rPr>
          <w:sz w:val="24"/>
          <w:szCs w:val="24"/>
          <w:lang w:val="en-GB"/>
        </w:rPr>
        <w:t>. Patients should be considered for reinjection when the clinical effect of the previous injection has diminished (median duration in phase 3 clinical studies was 256-295 days (36-42 weeks) for BOTOX</w:t>
      </w:r>
      <w:r>
        <w:rPr>
          <w:sz w:val="24"/>
          <w:szCs w:val="24"/>
          <w:vertAlign w:val="superscript"/>
          <w:lang w:val="en-GB"/>
        </w:rPr>
        <w:t>®</w:t>
      </w:r>
      <w:r>
        <w:rPr>
          <w:sz w:val="24"/>
          <w:szCs w:val="24"/>
          <w:lang w:val="en-GB"/>
        </w:rPr>
        <w:t xml:space="preserve"> 200 U), but no sooner than 3 months from the prior bladder injection.  </w:t>
      </w:r>
    </w:p>
    <w:p w:rsidR="00051188" w:rsidRDefault="00051188" w:rsidP="009D78B4">
      <w:pPr>
        <w:widowControl w:val="0"/>
        <w:autoSpaceDE w:val="0"/>
        <w:autoSpaceDN w:val="0"/>
        <w:adjustRightInd w:val="0"/>
        <w:rPr>
          <w:sz w:val="25"/>
          <w:szCs w:val="25"/>
        </w:rPr>
      </w:pPr>
    </w:p>
    <w:p w:rsidR="00051188" w:rsidRDefault="00051188" w:rsidP="009D78B4">
      <w:pPr>
        <w:widowControl w:val="0"/>
        <w:autoSpaceDE w:val="0"/>
        <w:autoSpaceDN w:val="0"/>
        <w:adjustRightInd w:val="0"/>
        <w:rPr>
          <w:i/>
          <w:sz w:val="24"/>
          <w:szCs w:val="24"/>
          <w:lang w:val="en-AU"/>
        </w:rPr>
      </w:pPr>
      <w:r>
        <w:rPr>
          <w:sz w:val="24"/>
          <w:szCs w:val="24"/>
        </w:rPr>
        <w:t>Limited data is available beyond two treatments so the decision to perform a second treatment should be made only after considering the risks and benefits.</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b/>
          <w:sz w:val="24"/>
          <w:szCs w:val="24"/>
          <w:lang w:val="en-GB"/>
        </w:rPr>
      </w:pPr>
      <w:r>
        <w:rPr>
          <w:b/>
          <w:sz w:val="24"/>
          <w:szCs w:val="24"/>
          <w:lang w:val="en-GB"/>
        </w:rPr>
        <w:t>Chronic Migraine</w:t>
      </w:r>
    </w:p>
    <w:p w:rsidR="00051188" w:rsidRDefault="00051188" w:rsidP="009D78B4">
      <w:pPr>
        <w:widowControl w:val="0"/>
        <w:rPr>
          <w:sz w:val="24"/>
          <w:szCs w:val="24"/>
        </w:rPr>
      </w:pPr>
      <w:r>
        <w:rPr>
          <w:sz w:val="24"/>
          <w:szCs w:val="24"/>
        </w:rPr>
        <w:t xml:space="preserve">The recommended dose for treating chronic migraine is 155 U to 195 U administered intramuscularly (IM) using a 30-gauge, 0.5 inch needle as 0.1 ml (5 U) injections per each site.  Injections should be divided across 7 specific head/neck muscle areas as specified in the table below.  A 1-inch needle may be needed in the neck region for patients with extremely thick neck muscles.  With the exception of the procerus muscle, which should be injected at 1 site (midline), all muscles should be injected bilaterally with the minimum dose per muscle as indicated below, with half the number of injections sites administered to the left, and half to the right side of the head and neck.  If there is a predominant pain location(s), additional injections to one or both sides may be administered in up to 3 specific muscle groups (occipitalis, temporalis and trapezius), up to the maximum dose per muscle as indicated in the table below. </w:t>
      </w:r>
    </w:p>
    <w:p w:rsidR="00051188" w:rsidRDefault="00051188" w:rsidP="009D78B4">
      <w:pPr>
        <w:widowControl w:val="0"/>
        <w:rPr>
          <w:sz w:val="24"/>
          <w:szCs w:val="24"/>
        </w:rPr>
      </w:pPr>
    </w:p>
    <w:p w:rsidR="00051188" w:rsidRDefault="00051188" w:rsidP="009D78B4">
      <w:pPr>
        <w:widowControl w:val="0"/>
        <w:rPr>
          <w:sz w:val="24"/>
          <w:szCs w:val="24"/>
        </w:rPr>
      </w:pPr>
      <w:r>
        <w:rPr>
          <w:sz w:val="24"/>
          <w:szCs w:val="24"/>
        </w:rPr>
        <w:t xml:space="preserve">The recommended re-treatment schedule is every 12 weeks. </w:t>
      </w:r>
    </w:p>
    <w:p w:rsidR="00051188" w:rsidRDefault="00051188" w:rsidP="009D78B4">
      <w:pPr>
        <w:widowControl w:val="0"/>
        <w:spacing w:line="240" w:lineRule="atLeast"/>
        <w:ind w:right="117"/>
        <w:rPr>
          <w:i/>
          <w:szCs w:val="24"/>
        </w:rPr>
      </w:pPr>
      <w:r>
        <w:rPr>
          <w:sz w:val="24"/>
          <w:szCs w:val="24"/>
        </w:rPr>
        <w:t>Due to the difficulties in establishing a diagnosis of chronic migraine, patients being considered for prophylaxis of headaches with BOTOX</w:t>
      </w:r>
      <w:r>
        <w:rPr>
          <w:caps/>
          <w:sz w:val="24"/>
          <w:szCs w:val="24"/>
          <w:vertAlign w:val="superscript"/>
        </w:rPr>
        <w:sym w:font="Symbol" w:char="F0D2"/>
      </w:r>
      <w:r>
        <w:rPr>
          <w:sz w:val="24"/>
          <w:szCs w:val="24"/>
        </w:rPr>
        <w:t xml:space="preserve"> should be evaluated by a neurologist or pain management specialist prior to receiving treatment with BOTOX</w:t>
      </w:r>
      <w:r>
        <w:rPr>
          <w:caps/>
          <w:sz w:val="24"/>
          <w:szCs w:val="24"/>
          <w:vertAlign w:val="superscript"/>
        </w:rPr>
        <w:sym w:font="Symbol" w:char="F0D2"/>
      </w:r>
      <w:r>
        <w:rPr>
          <w:sz w:val="24"/>
          <w:szCs w:val="24"/>
        </w:rPr>
        <w:t>.  The use of BOTOX</w:t>
      </w:r>
      <w:r>
        <w:rPr>
          <w:caps/>
          <w:sz w:val="24"/>
          <w:szCs w:val="24"/>
          <w:vertAlign w:val="superscript"/>
        </w:rPr>
        <w:sym w:font="Symbol" w:char="F0D2"/>
      </w:r>
      <w:r>
        <w:rPr>
          <w:sz w:val="24"/>
          <w:szCs w:val="24"/>
        </w:rPr>
        <w:t xml:space="preserve">  for prophylaxis of headaches in adults with chronic migraine has been assessed for 3 cycles over 32 weeks.  No long term safety or efficacy data for this indication are available.  Patients who do not have an adequate  response after 2 treatment cycles should not continue treatment.</w:t>
      </w:r>
      <w:r>
        <w:rPr>
          <w:szCs w:val="24"/>
        </w:rPr>
        <w:t xml:space="preserve"> </w:t>
      </w:r>
      <w:r>
        <w:rPr>
          <w:sz w:val="24"/>
          <w:szCs w:val="24"/>
        </w:rPr>
        <w:t xml:space="preserve">Patients should not receive more than 3 cycles of treatment prior to an assessment of the need for further treatment. </w:t>
      </w:r>
    </w:p>
    <w:p w:rsidR="00051188" w:rsidRDefault="00051188" w:rsidP="009D78B4">
      <w:pPr>
        <w:widowControl w:val="0"/>
        <w:rPr>
          <w:sz w:val="24"/>
          <w:szCs w:val="24"/>
        </w:rPr>
      </w:pPr>
    </w:p>
    <w:p w:rsidR="00051188" w:rsidRDefault="00051188" w:rsidP="009D78B4">
      <w:pPr>
        <w:widowControl w:val="0"/>
        <w:rPr>
          <w:sz w:val="24"/>
          <w:szCs w:val="24"/>
        </w:rPr>
      </w:pPr>
      <w:r>
        <w:rPr>
          <w:sz w:val="24"/>
          <w:szCs w:val="24"/>
        </w:rPr>
        <w:t>Recommended injection sites for chronic migraine:</w:t>
      </w:r>
    </w:p>
    <w:p w:rsidR="00051188" w:rsidRDefault="00840611" w:rsidP="009D78B4">
      <w:pPr>
        <w:widowControl w:val="0"/>
        <w:rPr>
          <w:sz w:val="24"/>
          <w:szCs w:val="24"/>
        </w:rPr>
      </w:pPr>
      <w:r>
        <w:rPr>
          <w:noProof/>
          <w:sz w:val="24"/>
          <w:szCs w:val="24"/>
          <w:lang w:val="en-AU" w:eastAsia="en-AU"/>
        </w:rPr>
        <w:lastRenderedPageBreak/>
        <w:drawing>
          <wp:inline distT="0" distB="0" distL="0" distR="0">
            <wp:extent cx="5275580" cy="1997710"/>
            <wp:effectExtent l="1905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5275580" cy="1997710"/>
                    </a:xfrm>
                    <a:prstGeom prst="rect">
                      <a:avLst/>
                    </a:prstGeom>
                    <a:noFill/>
                    <a:ln w="9525">
                      <a:noFill/>
                      <a:miter lim="800000"/>
                      <a:headEnd/>
                      <a:tailEnd/>
                    </a:ln>
                  </pic:spPr>
                </pic:pic>
              </a:graphicData>
            </a:graphic>
          </wp:inline>
        </w:drawing>
      </w:r>
    </w:p>
    <w:p w:rsidR="00051188" w:rsidRDefault="00051188" w:rsidP="009D78B4">
      <w:pPr>
        <w:widowControl w:val="0"/>
        <w:rPr>
          <w:sz w:val="24"/>
          <w:szCs w:val="24"/>
        </w:rPr>
      </w:pPr>
    </w:p>
    <w:p w:rsidR="00051188" w:rsidRDefault="00051188" w:rsidP="009D78B4">
      <w:pPr>
        <w:widowControl w:val="0"/>
        <w:rPr>
          <w:sz w:val="24"/>
          <w:szCs w:val="24"/>
        </w:rPr>
      </w:pPr>
    </w:p>
    <w:p w:rsidR="00051188" w:rsidRDefault="00051188" w:rsidP="009D78B4">
      <w:pPr>
        <w:widowControl w:val="0"/>
        <w:rPr>
          <w:sz w:val="24"/>
          <w:szCs w:val="24"/>
        </w:rPr>
      </w:pPr>
    </w:p>
    <w:p w:rsidR="00051188" w:rsidRDefault="00051188" w:rsidP="009D78B4">
      <w:pPr>
        <w:widowControl w:val="0"/>
        <w:rPr>
          <w:sz w:val="24"/>
          <w:szCs w:val="24"/>
        </w:rPr>
      </w:pPr>
    </w:p>
    <w:p w:rsidR="0075510B" w:rsidRDefault="0075510B" w:rsidP="009D78B4">
      <w:pPr>
        <w:widowControl w:val="0"/>
        <w:rPr>
          <w:sz w:val="24"/>
          <w:szCs w:val="24"/>
        </w:rPr>
      </w:pPr>
    </w:p>
    <w:p w:rsidR="00051188" w:rsidRDefault="00051188" w:rsidP="009D78B4">
      <w:pPr>
        <w:widowControl w:val="0"/>
        <w:rPr>
          <w:sz w:val="24"/>
          <w:szCs w:val="24"/>
        </w:rPr>
      </w:pPr>
      <w:r>
        <w:rPr>
          <w:sz w:val="24"/>
          <w:szCs w:val="24"/>
        </w:rPr>
        <w:t>BOTOX</w:t>
      </w:r>
      <w:r>
        <w:rPr>
          <w:rFonts w:ascii="Times New Roman Bold" w:hAnsi="Times New Roman Bold"/>
          <w:sz w:val="24"/>
          <w:szCs w:val="24"/>
          <w:vertAlign w:val="superscript"/>
        </w:rPr>
        <w:t>®</w:t>
      </w:r>
      <w:r>
        <w:rPr>
          <w:sz w:val="24"/>
          <w:szCs w:val="24"/>
        </w:rPr>
        <w:t xml:space="preserve"> Dosing By Muscle for Chronic Migraine</w:t>
      </w:r>
    </w:p>
    <w:p w:rsidR="00051188" w:rsidRDefault="00051188" w:rsidP="009D78B4">
      <w:pPr>
        <w:widowControl w:val="0"/>
        <w:rPr>
          <w:b/>
          <w:sz w:val="24"/>
          <w:szCs w:val="24"/>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6480"/>
      </w:tblGrid>
      <w:tr w:rsidR="00051188">
        <w:trPr>
          <w:trHeight w:val="121"/>
        </w:trPr>
        <w:tc>
          <w:tcPr>
            <w:tcW w:w="2340" w:type="dxa"/>
            <w:tcBorders>
              <w:top w:val="single" w:sz="12" w:space="0" w:color="auto"/>
              <w:left w:val="single" w:sz="12" w:space="0" w:color="auto"/>
              <w:bottom w:val="single" w:sz="2" w:space="0" w:color="auto"/>
              <w:right w:val="single" w:sz="12" w:space="0" w:color="auto"/>
            </w:tcBorders>
          </w:tcPr>
          <w:p w:rsidR="00051188" w:rsidRDefault="00051188" w:rsidP="009D78B4">
            <w:pPr>
              <w:widowControl w:val="0"/>
              <w:spacing w:before="40" w:after="40"/>
              <w:rPr>
                <w:b/>
                <w:sz w:val="24"/>
                <w:szCs w:val="24"/>
              </w:rPr>
            </w:pPr>
          </w:p>
        </w:tc>
        <w:tc>
          <w:tcPr>
            <w:tcW w:w="6480" w:type="dxa"/>
            <w:tcBorders>
              <w:top w:val="single" w:sz="12" w:space="0" w:color="auto"/>
              <w:left w:val="single" w:sz="12" w:space="0" w:color="auto"/>
              <w:bottom w:val="single" w:sz="2" w:space="0" w:color="auto"/>
              <w:right w:val="single" w:sz="12" w:space="0" w:color="auto"/>
            </w:tcBorders>
          </w:tcPr>
          <w:p w:rsidR="00051188" w:rsidRDefault="00051188" w:rsidP="009D78B4">
            <w:pPr>
              <w:widowControl w:val="0"/>
              <w:spacing w:before="40" w:after="40"/>
              <w:ind w:left="498" w:right="798" w:hanging="180"/>
              <w:jc w:val="center"/>
              <w:rPr>
                <w:b/>
                <w:sz w:val="24"/>
                <w:szCs w:val="24"/>
              </w:rPr>
            </w:pPr>
            <w:r>
              <w:rPr>
                <w:b/>
                <w:sz w:val="24"/>
                <w:szCs w:val="24"/>
              </w:rPr>
              <w:t>Recommended Dose</w:t>
            </w:r>
          </w:p>
        </w:tc>
      </w:tr>
      <w:tr w:rsidR="00051188">
        <w:trPr>
          <w:trHeight w:val="303"/>
        </w:trPr>
        <w:tc>
          <w:tcPr>
            <w:tcW w:w="2340" w:type="dxa"/>
            <w:tcBorders>
              <w:top w:val="single" w:sz="2" w:space="0" w:color="auto"/>
              <w:left w:val="single" w:sz="12" w:space="0" w:color="auto"/>
              <w:bottom w:val="single" w:sz="12" w:space="0" w:color="auto"/>
              <w:right w:val="single" w:sz="12" w:space="0" w:color="auto"/>
            </w:tcBorders>
          </w:tcPr>
          <w:p w:rsidR="00051188" w:rsidRDefault="00051188" w:rsidP="009D78B4">
            <w:pPr>
              <w:widowControl w:val="0"/>
              <w:spacing w:before="40" w:after="40"/>
              <w:rPr>
                <w:b/>
                <w:sz w:val="24"/>
                <w:szCs w:val="24"/>
              </w:rPr>
            </w:pPr>
            <w:r>
              <w:rPr>
                <w:b/>
                <w:sz w:val="24"/>
                <w:szCs w:val="24"/>
              </w:rPr>
              <w:t>Head/Neck Area</w:t>
            </w:r>
          </w:p>
        </w:tc>
        <w:tc>
          <w:tcPr>
            <w:tcW w:w="6480" w:type="dxa"/>
            <w:tcBorders>
              <w:top w:val="single" w:sz="2" w:space="0" w:color="auto"/>
              <w:left w:val="single" w:sz="12" w:space="0" w:color="auto"/>
              <w:bottom w:val="single" w:sz="12" w:space="0" w:color="auto"/>
              <w:right w:val="single" w:sz="12" w:space="0" w:color="auto"/>
            </w:tcBorders>
          </w:tcPr>
          <w:p w:rsidR="00051188" w:rsidRDefault="00051188" w:rsidP="009D78B4">
            <w:pPr>
              <w:widowControl w:val="0"/>
              <w:spacing w:before="40" w:after="40"/>
              <w:jc w:val="center"/>
              <w:rPr>
                <w:b/>
                <w:sz w:val="24"/>
                <w:szCs w:val="24"/>
              </w:rPr>
            </w:pPr>
            <w:r>
              <w:rPr>
                <w:b/>
                <w:sz w:val="24"/>
                <w:szCs w:val="24"/>
              </w:rPr>
              <w:t>Total Number of Units (U) (number of IM injection sites</w:t>
            </w:r>
            <w:r>
              <w:rPr>
                <w:b/>
                <w:sz w:val="24"/>
                <w:szCs w:val="24"/>
                <w:vertAlign w:val="superscript"/>
              </w:rPr>
              <w:t>a</w:t>
            </w:r>
            <w:r>
              <w:rPr>
                <w:b/>
                <w:sz w:val="24"/>
                <w:szCs w:val="24"/>
              </w:rPr>
              <w:t>)</w:t>
            </w:r>
          </w:p>
        </w:tc>
      </w:tr>
      <w:tr w:rsidR="00051188">
        <w:trPr>
          <w:trHeight w:val="174"/>
        </w:trPr>
        <w:tc>
          <w:tcPr>
            <w:tcW w:w="2340" w:type="dxa"/>
            <w:tcBorders>
              <w:top w:val="single" w:sz="12" w:space="0" w:color="auto"/>
              <w:left w:val="single" w:sz="12" w:space="0" w:color="auto"/>
              <w:right w:val="single" w:sz="12" w:space="0" w:color="auto"/>
            </w:tcBorders>
          </w:tcPr>
          <w:p w:rsidR="00051188" w:rsidRDefault="00051188" w:rsidP="009D78B4">
            <w:pPr>
              <w:widowControl w:val="0"/>
              <w:spacing w:before="40" w:after="40"/>
              <w:rPr>
                <w:sz w:val="24"/>
                <w:szCs w:val="24"/>
              </w:rPr>
            </w:pPr>
            <w:r>
              <w:rPr>
                <w:sz w:val="24"/>
                <w:szCs w:val="24"/>
              </w:rPr>
              <w:t>Frontalis</w:t>
            </w:r>
            <w:r>
              <w:rPr>
                <w:sz w:val="24"/>
                <w:szCs w:val="24"/>
                <w:vertAlign w:val="superscript"/>
              </w:rPr>
              <w:t>b</w:t>
            </w:r>
          </w:p>
        </w:tc>
        <w:tc>
          <w:tcPr>
            <w:tcW w:w="6480" w:type="dxa"/>
            <w:tcBorders>
              <w:top w:val="single" w:sz="12" w:space="0" w:color="auto"/>
              <w:left w:val="single" w:sz="12" w:space="0" w:color="auto"/>
              <w:right w:val="single" w:sz="12" w:space="0" w:color="auto"/>
            </w:tcBorders>
            <w:vAlign w:val="center"/>
          </w:tcPr>
          <w:p w:rsidR="00051188" w:rsidRDefault="00051188" w:rsidP="009D78B4">
            <w:pPr>
              <w:widowControl w:val="0"/>
              <w:spacing w:before="40" w:after="40"/>
              <w:jc w:val="center"/>
              <w:rPr>
                <w:sz w:val="24"/>
                <w:szCs w:val="24"/>
              </w:rPr>
            </w:pPr>
            <w:r>
              <w:rPr>
                <w:sz w:val="24"/>
                <w:szCs w:val="24"/>
              </w:rPr>
              <w:t>20 U (4 sites)</w:t>
            </w:r>
          </w:p>
        </w:tc>
      </w:tr>
      <w:tr w:rsidR="00051188">
        <w:trPr>
          <w:trHeight w:val="180"/>
        </w:trPr>
        <w:tc>
          <w:tcPr>
            <w:tcW w:w="2340" w:type="dxa"/>
            <w:tcBorders>
              <w:left w:val="single" w:sz="12" w:space="0" w:color="auto"/>
              <w:right w:val="single" w:sz="12" w:space="0" w:color="auto"/>
            </w:tcBorders>
          </w:tcPr>
          <w:p w:rsidR="00051188" w:rsidRDefault="00051188" w:rsidP="009D78B4">
            <w:pPr>
              <w:widowControl w:val="0"/>
              <w:spacing w:before="40" w:after="40"/>
              <w:rPr>
                <w:sz w:val="24"/>
                <w:szCs w:val="24"/>
              </w:rPr>
            </w:pPr>
            <w:r>
              <w:rPr>
                <w:sz w:val="24"/>
                <w:szCs w:val="24"/>
              </w:rPr>
              <w:t>Corrugator</w:t>
            </w:r>
            <w:r>
              <w:rPr>
                <w:sz w:val="24"/>
                <w:szCs w:val="24"/>
                <w:vertAlign w:val="superscript"/>
              </w:rPr>
              <w:t>b</w:t>
            </w:r>
          </w:p>
        </w:tc>
        <w:tc>
          <w:tcPr>
            <w:tcW w:w="6480" w:type="dxa"/>
            <w:tcBorders>
              <w:left w:val="single" w:sz="12" w:space="0" w:color="auto"/>
              <w:right w:val="single" w:sz="12" w:space="0" w:color="auto"/>
            </w:tcBorders>
            <w:vAlign w:val="center"/>
          </w:tcPr>
          <w:p w:rsidR="00051188" w:rsidRDefault="00051188" w:rsidP="009D78B4">
            <w:pPr>
              <w:widowControl w:val="0"/>
              <w:spacing w:before="40" w:after="40"/>
              <w:jc w:val="center"/>
              <w:rPr>
                <w:sz w:val="24"/>
                <w:szCs w:val="24"/>
              </w:rPr>
            </w:pPr>
            <w:r>
              <w:rPr>
                <w:sz w:val="24"/>
                <w:szCs w:val="24"/>
              </w:rPr>
              <w:t>10 U (2 sites)</w:t>
            </w:r>
          </w:p>
        </w:tc>
      </w:tr>
      <w:tr w:rsidR="00051188">
        <w:trPr>
          <w:trHeight w:val="180"/>
        </w:trPr>
        <w:tc>
          <w:tcPr>
            <w:tcW w:w="2340" w:type="dxa"/>
            <w:tcBorders>
              <w:left w:val="single" w:sz="12" w:space="0" w:color="auto"/>
              <w:right w:val="single" w:sz="12" w:space="0" w:color="auto"/>
            </w:tcBorders>
          </w:tcPr>
          <w:p w:rsidR="00051188" w:rsidRDefault="00051188" w:rsidP="009D78B4">
            <w:pPr>
              <w:widowControl w:val="0"/>
              <w:spacing w:before="40" w:after="40"/>
              <w:rPr>
                <w:sz w:val="24"/>
                <w:szCs w:val="24"/>
              </w:rPr>
            </w:pPr>
            <w:r>
              <w:rPr>
                <w:sz w:val="24"/>
                <w:szCs w:val="24"/>
              </w:rPr>
              <w:t>Procerus</w:t>
            </w:r>
          </w:p>
        </w:tc>
        <w:tc>
          <w:tcPr>
            <w:tcW w:w="6480" w:type="dxa"/>
            <w:tcBorders>
              <w:left w:val="single" w:sz="12" w:space="0" w:color="auto"/>
              <w:right w:val="single" w:sz="12" w:space="0" w:color="auto"/>
            </w:tcBorders>
            <w:vAlign w:val="center"/>
          </w:tcPr>
          <w:p w:rsidR="00051188" w:rsidRDefault="00051188" w:rsidP="009D78B4">
            <w:pPr>
              <w:widowControl w:val="0"/>
              <w:spacing w:before="40" w:after="40"/>
              <w:jc w:val="center"/>
              <w:rPr>
                <w:sz w:val="24"/>
                <w:szCs w:val="24"/>
              </w:rPr>
            </w:pPr>
            <w:r>
              <w:rPr>
                <w:sz w:val="24"/>
                <w:szCs w:val="24"/>
              </w:rPr>
              <w:t>5 U (1 site)</w:t>
            </w:r>
          </w:p>
        </w:tc>
      </w:tr>
      <w:tr w:rsidR="00051188">
        <w:trPr>
          <w:trHeight w:val="303"/>
        </w:trPr>
        <w:tc>
          <w:tcPr>
            <w:tcW w:w="2340" w:type="dxa"/>
            <w:tcBorders>
              <w:left w:val="single" w:sz="12" w:space="0" w:color="auto"/>
              <w:right w:val="single" w:sz="12" w:space="0" w:color="auto"/>
            </w:tcBorders>
          </w:tcPr>
          <w:p w:rsidR="00051188" w:rsidRDefault="00051188" w:rsidP="009D78B4">
            <w:pPr>
              <w:widowControl w:val="0"/>
              <w:spacing w:before="40" w:after="40"/>
              <w:rPr>
                <w:sz w:val="24"/>
                <w:szCs w:val="24"/>
              </w:rPr>
            </w:pPr>
            <w:r>
              <w:rPr>
                <w:sz w:val="24"/>
                <w:szCs w:val="24"/>
              </w:rPr>
              <w:t>Occipitalis</w:t>
            </w:r>
            <w:r>
              <w:rPr>
                <w:sz w:val="24"/>
                <w:szCs w:val="24"/>
                <w:vertAlign w:val="superscript"/>
              </w:rPr>
              <w:t>b</w:t>
            </w:r>
          </w:p>
        </w:tc>
        <w:tc>
          <w:tcPr>
            <w:tcW w:w="6480" w:type="dxa"/>
            <w:tcBorders>
              <w:left w:val="single" w:sz="12" w:space="0" w:color="auto"/>
              <w:right w:val="single" w:sz="12" w:space="0" w:color="auto"/>
            </w:tcBorders>
            <w:vAlign w:val="center"/>
          </w:tcPr>
          <w:p w:rsidR="00051188" w:rsidRDefault="00051188" w:rsidP="009D78B4">
            <w:pPr>
              <w:widowControl w:val="0"/>
              <w:spacing w:before="40" w:after="40"/>
              <w:jc w:val="center"/>
              <w:rPr>
                <w:sz w:val="24"/>
                <w:szCs w:val="24"/>
              </w:rPr>
            </w:pPr>
            <w:r>
              <w:rPr>
                <w:sz w:val="24"/>
                <w:szCs w:val="24"/>
              </w:rPr>
              <w:t>30 U (6 sites) up to 40 U (up to 8 sites)</w:t>
            </w:r>
          </w:p>
        </w:tc>
      </w:tr>
      <w:tr w:rsidR="00051188">
        <w:trPr>
          <w:trHeight w:val="303"/>
        </w:trPr>
        <w:tc>
          <w:tcPr>
            <w:tcW w:w="2340" w:type="dxa"/>
            <w:tcBorders>
              <w:left w:val="single" w:sz="12" w:space="0" w:color="auto"/>
              <w:right w:val="single" w:sz="12" w:space="0" w:color="auto"/>
            </w:tcBorders>
          </w:tcPr>
          <w:p w:rsidR="00051188" w:rsidRDefault="00051188" w:rsidP="009D78B4">
            <w:pPr>
              <w:widowControl w:val="0"/>
              <w:spacing w:before="40" w:after="40"/>
              <w:rPr>
                <w:sz w:val="24"/>
                <w:szCs w:val="24"/>
              </w:rPr>
            </w:pPr>
            <w:r>
              <w:rPr>
                <w:sz w:val="24"/>
                <w:szCs w:val="24"/>
              </w:rPr>
              <w:t>Temporalis</w:t>
            </w:r>
            <w:r>
              <w:rPr>
                <w:sz w:val="24"/>
                <w:szCs w:val="24"/>
                <w:vertAlign w:val="superscript"/>
              </w:rPr>
              <w:t>b</w:t>
            </w:r>
          </w:p>
        </w:tc>
        <w:tc>
          <w:tcPr>
            <w:tcW w:w="6480" w:type="dxa"/>
            <w:tcBorders>
              <w:left w:val="single" w:sz="12" w:space="0" w:color="auto"/>
              <w:right w:val="single" w:sz="12" w:space="0" w:color="auto"/>
            </w:tcBorders>
            <w:vAlign w:val="center"/>
          </w:tcPr>
          <w:p w:rsidR="00051188" w:rsidRDefault="00051188" w:rsidP="009D78B4">
            <w:pPr>
              <w:widowControl w:val="0"/>
              <w:spacing w:before="40" w:after="40"/>
              <w:jc w:val="center"/>
              <w:rPr>
                <w:sz w:val="24"/>
                <w:szCs w:val="24"/>
              </w:rPr>
            </w:pPr>
            <w:r>
              <w:rPr>
                <w:sz w:val="24"/>
                <w:szCs w:val="24"/>
              </w:rPr>
              <w:t>40 U (8 sites) up to 50 U (up to 10 sites)</w:t>
            </w:r>
          </w:p>
        </w:tc>
      </w:tr>
      <w:tr w:rsidR="00051188">
        <w:trPr>
          <w:trHeight w:val="303"/>
        </w:trPr>
        <w:tc>
          <w:tcPr>
            <w:tcW w:w="2340" w:type="dxa"/>
            <w:tcBorders>
              <w:left w:val="single" w:sz="12" w:space="0" w:color="auto"/>
              <w:right w:val="single" w:sz="12" w:space="0" w:color="auto"/>
            </w:tcBorders>
          </w:tcPr>
          <w:p w:rsidR="00051188" w:rsidRDefault="00051188" w:rsidP="009D78B4">
            <w:pPr>
              <w:widowControl w:val="0"/>
              <w:spacing w:before="40" w:after="40"/>
              <w:rPr>
                <w:sz w:val="24"/>
                <w:szCs w:val="24"/>
              </w:rPr>
            </w:pPr>
            <w:r>
              <w:rPr>
                <w:sz w:val="24"/>
                <w:szCs w:val="24"/>
              </w:rPr>
              <w:t>Trapezius</w:t>
            </w:r>
            <w:r>
              <w:rPr>
                <w:sz w:val="24"/>
                <w:szCs w:val="24"/>
                <w:vertAlign w:val="superscript"/>
              </w:rPr>
              <w:t>b</w:t>
            </w:r>
          </w:p>
        </w:tc>
        <w:tc>
          <w:tcPr>
            <w:tcW w:w="6480" w:type="dxa"/>
            <w:tcBorders>
              <w:left w:val="single" w:sz="12" w:space="0" w:color="auto"/>
              <w:right w:val="single" w:sz="12" w:space="0" w:color="auto"/>
            </w:tcBorders>
            <w:vAlign w:val="center"/>
          </w:tcPr>
          <w:p w:rsidR="00051188" w:rsidRDefault="00051188" w:rsidP="009D78B4">
            <w:pPr>
              <w:widowControl w:val="0"/>
              <w:spacing w:before="40" w:after="40"/>
              <w:jc w:val="center"/>
              <w:rPr>
                <w:sz w:val="24"/>
                <w:szCs w:val="24"/>
              </w:rPr>
            </w:pPr>
            <w:r>
              <w:rPr>
                <w:sz w:val="24"/>
                <w:szCs w:val="24"/>
              </w:rPr>
              <w:t>30 U (6 sites) up to 50 U (up to 10 sites)</w:t>
            </w:r>
          </w:p>
        </w:tc>
      </w:tr>
      <w:tr w:rsidR="00051188">
        <w:trPr>
          <w:trHeight w:val="425"/>
        </w:trPr>
        <w:tc>
          <w:tcPr>
            <w:tcW w:w="2340" w:type="dxa"/>
            <w:tcBorders>
              <w:left w:val="single" w:sz="12" w:space="0" w:color="auto"/>
              <w:bottom w:val="single" w:sz="12" w:space="0" w:color="auto"/>
              <w:right w:val="single" w:sz="12" w:space="0" w:color="auto"/>
            </w:tcBorders>
          </w:tcPr>
          <w:p w:rsidR="00051188" w:rsidRDefault="00051188" w:rsidP="009D78B4">
            <w:pPr>
              <w:widowControl w:val="0"/>
              <w:spacing w:before="40" w:after="40"/>
              <w:rPr>
                <w:sz w:val="24"/>
                <w:szCs w:val="24"/>
              </w:rPr>
            </w:pPr>
            <w:r>
              <w:rPr>
                <w:sz w:val="24"/>
                <w:szCs w:val="24"/>
              </w:rPr>
              <w:t xml:space="preserve">Cervical Paraspinal </w:t>
            </w:r>
          </w:p>
          <w:p w:rsidR="00051188" w:rsidRDefault="00051188" w:rsidP="009D78B4">
            <w:pPr>
              <w:widowControl w:val="0"/>
              <w:spacing w:before="40" w:after="40"/>
              <w:rPr>
                <w:sz w:val="24"/>
                <w:szCs w:val="24"/>
              </w:rPr>
            </w:pPr>
            <w:r>
              <w:rPr>
                <w:sz w:val="24"/>
                <w:szCs w:val="24"/>
              </w:rPr>
              <w:t>Muscle Group</w:t>
            </w:r>
            <w:r>
              <w:rPr>
                <w:sz w:val="24"/>
                <w:szCs w:val="24"/>
                <w:vertAlign w:val="superscript"/>
              </w:rPr>
              <w:t>b</w:t>
            </w:r>
          </w:p>
        </w:tc>
        <w:tc>
          <w:tcPr>
            <w:tcW w:w="6480" w:type="dxa"/>
            <w:tcBorders>
              <w:left w:val="single" w:sz="12" w:space="0" w:color="auto"/>
              <w:bottom w:val="single" w:sz="12" w:space="0" w:color="auto"/>
              <w:right w:val="single" w:sz="12" w:space="0" w:color="auto"/>
            </w:tcBorders>
            <w:vAlign w:val="center"/>
          </w:tcPr>
          <w:p w:rsidR="00051188" w:rsidRDefault="00051188" w:rsidP="009D78B4">
            <w:pPr>
              <w:widowControl w:val="0"/>
              <w:spacing w:before="40" w:after="40"/>
              <w:jc w:val="center"/>
              <w:rPr>
                <w:sz w:val="24"/>
                <w:szCs w:val="24"/>
              </w:rPr>
            </w:pPr>
            <w:r>
              <w:rPr>
                <w:sz w:val="24"/>
                <w:szCs w:val="24"/>
              </w:rPr>
              <w:t>20 U (4 sites)</w:t>
            </w:r>
          </w:p>
        </w:tc>
      </w:tr>
      <w:tr w:rsidR="00051188">
        <w:trPr>
          <w:trHeight w:val="256"/>
        </w:trPr>
        <w:tc>
          <w:tcPr>
            <w:tcW w:w="2340" w:type="dxa"/>
            <w:tcBorders>
              <w:top w:val="single" w:sz="12" w:space="0" w:color="auto"/>
              <w:left w:val="single" w:sz="12" w:space="0" w:color="auto"/>
              <w:bottom w:val="single" w:sz="12" w:space="0" w:color="auto"/>
              <w:right w:val="single" w:sz="12" w:space="0" w:color="auto"/>
            </w:tcBorders>
          </w:tcPr>
          <w:p w:rsidR="00051188" w:rsidRDefault="00051188" w:rsidP="009D78B4">
            <w:pPr>
              <w:widowControl w:val="0"/>
              <w:spacing w:before="40" w:after="40"/>
              <w:rPr>
                <w:b/>
                <w:sz w:val="24"/>
                <w:szCs w:val="24"/>
              </w:rPr>
            </w:pPr>
            <w:r>
              <w:rPr>
                <w:b/>
                <w:sz w:val="24"/>
                <w:szCs w:val="24"/>
              </w:rPr>
              <w:t>Total Dose Range:</w:t>
            </w:r>
          </w:p>
        </w:tc>
        <w:tc>
          <w:tcPr>
            <w:tcW w:w="6480" w:type="dxa"/>
            <w:tcBorders>
              <w:top w:val="single" w:sz="12" w:space="0" w:color="auto"/>
              <w:left w:val="single" w:sz="12" w:space="0" w:color="auto"/>
              <w:bottom w:val="single" w:sz="12" w:space="0" w:color="auto"/>
              <w:right w:val="single" w:sz="12" w:space="0" w:color="auto"/>
            </w:tcBorders>
            <w:vAlign w:val="center"/>
          </w:tcPr>
          <w:p w:rsidR="00051188" w:rsidRDefault="00051188" w:rsidP="009D78B4">
            <w:pPr>
              <w:widowControl w:val="0"/>
              <w:spacing w:before="40" w:after="40"/>
              <w:jc w:val="center"/>
              <w:rPr>
                <w:sz w:val="24"/>
                <w:szCs w:val="24"/>
                <w:lang w:val="pl-PL"/>
              </w:rPr>
            </w:pPr>
            <w:r>
              <w:rPr>
                <w:b/>
                <w:sz w:val="24"/>
                <w:szCs w:val="24"/>
                <w:lang w:val="pl-PL"/>
              </w:rPr>
              <w:t>155 U to 195 U</w:t>
            </w:r>
          </w:p>
        </w:tc>
      </w:tr>
    </w:tbl>
    <w:p w:rsidR="00051188" w:rsidRDefault="00051188" w:rsidP="009D78B4">
      <w:pPr>
        <w:widowControl w:val="0"/>
        <w:ind w:left="180"/>
      </w:pPr>
      <w:r>
        <w:rPr>
          <w:vertAlign w:val="superscript"/>
        </w:rPr>
        <w:t xml:space="preserve">a </w:t>
      </w:r>
      <w:r>
        <w:t>1 IM injection site = 0.1 mL = 5 U BOTOX</w:t>
      </w:r>
      <w:r>
        <w:rPr>
          <w:vertAlign w:val="superscript"/>
        </w:rPr>
        <w:t>®</w:t>
      </w:r>
      <w:r>
        <w:t xml:space="preserve"> </w:t>
      </w:r>
    </w:p>
    <w:p w:rsidR="00051188" w:rsidRDefault="00051188" w:rsidP="009D78B4">
      <w:pPr>
        <w:widowControl w:val="0"/>
        <w:ind w:left="180"/>
      </w:pPr>
      <w:r>
        <w:rPr>
          <w:vertAlign w:val="superscript"/>
        </w:rPr>
        <w:t>b</w:t>
      </w:r>
      <w:r>
        <w:t xml:space="preserve"> Dose distributed bilaterally for minimum dose</w:t>
      </w:r>
    </w:p>
    <w:p w:rsidR="00051188" w:rsidRDefault="00051188" w:rsidP="009D78B4">
      <w:pPr>
        <w:widowControl w:val="0"/>
        <w:tabs>
          <w:tab w:val="left" w:pos="-720"/>
        </w:tabs>
        <w:rPr>
          <w:b/>
          <w:sz w:val="24"/>
          <w:szCs w:val="24"/>
          <w:lang w:val="en-GB"/>
        </w:rPr>
      </w:pPr>
    </w:p>
    <w:p w:rsidR="00051188" w:rsidRDefault="00051188" w:rsidP="009D78B4">
      <w:pPr>
        <w:widowControl w:val="0"/>
        <w:tabs>
          <w:tab w:val="left" w:pos="-720"/>
        </w:tabs>
        <w:rPr>
          <w:b/>
          <w:sz w:val="24"/>
          <w:szCs w:val="24"/>
          <w:lang w:val="en-GB"/>
        </w:rPr>
      </w:pPr>
      <w:r>
        <w:rPr>
          <w:b/>
          <w:sz w:val="24"/>
          <w:szCs w:val="24"/>
          <w:lang w:val="en-GB"/>
        </w:rPr>
        <w:t>Blepharospasm</w:t>
      </w:r>
    </w:p>
    <w:p w:rsidR="00051188" w:rsidRDefault="00051188" w:rsidP="009D78B4">
      <w:pPr>
        <w:widowControl w:val="0"/>
        <w:tabs>
          <w:tab w:val="left" w:pos="-720"/>
        </w:tabs>
        <w:rPr>
          <w:sz w:val="24"/>
          <w:szCs w:val="24"/>
          <w:lang w:val="en-GB"/>
        </w:rPr>
      </w:pPr>
      <w:r>
        <w:rPr>
          <w:sz w:val="24"/>
          <w:szCs w:val="24"/>
          <w:lang w:val="en-GB"/>
        </w:rPr>
        <w:t xml:space="preserve">An injection of </w:t>
      </w:r>
      <w:r>
        <w:rPr>
          <w:caps/>
          <w:sz w:val="24"/>
          <w:szCs w:val="24"/>
        </w:rPr>
        <w:t>Botox</w:t>
      </w:r>
      <w:r>
        <w:rPr>
          <w:caps/>
          <w:sz w:val="24"/>
          <w:szCs w:val="24"/>
          <w:vertAlign w:val="superscript"/>
        </w:rPr>
        <w:sym w:font="Symbol" w:char="F0D2"/>
      </w:r>
      <w:r>
        <w:rPr>
          <w:smallCaps/>
          <w:position w:val="4"/>
          <w:sz w:val="24"/>
          <w:szCs w:val="24"/>
          <w:lang w:val="en-GB"/>
        </w:rPr>
        <w:t xml:space="preserve"> </w:t>
      </w:r>
      <w:r>
        <w:rPr>
          <w:sz w:val="24"/>
          <w:szCs w:val="24"/>
          <w:lang w:val="en-GB"/>
        </w:rPr>
        <w:t xml:space="preserve">(botulinum toxin type A) purified neurotoxin complex  is prepared by drawing into a sterile 1.0 mL tuberculin syringe an amount of the properly diluted toxin (see </w:t>
      </w:r>
      <w:r>
        <w:rPr>
          <w:b/>
          <w:sz w:val="24"/>
          <w:szCs w:val="24"/>
          <w:lang w:val="en-GB"/>
        </w:rPr>
        <w:t>Dilution Table</w:t>
      </w:r>
      <w:r>
        <w:rPr>
          <w:sz w:val="24"/>
          <w:szCs w:val="24"/>
          <w:lang w:val="en-GB"/>
        </w:rPr>
        <w:t xml:space="preserve">) slightly greater than the intended dose.  Air bubbles in the syringe barrel are expelled and the syringe is attached to the injection needle, preferably a 1½”, 27-30 gauge needle.  Injection volume in excess of the intended dose is expelled through the needle into an appropriate waste container to assure patency of the needle and to confirm that there is no syringe-needle leakage.  A new, sterile needle and syringe should be used to enter the vial on each occasion for dilution or removal of </w:t>
      </w:r>
      <w:r>
        <w:rPr>
          <w:caps/>
          <w:sz w:val="24"/>
          <w:szCs w:val="24"/>
        </w:rPr>
        <w:t>Botox</w:t>
      </w:r>
      <w:r>
        <w:rPr>
          <w:caps/>
          <w:sz w:val="24"/>
          <w:szCs w:val="24"/>
          <w:vertAlign w:val="superscript"/>
        </w:rPr>
        <w:sym w:font="Symbol" w:char="F0D2"/>
      </w:r>
      <w:r>
        <w:rPr>
          <w:sz w:val="24"/>
          <w:szCs w:val="24"/>
          <w:lang w:val="en-GB"/>
        </w:rPr>
        <w:t>.</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 xml:space="preserve">For blepharospasm, diluted </w:t>
      </w:r>
      <w:r>
        <w:rPr>
          <w:caps/>
          <w:sz w:val="24"/>
          <w:szCs w:val="24"/>
        </w:rPr>
        <w:t>Botox</w:t>
      </w:r>
      <w:r>
        <w:rPr>
          <w:caps/>
          <w:sz w:val="24"/>
          <w:szCs w:val="24"/>
          <w:vertAlign w:val="superscript"/>
        </w:rPr>
        <w:sym w:font="Symbol" w:char="F0D2"/>
      </w:r>
      <w:r>
        <w:rPr>
          <w:sz w:val="24"/>
          <w:szCs w:val="24"/>
          <w:lang w:val="en-GB"/>
        </w:rPr>
        <w:t xml:space="preserve"> injection (see Dilution Table) is injected using a sterile, 27-30 gauge needle with or without electromyographic guidance.  1.25 U to 2.5 U (0.05 mL to 0.1 mL volume at each site) injected into the medial and lateral pre-tarsal orbicularis oculi </w:t>
      </w:r>
      <w:r>
        <w:rPr>
          <w:sz w:val="24"/>
          <w:szCs w:val="24"/>
          <w:lang w:val="en-GB"/>
        </w:rPr>
        <w:lastRenderedPageBreak/>
        <w:t>of the upper lid and into the lateral pre-tarsal orbicularis oculi of the lower lid is the initial recommended dose.  Pre-tarsal injections are often appropriate and may vary based on the patient’s presentation.  In the upper lid, maximising the distance of the injection from the levator palpebrae superioris may reduce the complication of ptosis.  Avoiding medial lower lid injections, and thereby reducing diffusion into the inferior oblique, may reduce the complication of diplopia.  Ecchymosis may occur easily in the soft eyelid tissues.  This may be reduced by applying light pressure at the injection site immediately after the injection.</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szCs w:val="24"/>
          <w:lang w:val="en-GB"/>
        </w:rPr>
      </w:pPr>
      <w:r>
        <w:rPr>
          <w:sz w:val="24"/>
          <w:lang w:val="en-GB"/>
        </w:rPr>
        <w:t xml:space="preserve">In general, the initial effect of the injections is seen within three days and reaches a peak at one to two weeks post-treatment.  Each treatment lasts approximately three months, following which the procedure can be repeated as needed.  At repeat treatment sessions, the dose may be increased up to </w:t>
      </w:r>
      <w:r>
        <w:rPr>
          <w:sz w:val="24"/>
          <w:szCs w:val="24"/>
          <w:lang w:val="en-GB"/>
        </w:rPr>
        <w:t xml:space="preserve">two-fold if the response from the initial treatment is considered insufficient – usually defined as an effect that does not last longer than two months.  However there appears to be a minimal increase in benefit from injecting more than 5.0 U per site.  Some tolerance may be found when </w:t>
      </w:r>
      <w:r>
        <w:rPr>
          <w:caps/>
          <w:sz w:val="24"/>
          <w:szCs w:val="24"/>
        </w:rPr>
        <w:t>Botox</w:t>
      </w:r>
      <w:r>
        <w:rPr>
          <w:caps/>
          <w:sz w:val="24"/>
          <w:szCs w:val="24"/>
          <w:vertAlign w:val="superscript"/>
        </w:rPr>
        <w:sym w:font="Symbol" w:char="F0D2"/>
      </w:r>
      <w:r>
        <w:rPr>
          <w:sz w:val="24"/>
          <w:szCs w:val="24"/>
          <w:lang w:val="en-GB"/>
        </w:rPr>
        <w:t xml:space="preserve"> is used in treating blepharospasm if treatments are given any more frequently than every three months.</w:t>
      </w:r>
      <w:r>
        <w:rPr>
          <w:color w:val="FF0000"/>
          <w:sz w:val="24"/>
          <w:szCs w:val="24"/>
          <w:lang w:val="en-GB"/>
        </w:rPr>
        <w:t xml:space="preserve"> </w:t>
      </w:r>
      <w:r>
        <w:rPr>
          <w:sz w:val="24"/>
          <w:szCs w:val="24"/>
          <w:lang w:val="en-GB"/>
        </w:rPr>
        <w:t>The effect is rarely permanent.</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 xml:space="preserve">The cumulative dose of </w:t>
      </w:r>
      <w:r>
        <w:rPr>
          <w:caps/>
          <w:sz w:val="24"/>
          <w:szCs w:val="24"/>
        </w:rPr>
        <w:t>Botox</w:t>
      </w:r>
      <w:r>
        <w:rPr>
          <w:caps/>
          <w:sz w:val="24"/>
          <w:szCs w:val="24"/>
          <w:vertAlign w:val="superscript"/>
        </w:rPr>
        <w:sym w:font="Symbol" w:char="F0D2"/>
      </w:r>
      <w:r>
        <w:rPr>
          <w:sz w:val="24"/>
          <w:szCs w:val="24"/>
          <w:lang w:val="en-GB"/>
        </w:rPr>
        <w:t xml:space="preserve"> in a two month period should not exceed 200 U.</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b/>
          <w:color w:val="000000"/>
          <w:sz w:val="24"/>
          <w:szCs w:val="24"/>
          <w:lang w:val="en-GB"/>
        </w:rPr>
      </w:pPr>
      <w:r>
        <w:rPr>
          <w:b/>
          <w:color w:val="000000"/>
          <w:sz w:val="24"/>
          <w:szCs w:val="24"/>
          <w:lang w:val="en-GB"/>
        </w:rPr>
        <w:t xml:space="preserve">Strabismus  </w:t>
      </w:r>
    </w:p>
    <w:p w:rsidR="00051188" w:rsidRDefault="00051188" w:rsidP="009D78B4">
      <w:pPr>
        <w:widowControl w:val="0"/>
        <w:tabs>
          <w:tab w:val="left" w:pos="-720"/>
        </w:tabs>
        <w:rPr>
          <w:color w:val="000000"/>
          <w:sz w:val="24"/>
          <w:szCs w:val="24"/>
          <w:lang w:val="en-GB"/>
        </w:rPr>
      </w:pPr>
      <w:r>
        <w:rPr>
          <w:caps/>
          <w:color w:val="000000"/>
          <w:sz w:val="24"/>
          <w:szCs w:val="24"/>
          <w:lang w:val="en-GB"/>
        </w:rPr>
        <w:t>Botox</w:t>
      </w:r>
      <w:r>
        <w:rPr>
          <w:color w:val="000000"/>
          <w:sz w:val="24"/>
          <w:szCs w:val="24"/>
          <w:vertAlign w:val="superscript"/>
          <w:lang w:val="en-GB"/>
        </w:rPr>
        <w:t xml:space="preserve">® </w:t>
      </w:r>
      <w:r>
        <w:rPr>
          <w:color w:val="000000"/>
          <w:sz w:val="24"/>
          <w:szCs w:val="24"/>
          <w:lang w:val="en-GB"/>
        </w:rPr>
        <w:t>is intended for injection into extraocular muscles utilising the electrical activity recorded from the tip of the injection needle as a guide to placement within the target muscle.  Injection without surgical exposure or electromyographic guidance should not be attempted.  Physicians should be familiar with electromyographic technique.</w:t>
      </w:r>
    </w:p>
    <w:p w:rsidR="00051188" w:rsidRDefault="00051188" w:rsidP="009D78B4">
      <w:pPr>
        <w:widowControl w:val="0"/>
        <w:tabs>
          <w:tab w:val="left" w:pos="-720"/>
        </w:tabs>
        <w:rPr>
          <w:color w:val="000000"/>
          <w:sz w:val="24"/>
          <w:szCs w:val="24"/>
          <w:lang w:val="en-GB"/>
        </w:rPr>
      </w:pPr>
    </w:p>
    <w:p w:rsidR="00051188" w:rsidRDefault="00051188" w:rsidP="009D78B4">
      <w:pPr>
        <w:widowControl w:val="0"/>
        <w:tabs>
          <w:tab w:val="left" w:pos="-720"/>
        </w:tabs>
        <w:rPr>
          <w:color w:val="000000"/>
          <w:sz w:val="24"/>
          <w:szCs w:val="24"/>
          <w:lang w:val="en-GB"/>
        </w:rPr>
      </w:pPr>
      <w:r>
        <w:rPr>
          <w:color w:val="000000"/>
          <w:sz w:val="24"/>
          <w:szCs w:val="24"/>
          <w:lang w:val="en-GB"/>
        </w:rPr>
        <w:t xml:space="preserve">To prepare the eye for </w:t>
      </w:r>
      <w:r>
        <w:rPr>
          <w:caps/>
          <w:color w:val="000000"/>
          <w:sz w:val="24"/>
          <w:szCs w:val="24"/>
          <w:lang w:val="en-GB"/>
        </w:rPr>
        <w:t>Botox</w:t>
      </w:r>
      <w:r>
        <w:rPr>
          <w:color w:val="000000"/>
          <w:sz w:val="24"/>
          <w:szCs w:val="24"/>
          <w:vertAlign w:val="superscript"/>
          <w:lang w:val="en-GB"/>
        </w:rPr>
        <w:t>®</w:t>
      </w:r>
      <w:r>
        <w:rPr>
          <w:color w:val="000000"/>
          <w:sz w:val="24"/>
          <w:szCs w:val="24"/>
          <w:lang w:val="en-GB"/>
        </w:rPr>
        <w:t xml:space="preserve"> injection, it is recommended that several drops of a local anaesthetic and an ocular decongestant be given several minutes prior to injection.</w:t>
      </w:r>
    </w:p>
    <w:p w:rsidR="00051188" w:rsidRDefault="00051188" w:rsidP="009D78B4">
      <w:pPr>
        <w:widowControl w:val="0"/>
        <w:tabs>
          <w:tab w:val="left" w:pos="-720"/>
        </w:tabs>
        <w:rPr>
          <w:color w:val="000000"/>
          <w:sz w:val="24"/>
          <w:szCs w:val="24"/>
          <w:lang w:val="en-GB"/>
        </w:rPr>
      </w:pPr>
    </w:p>
    <w:p w:rsidR="00051188" w:rsidRDefault="00051188" w:rsidP="009D78B4">
      <w:pPr>
        <w:widowControl w:val="0"/>
        <w:tabs>
          <w:tab w:val="left" w:pos="-720"/>
        </w:tabs>
        <w:rPr>
          <w:color w:val="000000"/>
          <w:sz w:val="24"/>
          <w:szCs w:val="24"/>
          <w:lang w:val="en-GB"/>
        </w:rPr>
      </w:pPr>
      <w:r>
        <w:rPr>
          <w:color w:val="000000"/>
          <w:sz w:val="24"/>
          <w:szCs w:val="24"/>
          <w:lang w:val="en-GB"/>
        </w:rPr>
        <w:t xml:space="preserve">Note: The volume of </w:t>
      </w:r>
      <w:r>
        <w:rPr>
          <w:caps/>
          <w:color w:val="000000"/>
          <w:sz w:val="24"/>
          <w:szCs w:val="24"/>
          <w:lang w:val="en-GB"/>
        </w:rPr>
        <w:t>Botox</w:t>
      </w:r>
      <w:r>
        <w:rPr>
          <w:color w:val="000000"/>
          <w:sz w:val="24"/>
          <w:szCs w:val="24"/>
          <w:vertAlign w:val="superscript"/>
          <w:lang w:val="en-GB"/>
        </w:rPr>
        <w:t xml:space="preserve">® </w:t>
      </w:r>
      <w:r>
        <w:rPr>
          <w:color w:val="000000"/>
          <w:sz w:val="24"/>
          <w:szCs w:val="24"/>
          <w:lang w:val="en-GB"/>
        </w:rPr>
        <w:t xml:space="preserve">injected for treatment of strabismus should be between 0.05 – 0.15 mL per muscle.  </w:t>
      </w:r>
    </w:p>
    <w:p w:rsidR="00051188" w:rsidRDefault="00051188" w:rsidP="009D78B4">
      <w:pPr>
        <w:widowControl w:val="0"/>
        <w:tabs>
          <w:tab w:val="left" w:pos="-720"/>
        </w:tabs>
        <w:rPr>
          <w:color w:val="000000"/>
          <w:sz w:val="24"/>
          <w:szCs w:val="24"/>
          <w:lang w:val="en-GB"/>
        </w:rPr>
      </w:pPr>
    </w:p>
    <w:p w:rsidR="00051188" w:rsidRDefault="00051188" w:rsidP="009D78B4">
      <w:pPr>
        <w:widowControl w:val="0"/>
        <w:tabs>
          <w:tab w:val="left" w:pos="-720"/>
        </w:tabs>
        <w:spacing w:after="120"/>
        <w:rPr>
          <w:color w:val="000000"/>
          <w:sz w:val="24"/>
          <w:szCs w:val="24"/>
          <w:lang w:val="en-GB"/>
        </w:rPr>
      </w:pPr>
      <w:r>
        <w:rPr>
          <w:color w:val="000000"/>
          <w:sz w:val="24"/>
          <w:szCs w:val="24"/>
          <w:lang w:val="en-GB"/>
        </w:rPr>
        <w:t xml:space="preserve">The initial listed doses of the reconstituted </w:t>
      </w:r>
      <w:r>
        <w:rPr>
          <w:caps/>
          <w:color w:val="000000"/>
          <w:sz w:val="24"/>
          <w:szCs w:val="24"/>
          <w:lang w:val="en-GB"/>
        </w:rPr>
        <w:t>Botox</w:t>
      </w:r>
      <w:r>
        <w:rPr>
          <w:color w:val="000000"/>
          <w:sz w:val="24"/>
          <w:szCs w:val="24"/>
          <w:vertAlign w:val="superscript"/>
          <w:lang w:val="en-GB"/>
        </w:rPr>
        <w:t>®</w:t>
      </w:r>
      <w:r>
        <w:rPr>
          <w:color w:val="000000"/>
          <w:sz w:val="24"/>
          <w:szCs w:val="24"/>
          <w:lang w:val="en-GB"/>
        </w:rPr>
        <w:t xml:space="preserve"> (see </w:t>
      </w:r>
      <w:r>
        <w:rPr>
          <w:b/>
          <w:color w:val="000000"/>
          <w:sz w:val="24"/>
          <w:szCs w:val="24"/>
          <w:lang w:val="en-GB"/>
        </w:rPr>
        <w:t>Dilution Table</w:t>
      </w:r>
      <w:r>
        <w:rPr>
          <w:color w:val="000000"/>
          <w:sz w:val="24"/>
          <w:szCs w:val="24"/>
          <w:lang w:val="en-GB"/>
        </w:rPr>
        <w:t xml:space="preserve"> below) typically create paralysis of injected muscles beginning one to two days after injection and increasing in intensity during the first week.  The paralysis lasts for 2-6 weeks and gradually resolves over a similar time period.  Overcorrections lasting over 6 months have been rare.  About one half of patients will require subsequent doses because of inadequate paralytic response of the muscle to the initial dose, or because of mechanical factors such as large deviations or restrictions, or because of the lack of binocular motor fusion to stabilise the alignment.</w:t>
      </w:r>
    </w:p>
    <w:p w:rsidR="00051188" w:rsidRDefault="00051188" w:rsidP="009D78B4">
      <w:pPr>
        <w:widowControl w:val="0"/>
        <w:tabs>
          <w:tab w:val="left" w:pos="-720"/>
          <w:tab w:val="left" w:pos="284"/>
        </w:tabs>
        <w:ind w:left="284" w:hanging="284"/>
        <w:rPr>
          <w:color w:val="000000"/>
          <w:sz w:val="24"/>
          <w:szCs w:val="24"/>
          <w:lang w:val="en-GB"/>
        </w:rPr>
      </w:pPr>
      <w:r>
        <w:rPr>
          <w:color w:val="000000"/>
          <w:sz w:val="24"/>
          <w:szCs w:val="24"/>
          <w:lang w:val="en-GB"/>
        </w:rPr>
        <w:t>I.</w:t>
      </w:r>
      <w:r>
        <w:rPr>
          <w:color w:val="000000"/>
          <w:sz w:val="24"/>
          <w:szCs w:val="24"/>
          <w:lang w:val="en-GB"/>
        </w:rPr>
        <w:tab/>
        <w:t>Initial doses in units.  Use the lower listed doses for treatment of small deviations.  Use the larger doses only for large deviations.</w:t>
      </w:r>
    </w:p>
    <w:p w:rsidR="00051188" w:rsidRDefault="00051188" w:rsidP="009D78B4">
      <w:pPr>
        <w:widowControl w:val="0"/>
        <w:tabs>
          <w:tab w:val="left" w:pos="-720"/>
          <w:tab w:val="left" w:pos="284"/>
        </w:tabs>
        <w:ind w:left="720" w:hanging="720"/>
        <w:rPr>
          <w:color w:val="000000"/>
          <w:sz w:val="24"/>
          <w:szCs w:val="24"/>
          <w:lang w:val="en-GB"/>
        </w:rPr>
      </w:pPr>
      <w:r>
        <w:rPr>
          <w:color w:val="000000"/>
          <w:sz w:val="24"/>
          <w:szCs w:val="24"/>
          <w:lang w:val="en-GB"/>
        </w:rPr>
        <w:tab/>
        <w:t>A.</w:t>
      </w:r>
      <w:r>
        <w:rPr>
          <w:color w:val="000000"/>
          <w:sz w:val="24"/>
          <w:szCs w:val="24"/>
          <w:lang w:val="en-GB"/>
        </w:rPr>
        <w:tab/>
        <w:t>For vertical muscles, and for horizontal strabismus of less than 20 prism dioptres: 1.25 – 2.5 U in any one muscle.</w:t>
      </w:r>
    </w:p>
    <w:p w:rsidR="00051188" w:rsidRDefault="00051188" w:rsidP="009D78B4">
      <w:pPr>
        <w:widowControl w:val="0"/>
        <w:tabs>
          <w:tab w:val="left" w:pos="-720"/>
          <w:tab w:val="left" w:pos="284"/>
        </w:tabs>
        <w:ind w:left="720" w:hanging="720"/>
        <w:rPr>
          <w:color w:val="000000"/>
          <w:sz w:val="24"/>
          <w:szCs w:val="24"/>
          <w:lang w:val="en-GB"/>
        </w:rPr>
      </w:pPr>
      <w:r>
        <w:rPr>
          <w:color w:val="000000"/>
          <w:sz w:val="24"/>
          <w:szCs w:val="24"/>
          <w:lang w:val="en-GB"/>
        </w:rPr>
        <w:tab/>
        <w:t>B.</w:t>
      </w:r>
      <w:r>
        <w:rPr>
          <w:color w:val="000000"/>
          <w:sz w:val="24"/>
          <w:szCs w:val="24"/>
          <w:lang w:val="en-GB"/>
        </w:rPr>
        <w:tab/>
        <w:t>For horizontal strabismus of 20 prism dioptres to 50 prism dioptres: 2.5 – 5.0 U in any one muscle.</w:t>
      </w:r>
    </w:p>
    <w:p w:rsidR="00051188" w:rsidRDefault="00051188" w:rsidP="009D78B4">
      <w:pPr>
        <w:widowControl w:val="0"/>
        <w:tabs>
          <w:tab w:val="left" w:pos="-720"/>
          <w:tab w:val="left" w:pos="284"/>
        </w:tabs>
        <w:spacing w:after="120"/>
        <w:ind w:left="720" w:hanging="720"/>
        <w:rPr>
          <w:color w:val="000000"/>
          <w:sz w:val="24"/>
          <w:szCs w:val="24"/>
          <w:lang w:val="en-GB"/>
        </w:rPr>
      </w:pPr>
      <w:r>
        <w:rPr>
          <w:color w:val="000000"/>
          <w:sz w:val="24"/>
          <w:szCs w:val="24"/>
          <w:lang w:val="en-GB"/>
        </w:rPr>
        <w:tab/>
        <w:t>C.</w:t>
      </w:r>
      <w:r>
        <w:rPr>
          <w:color w:val="000000"/>
          <w:sz w:val="24"/>
          <w:szCs w:val="24"/>
          <w:lang w:val="en-GB"/>
        </w:rPr>
        <w:tab/>
        <w:t>For persistent sixth nerve palsy of one month or longer duration: 1.25 – 2.5 U in the medial rectus muscle.</w:t>
      </w:r>
    </w:p>
    <w:p w:rsidR="00051188" w:rsidRDefault="00051188" w:rsidP="009D78B4">
      <w:pPr>
        <w:widowControl w:val="0"/>
        <w:tabs>
          <w:tab w:val="left" w:pos="-720"/>
          <w:tab w:val="left" w:pos="284"/>
        </w:tabs>
        <w:ind w:left="720" w:hanging="720"/>
        <w:rPr>
          <w:color w:val="000000"/>
          <w:sz w:val="24"/>
          <w:szCs w:val="24"/>
          <w:lang w:val="en-GB"/>
        </w:rPr>
      </w:pPr>
      <w:r>
        <w:rPr>
          <w:color w:val="000000"/>
          <w:sz w:val="24"/>
          <w:szCs w:val="24"/>
          <w:lang w:val="en-GB"/>
        </w:rPr>
        <w:t>II.</w:t>
      </w:r>
      <w:r>
        <w:rPr>
          <w:color w:val="000000"/>
          <w:sz w:val="24"/>
          <w:szCs w:val="24"/>
          <w:lang w:val="en-GB"/>
        </w:rPr>
        <w:tab/>
        <w:t>Subsequent doses for residual or recurrent strabismus.</w:t>
      </w:r>
    </w:p>
    <w:p w:rsidR="00051188" w:rsidRDefault="00051188" w:rsidP="009D78B4">
      <w:pPr>
        <w:widowControl w:val="0"/>
        <w:numPr>
          <w:ilvl w:val="0"/>
          <w:numId w:val="3"/>
        </w:numPr>
        <w:tabs>
          <w:tab w:val="left" w:pos="-720"/>
          <w:tab w:val="left" w:pos="284"/>
        </w:tabs>
        <w:rPr>
          <w:color w:val="000000"/>
          <w:sz w:val="24"/>
          <w:szCs w:val="24"/>
          <w:lang w:val="en-GB"/>
        </w:rPr>
      </w:pPr>
      <w:r>
        <w:rPr>
          <w:color w:val="000000"/>
          <w:sz w:val="24"/>
          <w:szCs w:val="24"/>
          <w:lang w:val="en-GB"/>
        </w:rPr>
        <w:lastRenderedPageBreak/>
        <w:t>It is recommended that patients be re-examined 7-14 days after each injection to assess the effect of that dose.</w:t>
      </w:r>
    </w:p>
    <w:p w:rsidR="00051188" w:rsidRDefault="00051188" w:rsidP="009D78B4">
      <w:pPr>
        <w:widowControl w:val="0"/>
        <w:numPr>
          <w:ilvl w:val="0"/>
          <w:numId w:val="3"/>
        </w:numPr>
        <w:tabs>
          <w:tab w:val="left" w:pos="-720"/>
          <w:tab w:val="left" w:pos="284"/>
        </w:tabs>
        <w:rPr>
          <w:color w:val="000000"/>
          <w:sz w:val="24"/>
          <w:szCs w:val="24"/>
          <w:lang w:val="en-GB"/>
        </w:rPr>
      </w:pPr>
      <w:r>
        <w:rPr>
          <w:color w:val="000000"/>
          <w:sz w:val="24"/>
          <w:szCs w:val="24"/>
          <w:lang w:val="en-GB"/>
        </w:rPr>
        <w:t>Patients experiencing adequate paralysis of the target muscle that require subsequent injections should receive a dose comparable to the initial dose.</w:t>
      </w:r>
    </w:p>
    <w:p w:rsidR="00051188" w:rsidRDefault="00051188" w:rsidP="009D78B4">
      <w:pPr>
        <w:widowControl w:val="0"/>
        <w:numPr>
          <w:ilvl w:val="0"/>
          <w:numId w:val="3"/>
        </w:numPr>
        <w:tabs>
          <w:tab w:val="left" w:pos="-720"/>
          <w:tab w:val="left" w:pos="284"/>
        </w:tabs>
        <w:rPr>
          <w:color w:val="000000"/>
          <w:sz w:val="24"/>
          <w:szCs w:val="24"/>
          <w:lang w:val="en-GB"/>
        </w:rPr>
      </w:pPr>
      <w:r>
        <w:rPr>
          <w:color w:val="000000"/>
          <w:sz w:val="24"/>
          <w:szCs w:val="24"/>
          <w:lang w:val="en-GB"/>
        </w:rPr>
        <w:t>Subsequent doses for patients experiencing incomplete paralysis of the target muscle may be increased up to two-fold compared to the previously administered dose.</w:t>
      </w:r>
    </w:p>
    <w:p w:rsidR="00051188" w:rsidRDefault="00051188" w:rsidP="009D78B4">
      <w:pPr>
        <w:widowControl w:val="0"/>
        <w:numPr>
          <w:ilvl w:val="0"/>
          <w:numId w:val="3"/>
        </w:numPr>
        <w:tabs>
          <w:tab w:val="left" w:pos="-720"/>
          <w:tab w:val="left" w:pos="284"/>
        </w:tabs>
        <w:rPr>
          <w:color w:val="000000"/>
          <w:sz w:val="24"/>
          <w:szCs w:val="24"/>
          <w:lang w:val="en-GB"/>
        </w:rPr>
      </w:pPr>
      <w:r>
        <w:rPr>
          <w:color w:val="000000"/>
          <w:sz w:val="24"/>
          <w:szCs w:val="24"/>
          <w:lang w:val="en-GB"/>
        </w:rPr>
        <w:t>Subsequent injections should not be administered until the effects of the previous dose have dissipated as evidenced by substantial function in the injected and adjacent muscles.</w:t>
      </w:r>
    </w:p>
    <w:p w:rsidR="00051188" w:rsidRDefault="00051188" w:rsidP="009D78B4">
      <w:pPr>
        <w:widowControl w:val="0"/>
        <w:numPr>
          <w:ilvl w:val="0"/>
          <w:numId w:val="3"/>
        </w:numPr>
        <w:tabs>
          <w:tab w:val="left" w:pos="-720"/>
          <w:tab w:val="left" w:pos="284"/>
        </w:tabs>
        <w:rPr>
          <w:color w:val="000000"/>
          <w:sz w:val="24"/>
          <w:szCs w:val="24"/>
          <w:lang w:val="en-GB"/>
        </w:rPr>
      </w:pPr>
      <w:r>
        <w:rPr>
          <w:color w:val="000000"/>
          <w:sz w:val="24"/>
          <w:szCs w:val="24"/>
          <w:lang w:val="en-GB"/>
        </w:rPr>
        <w:t>The maximum recommended dose as a single injection for any one muscle is 25 U.</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b/>
          <w:sz w:val="24"/>
          <w:szCs w:val="24"/>
          <w:lang w:val="en-GB"/>
        </w:rPr>
      </w:pPr>
      <w:r>
        <w:rPr>
          <w:b/>
          <w:sz w:val="24"/>
          <w:szCs w:val="24"/>
          <w:lang w:val="en-GB"/>
        </w:rPr>
        <w:t>VIIth Nerve Disorders (hemifacial spasm)</w:t>
      </w:r>
    </w:p>
    <w:p w:rsidR="00051188" w:rsidRDefault="00051188" w:rsidP="009D78B4">
      <w:pPr>
        <w:widowControl w:val="0"/>
        <w:tabs>
          <w:tab w:val="left" w:pos="-720"/>
        </w:tabs>
        <w:rPr>
          <w:sz w:val="24"/>
          <w:szCs w:val="24"/>
          <w:lang w:val="en-GB"/>
        </w:rPr>
      </w:pPr>
      <w:r>
        <w:rPr>
          <w:sz w:val="24"/>
          <w:szCs w:val="24"/>
          <w:lang w:val="en-GB"/>
        </w:rPr>
        <w:t>Patients with hemifacial spasm or VIIth nerve disorder should be treated as for unilateral blepharospasm.  Further injections may be necessary into the corrugator, zygomaticus major, orbicularis oris and/or other facial muscles according to the extent of the spasm.  Electromyographical control may be useful to identify small circumoral muscles.</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 xml:space="preserve">The cumulative dose of </w:t>
      </w:r>
      <w:r>
        <w:rPr>
          <w:caps/>
          <w:sz w:val="24"/>
          <w:szCs w:val="24"/>
        </w:rPr>
        <w:t>Botox</w:t>
      </w:r>
      <w:r>
        <w:rPr>
          <w:caps/>
          <w:sz w:val="24"/>
          <w:szCs w:val="24"/>
          <w:vertAlign w:val="superscript"/>
        </w:rPr>
        <w:sym w:font="Symbol" w:char="F0D2"/>
      </w:r>
      <w:r>
        <w:rPr>
          <w:sz w:val="24"/>
          <w:szCs w:val="24"/>
          <w:lang w:val="en-GB"/>
        </w:rPr>
        <w:t xml:space="preserve"> in a two-month period should not exceed 200 U.</w:t>
      </w:r>
    </w:p>
    <w:p w:rsidR="00112664" w:rsidRDefault="00112664" w:rsidP="009D78B4">
      <w:pPr>
        <w:widowControl w:val="0"/>
        <w:tabs>
          <w:tab w:val="left" w:pos="-720"/>
        </w:tabs>
        <w:rPr>
          <w:b/>
          <w:sz w:val="24"/>
          <w:szCs w:val="24"/>
          <w:lang w:val="en-GB"/>
        </w:rPr>
      </w:pPr>
    </w:p>
    <w:p w:rsidR="00051188" w:rsidRDefault="00051188" w:rsidP="009D78B4">
      <w:pPr>
        <w:widowControl w:val="0"/>
        <w:tabs>
          <w:tab w:val="left" w:pos="-720"/>
        </w:tabs>
        <w:rPr>
          <w:b/>
          <w:sz w:val="24"/>
          <w:szCs w:val="24"/>
          <w:lang w:val="en-GB"/>
        </w:rPr>
      </w:pPr>
      <w:r>
        <w:rPr>
          <w:b/>
          <w:sz w:val="24"/>
          <w:szCs w:val="24"/>
          <w:lang w:val="en-GB"/>
        </w:rPr>
        <w:t>Treatment of focal spasticity of the upper limb and lower limbs, including dynamic equinus foot deformity, due to juvenile cerebral palsy in patients two years and older</w:t>
      </w:r>
    </w:p>
    <w:p w:rsidR="00051188" w:rsidRDefault="00051188" w:rsidP="009D78B4">
      <w:pPr>
        <w:widowControl w:val="0"/>
        <w:tabs>
          <w:tab w:val="left" w:pos="-720"/>
        </w:tabs>
        <w:rPr>
          <w:b/>
          <w:strike/>
          <w:sz w:val="24"/>
          <w:szCs w:val="24"/>
          <w:lang w:val="en-AU"/>
        </w:rPr>
      </w:pPr>
    </w:p>
    <w:p w:rsidR="00051188" w:rsidRDefault="00051188" w:rsidP="009D78B4">
      <w:pPr>
        <w:widowControl w:val="0"/>
        <w:rPr>
          <w:rFonts w:eastAsia="SimSun"/>
          <w:sz w:val="24"/>
          <w:szCs w:val="24"/>
        </w:rPr>
      </w:pPr>
      <w:r>
        <w:rPr>
          <w:rFonts w:eastAsia="SimSun"/>
          <w:sz w:val="24"/>
          <w:szCs w:val="24"/>
          <w:lang w:val="en-AU"/>
        </w:rPr>
        <w:t xml:space="preserve">The exact dosage and number of injection sites should be tailored to the child’s needs based on the size, number and location of muscles involved, the severity of spasticity, presence of local muscle weakness, and the patient response to previous treatment.  In clinical trials the dose per muscle ranged from 0.5-2.0 U/kg body weight in the upper limb and 2.0 -4.0 U/kg/body weight in the lower limb per treatment session. </w:t>
      </w:r>
      <w:r>
        <w:rPr>
          <w:rFonts w:eastAsia="SimSun"/>
          <w:sz w:val="24"/>
          <w:szCs w:val="24"/>
        </w:rPr>
        <w:t>For the treatment of equinus foot deformity the total dose is up to 4 U/kg or 200 U (whichever is the lesser amount) divided into two sites in each medial and lateral head of the gastrocnemius muscle.</w:t>
      </w:r>
      <w:r>
        <w:rPr>
          <w:rFonts w:ascii="Garamond" w:eastAsia="SimSun" w:hAnsi="Garamond"/>
          <w:sz w:val="24"/>
          <w:szCs w:val="24"/>
        </w:rPr>
        <w:t xml:space="preserve"> </w:t>
      </w:r>
      <w:r>
        <w:rPr>
          <w:rFonts w:eastAsia="SimSun"/>
          <w:sz w:val="24"/>
          <w:szCs w:val="24"/>
          <w:lang w:val="en-AU"/>
        </w:rPr>
        <w:t xml:space="preserve">In other muscles the dose per muscle ranged from 3.0-8.0 U/kg body weight and did not exceed 300U divided among selected muscles at any treatment session. </w:t>
      </w:r>
      <w:r>
        <w:rPr>
          <w:rFonts w:eastAsia="SimSun"/>
          <w:sz w:val="24"/>
          <w:szCs w:val="24"/>
          <w:lang w:val="en-GB"/>
        </w:rPr>
        <w:t>Following initial injection to the gastrocnemius muscle, further involvement of the anterior or posterior tibialis may need to be considered for additional improvement in the foot position at heel strike and during standing.</w:t>
      </w:r>
    </w:p>
    <w:p w:rsidR="00051188" w:rsidRDefault="00051188" w:rsidP="009D78B4">
      <w:pPr>
        <w:widowControl w:val="0"/>
        <w:tabs>
          <w:tab w:val="left" w:pos="-720"/>
        </w:tabs>
        <w:rPr>
          <w:strike/>
          <w:sz w:val="24"/>
          <w:szCs w:val="24"/>
          <w:lang w:val="en-GB"/>
        </w:rPr>
      </w:pPr>
    </w:p>
    <w:p w:rsidR="00051188" w:rsidRDefault="00051188" w:rsidP="009D78B4">
      <w:pPr>
        <w:widowControl w:val="0"/>
        <w:tabs>
          <w:tab w:val="left" w:pos="-720"/>
        </w:tabs>
        <w:rPr>
          <w:sz w:val="24"/>
          <w:szCs w:val="24"/>
          <w:lang w:val="en-GB"/>
        </w:rPr>
      </w:pPr>
      <w:r>
        <w:rPr>
          <w:sz w:val="24"/>
          <w:szCs w:val="24"/>
          <w:lang w:val="en-GB"/>
        </w:rPr>
        <w:t>A 27 or 30 gauge needle should be used with an appropriate needle length to reach the targeted muscles.  For focal spasticity, localisation techniques include electromyography, muscle ultrasound or electrical stimulation.</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rPr>
      </w:pPr>
      <w:r>
        <w:rPr>
          <w:sz w:val="24"/>
          <w:szCs w:val="24"/>
          <w:lang w:val="en-GB"/>
        </w:rPr>
        <w:t xml:space="preserve">Clinical improvement generally occurs within the first two weeks after injection.  Repeat doses should be administered when the clinical effect of a previous injection diminishes, but typically not more frequently than every three months.  The degree of muscle spasticity at the time of reinjection may necessitate alterations in the dose of </w:t>
      </w:r>
      <w:r>
        <w:rPr>
          <w:caps/>
          <w:sz w:val="24"/>
          <w:szCs w:val="24"/>
        </w:rPr>
        <w:t>Botox</w:t>
      </w:r>
      <w:r>
        <w:rPr>
          <w:caps/>
          <w:sz w:val="24"/>
          <w:szCs w:val="24"/>
          <w:vertAlign w:val="superscript"/>
        </w:rPr>
        <w:sym w:font="Symbol" w:char="F0D2"/>
      </w:r>
      <w:r>
        <w:rPr>
          <w:caps/>
          <w:sz w:val="24"/>
          <w:szCs w:val="24"/>
          <w:vertAlign w:val="superscript"/>
        </w:rPr>
        <w:t xml:space="preserve"> </w:t>
      </w:r>
      <w:r>
        <w:rPr>
          <w:sz w:val="24"/>
          <w:szCs w:val="24"/>
        </w:rPr>
        <w:t>and muscles to be injected.</w:t>
      </w:r>
    </w:p>
    <w:p w:rsidR="00051188" w:rsidRDefault="00051188" w:rsidP="009D78B4">
      <w:pPr>
        <w:widowControl w:val="0"/>
        <w:tabs>
          <w:tab w:val="left" w:pos="-720"/>
        </w:tabs>
        <w:rPr>
          <w:sz w:val="24"/>
          <w:szCs w:val="24"/>
        </w:rPr>
      </w:pPr>
    </w:p>
    <w:p w:rsidR="00051188" w:rsidRDefault="00051188" w:rsidP="009D78B4">
      <w:pPr>
        <w:widowControl w:val="0"/>
        <w:rPr>
          <w:sz w:val="24"/>
          <w:szCs w:val="24"/>
        </w:rPr>
      </w:pPr>
      <w:r>
        <w:rPr>
          <w:sz w:val="24"/>
          <w:szCs w:val="24"/>
        </w:rPr>
        <w:t xml:space="preserve">The table below is intended to give dosing guidelines for injection of </w:t>
      </w:r>
      <w:r>
        <w:rPr>
          <w:caps/>
          <w:sz w:val="24"/>
          <w:szCs w:val="24"/>
        </w:rPr>
        <w:t>Botox</w:t>
      </w:r>
      <w:r>
        <w:rPr>
          <w:rFonts w:ascii="Symbol" w:hAnsi="Symbol"/>
          <w:caps/>
          <w:sz w:val="24"/>
          <w:szCs w:val="24"/>
          <w:vertAlign w:val="superscript"/>
        </w:rPr>
        <w:t></w:t>
      </w:r>
      <w:r>
        <w:rPr>
          <w:sz w:val="24"/>
          <w:szCs w:val="24"/>
        </w:rPr>
        <w:t xml:space="preserve"> in the treatment of focal spasticity in children aged 2 years and older. The maximum cumulative dose should generally not exceed 8.0 units/kg body weight and up to a maximum of 300 U divided among selected muscles at any treatment session or in a 3 month interval:</w:t>
      </w:r>
    </w:p>
    <w:p w:rsidR="00051188" w:rsidRDefault="00051188" w:rsidP="009D78B4">
      <w:pPr>
        <w:widowControl w:val="0"/>
        <w:rPr>
          <w:sz w:val="24"/>
          <w:szCs w:val="24"/>
        </w:rPr>
      </w:pPr>
    </w:p>
    <w:tbl>
      <w:tblPr>
        <w:tblW w:w="6851" w:type="dxa"/>
        <w:tblInd w:w="1537" w:type="dxa"/>
        <w:tblCellMar>
          <w:left w:w="0" w:type="dxa"/>
          <w:right w:w="0" w:type="dxa"/>
        </w:tblCellMar>
        <w:tblLook w:val="0000"/>
      </w:tblPr>
      <w:tblGrid>
        <w:gridCol w:w="3791"/>
        <w:gridCol w:w="3060"/>
      </w:tblGrid>
      <w:tr w:rsidR="00051188">
        <w:tc>
          <w:tcPr>
            <w:tcW w:w="37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pStyle w:val="Heading7"/>
              <w:widowControl w:val="0"/>
            </w:pPr>
            <w:r>
              <w:rPr>
                <w:b/>
                <w:bCs/>
                <w:sz w:val="22"/>
                <w:szCs w:val="22"/>
              </w:rPr>
              <w:t>Muscles in upper limb</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b/>
                <w:bCs/>
                <w:sz w:val="22"/>
                <w:szCs w:val="22"/>
              </w:rPr>
            </w:pPr>
          </w:p>
          <w:p w:rsidR="00051188" w:rsidRDefault="00051188" w:rsidP="009D78B4">
            <w:pPr>
              <w:widowControl w:val="0"/>
              <w:rPr>
                <w:sz w:val="24"/>
                <w:szCs w:val="24"/>
              </w:rPr>
            </w:pPr>
            <w:r>
              <w:rPr>
                <w:b/>
                <w:bCs/>
                <w:sz w:val="22"/>
                <w:szCs w:val="22"/>
              </w:rPr>
              <w:t>Dosage in U/kg/muscle</w:t>
            </w:r>
          </w:p>
        </w:tc>
      </w:tr>
      <w:tr w:rsidR="00051188">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Biceps brachii</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0.5 - 2.0 U</w:t>
            </w:r>
          </w:p>
        </w:tc>
      </w:tr>
      <w:tr w:rsidR="00051188">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Brachialis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0.5 - 2.0 U</w:t>
            </w:r>
          </w:p>
        </w:tc>
      </w:tr>
      <w:tr w:rsidR="00051188">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Brachioradialis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0.5 - 2.0 U</w:t>
            </w:r>
          </w:p>
        </w:tc>
      </w:tr>
      <w:tr w:rsidR="00051188">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Flexor carpi ulnaris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0.5 - 2.0 U</w:t>
            </w:r>
          </w:p>
        </w:tc>
      </w:tr>
      <w:tr w:rsidR="00051188">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Flexor carpi radialis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0.5 - 2.0 U</w:t>
            </w:r>
          </w:p>
        </w:tc>
      </w:tr>
      <w:tr w:rsidR="00051188">
        <w:tc>
          <w:tcPr>
            <w:tcW w:w="3791"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Pronator teres</w:t>
            </w:r>
          </w:p>
        </w:tc>
        <w:tc>
          <w:tcPr>
            <w:tcW w:w="3060" w:type="dxa"/>
            <w:tcBorders>
              <w:top w:val="nil"/>
              <w:left w:val="nil"/>
              <w:bottom w:val="single" w:sz="4"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0.5 - 2.0 U</w:t>
            </w:r>
          </w:p>
        </w:tc>
      </w:tr>
      <w:tr w:rsidR="00051188">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Pronator quadratus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0.5 - 2.0 U</w:t>
            </w:r>
          </w:p>
        </w:tc>
      </w:tr>
      <w:tr w:rsidR="00051188">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Flexor digitorum profundus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0.5 - 2.0 U</w:t>
            </w:r>
          </w:p>
        </w:tc>
      </w:tr>
      <w:tr w:rsidR="00051188">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Flexor digitorum sublimis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0.5 - 2.0 U</w:t>
            </w:r>
          </w:p>
        </w:tc>
      </w:tr>
      <w:tr w:rsidR="00051188">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Flexor pollicis longus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051188" w:rsidRDefault="00051188" w:rsidP="009D78B4">
            <w:pPr>
              <w:pStyle w:val="CommentText"/>
              <w:widowControl w:val="0"/>
            </w:pPr>
            <w:r>
              <w:rPr>
                <w:rFonts w:ascii="Times New Roman" w:hAnsi="Times New Roman"/>
                <w:sz w:val="22"/>
                <w:szCs w:val="22"/>
              </w:rPr>
              <w:t>0.5- 2.0 U</w:t>
            </w:r>
          </w:p>
        </w:tc>
      </w:tr>
      <w:tr w:rsidR="00051188">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Flexor pollicis brevis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0.5 - 2.0 U</w:t>
            </w:r>
          </w:p>
        </w:tc>
      </w:tr>
      <w:tr w:rsidR="00051188">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Opponens pollicis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0.5 - 2.0 U</w:t>
            </w:r>
          </w:p>
        </w:tc>
      </w:tr>
      <w:tr w:rsidR="00051188">
        <w:tc>
          <w:tcPr>
            <w:tcW w:w="379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Adductor pollicis</w:t>
            </w:r>
          </w:p>
        </w:tc>
        <w:tc>
          <w:tcPr>
            <w:tcW w:w="306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0.5 - 2.0 U</w:t>
            </w:r>
          </w:p>
        </w:tc>
      </w:tr>
      <w:tr w:rsidR="00051188">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2"/>
                <w:szCs w:val="22"/>
              </w:rPr>
            </w:pPr>
            <w:r>
              <w:rPr>
                <w:b/>
                <w:bCs/>
                <w:sz w:val="22"/>
                <w:szCs w:val="22"/>
              </w:rPr>
              <w:t>Muscles in lower limb</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pPr>
            <w:r>
              <w:rPr>
                <w:b/>
                <w:bCs/>
                <w:sz w:val="22"/>
                <w:szCs w:val="22"/>
              </w:rPr>
              <w:t>Dosage in U/kg/muscle</w:t>
            </w:r>
          </w:p>
        </w:tc>
      </w:tr>
      <w:tr w:rsidR="00051188">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Hip adductor</w:t>
            </w:r>
            <w:r>
              <w:rPr>
                <w:color w:val="0000FF"/>
                <w:sz w:val="22"/>
                <w:szCs w:val="22"/>
              </w:rPr>
              <w:t xml:space="preserve"> </w:t>
            </w:r>
            <w:r>
              <w:rPr>
                <w:sz w:val="22"/>
                <w:szCs w:val="22"/>
              </w:rPr>
              <w:t>group (adductor longus, adductor brevis, adductor magnus, medial hamstrings)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4"/>
                <w:szCs w:val="24"/>
              </w:rPr>
              <w:t>4.0 U</w:t>
            </w:r>
          </w:p>
        </w:tc>
      </w:tr>
      <w:tr w:rsidR="00051188">
        <w:tc>
          <w:tcPr>
            <w:tcW w:w="37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Gastrocnemius</w:t>
            </w:r>
          </w:p>
        </w:tc>
        <w:tc>
          <w:tcPr>
            <w:tcW w:w="3060" w:type="dxa"/>
            <w:tcBorders>
              <w:top w:val="nil"/>
              <w:left w:val="nil"/>
              <w:bottom w:val="single" w:sz="8" w:space="0" w:color="auto"/>
              <w:right w:val="single" w:sz="8" w:space="0" w:color="auto"/>
            </w:tcBorders>
            <w:tcMar>
              <w:top w:w="0" w:type="dxa"/>
              <w:left w:w="108" w:type="dxa"/>
              <w:bottom w:w="0" w:type="dxa"/>
              <w:right w:w="108" w:type="dxa"/>
            </w:tcMar>
          </w:tcPr>
          <w:p w:rsidR="00051188" w:rsidRDefault="00051188" w:rsidP="009D78B4">
            <w:pPr>
              <w:widowControl w:val="0"/>
              <w:rPr>
                <w:sz w:val="24"/>
                <w:szCs w:val="24"/>
              </w:rPr>
            </w:pPr>
            <w:r>
              <w:rPr>
                <w:sz w:val="22"/>
                <w:szCs w:val="22"/>
              </w:rPr>
              <w:t>2.0-4.0</w:t>
            </w:r>
            <w:r>
              <w:rPr>
                <w:color w:val="0000FF"/>
                <w:sz w:val="22"/>
                <w:szCs w:val="22"/>
              </w:rPr>
              <w:t xml:space="preserve"> </w:t>
            </w:r>
            <w:r>
              <w:rPr>
                <w:sz w:val="22"/>
                <w:szCs w:val="22"/>
              </w:rPr>
              <w:t>U</w:t>
            </w:r>
          </w:p>
        </w:tc>
      </w:tr>
    </w:tbl>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b/>
          <w:color w:val="000000"/>
          <w:sz w:val="24"/>
          <w:szCs w:val="24"/>
          <w:lang w:val="en-GB"/>
        </w:rPr>
      </w:pPr>
      <w:r>
        <w:rPr>
          <w:b/>
          <w:color w:val="000000"/>
          <w:sz w:val="24"/>
          <w:szCs w:val="24"/>
          <w:lang w:val="en-GB"/>
        </w:rPr>
        <w:t>Focal Spasticity in Adults</w:t>
      </w:r>
    </w:p>
    <w:p w:rsidR="00051188" w:rsidRDefault="00051188" w:rsidP="009D78B4">
      <w:pPr>
        <w:widowControl w:val="0"/>
        <w:tabs>
          <w:tab w:val="left" w:pos="-720"/>
        </w:tabs>
        <w:rPr>
          <w:sz w:val="24"/>
          <w:szCs w:val="24"/>
        </w:rPr>
      </w:pPr>
      <w:r>
        <w:rPr>
          <w:sz w:val="24"/>
          <w:szCs w:val="24"/>
        </w:rPr>
        <w:t xml:space="preserve">The exact dosage and number of injection sites should be tailored to the individual based on the size, number and location of muscles involved, the severity of spasticity, presence of local muscle weakness, and the patient response to previous treatment.  In clinical trials, the doses did not exceed 360 U divided among selected muscles (typically in the flexor muscles of the elbow, wrist and fingers) at any treatment session.  Clinical improvement in muscle tone generally occurs within two weeks following treatment with the peak effect seen four to six weeks following treatment.  In clinical studies, patients were reinjected at 12- to 16-week intervals.  The degree of muscle spasticity at the time of reinjection may necessitate alterations in the dose of </w:t>
      </w:r>
      <w:r>
        <w:rPr>
          <w:caps/>
          <w:sz w:val="24"/>
          <w:szCs w:val="24"/>
        </w:rPr>
        <w:t>Botox</w:t>
      </w:r>
      <w:r>
        <w:rPr>
          <w:caps/>
          <w:sz w:val="24"/>
          <w:szCs w:val="24"/>
          <w:vertAlign w:val="superscript"/>
        </w:rPr>
        <w:sym w:font="Symbol" w:char="F0D2"/>
      </w:r>
      <w:r>
        <w:rPr>
          <w:sz w:val="24"/>
          <w:szCs w:val="24"/>
        </w:rPr>
        <w:t xml:space="preserve"> and muscles to be injected.</w:t>
      </w:r>
    </w:p>
    <w:p w:rsidR="00051188" w:rsidRDefault="00051188" w:rsidP="009D78B4">
      <w:pPr>
        <w:widowControl w:val="0"/>
        <w:tabs>
          <w:tab w:val="left" w:pos="-720"/>
        </w:tabs>
        <w:rPr>
          <w:sz w:val="24"/>
          <w:szCs w:val="24"/>
        </w:rPr>
      </w:pPr>
    </w:p>
    <w:p w:rsidR="0075510B" w:rsidRDefault="00051188" w:rsidP="009D78B4">
      <w:pPr>
        <w:widowControl w:val="0"/>
        <w:tabs>
          <w:tab w:val="left" w:pos="-720"/>
        </w:tabs>
        <w:rPr>
          <w:sz w:val="24"/>
        </w:rPr>
      </w:pPr>
      <w:r>
        <w:rPr>
          <w:sz w:val="24"/>
          <w:szCs w:val="24"/>
        </w:rPr>
        <w:t xml:space="preserve">The table below is intended to give dosing guidelines for injection of </w:t>
      </w:r>
      <w:r>
        <w:rPr>
          <w:caps/>
          <w:sz w:val="24"/>
          <w:szCs w:val="24"/>
        </w:rPr>
        <w:t>Botox</w:t>
      </w:r>
      <w:r>
        <w:rPr>
          <w:caps/>
          <w:sz w:val="24"/>
          <w:szCs w:val="24"/>
          <w:vertAlign w:val="superscript"/>
        </w:rPr>
        <w:sym w:font="Symbol" w:char="F0D2"/>
      </w:r>
      <w:r>
        <w:rPr>
          <w:sz w:val="24"/>
          <w:szCs w:val="24"/>
        </w:rPr>
        <w:t xml:space="preserve"> in the treatment of focal spasticity.</w:t>
      </w:r>
    </w:p>
    <w:p w:rsidR="0075510B" w:rsidRDefault="0075510B" w:rsidP="009D78B4">
      <w:pPr>
        <w:widowControl w:val="0"/>
        <w:tabs>
          <w:tab w:val="left" w:pos="-720"/>
        </w:tabs>
        <w:rPr>
          <w:sz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60"/>
        <w:gridCol w:w="2835"/>
      </w:tblGrid>
      <w:tr w:rsidR="00051188">
        <w:tc>
          <w:tcPr>
            <w:tcW w:w="3260" w:type="dxa"/>
            <w:tcBorders>
              <w:bottom w:val="nil"/>
            </w:tcBorders>
          </w:tcPr>
          <w:p w:rsidR="00051188" w:rsidRDefault="00051188" w:rsidP="009D78B4">
            <w:pPr>
              <w:pStyle w:val="Heading7"/>
              <w:widowControl w:val="0"/>
              <w:spacing w:before="60"/>
              <w:rPr>
                <w:sz w:val="22"/>
                <w:szCs w:val="22"/>
              </w:rPr>
            </w:pPr>
            <w:r>
              <w:rPr>
                <w:sz w:val="22"/>
                <w:szCs w:val="22"/>
              </w:rPr>
              <w:t>Muscle</w:t>
            </w:r>
          </w:p>
        </w:tc>
        <w:tc>
          <w:tcPr>
            <w:tcW w:w="2835" w:type="dxa"/>
            <w:tcBorders>
              <w:bottom w:val="nil"/>
            </w:tcBorders>
          </w:tcPr>
          <w:p w:rsidR="00051188" w:rsidRDefault="00051188" w:rsidP="009D78B4">
            <w:pPr>
              <w:widowControl w:val="0"/>
              <w:rPr>
                <w:b/>
                <w:sz w:val="22"/>
                <w:szCs w:val="22"/>
              </w:rPr>
            </w:pPr>
            <w:r>
              <w:rPr>
                <w:b/>
                <w:sz w:val="22"/>
                <w:szCs w:val="22"/>
              </w:rPr>
              <w:t xml:space="preserve">Total Dosage; </w:t>
            </w:r>
          </w:p>
          <w:p w:rsidR="00051188" w:rsidRDefault="00051188" w:rsidP="009D78B4">
            <w:pPr>
              <w:widowControl w:val="0"/>
              <w:rPr>
                <w:b/>
                <w:sz w:val="22"/>
                <w:szCs w:val="22"/>
              </w:rPr>
            </w:pPr>
            <w:r>
              <w:rPr>
                <w:b/>
                <w:sz w:val="22"/>
                <w:szCs w:val="22"/>
              </w:rPr>
              <w:t>Number of Sites</w:t>
            </w:r>
          </w:p>
        </w:tc>
      </w:tr>
      <w:tr w:rsidR="00051188">
        <w:tc>
          <w:tcPr>
            <w:tcW w:w="3260" w:type="dxa"/>
            <w:tcBorders>
              <w:bottom w:val="nil"/>
            </w:tcBorders>
          </w:tcPr>
          <w:p w:rsidR="00051188" w:rsidRDefault="00051188" w:rsidP="009D78B4">
            <w:pPr>
              <w:widowControl w:val="0"/>
              <w:rPr>
                <w:sz w:val="22"/>
                <w:szCs w:val="22"/>
              </w:rPr>
            </w:pPr>
            <w:r>
              <w:rPr>
                <w:sz w:val="22"/>
                <w:szCs w:val="22"/>
              </w:rPr>
              <w:t>Biceps brachii</w:t>
            </w:r>
          </w:p>
        </w:tc>
        <w:tc>
          <w:tcPr>
            <w:tcW w:w="2835" w:type="dxa"/>
            <w:tcBorders>
              <w:bottom w:val="nil"/>
            </w:tcBorders>
          </w:tcPr>
          <w:p w:rsidR="00051188" w:rsidRDefault="00051188" w:rsidP="009D78B4">
            <w:pPr>
              <w:widowControl w:val="0"/>
              <w:rPr>
                <w:sz w:val="22"/>
                <w:szCs w:val="22"/>
              </w:rPr>
            </w:pPr>
            <w:r>
              <w:rPr>
                <w:sz w:val="22"/>
                <w:szCs w:val="22"/>
              </w:rPr>
              <w:t>100 – 200 U; up to 4 sites</w:t>
            </w:r>
          </w:p>
        </w:tc>
      </w:tr>
      <w:tr w:rsidR="00051188">
        <w:tc>
          <w:tcPr>
            <w:tcW w:w="3260" w:type="dxa"/>
            <w:tcBorders>
              <w:top w:val="nil"/>
              <w:bottom w:val="nil"/>
            </w:tcBorders>
          </w:tcPr>
          <w:p w:rsidR="00051188" w:rsidRDefault="00051188" w:rsidP="009D78B4">
            <w:pPr>
              <w:widowControl w:val="0"/>
              <w:rPr>
                <w:sz w:val="22"/>
                <w:szCs w:val="22"/>
              </w:rPr>
            </w:pPr>
            <w:r>
              <w:rPr>
                <w:sz w:val="22"/>
                <w:szCs w:val="22"/>
              </w:rPr>
              <w:t>Flexor digitorum profundus</w:t>
            </w:r>
          </w:p>
        </w:tc>
        <w:tc>
          <w:tcPr>
            <w:tcW w:w="2835" w:type="dxa"/>
            <w:tcBorders>
              <w:top w:val="nil"/>
              <w:bottom w:val="nil"/>
            </w:tcBorders>
          </w:tcPr>
          <w:p w:rsidR="00051188" w:rsidRDefault="00051188" w:rsidP="009D78B4">
            <w:pPr>
              <w:widowControl w:val="0"/>
              <w:rPr>
                <w:sz w:val="22"/>
                <w:szCs w:val="22"/>
              </w:rPr>
            </w:pPr>
            <w:r>
              <w:rPr>
                <w:sz w:val="22"/>
                <w:szCs w:val="22"/>
              </w:rPr>
              <w:t>15 - 50 U; 1-2 sites</w:t>
            </w:r>
          </w:p>
        </w:tc>
      </w:tr>
      <w:tr w:rsidR="00051188">
        <w:tc>
          <w:tcPr>
            <w:tcW w:w="3260" w:type="dxa"/>
            <w:tcBorders>
              <w:top w:val="nil"/>
              <w:bottom w:val="nil"/>
            </w:tcBorders>
          </w:tcPr>
          <w:p w:rsidR="00051188" w:rsidRDefault="00051188" w:rsidP="009D78B4">
            <w:pPr>
              <w:widowControl w:val="0"/>
              <w:rPr>
                <w:sz w:val="22"/>
                <w:szCs w:val="22"/>
              </w:rPr>
            </w:pPr>
            <w:r>
              <w:rPr>
                <w:sz w:val="22"/>
                <w:szCs w:val="22"/>
              </w:rPr>
              <w:t>Flexor digitorum sublimis</w:t>
            </w:r>
          </w:p>
        </w:tc>
        <w:tc>
          <w:tcPr>
            <w:tcW w:w="2835" w:type="dxa"/>
            <w:tcBorders>
              <w:top w:val="nil"/>
              <w:bottom w:val="nil"/>
            </w:tcBorders>
          </w:tcPr>
          <w:p w:rsidR="00051188" w:rsidRDefault="00051188" w:rsidP="009D78B4">
            <w:pPr>
              <w:widowControl w:val="0"/>
              <w:rPr>
                <w:sz w:val="22"/>
                <w:szCs w:val="22"/>
              </w:rPr>
            </w:pPr>
            <w:r>
              <w:rPr>
                <w:sz w:val="22"/>
                <w:szCs w:val="22"/>
              </w:rPr>
              <w:t>15 - 50 U; 1-2 sites</w:t>
            </w:r>
          </w:p>
        </w:tc>
      </w:tr>
      <w:tr w:rsidR="00051188">
        <w:tc>
          <w:tcPr>
            <w:tcW w:w="3260" w:type="dxa"/>
            <w:tcBorders>
              <w:top w:val="nil"/>
              <w:bottom w:val="nil"/>
            </w:tcBorders>
          </w:tcPr>
          <w:p w:rsidR="00051188" w:rsidRDefault="00051188" w:rsidP="009D78B4">
            <w:pPr>
              <w:widowControl w:val="0"/>
              <w:rPr>
                <w:sz w:val="22"/>
                <w:szCs w:val="22"/>
              </w:rPr>
            </w:pPr>
            <w:r>
              <w:rPr>
                <w:sz w:val="22"/>
                <w:szCs w:val="22"/>
              </w:rPr>
              <w:t>Flexor carpi radialis</w:t>
            </w:r>
          </w:p>
        </w:tc>
        <w:tc>
          <w:tcPr>
            <w:tcW w:w="2835" w:type="dxa"/>
            <w:tcBorders>
              <w:top w:val="nil"/>
              <w:bottom w:val="nil"/>
            </w:tcBorders>
          </w:tcPr>
          <w:p w:rsidR="00051188" w:rsidRDefault="00051188" w:rsidP="009D78B4">
            <w:pPr>
              <w:widowControl w:val="0"/>
              <w:rPr>
                <w:sz w:val="22"/>
                <w:szCs w:val="22"/>
              </w:rPr>
            </w:pPr>
            <w:r>
              <w:rPr>
                <w:sz w:val="22"/>
                <w:szCs w:val="22"/>
              </w:rPr>
              <w:t>15 - 60 U; 1-2 sites</w:t>
            </w:r>
          </w:p>
        </w:tc>
      </w:tr>
      <w:tr w:rsidR="00051188" w:rsidRPr="009D78B4">
        <w:tc>
          <w:tcPr>
            <w:tcW w:w="3260" w:type="dxa"/>
            <w:tcBorders>
              <w:top w:val="nil"/>
              <w:bottom w:val="nil"/>
            </w:tcBorders>
          </w:tcPr>
          <w:p w:rsidR="00051188" w:rsidRDefault="00051188" w:rsidP="009D78B4">
            <w:pPr>
              <w:widowControl w:val="0"/>
              <w:rPr>
                <w:sz w:val="22"/>
                <w:szCs w:val="22"/>
              </w:rPr>
            </w:pPr>
            <w:r>
              <w:rPr>
                <w:b/>
                <w:noProof/>
                <w:sz w:val="22"/>
                <w:szCs w:val="22"/>
              </w:rPr>
              <w:pict>
                <v:shapetype id="_x0000_t202" coordsize="21600,21600" o:spt="202" path="m,l,21600r21600,l21600,xe">
                  <v:stroke joinstyle="miter"/>
                  <v:path gradientshapeok="t" o:connecttype="rect"/>
                </v:shapetype>
                <v:shape id="_x0000_s1026" type="#_x0000_t202" style="position:absolute;margin-left:387pt;margin-top:1.35pt;width:100.8pt;height:86.4pt;z-index:251657728;mso-position-horizontal-relative:text;mso-position-vertical-relative:text" stroked="f">
                  <v:textbox style="mso-next-textbox:#_x0000_s1026">
                    <w:txbxContent>
                      <w:p w:rsidR="00F618F4" w:rsidRDefault="00F618F4"/>
                    </w:txbxContent>
                  </v:textbox>
                </v:shape>
              </w:pict>
            </w:r>
            <w:r>
              <w:rPr>
                <w:sz w:val="22"/>
                <w:szCs w:val="22"/>
              </w:rPr>
              <w:t>Flexor carpi ulnaris</w:t>
            </w:r>
          </w:p>
          <w:p w:rsidR="00051188" w:rsidRDefault="00051188" w:rsidP="009D78B4">
            <w:pPr>
              <w:widowControl w:val="0"/>
              <w:rPr>
                <w:sz w:val="22"/>
                <w:szCs w:val="22"/>
              </w:rPr>
            </w:pPr>
            <w:r>
              <w:rPr>
                <w:sz w:val="22"/>
                <w:szCs w:val="22"/>
              </w:rPr>
              <w:t>Adductor pollicis</w:t>
            </w:r>
          </w:p>
          <w:p w:rsidR="00051188" w:rsidRDefault="00051188" w:rsidP="009D78B4">
            <w:pPr>
              <w:widowControl w:val="0"/>
              <w:rPr>
                <w:sz w:val="22"/>
                <w:szCs w:val="22"/>
              </w:rPr>
            </w:pPr>
            <w:r>
              <w:rPr>
                <w:sz w:val="22"/>
                <w:szCs w:val="22"/>
              </w:rPr>
              <w:t>Flexor pollicis longus</w:t>
            </w:r>
          </w:p>
        </w:tc>
        <w:tc>
          <w:tcPr>
            <w:tcW w:w="2835" w:type="dxa"/>
            <w:tcBorders>
              <w:top w:val="nil"/>
              <w:bottom w:val="nil"/>
            </w:tcBorders>
          </w:tcPr>
          <w:p w:rsidR="00051188" w:rsidRDefault="00051188" w:rsidP="009D78B4">
            <w:pPr>
              <w:widowControl w:val="0"/>
              <w:tabs>
                <w:tab w:val="left" w:pos="-720"/>
              </w:tabs>
              <w:outlineLvl w:val="0"/>
              <w:rPr>
                <w:sz w:val="22"/>
                <w:lang w:val="es-ES"/>
              </w:rPr>
            </w:pPr>
            <w:r>
              <w:rPr>
                <w:sz w:val="22"/>
                <w:lang w:val="es-ES"/>
              </w:rPr>
              <w:t>10 - 50 U; 1-2 sites</w:t>
            </w:r>
          </w:p>
          <w:p w:rsidR="00051188" w:rsidRDefault="00051188" w:rsidP="009D78B4">
            <w:pPr>
              <w:widowControl w:val="0"/>
              <w:tabs>
                <w:tab w:val="left" w:pos="-720"/>
              </w:tabs>
              <w:outlineLvl w:val="0"/>
              <w:rPr>
                <w:sz w:val="22"/>
                <w:lang w:val="es-ES"/>
              </w:rPr>
            </w:pPr>
            <w:r>
              <w:rPr>
                <w:sz w:val="22"/>
                <w:lang w:val="es-ES"/>
              </w:rPr>
              <w:t>20 U; 1-2 sites</w:t>
            </w:r>
          </w:p>
          <w:p w:rsidR="00051188" w:rsidRDefault="00051188" w:rsidP="009D78B4">
            <w:pPr>
              <w:widowControl w:val="0"/>
              <w:tabs>
                <w:tab w:val="left" w:pos="-720"/>
              </w:tabs>
              <w:outlineLvl w:val="0"/>
              <w:rPr>
                <w:sz w:val="22"/>
                <w:lang w:val="es-ES"/>
              </w:rPr>
            </w:pPr>
            <w:r>
              <w:rPr>
                <w:sz w:val="22"/>
                <w:lang w:val="es-ES"/>
              </w:rPr>
              <w:t>20 U; 1-2 sites</w:t>
            </w:r>
          </w:p>
        </w:tc>
      </w:tr>
      <w:tr w:rsidR="00051188">
        <w:tc>
          <w:tcPr>
            <w:tcW w:w="3260" w:type="dxa"/>
            <w:tcBorders>
              <w:top w:val="nil"/>
              <w:bottom w:val="nil"/>
            </w:tcBorders>
          </w:tcPr>
          <w:p w:rsidR="00051188" w:rsidRDefault="00051188" w:rsidP="009D78B4">
            <w:pPr>
              <w:widowControl w:val="0"/>
              <w:rPr>
                <w:sz w:val="22"/>
                <w:szCs w:val="22"/>
              </w:rPr>
            </w:pPr>
            <w:r>
              <w:rPr>
                <w:sz w:val="22"/>
                <w:szCs w:val="22"/>
              </w:rPr>
              <w:t>Posterior tibialis</w:t>
            </w:r>
          </w:p>
        </w:tc>
        <w:tc>
          <w:tcPr>
            <w:tcW w:w="2835" w:type="dxa"/>
            <w:tcBorders>
              <w:top w:val="nil"/>
              <w:bottom w:val="nil"/>
            </w:tcBorders>
          </w:tcPr>
          <w:p w:rsidR="00051188" w:rsidRDefault="00051188" w:rsidP="009D78B4">
            <w:pPr>
              <w:pStyle w:val="CommentText"/>
              <w:widowControl w:val="0"/>
              <w:rPr>
                <w:rFonts w:ascii="Times New Roman" w:hAnsi="Times New Roman"/>
                <w:sz w:val="22"/>
                <w:szCs w:val="22"/>
                <w:lang w:val="en-US"/>
              </w:rPr>
            </w:pPr>
            <w:r>
              <w:rPr>
                <w:rFonts w:ascii="Times New Roman" w:hAnsi="Times New Roman"/>
                <w:sz w:val="22"/>
                <w:szCs w:val="22"/>
                <w:lang w:val="en-US"/>
              </w:rPr>
              <w:t>70 – 100 U; 1-2 sites</w:t>
            </w:r>
          </w:p>
        </w:tc>
      </w:tr>
      <w:tr w:rsidR="00051188">
        <w:tc>
          <w:tcPr>
            <w:tcW w:w="3260" w:type="dxa"/>
            <w:tcBorders>
              <w:top w:val="nil"/>
              <w:bottom w:val="nil"/>
            </w:tcBorders>
          </w:tcPr>
          <w:p w:rsidR="00051188" w:rsidRDefault="00051188" w:rsidP="009D78B4">
            <w:pPr>
              <w:widowControl w:val="0"/>
              <w:rPr>
                <w:sz w:val="22"/>
                <w:szCs w:val="22"/>
              </w:rPr>
            </w:pPr>
            <w:r>
              <w:rPr>
                <w:sz w:val="22"/>
                <w:szCs w:val="22"/>
              </w:rPr>
              <w:t>Soleus</w:t>
            </w:r>
          </w:p>
        </w:tc>
        <w:tc>
          <w:tcPr>
            <w:tcW w:w="2835" w:type="dxa"/>
            <w:tcBorders>
              <w:top w:val="nil"/>
              <w:bottom w:val="nil"/>
            </w:tcBorders>
          </w:tcPr>
          <w:p w:rsidR="00051188" w:rsidRDefault="00051188" w:rsidP="009D78B4">
            <w:pPr>
              <w:widowControl w:val="0"/>
              <w:rPr>
                <w:sz w:val="22"/>
                <w:szCs w:val="22"/>
              </w:rPr>
            </w:pPr>
            <w:r>
              <w:rPr>
                <w:sz w:val="22"/>
                <w:szCs w:val="22"/>
              </w:rPr>
              <w:t>80 – 125 U; 1-2 sites</w:t>
            </w:r>
          </w:p>
        </w:tc>
      </w:tr>
      <w:tr w:rsidR="00051188">
        <w:tc>
          <w:tcPr>
            <w:tcW w:w="3260" w:type="dxa"/>
            <w:tcBorders>
              <w:top w:val="nil"/>
              <w:bottom w:val="nil"/>
            </w:tcBorders>
          </w:tcPr>
          <w:p w:rsidR="00051188" w:rsidRDefault="00051188" w:rsidP="009D78B4">
            <w:pPr>
              <w:widowControl w:val="0"/>
              <w:rPr>
                <w:sz w:val="22"/>
                <w:szCs w:val="22"/>
              </w:rPr>
            </w:pPr>
            <w:r>
              <w:rPr>
                <w:sz w:val="22"/>
                <w:szCs w:val="22"/>
              </w:rPr>
              <w:t>Flexor digitorum longus/brevis</w:t>
            </w:r>
          </w:p>
        </w:tc>
        <w:tc>
          <w:tcPr>
            <w:tcW w:w="2835" w:type="dxa"/>
            <w:tcBorders>
              <w:top w:val="nil"/>
              <w:bottom w:val="nil"/>
            </w:tcBorders>
          </w:tcPr>
          <w:p w:rsidR="00051188" w:rsidRDefault="00051188" w:rsidP="009D78B4">
            <w:pPr>
              <w:widowControl w:val="0"/>
              <w:rPr>
                <w:sz w:val="22"/>
                <w:szCs w:val="22"/>
              </w:rPr>
            </w:pPr>
            <w:r>
              <w:rPr>
                <w:sz w:val="22"/>
                <w:szCs w:val="22"/>
              </w:rPr>
              <w:t>50 – 100 U; 2-4 sites</w:t>
            </w:r>
          </w:p>
        </w:tc>
      </w:tr>
      <w:tr w:rsidR="00051188">
        <w:tc>
          <w:tcPr>
            <w:tcW w:w="3260" w:type="dxa"/>
            <w:tcBorders>
              <w:top w:val="nil"/>
            </w:tcBorders>
          </w:tcPr>
          <w:p w:rsidR="00051188" w:rsidRDefault="00051188" w:rsidP="009D78B4">
            <w:pPr>
              <w:widowControl w:val="0"/>
              <w:rPr>
                <w:sz w:val="22"/>
                <w:szCs w:val="22"/>
              </w:rPr>
            </w:pPr>
            <w:r>
              <w:rPr>
                <w:sz w:val="22"/>
                <w:szCs w:val="22"/>
              </w:rPr>
              <w:t xml:space="preserve">Gastrocnemius medial/lateral </w:t>
            </w:r>
          </w:p>
        </w:tc>
        <w:tc>
          <w:tcPr>
            <w:tcW w:w="2835" w:type="dxa"/>
            <w:tcBorders>
              <w:top w:val="nil"/>
            </w:tcBorders>
          </w:tcPr>
          <w:p w:rsidR="00051188" w:rsidRDefault="00051188" w:rsidP="009D78B4">
            <w:pPr>
              <w:widowControl w:val="0"/>
              <w:rPr>
                <w:sz w:val="22"/>
                <w:szCs w:val="22"/>
              </w:rPr>
            </w:pPr>
            <w:r>
              <w:rPr>
                <w:sz w:val="22"/>
                <w:szCs w:val="22"/>
              </w:rPr>
              <w:t>50 – 200 U; 2-4 sites</w:t>
            </w:r>
          </w:p>
        </w:tc>
      </w:tr>
    </w:tbl>
    <w:p w:rsidR="00051188" w:rsidRDefault="00051188" w:rsidP="009D78B4">
      <w:pPr>
        <w:widowControl w:val="0"/>
        <w:tabs>
          <w:tab w:val="left" w:pos="-720"/>
        </w:tabs>
        <w:rPr>
          <w:sz w:val="24"/>
        </w:rPr>
      </w:pPr>
    </w:p>
    <w:p w:rsidR="00051188" w:rsidRDefault="00051188" w:rsidP="009D78B4">
      <w:pPr>
        <w:widowControl w:val="0"/>
        <w:tabs>
          <w:tab w:val="left" w:pos="-720"/>
        </w:tabs>
        <w:rPr>
          <w:sz w:val="24"/>
          <w:szCs w:val="24"/>
        </w:rPr>
      </w:pPr>
      <w:r>
        <w:rPr>
          <w:sz w:val="24"/>
          <w:szCs w:val="24"/>
        </w:rPr>
        <w:lastRenderedPageBreak/>
        <w:t>A 27 or 30 gauge needle should be used with an appropriate needle length to reach the targeted muscles.  For focal spasticity, localisation techniques include electromyography, muscle ultrasound or electrical stimulation.</w:t>
      </w:r>
    </w:p>
    <w:p w:rsidR="00051188" w:rsidRDefault="00051188" w:rsidP="009D78B4">
      <w:pPr>
        <w:widowControl w:val="0"/>
        <w:tabs>
          <w:tab w:val="left" w:pos="-720"/>
        </w:tabs>
        <w:rPr>
          <w:sz w:val="24"/>
        </w:rPr>
      </w:pPr>
    </w:p>
    <w:p w:rsidR="00051188" w:rsidRDefault="00051188" w:rsidP="009D78B4">
      <w:pPr>
        <w:widowControl w:val="0"/>
        <w:tabs>
          <w:tab w:val="left" w:pos="-720"/>
        </w:tabs>
        <w:rPr>
          <w:b/>
          <w:sz w:val="24"/>
          <w:szCs w:val="24"/>
          <w:lang w:val="en-GB"/>
        </w:rPr>
      </w:pPr>
      <w:r>
        <w:rPr>
          <w:sz w:val="24"/>
          <w:szCs w:val="24"/>
        </w:rPr>
        <w:t xml:space="preserve">Multiple injection sites may allow </w:t>
      </w:r>
      <w:r>
        <w:rPr>
          <w:caps/>
          <w:sz w:val="24"/>
          <w:szCs w:val="24"/>
        </w:rPr>
        <w:t>Botox</w:t>
      </w:r>
      <w:r>
        <w:rPr>
          <w:caps/>
          <w:sz w:val="24"/>
          <w:szCs w:val="24"/>
          <w:vertAlign w:val="superscript"/>
        </w:rPr>
        <w:sym w:font="Symbol" w:char="F0D2"/>
      </w:r>
      <w:r>
        <w:rPr>
          <w:sz w:val="24"/>
          <w:szCs w:val="24"/>
        </w:rPr>
        <w:t xml:space="preserve"> to have more uniform contact with the innervation areas of the muscle and may be especially useful in larger muscles.</w:t>
      </w:r>
    </w:p>
    <w:p w:rsidR="00051188" w:rsidRDefault="00051188" w:rsidP="009D78B4">
      <w:pPr>
        <w:widowControl w:val="0"/>
        <w:tabs>
          <w:tab w:val="left" w:pos="-720"/>
        </w:tabs>
        <w:jc w:val="both"/>
        <w:rPr>
          <w:sz w:val="24"/>
          <w:szCs w:val="24"/>
          <w:lang w:val="en-GB"/>
        </w:rPr>
      </w:pPr>
    </w:p>
    <w:p w:rsidR="00051188" w:rsidRDefault="00051188" w:rsidP="009D78B4">
      <w:pPr>
        <w:widowControl w:val="0"/>
        <w:tabs>
          <w:tab w:val="left" w:pos="-720"/>
        </w:tabs>
        <w:jc w:val="both"/>
        <w:rPr>
          <w:b/>
          <w:sz w:val="24"/>
          <w:szCs w:val="24"/>
          <w:lang w:val="en-GB"/>
        </w:rPr>
      </w:pPr>
      <w:r>
        <w:rPr>
          <w:b/>
          <w:sz w:val="24"/>
          <w:szCs w:val="24"/>
          <w:lang w:val="en-GB"/>
        </w:rPr>
        <w:t>Cervical Dystonia (spasmodic torticollis)</w:t>
      </w:r>
    </w:p>
    <w:p w:rsidR="00051188" w:rsidRDefault="00051188" w:rsidP="009D78B4">
      <w:pPr>
        <w:pStyle w:val="BodyTextIndent"/>
        <w:keepLines w:val="0"/>
        <w:widowControl w:val="0"/>
        <w:rPr>
          <w:i w:val="0"/>
          <w:color w:val="auto"/>
          <w:szCs w:val="24"/>
          <w:lang w:val="en-GB"/>
        </w:rPr>
      </w:pPr>
      <w:r>
        <w:rPr>
          <w:i w:val="0"/>
          <w:color w:val="auto"/>
          <w:szCs w:val="24"/>
          <w:lang w:val="en-GB"/>
        </w:rPr>
        <w:t>Dosing must be tailored to the individual patient based on the patient’s head and neck position, localisation of pain, muscle hypertrophy, patient’s bodyweight, and patient response.</w:t>
      </w:r>
    </w:p>
    <w:p w:rsidR="00051188" w:rsidRDefault="00051188" w:rsidP="009D78B4">
      <w:pPr>
        <w:pStyle w:val="BodyTextIndent"/>
        <w:keepLines w:val="0"/>
        <w:widowControl w:val="0"/>
        <w:rPr>
          <w:i w:val="0"/>
          <w:color w:val="auto"/>
          <w:szCs w:val="24"/>
          <w:lang w:val="en-GB"/>
        </w:rPr>
      </w:pPr>
    </w:p>
    <w:p w:rsidR="00051188" w:rsidRDefault="00051188" w:rsidP="009D78B4">
      <w:pPr>
        <w:pStyle w:val="BodyTextIndent"/>
        <w:keepLines w:val="0"/>
        <w:widowControl w:val="0"/>
        <w:rPr>
          <w:i w:val="0"/>
          <w:color w:val="auto"/>
          <w:szCs w:val="24"/>
          <w:lang w:val="en-GB"/>
        </w:rPr>
      </w:pPr>
      <w:r>
        <w:rPr>
          <w:i w:val="0"/>
          <w:color w:val="auto"/>
          <w:szCs w:val="24"/>
          <w:lang w:val="en-GB"/>
        </w:rPr>
        <w:t xml:space="preserve">Multiple injection sites allow </w:t>
      </w:r>
      <w:r>
        <w:rPr>
          <w:i w:val="0"/>
          <w:caps/>
          <w:color w:val="auto"/>
          <w:szCs w:val="24"/>
        </w:rPr>
        <w:t>Botox</w:t>
      </w:r>
      <w:r>
        <w:rPr>
          <w:i w:val="0"/>
          <w:caps/>
          <w:color w:val="auto"/>
          <w:szCs w:val="24"/>
          <w:vertAlign w:val="superscript"/>
        </w:rPr>
        <w:sym w:font="Symbol" w:char="F0D2"/>
      </w:r>
      <w:r>
        <w:rPr>
          <w:i w:val="0"/>
          <w:color w:val="auto"/>
          <w:szCs w:val="24"/>
          <w:lang w:val="en-GB"/>
        </w:rPr>
        <w:t xml:space="preserve"> to have more uniform contact with the innervation areas of the dystonic muscle and are especially useful in larger muscles.  The optimal number of injection sites is dependent upon the size of the muscle to be chemically denervated.  The treatment of cervical dystonia typically may include, but is not limited to, injection of </w:t>
      </w:r>
      <w:r>
        <w:rPr>
          <w:i w:val="0"/>
          <w:caps/>
          <w:color w:val="auto"/>
          <w:szCs w:val="24"/>
        </w:rPr>
        <w:t>Botox</w:t>
      </w:r>
      <w:r>
        <w:rPr>
          <w:i w:val="0"/>
          <w:caps/>
          <w:color w:val="auto"/>
          <w:szCs w:val="24"/>
          <w:vertAlign w:val="superscript"/>
        </w:rPr>
        <w:sym w:font="Symbol" w:char="F0D2"/>
      </w:r>
      <w:r>
        <w:rPr>
          <w:i w:val="0"/>
          <w:color w:val="auto"/>
          <w:szCs w:val="24"/>
          <w:lang w:val="en-GB"/>
        </w:rPr>
        <w:t xml:space="preserve"> into the sternocleidomastoid, levator scapulae, scalene, splenius capitis, and/or the trapezius muscle(s).</w:t>
      </w:r>
    </w:p>
    <w:p w:rsidR="00112664" w:rsidRDefault="00112664" w:rsidP="009D78B4">
      <w:pPr>
        <w:pStyle w:val="BodyTextIndent"/>
        <w:keepLines w:val="0"/>
        <w:widowControl w:val="0"/>
        <w:rPr>
          <w:i w:val="0"/>
          <w:color w:val="auto"/>
          <w:szCs w:val="24"/>
          <w:lang w:val="en-GB"/>
        </w:rPr>
      </w:pPr>
    </w:p>
    <w:p w:rsidR="00051188" w:rsidRDefault="00051188" w:rsidP="009D78B4">
      <w:pPr>
        <w:widowControl w:val="0"/>
        <w:rPr>
          <w:color w:val="000000"/>
          <w:sz w:val="24"/>
          <w:szCs w:val="24"/>
          <w:lang w:val="en-GB"/>
        </w:rPr>
      </w:pPr>
      <w:r>
        <w:rPr>
          <w:color w:val="000000"/>
          <w:sz w:val="24"/>
          <w:szCs w:val="24"/>
        </w:rPr>
        <w:t xml:space="preserve">A 25, 27 or 30 gauge needle should be used for superficial muscles and a needle of appropriate length should be used for deeper musculature.  </w:t>
      </w:r>
      <w:r>
        <w:rPr>
          <w:color w:val="000000"/>
          <w:sz w:val="24"/>
          <w:szCs w:val="24"/>
          <w:lang w:val="en-GB"/>
        </w:rPr>
        <w:t>For cervical dystonia, localisation of the involved muscles with electromyographic guidance may be useful.</w:t>
      </w:r>
    </w:p>
    <w:p w:rsidR="00051188" w:rsidRDefault="00051188" w:rsidP="009D78B4">
      <w:pPr>
        <w:widowControl w:val="0"/>
        <w:rPr>
          <w:sz w:val="24"/>
          <w:szCs w:val="24"/>
          <w:lang w:val="en-GB"/>
        </w:rPr>
      </w:pPr>
    </w:p>
    <w:p w:rsidR="00051188" w:rsidRDefault="00051188" w:rsidP="009D78B4">
      <w:pPr>
        <w:widowControl w:val="0"/>
        <w:rPr>
          <w:sz w:val="24"/>
          <w:szCs w:val="24"/>
          <w:lang w:val="en-GB"/>
        </w:rPr>
      </w:pPr>
      <w:r>
        <w:rPr>
          <w:sz w:val="24"/>
          <w:szCs w:val="24"/>
          <w:lang w:val="en-GB"/>
        </w:rPr>
        <w:t xml:space="preserve">The table below is intended to give dosing guidelines for injection of </w:t>
      </w:r>
      <w:r>
        <w:rPr>
          <w:caps/>
          <w:sz w:val="24"/>
          <w:szCs w:val="24"/>
        </w:rPr>
        <w:t>Botox</w:t>
      </w:r>
      <w:r>
        <w:rPr>
          <w:caps/>
          <w:sz w:val="24"/>
          <w:szCs w:val="24"/>
          <w:vertAlign w:val="superscript"/>
        </w:rPr>
        <w:sym w:font="Symbol" w:char="F0D2"/>
      </w:r>
      <w:r>
        <w:rPr>
          <w:szCs w:val="24"/>
          <w:lang w:val="en-GB"/>
        </w:rPr>
        <w:t xml:space="preserve"> </w:t>
      </w:r>
      <w:r>
        <w:rPr>
          <w:sz w:val="24"/>
          <w:szCs w:val="24"/>
          <w:lang w:val="en-GB"/>
        </w:rPr>
        <w:t>in the treatment of cervical dystonia.</w:t>
      </w:r>
    </w:p>
    <w:p w:rsidR="00051188" w:rsidRDefault="00051188" w:rsidP="009D78B4">
      <w:pPr>
        <w:widowControl w:val="0"/>
        <w:spacing w:line="240" w:lineRule="atLeast"/>
        <w:rPr>
          <w:rFonts w:ascii="Helvetica" w:hAnsi="Helvetica"/>
          <w:b/>
          <w:color w:val="000000"/>
          <w:sz w:val="24"/>
          <w:szCs w:val="24"/>
          <w:lang w:val="en-GB"/>
        </w:rPr>
      </w:pPr>
    </w:p>
    <w:p w:rsidR="00051188" w:rsidRDefault="00051188" w:rsidP="009D78B4">
      <w:pPr>
        <w:widowControl w:val="0"/>
        <w:spacing w:line="240" w:lineRule="atLeast"/>
        <w:ind w:left="2160" w:hanging="2160"/>
        <w:jc w:val="both"/>
        <w:rPr>
          <w:b/>
          <w:sz w:val="24"/>
          <w:szCs w:val="24"/>
          <w:lang w:val="en-GB"/>
        </w:rPr>
      </w:pPr>
      <w:r>
        <w:rPr>
          <w:b/>
          <w:sz w:val="24"/>
          <w:szCs w:val="24"/>
          <w:lang w:val="en-GB"/>
        </w:rPr>
        <w:t>Dosage Guide</w:t>
      </w:r>
    </w:p>
    <w:p w:rsidR="00051188" w:rsidRDefault="00051188" w:rsidP="009D78B4">
      <w:pPr>
        <w:widowControl w:val="0"/>
        <w:spacing w:line="240" w:lineRule="atLeast"/>
        <w:ind w:left="2160" w:hanging="2160"/>
        <w:jc w:val="both"/>
        <w:rPr>
          <w:rFonts w:ascii="Helvetica" w:hAnsi="Helvetica"/>
          <w:b/>
          <w:sz w:val="24"/>
          <w:szCs w:val="24"/>
          <w:u w:val="single"/>
          <w:lang w:val="en-GB"/>
        </w:rPr>
      </w:pPr>
    </w:p>
    <w:tbl>
      <w:tblPr>
        <w:tblW w:w="7655" w:type="dxa"/>
        <w:tblInd w:w="80" w:type="dxa"/>
        <w:tblLayout w:type="fixed"/>
        <w:tblCellMar>
          <w:left w:w="80" w:type="dxa"/>
          <w:right w:w="80" w:type="dxa"/>
        </w:tblCellMar>
        <w:tblLook w:val="0000"/>
      </w:tblPr>
      <w:tblGrid>
        <w:gridCol w:w="2552"/>
        <w:gridCol w:w="2126"/>
        <w:gridCol w:w="2977"/>
      </w:tblGrid>
      <w:tr w:rsidR="00051188">
        <w:trPr>
          <w:cantSplit/>
        </w:trPr>
        <w:tc>
          <w:tcPr>
            <w:tcW w:w="2552"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spacing w:before="60" w:after="60" w:line="240" w:lineRule="atLeast"/>
              <w:jc w:val="center"/>
              <w:rPr>
                <w:b/>
                <w:sz w:val="22"/>
                <w:szCs w:val="22"/>
                <w:lang w:val="en-GB"/>
              </w:rPr>
            </w:pPr>
            <w:r>
              <w:rPr>
                <w:b/>
                <w:sz w:val="22"/>
                <w:szCs w:val="22"/>
                <w:lang w:val="en-GB"/>
              </w:rPr>
              <w:t>Classification of Cervical Dystonia</w:t>
            </w:r>
          </w:p>
        </w:tc>
        <w:tc>
          <w:tcPr>
            <w:tcW w:w="2126"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spacing w:before="60" w:line="240" w:lineRule="atLeast"/>
              <w:jc w:val="center"/>
              <w:rPr>
                <w:b/>
                <w:sz w:val="22"/>
                <w:szCs w:val="22"/>
                <w:lang w:val="en-GB"/>
              </w:rPr>
            </w:pPr>
            <w:r>
              <w:rPr>
                <w:b/>
                <w:sz w:val="22"/>
                <w:szCs w:val="22"/>
                <w:lang w:val="en-GB"/>
              </w:rPr>
              <w:t>Muscle Groupings</w:t>
            </w:r>
          </w:p>
        </w:tc>
        <w:tc>
          <w:tcPr>
            <w:tcW w:w="2977"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spacing w:before="60" w:line="240" w:lineRule="atLeast"/>
              <w:jc w:val="center"/>
              <w:rPr>
                <w:b/>
                <w:sz w:val="22"/>
                <w:szCs w:val="22"/>
                <w:lang w:val="en-GB"/>
              </w:rPr>
            </w:pPr>
            <w:r>
              <w:rPr>
                <w:b/>
                <w:sz w:val="22"/>
                <w:szCs w:val="22"/>
                <w:lang w:val="en-GB"/>
              </w:rPr>
              <w:t>Total Dosage;</w:t>
            </w:r>
          </w:p>
          <w:p w:rsidR="00051188" w:rsidRDefault="00051188" w:rsidP="009D78B4">
            <w:pPr>
              <w:widowControl w:val="0"/>
              <w:spacing w:line="240" w:lineRule="atLeast"/>
              <w:jc w:val="center"/>
              <w:rPr>
                <w:b/>
                <w:sz w:val="22"/>
                <w:szCs w:val="22"/>
                <w:lang w:val="en-GB"/>
              </w:rPr>
            </w:pPr>
            <w:r>
              <w:rPr>
                <w:b/>
                <w:sz w:val="22"/>
                <w:szCs w:val="22"/>
                <w:lang w:val="en-GB"/>
              </w:rPr>
              <w:t>Number of Sites</w:t>
            </w:r>
          </w:p>
        </w:tc>
      </w:tr>
      <w:tr w:rsidR="00051188" w:rsidRPr="009D78B4">
        <w:trPr>
          <w:cantSplit/>
        </w:trPr>
        <w:tc>
          <w:tcPr>
            <w:tcW w:w="2552"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spacing w:line="240" w:lineRule="atLeast"/>
              <w:rPr>
                <w:sz w:val="22"/>
                <w:szCs w:val="22"/>
                <w:lang w:val="en-GB"/>
              </w:rPr>
            </w:pPr>
            <w:r>
              <w:rPr>
                <w:sz w:val="22"/>
                <w:szCs w:val="22"/>
                <w:lang w:val="en-GB"/>
              </w:rPr>
              <w:t>Type I</w:t>
            </w:r>
          </w:p>
          <w:p w:rsidR="00051188" w:rsidRDefault="00051188" w:rsidP="009D78B4">
            <w:pPr>
              <w:widowControl w:val="0"/>
              <w:spacing w:line="240" w:lineRule="atLeast"/>
              <w:rPr>
                <w:sz w:val="22"/>
                <w:szCs w:val="22"/>
                <w:lang w:val="en-GB"/>
              </w:rPr>
            </w:pPr>
            <w:r>
              <w:rPr>
                <w:sz w:val="22"/>
                <w:szCs w:val="22"/>
                <w:lang w:val="en-GB"/>
              </w:rPr>
              <w:t>Head rotated toward side of shoulder elevation</w:t>
            </w:r>
          </w:p>
          <w:p w:rsidR="00051188" w:rsidRDefault="00051188" w:rsidP="009D78B4">
            <w:pPr>
              <w:widowControl w:val="0"/>
              <w:spacing w:line="240" w:lineRule="atLeast"/>
              <w:rPr>
                <w:sz w:val="22"/>
                <w:szCs w:val="22"/>
                <w:lang w:val="en-GB"/>
              </w:rPr>
            </w:pPr>
          </w:p>
        </w:tc>
        <w:tc>
          <w:tcPr>
            <w:tcW w:w="2126"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spacing w:line="240" w:lineRule="atLeast"/>
              <w:rPr>
                <w:sz w:val="22"/>
                <w:szCs w:val="22"/>
                <w:lang w:val="en-GB"/>
              </w:rPr>
            </w:pPr>
            <w:r>
              <w:rPr>
                <w:sz w:val="22"/>
                <w:szCs w:val="22"/>
                <w:lang w:val="en-GB"/>
              </w:rPr>
              <w:t>Sternocleidomastoid</w:t>
            </w:r>
          </w:p>
          <w:p w:rsidR="00051188" w:rsidRDefault="00051188" w:rsidP="009D78B4">
            <w:pPr>
              <w:widowControl w:val="0"/>
              <w:spacing w:line="240" w:lineRule="atLeast"/>
              <w:rPr>
                <w:sz w:val="22"/>
                <w:szCs w:val="22"/>
                <w:lang w:val="en-GB"/>
              </w:rPr>
            </w:pPr>
            <w:r>
              <w:rPr>
                <w:sz w:val="22"/>
                <w:szCs w:val="22"/>
                <w:lang w:val="en-GB"/>
              </w:rPr>
              <w:t>Levator scapulae</w:t>
            </w:r>
          </w:p>
          <w:p w:rsidR="00051188" w:rsidRDefault="00051188" w:rsidP="009D78B4">
            <w:pPr>
              <w:widowControl w:val="0"/>
              <w:spacing w:line="240" w:lineRule="atLeast"/>
              <w:rPr>
                <w:sz w:val="22"/>
                <w:szCs w:val="22"/>
                <w:lang w:val="en-GB"/>
              </w:rPr>
            </w:pPr>
            <w:r>
              <w:rPr>
                <w:sz w:val="22"/>
                <w:szCs w:val="22"/>
                <w:lang w:val="en-GB"/>
              </w:rPr>
              <w:t>Scalene</w:t>
            </w:r>
          </w:p>
          <w:p w:rsidR="00051188" w:rsidRDefault="00051188" w:rsidP="009D78B4">
            <w:pPr>
              <w:widowControl w:val="0"/>
              <w:spacing w:line="240" w:lineRule="atLeast"/>
              <w:rPr>
                <w:sz w:val="22"/>
                <w:szCs w:val="22"/>
                <w:lang w:val="en-GB"/>
              </w:rPr>
            </w:pPr>
            <w:r>
              <w:rPr>
                <w:sz w:val="22"/>
                <w:szCs w:val="22"/>
                <w:lang w:val="en-GB"/>
              </w:rPr>
              <w:t>Splenius capitis</w:t>
            </w:r>
          </w:p>
          <w:p w:rsidR="00051188" w:rsidRDefault="00051188" w:rsidP="009D78B4">
            <w:pPr>
              <w:widowControl w:val="0"/>
              <w:spacing w:line="240" w:lineRule="atLeast"/>
              <w:rPr>
                <w:sz w:val="22"/>
                <w:szCs w:val="22"/>
                <w:lang w:val="en-GB"/>
              </w:rPr>
            </w:pPr>
            <w:r>
              <w:rPr>
                <w:sz w:val="22"/>
                <w:szCs w:val="22"/>
                <w:lang w:val="en-GB"/>
              </w:rPr>
              <w:t>Trapezius</w:t>
            </w:r>
          </w:p>
          <w:p w:rsidR="00051188" w:rsidRDefault="00051188" w:rsidP="009D78B4">
            <w:pPr>
              <w:widowControl w:val="0"/>
              <w:spacing w:line="240" w:lineRule="atLeast"/>
              <w:rPr>
                <w:sz w:val="22"/>
                <w:szCs w:val="22"/>
                <w:lang w:val="en-GB"/>
              </w:rPr>
            </w:pPr>
          </w:p>
        </w:tc>
        <w:tc>
          <w:tcPr>
            <w:tcW w:w="2977"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spacing w:line="240" w:lineRule="atLeast"/>
              <w:rPr>
                <w:sz w:val="22"/>
                <w:szCs w:val="22"/>
                <w:lang w:val="en-GB"/>
              </w:rPr>
            </w:pPr>
            <w:r>
              <w:rPr>
                <w:sz w:val="22"/>
                <w:szCs w:val="22"/>
                <w:lang w:val="en-GB"/>
              </w:rPr>
              <w:t>50-100 U; at least 2 sites</w:t>
            </w:r>
          </w:p>
          <w:p w:rsidR="00051188" w:rsidRDefault="00051188" w:rsidP="009D78B4">
            <w:pPr>
              <w:widowControl w:val="0"/>
              <w:spacing w:line="240" w:lineRule="atLeast"/>
              <w:rPr>
                <w:sz w:val="22"/>
                <w:szCs w:val="22"/>
                <w:lang w:val="en-GB"/>
              </w:rPr>
            </w:pPr>
            <w:r>
              <w:rPr>
                <w:sz w:val="22"/>
                <w:szCs w:val="22"/>
                <w:lang w:val="en-GB"/>
              </w:rPr>
              <w:t>50 U; 1-2 sites</w:t>
            </w:r>
          </w:p>
          <w:p w:rsidR="00051188" w:rsidRDefault="00051188" w:rsidP="009D78B4">
            <w:pPr>
              <w:widowControl w:val="0"/>
              <w:tabs>
                <w:tab w:val="left" w:pos="-720"/>
              </w:tabs>
              <w:spacing w:line="240" w:lineRule="atLeast"/>
              <w:outlineLvl w:val="0"/>
              <w:rPr>
                <w:sz w:val="22"/>
                <w:lang w:val="es-ES"/>
              </w:rPr>
            </w:pPr>
            <w:r>
              <w:rPr>
                <w:sz w:val="22"/>
                <w:lang w:val="es-ES"/>
              </w:rPr>
              <w:t>25-50 U; 1-2 sites</w:t>
            </w:r>
          </w:p>
          <w:p w:rsidR="00051188" w:rsidRDefault="00051188" w:rsidP="009D78B4">
            <w:pPr>
              <w:widowControl w:val="0"/>
              <w:tabs>
                <w:tab w:val="left" w:pos="-720"/>
              </w:tabs>
              <w:spacing w:line="240" w:lineRule="atLeast"/>
              <w:outlineLvl w:val="0"/>
              <w:rPr>
                <w:sz w:val="22"/>
                <w:lang w:val="es-ES"/>
              </w:rPr>
            </w:pPr>
            <w:r>
              <w:rPr>
                <w:sz w:val="22"/>
                <w:lang w:val="es-ES"/>
              </w:rPr>
              <w:t>25-75 U; 1-3 sites</w:t>
            </w:r>
          </w:p>
          <w:p w:rsidR="00051188" w:rsidRDefault="00051188" w:rsidP="009D78B4">
            <w:pPr>
              <w:widowControl w:val="0"/>
              <w:tabs>
                <w:tab w:val="left" w:pos="-720"/>
              </w:tabs>
              <w:spacing w:line="240" w:lineRule="atLeast"/>
              <w:outlineLvl w:val="0"/>
              <w:rPr>
                <w:sz w:val="22"/>
                <w:lang w:val="es-ES"/>
              </w:rPr>
            </w:pPr>
            <w:r>
              <w:rPr>
                <w:sz w:val="22"/>
                <w:lang w:val="es-ES"/>
              </w:rPr>
              <w:t>25-100 U; 1-8 sites</w:t>
            </w:r>
          </w:p>
        </w:tc>
      </w:tr>
      <w:tr w:rsidR="00051188">
        <w:trPr>
          <w:cantSplit/>
        </w:trPr>
        <w:tc>
          <w:tcPr>
            <w:tcW w:w="2552"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spacing w:line="240" w:lineRule="atLeast"/>
              <w:rPr>
                <w:sz w:val="22"/>
                <w:szCs w:val="22"/>
                <w:lang w:val="en-GB"/>
              </w:rPr>
            </w:pPr>
            <w:r>
              <w:rPr>
                <w:sz w:val="22"/>
                <w:szCs w:val="22"/>
                <w:lang w:val="en-GB"/>
              </w:rPr>
              <w:t>Type II</w:t>
            </w:r>
          </w:p>
          <w:p w:rsidR="00051188" w:rsidRDefault="00051188" w:rsidP="009D78B4">
            <w:pPr>
              <w:widowControl w:val="0"/>
              <w:spacing w:line="240" w:lineRule="atLeast"/>
              <w:rPr>
                <w:sz w:val="22"/>
                <w:szCs w:val="22"/>
                <w:lang w:val="en-GB"/>
              </w:rPr>
            </w:pPr>
            <w:r>
              <w:rPr>
                <w:sz w:val="22"/>
                <w:szCs w:val="22"/>
                <w:lang w:val="en-GB"/>
              </w:rPr>
              <w:t>Head rotation only</w:t>
            </w:r>
          </w:p>
          <w:p w:rsidR="00051188" w:rsidRDefault="00051188" w:rsidP="009D78B4">
            <w:pPr>
              <w:widowControl w:val="0"/>
              <w:spacing w:line="240" w:lineRule="atLeast"/>
              <w:rPr>
                <w:sz w:val="22"/>
                <w:szCs w:val="22"/>
                <w:lang w:val="en-GB"/>
              </w:rPr>
            </w:pPr>
          </w:p>
        </w:tc>
        <w:tc>
          <w:tcPr>
            <w:tcW w:w="2126"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spacing w:line="240" w:lineRule="atLeast"/>
              <w:rPr>
                <w:sz w:val="22"/>
                <w:szCs w:val="22"/>
                <w:lang w:val="en-GB"/>
              </w:rPr>
            </w:pPr>
            <w:r>
              <w:rPr>
                <w:sz w:val="22"/>
                <w:szCs w:val="22"/>
                <w:lang w:val="en-GB"/>
              </w:rPr>
              <w:t>Sternocleidomastoid</w:t>
            </w:r>
          </w:p>
        </w:tc>
        <w:tc>
          <w:tcPr>
            <w:tcW w:w="2977"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spacing w:line="240" w:lineRule="atLeast"/>
              <w:rPr>
                <w:sz w:val="22"/>
                <w:szCs w:val="22"/>
                <w:lang w:val="en-GB"/>
              </w:rPr>
            </w:pPr>
            <w:r>
              <w:rPr>
                <w:sz w:val="22"/>
                <w:szCs w:val="22"/>
                <w:lang w:val="en-GB"/>
              </w:rPr>
              <w:t>25-100 U; at least 2 sites if &gt;25 U given</w:t>
            </w:r>
          </w:p>
        </w:tc>
      </w:tr>
      <w:tr w:rsidR="00051188">
        <w:trPr>
          <w:cantSplit/>
        </w:trPr>
        <w:tc>
          <w:tcPr>
            <w:tcW w:w="2552"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spacing w:line="240" w:lineRule="atLeast"/>
              <w:rPr>
                <w:sz w:val="22"/>
                <w:szCs w:val="22"/>
                <w:lang w:val="en-GB"/>
              </w:rPr>
            </w:pPr>
            <w:r>
              <w:rPr>
                <w:sz w:val="22"/>
                <w:szCs w:val="22"/>
                <w:lang w:val="en-GB"/>
              </w:rPr>
              <w:t>Type III</w:t>
            </w:r>
          </w:p>
          <w:p w:rsidR="00051188" w:rsidRDefault="00051188" w:rsidP="009D78B4">
            <w:pPr>
              <w:widowControl w:val="0"/>
              <w:spacing w:line="240" w:lineRule="atLeast"/>
              <w:rPr>
                <w:sz w:val="22"/>
                <w:szCs w:val="22"/>
                <w:lang w:val="en-GB"/>
              </w:rPr>
            </w:pPr>
            <w:r>
              <w:rPr>
                <w:sz w:val="22"/>
                <w:szCs w:val="22"/>
                <w:lang w:val="en-GB"/>
              </w:rPr>
              <w:t>Head tilted toward side of shoulder elevation</w:t>
            </w:r>
          </w:p>
          <w:p w:rsidR="00051188" w:rsidRDefault="00051188" w:rsidP="009D78B4">
            <w:pPr>
              <w:widowControl w:val="0"/>
              <w:spacing w:line="240" w:lineRule="atLeast"/>
              <w:rPr>
                <w:sz w:val="22"/>
                <w:szCs w:val="22"/>
                <w:lang w:val="en-GB"/>
              </w:rPr>
            </w:pPr>
          </w:p>
        </w:tc>
        <w:tc>
          <w:tcPr>
            <w:tcW w:w="2126"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tabs>
                <w:tab w:val="left" w:pos="-720"/>
              </w:tabs>
              <w:spacing w:line="240" w:lineRule="atLeast"/>
              <w:outlineLvl w:val="0"/>
              <w:rPr>
                <w:sz w:val="22"/>
                <w:szCs w:val="22"/>
                <w:lang w:val="it-IT"/>
              </w:rPr>
            </w:pPr>
            <w:r>
              <w:rPr>
                <w:sz w:val="22"/>
                <w:szCs w:val="22"/>
                <w:lang w:val="it-IT"/>
              </w:rPr>
              <w:t>Sternocleidomastoid</w:t>
            </w:r>
          </w:p>
          <w:p w:rsidR="00051188" w:rsidRDefault="00051188" w:rsidP="009D78B4">
            <w:pPr>
              <w:widowControl w:val="0"/>
              <w:spacing w:line="240" w:lineRule="atLeast"/>
              <w:rPr>
                <w:sz w:val="22"/>
                <w:szCs w:val="22"/>
                <w:lang w:val="it-IT"/>
              </w:rPr>
            </w:pPr>
          </w:p>
          <w:p w:rsidR="00051188" w:rsidRDefault="00051188" w:rsidP="009D78B4">
            <w:pPr>
              <w:widowControl w:val="0"/>
              <w:spacing w:line="240" w:lineRule="atLeast"/>
              <w:rPr>
                <w:sz w:val="22"/>
                <w:szCs w:val="22"/>
                <w:lang w:val="it-IT"/>
              </w:rPr>
            </w:pPr>
            <w:r>
              <w:rPr>
                <w:sz w:val="22"/>
                <w:szCs w:val="22"/>
                <w:lang w:val="it-IT"/>
              </w:rPr>
              <w:t xml:space="preserve">Levator scapulae </w:t>
            </w:r>
          </w:p>
          <w:p w:rsidR="00051188" w:rsidRDefault="00051188" w:rsidP="009D78B4">
            <w:pPr>
              <w:widowControl w:val="0"/>
              <w:spacing w:line="240" w:lineRule="atLeast"/>
              <w:rPr>
                <w:sz w:val="22"/>
                <w:szCs w:val="22"/>
                <w:lang w:val="it-IT"/>
              </w:rPr>
            </w:pPr>
            <w:r>
              <w:rPr>
                <w:sz w:val="22"/>
                <w:szCs w:val="22"/>
                <w:lang w:val="it-IT"/>
              </w:rPr>
              <w:t>Scalene</w:t>
            </w:r>
          </w:p>
          <w:p w:rsidR="00051188" w:rsidRDefault="00051188" w:rsidP="009D78B4">
            <w:pPr>
              <w:widowControl w:val="0"/>
              <w:spacing w:line="240" w:lineRule="atLeast"/>
              <w:rPr>
                <w:sz w:val="22"/>
                <w:szCs w:val="22"/>
                <w:lang w:val="it-IT"/>
              </w:rPr>
            </w:pPr>
            <w:r>
              <w:rPr>
                <w:sz w:val="22"/>
                <w:szCs w:val="22"/>
                <w:lang w:val="it-IT"/>
              </w:rPr>
              <w:t>Trapezius</w:t>
            </w:r>
          </w:p>
        </w:tc>
        <w:tc>
          <w:tcPr>
            <w:tcW w:w="2977"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spacing w:line="240" w:lineRule="atLeast"/>
              <w:rPr>
                <w:sz w:val="22"/>
                <w:szCs w:val="22"/>
                <w:lang w:val="en-GB"/>
              </w:rPr>
            </w:pPr>
            <w:r>
              <w:rPr>
                <w:sz w:val="22"/>
                <w:szCs w:val="22"/>
                <w:lang w:val="en-GB"/>
              </w:rPr>
              <w:t>25-100 U; at posterior border; at least 2 sites if &gt;25 U given</w:t>
            </w:r>
          </w:p>
          <w:p w:rsidR="00051188" w:rsidRDefault="00051188" w:rsidP="009D78B4">
            <w:pPr>
              <w:widowControl w:val="0"/>
              <w:spacing w:line="240" w:lineRule="atLeast"/>
              <w:rPr>
                <w:sz w:val="22"/>
                <w:szCs w:val="22"/>
                <w:lang w:val="en-GB"/>
              </w:rPr>
            </w:pPr>
            <w:r>
              <w:rPr>
                <w:sz w:val="22"/>
                <w:szCs w:val="22"/>
                <w:lang w:val="en-GB"/>
              </w:rPr>
              <w:t>25-100 U; at least 2 sites</w:t>
            </w:r>
          </w:p>
          <w:p w:rsidR="00051188" w:rsidRDefault="00051188" w:rsidP="009D78B4">
            <w:pPr>
              <w:widowControl w:val="0"/>
              <w:spacing w:line="240" w:lineRule="atLeast"/>
              <w:rPr>
                <w:sz w:val="22"/>
                <w:szCs w:val="22"/>
                <w:lang w:val="en-GB"/>
              </w:rPr>
            </w:pPr>
            <w:r>
              <w:rPr>
                <w:sz w:val="22"/>
                <w:szCs w:val="22"/>
                <w:lang w:val="en-GB"/>
              </w:rPr>
              <w:t>25-75 U; at least 2 sites</w:t>
            </w:r>
          </w:p>
          <w:p w:rsidR="00051188" w:rsidRDefault="00051188" w:rsidP="009D78B4">
            <w:pPr>
              <w:widowControl w:val="0"/>
              <w:spacing w:line="240" w:lineRule="atLeast"/>
              <w:rPr>
                <w:sz w:val="22"/>
                <w:szCs w:val="22"/>
                <w:lang w:val="en-GB"/>
              </w:rPr>
            </w:pPr>
            <w:r>
              <w:rPr>
                <w:sz w:val="22"/>
                <w:szCs w:val="22"/>
                <w:lang w:val="en-GB"/>
              </w:rPr>
              <w:t>25-100 U; 1-8 sites</w:t>
            </w:r>
          </w:p>
          <w:p w:rsidR="00051188" w:rsidRDefault="00051188" w:rsidP="009D78B4">
            <w:pPr>
              <w:widowControl w:val="0"/>
              <w:spacing w:line="240" w:lineRule="atLeast"/>
              <w:rPr>
                <w:sz w:val="22"/>
                <w:szCs w:val="22"/>
                <w:lang w:val="en-GB"/>
              </w:rPr>
            </w:pPr>
          </w:p>
        </w:tc>
      </w:tr>
      <w:tr w:rsidR="00051188">
        <w:trPr>
          <w:cantSplit/>
        </w:trPr>
        <w:tc>
          <w:tcPr>
            <w:tcW w:w="2552"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spacing w:line="240" w:lineRule="atLeast"/>
              <w:rPr>
                <w:sz w:val="22"/>
                <w:szCs w:val="22"/>
                <w:lang w:val="en-GB"/>
              </w:rPr>
            </w:pPr>
            <w:r>
              <w:rPr>
                <w:sz w:val="22"/>
                <w:szCs w:val="22"/>
                <w:lang w:val="en-GB"/>
              </w:rPr>
              <w:t>Type IV</w:t>
            </w:r>
          </w:p>
          <w:p w:rsidR="00051188" w:rsidRDefault="00051188" w:rsidP="009D78B4">
            <w:pPr>
              <w:widowControl w:val="0"/>
              <w:spacing w:line="240" w:lineRule="atLeast"/>
              <w:rPr>
                <w:sz w:val="22"/>
                <w:szCs w:val="22"/>
                <w:lang w:val="en-GB"/>
              </w:rPr>
            </w:pPr>
            <w:r>
              <w:rPr>
                <w:sz w:val="22"/>
                <w:szCs w:val="22"/>
                <w:lang w:val="en-GB"/>
              </w:rPr>
              <w:t>Bilateral posterior cervical muscle spasm with elevation of the face</w:t>
            </w:r>
          </w:p>
        </w:tc>
        <w:tc>
          <w:tcPr>
            <w:tcW w:w="2126"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spacing w:line="240" w:lineRule="atLeast"/>
              <w:rPr>
                <w:sz w:val="22"/>
                <w:szCs w:val="22"/>
                <w:lang w:val="en-GB"/>
              </w:rPr>
            </w:pPr>
            <w:r>
              <w:rPr>
                <w:sz w:val="22"/>
                <w:szCs w:val="22"/>
                <w:lang w:val="en-GB"/>
              </w:rPr>
              <w:t>Splenius capitis and cervicis</w:t>
            </w:r>
          </w:p>
        </w:tc>
        <w:tc>
          <w:tcPr>
            <w:tcW w:w="2977" w:type="dxa"/>
            <w:tcBorders>
              <w:top w:val="single" w:sz="6" w:space="0" w:color="auto"/>
              <w:left w:val="single" w:sz="6" w:space="0" w:color="auto"/>
              <w:bottom w:val="single" w:sz="6" w:space="0" w:color="auto"/>
              <w:right w:val="single" w:sz="6" w:space="0" w:color="auto"/>
            </w:tcBorders>
          </w:tcPr>
          <w:p w:rsidR="00051188" w:rsidRDefault="00051188" w:rsidP="009D78B4">
            <w:pPr>
              <w:widowControl w:val="0"/>
              <w:spacing w:line="240" w:lineRule="atLeast"/>
              <w:rPr>
                <w:sz w:val="22"/>
                <w:szCs w:val="22"/>
                <w:lang w:val="en-GB"/>
              </w:rPr>
            </w:pPr>
            <w:r>
              <w:rPr>
                <w:sz w:val="22"/>
                <w:szCs w:val="22"/>
                <w:lang w:val="en-GB"/>
              </w:rPr>
              <w:t>50-200 U; 2-8 sites, treat bilaterally</w:t>
            </w:r>
          </w:p>
        </w:tc>
      </w:tr>
    </w:tbl>
    <w:p w:rsidR="00051188" w:rsidRDefault="00051188" w:rsidP="009D78B4">
      <w:pPr>
        <w:widowControl w:val="0"/>
        <w:spacing w:line="240" w:lineRule="atLeast"/>
        <w:ind w:left="2160" w:hanging="2160"/>
        <w:jc w:val="both"/>
        <w:rPr>
          <w:rFonts w:ascii="Helvetica" w:hAnsi="Helvetica"/>
          <w:u w:val="single"/>
          <w:lang w:val="en-GB"/>
        </w:rPr>
      </w:pPr>
    </w:p>
    <w:p w:rsidR="00051188" w:rsidRDefault="00051188" w:rsidP="009D78B4">
      <w:pPr>
        <w:pStyle w:val="BodyTextIndent"/>
        <w:keepLines w:val="0"/>
        <w:widowControl w:val="0"/>
        <w:tabs>
          <w:tab w:val="left" w:pos="-720"/>
        </w:tabs>
        <w:rPr>
          <w:i w:val="0"/>
          <w:color w:val="auto"/>
          <w:lang w:val="en-GB"/>
        </w:rPr>
      </w:pPr>
      <w:r>
        <w:rPr>
          <w:i w:val="0"/>
          <w:color w:val="auto"/>
          <w:lang w:val="en-GB"/>
        </w:rPr>
        <w:t xml:space="preserve">This information is provided as guidance for the initial injection.  The extent of muscle </w:t>
      </w:r>
      <w:r>
        <w:rPr>
          <w:i w:val="0"/>
          <w:color w:val="auto"/>
          <w:lang w:val="en-GB"/>
        </w:rPr>
        <w:lastRenderedPageBreak/>
        <w:t>hypertrophy and the muscle groups involved in the dystonic posture may change with time necessitating alterations in the dose of toxin and muscles to be injected.  The exact dosage and sites injected must be individualised for each patient.</w:t>
      </w:r>
    </w:p>
    <w:p w:rsidR="00051188" w:rsidRDefault="00051188" w:rsidP="009D78B4">
      <w:pPr>
        <w:pStyle w:val="BodyTextIndent"/>
        <w:keepLines w:val="0"/>
        <w:widowControl w:val="0"/>
        <w:tabs>
          <w:tab w:val="left" w:pos="-720"/>
        </w:tabs>
        <w:rPr>
          <w:i w:val="0"/>
          <w:color w:val="auto"/>
          <w:lang w:val="en-GB"/>
        </w:rPr>
      </w:pPr>
      <w:r>
        <w:rPr>
          <w:i w:val="0"/>
          <w:color w:val="auto"/>
          <w:lang w:val="en-GB"/>
        </w:rPr>
        <w:t>Clinical improvement generally occurs within the first two weeks after injection.  The maximum clinical benefit generally occurs approximately six weeks post-injection.  Treatment intervals of less than two months are not recommended.  The duration of therapeutic effect reported in the clinical trials showed substantial variation (from 2 to 32 weeks), with a typical duration of approximately 12 to 16 weeks, depending on the patient’s individual disease and response.</w:t>
      </w:r>
    </w:p>
    <w:p w:rsidR="00051188" w:rsidRDefault="00051188" w:rsidP="009D78B4">
      <w:pPr>
        <w:widowControl w:val="0"/>
        <w:tabs>
          <w:tab w:val="left" w:pos="-720"/>
        </w:tabs>
        <w:ind w:firstLine="18"/>
        <w:rPr>
          <w:sz w:val="24"/>
          <w:lang w:val="en-GB"/>
        </w:rPr>
      </w:pPr>
    </w:p>
    <w:p w:rsidR="00051188" w:rsidRDefault="00051188" w:rsidP="009D78B4">
      <w:pPr>
        <w:widowControl w:val="0"/>
        <w:tabs>
          <w:tab w:val="left" w:pos="3240"/>
        </w:tabs>
        <w:rPr>
          <w:sz w:val="24"/>
          <w:szCs w:val="24"/>
          <w:lang w:val="en-GB"/>
        </w:rPr>
      </w:pPr>
      <w:r>
        <w:rPr>
          <w:sz w:val="24"/>
          <w:szCs w:val="24"/>
          <w:lang w:val="en-GB"/>
        </w:rPr>
        <w:t xml:space="preserve">The table below shows the median dose of </w:t>
      </w:r>
      <w:r>
        <w:rPr>
          <w:caps/>
          <w:sz w:val="24"/>
          <w:szCs w:val="24"/>
        </w:rPr>
        <w:t>Botox</w:t>
      </w:r>
      <w:r>
        <w:rPr>
          <w:caps/>
          <w:sz w:val="24"/>
          <w:szCs w:val="24"/>
          <w:vertAlign w:val="superscript"/>
        </w:rPr>
        <w:sym w:font="Symbol" w:char="F0D2"/>
      </w:r>
      <w:r>
        <w:rPr>
          <w:szCs w:val="24"/>
          <w:lang w:val="en-GB"/>
        </w:rPr>
        <w:t xml:space="preserve"> </w:t>
      </w:r>
      <w:r>
        <w:rPr>
          <w:sz w:val="24"/>
          <w:szCs w:val="24"/>
          <w:lang w:val="en-GB"/>
        </w:rPr>
        <w:t>injected per muscle in a clinical study in which dose was determined by the practitioner based on the presentation of the individual cervical dystonia patient.</w:t>
      </w:r>
    </w:p>
    <w:tbl>
      <w:tblPr>
        <w:tblW w:w="708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551"/>
        <w:gridCol w:w="2268"/>
        <w:gridCol w:w="2268"/>
      </w:tblGrid>
      <w:tr w:rsidR="00051188">
        <w:trPr>
          <w:cantSplit/>
          <w:trHeight w:val="538"/>
          <w:tblHeader/>
        </w:trPr>
        <w:tc>
          <w:tcPr>
            <w:tcW w:w="2551" w:type="dxa"/>
            <w:tcBorders>
              <w:bottom w:val="nil"/>
            </w:tcBorders>
          </w:tcPr>
          <w:p w:rsidR="00051188" w:rsidRDefault="00051188" w:rsidP="009D78B4">
            <w:pPr>
              <w:widowControl w:val="0"/>
              <w:jc w:val="both"/>
              <w:rPr>
                <w:b/>
                <w:sz w:val="22"/>
                <w:szCs w:val="22"/>
                <w:lang w:val="en-GB"/>
              </w:rPr>
            </w:pPr>
            <w:r>
              <w:rPr>
                <w:b/>
                <w:sz w:val="22"/>
                <w:szCs w:val="22"/>
                <w:lang w:val="en-GB"/>
              </w:rPr>
              <w:t>Muscle(s)</w:t>
            </w:r>
          </w:p>
        </w:tc>
        <w:tc>
          <w:tcPr>
            <w:tcW w:w="2268" w:type="dxa"/>
            <w:tcBorders>
              <w:bottom w:val="nil"/>
            </w:tcBorders>
          </w:tcPr>
          <w:p w:rsidR="00051188" w:rsidRDefault="00051188" w:rsidP="009D78B4">
            <w:pPr>
              <w:widowControl w:val="0"/>
              <w:jc w:val="center"/>
              <w:rPr>
                <w:b/>
                <w:sz w:val="22"/>
                <w:szCs w:val="22"/>
                <w:lang w:val="en-GB"/>
              </w:rPr>
            </w:pPr>
            <w:smartTag w:uri="urn:schemas-microsoft-com:office:smarttags" w:element="place">
              <w:smartTag w:uri="urn:schemas-microsoft-com:office:smarttags" w:element="PlaceType">
                <w:r>
                  <w:rPr>
                    <w:b/>
                    <w:sz w:val="22"/>
                    <w:szCs w:val="22"/>
                    <w:lang w:val="en-GB"/>
                  </w:rPr>
                  <w:t>Range</w:t>
                </w:r>
              </w:smartTag>
              <w:r>
                <w:rPr>
                  <w:b/>
                  <w:sz w:val="22"/>
                  <w:szCs w:val="22"/>
                  <w:lang w:val="en-GB"/>
                </w:rPr>
                <w:t xml:space="preserve"> of </w:t>
              </w:r>
              <w:smartTag w:uri="urn:schemas-microsoft-com:office:smarttags" w:element="PlaceName">
                <w:r>
                  <w:rPr>
                    <w:b/>
                    <w:sz w:val="22"/>
                    <w:szCs w:val="22"/>
                    <w:lang w:val="en-GB"/>
                  </w:rPr>
                  <w:t>Medians</w:t>
                </w:r>
              </w:smartTag>
            </w:smartTag>
            <w:r>
              <w:rPr>
                <w:b/>
                <w:sz w:val="22"/>
                <w:szCs w:val="22"/>
                <w:lang w:val="en-GB"/>
              </w:rPr>
              <w:t>*</w:t>
            </w:r>
          </w:p>
          <w:p w:rsidR="00051188" w:rsidRDefault="00051188" w:rsidP="009D78B4">
            <w:pPr>
              <w:widowControl w:val="0"/>
              <w:jc w:val="center"/>
              <w:rPr>
                <w:b/>
                <w:sz w:val="22"/>
                <w:szCs w:val="22"/>
                <w:lang w:val="en-GB"/>
              </w:rPr>
            </w:pPr>
            <w:r>
              <w:rPr>
                <w:b/>
                <w:sz w:val="22"/>
                <w:szCs w:val="22"/>
                <w:lang w:val="en-GB"/>
              </w:rPr>
              <w:t>(U)</w:t>
            </w:r>
          </w:p>
        </w:tc>
        <w:tc>
          <w:tcPr>
            <w:tcW w:w="2268" w:type="dxa"/>
            <w:tcBorders>
              <w:bottom w:val="nil"/>
            </w:tcBorders>
          </w:tcPr>
          <w:p w:rsidR="00051188" w:rsidRDefault="00051188" w:rsidP="009D78B4">
            <w:pPr>
              <w:widowControl w:val="0"/>
              <w:ind w:right="-112"/>
              <w:jc w:val="both"/>
              <w:rPr>
                <w:b/>
                <w:sz w:val="22"/>
                <w:szCs w:val="22"/>
                <w:lang w:val="en-GB"/>
              </w:rPr>
            </w:pPr>
            <w:r>
              <w:rPr>
                <w:b/>
                <w:sz w:val="22"/>
                <w:szCs w:val="22"/>
                <w:lang w:val="en-GB"/>
              </w:rPr>
              <w:t>Minimum-Maximum</w:t>
            </w:r>
          </w:p>
          <w:p w:rsidR="00051188" w:rsidRDefault="00051188" w:rsidP="009D78B4">
            <w:pPr>
              <w:widowControl w:val="0"/>
              <w:jc w:val="center"/>
              <w:rPr>
                <w:b/>
                <w:sz w:val="22"/>
                <w:szCs w:val="22"/>
                <w:lang w:val="en-GB"/>
              </w:rPr>
            </w:pPr>
            <w:r>
              <w:rPr>
                <w:b/>
                <w:sz w:val="22"/>
                <w:szCs w:val="22"/>
                <w:lang w:val="en-GB"/>
              </w:rPr>
              <w:t>Dose, U/muscle**</w:t>
            </w:r>
          </w:p>
        </w:tc>
      </w:tr>
      <w:tr w:rsidR="00051188">
        <w:trPr>
          <w:cantSplit/>
          <w:tblHeader/>
        </w:trPr>
        <w:tc>
          <w:tcPr>
            <w:tcW w:w="2551" w:type="dxa"/>
            <w:tcBorders>
              <w:bottom w:val="nil"/>
            </w:tcBorders>
          </w:tcPr>
          <w:p w:rsidR="00051188" w:rsidRDefault="00051188" w:rsidP="009D78B4">
            <w:pPr>
              <w:pStyle w:val="FootnoteText"/>
              <w:widowControl w:val="0"/>
              <w:jc w:val="both"/>
              <w:rPr>
                <w:sz w:val="22"/>
                <w:szCs w:val="22"/>
                <w:lang w:val="en-GB"/>
              </w:rPr>
            </w:pPr>
            <w:r>
              <w:rPr>
                <w:sz w:val="22"/>
                <w:szCs w:val="22"/>
                <w:lang w:val="en-GB"/>
              </w:rPr>
              <w:t>Sternocleidomastoid</w:t>
            </w:r>
          </w:p>
        </w:tc>
        <w:tc>
          <w:tcPr>
            <w:tcW w:w="2268" w:type="dxa"/>
            <w:tcBorders>
              <w:bottom w:val="nil"/>
            </w:tcBorders>
          </w:tcPr>
          <w:p w:rsidR="00051188" w:rsidRDefault="00051188" w:rsidP="009D78B4">
            <w:pPr>
              <w:widowControl w:val="0"/>
              <w:jc w:val="center"/>
              <w:rPr>
                <w:sz w:val="22"/>
                <w:szCs w:val="22"/>
                <w:lang w:val="en-GB"/>
              </w:rPr>
            </w:pPr>
            <w:r>
              <w:rPr>
                <w:sz w:val="22"/>
                <w:szCs w:val="22"/>
                <w:lang w:val="en-GB"/>
              </w:rPr>
              <w:t>50</w:t>
            </w:r>
          </w:p>
        </w:tc>
        <w:tc>
          <w:tcPr>
            <w:tcW w:w="2268" w:type="dxa"/>
            <w:tcBorders>
              <w:bottom w:val="nil"/>
            </w:tcBorders>
          </w:tcPr>
          <w:p w:rsidR="00051188" w:rsidRDefault="00051188" w:rsidP="009D78B4">
            <w:pPr>
              <w:widowControl w:val="0"/>
              <w:jc w:val="center"/>
              <w:rPr>
                <w:sz w:val="22"/>
                <w:szCs w:val="22"/>
                <w:lang w:val="en-GB"/>
              </w:rPr>
            </w:pPr>
            <w:r>
              <w:rPr>
                <w:sz w:val="22"/>
                <w:szCs w:val="22"/>
                <w:lang w:val="en-GB"/>
              </w:rPr>
              <w:t>15-190</w:t>
            </w:r>
          </w:p>
        </w:tc>
      </w:tr>
      <w:tr w:rsidR="00051188">
        <w:trPr>
          <w:cantSplit/>
          <w:tblHeader/>
        </w:trPr>
        <w:tc>
          <w:tcPr>
            <w:tcW w:w="2551" w:type="dxa"/>
            <w:tcBorders>
              <w:top w:val="nil"/>
              <w:bottom w:val="nil"/>
            </w:tcBorders>
          </w:tcPr>
          <w:p w:rsidR="00051188" w:rsidRDefault="00051188" w:rsidP="009D78B4">
            <w:pPr>
              <w:widowControl w:val="0"/>
              <w:jc w:val="both"/>
              <w:rPr>
                <w:sz w:val="22"/>
                <w:szCs w:val="22"/>
                <w:lang w:val="en-GB"/>
              </w:rPr>
            </w:pPr>
            <w:r>
              <w:rPr>
                <w:sz w:val="22"/>
                <w:szCs w:val="22"/>
                <w:lang w:val="en-GB"/>
              </w:rPr>
              <w:t>Trapezius</w:t>
            </w:r>
          </w:p>
        </w:tc>
        <w:tc>
          <w:tcPr>
            <w:tcW w:w="2268" w:type="dxa"/>
            <w:tcBorders>
              <w:top w:val="nil"/>
              <w:bottom w:val="nil"/>
            </w:tcBorders>
          </w:tcPr>
          <w:p w:rsidR="00051188" w:rsidRDefault="00051188" w:rsidP="009D78B4">
            <w:pPr>
              <w:widowControl w:val="0"/>
              <w:jc w:val="center"/>
              <w:rPr>
                <w:sz w:val="22"/>
                <w:szCs w:val="22"/>
                <w:lang w:val="en-GB"/>
              </w:rPr>
            </w:pPr>
            <w:r>
              <w:rPr>
                <w:sz w:val="22"/>
                <w:szCs w:val="22"/>
                <w:lang w:val="en-GB"/>
              </w:rPr>
              <w:t>50-60</w:t>
            </w:r>
          </w:p>
        </w:tc>
        <w:tc>
          <w:tcPr>
            <w:tcW w:w="2268" w:type="dxa"/>
            <w:tcBorders>
              <w:top w:val="nil"/>
              <w:bottom w:val="nil"/>
            </w:tcBorders>
          </w:tcPr>
          <w:p w:rsidR="00051188" w:rsidRDefault="00051188" w:rsidP="009D78B4">
            <w:pPr>
              <w:widowControl w:val="0"/>
              <w:jc w:val="center"/>
              <w:rPr>
                <w:sz w:val="22"/>
                <w:szCs w:val="22"/>
                <w:lang w:val="en-GB"/>
              </w:rPr>
            </w:pPr>
            <w:r>
              <w:rPr>
                <w:sz w:val="22"/>
                <w:szCs w:val="22"/>
                <w:lang w:val="en-GB"/>
              </w:rPr>
              <w:t>5-200</w:t>
            </w:r>
          </w:p>
        </w:tc>
      </w:tr>
      <w:tr w:rsidR="00051188">
        <w:trPr>
          <w:cantSplit/>
          <w:tblHeader/>
        </w:trPr>
        <w:tc>
          <w:tcPr>
            <w:tcW w:w="2551" w:type="dxa"/>
            <w:tcBorders>
              <w:top w:val="nil"/>
              <w:bottom w:val="nil"/>
            </w:tcBorders>
          </w:tcPr>
          <w:p w:rsidR="00051188" w:rsidRDefault="00051188" w:rsidP="009D78B4">
            <w:pPr>
              <w:widowControl w:val="0"/>
              <w:jc w:val="both"/>
              <w:rPr>
                <w:sz w:val="22"/>
                <w:szCs w:val="22"/>
                <w:lang w:val="en-GB"/>
              </w:rPr>
            </w:pPr>
            <w:r>
              <w:rPr>
                <w:sz w:val="22"/>
                <w:szCs w:val="22"/>
                <w:lang w:val="en-GB"/>
              </w:rPr>
              <w:t>Levator scapulae</w:t>
            </w:r>
          </w:p>
        </w:tc>
        <w:tc>
          <w:tcPr>
            <w:tcW w:w="2268" w:type="dxa"/>
            <w:tcBorders>
              <w:top w:val="nil"/>
              <w:bottom w:val="nil"/>
            </w:tcBorders>
          </w:tcPr>
          <w:p w:rsidR="00051188" w:rsidRDefault="00051188" w:rsidP="009D78B4">
            <w:pPr>
              <w:widowControl w:val="0"/>
              <w:jc w:val="center"/>
              <w:rPr>
                <w:sz w:val="22"/>
                <w:szCs w:val="22"/>
                <w:lang w:val="en-GB"/>
              </w:rPr>
            </w:pPr>
            <w:r>
              <w:rPr>
                <w:sz w:val="22"/>
                <w:szCs w:val="22"/>
                <w:lang w:val="en-GB"/>
              </w:rPr>
              <w:t>50</w:t>
            </w:r>
          </w:p>
        </w:tc>
        <w:tc>
          <w:tcPr>
            <w:tcW w:w="2268" w:type="dxa"/>
            <w:tcBorders>
              <w:top w:val="nil"/>
              <w:bottom w:val="nil"/>
            </w:tcBorders>
          </w:tcPr>
          <w:p w:rsidR="00051188" w:rsidRDefault="00051188" w:rsidP="009D78B4">
            <w:pPr>
              <w:widowControl w:val="0"/>
              <w:jc w:val="center"/>
              <w:rPr>
                <w:sz w:val="22"/>
                <w:szCs w:val="22"/>
                <w:lang w:val="en-GB"/>
              </w:rPr>
            </w:pPr>
            <w:r>
              <w:rPr>
                <w:sz w:val="22"/>
                <w:szCs w:val="22"/>
                <w:lang w:val="en-GB"/>
              </w:rPr>
              <w:t>10-180</w:t>
            </w:r>
          </w:p>
        </w:tc>
      </w:tr>
      <w:tr w:rsidR="00051188">
        <w:trPr>
          <w:cantSplit/>
          <w:tblHeader/>
        </w:trPr>
        <w:tc>
          <w:tcPr>
            <w:tcW w:w="2551" w:type="dxa"/>
            <w:tcBorders>
              <w:top w:val="nil"/>
              <w:bottom w:val="nil"/>
            </w:tcBorders>
          </w:tcPr>
          <w:p w:rsidR="00051188" w:rsidRDefault="00051188" w:rsidP="009D78B4">
            <w:pPr>
              <w:pStyle w:val="FootnoteText"/>
              <w:widowControl w:val="0"/>
              <w:jc w:val="both"/>
              <w:rPr>
                <w:sz w:val="22"/>
                <w:szCs w:val="22"/>
                <w:lang w:val="en-GB"/>
              </w:rPr>
            </w:pPr>
            <w:r>
              <w:rPr>
                <w:sz w:val="22"/>
                <w:szCs w:val="22"/>
                <w:lang w:val="en-GB"/>
              </w:rPr>
              <w:t>Splenius capitis/cervicis</w:t>
            </w:r>
          </w:p>
        </w:tc>
        <w:tc>
          <w:tcPr>
            <w:tcW w:w="2268" w:type="dxa"/>
            <w:tcBorders>
              <w:top w:val="nil"/>
              <w:bottom w:val="nil"/>
            </w:tcBorders>
          </w:tcPr>
          <w:p w:rsidR="00051188" w:rsidRDefault="00051188" w:rsidP="009D78B4">
            <w:pPr>
              <w:widowControl w:val="0"/>
              <w:jc w:val="center"/>
              <w:rPr>
                <w:sz w:val="22"/>
                <w:szCs w:val="22"/>
                <w:lang w:val="en-GB"/>
              </w:rPr>
            </w:pPr>
            <w:r>
              <w:rPr>
                <w:sz w:val="22"/>
                <w:szCs w:val="22"/>
                <w:lang w:val="en-GB"/>
              </w:rPr>
              <w:t>90</w:t>
            </w:r>
          </w:p>
        </w:tc>
        <w:tc>
          <w:tcPr>
            <w:tcW w:w="2268" w:type="dxa"/>
            <w:tcBorders>
              <w:top w:val="nil"/>
              <w:bottom w:val="nil"/>
            </w:tcBorders>
          </w:tcPr>
          <w:p w:rsidR="00051188" w:rsidRDefault="00051188" w:rsidP="009D78B4">
            <w:pPr>
              <w:widowControl w:val="0"/>
              <w:jc w:val="center"/>
              <w:rPr>
                <w:sz w:val="22"/>
                <w:szCs w:val="22"/>
                <w:lang w:val="en-GB"/>
              </w:rPr>
            </w:pPr>
            <w:r>
              <w:rPr>
                <w:sz w:val="22"/>
                <w:szCs w:val="22"/>
                <w:lang w:val="en-GB"/>
              </w:rPr>
              <w:t>10-240</w:t>
            </w:r>
          </w:p>
        </w:tc>
      </w:tr>
      <w:tr w:rsidR="00051188">
        <w:trPr>
          <w:cantSplit/>
          <w:tblHeader/>
        </w:trPr>
        <w:tc>
          <w:tcPr>
            <w:tcW w:w="2551" w:type="dxa"/>
            <w:tcBorders>
              <w:top w:val="nil"/>
            </w:tcBorders>
          </w:tcPr>
          <w:p w:rsidR="00051188" w:rsidRDefault="00051188" w:rsidP="009D78B4">
            <w:pPr>
              <w:widowControl w:val="0"/>
              <w:jc w:val="both"/>
              <w:rPr>
                <w:sz w:val="22"/>
                <w:szCs w:val="22"/>
                <w:lang w:val="en-GB"/>
              </w:rPr>
            </w:pPr>
            <w:r>
              <w:rPr>
                <w:sz w:val="22"/>
                <w:szCs w:val="22"/>
                <w:lang w:val="en-GB"/>
              </w:rPr>
              <w:t>Scalene</w:t>
            </w:r>
          </w:p>
        </w:tc>
        <w:tc>
          <w:tcPr>
            <w:tcW w:w="2268" w:type="dxa"/>
            <w:tcBorders>
              <w:top w:val="nil"/>
            </w:tcBorders>
          </w:tcPr>
          <w:p w:rsidR="00051188" w:rsidRDefault="00051188" w:rsidP="009D78B4">
            <w:pPr>
              <w:widowControl w:val="0"/>
              <w:jc w:val="center"/>
              <w:rPr>
                <w:sz w:val="22"/>
                <w:szCs w:val="22"/>
                <w:lang w:val="en-GB"/>
              </w:rPr>
            </w:pPr>
            <w:r>
              <w:rPr>
                <w:sz w:val="22"/>
                <w:szCs w:val="22"/>
                <w:lang w:val="en-GB"/>
              </w:rPr>
              <w:t>40</w:t>
            </w:r>
          </w:p>
        </w:tc>
        <w:tc>
          <w:tcPr>
            <w:tcW w:w="2268" w:type="dxa"/>
            <w:tcBorders>
              <w:top w:val="nil"/>
            </w:tcBorders>
          </w:tcPr>
          <w:p w:rsidR="00051188" w:rsidRDefault="00051188" w:rsidP="009D78B4">
            <w:pPr>
              <w:widowControl w:val="0"/>
              <w:jc w:val="center"/>
              <w:rPr>
                <w:sz w:val="22"/>
                <w:szCs w:val="22"/>
                <w:lang w:val="en-GB"/>
              </w:rPr>
            </w:pPr>
            <w:r>
              <w:rPr>
                <w:sz w:val="22"/>
                <w:szCs w:val="22"/>
                <w:lang w:val="en-GB"/>
              </w:rPr>
              <w:t>5-90</w:t>
            </w:r>
          </w:p>
        </w:tc>
      </w:tr>
    </w:tbl>
    <w:p w:rsidR="00051188" w:rsidRDefault="00051188" w:rsidP="009D78B4">
      <w:pPr>
        <w:widowControl w:val="0"/>
        <w:tabs>
          <w:tab w:val="left" w:pos="3240"/>
        </w:tabs>
        <w:ind w:hanging="3240"/>
        <w:jc w:val="both"/>
        <w:rPr>
          <w:u w:val="single"/>
          <w:lang w:val="en-GB"/>
        </w:rPr>
      </w:pPr>
    </w:p>
    <w:p w:rsidR="00051188" w:rsidRDefault="00051188" w:rsidP="009D78B4">
      <w:pPr>
        <w:widowControl w:val="0"/>
        <w:tabs>
          <w:tab w:val="left" w:pos="3240"/>
        </w:tabs>
        <w:rPr>
          <w:sz w:val="22"/>
          <w:szCs w:val="22"/>
          <w:lang w:val="en-GB"/>
        </w:rPr>
      </w:pPr>
      <w:r>
        <w:rPr>
          <w:sz w:val="22"/>
          <w:szCs w:val="22"/>
          <w:lang w:val="en-GB"/>
        </w:rPr>
        <w:t>*</w:t>
      </w:r>
      <w:r>
        <w:rPr>
          <w:b/>
          <w:sz w:val="22"/>
          <w:szCs w:val="22"/>
          <w:lang w:val="en-GB"/>
        </w:rPr>
        <w:t xml:space="preserve"> </w:t>
      </w:r>
      <w:r>
        <w:rPr>
          <w:sz w:val="22"/>
          <w:szCs w:val="22"/>
          <w:lang w:val="en-GB"/>
        </w:rPr>
        <w:t xml:space="preserve">Two medians were given:  for those patients who received one injection cycle (n=121) and for those patients who received two injection cycles (n=90).  When only one number is given, the medians were the same for both groups of patients. </w:t>
      </w:r>
    </w:p>
    <w:p w:rsidR="00051188" w:rsidRDefault="00051188" w:rsidP="009D78B4">
      <w:pPr>
        <w:widowControl w:val="0"/>
        <w:tabs>
          <w:tab w:val="left" w:pos="3240"/>
        </w:tabs>
        <w:rPr>
          <w:sz w:val="22"/>
          <w:szCs w:val="22"/>
          <w:lang w:val="en-GB"/>
        </w:rPr>
      </w:pPr>
    </w:p>
    <w:p w:rsidR="00051188" w:rsidRDefault="00051188" w:rsidP="009D78B4">
      <w:pPr>
        <w:widowControl w:val="0"/>
        <w:tabs>
          <w:tab w:val="left" w:pos="-720"/>
        </w:tabs>
        <w:rPr>
          <w:sz w:val="22"/>
          <w:szCs w:val="22"/>
          <w:lang w:val="en-GB"/>
        </w:rPr>
      </w:pPr>
      <w:r>
        <w:rPr>
          <w:sz w:val="22"/>
          <w:szCs w:val="22"/>
          <w:lang w:val="en-GB"/>
        </w:rPr>
        <w:t xml:space="preserve">** Limiting the dose injected into the sternocleidomastoid muscle to less than 100 U may decrease the occurrence of dysphagia (See </w:t>
      </w:r>
      <w:r>
        <w:rPr>
          <w:b/>
          <w:sz w:val="22"/>
          <w:szCs w:val="22"/>
          <w:lang w:val="en-GB"/>
        </w:rPr>
        <w:t>Precautions</w:t>
      </w:r>
      <w:r>
        <w:rPr>
          <w:sz w:val="22"/>
          <w:szCs w:val="22"/>
          <w:lang w:val="en-GB"/>
        </w:rPr>
        <w:t>).</w:t>
      </w:r>
    </w:p>
    <w:p w:rsidR="00051188" w:rsidRDefault="00051188" w:rsidP="009D78B4">
      <w:pPr>
        <w:widowControl w:val="0"/>
        <w:tabs>
          <w:tab w:val="left" w:pos="-720"/>
        </w:tabs>
        <w:ind w:firstLine="18"/>
        <w:rPr>
          <w:sz w:val="24"/>
          <w:u w:val="single"/>
          <w:lang w:val="en-GB"/>
        </w:rPr>
      </w:pPr>
    </w:p>
    <w:p w:rsidR="00051188" w:rsidRDefault="00051188" w:rsidP="009D78B4">
      <w:pPr>
        <w:pStyle w:val="BodyTextIndent"/>
        <w:keepLines w:val="0"/>
        <w:widowControl w:val="0"/>
        <w:rPr>
          <w:i w:val="0"/>
          <w:color w:val="auto"/>
          <w:lang w:val="en-GB"/>
        </w:rPr>
      </w:pPr>
      <w:r>
        <w:rPr>
          <w:i w:val="0"/>
          <w:color w:val="auto"/>
          <w:lang w:val="en-GB"/>
        </w:rPr>
        <w:t>In initial controlled clinical trials to establish safety and efficacy for cervical dystonia, doses of BOTOX</w:t>
      </w:r>
      <w:r>
        <w:rPr>
          <w:i w:val="0"/>
          <w:color w:val="auto"/>
          <w:vertAlign w:val="superscript"/>
          <w:lang w:val="en-GB"/>
        </w:rPr>
        <w:sym w:font="Symbol" w:char="F0D2"/>
      </w:r>
      <w:r>
        <w:rPr>
          <w:i w:val="0"/>
          <w:color w:val="auto"/>
          <w:lang w:val="en-GB"/>
        </w:rPr>
        <w:t xml:space="preserve"> ranged from 140 to 280 U.  In more recent studies, the doses have ranged from 95 to 360 U (with an approximate mean of 240 U).  As with any drug treatment, initial dosing should begin at the lowest effective dose.</w:t>
      </w:r>
    </w:p>
    <w:p w:rsidR="00051188" w:rsidRDefault="00051188" w:rsidP="009D78B4">
      <w:pPr>
        <w:widowControl w:val="0"/>
        <w:tabs>
          <w:tab w:val="left" w:pos="-720"/>
        </w:tabs>
        <w:ind w:firstLine="18"/>
        <w:rPr>
          <w:sz w:val="24"/>
          <w:lang w:val="en-GB"/>
        </w:rPr>
      </w:pPr>
    </w:p>
    <w:p w:rsidR="00051188" w:rsidRDefault="00051188" w:rsidP="009D78B4">
      <w:pPr>
        <w:pStyle w:val="Heading8"/>
        <w:widowControl w:val="0"/>
        <w:spacing w:before="0" w:after="0"/>
        <w:rPr>
          <w:i w:val="0"/>
        </w:rPr>
      </w:pPr>
      <w:r>
        <w:rPr>
          <w:i w:val="0"/>
        </w:rPr>
        <w:t xml:space="preserve">In general, a total dose of 360 U every two months should not be exceeded for the treatment of cervical dystonia.  The time-to-retreatment will vary between patients, however data from controlled clinical studies indicates that symptoms may start to re-emerge at approximately 8-10 weeks post-injection (see </w:t>
      </w:r>
      <w:r>
        <w:rPr>
          <w:b/>
          <w:i w:val="0"/>
        </w:rPr>
        <w:t>Pharmacology – Clinical Trials</w:t>
      </w:r>
      <w:r>
        <w:rPr>
          <w:i w:val="0"/>
        </w:rPr>
        <w:t>).</w:t>
      </w:r>
    </w:p>
    <w:p w:rsidR="00051188" w:rsidRDefault="00051188" w:rsidP="009D78B4">
      <w:pPr>
        <w:widowControl w:val="0"/>
        <w:rPr>
          <w:lang w:val="en-GB"/>
        </w:rPr>
      </w:pPr>
    </w:p>
    <w:p w:rsidR="00051188" w:rsidRDefault="00051188" w:rsidP="009D78B4">
      <w:pPr>
        <w:pStyle w:val="BodyTextIndent"/>
        <w:keepLines w:val="0"/>
        <w:widowControl w:val="0"/>
        <w:rPr>
          <w:i w:val="0"/>
          <w:color w:val="auto"/>
          <w:lang w:val="en-GB"/>
        </w:rPr>
      </w:pPr>
      <w:r>
        <w:rPr>
          <w:i w:val="0"/>
          <w:color w:val="auto"/>
          <w:lang w:val="en-GB"/>
        </w:rPr>
        <w:t>Repeat doses should be administered when the clinical effect of a previous injection diminishes, though usually not more frequently than every two months. “Booster” injections are not recommended.</w:t>
      </w:r>
    </w:p>
    <w:p w:rsidR="00051188" w:rsidRDefault="00051188" w:rsidP="009D78B4">
      <w:pPr>
        <w:pStyle w:val="BodyTextIndent"/>
        <w:keepLines w:val="0"/>
        <w:widowControl w:val="0"/>
        <w:rPr>
          <w:i w:val="0"/>
          <w:color w:val="auto"/>
          <w:lang w:val="en-GB"/>
        </w:rPr>
      </w:pPr>
    </w:p>
    <w:p w:rsidR="00051188" w:rsidRDefault="00051188" w:rsidP="009D78B4">
      <w:pPr>
        <w:pStyle w:val="BodyTextIndent"/>
        <w:keepLines w:val="0"/>
        <w:widowControl w:val="0"/>
        <w:rPr>
          <w:b/>
          <w:i w:val="0"/>
          <w:color w:val="auto"/>
          <w:szCs w:val="24"/>
          <w:lang w:val="en-GB"/>
        </w:rPr>
      </w:pPr>
      <w:r>
        <w:rPr>
          <w:b/>
          <w:i w:val="0"/>
          <w:color w:val="auto"/>
          <w:szCs w:val="24"/>
          <w:lang w:val="en-GB"/>
        </w:rPr>
        <w:t>Primary Hyperhidrosis of the Axillae</w:t>
      </w:r>
    </w:p>
    <w:p w:rsidR="00051188" w:rsidRDefault="00051188" w:rsidP="009D78B4">
      <w:pPr>
        <w:pStyle w:val="Footer"/>
        <w:widowControl w:val="0"/>
        <w:tabs>
          <w:tab w:val="clear" w:pos="4819"/>
          <w:tab w:val="clear" w:pos="9071"/>
          <w:tab w:val="left" w:pos="-720"/>
        </w:tabs>
        <w:rPr>
          <w:rFonts w:ascii="Times New Roman" w:hAnsi="Times New Roman"/>
          <w:szCs w:val="24"/>
          <w:lang w:val="en-GB"/>
        </w:rPr>
      </w:pPr>
      <w:r>
        <w:rPr>
          <w:rFonts w:ascii="Times New Roman" w:hAnsi="Times New Roman"/>
          <w:szCs w:val="24"/>
          <w:lang w:val="en-GB"/>
        </w:rPr>
        <w:t>For the treatment of hyperhidrosis, 100 U of BOTOX</w:t>
      </w:r>
      <w:r>
        <w:rPr>
          <w:rFonts w:ascii="Times New Roman" w:hAnsi="Times New Roman"/>
          <w:szCs w:val="24"/>
          <w:vertAlign w:val="superscript"/>
          <w:lang w:val="en-GB"/>
        </w:rPr>
        <w:sym w:font="Symbol" w:char="F0D2"/>
      </w:r>
      <w:r>
        <w:rPr>
          <w:smallCaps/>
          <w:position w:val="4"/>
          <w:szCs w:val="24"/>
          <w:lang w:val="en-GB"/>
        </w:rPr>
        <w:t xml:space="preserve"> </w:t>
      </w:r>
      <w:r>
        <w:rPr>
          <w:rFonts w:ascii="Times New Roman" w:hAnsi="Times New Roman"/>
          <w:szCs w:val="24"/>
          <w:lang w:val="en-GB"/>
        </w:rPr>
        <w:t>should be reconstituted with 4.0 mLs of sterile 0.9% sodium chloride for injection.  For each axilla, 50 U of BOTOX</w:t>
      </w:r>
      <w:r>
        <w:rPr>
          <w:rFonts w:ascii="Times New Roman" w:hAnsi="Times New Roman"/>
          <w:szCs w:val="24"/>
          <w:vertAlign w:val="superscript"/>
          <w:lang w:val="en-GB"/>
        </w:rPr>
        <w:sym w:font="Symbol" w:char="F0D2"/>
      </w:r>
      <w:r>
        <w:rPr>
          <w:smallCaps/>
          <w:position w:val="4"/>
          <w:szCs w:val="24"/>
          <w:lang w:val="en-GB"/>
        </w:rPr>
        <w:t xml:space="preserve"> </w:t>
      </w:r>
      <w:r>
        <w:rPr>
          <w:rFonts w:ascii="Times New Roman" w:hAnsi="Times New Roman"/>
          <w:szCs w:val="24"/>
          <w:lang w:val="en-GB"/>
        </w:rPr>
        <w:t xml:space="preserve">(2.0 mL) should be injected intradermally and evenly distributed in 10-15 sites approximately 1-2 cm apart within the hyperhidrotic area.  For the treatment of hyperhidrosis, a 30 gauge needle should be used.  The hyperhidrotic area may be defined using standard staining techniques (e.g Minor’s iodine starch test).  Each dose is injected to a depth of approx. 2 mm and at a 45 degree angle to the skin surface with the bevel side up to minimise leakage and ensure the </w:t>
      </w:r>
      <w:r>
        <w:rPr>
          <w:rFonts w:ascii="Times New Roman" w:hAnsi="Times New Roman"/>
          <w:szCs w:val="24"/>
          <w:lang w:val="en-GB"/>
        </w:rPr>
        <w:lastRenderedPageBreak/>
        <w:t>injections remain intradermal. Repeat injections for axillary hyperhidrosis should be administered when the effects from the previous injection subside.  However, repeat injections at intervals of less than four months are not recommended.</w:t>
      </w:r>
    </w:p>
    <w:p w:rsidR="00051188" w:rsidRDefault="00051188" w:rsidP="009D78B4">
      <w:pPr>
        <w:pStyle w:val="Footer"/>
        <w:widowControl w:val="0"/>
        <w:tabs>
          <w:tab w:val="clear" w:pos="4819"/>
          <w:tab w:val="clear" w:pos="9071"/>
          <w:tab w:val="left" w:pos="-720"/>
        </w:tabs>
        <w:rPr>
          <w:rFonts w:ascii="Times New Roman" w:hAnsi="Times New Roman"/>
          <w:szCs w:val="24"/>
          <w:lang w:val="en-GB"/>
        </w:rPr>
      </w:pPr>
    </w:p>
    <w:p w:rsidR="00051188" w:rsidRDefault="00051188" w:rsidP="009D78B4">
      <w:pPr>
        <w:widowControl w:val="0"/>
        <w:spacing w:line="240" w:lineRule="atLeast"/>
        <w:ind w:right="117"/>
        <w:rPr>
          <w:b/>
          <w:i/>
          <w:sz w:val="24"/>
        </w:rPr>
      </w:pPr>
      <w:r>
        <w:rPr>
          <w:b/>
          <w:sz w:val="24"/>
        </w:rPr>
        <w:t>Spasmodic Dysphonia</w:t>
      </w:r>
    </w:p>
    <w:p w:rsidR="00051188" w:rsidRDefault="00051188" w:rsidP="009D78B4">
      <w:pPr>
        <w:widowControl w:val="0"/>
        <w:spacing w:line="240" w:lineRule="atLeast"/>
        <w:ind w:right="117"/>
        <w:rPr>
          <w:sz w:val="24"/>
        </w:rPr>
      </w:pPr>
      <w:r>
        <w:rPr>
          <w:sz w:val="24"/>
        </w:rPr>
        <w:t>Patients with spasmodic dysphonia should be treated by physicians skilled in the anatomy and physiology of the larynx, and have facility with nasal endoscopy and also electromyographically guided injections.  The procedure should be carried out in a facility equipped to manage potential acute complications such as reflex stridor. The treatment program should be individualised for each patient at each treatment session.  Peak effect is generally seen within 7 days following an injection.</w:t>
      </w:r>
    </w:p>
    <w:p w:rsidR="00051188" w:rsidRDefault="00051188" w:rsidP="009D78B4">
      <w:pPr>
        <w:widowControl w:val="0"/>
        <w:spacing w:line="240" w:lineRule="atLeast"/>
        <w:ind w:right="117"/>
        <w:rPr>
          <w:sz w:val="24"/>
        </w:rPr>
      </w:pPr>
    </w:p>
    <w:p w:rsidR="00051188" w:rsidRDefault="00051188" w:rsidP="009D78B4">
      <w:pPr>
        <w:widowControl w:val="0"/>
        <w:spacing w:line="240" w:lineRule="atLeast"/>
        <w:ind w:right="117"/>
        <w:rPr>
          <w:sz w:val="24"/>
        </w:rPr>
      </w:pPr>
      <w:r>
        <w:rPr>
          <w:sz w:val="24"/>
        </w:rPr>
        <w:t>BOTOX</w:t>
      </w:r>
      <w:r>
        <w:rPr>
          <w:sz w:val="24"/>
          <w:vertAlign w:val="superscript"/>
        </w:rPr>
        <w:t>®</w:t>
      </w:r>
      <w:r>
        <w:rPr>
          <w:sz w:val="24"/>
        </w:rPr>
        <w:t xml:space="preserve"> (100 U/vial) should be reconstituted with 4.0 to 5.0 mL of 0.9% sterile non-preserved saline, giving a final concentration of 2.0–2.5 units per 0.1 mL.  It is usual to commence with a standard dose of 1.0–2.5 units in 0.1 mL of BOTOX</w:t>
      </w:r>
      <w:r>
        <w:rPr>
          <w:sz w:val="24"/>
          <w:vertAlign w:val="superscript"/>
        </w:rPr>
        <w:t>®</w:t>
      </w:r>
      <w:r>
        <w:rPr>
          <w:sz w:val="24"/>
        </w:rPr>
        <w:t xml:space="preserve"> to each thyroarytenoid muscle in adductor spasmodic dysphonia and subsequently vary the dose by altering the concentration according to patient requirements and response to therapy.  An occasional patient will require 3 units per vocal cord and many patients over the years have reduced their dose, down to even 0.2 units per vocal cord.  Bilateral injections are generally recommended but an occasional patient will benefit from unilateral injections, sometimes alternating between sides with each subsequent treatment.  </w:t>
      </w:r>
    </w:p>
    <w:p w:rsidR="00051188" w:rsidRDefault="00051188" w:rsidP="009D78B4">
      <w:pPr>
        <w:widowControl w:val="0"/>
        <w:spacing w:line="240" w:lineRule="atLeast"/>
        <w:ind w:right="117"/>
        <w:rPr>
          <w:b/>
          <w:sz w:val="24"/>
          <w:u w:val="single"/>
        </w:rPr>
      </w:pPr>
    </w:p>
    <w:p w:rsidR="00051188" w:rsidRDefault="00051188" w:rsidP="009D78B4">
      <w:pPr>
        <w:widowControl w:val="0"/>
        <w:spacing w:line="240" w:lineRule="atLeast"/>
        <w:ind w:right="117"/>
        <w:rPr>
          <w:sz w:val="24"/>
        </w:rPr>
      </w:pPr>
      <w:r>
        <w:rPr>
          <w:sz w:val="24"/>
        </w:rPr>
        <w:t>In abductor spasmodic dysphonia 2-5 units of BOTOX</w:t>
      </w:r>
      <w:r>
        <w:rPr>
          <w:sz w:val="24"/>
          <w:vertAlign w:val="superscript"/>
        </w:rPr>
        <w:t>®</w:t>
      </w:r>
      <w:r>
        <w:rPr>
          <w:sz w:val="24"/>
        </w:rPr>
        <w:t xml:space="preserve"> are usually injected unilaterally into one posterior cricoarytenoid muscle via a lateral retrocricoid, supracricoid or transcricoid approach.</w:t>
      </w:r>
    </w:p>
    <w:p w:rsidR="00051188" w:rsidRDefault="00051188" w:rsidP="009D78B4">
      <w:pPr>
        <w:widowControl w:val="0"/>
        <w:spacing w:line="240" w:lineRule="atLeast"/>
        <w:ind w:right="117"/>
        <w:rPr>
          <w:sz w:val="24"/>
        </w:rPr>
      </w:pPr>
    </w:p>
    <w:p w:rsidR="00051188" w:rsidRDefault="00051188" w:rsidP="009D78B4">
      <w:pPr>
        <w:widowControl w:val="0"/>
        <w:spacing w:line="240" w:lineRule="atLeast"/>
        <w:ind w:right="117"/>
        <w:rPr>
          <w:sz w:val="24"/>
        </w:rPr>
      </w:pPr>
      <w:r>
        <w:rPr>
          <w:sz w:val="24"/>
        </w:rPr>
        <w:t xml:space="preserve">The injection is usually performed in the supine position with a small pillow under the shoulders to improve laryngeal exposure.  For adductor spasmodic dysphonia, the laryngeal surface landmarks are identified, including the thyroid and cricoid cartilage, and in particular the small gap of the cricothyroid membrane.  Identification of the landmarks is a critical part of this procedure and sometimes this can be difficult in individuals with thick necks. </w:t>
      </w:r>
    </w:p>
    <w:p w:rsidR="00051188" w:rsidRDefault="00051188" w:rsidP="009D78B4">
      <w:pPr>
        <w:widowControl w:val="0"/>
        <w:spacing w:line="240" w:lineRule="atLeast"/>
        <w:ind w:right="117"/>
        <w:rPr>
          <w:sz w:val="24"/>
        </w:rPr>
      </w:pPr>
    </w:p>
    <w:p w:rsidR="00051188" w:rsidRDefault="00051188" w:rsidP="009D78B4">
      <w:pPr>
        <w:widowControl w:val="0"/>
        <w:spacing w:line="240" w:lineRule="atLeast"/>
        <w:ind w:right="117"/>
        <w:rPr>
          <w:sz w:val="24"/>
        </w:rPr>
      </w:pPr>
      <w:r>
        <w:rPr>
          <w:sz w:val="24"/>
        </w:rPr>
        <w:t>In adductor spasmodic dysphonia the EMG recording needle is advanced in the midline through the cricothyroid membrane, directing the needle rostrally, and approximately 30</w:t>
      </w:r>
      <w:r>
        <w:rPr>
          <w:sz w:val="24"/>
          <w:szCs w:val="24"/>
          <w:vertAlign w:val="superscript"/>
        </w:rPr>
        <w:t>o</w:t>
      </w:r>
      <w:r>
        <w:rPr>
          <w:sz w:val="24"/>
        </w:rPr>
        <w:t xml:space="preserve"> laterally towards the intented thyroarytenoid muscle.  For a bilateral procedure, the needle is redirected towards the corresponding contralateral muscle.  Once within the muscle, EMG insertional activity is audible and placement can be confirmed by having the patient phonate an ”e”. Having confirmed needle placement, the desired amount of BOTOX</w:t>
      </w:r>
      <w:r>
        <w:rPr>
          <w:sz w:val="24"/>
          <w:vertAlign w:val="superscript"/>
        </w:rPr>
        <w:t>®</w:t>
      </w:r>
      <w:r>
        <w:rPr>
          <w:sz w:val="24"/>
        </w:rPr>
        <w:t xml:space="preserve"> in 0.1 mL is injected. </w:t>
      </w:r>
    </w:p>
    <w:p w:rsidR="00051188" w:rsidRDefault="00051188" w:rsidP="009D78B4">
      <w:pPr>
        <w:widowControl w:val="0"/>
        <w:spacing w:line="240" w:lineRule="atLeast"/>
        <w:ind w:right="117"/>
        <w:rPr>
          <w:sz w:val="24"/>
        </w:rPr>
      </w:pPr>
    </w:p>
    <w:p w:rsidR="00051188" w:rsidRDefault="00051188" w:rsidP="009D78B4">
      <w:pPr>
        <w:widowControl w:val="0"/>
        <w:spacing w:line="240" w:lineRule="atLeast"/>
        <w:ind w:right="117"/>
        <w:rPr>
          <w:sz w:val="24"/>
        </w:rPr>
      </w:pPr>
      <w:r>
        <w:rPr>
          <w:sz w:val="24"/>
        </w:rPr>
        <w:t>In all cases of abductor spasmodic dysphonia, endoscopy should be performed prior to each treatment to assess the dynamic activity of each</w:t>
      </w:r>
      <w:r>
        <w:rPr>
          <w:b/>
          <w:sz w:val="24"/>
          <w:u w:val="single"/>
        </w:rPr>
        <w:t xml:space="preserve"> </w:t>
      </w:r>
      <w:r>
        <w:rPr>
          <w:sz w:val="24"/>
        </w:rPr>
        <w:t>vocal cord and the size of the glottal airway.  Typically, the posterior cricoarytenoid (PCA) muscle on the more active side is chosen for therapy.  A retrocricoid approach should be used whereby the injection needle, containing 2-5 units of BOTOX</w:t>
      </w:r>
      <w:r>
        <w:rPr>
          <w:sz w:val="24"/>
          <w:vertAlign w:val="superscript"/>
        </w:rPr>
        <w:t>®</w:t>
      </w:r>
      <w:r>
        <w:rPr>
          <w:sz w:val="24"/>
        </w:rPr>
        <w:t xml:space="preserve"> in 0.1 mL, is directed towards the PCA muscle in a curving fashion at the level of the cricoid cartilage to lie behind the larynx.  The larynx may be rotated laterally on the appropriate side to improve access.  To confirm needle placement, the patient sniffs sharply to activate the posterior cricoarytenoid muscle resulting in a characteristic EMG </w:t>
      </w:r>
      <w:r>
        <w:rPr>
          <w:sz w:val="24"/>
        </w:rPr>
        <w:lastRenderedPageBreak/>
        <w:t>interference pattern.  BOTOX</w:t>
      </w:r>
      <w:r>
        <w:rPr>
          <w:sz w:val="24"/>
          <w:vertAlign w:val="superscript"/>
        </w:rPr>
        <w:t>®</w:t>
      </w:r>
      <w:r>
        <w:rPr>
          <w:sz w:val="24"/>
        </w:rPr>
        <w:t xml:space="preserve"> is then injected.  Only unilateral injections are recommended at each treatment session.  The determination of which PCA muscle to treat at any injection session is determined by endoscopic review.  Treatment sessions are performed only when the non-injected cord has sufficient motion to protect from stridor in the event that the injected cord would become immobile.  An occasional patient with abductor spasmodic dysphonia will have increased activity of the cricothyroid muscle, which can also be evaluated by EMG, and may also benefit from supplemental injections into this muscle.</w:t>
      </w:r>
    </w:p>
    <w:p w:rsidR="00051188" w:rsidRDefault="00051188" w:rsidP="009D78B4">
      <w:pPr>
        <w:widowControl w:val="0"/>
        <w:tabs>
          <w:tab w:val="left" w:pos="2565"/>
        </w:tabs>
        <w:spacing w:line="240" w:lineRule="atLeast"/>
        <w:ind w:right="117"/>
      </w:pPr>
    </w:p>
    <w:p w:rsidR="00051188" w:rsidRDefault="00051188" w:rsidP="009D78B4">
      <w:pPr>
        <w:widowControl w:val="0"/>
        <w:tabs>
          <w:tab w:val="left" w:pos="2565"/>
        </w:tabs>
        <w:spacing w:line="240" w:lineRule="atLeast"/>
        <w:ind w:right="117"/>
        <w:rPr>
          <w:sz w:val="24"/>
          <w:lang w:val="en-GB"/>
        </w:rPr>
      </w:pPr>
      <w:r>
        <w:rPr>
          <w:sz w:val="24"/>
        </w:rPr>
        <w:t>To date there has only been one report of a patient developing resistance to the injections, with the development of neutralising antibodies, probably because the doses used are very small compared to other indications.</w:t>
      </w:r>
    </w:p>
    <w:p w:rsidR="00051188" w:rsidRDefault="00051188" w:rsidP="009D78B4">
      <w:pPr>
        <w:pStyle w:val="Footer"/>
        <w:widowControl w:val="0"/>
        <w:tabs>
          <w:tab w:val="clear" w:pos="4819"/>
          <w:tab w:val="clear" w:pos="9071"/>
          <w:tab w:val="left" w:pos="-720"/>
        </w:tabs>
        <w:jc w:val="both"/>
        <w:rPr>
          <w:rFonts w:ascii="Times New Roman" w:hAnsi="Times New Roman"/>
          <w:szCs w:val="24"/>
          <w:lang w:val="en-GB"/>
        </w:rPr>
      </w:pPr>
    </w:p>
    <w:p w:rsidR="00051188" w:rsidRDefault="00051188" w:rsidP="009D78B4">
      <w:pPr>
        <w:pStyle w:val="BodyTextIndent"/>
        <w:keepLines w:val="0"/>
        <w:widowControl w:val="0"/>
        <w:rPr>
          <w:b/>
          <w:i w:val="0"/>
          <w:color w:val="auto"/>
          <w:szCs w:val="24"/>
          <w:lang w:val="en-GB"/>
        </w:rPr>
      </w:pPr>
      <w:r>
        <w:rPr>
          <w:b/>
          <w:i w:val="0"/>
          <w:color w:val="auto"/>
          <w:szCs w:val="24"/>
          <w:lang w:val="en-GB"/>
        </w:rPr>
        <w:t>Upper Facial Lines (Glabellar Lines, Crow’s Feet and Forehead Lines)</w:t>
      </w:r>
    </w:p>
    <w:p w:rsidR="00051188" w:rsidRDefault="00051188" w:rsidP="009D78B4">
      <w:pPr>
        <w:pStyle w:val="BodyTextIndent"/>
        <w:keepLines w:val="0"/>
        <w:widowControl w:val="0"/>
        <w:rPr>
          <w:i w:val="0"/>
          <w:color w:val="auto"/>
          <w:szCs w:val="24"/>
          <w:lang w:val="en-GB"/>
        </w:rPr>
      </w:pPr>
      <w:r>
        <w:rPr>
          <w:i w:val="0"/>
          <w:color w:val="auto"/>
          <w:szCs w:val="24"/>
          <w:lang w:val="en-GB"/>
        </w:rPr>
        <w:t>As optimum dose levels and number of injection sites per muscle may vary among patients, individual dosing regimes should be drawn up.  The recommended injection volume per injection site is 0.1 mL.</w:t>
      </w:r>
    </w:p>
    <w:p w:rsidR="00051188" w:rsidRDefault="00051188" w:rsidP="009D78B4">
      <w:pPr>
        <w:pStyle w:val="BodyTextIndent"/>
        <w:keepLines w:val="0"/>
        <w:widowControl w:val="0"/>
        <w:rPr>
          <w:b/>
          <w:i w:val="0"/>
          <w:color w:val="auto"/>
          <w:szCs w:val="24"/>
          <w:lang w:val="en-GB"/>
        </w:rPr>
      </w:pPr>
    </w:p>
    <w:p w:rsidR="00051188" w:rsidRDefault="00051188" w:rsidP="009D78B4">
      <w:pPr>
        <w:pStyle w:val="BodyTextIndent"/>
        <w:keepLines w:val="0"/>
        <w:widowControl w:val="0"/>
        <w:rPr>
          <w:b/>
          <w:i w:val="0"/>
          <w:color w:val="auto"/>
          <w:szCs w:val="24"/>
          <w:lang w:val="en-GB"/>
        </w:rPr>
      </w:pPr>
      <w:r>
        <w:rPr>
          <w:b/>
          <w:i w:val="0"/>
          <w:color w:val="auto"/>
          <w:szCs w:val="24"/>
          <w:lang w:val="en-GB"/>
        </w:rPr>
        <w:t>Glabellar Lines</w:t>
      </w:r>
    </w:p>
    <w:p w:rsidR="00051188" w:rsidRDefault="00051188" w:rsidP="009D78B4">
      <w:pPr>
        <w:pStyle w:val="BodyTextIndent"/>
        <w:keepLines w:val="0"/>
        <w:widowControl w:val="0"/>
        <w:rPr>
          <w:i w:val="0"/>
          <w:color w:val="auto"/>
          <w:szCs w:val="24"/>
          <w:lang w:val="en-GB"/>
        </w:rPr>
      </w:pPr>
      <w:r>
        <w:rPr>
          <w:i w:val="0"/>
          <w:color w:val="auto"/>
          <w:szCs w:val="24"/>
          <w:lang w:val="en-GB"/>
        </w:rPr>
        <w:t>BOTOX</w:t>
      </w:r>
      <w:r>
        <w:rPr>
          <w:i w:val="0"/>
          <w:color w:val="auto"/>
          <w:szCs w:val="24"/>
          <w:vertAlign w:val="superscript"/>
          <w:lang w:val="en-GB"/>
        </w:rPr>
        <w:sym w:font="Symbol" w:char="F0D2"/>
      </w:r>
      <w:r>
        <w:rPr>
          <w:i w:val="0"/>
          <w:color w:val="auto"/>
          <w:szCs w:val="24"/>
          <w:lang w:val="en-GB"/>
        </w:rPr>
        <w:t xml:space="preserve"> should be reconstituted with 0.9% sterile non-preserved saline (100 U/2.5 mL) and injected using a sterile 30 gauge needle.  A volume of 0.1 mL (4 U) is administered in each of 5 injection sites, 2 injections in each corrugator muscle and 1 injection in the procerus muscle for a total dose of 20 U.</w:t>
      </w:r>
    </w:p>
    <w:p w:rsidR="00051188" w:rsidRDefault="00051188" w:rsidP="009D78B4">
      <w:pPr>
        <w:pStyle w:val="BodyTextIndent"/>
        <w:keepLines w:val="0"/>
        <w:widowControl w:val="0"/>
        <w:rPr>
          <w:i w:val="0"/>
          <w:color w:val="auto"/>
          <w:lang w:val="en-GB"/>
        </w:rPr>
      </w:pPr>
    </w:p>
    <w:p w:rsidR="00051188" w:rsidRDefault="00051188" w:rsidP="009D78B4">
      <w:pPr>
        <w:pStyle w:val="BodyTextIndent"/>
        <w:keepLines w:val="0"/>
        <w:widowControl w:val="0"/>
        <w:ind w:firstLine="17"/>
        <w:rPr>
          <w:i w:val="0"/>
          <w:color w:val="auto"/>
          <w:lang w:val="en-GB"/>
        </w:rPr>
      </w:pPr>
      <w:r>
        <w:rPr>
          <w:i w:val="0"/>
          <w:color w:val="auto"/>
          <w:lang w:val="en-GB"/>
        </w:rPr>
        <w:t>In order to reduce the complication of ptosis, injection near the levator palpebrae superioris muscle should be avoided, particularly in patients with larger brow-depressor complexes.  Medial corrugator injections should be placed at least 1 cm above the bony supraorbital ridge.</w:t>
      </w:r>
    </w:p>
    <w:p w:rsidR="00051188" w:rsidRDefault="00051188" w:rsidP="009D78B4">
      <w:pPr>
        <w:pStyle w:val="BodyTextIndent"/>
        <w:keepLines w:val="0"/>
        <w:widowControl w:val="0"/>
        <w:ind w:firstLine="17"/>
        <w:rPr>
          <w:i w:val="0"/>
          <w:color w:val="auto"/>
          <w:lang w:val="en-GB"/>
        </w:rPr>
      </w:pPr>
    </w:p>
    <w:p w:rsidR="00051188" w:rsidRDefault="00051188" w:rsidP="009D78B4">
      <w:pPr>
        <w:pStyle w:val="BodyTextIndent"/>
        <w:keepLines w:val="0"/>
        <w:widowControl w:val="0"/>
        <w:ind w:firstLine="17"/>
        <w:rPr>
          <w:i w:val="0"/>
          <w:color w:val="auto"/>
          <w:lang w:val="en-GB"/>
        </w:rPr>
      </w:pPr>
      <w:r>
        <w:rPr>
          <w:i w:val="0"/>
          <w:color w:val="auto"/>
          <w:lang w:val="en-GB"/>
        </w:rPr>
        <w:t xml:space="preserve">Improvement of severity of glabellar lines generally occurs within one week after treatment.  The effect was demonstrated for up to 4 months. </w:t>
      </w:r>
    </w:p>
    <w:p w:rsidR="00051188" w:rsidRDefault="00051188" w:rsidP="009D78B4">
      <w:pPr>
        <w:pStyle w:val="Footer"/>
        <w:widowControl w:val="0"/>
        <w:tabs>
          <w:tab w:val="clear" w:pos="4819"/>
          <w:tab w:val="clear" w:pos="9071"/>
          <w:tab w:val="left" w:pos="-720"/>
        </w:tabs>
        <w:rPr>
          <w:rFonts w:ascii="Times New Roman" w:hAnsi="Times New Roman"/>
          <w:lang w:val="en-GB"/>
        </w:rPr>
      </w:pPr>
    </w:p>
    <w:p w:rsidR="00051188" w:rsidRDefault="00051188" w:rsidP="009D78B4">
      <w:pPr>
        <w:pStyle w:val="Footer"/>
        <w:widowControl w:val="0"/>
        <w:tabs>
          <w:tab w:val="clear" w:pos="4819"/>
          <w:tab w:val="clear" w:pos="9071"/>
          <w:tab w:val="left" w:pos="-720"/>
        </w:tabs>
        <w:rPr>
          <w:rFonts w:ascii="Times New Roman" w:hAnsi="Times New Roman"/>
          <w:b/>
          <w:lang w:val="en-GB"/>
        </w:rPr>
      </w:pPr>
      <w:r>
        <w:rPr>
          <w:rFonts w:ascii="Times New Roman" w:hAnsi="Times New Roman"/>
          <w:b/>
          <w:lang w:val="en-GB"/>
        </w:rPr>
        <w:t>Crow’s Feet</w:t>
      </w:r>
    </w:p>
    <w:p w:rsidR="00051188" w:rsidRDefault="00051188" w:rsidP="009D78B4">
      <w:pPr>
        <w:pStyle w:val="Footer"/>
        <w:widowControl w:val="0"/>
        <w:tabs>
          <w:tab w:val="clear" w:pos="4819"/>
          <w:tab w:val="clear" w:pos="9071"/>
          <w:tab w:val="left" w:pos="-720"/>
        </w:tabs>
        <w:rPr>
          <w:rFonts w:ascii="Times New Roman" w:hAnsi="Times New Roman"/>
          <w:lang w:val="en-GB"/>
        </w:rPr>
      </w:pPr>
      <w:r>
        <w:rPr>
          <w:rFonts w:ascii="Times New Roman" w:hAnsi="Times New Roman"/>
          <w:lang w:val="en-US"/>
        </w:rPr>
        <w:t>BOTOX</w:t>
      </w:r>
      <w:r>
        <w:rPr>
          <w:rFonts w:ascii="Times New Roman" w:hAnsi="Times New Roman"/>
          <w:vertAlign w:val="superscript"/>
          <w:lang w:val="en-US"/>
        </w:rPr>
        <w:t>®</w:t>
      </w:r>
      <w:r>
        <w:rPr>
          <w:rFonts w:ascii="Times New Roman" w:hAnsi="Times New Roman"/>
          <w:lang w:val="en-GB"/>
        </w:rPr>
        <w:t xml:space="preserve"> should be injected bilaterally at 3 sites in the lateral aspect of the orbicularis oculi (i.e. total of 6 injections), where most lines are seen when a smile is forced.  In general, 2-6 U is recommended per injection site at a 2-3 mm depth, for a total dose of 6-18 U per side.</w:t>
      </w:r>
    </w:p>
    <w:p w:rsidR="00051188" w:rsidRDefault="00051188" w:rsidP="009D78B4">
      <w:pPr>
        <w:pStyle w:val="Footer"/>
        <w:widowControl w:val="0"/>
        <w:tabs>
          <w:tab w:val="clear" w:pos="4819"/>
          <w:tab w:val="clear" w:pos="9071"/>
          <w:tab w:val="left" w:pos="-720"/>
        </w:tabs>
        <w:rPr>
          <w:rFonts w:ascii="Times New Roman" w:hAnsi="Times New Roman"/>
          <w:lang w:val="en-GB"/>
        </w:rPr>
      </w:pPr>
    </w:p>
    <w:p w:rsidR="00051188" w:rsidRDefault="00051188" w:rsidP="009D78B4">
      <w:pPr>
        <w:pStyle w:val="Footer"/>
        <w:widowControl w:val="0"/>
        <w:tabs>
          <w:tab w:val="clear" w:pos="4819"/>
          <w:tab w:val="clear" w:pos="9071"/>
          <w:tab w:val="left" w:pos="-720"/>
        </w:tabs>
        <w:rPr>
          <w:rFonts w:ascii="Times New Roman" w:hAnsi="Times New Roman"/>
          <w:lang w:val="en-GB"/>
        </w:rPr>
      </w:pPr>
      <w:r>
        <w:rPr>
          <w:rFonts w:ascii="Times New Roman" w:hAnsi="Times New Roman"/>
          <w:lang w:val="en-GB"/>
        </w:rPr>
        <w:t>Injections should be at least 1 cm outside the bony orbit, not medial to the vertical line through the lateral canthus and not close to the inferior margin of the zygoma.</w:t>
      </w:r>
    </w:p>
    <w:p w:rsidR="00051188" w:rsidRDefault="00051188" w:rsidP="009D78B4">
      <w:pPr>
        <w:pStyle w:val="Footer"/>
        <w:widowControl w:val="0"/>
        <w:tabs>
          <w:tab w:val="clear" w:pos="4819"/>
          <w:tab w:val="clear" w:pos="9071"/>
          <w:tab w:val="left" w:pos="-720"/>
        </w:tabs>
        <w:rPr>
          <w:rFonts w:ascii="Times New Roman" w:hAnsi="Times New Roman"/>
          <w:lang w:val="en-GB"/>
        </w:rPr>
      </w:pPr>
    </w:p>
    <w:p w:rsidR="00051188" w:rsidRDefault="00051188" w:rsidP="009D78B4">
      <w:pPr>
        <w:pStyle w:val="Footer"/>
        <w:widowControl w:val="0"/>
        <w:tabs>
          <w:tab w:val="clear" w:pos="4819"/>
          <w:tab w:val="clear" w:pos="9071"/>
          <w:tab w:val="left" w:pos="-720"/>
        </w:tabs>
        <w:rPr>
          <w:rFonts w:ascii="Times New Roman" w:hAnsi="Times New Roman"/>
          <w:b/>
          <w:lang w:val="en-GB"/>
        </w:rPr>
      </w:pPr>
      <w:r>
        <w:rPr>
          <w:rFonts w:ascii="Times New Roman" w:hAnsi="Times New Roman"/>
          <w:b/>
          <w:lang w:val="en-GB"/>
        </w:rPr>
        <w:t>Forehead Lines</w:t>
      </w:r>
    </w:p>
    <w:p w:rsidR="00051188" w:rsidRDefault="00051188" w:rsidP="009D78B4">
      <w:pPr>
        <w:pStyle w:val="Footer"/>
        <w:widowControl w:val="0"/>
        <w:tabs>
          <w:tab w:val="clear" w:pos="4819"/>
          <w:tab w:val="clear" w:pos="9071"/>
          <w:tab w:val="left" w:pos="-720"/>
        </w:tabs>
        <w:rPr>
          <w:rFonts w:ascii="Times New Roman" w:hAnsi="Times New Roman"/>
          <w:lang w:val="en-GB"/>
        </w:rPr>
      </w:pPr>
      <w:r>
        <w:rPr>
          <w:rFonts w:ascii="Times New Roman" w:hAnsi="Times New Roman"/>
          <w:lang w:val="en-US"/>
        </w:rPr>
        <w:t>BOTOX</w:t>
      </w:r>
      <w:r>
        <w:rPr>
          <w:rFonts w:ascii="Times New Roman" w:hAnsi="Times New Roman"/>
          <w:vertAlign w:val="superscript"/>
          <w:lang w:val="en-US"/>
        </w:rPr>
        <w:t>®</w:t>
      </w:r>
      <w:r>
        <w:rPr>
          <w:rFonts w:ascii="Times New Roman" w:hAnsi="Times New Roman"/>
          <w:lang w:val="en-GB"/>
        </w:rPr>
        <w:t xml:space="preserve"> should be injected intramuscularly at each of 4 injection sites in the frontalis muscle.  In general, 2-6 U is recommended per injection site every 1-2 cm along either side of a deep forehead crease, for a total dose of 8-24 U.</w:t>
      </w:r>
    </w:p>
    <w:p w:rsidR="00051188" w:rsidRDefault="00051188" w:rsidP="009D78B4">
      <w:pPr>
        <w:pStyle w:val="Footer"/>
        <w:widowControl w:val="0"/>
        <w:tabs>
          <w:tab w:val="clear" w:pos="4819"/>
          <w:tab w:val="clear" w:pos="9071"/>
          <w:tab w:val="left" w:pos="-720"/>
        </w:tabs>
        <w:rPr>
          <w:rFonts w:ascii="Times New Roman" w:hAnsi="Times New Roman"/>
          <w:lang w:val="en-GB"/>
        </w:rPr>
      </w:pPr>
    </w:p>
    <w:p w:rsidR="00051188" w:rsidRDefault="00051188" w:rsidP="009D78B4">
      <w:pPr>
        <w:pStyle w:val="Footer"/>
        <w:widowControl w:val="0"/>
        <w:tabs>
          <w:tab w:val="clear" w:pos="4819"/>
          <w:tab w:val="clear" w:pos="9071"/>
          <w:tab w:val="left" w:pos="-720"/>
        </w:tabs>
        <w:rPr>
          <w:rFonts w:ascii="Times New Roman" w:hAnsi="Times New Roman"/>
          <w:lang w:val="en-GB"/>
        </w:rPr>
      </w:pPr>
      <w:r>
        <w:rPr>
          <w:rFonts w:ascii="Times New Roman" w:hAnsi="Times New Roman"/>
          <w:lang w:val="en-GB"/>
        </w:rPr>
        <w:t>Injections should be at least 2-3 cm above the eyebrow to reduce the risk of brow ptosis.</w:t>
      </w:r>
    </w:p>
    <w:p w:rsidR="00051188" w:rsidRDefault="00051188" w:rsidP="009D78B4">
      <w:pPr>
        <w:pStyle w:val="Footer"/>
        <w:widowControl w:val="0"/>
        <w:tabs>
          <w:tab w:val="clear" w:pos="4819"/>
          <w:tab w:val="clear" w:pos="9071"/>
          <w:tab w:val="left" w:pos="-720"/>
        </w:tabs>
        <w:rPr>
          <w:rFonts w:ascii="Times New Roman" w:hAnsi="Times New Roman"/>
          <w:lang w:val="en-GB"/>
        </w:rPr>
      </w:pPr>
    </w:p>
    <w:p w:rsidR="00051188" w:rsidRDefault="00051188" w:rsidP="009D78B4">
      <w:pPr>
        <w:widowControl w:val="0"/>
        <w:tabs>
          <w:tab w:val="left" w:pos="-720"/>
        </w:tabs>
        <w:rPr>
          <w:b/>
          <w:sz w:val="24"/>
          <w:lang w:val="en-GB"/>
        </w:rPr>
      </w:pPr>
      <w:r>
        <w:rPr>
          <w:b/>
          <w:sz w:val="24"/>
          <w:lang w:val="en-GB"/>
        </w:rPr>
        <w:t>Dilution Technique</w:t>
      </w:r>
    </w:p>
    <w:p w:rsidR="00051188" w:rsidRDefault="00051188" w:rsidP="009D78B4">
      <w:pPr>
        <w:widowControl w:val="0"/>
        <w:tabs>
          <w:tab w:val="left" w:pos="-720"/>
        </w:tabs>
        <w:rPr>
          <w:sz w:val="24"/>
          <w:szCs w:val="24"/>
          <w:lang w:val="en-GB"/>
        </w:rPr>
      </w:pPr>
      <w:r>
        <w:rPr>
          <w:sz w:val="24"/>
          <w:szCs w:val="24"/>
          <w:lang w:val="en-GB"/>
        </w:rPr>
        <w:t>It is good practice to perform vial reconstitution and syringe preparation over plastic-lined paper towels to catch any spillage.  To reconstitute vacuum-dried BOTOX</w:t>
      </w:r>
      <w:r>
        <w:rPr>
          <w:sz w:val="24"/>
          <w:szCs w:val="24"/>
          <w:vertAlign w:val="superscript"/>
          <w:lang w:val="en-GB"/>
        </w:rPr>
        <w:sym w:font="Symbol" w:char="F0D2"/>
      </w:r>
      <w:r>
        <w:rPr>
          <w:smallCaps/>
          <w:position w:val="4"/>
          <w:sz w:val="24"/>
          <w:szCs w:val="24"/>
          <w:lang w:val="en-GB"/>
        </w:rPr>
        <w:t xml:space="preserve"> </w:t>
      </w:r>
      <w:r>
        <w:rPr>
          <w:sz w:val="24"/>
          <w:szCs w:val="24"/>
          <w:lang w:val="en-GB"/>
        </w:rPr>
        <w:t xml:space="preserve">injection, use sterile normal saline without a preservative; 0.9% Sodium Chloride Injection is the </w:t>
      </w:r>
      <w:r>
        <w:rPr>
          <w:sz w:val="24"/>
          <w:szCs w:val="24"/>
          <w:lang w:val="en-GB"/>
        </w:rPr>
        <w:lastRenderedPageBreak/>
        <w:t>recommended diluent.  Draw up the proper amount of diluent in the appropriate size syringe.  Since BOTOX</w:t>
      </w:r>
      <w:r>
        <w:rPr>
          <w:sz w:val="24"/>
          <w:szCs w:val="24"/>
          <w:vertAlign w:val="superscript"/>
          <w:lang w:val="en-GB"/>
        </w:rPr>
        <w:sym w:font="Symbol" w:char="F0D2"/>
      </w:r>
      <w:r>
        <w:rPr>
          <w:sz w:val="24"/>
          <w:szCs w:val="24"/>
          <w:lang w:val="en-GB"/>
        </w:rPr>
        <w:t xml:space="preserve"> is denatured by bubbling or similar violent agitation, inject the diluent into the vial gently.  Discard the vial if a vacuum does not pull the diluent into the vial.  Record the date and time of reconstitution on the space on the label.  BOTOX</w:t>
      </w:r>
      <w:r>
        <w:rPr>
          <w:sz w:val="24"/>
          <w:szCs w:val="24"/>
          <w:vertAlign w:val="superscript"/>
          <w:lang w:val="en-GB"/>
        </w:rPr>
        <w:sym w:font="Symbol" w:char="F0D2"/>
      </w:r>
      <w:r>
        <w:rPr>
          <w:sz w:val="24"/>
          <w:szCs w:val="24"/>
          <w:lang w:val="en-GB"/>
        </w:rPr>
        <w:t xml:space="preserve"> should be administered within </w:t>
      </w:r>
      <w:r>
        <w:rPr>
          <w:color w:val="000000"/>
          <w:sz w:val="24"/>
          <w:szCs w:val="24"/>
          <w:lang w:val="en-GB"/>
        </w:rPr>
        <w:t>24</w:t>
      </w:r>
      <w:r>
        <w:rPr>
          <w:sz w:val="24"/>
          <w:szCs w:val="24"/>
          <w:lang w:val="en-GB"/>
        </w:rPr>
        <w:t xml:space="preserve"> hours after reconstitution in the vial.</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During this time period, reconstituted BOTOX</w:t>
      </w:r>
      <w:r>
        <w:rPr>
          <w:sz w:val="24"/>
          <w:szCs w:val="24"/>
          <w:vertAlign w:val="superscript"/>
          <w:lang w:val="en-GB"/>
        </w:rPr>
        <w:sym w:font="Symbol" w:char="F0D2"/>
      </w:r>
      <w:r>
        <w:rPr>
          <w:sz w:val="24"/>
          <w:szCs w:val="24"/>
          <w:lang w:val="en-GB"/>
        </w:rPr>
        <w:t xml:space="preserve"> should be stored in a refrigerator (2</w:t>
      </w:r>
      <w:r>
        <w:rPr>
          <w:sz w:val="24"/>
          <w:szCs w:val="24"/>
          <w:lang w:val="en-GB"/>
        </w:rPr>
        <w:fldChar w:fldCharType="begin"/>
      </w:r>
      <w:r>
        <w:rPr>
          <w:sz w:val="24"/>
          <w:szCs w:val="24"/>
          <w:lang w:val="en-GB"/>
        </w:rPr>
        <w:instrText>SYMBOL 176  \f "Symbol"</w:instrText>
      </w:r>
      <w:r>
        <w:rPr>
          <w:sz w:val="24"/>
          <w:szCs w:val="24"/>
          <w:lang w:val="en-GB"/>
        </w:rPr>
        <w:fldChar w:fldCharType="end"/>
      </w:r>
      <w:r>
        <w:rPr>
          <w:sz w:val="24"/>
          <w:szCs w:val="24"/>
          <w:lang w:val="en-GB"/>
        </w:rPr>
        <w:t>C to 8</w:t>
      </w:r>
      <w:r>
        <w:rPr>
          <w:sz w:val="24"/>
          <w:szCs w:val="24"/>
          <w:lang w:val="en-GB"/>
        </w:rPr>
        <w:fldChar w:fldCharType="begin"/>
      </w:r>
      <w:r>
        <w:rPr>
          <w:sz w:val="24"/>
          <w:szCs w:val="24"/>
          <w:lang w:val="en-GB"/>
        </w:rPr>
        <w:instrText>SYMBOL 176  \f "Symbol"</w:instrText>
      </w:r>
      <w:r>
        <w:rPr>
          <w:sz w:val="24"/>
          <w:szCs w:val="24"/>
          <w:lang w:val="en-GB"/>
        </w:rPr>
        <w:fldChar w:fldCharType="end"/>
      </w:r>
      <w:r>
        <w:rPr>
          <w:sz w:val="24"/>
          <w:szCs w:val="24"/>
          <w:lang w:val="en-GB"/>
        </w:rPr>
        <w:t>C).  Reconstituted BOTOX</w:t>
      </w:r>
      <w:r>
        <w:rPr>
          <w:sz w:val="24"/>
          <w:szCs w:val="24"/>
          <w:vertAlign w:val="superscript"/>
          <w:lang w:val="en-GB"/>
        </w:rPr>
        <w:sym w:font="Symbol" w:char="F0D2"/>
      </w:r>
      <w:r>
        <w:rPr>
          <w:sz w:val="24"/>
          <w:szCs w:val="24"/>
          <w:lang w:val="en-GB"/>
        </w:rPr>
        <w:t xml:space="preserve"> should be clear, colourless to slightly yellow and free of particulate matter.  Parenteral drug products should be inspected visually for particulate matter and discolouration prior to administration and whenever the solution and the container permit.</w:t>
      </w:r>
    </w:p>
    <w:p w:rsidR="00112664" w:rsidRDefault="00112664" w:rsidP="009D78B4">
      <w:pPr>
        <w:widowControl w:val="0"/>
        <w:rPr>
          <w:sz w:val="24"/>
          <w:u w:val="single"/>
          <w:lang w:val="en-GB"/>
        </w:rPr>
      </w:pPr>
    </w:p>
    <w:p w:rsidR="00BE56BD" w:rsidRDefault="00BE56BD" w:rsidP="00BE56BD">
      <w:pPr>
        <w:rPr>
          <w:sz w:val="24"/>
          <w:u w:val="single"/>
          <w:lang w:val="en-GB"/>
        </w:rPr>
      </w:pPr>
      <w:r>
        <w:rPr>
          <w:sz w:val="24"/>
          <w:u w:val="single"/>
          <w:lang w:val="en-GB"/>
        </w:rPr>
        <w:t>Dilution Table for 50 U, 100 U and 200 U vials:</w:t>
      </w:r>
    </w:p>
    <w:p w:rsidR="00BE56BD" w:rsidRDefault="00BE56BD" w:rsidP="00BE56BD">
      <w:pPr>
        <w:jc w:val="both"/>
        <w:rPr>
          <w:sz w:val="24"/>
          <w:lang w:val="en-GB"/>
        </w:rPr>
      </w:pPr>
    </w:p>
    <w:tbl>
      <w:tblPr>
        <w:tblW w:w="8505" w:type="dxa"/>
        <w:tblInd w:w="250" w:type="dxa"/>
        <w:tblLayout w:type="fixed"/>
        <w:tblLook w:val="0000"/>
      </w:tblPr>
      <w:tblGrid>
        <w:gridCol w:w="2561"/>
        <w:gridCol w:w="1833"/>
        <w:gridCol w:w="2127"/>
        <w:gridCol w:w="1984"/>
      </w:tblGrid>
      <w:tr w:rsidR="00BE56BD" w:rsidTr="00925456">
        <w:trPr>
          <w:trHeight w:val="413"/>
        </w:trPr>
        <w:tc>
          <w:tcPr>
            <w:tcW w:w="2561" w:type="dxa"/>
            <w:tcBorders>
              <w:top w:val="single" w:sz="4" w:space="0" w:color="auto"/>
              <w:left w:val="single" w:sz="4" w:space="0" w:color="auto"/>
              <w:right w:val="single" w:sz="4" w:space="0" w:color="auto"/>
            </w:tcBorders>
          </w:tcPr>
          <w:p w:rsidR="00BE56BD" w:rsidRDefault="00BE56BD" w:rsidP="00BE56BD">
            <w:pPr>
              <w:jc w:val="center"/>
              <w:rPr>
                <w:sz w:val="24"/>
                <w:lang w:val="en-GB"/>
              </w:rPr>
            </w:pPr>
            <w:r>
              <w:rPr>
                <w:sz w:val="24"/>
                <w:lang w:val="en-GB"/>
              </w:rPr>
              <w:t>Diluent Added</w:t>
            </w:r>
          </w:p>
          <w:p w:rsidR="00BE56BD" w:rsidRDefault="00BE56BD" w:rsidP="00BE56BD">
            <w:pPr>
              <w:jc w:val="center"/>
              <w:rPr>
                <w:sz w:val="24"/>
                <w:lang w:val="en-GB"/>
              </w:rPr>
            </w:pPr>
            <w:r>
              <w:rPr>
                <w:sz w:val="24"/>
                <w:lang w:val="en-GB"/>
              </w:rPr>
              <w:t>(0.9% Sodium Chloride Injection)</w:t>
            </w:r>
          </w:p>
        </w:tc>
        <w:tc>
          <w:tcPr>
            <w:tcW w:w="1833"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szCs w:val="24"/>
                <w:lang w:val="en-GB"/>
              </w:rPr>
            </w:pPr>
            <w:r>
              <w:rPr>
                <w:sz w:val="24"/>
                <w:szCs w:val="24"/>
                <w:lang w:val="en-GB"/>
              </w:rPr>
              <w:t xml:space="preserve">50 </w:t>
            </w:r>
            <w:r>
              <w:rPr>
                <w:sz w:val="24"/>
                <w:lang w:val="en-GB"/>
              </w:rPr>
              <w:t>U</w:t>
            </w:r>
            <w:r>
              <w:rPr>
                <w:sz w:val="24"/>
                <w:szCs w:val="24"/>
                <w:lang w:val="en-GB"/>
              </w:rPr>
              <w:t xml:space="preserve"> Vial</w:t>
            </w:r>
          </w:p>
        </w:tc>
        <w:tc>
          <w:tcPr>
            <w:tcW w:w="2127"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szCs w:val="24"/>
                <w:lang w:val="en-GB"/>
              </w:rPr>
              <w:t xml:space="preserve">100 </w:t>
            </w:r>
            <w:r>
              <w:rPr>
                <w:sz w:val="24"/>
                <w:lang w:val="en-GB"/>
              </w:rPr>
              <w:t>U</w:t>
            </w:r>
            <w:r>
              <w:rPr>
                <w:sz w:val="24"/>
                <w:szCs w:val="24"/>
                <w:lang w:val="en-GB"/>
              </w:rPr>
              <w:t xml:space="preserve"> Vial</w:t>
            </w:r>
          </w:p>
        </w:tc>
        <w:tc>
          <w:tcPr>
            <w:tcW w:w="1984"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szCs w:val="24"/>
                <w:lang w:val="en-GB"/>
              </w:rPr>
            </w:pPr>
            <w:r>
              <w:rPr>
                <w:sz w:val="24"/>
                <w:szCs w:val="24"/>
                <w:lang w:val="en-GB"/>
              </w:rPr>
              <w:t>200 U Vial</w:t>
            </w:r>
          </w:p>
        </w:tc>
      </w:tr>
      <w:tr w:rsidR="00BE56BD" w:rsidTr="00925456">
        <w:trPr>
          <w:trHeight w:val="412"/>
        </w:trPr>
        <w:tc>
          <w:tcPr>
            <w:tcW w:w="2561" w:type="dxa"/>
            <w:tcBorders>
              <w:left w:val="single" w:sz="4" w:space="0" w:color="auto"/>
              <w:bottom w:val="single" w:sz="4" w:space="0" w:color="auto"/>
              <w:right w:val="single" w:sz="4" w:space="0" w:color="auto"/>
            </w:tcBorders>
          </w:tcPr>
          <w:p w:rsidR="00BE56BD" w:rsidRDefault="00BE56BD" w:rsidP="00BE56BD">
            <w:pPr>
              <w:jc w:val="center"/>
              <w:rPr>
                <w:sz w:val="24"/>
                <w:lang w:val="en-GB"/>
              </w:rPr>
            </w:pPr>
          </w:p>
        </w:tc>
        <w:tc>
          <w:tcPr>
            <w:tcW w:w="1833"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szCs w:val="24"/>
                <w:lang w:val="en-GB"/>
              </w:rPr>
            </w:pPr>
            <w:r>
              <w:rPr>
                <w:sz w:val="24"/>
                <w:szCs w:val="24"/>
                <w:lang w:val="en-GB"/>
              </w:rPr>
              <w:t>Resulting dose</w:t>
            </w:r>
          </w:p>
          <w:p w:rsidR="00BE56BD" w:rsidRDefault="00BE56BD" w:rsidP="00BE56BD">
            <w:pPr>
              <w:jc w:val="center"/>
              <w:rPr>
                <w:sz w:val="24"/>
                <w:szCs w:val="24"/>
                <w:lang w:val="en-GB"/>
              </w:rPr>
            </w:pPr>
            <w:r>
              <w:rPr>
                <w:sz w:val="24"/>
                <w:szCs w:val="24"/>
                <w:lang w:val="en-GB"/>
              </w:rPr>
              <w:t>(</w:t>
            </w:r>
            <w:r>
              <w:rPr>
                <w:sz w:val="24"/>
                <w:lang w:val="en-GB"/>
              </w:rPr>
              <w:t>U</w:t>
            </w:r>
            <w:r>
              <w:rPr>
                <w:sz w:val="24"/>
                <w:szCs w:val="24"/>
                <w:lang w:val="en-GB"/>
              </w:rPr>
              <w:t>/</w:t>
            </w:r>
            <w:r>
              <w:rPr>
                <w:sz w:val="24"/>
                <w:lang w:val="en-GB"/>
              </w:rPr>
              <w:t>0</w:t>
            </w:r>
            <w:r>
              <w:rPr>
                <w:sz w:val="24"/>
                <w:szCs w:val="24"/>
                <w:lang w:val="en-GB"/>
              </w:rPr>
              <w:t>.1 mL)</w:t>
            </w:r>
          </w:p>
        </w:tc>
        <w:tc>
          <w:tcPr>
            <w:tcW w:w="2127"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szCs w:val="24"/>
                <w:lang w:val="en-GB"/>
              </w:rPr>
            </w:pPr>
            <w:r>
              <w:rPr>
                <w:sz w:val="24"/>
                <w:szCs w:val="24"/>
                <w:lang w:val="en-GB"/>
              </w:rPr>
              <w:t>Resulting dose</w:t>
            </w:r>
          </w:p>
          <w:p w:rsidR="00BE56BD" w:rsidRDefault="00BE56BD" w:rsidP="00BE56BD">
            <w:pPr>
              <w:jc w:val="center"/>
              <w:rPr>
                <w:sz w:val="24"/>
                <w:lang w:val="en-GB"/>
              </w:rPr>
            </w:pPr>
            <w:r>
              <w:rPr>
                <w:sz w:val="24"/>
                <w:szCs w:val="24"/>
                <w:lang w:val="en-GB"/>
              </w:rPr>
              <w:t>(</w:t>
            </w:r>
            <w:r>
              <w:rPr>
                <w:sz w:val="24"/>
                <w:lang w:val="en-GB"/>
              </w:rPr>
              <w:t>U</w:t>
            </w:r>
            <w:r>
              <w:rPr>
                <w:sz w:val="24"/>
                <w:szCs w:val="24"/>
                <w:lang w:val="en-GB"/>
              </w:rPr>
              <w:t>/</w:t>
            </w:r>
            <w:r>
              <w:rPr>
                <w:sz w:val="24"/>
                <w:lang w:val="en-GB"/>
              </w:rPr>
              <w:t>0</w:t>
            </w:r>
            <w:r>
              <w:rPr>
                <w:sz w:val="24"/>
                <w:szCs w:val="24"/>
                <w:lang w:val="en-GB"/>
              </w:rPr>
              <w:t>.1 mL)</w:t>
            </w:r>
          </w:p>
        </w:tc>
        <w:tc>
          <w:tcPr>
            <w:tcW w:w="1984"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szCs w:val="24"/>
                <w:lang w:val="en-GB"/>
              </w:rPr>
            </w:pPr>
            <w:r>
              <w:rPr>
                <w:sz w:val="24"/>
                <w:szCs w:val="24"/>
                <w:lang w:val="en-GB"/>
              </w:rPr>
              <w:t>Resulting dose</w:t>
            </w:r>
          </w:p>
          <w:p w:rsidR="00BE56BD" w:rsidRDefault="00BE56BD" w:rsidP="00BE56BD">
            <w:pPr>
              <w:jc w:val="center"/>
              <w:rPr>
                <w:sz w:val="24"/>
                <w:szCs w:val="24"/>
                <w:lang w:val="en-GB"/>
              </w:rPr>
            </w:pPr>
            <w:r>
              <w:rPr>
                <w:sz w:val="24"/>
                <w:szCs w:val="24"/>
                <w:lang w:val="en-GB"/>
              </w:rPr>
              <w:t>(U/0.1 mL)</w:t>
            </w:r>
          </w:p>
        </w:tc>
      </w:tr>
      <w:tr w:rsidR="00BE56BD" w:rsidTr="00925456">
        <w:tc>
          <w:tcPr>
            <w:tcW w:w="2561"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0.5 mL</w:t>
            </w:r>
          </w:p>
        </w:tc>
        <w:tc>
          <w:tcPr>
            <w:tcW w:w="1833"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10</w:t>
            </w:r>
          </w:p>
        </w:tc>
        <w:tc>
          <w:tcPr>
            <w:tcW w:w="2127"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20</w:t>
            </w:r>
          </w:p>
        </w:tc>
        <w:tc>
          <w:tcPr>
            <w:tcW w:w="1984"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40</w:t>
            </w:r>
          </w:p>
        </w:tc>
      </w:tr>
      <w:tr w:rsidR="00BE56BD" w:rsidTr="00925456">
        <w:tc>
          <w:tcPr>
            <w:tcW w:w="2561"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1 mL</w:t>
            </w:r>
          </w:p>
        </w:tc>
        <w:tc>
          <w:tcPr>
            <w:tcW w:w="1833"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5</w:t>
            </w:r>
          </w:p>
        </w:tc>
        <w:tc>
          <w:tcPr>
            <w:tcW w:w="2127"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10</w:t>
            </w:r>
          </w:p>
        </w:tc>
        <w:tc>
          <w:tcPr>
            <w:tcW w:w="1984"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20</w:t>
            </w:r>
          </w:p>
        </w:tc>
      </w:tr>
      <w:tr w:rsidR="00BE56BD" w:rsidTr="00925456">
        <w:tc>
          <w:tcPr>
            <w:tcW w:w="2561"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2 mL</w:t>
            </w:r>
          </w:p>
        </w:tc>
        <w:tc>
          <w:tcPr>
            <w:tcW w:w="1833"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2.5</w:t>
            </w:r>
          </w:p>
        </w:tc>
        <w:tc>
          <w:tcPr>
            <w:tcW w:w="2127"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5</w:t>
            </w:r>
          </w:p>
        </w:tc>
        <w:tc>
          <w:tcPr>
            <w:tcW w:w="1984"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10</w:t>
            </w:r>
          </w:p>
        </w:tc>
      </w:tr>
      <w:tr w:rsidR="00BE56BD" w:rsidTr="00925456">
        <w:tc>
          <w:tcPr>
            <w:tcW w:w="2561"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4 mL</w:t>
            </w:r>
          </w:p>
        </w:tc>
        <w:tc>
          <w:tcPr>
            <w:tcW w:w="1833"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1.25</w:t>
            </w:r>
          </w:p>
        </w:tc>
        <w:tc>
          <w:tcPr>
            <w:tcW w:w="2127"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2.5</w:t>
            </w:r>
          </w:p>
        </w:tc>
        <w:tc>
          <w:tcPr>
            <w:tcW w:w="1984"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5</w:t>
            </w:r>
          </w:p>
        </w:tc>
      </w:tr>
      <w:tr w:rsidR="00BE56BD" w:rsidTr="00925456">
        <w:tc>
          <w:tcPr>
            <w:tcW w:w="2561"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5 mL</w:t>
            </w:r>
          </w:p>
        </w:tc>
        <w:tc>
          <w:tcPr>
            <w:tcW w:w="1833"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N/A</w:t>
            </w:r>
          </w:p>
        </w:tc>
        <w:tc>
          <w:tcPr>
            <w:tcW w:w="2127"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2</w:t>
            </w:r>
          </w:p>
        </w:tc>
        <w:tc>
          <w:tcPr>
            <w:tcW w:w="1984"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4</w:t>
            </w:r>
          </w:p>
        </w:tc>
      </w:tr>
      <w:tr w:rsidR="00BE56BD" w:rsidTr="00925456">
        <w:tc>
          <w:tcPr>
            <w:tcW w:w="2561"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8 mL</w:t>
            </w:r>
          </w:p>
        </w:tc>
        <w:tc>
          <w:tcPr>
            <w:tcW w:w="1833"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N/A</w:t>
            </w:r>
          </w:p>
        </w:tc>
        <w:tc>
          <w:tcPr>
            <w:tcW w:w="2127"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1.25</w:t>
            </w:r>
          </w:p>
        </w:tc>
        <w:tc>
          <w:tcPr>
            <w:tcW w:w="1984"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2.5</w:t>
            </w:r>
          </w:p>
        </w:tc>
      </w:tr>
      <w:tr w:rsidR="00BE56BD" w:rsidTr="00925456">
        <w:tc>
          <w:tcPr>
            <w:tcW w:w="2561"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10 mL</w:t>
            </w:r>
          </w:p>
        </w:tc>
        <w:tc>
          <w:tcPr>
            <w:tcW w:w="1833"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N/A</w:t>
            </w:r>
          </w:p>
        </w:tc>
        <w:tc>
          <w:tcPr>
            <w:tcW w:w="2127"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1</w:t>
            </w:r>
          </w:p>
        </w:tc>
        <w:tc>
          <w:tcPr>
            <w:tcW w:w="1984" w:type="dxa"/>
            <w:tcBorders>
              <w:top w:val="single" w:sz="4" w:space="0" w:color="auto"/>
              <w:left w:val="single" w:sz="4" w:space="0" w:color="auto"/>
              <w:bottom w:val="single" w:sz="4" w:space="0" w:color="auto"/>
              <w:right w:val="single" w:sz="4" w:space="0" w:color="auto"/>
            </w:tcBorders>
          </w:tcPr>
          <w:p w:rsidR="00BE56BD" w:rsidRDefault="00BE56BD" w:rsidP="00BE56BD">
            <w:pPr>
              <w:jc w:val="center"/>
              <w:rPr>
                <w:sz w:val="24"/>
                <w:lang w:val="en-GB"/>
              </w:rPr>
            </w:pPr>
            <w:r>
              <w:rPr>
                <w:sz w:val="24"/>
                <w:lang w:val="en-GB"/>
              </w:rPr>
              <w:t>2</w:t>
            </w:r>
          </w:p>
        </w:tc>
      </w:tr>
    </w:tbl>
    <w:p w:rsidR="00051188" w:rsidRDefault="00051188" w:rsidP="009D78B4">
      <w:pPr>
        <w:widowControl w:val="0"/>
        <w:jc w:val="both"/>
        <w:rPr>
          <w:sz w:val="24"/>
          <w:lang w:val="en-GB"/>
        </w:rPr>
      </w:pPr>
    </w:p>
    <w:p w:rsidR="00051188" w:rsidRDefault="00051188" w:rsidP="009D78B4">
      <w:pPr>
        <w:widowControl w:val="0"/>
        <w:tabs>
          <w:tab w:val="left" w:pos="-720"/>
        </w:tabs>
        <w:rPr>
          <w:sz w:val="24"/>
          <w:szCs w:val="24"/>
          <w:lang w:val="en-GB"/>
        </w:rPr>
      </w:pPr>
      <w:r>
        <w:rPr>
          <w:i/>
          <w:sz w:val="24"/>
          <w:szCs w:val="24"/>
          <w:lang w:val="en-GB"/>
        </w:rPr>
        <w:t>Note:</w:t>
      </w:r>
      <w:r>
        <w:rPr>
          <w:sz w:val="24"/>
          <w:szCs w:val="24"/>
          <w:lang w:val="en-GB"/>
        </w:rPr>
        <w:t xml:space="preserve">  These dilutions are calculated for an injection volume of 0.1 mL.  A decrease or increase in the BOTOX</w:t>
      </w:r>
      <w:r>
        <w:rPr>
          <w:sz w:val="24"/>
          <w:szCs w:val="24"/>
          <w:vertAlign w:val="superscript"/>
          <w:lang w:val="en-GB"/>
        </w:rPr>
        <w:sym w:font="Symbol" w:char="F0D2"/>
      </w:r>
      <w:r>
        <w:rPr>
          <w:sz w:val="24"/>
          <w:szCs w:val="24"/>
          <w:lang w:val="en-GB"/>
        </w:rPr>
        <w:t xml:space="preserve"> dose is also possible by administering a smaller or larger injection volume from 0.05 mL (50% decrease in dose) to 0.15 mL (50% increase in dose).</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b/>
          <w:i/>
          <w:sz w:val="24"/>
          <w:szCs w:val="24"/>
          <w:lang w:val="en-GB"/>
        </w:rPr>
      </w:pPr>
      <w:r>
        <w:rPr>
          <w:sz w:val="24"/>
          <w:szCs w:val="24"/>
        </w:rPr>
        <w:t>For reconstitution technique for intradetrusor injections for neurogenic detrusor overactivity, please refer to Dosage and Administration section under heading Neurogenic Detrusor Overactivity.</w:t>
      </w:r>
    </w:p>
    <w:p w:rsidR="00051188" w:rsidRDefault="00051188" w:rsidP="009D78B4">
      <w:pPr>
        <w:widowControl w:val="0"/>
        <w:tabs>
          <w:tab w:val="left" w:pos="-720"/>
        </w:tabs>
        <w:rPr>
          <w:b/>
          <w:i/>
          <w:sz w:val="24"/>
          <w:szCs w:val="24"/>
          <w:lang w:val="en-GB"/>
        </w:rPr>
      </w:pPr>
    </w:p>
    <w:p w:rsidR="00051188" w:rsidRDefault="00051188" w:rsidP="009D78B4">
      <w:pPr>
        <w:widowControl w:val="0"/>
        <w:tabs>
          <w:tab w:val="left" w:pos="-720"/>
        </w:tabs>
        <w:rPr>
          <w:b/>
          <w:sz w:val="24"/>
          <w:szCs w:val="24"/>
          <w:lang w:val="en-GB"/>
        </w:rPr>
      </w:pPr>
      <w:r>
        <w:rPr>
          <w:b/>
          <w:sz w:val="24"/>
          <w:szCs w:val="24"/>
          <w:lang w:val="en-GB"/>
        </w:rPr>
        <w:t>Lack of Response</w:t>
      </w:r>
    </w:p>
    <w:p w:rsidR="00051188" w:rsidRDefault="00051188" w:rsidP="009D78B4">
      <w:pPr>
        <w:widowControl w:val="0"/>
        <w:tabs>
          <w:tab w:val="left" w:pos="-720"/>
        </w:tabs>
        <w:rPr>
          <w:sz w:val="24"/>
          <w:szCs w:val="24"/>
          <w:lang w:val="en-GB"/>
        </w:rPr>
      </w:pPr>
      <w:r>
        <w:rPr>
          <w:sz w:val="24"/>
          <w:szCs w:val="24"/>
          <w:lang w:val="en-GB"/>
        </w:rPr>
        <w:t>In the absence of the desired effect after the first treatment session, i.e. no significant clinical improvement from baseline by one month after injection, the following actions should be considered:</w:t>
      </w:r>
    </w:p>
    <w:p w:rsidR="00051188" w:rsidRDefault="00051188" w:rsidP="009D78B4">
      <w:pPr>
        <w:widowControl w:val="0"/>
        <w:numPr>
          <w:ilvl w:val="2"/>
          <w:numId w:val="12"/>
        </w:numPr>
        <w:tabs>
          <w:tab w:val="left" w:pos="-720"/>
        </w:tabs>
        <w:ind w:left="426" w:hanging="426"/>
        <w:rPr>
          <w:sz w:val="24"/>
          <w:szCs w:val="24"/>
          <w:lang w:val="en-GB"/>
        </w:rPr>
      </w:pPr>
      <w:r>
        <w:rPr>
          <w:sz w:val="24"/>
          <w:szCs w:val="24"/>
          <w:lang w:val="en-GB"/>
        </w:rPr>
        <w:t>Analysis of potential causes of lack of effect, e.g. inappropriate selection of muscles to be injected; insufficient dose; poor injection technique; muscles inaccessible to injection; underlying structural abnormalities; such as muscle contractures or bone disorders; relative weakness of antagonist muscles; change in pattern of muscle involvement; patient perception of benefit compared with initial results; inappropriate storage or reconstitution; and/or formation of toxin-neutralising antibodies.</w:t>
      </w:r>
    </w:p>
    <w:p w:rsidR="00051188" w:rsidRDefault="00051188" w:rsidP="009D78B4">
      <w:pPr>
        <w:widowControl w:val="0"/>
        <w:numPr>
          <w:ilvl w:val="2"/>
          <w:numId w:val="12"/>
        </w:numPr>
        <w:tabs>
          <w:tab w:val="left" w:pos="-720"/>
        </w:tabs>
        <w:ind w:left="426" w:hanging="426"/>
        <w:rPr>
          <w:sz w:val="24"/>
          <w:szCs w:val="24"/>
          <w:lang w:val="en-GB"/>
        </w:rPr>
      </w:pPr>
      <w:r>
        <w:rPr>
          <w:sz w:val="24"/>
          <w:szCs w:val="24"/>
          <w:lang w:val="en-GB"/>
        </w:rPr>
        <w:t>Re-evaluation of the appropriateness of treatment with botulinum toxin type A.</w:t>
      </w:r>
    </w:p>
    <w:p w:rsidR="00051188" w:rsidRDefault="00051188" w:rsidP="009D78B4">
      <w:pPr>
        <w:widowControl w:val="0"/>
        <w:tabs>
          <w:tab w:val="left" w:pos="-720"/>
        </w:tabs>
        <w:jc w:val="both"/>
        <w:rPr>
          <w:sz w:val="24"/>
          <w:szCs w:val="24"/>
          <w:lang w:val="en-GB"/>
        </w:rPr>
      </w:pPr>
    </w:p>
    <w:p w:rsidR="00051188" w:rsidRDefault="00051188" w:rsidP="009D78B4">
      <w:pPr>
        <w:pStyle w:val="Default"/>
        <w:widowControl w:val="0"/>
      </w:pPr>
      <w:r>
        <w:t xml:space="preserve">For the second treatment session, in the absence of any undesirable effects after the first </w:t>
      </w:r>
      <w:r>
        <w:lastRenderedPageBreak/>
        <w:t xml:space="preserve">treatment session, the physician should consider the following: </w:t>
      </w:r>
    </w:p>
    <w:p w:rsidR="00051188" w:rsidRDefault="00051188" w:rsidP="009D78B4">
      <w:pPr>
        <w:pStyle w:val="Default"/>
        <w:widowControl w:val="0"/>
        <w:numPr>
          <w:ilvl w:val="2"/>
          <w:numId w:val="12"/>
        </w:numPr>
        <w:ind w:left="426" w:hanging="426"/>
      </w:pPr>
      <w:r>
        <w:t xml:space="preserve">adjust the dose, taking into account the analysis of the earlier treatment failure; </w:t>
      </w:r>
    </w:p>
    <w:p w:rsidR="00051188" w:rsidRDefault="00051188" w:rsidP="009D78B4">
      <w:pPr>
        <w:pStyle w:val="Default"/>
        <w:widowControl w:val="0"/>
        <w:numPr>
          <w:ilvl w:val="2"/>
          <w:numId w:val="12"/>
        </w:numPr>
        <w:ind w:left="426" w:hanging="426"/>
      </w:pPr>
      <w:r>
        <w:t xml:space="preserve">use of EMG guidance as appropriate; and </w:t>
      </w:r>
    </w:p>
    <w:p w:rsidR="00051188" w:rsidRDefault="00051188" w:rsidP="009D78B4">
      <w:pPr>
        <w:pStyle w:val="Default"/>
        <w:widowControl w:val="0"/>
        <w:numPr>
          <w:ilvl w:val="2"/>
          <w:numId w:val="12"/>
        </w:numPr>
        <w:ind w:left="426" w:hanging="426"/>
      </w:pPr>
      <w:r>
        <w:t>maintain a three-month interval between the two treatment sessions.</w:t>
      </w:r>
    </w:p>
    <w:p w:rsidR="00051188" w:rsidRDefault="00051188" w:rsidP="009D78B4">
      <w:pPr>
        <w:pStyle w:val="Default"/>
        <w:widowControl w:val="0"/>
        <w:rPr>
          <w:sz w:val="23"/>
          <w:szCs w:val="23"/>
        </w:rPr>
      </w:pPr>
      <w:r>
        <w:rPr>
          <w:sz w:val="23"/>
          <w:szCs w:val="23"/>
        </w:rPr>
        <w:t xml:space="preserve"> </w:t>
      </w:r>
    </w:p>
    <w:p w:rsidR="00051188" w:rsidRDefault="00051188" w:rsidP="009D78B4">
      <w:pPr>
        <w:widowControl w:val="0"/>
        <w:tabs>
          <w:tab w:val="left" w:pos="-720"/>
        </w:tabs>
        <w:rPr>
          <w:sz w:val="24"/>
          <w:szCs w:val="24"/>
          <w:lang w:val="en-GB"/>
        </w:rPr>
      </w:pPr>
      <w:r>
        <w:rPr>
          <w:sz w:val="24"/>
          <w:szCs w:val="24"/>
        </w:rPr>
        <w:t>In the event of treatment failure or diminished effect following repeat injections, taking into account dosage adjustments and targeting of injections, alternative treatment methods should be considered.</w:t>
      </w:r>
    </w:p>
    <w:p w:rsidR="00051188" w:rsidRDefault="00051188" w:rsidP="009D78B4">
      <w:pPr>
        <w:widowControl w:val="0"/>
        <w:tabs>
          <w:tab w:val="left" w:pos="-720"/>
        </w:tabs>
        <w:jc w:val="both"/>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A neutralising antibody is defined as an antibody that inactivates the biological activity of the toxin.  In general, the proportion of patients who lose their response to botulinum toxin therapy and have demonstrable levels of neutralising antibodies is less than 5%, though in a long-term juvenile cerebral palsy study, of 117 patients treated with BOTOX</w:t>
      </w:r>
      <w:r>
        <w:rPr>
          <w:sz w:val="24"/>
          <w:szCs w:val="24"/>
          <w:vertAlign w:val="superscript"/>
          <w:lang w:val="en-GB"/>
        </w:rPr>
        <w:sym w:font="Symbol" w:char="F0D2"/>
      </w:r>
      <w:r>
        <w:rPr>
          <w:sz w:val="24"/>
          <w:szCs w:val="24"/>
          <w:lang w:val="en-GB"/>
        </w:rPr>
        <w:t>, antibodies were detected in 33/117 (28%) at either 27 or 39 months.  Thirty-one of these 33 had been responders, 19/31 (6%) continued to respond, with 7/31 (2%) becoming non-responders, and no data available for 5/31.</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AU"/>
        </w:rPr>
      </w:pPr>
      <w:r>
        <w:rPr>
          <w:sz w:val="24"/>
          <w:szCs w:val="24"/>
        </w:rPr>
        <w:t xml:space="preserve">In the pivotal studies, none of the </w:t>
      </w:r>
      <w:r w:rsidR="00317D3E">
        <w:rPr>
          <w:sz w:val="24"/>
          <w:szCs w:val="24"/>
        </w:rPr>
        <w:t>615</w:t>
      </w:r>
      <w:r>
        <w:rPr>
          <w:sz w:val="24"/>
          <w:szCs w:val="24"/>
        </w:rPr>
        <w:t xml:space="preserve"> overactive bladder patients with analysed specimens developed the presence of neutralizing antibodies.</w:t>
      </w:r>
    </w:p>
    <w:p w:rsidR="00051188" w:rsidRDefault="00051188" w:rsidP="009D78B4">
      <w:pPr>
        <w:widowControl w:val="0"/>
        <w:tabs>
          <w:tab w:val="left" w:pos="-720"/>
        </w:tabs>
        <w:rPr>
          <w:sz w:val="24"/>
          <w:szCs w:val="24"/>
          <w:lang w:val="en-AU"/>
        </w:rPr>
      </w:pPr>
    </w:p>
    <w:p w:rsidR="00051188" w:rsidRDefault="00051188" w:rsidP="009D78B4">
      <w:pPr>
        <w:widowControl w:val="0"/>
        <w:tabs>
          <w:tab w:val="left" w:pos="-720"/>
        </w:tabs>
        <w:rPr>
          <w:sz w:val="24"/>
          <w:szCs w:val="24"/>
          <w:lang w:val="en-GB"/>
        </w:rPr>
      </w:pPr>
      <w:r>
        <w:rPr>
          <w:iCs/>
          <w:sz w:val="24"/>
          <w:szCs w:val="24"/>
          <w:lang w:val="en-AU"/>
        </w:rPr>
        <w:t>In the pivotal studies, none of the 475 neurogenic detrusor overactivity patients with analysed specimens developed the presence of neutralising antibodies.</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 xml:space="preserve">The critical factors for neutralising antibody production are the frequency and dose of injection.  Tolerance may be observed in some patients treated more frequently than every three months.  The potential for neutralising antibody formation may be minimised by injecting with the lowest effective dose given at the longest feasible intervals between injections (injection intervals should typically be no more frequent than three months).  The dose should not exceed 360 U in any two month period for adult spasticity patients and patients with cervical dystonia. </w:t>
      </w:r>
      <w:r>
        <w:rPr>
          <w:b/>
          <w:i/>
          <w:sz w:val="24"/>
          <w:szCs w:val="24"/>
          <w:lang w:val="en-GB"/>
        </w:rPr>
        <w:t xml:space="preserve"> </w:t>
      </w:r>
      <w:r>
        <w:rPr>
          <w:sz w:val="24"/>
          <w:szCs w:val="24"/>
          <w:lang w:val="en-GB"/>
        </w:rPr>
        <w:t>In treating paediatric patients, the maximum cumulative dose should generally not exceed 8 U/kg, up to a maximum of 300 U, in a 3 month interval.</w:t>
      </w:r>
    </w:p>
    <w:p w:rsidR="00051188" w:rsidRDefault="00051188" w:rsidP="009D78B4">
      <w:pPr>
        <w:widowControl w:val="0"/>
        <w:tabs>
          <w:tab w:val="left" w:pos="-720"/>
        </w:tabs>
        <w:rPr>
          <w:sz w:val="24"/>
          <w:szCs w:val="24"/>
          <w:lang w:val="en-GB"/>
        </w:rPr>
      </w:pPr>
      <w:r>
        <w:rPr>
          <w:sz w:val="24"/>
          <w:szCs w:val="24"/>
          <w:lang w:val="en-GB"/>
        </w:rPr>
        <w:t>More than one ineffective treatment course should occur before classification of a patient as a non-responder, because there are patients who continue to respond to therapy despite the presence of neutralising antibodies.</w:t>
      </w:r>
    </w:p>
    <w:p w:rsidR="00051188" w:rsidRDefault="00051188" w:rsidP="009D78B4">
      <w:pPr>
        <w:widowControl w:val="0"/>
        <w:tabs>
          <w:tab w:val="left" w:pos="-720"/>
        </w:tabs>
        <w:rPr>
          <w:b/>
          <w:sz w:val="24"/>
          <w:szCs w:val="24"/>
          <w:lang w:val="en-GB"/>
        </w:rPr>
      </w:pPr>
    </w:p>
    <w:p w:rsidR="00051188" w:rsidRDefault="00051188" w:rsidP="009D78B4">
      <w:pPr>
        <w:widowControl w:val="0"/>
        <w:tabs>
          <w:tab w:val="left" w:pos="-720"/>
        </w:tabs>
        <w:spacing w:after="240"/>
        <w:rPr>
          <w:b/>
          <w:sz w:val="24"/>
          <w:szCs w:val="24"/>
          <w:lang w:val="en-GB"/>
        </w:rPr>
      </w:pPr>
      <w:r>
        <w:rPr>
          <w:b/>
          <w:sz w:val="24"/>
          <w:szCs w:val="24"/>
          <w:lang w:val="en-GB"/>
        </w:rPr>
        <w:t>OVERDOSAGE</w:t>
      </w:r>
    </w:p>
    <w:p w:rsidR="00051188" w:rsidRDefault="00051188" w:rsidP="009D78B4">
      <w:pPr>
        <w:widowControl w:val="0"/>
        <w:tabs>
          <w:tab w:val="left" w:pos="9918"/>
        </w:tabs>
        <w:ind w:right="-18"/>
        <w:rPr>
          <w:sz w:val="24"/>
          <w:szCs w:val="24"/>
          <w:lang w:val="en-GB"/>
        </w:rPr>
      </w:pPr>
      <w:r>
        <w:rPr>
          <w:sz w:val="24"/>
          <w:szCs w:val="24"/>
          <w:lang w:val="en-GB"/>
        </w:rPr>
        <w:t>Overdose of BOTOX</w:t>
      </w:r>
      <w:r>
        <w:rPr>
          <w:sz w:val="24"/>
          <w:szCs w:val="24"/>
          <w:vertAlign w:val="superscript"/>
          <w:lang w:val="en-GB"/>
        </w:rPr>
        <w:sym w:font="Symbol" w:char="F0D2"/>
      </w:r>
      <w:r>
        <w:rPr>
          <w:sz w:val="24"/>
          <w:szCs w:val="24"/>
          <w:lang w:val="en-GB"/>
        </w:rPr>
        <w:t xml:space="preserve"> is a relative term and depends upon dose, site of injection, and underlying tissue properties.  Signs and symptoms of overdose are likely not to be apparent immediately post-injection.  Excessive doses may produce local, or distant, generalised and profound neuromuscular paralysis.  Local weakness is usually well tolerated and resolves spontaneously without intervention.  However, dysphagia may result in loss of airway protection and aspiration pneumonia.</w:t>
      </w:r>
    </w:p>
    <w:p w:rsidR="00051188" w:rsidRDefault="00051188" w:rsidP="009D78B4">
      <w:pPr>
        <w:widowControl w:val="0"/>
        <w:tabs>
          <w:tab w:val="left" w:pos="9918"/>
        </w:tabs>
        <w:ind w:right="-18"/>
        <w:rPr>
          <w:sz w:val="24"/>
          <w:szCs w:val="24"/>
          <w:lang w:val="en-GB"/>
        </w:rPr>
      </w:pPr>
    </w:p>
    <w:p w:rsidR="00051188" w:rsidRDefault="00051188" w:rsidP="009D78B4">
      <w:pPr>
        <w:widowControl w:val="0"/>
        <w:tabs>
          <w:tab w:val="left" w:pos="9918"/>
        </w:tabs>
        <w:ind w:right="-18"/>
        <w:rPr>
          <w:sz w:val="24"/>
          <w:szCs w:val="24"/>
          <w:highlight w:val="yellow"/>
          <w:lang w:val="en-GB"/>
        </w:rPr>
      </w:pPr>
      <w:r>
        <w:rPr>
          <w:sz w:val="24"/>
          <w:lang w:val="en-GB"/>
        </w:rPr>
        <w:t>The entire contents of a vial is below the estimated dose (from primate studies) for toxicity in humans weighing 6 kg or greater.</w:t>
      </w:r>
    </w:p>
    <w:p w:rsidR="00051188" w:rsidRDefault="00051188" w:rsidP="009D78B4">
      <w:pPr>
        <w:widowControl w:val="0"/>
        <w:tabs>
          <w:tab w:val="left" w:pos="-720"/>
        </w:tabs>
        <w:rPr>
          <w:sz w:val="24"/>
          <w:lang w:val="en-GB"/>
        </w:rPr>
      </w:pPr>
    </w:p>
    <w:p w:rsidR="00051188" w:rsidRDefault="00051188" w:rsidP="009D78B4">
      <w:pPr>
        <w:widowControl w:val="0"/>
        <w:rPr>
          <w:sz w:val="24"/>
          <w:lang w:val="en-GB"/>
        </w:rPr>
      </w:pPr>
      <w:r>
        <w:rPr>
          <w:sz w:val="24"/>
          <w:szCs w:val="24"/>
          <w:lang w:eastAsia="en-US"/>
        </w:rPr>
        <w:t xml:space="preserve">Should symptoms (muscular weakness, ptosis, diplopia, blurred vision, facial weakness, swallowing and speech disorders, constipation, aspiration pneumonia, difficulty breathing or </w:t>
      </w:r>
      <w:r>
        <w:rPr>
          <w:sz w:val="24"/>
          <w:szCs w:val="24"/>
          <w:lang w:eastAsia="en-US"/>
        </w:rPr>
        <w:lastRenderedPageBreak/>
        <w:t xml:space="preserve">respiratory depression) occur post injection or oral ingestion, the person should be </w:t>
      </w:r>
      <w:r>
        <w:rPr>
          <w:sz w:val="24"/>
          <w:szCs w:val="24"/>
          <w:lang w:val="en-GB"/>
        </w:rPr>
        <w:t>medically monitored for up to several weeks.</w:t>
      </w:r>
      <w:r>
        <w:rPr>
          <w:sz w:val="24"/>
          <w:lang w:val="en-GB"/>
        </w:rPr>
        <w:t xml:space="preserve">  These patients should be considered for further medical evaluation and appropriate medical therapy immediately instituted, which may include hospitalisation.  Advise patients or caregivers to seek immediate medical attention if any of these symptoms occur. Specific anti-toxin to botulinum toxin is only likely to be effective if given within thirty minutes of the botulinum toxin injection.</w:t>
      </w:r>
    </w:p>
    <w:p w:rsidR="00051188" w:rsidRDefault="00051188" w:rsidP="009D78B4">
      <w:pPr>
        <w:pStyle w:val="Footer"/>
        <w:widowControl w:val="0"/>
        <w:tabs>
          <w:tab w:val="clear" w:pos="4819"/>
          <w:tab w:val="clear" w:pos="9071"/>
          <w:tab w:val="left" w:pos="-720"/>
        </w:tabs>
        <w:rPr>
          <w:rFonts w:ascii="Times New Roman" w:hAnsi="Times New Roman"/>
          <w:lang w:val="en-GB"/>
        </w:rPr>
      </w:pPr>
    </w:p>
    <w:p w:rsidR="00051188" w:rsidRDefault="00051188" w:rsidP="009D78B4">
      <w:pPr>
        <w:widowControl w:val="0"/>
        <w:tabs>
          <w:tab w:val="left" w:pos="-720"/>
        </w:tabs>
        <w:rPr>
          <w:color w:val="000000"/>
          <w:sz w:val="24"/>
          <w:lang w:val="en-GB"/>
        </w:rPr>
      </w:pPr>
      <w:r>
        <w:rPr>
          <w:color w:val="000000"/>
          <w:sz w:val="24"/>
          <w:lang w:val="en-GB"/>
        </w:rPr>
        <w:t>For information on the management of overdose, contact the Poison Information Centre on 13 11 26 (Australia).</w:t>
      </w:r>
    </w:p>
    <w:p w:rsidR="00051188" w:rsidRDefault="00051188" w:rsidP="009D78B4">
      <w:pPr>
        <w:widowControl w:val="0"/>
        <w:tabs>
          <w:tab w:val="left" w:pos="-720"/>
        </w:tabs>
        <w:rPr>
          <w:color w:val="000000"/>
          <w:sz w:val="24"/>
          <w:lang w:val="en-GB"/>
        </w:rPr>
      </w:pPr>
    </w:p>
    <w:p w:rsidR="00051188" w:rsidRDefault="00051188" w:rsidP="009D78B4">
      <w:pPr>
        <w:widowControl w:val="0"/>
        <w:tabs>
          <w:tab w:val="left" w:pos="-720"/>
        </w:tabs>
        <w:spacing w:after="240"/>
        <w:rPr>
          <w:sz w:val="24"/>
          <w:lang w:val="en-GB"/>
        </w:rPr>
      </w:pPr>
      <w:r>
        <w:rPr>
          <w:b/>
          <w:sz w:val="24"/>
          <w:lang w:val="en-GB"/>
        </w:rPr>
        <w:t>PRESENTATION AND STORAGE CONDITIONS</w:t>
      </w:r>
    </w:p>
    <w:p w:rsidR="00051188" w:rsidRDefault="00051188" w:rsidP="009D78B4">
      <w:pPr>
        <w:widowControl w:val="0"/>
        <w:tabs>
          <w:tab w:val="left" w:pos="-720"/>
        </w:tabs>
        <w:rPr>
          <w:sz w:val="24"/>
          <w:szCs w:val="24"/>
          <w:lang w:val="en-GB"/>
        </w:rPr>
      </w:pPr>
      <w:r>
        <w:rPr>
          <w:sz w:val="24"/>
          <w:szCs w:val="24"/>
          <w:lang w:val="en-GB"/>
        </w:rPr>
        <w:t>BOTOX</w:t>
      </w:r>
      <w:r>
        <w:rPr>
          <w:sz w:val="24"/>
          <w:szCs w:val="24"/>
          <w:vertAlign w:val="superscript"/>
          <w:lang w:val="en-GB"/>
        </w:rPr>
        <w:sym w:font="Symbol" w:char="F0D2"/>
      </w:r>
      <w:r>
        <w:rPr>
          <w:sz w:val="24"/>
          <w:szCs w:val="24"/>
          <w:lang w:val="en-GB"/>
        </w:rPr>
        <w:t xml:space="preserve"> (botulinum toxin type A) purified neurotoxin complex is a sterile, vacuum-dried preparation.  It is supplied in a clear glass vial with a rubber stopper and tamper-proof aluminium seal, containing a white powder for reconstitution.</w:t>
      </w:r>
      <w:r>
        <w:rPr>
          <w:b/>
          <w:sz w:val="24"/>
          <w:szCs w:val="24"/>
          <w:vertAlign w:val="superscript"/>
          <w:lang w:val="en-GB"/>
        </w:rPr>
        <w:t xml:space="preserve">  </w:t>
      </w:r>
      <w:r>
        <w:rPr>
          <w:sz w:val="24"/>
          <w:szCs w:val="24"/>
          <w:lang w:val="en-GB"/>
        </w:rPr>
        <w:t>BOTOX</w:t>
      </w:r>
      <w:r>
        <w:rPr>
          <w:sz w:val="24"/>
          <w:szCs w:val="24"/>
          <w:vertAlign w:val="superscript"/>
          <w:lang w:val="en-GB"/>
        </w:rPr>
        <w:sym w:font="Symbol" w:char="F0D2"/>
      </w:r>
      <w:r>
        <w:rPr>
          <w:sz w:val="24"/>
          <w:szCs w:val="24"/>
          <w:vertAlign w:val="superscript"/>
          <w:lang w:val="en-GB"/>
        </w:rPr>
        <w:t xml:space="preserve"> </w:t>
      </w:r>
      <w:r>
        <w:rPr>
          <w:sz w:val="24"/>
          <w:szCs w:val="24"/>
          <w:lang w:val="en-GB"/>
        </w:rPr>
        <w:t xml:space="preserve">is available in </w:t>
      </w:r>
      <w:r w:rsidR="00BE56BD">
        <w:rPr>
          <w:sz w:val="24"/>
          <w:szCs w:val="24"/>
          <w:lang w:val="en-GB"/>
        </w:rPr>
        <w:t xml:space="preserve">50U, </w:t>
      </w:r>
      <w:r>
        <w:rPr>
          <w:sz w:val="24"/>
          <w:szCs w:val="24"/>
          <w:lang w:val="en-GB"/>
        </w:rPr>
        <w:t xml:space="preserve">100 U and 200 U of vacuum-dried </w:t>
      </w:r>
      <w:r>
        <w:rPr>
          <w:i/>
          <w:sz w:val="24"/>
          <w:szCs w:val="24"/>
          <w:lang w:val="en-GB"/>
        </w:rPr>
        <w:t xml:space="preserve">Clostridium botulinum </w:t>
      </w:r>
      <w:r>
        <w:rPr>
          <w:sz w:val="24"/>
          <w:szCs w:val="24"/>
          <w:lang w:val="en-GB"/>
        </w:rPr>
        <w:t>toxin type A.  Refer to description for list of excipients.</w:t>
      </w:r>
    </w:p>
    <w:p w:rsidR="00051188" w:rsidRDefault="00051188" w:rsidP="009D78B4">
      <w:pPr>
        <w:widowControl w:val="0"/>
        <w:tabs>
          <w:tab w:val="left" w:pos="-720"/>
          <w:tab w:val="num" w:pos="284"/>
        </w:tabs>
        <w:ind w:left="360"/>
        <w:rPr>
          <w:sz w:val="24"/>
          <w:szCs w:val="24"/>
          <w:lang w:val="en-GB"/>
        </w:rPr>
      </w:pPr>
    </w:p>
    <w:p w:rsidR="00051188" w:rsidRDefault="00051188" w:rsidP="009D78B4">
      <w:pPr>
        <w:widowControl w:val="0"/>
        <w:tabs>
          <w:tab w:val="left" w:pos="-720"/>
        </w:tabs>
        <w:rPr>
          <w:sz w:val="24"/>
          <w:szCs w:val="24"/>
          <w:lang w:val="en-GB"/>
        </w:rPr>
      </w:pPr>
      <w:r>
        <w:rPr>
          <w:b/>
          <w:sz w:val="24"/>
          <w:szCs w:val="24"/>
          <w:lang w:val="en-GB"/>
        </w:rPr>
        <w:t>Storage</w:t>
      </w:r>
    </w:p>
    <w:p w:rsidR="00051188" w:rsidRDefault="00051188" w:rsidP="009D78B4">
      <w:pPr>
        <w:widowControl w:val="0"/>
        <w:tabs>
          <w:tab w:val="left" w:pos="-720"/>
        </w:tabs>
        <w:rPr>
          <w:sz w:val="24"/>
          <w:szCs w:val="24"/>
          <w:lang w:val="en-GB"/>
        </w:rPr>
      </w:pPr>
      <w:r>
        <w:rPr>
          <w:sz w:val="24"/>
          <w:szCs w:val="24"/>
          <w:lang w:val="en-GB"/>
        </w:rPr>
        <w:t>Store the vacuum-dried product in the refrigerator between 2</w:t>
      </w:r>
      <w:r>
        <w:rPr>
          <w:sz w:val="24"/>
          <w:szCs w:val="24"/>
          <w:lang w:val="en-GB"/>
        </w:rPr>
        <w:fldChar w:fldCharType="begin"/>
      </w:r>
      <w:r>
        <w:rPr>
          <w:sz w:val="24"/>
          <w:szCs w:val="24"/>
          <w:lang w:val="en-GB"/>
        </w:rPr>
        <w:instrText>SYMBOL 176  \f "Symbol"</w:instrText>
      </w:r>
      <w:r>
        <w:rPr>
          <w:sz w:val="24"/>
          <w:szCs w:val="24"/>
          <w:lang w:val="en-GB"/>
        </w:rPr>
        <w:fldChar w:fldCharType="end"/>
      </w:r>
      <w:r>
        <w:rPr>
          <w:sz w:val="24"/>
          <w:szCs w:val="24"/>
          <w:lang w:val="en-GB"/>
        </w:rPr>
        <w:t>C to 8</w:t>
      </w:r>
      <w:r>
        <w:rPr>
          <w:sz w:val="24"/>
          <w:szCs w:val="24"/>
          <w:lang w:val="en-GB"/>
        </w:rPr>
        <w:fldChar w:fldCharType="begin"/>
      </w:r>
      <w:r>
        <w:rPr>
          <w:sz w:val="24"/>
          <w:szCs w:val="24"/>
          <w:lang w:val="en-GB"/>
        </w:rPr>
        <w:instrText>SYMBOL 176  \f "Symbol"</w:instrText>
      </w:r>
      <w:r>
        <w:rPr>
          <w:sz w:val="24"/>
          <w:szCs w:val="24"/>
          <w:lang w:val="en-GB"/>
        </w:rPr>
        <w:fldChar w:fldCharType="end"/>
      </w:r>
      <w:r>
        <w:rPr>
          <w:sz w:val="24"/>
          <w:szCs w:val="24"/>
          <w:lang w:val="en-GB"/>
        </w:rPr>
        <w:t>C.</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rPr>
          <w:sz w:val="24"/>
          <w:szCs w:val="24"/>
          <w:lang w:val="en-GB"/>
        </w:rPr>
      </w:pPr>
      <w:r>
        <w:rPr>
          <w:sz w:val="24"/>
          <w:szCs w:val="24"/>
          <w:lang w:val="en-GB"/>
        </w:rPr>
        <w:t>Administer BOTOX</w:t>
      </w:r>
      <w:r>
        <w:rPr>
          <w:sz w:val="24"/>
          <w:szCs w:val="24"/>
          <w:vertAlign w:val="superscript"/>
          <w:lang w:val="en-GB"/>
        </w:rPr>
        <w:sym w:font="Symbol" w:char="F0D2"/>
      </w:r>
      <w:r>
        <w:rPr>
          <w:sz w:val="24"/>
          <w:szCs w:val="24"/>
          <w:lang w:val="en-GB"/>
        </w:rPr>
        <w:t xml:space="preserve"> (botulinum toxin type A) purified neurotoxin complex within </w:t>
      </w:r>
      <w:r>
        <w:rPr>
          <w:color w:val="000000"/>
          <w:sz w:val="24"/>
          <w:szCs w:val="24"/>
          <w:lang w:val="en-GB"/>
        </w:rPr>
        <w:t>24</w:t>
      </w:r>
      <w:r>
        <w:rPr>
          <w:color w:val="FF0000"/>
          <w:sz w:val="24"/>
          <w:szCs w:val="24"/>
          <w:lang w:val="en-GB"/>
        </w:rPr>
        <w:t xml:space="preserve"> </w:t>
      </w:r>
      <w:r>
        <w:rPr>
          <w:sz w:val="24"/>
          <w:szCs w:val="24"/>
          <w:lang w:val="en-GB"/>
        </w:rPr>
        <w:t xml:space="preserve">hours after the vial is removed from the refrigerator and reconstituted.  During these </w:t>
      </w:r>
      <w:r>
        <w:rPr>
          <w:color w:val="000000"/>
          <w:sz w:val="24"/>
          <w:szCs w:val="24"/>
          <w:lang w:val="en-GB"/>
        </w:rPr>
        <w:t>twenty four</w:t>
      </w:r>
      <w:r>
        <w:rPr>
          <w:sz w:val="24"/>
          <w:szCs w:val="24"/>
          <w:lang w:val="en-GB"/>
        </w:rPr>
        <w:t xml:space="preserve"> hours, reconstituted BOTOX</w:t>
      </w:r>
      <w:r>
        <w:rPr>
          <w:sz w:val="24"/>
          <w:szCs w:val="24"/>
          <w:vertAlign w:val="superscript"/>
          <w:lang w:val="en-GB"/>
        </w:rPr>
        <w:sym w:font="Symbol" w:char="F0D2"/>
      </w:r>
      <w:r>
        <w:rPr>
          <w:sz w:val="24"/>
          <w:szCs w:val="24"/>
          <w:lang w:val="en-GB"/>
        </w:rPr>
        <w:t xml:space="preserve"> should be stored in a refrigerator (2</w:t>
      </w:r>
      <w:r>
        <w:rPr>
          <w:sz w:val="24"/>
          <w:szCs w:val="24"/>
          <w:lang w:val="en-GB"/>
        </w:rPr>
        <w:fldChar w:fldCharType="begin"/>
      </w:r>
      <w:r>
        <w:rPr>
          <w:sz w:val="24"/>
          <w:szCs w:val="24"/>
          <w:lang w:val="en-GB"/>
        </w:rPr>
        <w:instrText>SYMBOL 176  \f "Symbol"</w:instrText>
      </w:r>
      <w:r>
        <w:rPr>
          <w:sz w:val="24"/>
          <w:szCs w:val="24"/>
          <w:lang w:val="en-GB"/>
        </w:rPr>
        <w:fldChar w:fldCharType="end"/>
      </w:r>
      <w:r>
        <w:rPr>
          <w:sz w:val="24"/>
          <w:szCs w:val="24"/>
          <w:lang w:val="en-GB"/>
        </w:rPr>
        <w:t>C to 8</w:t>
      </w:r>
      <w:r>
        <w:rPr>
          <w:sz w:val="24"/>
          <w:szCs w:val="24"/>
          <w:lang w:val="en-GB"/>
        </w:rPr>
        <w:fldChar w:fldCharType="begin"/>
      </w:r>
      <w:r>
        <w:rPr>
          <w:sz w:val="24"/>
          <w:szCs w:val="24"/>
          <w:lang w:val="en-GB"/>
        </w:rPr>
        <w:instrText>SYMBOL 176  \f "Symbol"</w:instrText>
      </w:r>
      <w:r>
        <w:rPr>
          <w:sz w:val="24"/>
          <w:szCs w:val="24"/>
          <w:lang w:val="en-GB"/>
        </w:rPr>
        <w:fldChar w:fldCharType="end"/>
      </w:r>
      <w:r>
        <w:rPr>
          <w:sz w:val="24"/>
          <w:szCs w:val="24"/>
          <w:lang w:val="en-GB"/>
        </w:rPr>
        <w:t>C).  If reconstituted BOTOX</w:t>
      </w:r>
      <w:r>
        <w:rPr>
          <w:sz w:val="24"/>
          <w:szCs w:val="24"/>
          <w:vertAlign w:val="superscript"/>
          <w:lang w:val="en-GB"/>
        </w:rPr>
        <w:t>®</w:t>
      </w:r>
      <w:r>
        <w:rPr>
          <w:sz w:val="24"/>
          <w:szCs w:val="24"/>
          <w:lang w:val="en-GB"/>
        </w:rPr>
        <w:t xml:space="preserve"> is further diluted in a syringe for intradetrusor injections, it should be used immediately. Reconstituted BOTOX</w:t>
      </w:r>
      <w:r>
        <w:rPr>
          <w:sz w:val="24"/>
          <w:szCs w:val="24"/>
          <w:vertAlign w:val="superscript"/>
          <w:lang w:val="en-GB"/>
        </w:rPr>
        <w:sym w:font="Symbol" w:char="F0D2"/>
      </w:r>
      <w:r>
        <w:rPr>
          <w:sz w:val="24"/>
          <w:szCs w:val="24"/>
          <w:lang w:val="en-GB"/>
        </w:rPr>
        <w:t xml:space="preserve"> should be clear, colourless or slightly yellow and free of particulate matter.</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sz w:val="24"/>
          <w:lang w:val="en-GB"/>
        </w:rPr>
        <w:t>The reconstituted product does not contain a preservative. It should be used for one patient only and any residue discarded.</w:t>
      </w:r>
    </w:p>
    <w:p w:rsidR="00051188" w:rsidRDefault="00051188" w:rsidP="009D78B4">
      <w:pPr>
        <w:widowControl w:val="0"/>
        <w:tabs>
          <w:tab w:val="left" w:pos="-720"/>
        </w:tabs>
        <w:rPr>
          <w:sz w:val="24"/>
          <w:lang w:val="en-GB"/>
        </w:rPr>
      </w:pPr>
    </w:p>
    <w:p w:rsidR="00051188" w:rsidRDefault="00051188" w:rsidP="009D78B4">
      <w:pPr>
        <w:widowControl w:val="0"/>
        <w:tabs>
          <w:tab w:val="left" w:pos="-720"/>
        </w:tabs>
        <w:rPr>
          <w:sz w:val="24"/>
          <w:lang w:val="en-GB"/>
        </w:rPr>
      </w:pPr>
      <w:r>
        <w:rPr>
          <w:b/>
          <w:sz w:val="24"/>
          <w:lang w:val="en-GB"/>
        </w:rPr>
        <w:t>Disposal</w:t>
      </w:r>
    </w:p>
    <w:p w:rsidR="00051188" w:rsidRDefault="00051188" w:rsidP="009D78B4">
      <w:pPr>
        <w:widowControl w:val="0"/>
        <w:tabs>
          <w:tab w:val="left" w:pos="-720"/>
        </w:tabs>
        <w:rPr>
          <w:sz w:val="24"/>
          <w:szCs w:val="24"/>
          <w:lang w:val="en-GB"/>
        </w:rPr>
      </w:pPr>
      <w:r>
        <w:rPr>
          <w:sz w:val="24"/>
          <w:szCs w:val="24"/>
          <w:lang w:val="en-GB"/>
        </w:rPr>
        <w:t>All vials, including expired vials, or equipment used with the drug should be disposed of carefully as is done with all medical waste.  Unused vials should be reconstituted with a small amount of water and then autoclaved.  Any unused vials or equipment (such as syringes) should be autoclaved (120</w:t>
      </w:r>
      <w:r>
        <w:rPr>
          <w:sz w:val="24"/>
          <w:szCs w:val="24"/>
          <w:vertAlign w:val="superscript"/>
          <w:lang w:val="en-GB"/>
        </w:rPr>
        <w:t>o</w:t>
      </w:r>
      <w:r>
        <w:rPr>
          <w:sz w:val="24"/>
          <w:szCs w:val="24"/>
          <w:lang w:val="en-GB"/>
        </w:rPr>
        <w:t>C for 30 minutes), or the residual BOTOX</w:t>
      </w:r>
      <w:r>
        <w:rPr>
          <w:sz w:val="24"/>
          <w:szCs w:val="24"/>
          <w:vertAlign w:val="superscript"/>
          <w:lang w:val="en-GB"/>
        </w:rPr>
        <w:sym w:font="Symbol" w:char="F0D2"/>
      </w:r>
      <w:r>
        <w:rPr>
          <w:sz w:val="24"/>
          <w:szCs w:val="24"/>
          <w:lang w:val="en-GB"/>
        </w:rPr>
        <w:t xml:space="preserve"> inactivated using dilute hypochlorite solution (0.5% or 1%) for five minutes and then disposed of as medical waste.</w:t>
      </w:r>
    </w:p>
    <w:p w:rsidR="00051188" w:rsidRDefault="00051188" w:rsidP="009D78B4">
      <w:pPr>
        <w:widowControl w:val="0"/>
        <w:tabs>
          <w:tab w:val="left" w:pos="-720"/>
        </w:tabs>
        <w:rPr>
          <w:sz w:val="24"/>
          <w:szCs w:val="24"/>
          <w:lang w:val="en-GB"/>
        </w:rPr>
      </w:pPr>
    </w:p>
    <w:p w:rsidR="00051188" w:rsidRDefault="00051188" w:rsidP="009D78B4">
      <w:pPr>
        <w:widowControl w:val="0"/>
        <w:tabs>
          <w:tab w:val="left" w:pos="-720"/>
        </w:tabs>
        <w:jc w:val="both"/>
        <w:rPr>
          <w:b/>
          <w:sz w:val="24"/>
          <w:lang w:val="en-GB"/>
        </w:rPr>
      </w:pPr>
      <w:r>
        <w:rPr>
          <w:b/>
          <w:sz w:val="24"/>
          <w:lang w:val="en-GB"/>
        </w:rPr>
        <w:t xml:space="preserve">NAME AND ADDRESS OF THE SPONSOR </w:t>
      </w:r>
    </w:p>
    <w:p w:rsidR="00051188" w:rsidRDefault="00051188" w:rsidP="009D78B4">
      <w:pPr>
        <w:widowControl w:val="0"/>
        <w:tabs>
          <w:tab w:val="left" w:pos="-720"/>
        </w:tabs>
        <w:jc w:val="both"/>
        <w:rPr>
          <w:sz w:val="24"/>
          <w:lang w:val="en-GB"/>
        </w:rPr>
      </w:pPr>
    </w:p>
    <w:p w:rsidR="00051188" w:rsidRDefault="00051188" w:rsidP="009D78B4">
      <w:pPr>
        <w:widowControl w:val="0"/>
        <w:tabs>
          <w:tab w:val="left" w:pos="-720"/>
        </w:tabs>
        <w:jc w:val="both"/>
        <w:rPr>
          <w:sz w:val="24"/>
          <w:lang w:val="en-GB"/>
        </w:rPr>
      </w:pPr>
      <w:r>
        <w:rPr>
          <w:sz w:val="24"/>
          <w:lang w:val="en-GB"/>
        </w:rPr>
        <w:t>Allergan Australia Pty Ltd</w:t>
      </w:r>
    </w:p>
    <w:p w:rsidR="00051188" w:rsidRDefault="00051188" w:rsidP="009D78B4">
      <w:pPr>
        <w:widowControl w:val="0"/>
        <w:tabs>
          <w:tab w:val="left" w:pos="-720"/>
        </w:tabs>
        <w:jc w:val="both"/>
        <w:rPr>
          <w:sz w:val="24"/>
          <w:lang w:val="en-GB"/>
        </w:rPr>
      </w:pPr>
      <w:smartTag w:uri="urn:schemas-microsoft-com:office:smarttags" w:element="Street">
        <w:smartTag w:uri="urn:schemas-microsoft-com:office:smarttags" w:element="country-region">
          <w:r>
            <w:rPr>
              <w:sz w:val="24"/>
              <w:lang w:val="en-GB"/>
            </w:rPr>
            <w:t>810 Pacific Highway</w:t>
          </w:r>
        </w:smartTag>
      </w:smartTag>
    </w:p>
    <w:p w:rsidR="00051188" w:rsidRDefault="00051188" w:rsidP="009D78B4">
      <w:pPr>
        <w:widowControl w:val="0"/>
        <w:tabs>
          <w:tab w:val="left" w:pos="-720"/>
        </w:tabs>
        <w:jc w:val="both"/>
        <w:rPr>
          <w:sz w:val="24"/>
          <w:lang w:val="en-GB"/>
        </w:rPr>
      </w:pPr>
      <w:r>
        <w:rPr>
          <w:sz w:val="24"/>
          <w:lang w:val="en-GB"/>
        </w:rPr>
        <w:t>Gordon  NSW  2072</w:t>
      </w:r>
    </w:p>
    <w:p w:rsidR="00051188" w:rsidRDefault="00051188" w:rsidP="009D78B4">
      <w:pPr>
        <w:widowControl w:val="0"/>
        <w:tabs>
          <w:tab w:val="left" w:pos="-720"/>
        </w:tabs>
        <w:jc w:val="both"/>
        <w:rPr>
          <w:sz w:val="24"/>
          <w:lang w:val="en-GB"/>
        </w:rPr>
      </w:pPr>
      <w:r>
        <w:rPr>
          <w:sz w:val="24"/>
          <w:lang w:val="en-GB"/>
        </w:rPr>
        <w:t>A.B.N. 85 000 612 831</w:t>
      </w:r>
    </w:p>
    <w:p w:rsidR="00051188" w:rsidRDefault="00051188" w:rsidP="009D78B4">
      <w:pPr>
        <w:widowControl w:val="0"/>
        <w:tabs>
          <w:tab w:val="left" w:pos="-720"/>
        </w:tabs>
        <w:jc w:val="both"/>
        <w:rPr>
          <w:sz w:val="24"/>
          <w:lang w:val="en-GB"/>
        </w:rPr>
      </w:pPr>
    </w:p>
    <w:p w:rsidR="00552F69" w:rsidRDefault="00552F69" w:rsidP="00552F69">
      <w:pPr>
        <w:tabs>
          <w:tab w:val="left" w:pos="-720"/>
        </w:tabs>
        <w:jc w:val="both"/>
        <w:rPr>
          <w:sz w:val="24"/>
          <w:lang w:val="pt-BR"/>
        </w:rPr>
      </w:pPr>
      <w:r>
        <w:rPr>
          <w:sz w:val="24"/>
          <w:szCs w:val="24"/>
          <w:lang w:val="pt-BR"/>
        </w:rPr>
        <w:t>BOTOX</w:t>
      </w:r>
      <w:r>
        <w:rPr>
          <w:sz w:val="24"/>
          <w:szCs w:val="24"/>
          <w:vertAlign w:val="superscript"/>
          <w:lang w:val="en-GB"/>
        </w:rPr>
        <w:sym w:font="Symbol" w:char="F0D2"/>
      </w:r>
      <w:r>
        <w:rPr>
          <w:sz w:val="24"/>
          <w:szCs w:val="24"/>
          <w:vertAlign w:val="superscript"/>
          <w:lang w:val="pt-BR"/>
        </w:rPr>
        <w:t xml:space="preserve"> </w:t>
      </w:r>
      <w:r>
        <w:rPr>
          <w:sz w:val="24"/>
          <w:szCs w:val="24"/>
          <w:lang w:val="pt-BR"/>
        </w:rPr>
        <w:t xml:space="preserve">50 U* - </w:t>
      </w:r>
      <w:r>
        <w:rPr>
          <w:sz w:val="24"/>
          <w:lang w:val="pt-BR"/>
        </w:rPr>
        <w:t>AUST R 195530</w:t>
      </w:r>
    </w:p>
    <w:p w:rsidR="00051188" w:rsidRPr="007108F7" w:rsidRDefault="00051188" w:rsidP="009D78B4">
      <w:pPr>
        <w:widowControl w:val="0"/>
        <w:tabs>
          <w:tab w:val="left" w:pos="-720"/>
        </w:tabs>
        <w:jc w:val="both"/>
        <w:rPr>
          <w:sz w:val="24"/>
          <w:lang w:val="en-GB"/>
        </w:rPr>
      </w:pPr>
      <w:r w:rsidRPr="007108F7">
        <w:rPr>
          <w:sz w:val="24"/>
          <w:szCs w:val="24"/>
          <w:lang w:val="en-GB"/>
        </w:rPr>
        <w:t>BOTOX</w:t>
      </w:r>
      <w:r>
        <w:rPr>
          <w:sz w:val="24"/>
          <w:szCs w:val="24"/>
          <w:vertAlign w:val="superscript"/>
          <w:lang w:val="en-GB"/>
        </w:rPr>
        <w:sym w:font="Symbol" w:char="F0D2"/>
      </w:r>
      <w:r w:rsidRPr="007108F7">
        <w:rPr>
          <w:sz w:val="24"/>
          <w:szCs w:val="24"/>
          <w:vertAlign w:val="superscript"/>
          <w:lang w:val="en-GB"/>
        </w:rPr>
        <w:t xml:space="preserve"> </w:t>
      </w:r>
      <w:r w:rsidRPr="007108F7">
        <w:rPr>
          <w:sz w:val="24"/>
          <w:szCs w:val="24"/>
          <w:lang w:val="en-GB"/>
        </w:rPr>
        <w:t xml:space="preserve">100 U - </w:t>
      </w:r>
      <w:r w:rsidRPr="007108F7">
        <w:rPr>
          <w:sz w:val="24"/>
          <w:lang w:val="en-GB"/>
        </w:rPr>
        <w:t xml:space="preserve">AUST R 67311 </w:t>
      </w:r>
    </w:p>
    <w:p w:rsidR="00051188" w:rsidRDefault="00051188" w:rsidP="009D78B4">
      <w:pPr>
        <w:widowControl w:val="0"/>
        <w:tabs>
          <w:tab w:val="left" w:pos="-720"/>
        </w:tabs>
        <w:jc w:val="both"/>
        <w:rPr>
          <w:sz w:val="24"/>
          <w:lang w:val="en-GB"/>
        </w:rPr>
      </w:pPr>
      <w:r w:rsidRPr="007108F7">
        <w:rPr>
          <w:sz w:val="24"/>
          <w:szCs w:val="24"/>
          <w:lang w:val="en-GB"/>
        </w:rPr>
        <w:lastRenderedPageBreak/>
        <w:t>BOTOX</w:t>
      </w:r>
      <w:r>
        <w:rPr>
          <w:sz w:val="24"/>
          <w:szCs w:val="24"/>
          <w:vertAlign w:val="superscript"/>
          <w:lang w:val="en-GB"/>
        </w:rPr>
        <w:sym w:font="Symbol" w:char="F0D2"/>
      </w:r>
      <w:r w:rsidRPr="007108F7">
        <w:rPr>
          <w:sz w:val="24"/>
          <w:szCs w:val="24"/>
          <w:vertAlign w:val="superscript"/>
          <w:lang w:val="en-GB"/>
        </w:rPr>
        <w:t xml:space="preserve"> </w:t>
      </w:r>
      <w:r w:rsidRPr="007108F7">
        <w:rPr>
          <w:sz w:val="24"/>
          <w:szCs w:val="24"/>
          <w:lang w:val="en-GB"/>
        </w:rPr>
        <w:t xml:space="preserve">200 U - </w:t>
      </w:r>
      <w:r w:rsidRPr="007108F7">
        <w:rPr>
          <w:sz w:val="24"/>
          <w:lang w:val="en-GB"/>
        </w:rPr>
        <w:t>AUST R 172264</w:t>
      </w:r>
    </w:p>
    <w:p w:rsidR="00552F69" w:rsidRDefault="00552F69" w:rsidP="00552F69">
      <w:pPr>
        <w:tabs>
          <w:tab w:val="left" w:pos="-720"/>
        </w:tabs>
        <w:jc w:val="both"/>
        <w:rPr>
          <w:sz w:val="24"/>
          <w:lang w:val="en-GB"/>
        </w:rPr>
      </w:pPr>
      <w:r>
        <w:rPr>
          <w:sz w:val="24"/>
          <w:lang w:val="en-GB"/>
        </w:rPr>
        <w:t>*- not marketed</w:t>
      </w:r>
    </w:p>
    <w:p w:rsidR="00051188" w:rsidRPr="007108F7" w:rsidRDefault="00051188" w:rsidP="009D78B4">
      <w:pPr>
        <w:widowControl w:val="0"/>
        <w:tabs>
          <w:tab w:val="left" w:pos="-720"/>
        </w:tabs>
        <w:jc w:val="both"/>
        <w:rPr>
          <w:b/>
          <w:sz w:val="24"/>
          <w:lang w:val="en-GB"/>
        </w:rPr>
      </w:pPr>
    </w:p>
    <w:p w:rsidR="00051188" w:rsidRDefault="00051188" w:rsidP="009D78B4">
      <w:pPr>
        <w:widowControl w:val="0"/>
        <w:tabs>
          <w:tab w:val="left" w:pos="-720"/>
        </w:tabs>
        <w:jc w:val="both"/>
        <w:rPr>
          <w:b/>
          <w:sz w:val="24"/>
          <w:lang w:val="en-GB"/>
        </w:rPr>
      </w:pPr>
      <w:r>
        <w:rPr>
          <w:b/>
          <w:sz w:val="24"/>
          <w:lang w:val="en-GB"/>
        </w:rPr>
        <w:t>POISON SCHEDULE OF THE MEDICINE</w:t>
      </w:r>
    </w:p>
    <w:p w:rsidR="00051188" w:rsidRDefault="00051188" w:rsidP="009D78B4">
      <w:pPr>
        <w:widowControl w:val="0"/>
        <w:tabs>
          <w:tab w:val="left" w:pos="-720"/>
        </w:tabs>
        <w:jc w:val="both"/>
        <w:rPr>
          <w:sz w:val="24"/>
          <w:lang w:val="en-GB"/>
        </w:rPr>
      </w:pPr>
      <w:r>
        <w:rPr>
          <w:sz w:val="24"/>
          <w:lang w:val="en-GB"/>
        </w:rPr>
        <w:t>S4: Prescription Only Medicine</w:t>
      </w:r>
    </w:p>
    <w:p w:rsidR="00051188" w:rsidRDefault="00051188" w:rsidP="009D78B4">
      <w:pPr>
        <w:widowControl w:val="0"/>
        <w:rPr>
          <w:b/>
          <w:sz w:val="24"/>
          <w:szCs w:val="24"/>
        </w:rPr>
      </w:pPr>
    </w:p>
    <w:p w:rsidR="00051188" w:rsidRDefault="00051188" w:rsidP="009D78B4">
      <w:pPr>
        <w:widowControl w:val="0"/>
        <w:rPr>
          <w:b/>
          <w:sz w:val="24"/>
          <w:lang w:val="en-GB"/>
        </w:rPr>
      </w:pPr>
      <w:r>
        <w:rPr>
          <w:b/>
          <w:sz w:val="24"/>
          <w:lang w:val="en-GB"/>
        </w:rPr>
        <w:t>DATE OF APPROVAL</w:t>
      </w:r>
    </w:p>
    <w:p w:rsidR="00051188" w:rsidRDefault="005749DC" w:rsidP="009D78B4">
      <w:pPr>
        <w:widowControl w:val="0"/>
        <w:rPr>
          <w:sz w:val="24"/>
          <w:lang w:val="en-AU"/>
        </w:rPr>
      </w:pPr>
      <w:r>
        <w:rPr>
          <w:rStyle w:val="emphasis"/>
          <w:sz w:val="24"/>
          <w:szCs w:val="24"/>
          <w:lang/>
        </w:rPr>
        <w:t xml:space="preserve">Date of approval: </w:t>
      </w:r>
      <w:r w:rsidR="0068295E">
        <w:rPr>
          <w:rStyle w:val="emphasis"/>
          <w:sz w:val="24"/>
          <w:szCs w:val="24"/>
          <w:lang/>
        </w:rPr>
        <w:t>06 August 2013</w:t>
      </w:r>
    </w:p>
    <w:p w:rsidR="00051188" w:rsidRPr="001F21BC" w:rsidRDefault="00051188" w:rsidP="009D78B4">
      <w:pPr>
        <w:widowControl w:val="0"/>
        <w:rPr>
          <w:b/>
          <w:sz w:val="24"/>
          <w:lang w:val="en-AU"/>
        </w:rPr>
      </w:pPr>
      <w:r>
        <w:rPr>
          <w:sz w:val="24"/>
          <w:lang w:val="en-AU"/>
        </w:rPr>
        <w:t xml:space="preserve">Date of most recent </w:t>
      </w:r>
      <w:r w:rsidR="005749DC">
        <w:rPr>
          <w:sz w:val="24"/>
          <w:lang w:val="en-AU"/>
        </w:rPr>
        <w:t>amendment</w:t>
      </w:r>
      <w:r>
        <w:rPr>
          <w:sz w:val="24"/>
          <w:lang w:val="en-AU"/>
        </w:rPr>
        <w:t xml:space="preserve">: </w:t>
      </w:r>
      <w:r w:rsidR="009F35D9">
        <w:rPr>
          <w:sz w:val="24"/>
          <w:lang w:val="en-AU"/>
        </w:rPr>
        <w:t>12 December 2011</w:t>
      </w:r>
    </w:p>
    <w:sectPr w:rsidR="00051188" w:rsidRPr="001F21BC">
      <w:headerReference w:type="default"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C3C" w:rsidRDefault="00E51C3C">
      <w:r>
        <w:separator/>
      </w:r>
    </w:p>
  </w:endnote>
  <w:endnote w:type="continuationSeparator" w:id="0">
    <w:p w:rsidR="00E51C3C" w:rsidRDefault="00E51C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Times New Roman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F4" w:rsidRDefault="00F618F4">
    <w:pPr>
      <w:pStyle w:val="Footer"/>
    </w:pPr>
  </w:p>
  <w:p w:rsidR="00F618F4" w:rsidRDefault="00F618F4">
    <w:pPr>
      <w:pStyle w:val="Footer"/>
    </w:pPr>
    <w:r>
      <w:rPr>
        <w:rFonts w:ascii="Arial" w:hAnsi="Arial"/>
        <w:sz w:val="20"/>
      </w:rPr>
      <w:t>BOTOX</w:t>
    </w:r>
    <w:r w:rsidRPr="00552F69">
      <w:rPr>
        <w:rFonts w:ascii="Arial" w:hAnsi="Arial"/>
        <w:sz w:val="21"/>
        <w:vertAlign w:val="superscript"/>
      </w:rPr>
      <w:t>®</w:t>
    </w:r>
    <w:r>
      <w:rPr>
        <w:rFonts w:ascii="Arial" w:hAnsi="Arial"/>
        <w:sz w:val="20"/>
      </w:rPr>
      <w:t xml:space="preserve"> Botulinum Toxin Product Information Version 10.0                 </w:t>
    </w:r>
    <w:r>
      <w:t xml:space="preserve">Page </w:t>
    </w:r>
    <w:r>
      <w:rPr>
        <w:b/>
        <w:szCs w:val="24"/>
      </w:rPr>
      <w:fldChar w:fldCharType="begin"/>
    </w:r>
    <w:r>
      <w:rPr>
        <w:b/>
      </w:rPr>
      <w:instrText xml:space="preserve"> PAGE </w:instrText>
    </w:r>
    <w:r>
      <w:rPr>
        <w:b/>
        <w:szCs w:val="24"/>
      </w:rPr>
      <w:fldChar w:fldCharType="separate"/>
    </w:r>
    <w:r w:rsidR="000D535F">
      <w:rPr>
        <w:b/>
        <w:noProof/>
      </w:rPr>
      <w:t>1</w:t>
    </w:r>
    <w:r>
      <w:rPr>
        <w:b/>
        <w:szCs w:val="24"/>
      </w:rPr>
      <w:fldChar w:fldCharType="end"/>
    </w:r>
    <w:r>
      <w:t xml:space="preserve"> of </w:t>
    </w:r>
    <w:r>
      <w:rPr>
        <w:b/>
        <w:szCs w:val="24"/>
      </w:rPr>
      <w:fldChar w:fldCharType="begin"/>
    </w:r>
    <w:r>
      <w:rPr>
        <w:b/>
      </w:rPr>
      <w:instrText xml:space="preserve"> NUMPAGES  </w:instrText>
    </w:r>
    <w:r>
      <w:rPr>
        <w:b/>
        <w:szCs w:val="24"/>
      </w:rPr>
      <w:fldChar w:fldCharType="separate"/>
    </w:r>
    <w:r w:rsidR="000D535F">
      <w:rPr>
        <w:b/>
        <w:noProof/>
      </w:rPr>
      <w:t>54</w:t>
    </w:r>
    <w:r>
      <w:rPr>
        <w:b/>
        <w:szCs w:val="24"/>
      </w:rPr>
      <w:fldChar w:fldCharType="end"/>
    </w:r>
  </w:p>
  <w:p w:rsidR="00F618F4" w:rsidRDefault="00F618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C3C" w:rsidRDefault="00E51C3C">
      <w:r>
        <w:separator/>
      </w:r>
    </w:p>
  </w:footnote>
  <w:footnote w:type="continuationSeparator" w:id="0">
    <w:p w:rsidR="00E51C3C" w:rsidRDefault="00E51C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2E0"/>
      <w:tblLook w:val="04A0"/>
    </w:tblPr>
    <w:tblGrid>
      <w:gridCol w:w="8720"/>
    </w:tblGrid>
    <w:tr w:rsidR="005968FE" w:rsidTr="005968FE">
      <w:tc>
        <w:tcPr>
          <w:tcW w:w="8720" w:type="dxa"/>
          <w:shd w:val="clear" w:color="auto" w:fill="E4F2E0"/>
        </w:tcPr>
        <w:p w:rsidR="005968FE" w:rsidRPr="005968FE" w:rsidRDefault="005968FE" w:rsidP="005968FE">
          <w:pPr>
            <w:spacing w:before="40" w:after="40"/>
            <w:rPr>
              <w:rFonts w:asciiTheme="majorHAnsi" w:hAnsiTheme="majorHAnsi"/>
              <w:b/>
            </w:rPr>
          </w:pPr>
          <w:r w:rsidRPr="005968FE">
            <w:rPr>
              <w:rFonts w:asciiTheme="majorHAnsi" w:hAnsiTheme="majorHAnsi"/>
              <w:b/>
            </w:rPr>
            <w:t>Attachment 1: Product information for AusPAR Botox Botulinum toxin, type A Allergan Australia Pty Ltd PM-2012-01467-3-3 Final 23 October 2013. This Product Information was approved at the time this AusPAR was published.</w:t>
          </w:r>
        </w:p>
      </w:tc>
    </w:tr>
  </w:tbl>
  <w:p w:rsidR="005968FE" w:rsidRDefault="005968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08C9"/>
    <w:multiLevelType w:val="hybridMultilevel"/>
    <w:tmpl w:val="1E4A6F5E"/>
    <w:lvl w:ilvl="0" w:tplc="04090001">
      <w:start w:val="1"/>
      <w:numFmt w:val="bullet"/>
      <w:lvlText w:val=""/>
      <w:lvlJc w:val="left"/>
      <w:pPr>
        <w:tabs>
          <w:tab w:val="num" w:pos="1998"/>
        </w:tabs>
        <w:ind w:left="1998" w:hanging="360"/>
      </w:pPr>
      <w:rPr>
        <w:rFonts w:ascii="Symbol" w:hAnsi="Symbol" w:hint="default"/>
      </w:rPr>
    </w:lvl>
    <w:lvl w:ilvl="1" w:tplc="0C090001">
      <w:start w:val="1"/>
      <w:numFmt w:val="bullet"/>
      <w:lvlText w:val=""/>
      <w:lvlJc w:val="left"/>
      <w:pPr>
        <w:tabs>
          <w:tab w:val="num" w:pos="2718"/>
        </w:tabs>
        <w:ind w:left="2718" w:hanging="360"/>
      </w:pPr>
      <w:rPr>
        <w:rFonts w:ascii="Symbol" w:hAnsi="Symbol" w:hint="default"/>
      </w:rPr>
    </w:lvl>
    <w:lvl w:ilvl="2" w:tplc="04090005" w:tentative="1">
      <w:start w:val="1"/>
      <w:numFmt w:val="bullet"/>
      <w:lvlText w:val=""/>
      <w:lvlJc w:val="left"/>
      <w:pPr>
        <w:tabs>
          <w:tab w:val="num" w:pos="3438"/>
        </w:tabs>
        <w:ind w:left="3438" w:hanging="360"/>
      </w:pPr>
      <w:rPr>
        <w:rFonts w:ascii="Wingdings" w:hAnsi="Wingdings" w:hint="default"/>
      </w:rPr>
    </w:lvl>
    <w:lvl w:ilvl="3" w:tplc="04090001" w:tentative="1">
      <w:start w:val="1"/>
      <w:numFmt w:val="bullet"/>
      <w:lvlText w:val=""/>
      <w:lvlJc w:val="left"/>
      <w:pPr>
        <w:tabs>
          <w:tab w:val="num" w:pos="4158"/>
        </w:tabs>
        <w:ind w:left="4158" w:hanging="360"/>
      </w:pPr>
      <w:rPr>
        <w:rFonts w:ascii="Symbol" w:hAnsi="Symbol" w:hint="default"/>
      </w:rPr>
    </w:lvl>
    <w:lvl w:ilvl="4" w:tplc="04090003" w:tentative="1">
      <w:start w:val="1"/>
      <w:numFmt w:val="bullet"/>
      <w:lvlText w:val="o"/>
      <w:lvlJc w:val="left"/>
      <w:pPr>
        <w:tabs>
          <w:tab w:val="num" w:pos="4878"/>
        </w:tabs>
        <w:ind w:left="4878" w:hanging="360"/>
      </w:pPr>
      <w:rPr>
        <w:rFonts w:ascii="Courier New" w:hAnsi="Courier New" w:cs="Courier New" w:hint="default"/>
      </w:rPr>
    </w:lvl>
    <w:lvl w:ilvl="5" w:tplc="04090005" w:tentative="1">
      <w:start w:val="1"/>
      <w:numFmt w:val="bullet"/>
      <w:lvlText w:val=""/>
      <w:lvlJc w:val="left"/>
      <w:pPr>
        <w:tabs>
          <w:tab w:val="num" w:pos="5598"/>
        </w:tabs>
        <w:ind w:left="5598" w:hanging="360"/>
      </w:pPr>
      <w:rPr>
        <w:rFonts w:ascii="Wingdings" w:hAnsi="Wingdings" w:hint="default"/>
      </w:rPr>
    </w:lvl>
    <w:lvl w:ilvl="6" w:tplc="04090001" w:tentative="1">
      <w:start w:val="1"/>
      <w:numFmt w:val="bullet"/>
      <w:lvlText w:val=""/>
      <w:lvlJc w:val="left"/>
      <w:pPr>
        <w:tabs>
          <w:tab w:val="num" w:pos="6318"/>
        </w:tabs>
        <w:ind w:left="6318" w:hanging="360"/>
      </w:pPr>
      <w:rPr>
        <w:rFonts w:ascii="Symbol" w:hAnsi="Symbol" w:hint="default"/>
      </w:rPr>
    </w:lvl>
    <w:lvl w:ilvl="7" w:tplc="04090003" w:tentative="1">
      <w:start w:val="1"/>
      <w:numFmt w:val="bullet"/>
      <w:lvlText w:val="o"/>
      <w:lvlJc w:val="left"/>
      <w:pPr>
        <w:tabs>
          <w:tab w:val="num" w:pos="7038"/>
        </w:tabs>
        <w:ind w:left="7038" w:hanging="360"/>
      </w:pPr>
      <w:rPr>
        <w:rFonts w:ascii="Courier New" w:hAnsi="Courier New" w:cs="Courier New" w:hint="default"/>
      </w:rPr>
    </w:lvl>
    <w:lvl w:ilvl="8" w:tplc="04090005" w:tentative="1">
      <w:start w:val="1"/>
      <w:numFmt w:val="bullet"/>
      <w:lvlText w:val=""/>
      <w:lvlJc w:val="left"/>
      <w:pPr>
        <w:tabs>
          <w:tab w:val="num" w:pos="7758"/>
        </w:tabs>
        <w:ind w:left="7758" w:hanging="360"/>
      </w:pPr>
      <w:rPr>
        <w:rFonts w:ascii="Wingdings" w:hAnsi="Wingdings" w:hint="default"/>
      </w:rPr>
    </w:lvl>
  </w:abstractNum>
  <w:abstractNum w:abstractNumId="1">
    <w:nsid w:val="0E102EF0"/>
    <w:multiLevelType w:val="hybridMultilevel"/>
    <w:tmpl w:val="D03290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F322B36"/>
    <w:multiLevelType w:val="hybridMultilevel"/>
    <w:tmpl w:val="03728CEE"/>
    <w:lvl w:ilvl="0" w:tplc="FC2812C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1B6078B3"/>
    <w:multiLevelType w:val="hybridMultilevel"/>
    <w:tmpl w:val="85A0B14E"/>
    <w:lvl w:ilvl="0" w:tplc="FC2812C4">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4BFA272A">
      <w:numFmt w:val="bullet"/>
      <w:lvlText w:val="-"/>
      <w:lvlJc w:val="left"/>
      <w:pPr>
        <w:ind w:left="2160" w:hanging="360"/>
      </w:pPr>
      <w:rPr>
        <w:rFont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D6D25BD"/>
    <w:multiLevelType w:val="hybridMultilevel"/>
    <w:tmpl w:val="BC64DCAA"/>
    <w:lvl w:ilvl="0" w:tplc="04090001">
      <w:start w:val="1"/>
      <w:numFmt w:val="bullet"/>
      <w:lvlText w:val=""/>
      <w:lvlJc w:val="left"/>
      <w:pPr>
        <w:tabs>
          <w:tab w:val="num" w:pos="720"/>
        </w:tabs>
        <w:ind w:left="720" w:hanging="360"/>
      </w:pPr>
      <w:rPr>
        <w:rFonts w:ascii="Symbol" w:hAnsi="Symbol" w:hint="default"/>
      </w:rPr>
    </w:lvl>
    <w:lvl w:ilvl="1" w:tplc="0C090001">
      <w:start w:val="1"/>
      <w:numFmt w:val="bullet"/>
      <w:lvlText w:val=""/>
      <w:lvlJc w:val="left"/>
      <w:pPr>
        <w:tabs>
          <w:tab w:val="num" w:pos="1440"/>
        </w:tabs>
        <w:ind w:left="1440" w:hanging="360"/>
      </w:pPr>
      <w:rPr>
        <w:rFonts w:ascii="Symbol" w:hAnsi="Symbol" w:hint="default"/>
      </w:rPr>
    </w:lvl>
    <w:lvl w:ilvl="2" w:tplc="8CDEBF4E">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8443D9"/>
    <w:multiLevelType w:val="multilevel"/>
    <w:tmpl w:val="1E4A6F5E"/>
    <w:lvl w:ilvl="0">
      <w:start w:val="1"/>
      <w:numFmt w:val="bullet"/>
      <w:lvlText w:val=""/>
      <w:lvlJc w:val="left"/>
      <w:pPr>
        <w:tabs>
          <w:tab w:val="num" w:pos="1998"/>
        </w:tabs>
        <w:ind w:left="1998" w:hanging="360"/>
      </w:pPr>
      <w:rPr>
        <w:rFonts w:ascii="Symbol" w:hAnsi="Symbol" w:hint="default"/>
      </w:rPr>
    </w:lvl>
    <w:lvl w:ilvl="1">
      <w:start w:val="1"/>
      <w:numFmt w:val="bullet"/>
      <w:lvlText w:val=""/>
      <w:lvlJc w:val="left"/>
      <w:pPr>
        <w:tabs>
          <w:tab w:val="num" w:pos="2718"/>
        </w:tabs>
        <w:ind w:left="2718" w:hanging="360"/>
      </w:pPr>
      <w:rPr>
        <w:rFonts w:ascii="Symbol" w:hAnsi="Symbol" w:hint="default"/>
      </w:rPr>
    </w:lvl>
    <w:lvl w:ilvl="2">
      <w:start w:val="1"/>
      <w:numFmt w:val="bullet"/>
      <w:lvlText w:val=""/>
      <w:lvlJc w:val="left"/>
      <w:pPr>
        <w:tabs>
          <w:tab w:val="num" w:pos="3438"/>
        </w:tabs>
        <w:ind w:left="3438" w:hanging="360"/>
      </w:pPr>
      <w:rPr>
        <w:rFonts w:ascii="Wingdings" w:hAnsi="Wingdings" w:hint="default"/>
      </w:rPr>
    </w:lvl>
    <w:lvl w:ilvl="3">
      <w:start w:val="1"/>
      <w:numFmt w:val="bullet"/>
      <w:lvlText w:val=""/>
      <w:lvlJc w:val="left"/>
      <w:pPr>
        <w:tabs>
          <w:tab w:val="num" w:pos="4158"/>
        </w:tabs>
        <w:ind w:left="4158" w:hanging="360"/>
      </w:pPr>
      <w:rPr>
        <w:rFonts w:ascii="Symbol" w:hAnsi="Symbol" w:hint="default"/>
      </w:rPr>
    </w:lvl>
    <w:lvl w:ilvl="4">
      <w:start w:val="1"/>
      <w:numFmt w:val="bullet"/>
      <w:lvlText w:val="o"/>
      <w:lvlJc w:val="left"/>
      <w:pPr>
        <w:tabs>
          <w:tab w:val="num" w:pos="4878"/>
        </w:tabs>
        <w:ind w:left="4878" w:hanging="360"/>
      </w:pPr>
      <w:rPr>
        <w:rFonts w:ascii="Courier New" w:hAnsi="Courier New" w:cs="Courier New" w:hint="default"/>
      </w:rPr>
    </w:lvl>
    <w:lvl w:ilvl="5">
      <w:start w:val="1"/>
      <w:numFmt w:val="bullet"/>
      <w:lvlText w:val=""/>
      <w:lvlJc w:val="left"/>
      <w:pPr>
        <w:tabs>
          <w:tab w:val="num" w:pos="5598"/>
        </w:tabs>
        <w:ind w:left="5598" w:hanging="360"/>
      </w:pPr>
      <w:rPr>
        <w:rFonts w:ascii="Wingdings" w:hAnsi="Wingdings" w:hint="default"/>
      </w:rPr>
    </w:lvl>
    <w:lvl w:ilvl="6">
      <w:start w:val="1"/>
      <w:numFmt w:val="bullet"/>
      <w:lvlText w:val=""/>
      <w:lvlJc w:val="left"/>
      <w:pPr>
        <w:tabs>
          <w:tab w:val="num" w:pos="6318"/>
        </w:tabs>
        <w:ind w:left="6318" w:hanging="360"/>
      </w:pPr>
      <w:rPr>
        <w:rFonts w:ascii="Symbol" w:hAnsi="Symbol" w:hint="default"/>
      </w:rPr>
    </w:lvl>
    <w:lvl w:ilvl="7">
      <w:start w:val="1"/>
      <w:numFmt w:val="bullet"/>
      <w:lvlText w:val="o"/>
      <w:lvlJc w:val="left"/>
      <w:pPr>
        <w:tabs>
          <w:tab w:val="num" w:pos="7038"/>
        </w:tabs>
        <w:ind w:left="7038" w:hanging="360"/>
      </w:pPr>
      <w:rPr>
        <w:rFonts w:ascii="Courier New" w:hAnsi="Courier New" w:cs="Courier New" w:hint="default"/>
      </w:rPr>
    </w:lvl>
    <w:lvl w:ilvl="8">
      <w:start w:val="1"/>
      <w:numFmt w:val="bullet"/>
      <w:lvlText w:val=""/>
      <w:lvlJc w:val="left"/>
      <w:pPr>
        <w:tabs>
          <w:tab w:val="num" w:pos="7758"/>
        </w:tabs>
        <w:ind w:left="7758" w:hanging="360"/>
      </w:pPr>
      <w:rPr>
        <w:rFonts w:ascii="Wingdings" w:hAnsi="Wingdings" w:hint="default"/>
      </w:rPr>
    </w:lvl>
  </w:abstractNum>
  <w:abstractNum w:abstractNumId="7">
    <w:nsid w:val="302C40A6"/>
    <w:multiLevelType w:val="hybridMultilevel"/>
    <w:tmpl w:val="AFE6B970"/>
    <w:lvl w:ilvl="0" w:tplc="10223460">
      <w:start w:val="1"/>
      <w:numFmt w:val="upp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8">
    <w:nsid w:val="32F46AD5"/>
    <w:multiLevelType w:val="hybridMultilevel"/>
    <w:tmpl w:val="50F06A2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39646912"/>
    <w:multiLevelType w:val="hybridMultilevel"/>
    <w:tmpl w:val="567AFF6C"/>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nsid w:val="3AD9482F"/>
    <w:multiLevelType w:val="hybridMultilevel"/>
    <w:tmpl w:val="02C4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87003"/>
    <w:multiLevelType w:val="hybridMultilevel"/>
    <w:tmpl w:val="CD6AD0B6"/>
    <w:lvl w:ilvl="0" w:tplc="62549FC4">
      <w:start w:val="7"/>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46DE77D5"/>
    <w:multiLevelType w:val="hybridMultilevel"/>
    <w:tmpl w:val="B00EB2E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76832BD"/>
    <w:multiLevelType w:val="hybridMultilevel"/>
    <w:tmpl w:val="4BC66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8F92A57"/>
    <w:multiLevelType w:val="hybridMultilevel"/>
    <w:tmpl w:val="FBD244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B657F"/>
    <w:multiLevelType w:val="hybridMultilevel"/>
    <w:tmpl w:val="B0F2E4B0"/>
    <w:lvl w:ilvl="0" w:tplc="8BA6F5A2">
      <w:start w:val="1"/>
      <w:numFmt w:val="bullet"/>
      <w:pStyle w:val="BulletedLis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DE26BAA"/>
    <w:multiLevelType w:val="hybridMultilevel"/>
    <w:tmpl w:val="5D08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4C15F2"/>
    <w:multiLevelType w:val="hybridMultilevel"/>
    <w:tmpl w:val="28EE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2049EB"/>
    <w:multiLevelType w:val="hybridMultilevel"/>
    <w:tmpl w:val="80908C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9BC193A"/>
    <w:multiLevelType w:val="hybridMultilevel"/>
    <w:tmpl w:val="96B05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957DD5"/>
    <w:multiLevelType w:val="hybridMultilevel"/>
    <w:tmpl w:val="A840171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770B29E5"/>
    <w:multiLevelType w:val="singleLevel"/>
    <w:tmpl w:val="BFBE8AD0"/>
    <w:lvl w:ilvl="0">
      <w:start w:val="50"/>
      <w:numFmt w:val="bullet"/>
      <w:lvlText w:val="-"/>
      <w:lvlJc w:val="left"/>
      <w:pPr>
        <w:tabs>
          <w:tab w:val="num" w:pos="360"/>
        </w:tabs>
        <w:ind w:left="360" w:hanging="360"/>
      </w:pPr>
      <w:rPr>
        <w:rFonts w:hint="default"/>
      </w:rPr>
    </w:lvl>
  </w:abstractNum>
  <w:abstractNum w:abstractNumId="22">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7"/>
  </w:num>
  <w:num w:numId="4">
    <w:abstractNumId w:val="13"/>
  </w:num>
  <w:num w:numId="5">
    <w:abstractNumId w:val="1"/>
  </w:num>
  <w:num w:numId="6">
    <w:abstractNumId w:val="18"/>
  </w:num>
  <w:num w:numId="7">
    <w:abstractNumId w:val="6"/>
  </w:num>
  <w:num w:numId="8">
    <w:abstractNumId w:val="5"/>
  </w:num>
  <w:num w:numId="9">
    <w:abstractNumId w:val="11"/>
  </w:num>
  <w:num w:numId="10">
    <w:abstractNumId w:val="20"/>
  </w:num>
  <w:num w:numId="11">
    <w:abstractNumId w:val="2"/>
  </w:num>
  <w:num w:numId="12">
    <w:abstractNumId w:val="4"/>
  </w:num>
  <w:num w:numId="13">
    <w:abstractNumId w:val="12"/>
  </w:num>
  <w:num w:numId="14">
    <w:abstractNumId w:val="8"/>
  </w:num>
  <w:num w:numId="15">
    <w:abstractNumId w:val="9"/>
  </w:num>
  <w:num w:numId="16">
    <w:abstractNumId w:val="10"/>
  </w:num>
  <w:num w:numId="17">
    <w:abstractNumId w:val="14"/>
  </w:num>
  <w:num w:numId="18">
    <w:abstractNumId w:val="16"/>
  </w:num>
  <w:num w:numId="19">
    <w:abstractNumId w:val="15"/>
  </w:num>
  <w:num w:numId="20">
    <w:abstractNumId w:val="17"/>
  </w:num>
  <w:num w:numId="21">
    <w:abstractNumId w:val="19"/>
  </w:num>
  <w:num w:numId="22">
    <w:abstractNumId w:val="3"/>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hideSpellingErrors/>
  <w:hideGrammaticalErrors/>
  <w:stylePaneFormatFilter w:val="3F01"/>
  <w:defaultTabStop w:val="720"/>
  <w:drawingGridHorizontalSpacing w:val="10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useFELayout/>
  </w:compat>
  <w:rsids>
    <w:rsidRoot w:val="001D2CE8"/>
    <w:rsid w:val="00002A7C"/>
    <w:rsid w:val="00013E13"/>
    <w:rsid w:val="000275DA"/>
    <w:rsid w:val="00031962"/>
    <w:rsid w:val="0003263E"/>
    <w:rsid w:val="00032953"/>
    <w:rsid w:val="00051188"/>
    <w:rsid w:val="0005237C"/>
    <w:rsid w:val="00053082"/>
    <w:rsid w:val="0006151F"/>
    <w:rsid w:val="000668C5"/>
    <w:rsid w:val="000852E4"/>
    <w:rsid w:val="00086710"/>
    <w:rsid w:val="00093AC9"/>
    <w:rsid w:val="000B3644"/>
    <w:rsid w:val="000C1361"/>
    <w:rsid w:val="000C18F7"/>
    <w:rsid w:val="000C56FC"/>
    <w:rsid w:val="000D535F"/>
    <w:rsid w:val="000E6A66"/>
    <w:rsid w:val="000F37C8"/>
    <w:rsid w:val="001051DC"/>
    <w:rsid w:val="001118E4"/>
    <w:rsid w:val="00112664"/>
    <w:rsid w:val="0012013C"/>
    <w:rsid w:val="00126B8F"/>
    <w:rsid w:val="00142494"/>
    <w:rsid w:val="001466FC"/>
    <w:rsid w:val="00154F39"/>
    <w:rsid w:val="00173902"/>
    <w:rsid w:val="00183C4D"/>
    <w:rsid w:val="0019648F"/>
    <w:rsid w:val="00197AC4"/>
    <w:rsid w:val="001A03A7"/>
    <w:rsid w:val="001A115C"/>
    <w:rsid w:val="001A77ED"/>
    <w:rsid w:val="001C1FD3"/>
    <w:rsid w:val="001D1860"/>
    <w:rsid w:val="001D2CE8"/>
    <w:rsid w:val="001D58D0"/>
    <w:rsid w:val="001D6D20"/>
    <w:rsid w:val="001E129D"/>
    <w:rsid w:val="001E5233"/>
    <w:rsid w:val="001F21BC"/>
    <w:rsid w:val="001F3114"/>
    <w:rsid w:val="001F3AD7"/>
    <w:rsid w:val="001F5418"/>
    <w:rsid w:val="001F713C"/>
    <w:rsid w:val="00200B01"/>
    <w:rsid w:val="00201DAE"/>
    <w:rsid w:val="00202089"/>
    <w:rsid w:val="002276B9"/>
    <w:rsid w:val="00236B38"/>
    <w:rsid w:val="00237381"/>
    <w:rsid w:val="002433BF"/>
    <w:rsid w:val="0024473A"/>
    <w:rsid w:val="002550F7"/>
    <w:rsid w:val="0027203D"/>
    <w:rsid w:val="002723D7"/>
    <w:rsid w:val="002743DE"/>
    <w:rsid w:val="00274A44"/>
    <w:rsid w:val="0027587F"/>
    <w:rsid w:val="00280AC1"/>
    <w:rsid w:val="0028325D"/>
    <w:rsid w:val="00285786"/>
    <w:rsid w:val="002A36D3"/>
    <w:rsid w:val="002B2A84"/>
    <w:rsid w:val="002B6BC2"/>
    <w:rsid w:val="002C2B43"/>
    <w:rsid w:val="002D48EA"/>
    <w:rsid w:val="002D7DB7"/>
    <w:rsid w:val="002F0530"/>
    <w:rsid w:val="002F2DD3"/>
    <w:rsid w:val="00304E5E"/>
    <w:rsid w:val="00305236"/>
    <w:rsid w:val="003070C2"/>
    <w:rsid w:val="003139DE"/>
    <w:rsid w:val="00317D3E"/>
    <w:rsid w:val="00320079"/>
    <w:rsid w:val="003241ED"/>
    <w:rsid w:val="003257DD"/>
    <w:rsid w:val="00330EFD"/>
    <w:rsid w:val="003361D0"/>
    <w:rsid w:val="0034417A"/>
    <w:rsid w:val="00344403"/>
    <w:rsid w:val="00345F38"/>
    <w:rsid w:val="00351DCF"/>
    <w:rsid w:val="00365F41"/>
    <w:rsid w:val="00375DD3"/>
    <w:rsid w:val="003869AA"/>
    <w:rsid w:val="0039188C"/>
    <w:rsid w:val="00392A08"/>
    <w:rsid w:val="00394295"/>
    <w:rsid w:val="00394A24"/>
    <w:rsid w:val="003A1C75"/>
    <w:rsid w:val="003C1610"/>
    <w:rsid w:val="003D6FB9"/>
    <w:rsid w:val="003D7410"/>
    <w:rsid w:val="003E25BD"/>
    <w:rsid w:val="003E3F5C"/>
    <w:rsid w:val="003E57D1"/>
    <w:rsid w:val="003F1612"/>
    <w:rsid w:val="003F2B89"/>
    <w:rsid w:val="003F56C1"/>
    <w:rsid w:val="00401A32"/>
    <w:rsid w:val="00412647"/>
    <w:rsid w:val="00430187"/>
    <w:rsid w:val="004430CC"/>
    <w:rsid w:val="00480163"/>
    <w:rsid w:val="00485FCA"/>
    <w:rsid w:val="00490C90"/>
    <w:rsid w:val="004A23B0"/>
    <w:rsid w:val="004A617F"/>
    <w:rsid w:val="004C0EE9"/>
    <w:rsid w:val="004D305B"/>
    <w:rsid w:val="00513CD8"/>
    <w:rsid w:val="0051474C"/>
    <w:rsid w:val="005152C0"/>
    <w:rsid w:val="005226D5"/>
    <w:rsid w:val="005375FC"/>
    <w:rsid w:val="00541865"/>
    <w:rsid w:val="00542005"/>
    <w:rsid w:val="00552F69"/>
    <w:rsid w:val="005749DC"/>
    <w:rsid w:val="00583227"/>
    <w:rsid w:val="00583DAC"/>
    <w:rsid w:val="005968FE"/>
    <w:rsid w:val="005A3B15"/>
    <w:rsid w:val="005A699A"/>
    <w:rsid w:val="005B25AD"/>
    <w:rsid w:val="005B6C1A"/>
    <w:rsid w:val="005B78EC"/>
    <w:rsid w:val="005C3539"/>
    <w:rsid w:val="005D0D29"/>
    <w:rsid w:val="005F6E12"/>
    <w:rsid w:val="006169D4"/>
    <w:rsid w:val="00620334"/>
    <w:rsid w:val="00623023"/>
    <w:rsid w:val="006369C8"/>
    <w:rsid w:val="006376C6"/>
    <w:rsid w:val="006520ED"/>
    <w:rsid w:val="006822AB"/>
    <w:rsid w:val="0068295E"/>
    <w:rsid w:val="00685EAA"/>
    <w:rsid w:val="00692018"/>
    <w:rsid w:val="00696E6A"/>
    <w:rsid w:val="006A10AC"/>
    <w:rsid w:val="006A3147"/>
    <w:rsid w:val="006B7BBA"/>
    <w:rsid w:val="006E53A6"/>
    <w:rsid w:val="006F0EDF"/>
    <w:rsid w:val="006F1749"/>
    <w:rsid w:val="00701D62"/>
    <w:rsid w:val="00704208"/>
    <w:rsid w:val="007108F7"/>
    <w:rsid w:val="00721CDB"/>
    <w:rsid w:val="00724C82"/>
    <w:rsid w:val="00733E7B"/>
    <w:rsid w:val="007354A9"/>
    <w:rsid w:val="00743974"/>
    <w:rsid w:val="0075510B"/>
    <w:rsid w:val="00756490"/>
    <w:rsid w:val="007731A3"/>
    <w:rsid w:val="0077623A"/>
    <w:rsid w:val="007854AE"/>
    <w:rsid w:val="00796A1F"/>
    <w:rsid w:val="00797D01"/>
    <w:rsid w:val="007A3A9D"/>
    <w:rsid w:val="007A767E"/>
    <w:rsid w:val="007B0829"/>
    <w:rsid w:val="007B1C7F"/>
    <w:rsid w:val="007C479B"/>
    <w:rsid w:val="007D0D01"/>
    <w:rsid w:val="007D26B7"/>
    <w:rsid w:val="007E5AE3"/>
    <w:rsid w:val="008052B8"/>
    <w:rsid w:val="008055F0"/>
    <w:rsid w:val="00811224"/>
    <w:rsid w:val="00814DE9"/>
    <w:rsid w:val="00834766"/>
    <w:rsid w:val="00840611"/>
    <w:rsid w:val="00843E99"/>
    <w:rsid w:val="008471A9"/>
    <w:rsid w:val="00853663"/>
    <w:rsid w:val="008E1C91"/>
    <w:rsid w:val="008F0432"/>
    <w:rsid w:val="00903DC4"/>
    <w:rsid w:val="009040A9"/>
    <w:rsid w:val="009128C0"/>
    <w:rsid w:val="00912C8E"/>
    <w:rsid w:val="00912E19"/>
    <w:rsid w:val="00925456"/>
    <w:rsid w:val="009416B8"/>
    <w:rsid w:val="00944F0F"/>
    <w:rsid w:val="0095498D"/>
    <w:rsid w:val="00964748"/>
    <w:rsid w:val="009916E6"/>
    <w:rsid w:val="00993A68"/>
    <w:rsid w:val="009B5EDA"/>
    <w:rsid w:val="009C3489"/>
    <w:rsid w:val="009C39B1"/>
    <w:rsid w:val="009C570F"/>
    <w:rsid w:val="009C6A02"/>
    <w:rsid w:val="009D0765"/>
    <w:rsid w:val="009D78B4"/>
    <w:rsid w:val="009E0C53"/>
    <w:rsid w:val="009E206B"/>
    <w:rsid w:val="009E211C"/>
    <w:rsid w:val="009E24B3"/>
    <w:rsid w:val="009E3616"/>
    <w:rsid w:val="009E3FAC"/>
    <w:rsid w:val="009E7BB6"/>
    <w:rsid w:val="009F35D9"/>
    <w:rsid w:val="009F4850"/>
    <w:rsid w:val="009F6529"/>
    <w:rsid w:val="00A021C8"/>
    <w:rsid w:val="00A129D9"/>
    <w:rsid w:val="00A13DA7"/>
    <w:rsid w:val="00A15537"/>
    <w:rsid w:val="00A22364"/>
    <w:rsid w:val="00A339F7"/>
    <w:rsid w:val="00A37984"/>
    <w:rsid w:val="00A37D34"/>
    <w:rsid w:val="00A41A19"/>
    <w:rsid w:val="00A42C5B"/>
    <w:rsid w:val="00A44924"/>
    <w:rsid w:val="00A62E08"/>
    <w:rsid w:val="00A706A8"/>
    <w:rsid w:val="00A75894"/>
    <w:rsid w:val="00A860D8"/>
    <w:rsid w:val="00A9564E"/>
    <w:rsid w:val="00A96028"/>
    <w:rsid w:val="00AA5290"/>
    <w:rsid w:val="00AA683F"/>
    <w:rsid w:val="00AC1FF6"/>
    <w:rsid w:val="00AE2565"/>
    <w:rsid w:val="00B109BE"/>
    <w:rsid w:val="00B17E96"/>
    <w:rsid w:val="00B27B33"/>
    <w:rsid w:val="00B36BF0"/>
    <w:rsid w:val="00B421E1"/>
    <w:rsid w:val="00B47627"/>
    <w:rsid w:val="00B54BAC"/>
    <w:rsid w:val="00B627D9"/>
    <w:rsid w:val="00B7594B"/>
    <w:rsid w:val="00B9044A"/>
    <w:rsid w:val="00B95524"/>
    <w:rsid w:val="00BA218B"/>
    <w:rsid w:val="00BA5B5F"/>
    <w:rsid w:val="00BA7730"/>
    <w:rsid w:val="00BC03ED"/>
    <w:rsid w:val="00BC39B5"/>
    <w:rsid w:val="00BC5A33"/>
    <w:rsid w:val="00BE1F62"/>
    <w:rsid w:val="00BE43FB"/>
    <w:rsid w:val="00BE56BD"/>
    <w:rsid w:val="00BF2C63"/>
    <w:rsid w:val="00C033C1"/>
    <w:rsid w:val="00C064E7"/>
    <w:rsid w:val="00C17809"/>
    <w:rsid w:val="00C20994"/>
    <w:rsid w:val="00C3153C"/>
    <w:rsid w:val="00C32019"/>
    <w:rsid w:val="00C37EA6"/>
    <w:rsid w:val="00C72D86"/>
    <w:rsid w:val="00C87398"/>
    <w:rsid w:val="00CB09F2"/>
    <w:rsid w:val="00CB13AE"/>
    <w:rsid w:val="00CB7362"/>
    <w:rsid w:val="00CF4530"/>
    <w:rsid w:val="00D0032A"/>
    <w:rsid w:val="00D06C51"/>
    <w:rsid w:val="00D12EE8"/>
    <w:rsid w:val="00D3063F"/>
    <w:rsid w:val="00D347AF"/>
    <w:rsid w:val="00D3775B"/>
    <w:rsid w:val="00D37C0E"/>
    <w:rsid w:val="00D407D4"/>
    <w:rsid w:val="00D6205F"/>
    <w:rsid w:val="00D64944"/>
    <w:rsid w:val="00D6606C"/>
    <w:rsid w:val="00D753A8"/>
    <w:rsid w:val="00D91C6A"/>
    <w:rsid w:val="00DB0E13"/>
    <w:rsid w:val="00DB6EE5"/>
    <w:rsid w:val="00DE466E"/>
    <w:rsid w:val="00E006D3"/>
    <w:rsid w:val="00E02320"/>
    <w:rsid w:val="00E07EC7"/>
    <w:rsid w:val="00E22E6C"/>
    <w:rsid w:val="00E230F1"/>
    <w:rsid w:val="00E43EAA"/>
    <w:rsid w:val="00E51C3C"/>
    <w:rsid w:val="00E6201B"/>
    <w:rsid w:val="00E648A8"/>
    <w:rsid w:val="00E768B6"/>
    <w:rsid w:val="00E824B3"/>
    <w:rsid w:val="00EA4A8C"/>
    <w:rsid w:val="00EB7A12"/>
    <w:rsid w:val="00EC261A"/>
    <w:rsid w:val="00ED03CE"/>
    <w:rsid w:val="00ED36D3"/>
    <w:rsid w:val="00ED493C"/>
    <w:rsid w:val="00EF276C"/>
    <w:rsid w:val="00EF5704"/>
    <w:rsid w:val="00F323C1"/>
    <w:rsid w:val="00F35CF5"/>
    <w:rsid w:val="00F437FF"/>
    <w:rsid w:val="00F44E63"/>
    <w:rsid w:val="00F50FA2"/>
    <w:rsid w:val="00F618F4"/>
    <w:rsid w:val="00F61980"/>
    <w:rsid w:val="00F70443"/>
    <w:rsid w:val="00F8560E"/>
    <w:rsid w:val="00F97AAC"/>
    <w:rsid w:val="00FA388B"/>
    <w:rsid w:val="00FA6435"/>
    <w:rsid w:val="00FC08B7"/>
    <w:rsid w:val="00FC36A5"/>
    <w:rsid w:val="00FC41ED"/>
    <w:rsid w:val="00FD5F37"/>
    <w:rsid w:val="00FE098E"/>
    <w:rsid w:val="00FE4122"/>
    <w:rsid w:val="00FF0908"/>
    <w:rsid w:val="00FF3D1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Bullet" w:qFormat="1"/>
    <w:lsdException w:name="List Bullet 2" w:qFormat="1"/>
    <w:lsdException w:name="List Bullet 3"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lang w:val="en-US" w:eastAsia="zh-CN"/>
    </w:rPr>
  </w:style>
  <w:style w:type="paragraph" w:styleId="Heading1">
    <w:name w:val="heading 1"/>
    <w:basedOn w:val="Normal"/>
    <w:next w:val="Normal"/>
    <w:qFormat/>
    <w:pPr>
      <w:keepNext/>
      <w:tabs>
        <w:tab w:val="left" w:pos="-720"/>
      </w:tabs>
      <w:outlineLvl w:val="0"/>
    </w:pPr>
    <w:rPr>
      <w:b/>
      <w:i/>
      <w:sz w:val="24"/>
      <w:lang w:val="en-GB"/>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pPr>
    <w:rPr>
      <w:sz w:val="24"/>
      <w:lang w:val="en-GB"/>
    </w:rPr>
  </w:style>
  <w:style w:type="paragraph" w:styleId="Footer">
    <w:name w:val="footer"/>
    <w:basedOn w:val="Normal"/>
    <w:link w:val="FooterChar"/>
    <w:uiPriority w:val="99"/>
    <w:pPr>
      <w:tabs>
        <w:tab w:val="center" w:pos="4819"/>
        <w:tab w:val="right" w:pos="9071"/>
      </w:tabs>
    </w:pPr>
    <w:rPr>
      <w:rFonts w:ascii="Courier" w:hAnsi="Courier"/>
      <w:sz w:val="24"/>
      <w:lang w:val="en-AU"/>
    </w:rPr>
  </w:style>
  <w:style w:type="paragraph" w:styleId="CommentText">
    <w:name w:val="annotation text"/>
    <w:basedOn w:val="Normal"/>
    <w:link w:val="CommentTextChar"/>
    <w:uiPriority w:val="99"/>
    <w:rPr>
      <w:rFonts w:ascii="Courier" w:hAnsi="Courier"/>
      <w:lang w:val="en-AU"/>
    </w:rPr>
  </w:style>
  <w:style w:type="paragraph" w:styleId="BodyText2">
    <w:name w:val="Body Text 2"/>
    <w:basedOn w:val="Normal"/>
    <w:pPr>
      <w:tabs>
        <w:tab w:val="left" w:pos="-720"/>
      </w:tabs>
    </w:pPr>
    <w:rPr>
      <w:i/>
      <w:color w:val="0000FF"/>
      <w:sz w:val="24"/>
    </w:rPr>
  </w:style>
  <w:style w:type="character" w:customStyle="1" w:styleId="Underlinetext">
    <w:name w:val="Underline text"/>
    <w:basedOn w:val="DefaultParagraphFont"/>
    <w:rPr>
      <w:u w:val="single"/>
    </w:rPr>
  </w:style>
  <w:style w:type="paragraph" w:styleId="FootnoteText">
    <w:name w:val="footnote text"/>
    <w:basedOn w:val="Normal"/>
    <w:semiHidden/>
  </w:style>
  <w:style w:type="paragraph" w:styleId="BodyText3">
    <w:name w:val="Body Text 3"/>
    <w:basedOn w:val="Normal"/>
    <w:pPr>
      <w:keepLines/>
    </w:pPr>
    <w:rPr>
      <w:i/>
      <w:color w:val="FF00FF"/>
    </w:rPr>
  </w:style>
  <w:style w:type="paragraph" w:styleId="BodyTextIndent">
    <w:name w:val="Body Text Indent"/>
    <w:basedOn w:val="Normal"/>
    <w:pPr>
      <w:keepLines/>
      <w:ind w:firstLine="18"/>
    </w:pPr>
    <w:rPr>
      <w:i/>
      <w:color w:val="0000FF"/>
      <w:sz w:val="24"/>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semiHidden/>
    <w:rPr>
      <w:rFonts w:ascii="Times New Roman" w:hAnsi="Times New Roman"/>
      <w:b/>
      <w:bCs/>
      <w:lang w:val="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BodyText1">
    <w:name w:val="Body Text 1"/>
    <w:basedOn w:val="Normal"/>
    <w:pPr>
      <w:spacing w:line="360" w:lineRule="auto"/>
    </w:pPr>
    <w:rPr>
      <w:sz w:val="24"/>
      <w:lang w:eastAsia="en-US"/>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31">
    <w:name w:val="EmailStyle311"/>
    <w:aliases w:val="EmailStyle311"/>
    <w:basedOn w:val="DefaultParagraphFont"/>
    <w:semiHidden/>
    <w:personal/>
    <w:personalCompose/>
    <w:rPr>
      <w:rFonts w:ascii="Arial" w:hAnsi="Arial" w:cs="Arial"/>
      <w:color w:val="auto"/>
      <w:sz w:val="20"/>
      <w:szCs w:val="20"/>
    </w:rPr>
  </w:style>
  <w:style w:type="paragraph" w:customStyle="1" w:styleId="Default">
    <w:name w:val="Default"/>
    <w:pPr>
      <w:autoSpaceDE w:val="0"/>
      <w:autoSpaceDN w:val="0"/>
      <w:adjustRightInd w:val="0"/>
    </w:pPr>
    <w:rPr>
      <w:color w:val="000000"/>
      <w:sz w:val="24"/>
      <w:szCs w:val="24"/>
      <w:lang w:eastAsia="zh-CN"/>
    </w:rPr>
  </w:style>
  <w:style w:type="paragraph" w:styleId="Revision">
    <w:name w:val="Revision"/>
    <w:hidden/>
    <w:uiPriority w:val="99"/>
    <w:semiHidden/>
    <w:rPr>
      <w:rFonts w:eastAsia="Times New Roman"/>
      <w:lang w:val="en-US" w:eastAsia="zh-CN"/>
    </w:rPr>
  </w:style>
  <w:style w:type="character" w:customStyle="1" w:styleId="EmailStyle341">
    <w:name w:val="EmailStyle34"/>
    <w:aliases w:val="EmailStyle34"/>
    <w:basedOn w:val="DefaultParagraphFont"/>
    <w:semiHidden/>
    <w:personal/>
    <w:personalCompose/>
    <w:rPr>
      <w:rFonts w:ascii="Arial" w:hAnsi="Arial" w:cs="Arial"/>
      <w:color w:val="auto"/>
      <w:sz w:val="20"/>
      <w:szCs w:val="20"/>
    </w:rPr>
  </w:style>
  <w:style w:type="paragraph" w:customStyle="1" w:styleId="TableHeadings">
    <w:name w:val="Table Headings"/>
    <w:basedOn w:val="Normal"/>
    <w:link w:val="TableHeadingsChar"/>
    <w:uiPriority w:val="99"/>
    <w:pPr>
      <w:keepNext/>
      <w:spacing w:before="40" w:after="40"/>
      <w:jc w:val="center"/>
    </w:pPr>
    <w:rPr>
      <w:b/>
      <w:kern w:val="24"/>
      <w:sz w:val="24"/>
      <w:szCs w:val="24"/>
      <w:lang w:eastAsia="ja-JP"/>
    </w:rPr>
  </w:style>
  <w:style w:type="paragraph" w:customStyle="1" w:styleId="TableTextSmall">
    <w:name w:val="Table Text Small"/>
    <w:basedOn w:val="Normal"/>
    <w:pPr>
      <w:keepNext/>
      <w:spacing w:before="40" w:after="40"/>
    </w:pPr>
    <w:rPr>
      <w:kern w:val="20"/>
      <w:sz w:val="18"/>
      <w:szCs w:val="24"/>
      <w:lang w:eastAsia="ja-JP"/>
    </w:rPr>
  </w:style>
  <w:style w:type="paragraph" w:customStyle="1" w:styleId="TableText10pt">
    <w:name w:val="Table Text 10pt"/>
    <w:basedOn w:val="Normal"/>
    <w:link w:val="TableText10ptChar"/>
    <w:pPr>
      <w:keepNext/>
      <w:spacing w:before="40" w:after="40"/>
    </w:pPr>
    <w:rPr>
      <w:kern w:val="24"/>
      <w:szCs w:val="24"/>
      <w:lang w:eastAsia="ja-JP"/>
    </w:rPr>
  </w:style>
  <w:style w:type="character" w:customStyle="1" w:styleId="TableText10ptChar">
    <w:name w:val="Table Text 10pt Char"/>
    <w:basedOn w:val="DefaultParagraphFont"/>
    <w:link w:val="TableText10pt"/>
    <w:rPr>
      <w:rFonts w:eastAsia="Times New Roman"/>
      <w:kern w:val="24"/>
      <w:szCs w:val="24"/>
      <w:lang w:eastAsia="ja-JP"/>
    </w:rPr>
  </w:style>
  <w:style w:type="paragraph" w:customStyle="1" w:styleId="tabletextsmall0">
    <w:name w:val="tabletextsmall"/>
    <w:basedOn w:val="Normal"/>
    <w:pPr>
      <w:keepNext/>
      <w:spacing w:before="40" w:after="40"/>
    </w:pPr>
    <w:rPr>
      <w:sz w:val="18"/>
      <w:szCs w:val="18"/>
      <w:lang w:eastAsia="en-US"/>
    </w:rPr>
  </w:style>
  <w:style w:type="character" w:customStyle="1" w:styleId="TableHeadingsChar">
    <w:name w:val="Table Headings Char"/>
    <w:basedOn w:val="DefaultParagraphFont"/>
    <w:link w:val="TableHeadings"/>
    <w:uiPriority w:val="99"/>
    <w:locked/>
    <w:rPr>
      <w:rFonts w:eastAsia="Times New Roman"/>
      <w:b/>
      <w:kern w:val="24"/>
      <w:sz w:val="24"/>
      <w:szCs w:val="24"/>
      <w:lang w:eastAsia="ja-JP"/>
    </w:rPr>
  </w:style>
  <w:style w:type="character" w:customStyle="1" w:styleId="CommentTextChar">
    <w:name w:val="Comment Text Char"/>
    <w:basedOn w:val="DefaultParagraphFont"/>
    <w:link w:val="CommentText"/>
    <w:uiPriority w:val="99"/>
    <w:rPr>
      <w:rFonts w:ascii="Courier" w:eastAsia="Times New Roman" w:hAnsi="Courier"/>
      <w:lang w:val="en-AU" w:eastAsia="zh-CN"/>
    </w:rPr>
  </w:style>
  <w:style w:type="paragraph" w:styleId="NormalWeb">
    <w:name w:val="Normal (Web)"/>
    <w:basedOn w:val="Normal"/>
    <w:uiPriority w:val="99"/>
    <w:unhideWhenUsed/>
    <w:pPr>
      <w:spacing w:before="100" w:beforeAutospacing="1" w:after="100" w:afterAutospacing="1"/>
    </w:pPr>
    <w:rPr>
      <w:rFonts w:eastAsia="SimSun"/>
      <w:sz w:val="24"/>
      <w:szCs w:val="24"/>
      <w:lang w:val="en-AU"/>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rFonts w:ascii="Courier" w:eastAsia="Times New Roman" w:hAnsi="Courier"/>
      <w:sz w:val="24"/>
      <w:lang w:val="en-AU" w:eastAsia="zh-CN"/>
    </w:rPr>
  </w:style>
  <w:style w:type="character" w:customStyle="1" w:styleId="HeaderChar">
    <w:name w:val="Header Char"/>
    <w:basedOn w:val="DefaultParagraphFont"/>
    <w:link w:val="Header"/>
    <w:uiPriority w:val="99"/>
    <w:rPr>
      <w:rFonts w:eastAsia="Times New Roman"/>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Text">
    <w:name w:val="Text"/>
    <w:basedOn w:val="Normal"/>
    <w:link w:val="TextChar"/>
    <w:pPr>
      <w:spacing w:after="240" w:line="300" w:lineRule="auto"/>
    </w:pPr>
    <w:rPr>
      <w:kern w:val="24"/>
      <w:sz w:val="24"/>
      <w:szCs w:val="24"/>
      <w:lang w:eastAsia="ja-JP"/>
    </w:rPr>
  </w:style>
  <w:style w:type="paragraph" w:customStyle="1" w:styleId="BulletedList">
    <w:name w:val="Bulleted List"/>
    <w:basedOn w:val="Text"/>
    <w:pPr>
      <w:keepLines/>
      <w:numPr>
        <w:numId w:val="19"/>
      </w:numPr>
      <w:tabs>
        <w:tab w:val="clear" w:pos="360"/>
        <w:tab w:val="num" w:pos="720"/>
      </w:tabs>
      <w:adjustRightInd w:val="0"/>
      <w:spacing w:before="120" w:after="120"/>
      <w:ind w:left="0" w:firstLine="0"/>
    </w:pPr>
  </w:style>
  <w:style w:type="character" w:customStyle="1" w:styleId="TextChar">
    <w:name w:val="Text Char"/>
    <w:basedOn w:val="DefaultParagraphFont"/>
    <w:link w:val="Text"/>
    <w:rPr>
      <w:rFonts w:eastAsia="Times New Roman"/>
      <w:kern w:val="24"/>
      <w:sz w:val="24"/>
      <w:szCs w:val="24"/>
      <w:lang w:eastAsia="ja-JP"/>
    </w:rPr>
  </w:style>
  <w:style w:type="paragraph" w:styleId="Caption">
    <w:name w:val="caption"/>
    <w:basedOn w:val="Normal"/>
    <w:next w:val="Normal"/>
    <w:uiPriority w:val="35"/>
    <w:qFormat/>
    <w:pPr>
      <w:keepNext/>
      <w:spacing w:before="240" w:after="120"/>
      <w:ind w:left="2160" w:hanging="2160"/>
    </w:pPr>
    <w:rPr>
      <w:b/>
      <w:bCs/>
      <w:kern w:val="24"/>
      <w:sz w:val="24"/>
      <w:lang w:eastAsia="ja-JP"/>
    </w:rPr>
  </w:style>
  <w:style w:type="character" w:customStyle="1" w:styleId="emphasis">
    <w:name w:val="emphasis"/>
    <w:basedOn w:val="DefaultParagraphFont"/>
  </w:style>
  <w:style w:type="paragraph" w:customStyle="1" w:styleId="TableText">
    <w:name w:val="Table Text"/>
    <w:basedOn w:val="Normal"/>
    <w:link w:val="TableTextChar"/>
    <w:rsid w:val="00853663"/>
    <w:pPr>
      <w:keepNext/>
      <w:spacing w:before="40" w:after="40"/>
    </w:pPr>
    <w:rPr>
      <w:kern w:val="24"/>
      <w:sz w:val="24"/>
      <w:lang w:eastAsia="en-US"/>
    </w:rPr>
  </w:style>
  <w:style w:type="character" w:customStyle="1" w:styleId="TableTextChar">
    <w:name w:val="Table Text Char"/>
    <w:basedOn w:val="DefaultParagraphFont"/>
    <w:link w:val="TableText"/>
    <w:rsid w:val="00853663"/>
    <w:rPr>
      <w:rFonts w:eastAsia="Times New Roman"/>
      <w:kern w:val="24"/>
      <w:sz w:val="24"/>
      <w:lang w:eastAsia="en-US"/>
    </w:rPr>
  </w:style>
  <w:style w:type="paragraph" w:styleId="ListBullet">
    <w:name w:val="List Bullet"/>
    <w:basedOn w:val="Normal"/>
    <w:uiPriority w:val="99"/>
    <w:qFormat/>
    <w:rsid w:val="005968FE"/>
    <w:pPr>
      <w:numPr>
        <w:numId w:val="22"/>
      </w:numPr>
      <w:spacing w:before="120" w:after="180" w:line="240" w:lineRule="atLeast"/>
    </w:pPr>
    <w:rPr>
      <w:rFonts w:ascii="Cambria" w:eastAsia="Cambria" w:hAnsi="Cambria"/>
      <w:sz w:val="22"/>
      <w:szCs w:val="22"/>
      <w:lang w:val="en-AU" w:eastAsia="en-US"/>
    </w:rPr>
  </w:style>
  <w:style w:type="paragraph" w:styleId="ListBullet2">
    <w:name w:val="List Bullet 2"/>
    <w:basedOn w:val="Normal"/>
    <w:uiPriority w:val="99"/>
    <w:qFormat/>
    <w:rsid w:val="005968FE"/>
    <w:pPr>
      <w:numPr>
        <w:ilvl w:val="1"/>
        <w:numId w:val="22"/>
      </w:numPr>
      <w:spacing w:before="120" w:after="180" w:line="240" w:lineRule="atLeast"/>
    </w:pPr>
    <w:rPr>
      <w:rFonts w:ascii="Cambria" w:eastAsia="Cambria" w:hAnsi="Cambria"/>
      <w:sz w:val="22"/>
      <w:szCs w:val="22"/>
      <w:lang w:val="en-AU" w:eastAsia="en-US"/>
    </w:rPr>
  </w:style>
  <w:style w:type="paragraph" w:styleId="ListBullet3">
    <w:name w:val="List Bullet 3"/>
    <w:basedOn w:val="Normal"/>
    <w:uiPriority w:val="99"/>
    <w:qFormat/>
    <w:rsid w:val="005968FE"/>
    <w:pPr>
      <w:numPr>
        <w:ilvl w:val="2"/>
        <w:numId w:val="22"/>
      </w:numPr>
      <w:spacing w:before="120" w:after="180" w:line="240" w:lineRule="atLeast"/>
    </w:pPr>
    <w:rPr>
      <w:rFonts w:ascii="Cambria" w:eastAsia="Cambria" w:hAnsi="Cambria"/>
      <w:sz w:val="22"/>
      <w:szCs w:val="22"/>
      <w:lang w:val="en-AU" w:eastAsia="en-US"/>
    </w:rPr>
  </w:style>
  <w:style w:type="numbering" w:customStyle="1" w:styleId="ListBullets">
    <w:name w:val="ListBullets"/>
    <w:uiPriority w:val="99"/>
    <w:locked/>
    <w:rsid w:val="005968FE"/>
    <w:pPr>
      <w:numPr>
        <w:numId w:val="22"/>
      </w:numPr>
    </w:pPr>
  </w:style>
</w:styles>
</file>

<file path=word/webSettings.xml><?xml version="1.0" encoding="utf-8"?>
<w:webSettings xmlns:r="http://schemas.openxmlformats.org/officeDocument/2006/relationships" xmlns:w="http://schemas.openxmlformats.org/wordprocessingml/2006/main">
  <w:divs>
    <w:div w:id="42339906">
      <w:bodyDiv w:val="1"/>
      <w:marLeft w:val="0"/>
      <w:marRight w:val="0"/>
      <w:marTop w:val="0"/>
      <w:marBottom w:val="0"/>
      <w:divBdr>
        <w:top w:val="none" w:sz="0" w:space="0" w:color="auto"/>
        <w:left w:val="none" w:sz="0" w:space="0" w:color="auto"/>
        <w:bottom w:val="none" w:sz="0" w:space="0" w:color="auto"/>
        <w:right w:val="none" w:sz="0" w:space="0" w:color="auto"/>
      </w:divBdr>
    </w:div>
    <w:div w:id="177618474">
      <w:bodyDiv w:val="1"/>
      <w:marLeft w:val="0"/>
      <w:marRight w:val="0"/>
      <w:marTop w:val="0"/>
      <w:marBottom w:val="0"/>
      <w:divBdr>
        <w:top w:val="none" w:sz="0" w:space="0" w:color="auto"/>
        <w:left w:val="none" w:sz="0" w:space="0" w:color="auto"/>
        <w:bottom w:val="none" w:sz="0" w:space="0" w:color="auto"/>
        <w:right w:val="none" w:sz="0" w:space="0" w:color="auto"/>
      </w:divBdr>
    </w:div>
    <w:div w:id="312494535">
      <w:bodyDiv w:val="1"/>
      <w:marLeft w:val="0"/>
      <w:marRight w:val="0"/>
      <w:marTop w:val="0"/>
      <w:marBottom w:val="0"/>
      <w:divBdr>
        <w:top w:val="none" w:sz="0" w:space="0" w:color="auto"/>
        <w:left w:val="none" w:sz="0" w:space="0" w:color="auto"/>
        <w:bottom w:val="none" w:sz="0" w:space="0" w:color="auto"/>
        <w:right w:val="none" w:sz="0" w:space="0" w:color="auto"/>
      </w:divBdr>
    </w:div>
    <w:div w:id="413167995">
      <w:bodyDiv w:val="1"/>
      <w:marLeft w:val="0"/>
      <w:marRight w:val="0"/>
      <w:marTop w:val="0"/>
      <w:marBottom w:val="0"/>
      <w:divBdr>
        <w:top w:val="none" w:sz="0" w:space="0" w:color="auto"/>
        <w:left w:val="none" w:sz="0" w:space="0" w:color="auto"/>
        <w:bottom w:val="none" w:sz="0" w:space="0" w:color="auto"/>
        <w:right w:val="none" w:sz="0" w:space="0" w:color="auto"/>
      </w:divBdr>
    </w:div>
    <w:div w:id="972055117">
      <w:bodyDiv w:val="1"/>
      <w:marLeft w:val="0"/>
      <w:marRight w:val="0"/>
      <w:marTop w:val="0"/>
      <w:marBottom w:val="0"/>
      <w:divBdr>
        <w:top w:val="none" w:sz="0" w:space="0" w:color="auto"/>
        <w:left w:val="none" w:sz="0" w:space="0" w:color="auto"/>
        <w:bottom w:val="none" w:sz="0" w:space="0" w:color="auto"/>
        <w:right w:val="none" w:sz="0" w:space="0" w:color="auto"/>
      </w:divBdr>
    </w:div>
    <w:div w:id="1355573035">
      <w:bodyDiv w:val="1"/>
      <w:marLeft w:val="0"/>
      <w:marRight w:val="0"/>
      <w:marTop w:val="0"/>
      <w:marBottom w:val="0"/>
      <w:divBdr>
        <w:top w:val="none" w:sz="0" w:space="0" w:color="auto"/>
        <w:left w:val="none" w:sz="0" w:space="0" w:color="auto"/>
        <w:bottom w:val="none" w:sz="0" w:space="0" w:color="auto"/>
        <w:right w:val="none" w:sz="0" w:space="0" w:color="auto"/>
      </w:divBdr>
    </w:div>
    <w:div w:id="1890874117">
      <w:bodyDiv w:val="1"/>
      <w:marLeft w:val="0"/>
      <w:marRight w:val="0"/>
      <w:marTop w:val="0"/>
      <w:marBottom w:val="0"/>
      <w:divBdr>
        <w:top w:val="none" w:sz="0" w:space="0" w:color="auto"/>
        <w:left w:val="none" w:sz="0" w:space="0" w:color="auto"/>
        <w:bottom w:val="none" w:sz="0" w:space="0" w:color="auto"/>
        <w:right w:val="none" w:sz="0" w:space="0" w:color="auto"/>
      </w:divBdr>
    </w:div>
    <w:div w:id="203156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B227496A36E24FB4F9746F414E0FC9" ma:contentTypeVersion="0" ma:contentTypeDescription="Create a new document." ma:contentTypeScope="" ma:versionID="657646a105777375bf9d7e598095a9cf">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B3738-D226-42DC-BD3C-5B1E2F664456}">
  <ds:schemaRefs>
    <ds:schemaRef ds:uri="http://schemas.microsoft.com/sharepoint/v3/contenttype/forms"/>
  </ds:schemaRefs>
</ds:datastoreItem>
</file>

<file path=customXml/itemProps2.xml><?xml version="1.0" encoding="utf-8"?>
<ds:datastoreItem xmlns:ds="http://schemas.openxmlformats.org/officeDocument/2006/customXml" ds:itemID="{4BE01E3C-8C2F-45B7-BF44-059ABF4E2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91ACE5-E608-4960-B90D-46916C2E501D}">
  <ds:schemaRefs>
    <ds:schemaRef ds:uri="http://schemas.microsoft.com/office/2006/metadata/longProperties"/>
  </ds:schemaRefs>
</ds:datastoreItem>
</file>

<file path=customXml/itemProps4.xml><?xml version="1.0" encoding="utf-8"?>
<ds:datastoreItem xmlns:ds="http://schemas.openxmlformats.org/officeDocument/2006/customXml" ds:itemID="{6D1A0FA8-2ACF-4AF4-8084-08CF319BB299}">
  <ds:schemaRefs>
    <ds:schemaRef ds:uri="http://schemas.microsoft.com/office/2006/metadata/properties"/>
  </ds:schemaRefs>
</ds:datastoreItem>
</file>

<file path=customXml/itemProps5.xml><?xml version="1.0" encoding="utf-8"?>
<ds:datastoreItem xmlns:ds="http://schemas.openxmlformats.org/officeDocument/2006/customXml" ds:itemID="{31AB7CFA-A0CD-49E5-9E45-02B2F7B5A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22271</Words>
  <Characters>121826</Characters>
  <Application>Microsoft Office Word</Application>
  <DocSecurity>0</DocSecurity>
  <Lines>2298</Lines>
  <Paragraphs>900</Paragraphs>
  <ScaleCrop>false</ScaleCrop>
  <HeadingPairs>
    <vt:vector size="2" baseType="variant">
      <vt:variant>
        <vt:lpstr>Title</vt:lpstr>
      </vt:variant>
      <vt:variant>
        <vt:i4>1</vt:i4>
      </vt:variant>
    </vt:vector>
  </HeadingPairs>
  <TitlesOfParts>
    <vt:vector size="1" baseType="lpstr">
      <vt:lpstr>AU_BOTOX_OAB_PI-annotatedPINegotiations_01July2013</vt:lpstr>
    </vt:vector>
  </TitlesOfParts>
  <Company>Allergan Australia Pty Ltd</Company>
  <LinksUpToDate>false</LinksUpToDate>
  <CharactersWithSpaces>143197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Botulinum toxin, type A</dc:title>
  <dc:subject>prescription medicine regulation</dc:subject>
  <dc:creator>Allergan Australia Pty Ltd</dc:creator>
  <cp:keywords>product, information, prescription, medicine, regulation, botulinum, toxin, type, a, allergan, australia</cp:keywords>
  <cp:lastModifiedBy>dixonj</cp:lastModifiedBy>
  <cp:revision>2</cp:revision>
  <cp:lastPrinted>2013-08-19T05:23:00Z</cp:lastPrinted>
  <dcterms:created xsi:type="dcterms:W3CDTF">2013-11-18T04:16:00Z</dcterms:created>
  <dcterms:modified xsi:type="dcterms:W3CDTF">2013-11-18T04:16:00Z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0x01010072E524F488E5504BA8007920A279A49C</vt:lpwstr>
  </property>
  <property fmtid="{D5CDD505-2E9C-101B-9397-08002B2CF9AE}" pid="3" name="ContentType">
    <vt:lpwstr>Document</vt:lpwstr>
  </property>
</Properties>
</file>