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7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68"/>
      </w:tblGrid>
      <w:tr w:rsidR="008E7846" w:rsidRPr="00487162" w14:paraId="2095CA98" w14:textId="77777777" w:rsidTr="002F2695">
        <w:trPr>
          <w:trHeight w:val="1894"/>
        </w:trPr>
        <w:tc>
          <w:tcPr>
            <w:tcW w:w="7468" w:type="dxa"/>
            <w:tcBorders>
              <w:top w:val="nil"/>
              <w:left w:val="nil"/>
              <w:bottom w:val="nil"/>
              <w:right w:val="nil"/>
            </w:tcBorders>
          </w:tcPr>
          <w:p w14:paraId="4541C0FA" w14:textId="77777777" w:rsidR="00B342FA" w:rsidRDefault="00E737B7" w:rsidP="0017078F">
            <w:pPr>
              <w:rPr>
                <w:rFonts w:ascii="Arial" w:hAnsi="Arial" w:cs="Arial"/>
                <w:b/>
                <w:color w:val="002C47"/>
                <w:sz w:val="36"/>
                <w:szCs w:val="36"/>
              </w:rPr>
            </w:pPr>
            <w:r>
              <w:rPr>
                <w:rFonts w:ascii="Arial" w:hAnsi="Arial" w:cs="Arial"/>
                <w:b/>
                <w:color w:val="002C47"/>
                <w:sz w:val="36"/>
                <w:szCs w:val="36"/>
              </w:rPr>
              <w:t>First round</w:t>
            </w:r>
            <w:r w:rsidR="00D517F6">
              <w:rPr>
                <w:rFonts w:ascii="Arial" w:hAnsi="Arial" w:cs="Arial"/>
                <w:b/>
                <w:color w:val="002C47"/>
                <w:sz w:val="36"/>
                <w:szCs w:val="36"/>
              </w:rPr>
              <w:t xml:space="preserve"> report:</w:t>
            </w:r>
            <w:r>
              <w:rPr>
                <w:rFonts w:ascii="Arial" w:hAnsi="Arial" w:cs="Arial"/>
                <w:b/>
                <w:color w:val="002C47"/>
                <w:sz w:val="36"/>
                <w:szCs w:val="36"/>
              </w:rPr>
              <w:t xml:space="preserve"> </w:t>
            </w:r>
            <w:r w:rsidR="00B342FA">
              <w:rPr>
                <w:rFonts w:ascii="Arial" w:hAnsi="Arial" w:cs="Arial"/>
                <w:b/>
                <w:color w:val="002C47"/>
                <w:sz w:val="36"/>
                <w:szCs w:val="36"/>
              </w:rPr>
              <w:t>25 October 2016</w:t>
            </w:r>
          </w:p>
          <w:p w14:paraId="069516BB" w14:textId="059A628C" w:rsidR="008E7846" w:rsidRPr="0017078F" w:rsidRDefault="00B342FA" w:rsidP="0017078F">
            <w:pPr>
              <w:rPr>
                <w:rFonts w:ascii="Arial" w:hAnsi="Arial" w:cs="Arial"/>
                <w:b/>
                <w:color w:val="002C47"/>
                <w:sz w:val="36"/>
                <w:szCs w:val="36"/>
              </w:rPr>
            </w:pPr>
            <w:r>
              <w:rPr>
                <w:rFonts w:ascii="Arial" w:hAnsi="Arial" w:cs="Arial"/>
                <w:b/>
                <w:color w:val="002C47"/>
                <w:sz w:val="36"/>
                <w:szCs w:val="36"/>
              </w:rPr>
              <w:t xml:space="preserve">Second </w:t>
            </w:r>
            <w:r w:rsidR="00D517F6">
              <w:rPr>
                <w:rFonts w:ascii="Arial" w:hAnsi="Arial" w:cs="Arial"/>
                <w:b/>
                <w:color w:val="002C47"/>
                <w:sz w:val="36"/>
                <w:szCs w:val="36"/>
              </w:rPr>
              <w:t>r</w:t>
            </w:r>
            <w:r>
              <w:rPr>
                <w:rFonts w:ascii="Arial" w:hAnsi="Arial" w:cs="Arial"/>
                <w:b/>
                <w:color w:val="002C47"/>
                <w:sz w:val="36"/>
                <w:szCs w:val="36"/>
              </w:rPr>
              <w:t xml:space="preserve">ound </w:t>
            </w:r>
            <w:r w:rsidR="00D517F6">
              <w:rPr>
                <w:rFonts w:ascii="Arial" w:hAnsi="Arial" w:cs="Arial"/>
                <w:b/>
                <w:color w:val="002C47"/>
                <w:sz w:val="36"/>
                <w:szCs w:val="36"/>
              </w:rPr>
              <w:t xml:space="preserve">report: </w:t>
            </w:r>
            <w:r>
              <w:rPr>
                <w:rFonts w:ascii="Arial" w:hAnsi="Arial" w:cs="Arial"/>
                <w:b/>
                <w:color w:val="002C47"/>
                <w:sz w:val="36"/>
                <w:szCs w:val="36"/>
              </w:rPr>
              <w:t>3 February 2017</w:t>
            </w:r>
          </w:p>
        </w:tc>
      </w:tr>
    </w:tbl>
    <w:tbl>
      <w:tblPr>
        <w:tblpPr w:leftFromText="180" w:rightFromText="180" w:vertAnchor="page" w:tblpY="3316"/>
        <w:tblW w:w="9469" w:type="dxa"/>
        <w:tblLayout w:type="fixed"/>
        <w:tblLook w:val="04A0" w:firstRow="1" w:lastRow="0" w:firstColumn="1" w:lastColumn="0" w:noHBand="0" w:noVBand="1"/>
      </w:tblPr>
      <w:tblGrid>
        <w:gridCol w:w="9469"/>
      </w:tblGrid>
      <w:tr w:rsidR="0032583B" w:rsidRPr="00A964D1" w14:paraId="1E8AF754" w14:textId="77777777" w:rsidTr="002F2695">
        <w:trPr>
          <w:trHeight w:val="1534"/>
        </w:trPr>
        <w:tc>
          <w:tcPr>
            <w:tcW w:w="9469" w:type="dxa"/>
          </w:tcPr>
          <w:p w14:paraId="2D89E7B6" w14:textId="02BFB89A" w:rsidR="0032583B" w:rsidRPr="00A964D1" w:rsidRDefault="00E07F15" w:rsidP="00A964D1">
            <w:pPr>
              <w:pStyle w:val="Title"/>
              <w:rPr>
                <w:color w:val="FFFFFF" w:themeColor="background1"/>
              </w:rPr>
            </w:pPr>
            <w:r>
              <w:rPr>
                <w:color w:val="FFFFFF" w:themeColor="background1"/>
              </w:rPr>
              <w:t xml:space="preserve">AusPAR Attachment </w:t>
            </w:r>
            <w:r w:rsidR="00E767B4">
              <w:rPr>
                <w:color w:val="FFFFFF" w:themeColor="background1"/>
              </w:rPr>
              <w:t>1</w:t>
            </w:r>
          </w:p>
        </w:tc>
      </w:tr>
      <w:tr w:rsidR="00E07F15" w:rsidRPr="00A964D1" w14:paraId="11D1A8E3" w14:textId="77777777" w:rsidTr="002F2695">
        <w:trPr>
          <w:trHeight w:val="859"/>
        </w:trPr>
        <w:tc>
          <w:tcPr>
            <w:tcW w:w="9469" w:type="dxa"/>
          </w:tcPr>
          <w:p w14:paraId="543F0C8F" w14:textId="77777777" w:rsidR="00E07F15" w:rsidRPr="00A964D1" w:rsidRDefault="00E07F15" w:rsidP="00E07F15">
            <w:pPr>
              <w:pStyle w:val="Title"/>
              <w:rPr>
                <w:color w:val="FFFFFF" w:themeColor="background1"/>
              </w:rPr>
            </w:pPr>
            <w:r>
              <w:rPr>
                <w:color w:val="FFFFFF" w:themeColor="background1"/>
              </w:rPr>
              <w:t>Extract from the Clinical Evaluation Report</w:t>
            </w:r>
            <w:r w:rsidRPr="00A964D1">
              <w:rPr>
                <w:color w:val="FFFFFF" w:themeColor="background1"/>
              </w:rPr>
              <w:t xml:space="preserve"> for </w:t>
            </w:r>
            <w:r w:rsidR="00353244" w:rsidRPr="00353244">
              <w:rPr>
                <w:color w:val="FFFFFF" w:themeColor="background1"/>
              </w:rPr>
              <w:t>Bosentan</w:t>
            </w:r>
          </w:p>
        </w:tc>
      </w:tr>
      <w:tr w:rsidR="00E07F15" w:rsidRPr="00B64760" w14:paraId="09C4690B" w14:textId="77777777" w:rsidTr="002F2695">
        <w:trPr>
          <w:trHeight w:val="925"/>
        </w:trPr>
        <w:tc>
          <w:tcPr>
            <w:tcW w:w="9469" w:type="dxa"/>
          </w:tcPr>
          <w:p w14:paraId="3348C543" w14:textId="10199F0D" w:rsidR="00E07F15" w:rsidRPr="008E7846" w:rsidRDefault="00E07F15" w:rsidP="002F2695">
            <w:pPr>
              <w:pStyle w:val="Subtitle"/>
              <w:ind w:left="0"/>
              <w:rPr>
                <w:color w:val="FFFFFF" w:themeColor="background1"/>
              </w:rPr>
            </w:pPr>
            <w:r w:rsidRPr="008E7846">
              <w:rPr>
                <w:color w:val="FFFFFF" w:themeColor="background1"/>
              </w:rPr>
              <w:t xml:space="preserve">Proprietary Product Name: </w:t>
            </w:r>
            <w:r w:rsidR="00353244" w:rsidRPr="00353244">
              <w:rPr>
                <w:color w:val="FFFFFF" w:themeColor="background1"/>
              </w:rPr>
              <w:t>Tracleer</w:t>
            </w:r>
          </w:p>
        </w:tc>
      </w:tr>
      <w:tr w:rsidR="00E07F15" w:rsidRPr="00B64760" w14:paraId="165A81B5" w14:textId="77777777" w:rsidTr="002F2695">
        <w:trPr>
          <w:trHeight w:val="481"/>
        </w:trPr>
        <w:tc>
          <w:tcPr>
            <w:tcW w:w="9469" w:type="dxa"/>
          </w:tcPr>
          <w:p w14:paraId="4EFE8C55" w14:textId="41F7648E" w:rsidR="00E07F15" w:rsidRPr="008E7846" w:rsidRDefault="00E07F15" w:rsidP="002F2695">
            <w:pPr>
              <w:pStyle w:val="Subtitle"/>
              <w:ind w:left="0"/>
              <w:rPr>
                <w:color w:val="FFFFFF" w:themeColor="background1"/>
              </w:rPr>
            </w:pPr>
            <w:r w:rsidRPr="008E7846">
              <w:rPr>
                <w:color w:val="FFFFFF" w:themeColor="background1"/>
              </w:rPr>
              <w:t xml:space="preserve">Sponsor: </w:t>
            </w:r>
            <w:r w:rsidR="00353244" w:rsidRPr="00353244">
              <w:rPr>
                <w:color w:val="FFFFFF" w:themeColor="background1"/>
              </w:rPr>
              <w:t>Actelion Pharmaceuticals Australia Pty Ltd</w:t>
            </w:r>
          </w:p>
        </w:tc>
      </w:tr>
    </w:tbl>
    <w:p w14:paraId="292EB4A7" w14:textId="77777777" w:rsidR="008E7846" w:rsidRDefault="008E7846" w:rsidP="008E7846">
      <w:pPr>
        <w:pStyle w:val="NonTOCHeading2"/>
      </w:pPr>
      <w:r>
        <w:br w:type="page"/>
      </w:r>
    </w:p>
    <w:p w14:paraId="7FD53179" w14:textId="77777777" w:rsidR="008E7846" w:rsidRPr="001F6CBA" w:rsidRDefault="008E7846" w:rsidP="008E7846">
      <w:pPr>
        <w:pStyle w:val="NonTOCHeading2"/>
      </w:pPr>
      <w:r w:rsidRPr="001F6CBA">
        <w:lastRenderedPageBreak/>
        <w:t>About the Therapeutic Goods Administration (TGA)</w:t>
      </w:r>
    </w:p>
    <w:p w14:paraId="30D7E1C0" w14:textId="77777777" w:rsidR="008E7846" w:rsidRDefault="008E7846" w:rsidP="00153B34">
      <w:pPr>
        <w:pStyle w:val="ListBullet"/>
        <w:numPr>
          <w:ilvl w:val="0"/>
          <w:numId w:val="1"/>
        </w:numPr>
        <w:ind w:left="357" w:hanging="357"/>
      </w:pPr>
      <w:r>
        <w:t xml:space="preserve">The Therapeutic Goods Administration (TGA) is </w:t>
      </w:r>
      <w:r w:rsidR="00E624A5">
        <w:t xml:space="preserve">part </w:t>
      </w:r>
      <w:r>
        <w:t>of the Australian Government Department of Health, and is responsible for regulating medicines and medical devices.</w:t>
      </w:r>
    </w:p>
    <w:p w14:paraId="64FC40B7" w14:textId="77777777" w:rsidR="008E7846" w:rsidRDefault="00C811C0" w:rsidP="00153B34">
      <w:pPr>
        <w:pStyle w:val="ListBullet"/>
        <w:numPr>
          <w:ilvl w:val="0"/>
          <w:numId w:val="1"/>
        </w:numPr>
        <w:ind w:left="357" w:hanging="357"/>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14:paraId="3C4B8EA3" w14:textId="77777777" w:rsidR="008E7846" w:rsidRDefault="008E7846" w:rsidP="00153B34">
      <w:pPr>
        <w:pStyle w:val="ListBullet"/>
        <w:numPr>
          <w:ilvl w:val="0"/>
          <w:numId w:val="1"/>
        </w:numPr>
        <w:ind w:left="357" w:hanging="357"/>
      </w:pPr>
      <w:r>
        <w:t>The work of the TGA is based on applying scientific and clinical expertise to decision-making, to ensure that the benefits to consumers outweigh any risks associated with the use of medicines and medical devices.</w:t>
      </w:r>
    </w:p>
    <w:p w14:paraId="39ABDB1B" w14:textId="77777777" w:rsidR="008E7846" w:rsidRDefault="008E7846" w:rsidP="00153B34">
      <w:pPr>
        <w:pStyle w:val="ListBullet"/>
        <w:numPr>
          <w:ilvl w:val="0"/>
          <w:numId w:val="1"/>
        </w:numPr>
        <w:ind w:left="357" w:hanging="357"/>
      </w:pPr>
      <w:r>
        <w:t>The TGA relies on the public, healthcare professionals and industry to report problems with medicines or medical devices. TGA investigates reports received by it to determine any necessary regulatory action.</w:t>
      </w:r>
    </w:p>
    <w:p w14:paraId="11017720" w14:textId="7491D4EB" w:rsidR="008E7846" w:rsidRDefault="008E7846" w:rsidP="00153B34">
      <w:pPr>
        <w:pStyle w:val="ListBullet"/>
        <w:numPr>
          <w:ilvl w:val="0"/>
          <w:numId w:val="1"/>
        </w:numPr>
        <w:ind w:left="357" w:hanging="357"/>
      </w:pPr>
      <w:r>
        <w:t>To report a problem with a medicine or medical device, please see the information on the TGA website</w:t>
      </w:r>
      <w:r w:rsidR="00112F56">
        <w:t xml:space="preserve"> &lt;</w:t>
      </w:r>
      <w:hyperlink r:id="rId9" w:history="1">
        <w:r w:rsidR="00E979F4" w:rsidRPr="00FE02B1">
          <w:rPr>
            <w:rStyle w:val="Hyperlink"/>
          </w:rPr>
          <w:t>https://www.tga.gov.au</w:t>
        </w:r>
      </w:hyperlink>
      <w:r w:rsidR="00CF6063">
        <w:t>&gt;</w:t>
      </w:r>
      <w:r>
        <w:t>.</w:t>
      </w:r>
    </w:p>
    <w:p w14:paraId="0043B1B7" w14:textId="77777777" w:rsidR="0017078F" w:rsidRPr="001F6CBA" w:rsidRDefault="0017078F" w:rsidP="0017078F">
      <w:pPr>
        <w:pStyle w:val="NonTOCHeading2"/>
      </w:pPr>
      <w:r w:rsidRPr="001F6CBA">
        <w:t xml:space="preserve">About the </w:t>
      </w:r>
      <w:r w:rsidRPr="0017078F">
        <w:t>Extract</w:t>
      </w:r>
      <w:r>
        <w:t xml:space="preserve"> from the Clinical Evaluation Report</w:t>
      </w:r>
    </w:p>
    <w:p w14:paraId="4005579A" w14:textId="77777777" w:rsidR="0017078F" w:rsidRDefault="003D0A3B" w:rsidP="0017078F">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14:paraId="27FE8989" w14:textId="77777777" w:rsidR="003D0A3B" w:rsidRDefault="003D0A3B" w:rsidP="003D0A3B">
      <w:pPr>
        <w:pStyle w:val="ListBullet"/>
      </w:pPr>
      <w:r w:rsidRPr="003D0A3B">
        <w:t>The words [Information redacted], where they appear in this document, indicate that confidential information has been deleted.</w:t>
      </w:r>
    </w:p>
    <w:p w14:paraId="6AEF25C8" w14:textId="280FAC47" w:rsidR="0017078F" w:rsidRDefault="003D0A3B" w:rsidP="0017078F">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CF6063">
        <w:t>&gt;</w:t>
      </w:r>
      <w:r w:rsidR="0017078F">
        <w:t>.</w:t>
      </w:r>
    </w:p>
    <w:p w14:paraId="738961C3" w14:textId="77777777" w:rsidR="00924482" w:rsidRPr="00DF1D7F" w:rsidRDefault="00924482" w:rsidP="00B342FA">
      <w:pPr>
        <w:pStyle w:val="LegalSubheading"/>
        <w:spacing w:before="3960"/>
      </w:pPr>
      <w:r w:rsidRPr="00DF1D7F">
        <w:t>Copyright</w:t>
      </w:r>
    </w:p>
    <w:p w14:paraId="78787CA2" w14:textId="77777777" w:rsidR="00924482" w:rsidRDefault="00924482" w:rsidP="00924482">
      <w:pPr>
        <w:pStyle w:val="LegalCopy"/>
      </w:pPr>
      <w:r w:rsidRPr="00191B3B">
        <w:rPr>
          <w:rFonts w:cs="Arial"/>
          <w:lang w:val="en-GB"/>
        </w:rPr>
        <w:t>© Comm</w:t>
      </w:r>
      <w:r>
        <w:rPr>
          <w:rFonts w:cs="Arial"/>
          <w:lang w:val="en-GB"/>
        </w:rPr>
        <w:t>onwealth of Australia 201</w:t>
      </w:r>
      <w:r w:rsidR="00B342FA">
        <w:rPr>
          <w:rFonts w:cs="Arial"/>
          <w:lang w:val="en-GB"/>
        </w:rPr>
        <w:t>8</w:t>
      </w:r>
      <w:r w:rsidRPr="00191B3B">
        <w:rPr>
          <w:rFonts w:cs="Arial"/>
          <w:lang w:val="en-GB"/>
        </w:rPr>
        <w:br/>
        <w:t xml:space="preserve">This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00CF6063">
        <w:rPr>
          <w:rFonts w:cs="Arial"/>
        </w:rPr>
        <w:t xml:space="preserve">&gt; </w:t>
      </w:r>
      <w:r w:rsidRPr="00191B3B">
        <w:rPr>
          <w:rFonts w:cs="Arial"/>
        </w:rPr>
        <w:t>.</w:t>
      </w:r>
    </w:p>
    <w:p w14:paraId="41524A5D" w14:textId="77777777"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14:paraId="0CFBA0D7" w14:textId="77777777" w:rsidR="0089635C" w:rsidRPr="0089635C" w:rsidRDefault="0089635C" w:rsidP="0010788A">
          <w:pPr>
            <w:pStyle w:val="Contents"/>
          </w:pPr>
          <w:r w:rsidRPr="0010788A">
            <w:t>Con</w:t>
          </w:r>
          <w:bookmarkStart w:id="2" w:name="_GoBack"/>
          <w:bookmarkEnd w:id="2"/>
          <w:r w:rsidRPr="0010788A">
            <w:t>tents</w:t>
          </w:r>
        </w:p>
        <w:p w14:paraId="35EC0698" w14:textId="77777777" w:rsidR="001977DC"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519773879" w:history="1">
            <w:r w:rsidR="001977DC" w:rsidRPr="00004331">
              <w:rPr>
                <w:rStyle w:val="Hyperlink"/>
                <w:noProof/>
              </w:rPr>
              <w:t>List of abbreviations</w:t>
            </w:r>
            <w:r w:rsidR="001977DC">
              <w:rPr>
                <w:noProof/>
                <w:webHidden/>
              </w:rPr>
              <w:tab/>
            </w:r>
            <w:r w:rsidR="001977DC">
              <w:rPr>
                <w:noProof/>
                <w:webHidden/>
              </w:rPr>
              <w:fldChar w:fldCharType="begin"/>
            </w:r>
            <w:r w:rsidR="001977DC">
              <w:rPr>
                <w:noProof/>
                <w:webHidden/>
              </w:rPr>
              <w:instrText xml:space="preserve"> PAGEREF _Toc519773879 \h </w:instrText>
            </w:r>
            <w:r w:rsidR="001977DC">
              <w:rPr>
                <w:noProof/>
                <w:webHidden/>
              </w:rPr>
            </w:r>
            <w:r w:rsidR="001977DC">
              <w:rPr>
                <w:noProof/>
                <w:webHidden/>
              </w:rPr>
              <w:fldChar w:fldCharType="separate"/>
            </w:r>
            <w:r w:rsidR="001977DC">
              <w:rPr>
                <w:noProof/>
                <w:webHidden/>
              </w:rPr>
              <w:t>5</w:t>
            </w:r>
            <w:r w:rsidR="001977DC">
              <w:rPr>
                <w:noProof/>
                <w:webHidden/>
              </w:rPr>
              <w:fldChar w:fldCharType="end"/>
            </w:r>
          </w:hyperlink>
        </w:p>
        <w:p w14:paraId="3AC5CA43"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880" w:history="1">
            <w:r w:rsidRPr="00004331">
              <w:rPr>
                <w:rStyle w:val="Hyperlink"/>
                <w:noProof/>
                <w:lang w:eastAsia="en-AU"/>
              </w:rPr>
              <w:t>1.</w:t>
            </w:r>
            <w:r>
              <w:rPr>
                <w:rFonts w:asciiTheme="minorHAnsi" w:eastAsiaTheme="minorEastAsia" w:hAnsiTheme="minorHAnsi" w:cstheme="minorBidi"/>
                <w:b w:val="0"/>
                <w:noProof/>
                <w:sz w:val="22"/>
                <w:lang w:eastAsia="en-AU"/>
              </w:rPr>
              <w:tab/>
            </w:r>
            <w:r w:rsidRPr="00004331">
              <w:rPr>
                <w:rStyle w:val="Hyperlink"/>
                <w:noProof/>
                <w:lang w:eastAsia="en-AU"/>
              </w:rPr>
              <w:t>Introduction</w:t>
            </w:r>
            <w:r>
              <w:rPr>
                <w:noProof/>
                <w:webHidden/>
              </w:rPr>
              <w:tab/>
            </w:r>
            <w:r>
              <w:rPr>
                <w:noProof/>
                <w:webHidden/>
              </w:rPr>
              <w:fldChar w:fldCharType="begin"/>
            </w:r>
            <w:r>
              <w:rPr>
                <w:noProof/>
                <w:webHidden/>
              </w:rPr>
              <w:instrText xml:space="preserve"> PAGEREF _Toc519773880 \h </w:instrText>
            </w:r>
            <w:r>
              <w:rPr>
                <w:noProof/>
                <w:webHidden/>
              </w:rPr>
            </w:r>
            <w:r>
              <w:rPr>
                <w:noProof/>
                <w:webHidden/>
              </w:rPr>
              <w:fldChar w:fldCharType="separate"/>
            </w:r>
            <w:r>
              <w:rPr>
                <w:noProof/>
                <w:webHidden/>
              </w:rPr>
              <w:t>9</w:t>
            </w:r>
            <w:r>
              <w:rPr>
                <w:noProof/>
                <w:webHidden/>
              </w:rPr>
              <w:fldChar w:fldCharType="end"/>
            </w:r>
          </w:hyperlink>
        </w:p>
        <w:p w14:paraId="50ED4C6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1" w:history="1">
            <w:r w:rsidRPr="00004331">
              <w:rPr>
                <w:rStyle w:val="Hyperlink"/>
                <w:noProof/>
              </w:rPr>
              <w:t>1.1.</w:t>
            </w:r>
            <w:r>
              <w:rPr>
                <w:rFonts w:asciiTheme="minorHAnsi" w:eastAsiaTheme="minorEastAsia" w:hAnsiTheme="minorHAnsi" w:cstheme="minorBidi"/>
                <w:noProof/>
                <w:lang w:eastAsia="en-AU"/>
              </w:rPr>
              <w:tab/>
            </w:r>
            <w:r w:rsidRPr="00004331">
              <w:rPr>
                <w:rStyle w:val="Hyperlink"/>
                <w:noProof/>
              </w:rPr>
              <w:t>Submission type</w:t>
            </w:r>
            <w:r>
              <w:rPr>
                <w:noProof/>
                <w:webHidden/>
              </w:rPr>
              <w:tab/>
            </w:r>
            <w:r>
              <w:rPr>
                <w:noProof/>
                <w:webHidden/>
              </w:rPr>
              <w:fldChar w:fldCharType="begin"/>
            </w:r>
            <w:r>
              <w:rPr>
                <w:noProof/>
                <w:webHidden/>
              </w:rPr>
              <w:instrText xml:space="preserve"> PAGEREF _Toc519773881 \h </w:instrText>
            </w:r>
            <w:r>
              <w:rPr>
                <w:noProof/>
                <w:webHidden/>
              </w:rPr>
            </w:r>
            <w:r>
              <w:rPr>
                <w:noProof/>
                <w:webHidden/>
              </w:rPr>
              <w:fldChar w:fldCharType="separate"/>
            </w:r>
            <w:r>
              <w:rPr>
                <w:noProof/>
                <w:webHidden/>
              </w:rPr>
              <w:t>9</w:t>
            </w:r>
            <w:r>
              <w:rPr>
                <w:noProof/>
                <w:webHidden/>
              </w:rPr>
              <w:fldChar w:fldCharType="end"/>
            </w:r>
          </w:hyperlink>
        </w:p>
        <w:p w14:paraId="3A98B9A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2" w:history="1">
            <w:r w:rsidRPr="00004331">
              <w:rPr>
                <w:rStyle w:val="Hyperlink"/>
                <w:noProof/>
              </w:rPr>
              <w:t>1.2.</w:t>
            </w:r>
            <w:r>
              <w:rPr>
                <w:rFonts w:asciiTheme="minorHAnsi" w:eastAsiaTheme="minorEastAsia" w:hAnsiTheme="minorHAnsi" w:cstheme="minorBidi"/>
                <w:noProof/>
                <w:lang w:eastAsia="en-AU"/>
              </w:rPr>
              <w:tab/>
            </w:r>
            <w:r w:rsidRPr="00004331">
              <w:rPr>
                <w:rStyle w:val="Hyperlink"/>
                <w:noProof/>
              </w:rPr>
              <w:t>Drug class and therapeutic indication</w:t>
            </w:r>
            <w:r>
              <w:rPr>
                <w:noProof/>
                <w:webHidden/>
              </w:rPr>
              <w:tab/>
            </w:r>
            <w:r>
              <w:rPr>
                <w:noProof/>
                <w:webHidden/>
              </w:rPr>
              <w:fldChar w:fldCharType="begin"/>
            </w:r>
            <w:r>
              <w:rPr>
                <w:noProof/>
                <w:webHidden/>
              </w:rPr>
              <w:instrText xml:space="preserve"> PAGEREF _Toc519773882 \h </w:instrText>
            </w:r>
            <w:r>
              <w:rPr>
                <w:noProof/>
                <w:webHidden/>
              </w:rPr>
            </w:r>
            <w:r>
              <w:rPr>
                <w:noProof/>
                <w:webHidden/>
              </w:rPr>
              <w:fldChar w:fldCharType="separate"/>
            </w:r>
            <w:r>
              <w:rPr>
                <w:noProof/>
                <w:webHidden/>
              </w:rPr>
              <w:t>9</w:t>
            </w:r>
            <w:r>
              <w:rPr>
                <w:noProof/>
                <w:webHidden/>
              </w:rPr>
              <w:fldChar w:fldCharType="end"/>
            </w:r>
          </w:hyperlink>
        </w:p>
        <w:p w14:paraId="1016F1EB"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3" w:history="1">
            <w:r w:rsidRPr="00004331">
              <w:rPr>
                <w:rStyle w:val="Hyperlink"/>
                <w:noProof/>
              </w:rPr>
              <w:t>1.3.</w:t>
            </w:r>
            <w:r>
              <w:rPr>
                <w:rFonts w:asciiTheme="minorHAnsi" w:eastAsiaTheme="minorEastAsia" w:hAnsiTheme="minorHAnsi" w:cstheme="minorBidi"/>
                <w:noProof/>
                <w:lang w:eastAsia="en-AU"/>
              </w:rPr>
              <w:tab/>
            </w:r>
            <w:r w:rsidRPr="00004331">
              <w:rPr>
                <w:rStyle w:val="Hyperlink"/>
                <w:noProof/>
              </w:rPr>
              <w:t>Dosage forms and strengths</w:t>
            </w:r>
            <w:r>
              <w:rPr>
                <w:noProof/>
                <w:webHidden/>
              </w:rPr>
              <w:tab/>
            </w:r>
            <w:r>
              <w:rPr>
                <w:noProof/>
                <w:webHidden/>
              </w:rPr>
              <w:fldChar w:fldCharType="begin"/>
            </w:r>
            <w:r>
              <w:rPr>
                <w:noProof/>
                <w:webHidden/>
              </w:rPr>
              <w:instrText xml:space="preserve"> PAGEREF _Toc519773883 \h </w:instrText>
            </w:r>
            <w:r>
              <w:rPr>
                <w:noProof/>
                <w:webHidden/>
              </w:rPr>
            </w:r>
            <w:r>
              <w:rPr>
                <w:noProof/>
                <w:webHidden/>
              </w:rPr>
              <w:fldChar w:fldCharType="separate"/>
            </w:r>
            <w:r>
              <w:rPr>
                <w:noProof/>
                <w:webHidden/>
              </w:rPr>
              <w:t>9</w:t>
            </w:r>
            <w:r>
              <w:rPr>
                <w:noProof/>
                <w:webHidden/>
              </w:rPr>
              <w:fldChar w:fldCharType="end"/>
            </w:r>
          </w:hyperlink>
        </w:p>
        <w:p w14:paraId="5B4B8B54"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4" w:history="1">
            <w:r w:rsidRPr="00004331">
              <w:rPr>
                <w:rStyle w:val="Hyperlink"/>
                <w:noProof/>
              </w:rPr>
              <w:t>1.4.</w:t>
            </w:r>
            <w:r>
              <w:rPr>
                <w:rFonts w:asciiTheme="minorHAnsi" w:eastAsiaTheme="minorEastAsia" w:hAnsiTheme="minorHAnsi" w:cstheme="minorBidi"/>
                <w:noProof/>
                <w:lang w:eastAsia="en-AU"/>
              </w:rPr>
              <w:tab/>
            </w:r>
            <w:r w:rsidRPr="00004331">
              <w:rPr>
                <w:rStyle w:val="Hyperlink"/>
                <w:noProof/>
              </w:rPr>
              <w:t>Dosage and administration</w:t>
            </w:r>
            <w:r>
              <w:rPr>
                <w:noProof/>
                <w:webHidden/>
              </w:rPr>
              <w:tab/>
            </w:r>
            <w:r>
              <w:rPr>
                <w:noProof/>
                <w:webHidden/>
              </w:rPr>
              <w:fldChar w:fldCharType="begin"/>
            </w:r>
            <w:r>
              <w:rPr>
                <w:noProof/>
                <w:webHidden/>
              </w:rPr>
              <w:instrText xml:space="preserve"> PAGEREF _Toc519773884 \h </w:instrText>
            </w:r>
            <w:r>
              <w:rPr>
                <w:noProof/>
                <w:webHidden/>
              </w:rPr>
            </w:r>
            <w:r>
              <w:rPr>
                <w:noProof/>
                <w:webHidden/>
              </w:rPr>
              <w:fldChar w:fldCharType="separate"/>
            </w:r>
            <w:r>
              <w:rPr>
                <w:noProof/>
                <w:webHidden/>
              </w:rPr>
              <w:t>10</w:t>
            </w:r>
            <w:r>
              <w:rPr>
                <w:noProof/>
                <w:webHidden/>
              </w:rPr>
              <w:fldChar w:fldCharType="end"/>
            </w:r>
          </w:hyperlink>
        </w:p>
        <w:p w14:paraId="7C2CEFE0"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5" w:history="1">
            <w:r w:rsidRPr="00004331">
              <w:rPr>
                <w:rStyle w:val="Hyperlink"/>
                <w:noProof/>
              </w:rPr>
              <w:t>1.5.</w:t>
            </w:r>
            <w:r>
              <w:rPr>
                <w:rFonts w:asciiTheme="minorHAnsi" w:eastAsiaTheme="minorEastAsia" w:hAnsiTheme="minorHAnsi" w:cstheme="minorBidi"/>
                <w:noProof/>
                <w:lang w:eastAsia="en-AU"/>
              </w:rPr>
              <w:tab/>
            </w:r>
            <w:r w:rsidRPr="00004331">
              <w:rPr>
                <w:rStyle w:val="Hyperlink"/>
                <w:noProof/>
              </w:rPr>
              <w:t>Information on the condition being treated</w:t>
            </w:r>
            <w:r>
              <w:rPr>
                <w:noProof/>
                <w:webHidden/>
              </w:rPr>
              <w:tab/>
            </w:r>
            <w:r>
              <w:rPr>
                <w:noProof/>
                <w:webHidden/>
              </w:rPr>
              <w:fldChar w:fldCharType="begin"/>
            </w:r>
            <w:r>
              <w:rPr>
                <w:noProof/>
                <w:webHidden/>
              </w:rPr>
              <w:instrText xml:space="preserve"> PAGEREF _Toc519773885 \h </w:instrText>
            </w:r>
            <w:r>
              <w:rPr>
                <w:noProof/>
                <w:webHidden/>
              </w:rPr>
            </w:r>
            <w:r>
              <w:rPr>
                <w:noProof/>
                <w:webHidden/>
              </w:rPr>
              <w:fldChar w:fldCharType="separate"/>
            </w:r>
            <w:r>
              <w:rPr>
                <w:noProof/>
                <w:webHidden/>
              </w:rPr>
              <w:t>11</w:t>
            </w:r>
            <w:r>
              <w:rPr>
                <w:noProof/>
                <w:webHidden/>
              </w:rPr>
              <w:fldChar w:fldCharType="end"/>
            </w:r>
          </w:hyperlink>
        </w:p>
        <w:p w14:paraId="62FB66D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6" w:history="1">
            <w:r w:rsidRPr="00004331">
              <w:rPr>
                <w:rStyle w:val="Hyperlink"/>
                <w:noProof/>
              </w:rPr>
              <w:t>1.6.</w:t>
            </w:r>
            <w:r>
              <w:rPr>
                <w:rFonts w:asciiTheme="minorHAnsi" w:eastAsiaTheme="minorEastAsia" w:hAnsiTheme="minorHAnsi" w:cstheme="minorBidi"/>
                <w:noProof/>
                <w:lang w:eastAsia="en-AU"/>
              </w:rPr>
              <w:tab/>
            </w:r>
            <w:r w:rsidRPr="00004331">
              <w:rPr>
                <w:rStyle w:val="Hyperlink"/>
                <w:noProof/>
              </w:rPr>
              <w:t>Current treatment options</w:t>
            </w:r>
            <w:r>
              <w:rPr>
                <w:noProof/>
                <w:webHidden/>
              </w:rPr>
              <w:tab/>
            </w:r>
            <w:r>
              <w:rPr>
                <w:noProof/>
                <w:webHidden/>
              </w:rPr>
              <w:fldChar w:fldCharType="begin"/>
            </w:r>
            <w:r>
              <w:rPr>
                <w:noProof/>
                <w:webHidden/>
              </w:rPr>
              <w:instrText xml:space="preserve"> PAGEREF _Toc519773886 \h </w:instrText>
            </w:r>
            <w:r>
              <w:rPr>
                <w:noProof/>
                <w:webHidden/>
              </w:rPr>
            </w:r>
            <w:r>
              <w:rPr>
                <w:noProof/>
                <w:webHidden/>
              </w:rPr>
              <w:fldChar w:fldCharType="separate"/>
            </w:r>
            <w:r>
              <w:rPr>
                <w:noProof/>
                <w:webHidden/>
              </w:rPr>
              <w:t>11</w:t>
            </w:r>
            <w:r>
              <w:rPr>
                <w:noProof/>
                <w:webHidden/>
              </w:rPr>
              <w:fldChar w:fldCharType="end"/>
            </w:r>
          </w:hyperlink>
        </w:p>
        <w:p w14:paraId="61A48FA2"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887" w:history="1">
            <w:r w:rsidRPr="00004331">
              <w:rPr>
                <w:rStyle w:val="Hyperlink"/>
                <w:noProof/>
              </w:rPr>
              <w:t>2.</w:t>
            </w:r>
            <w:r>
              <w:rPr>
                <w:rFonts w:asciiTheme="minorHAnsi" w:eastAsiaTheme="minorEastAsia" w:hAnsiTheme="minorHAnsi" w:cstheme="minorBidi"/>
                <w:b w:val="0"/>
                <w:noProof/>
                <w:sz w:val="22"/>
                <w:lang w:eastAsia="en-AU"/>
              </w:rPr>
              <w:tab/>
            </w:r>
            <w:r w:rsidRPr="00004331">
              <w:rPr>
                <w:rStyle w:val="Hyperlink"/>
                <w:noProof/>
              </w:rPr>
              <w:t>Clinical rationale</w:t>
            </w:r>
            <w:r>
              <w:rPr>
                <w:noProof/>
                <w:webHidden/>
              </w:rPr>
              <w:tab/>
            </w:r>
            <w:r>
              <w:rPr>
                <w:noProof/>
                <w:webHidden/>
              </w:rPr>
              <w:fldChar w:fldCharType="begin"/>
            </w:r>
            <w:r>
              <w:rPr>
                <w:noProof/>
                <w:webHidden/>
              </w:rPr>
              <w:instrText xml:space="preserve"> PAGEREF _Toc519773887 \h </w:instrText>
            </w:r>
            <w:r>
              <w:rPr>
                <w:noProof/>
                <w:webHidden/>
              </w:rPr>
            </w:r>
            <w:r>
              <w:rPr>
                <w:noProof/>
                <w:webHidden/>
              </w:rPr>
              <w:fldChar w:fldCharType="separate"/>
            </w:r>
            <w:r>
              <w:rPr>
                <w:noProof/>
                <w:webHidden/>
              </w:rPr>
              <w:t>12</w:t>
            </w:r>
            <w:r>
              <w:rPr>
                <w:noProof/>
                <w:webHidden/>
              </w:rPr>
              <w:fldChar w:fldCharType="end"/>
            </w:r>
          </w:hyperlink>
        </w:p>
        <w:p w14:paraId="012711AC"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8" w:history="1">
            <w:r w:rsidRPr="00004331">
              <w:rPr>
                <w:rStyle w:val="Hyperlink"/>
                <w:noProof/>
              </w:rPr>
              <w:t>2.1.</w:t>
            </w:r>
            <w:r>
              <w:rPr>
                <w:rFonts w:asciiTheme="minorHAnsi" w:eastAsiaTheme="minorEastAsia" w:hAnsiTheme="minorHAnsi" w:cstheme="minorBidi"/>
                <w:noProof/>
                <w:lang w:eastAsia="en-AU"/>
              </w:rPr>
              <w:tab/>
            </w:r>
            <w:r w:rsidRPr="00004331">
              <w:rPr>
                <w:rStyle w:val="Hyperlink"/>
                <w:noProof/>
              </w:rPr>
              <w:t>Formulation</w:t>
            </w:r>
            <w:r>
              <w:rPr>
                <w:noProof/>
                <w:webHidden/>
              </w:rPr>
              <w:tab/>
            </w:r>
            <w:r>
              <w:rPr>
                <w:noProof/>
                <w:webHidden/>
              </w:rPr>
              <w:fldChar w:fldCharType="begin"/>
            </w:r>
            <w:r>
              <w:rPr>
                <w:noProof/>
                <w:webHidden/>
              </w:rPr>
              <w:instrText xml:space="preserve"> PAGEREF _Toc519773888 \h </w:instrText>
            </w:r>
            <w:r>
              <w:rPr>
                <w:noProof/>
                <w:webHidden/>
              </w:rPr>
            </w:r>
            <w:r>
              <w:rPr>
                <w:noProof/>
                <w:webHidden/>
              </w:rPr>
              <w:fldChar w:fldCharType="separate"/>
            </w:r>
            <w:r>
              <w:rPr>
                <w:noProof/>
                <w:webHidden/>
              </w:rPr>
              <w:t>14</w:t>
            </w:r>
            <w:r>
              <w:rPr>
                <w:noProof/>
                <w:webHidden/>
              </w:rPr>
              <w:fldChar w:fldCharType="end"/>
            </w:r>
          </w:hyperlink>
        </w:p>
        <w:p w14:paraId="52DDA277"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89" w:history="1">
            <w:r w:rsidRPr="00004331">
              <w:rPr>
                <w:rStyle w:val="Hyperlink"/>
                <w:noProof/>
              </w:rPr>
              <w:t>2.1.</w:t>
            </w:r>
            <w:r>
              <w:rPr>
                <w:rFonts w:asciiTheme="minorHAnsi" w:eastAsiaTheme="minorEastAsia" w:hAnsiTheme="minorHAnsi" w:cstheme="minorBidi"/>
                <w:noProof/>
                <w:lang w:eastAsia="en-AU"/>
              </w:rPr>
              <w:tab/>
            </w:r>
            <w:r w:rsidRPr="00004331">
              <w:rPr>
                <w:rStyle w:val="Hyperlink"/>
                <w:noProof/>
              </w:rPr>
              <w:t>Evaluator’s commentary on the background information</w:t>
            </w:r>
            <w:r>
              <w:rPr>
                <w:noProof/>
                <w:webHidden/>
              </w:rPr>
              <w:tab/>
            </w:r>
            <w:r>
              <w:rPr>
                <w:noProof/>
                <w:webHidden/>
              </w:rPr>
              <w:fldChar w:fldCharType="begin"/>
            </w:r>
            <w:r>
              <w:rPr>
                <w:noProof/>
                <w:webHidden/>
              </w:rPr>
              <w:instrText xml:space="preserve"> PAGEREF _Toc519773889 \h </w:instrText>
            </w:r>
            <w:r>
              <w:rPr>
                <w:noProof/>
                <w:webHidden/>
              </w:rPr>
            </w:r>
            <w:r>
              <w:rPr>
                <w:noProof/>
                <w:webHidden/>
              </w:rPr>
              <w:fldChar w:fldCharType="separate"/>
            </w:r>
            <w:r>
              <w:rPr>
                <w:noProof/>
                <w:webHidden/>
              </w:rPr>
              <w:t>14</w:t>
            </w:r>
            <w:r>
              <w:rPr>
                <w:noProof/>
                <w:webHidden/>
              </w:rPr>
              <w:fldChar w:fldCharType="end"/>
            </w:r>
          </w:hyperlink>
        </w:p>
        <w:p w14:paraId="1BAE84CD"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890" w:history="1">
            <w:r w:rsidRPr="00004331">
              <w:rPr>
                <w:rStyle w:val="Hyperlink"/>
                <w:noProof/>
                <w:lang w:eastAsia="en-AU"/>
              </w:rPr>
              <w:t>3.</w:t>
            </w:r>
            <w:r>
              <w:rPr>
                <w:rFonts w:asciiTheme="minorHAnsi" w:eastAsiaTheme="minorEastAsia" w:hAnsiTheme="minorHAnsi" w:cstheme="minorBidi"/>
                <w:b w:val="0"/>
                <w:noProof/>
                <w:sz w:val="22"/>
                <w:lang w:eastAsia="en-AU"/>
              </w:rPr>
              <w:tab/>
            </w:r>
            <w:r w:rsidRPr="00004331">
              <w:rPr>
                <w:rStyle w:val="Hyperlink"/>
                <w:noProof/>
                <w:lang w:eastAsia="en-AU"/>
              </w:rPr>
              <w:t>Contents of the clinical dossier</w:t>
            </w:r>
            <w:r>
              <w:rPr>
                <w:noProof/>
                <w:webHidden/>
              </w:rPr>
              <w:tab/>
            </w:r>
            <w:r>
              <w:rPr>
                <w:noProof/>
                <w:webHidden/>
              </w:rPr>
              <w:fldChar w:fldCharType="begin"/>
            </w:r>
            <w:r>
              <w:rPr>
                <w:noProof/>
                <w:webHidden/>
              </w:rPr>
              <w:instrText xml:space="preserve"> PAGEREF _Toc519773890 \h </w:instrText>
            </w:r>
            <w:r>
              <w:rPr>
                <w:noProof/>
                <w:webHidden/>
              </w:rPr>
            </w:r>
            <w:r>
              <w:rPr>
                <w:noProof/>
                <w:webHidden/>
              </w:rPr>
              <w:fldChar w:fldCharType="separate"/>
            </w:r>
            <w:r>
              <w:rPr>
                <w:noProof/>
                <w:webHidden/>
              </w:rPr>
              <w:t>15</w:t>
            </w:r>
            <w:r>
              <w:rPr>
                <w:noProof/>
                <w:webHidden/>
              </w:rPr>
              <w:fldChar w:fldCharType="end"/>
            </w:r>
          </w:hyperlink>
        </w:p>
        <w:p w14:paraId="11297C0D"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1" w:history="1">
            <w:r w:rsidRPr="00004331">
              <w:rPr>
                <w:rStyle w:val="Hyperlink"/>
                <w:noProof/>
              </w:rPr>
              <w:t>3.1.</w:t>
            </w:r>
            <w:r>
              <w:rPr>
                <w:rFonts w:asciiTheme="minorHAnsi" w:eastAsiaTheme="minorEastAsia" w:hAnsiTheme="minorHAnsi" w:cstheme="minorBidi"/>
                <w:noProof/>
                <w:lang w:eastAsia="en-AU"/>
              </w:rPr>
              <w:tab/>
            </w:r>
            <w:r w:rsidRPr="00004331">
              <w:rPr>
                <w:rStyle w:val="Hyperlink"/>
                <w:noProof/>
              </w:rPr>
              <w:t>Scope of the clinical dossier</w:t>
            </w:r>
            <w:r>
              <w:rPr>
                <w:noProof/>
                <w:webHidden/>
              </w:rPr>
              <w:tab/>
            </w:r>
            <w:r>
              <w:rPr>
                <w:noProof/>
                <w:webHidden/>
              </w:rPr>
              <w:fldChar w:fldCharType="begin"/>
            </w:r>
            <w:r>
              <w:rPr>
                <w:noProof/>
                <w:webHidden/>
              </w:rPr>
              <w:instrText xml:space="preserve"> PAGEREF _Toc519773891 \h </w:instrText>
            </w:r>
            <w:r>
              <w:rPr>
                <w:noProof/>
                <w:webHidden/>
              </w:rPr>
            </w:r>
            <w:r>
              <w:rPr>
                <w:noProof/>
                <w:webHidden/>
              </w:rPr>
              <w:fldChar w:fldCharType="separate"/>
            </w:r>
            <w:r>
              <w:rPr>
                <w:noProof/>
                <w:webHidden/>
              </w:rPr>
              <w:t>15</w:t>
            </w:r>
            <w:r>
              <w:rPr>
                <w:noProof/>
                <w:webHidden/>
              </w:rPr>
              <w:fldChar w:fldCharType="end"/>
            </w:r>
          </w:hyperlink>
        </w:p>
        <w:p w14:paraId="7F88AE73" w14:textId="77777777" w:rsidR="001977DC" w:rsidRDefault="001977DC">
          <w:pPr>
            <w:pStyle w:val="TOC3"/>
            <w:rPr>
              <w:rFonts w:asciiTheme="minorHAnsi" w:eastAsiaTheme="minorEastAsia" w:hAnsiTheme="minorHAnsi" w:cstheme="minorBidi"/>
              <w:noProof/>
              <w:lang w:eastAsia="en-AU"/>
            </w:rPr>
          </w:pPr>
          <w:hyperlink w:anchor="_Toc519773892" w:history="1">
            <w:r w:rsidRPr="00004331">
              <w:rPr>
                <w:rStyle w:val="Hyperlink"/>
                <w:noProof/>
              </w:rPr>
              <w:t>Paediatric data</w:t>
            </w:r>
            <w:r>
              <w:rPr>
                <w:noProof/>
                <w:webHidden/>
              </w:rPr>
              <w:tab/>
            </w:r>
            <w:r>
              <w:rPr>
                <w:noProof/>
                <w:webHidden/>
              </w:rPr>
              <w:fldChar w:fldCharType="begin"/>
            </w:r>
            <w:r>
              <w:rPr>
                <w:noProof/>
                <w:webHidden/>
              </w:rPr>
              <w:instrText xml:space="preserve"> PAGEREF _Toc519773892 \h </w:instrText>
            </w:r>
            <w:r>
              <w:rPr>
                <w:noProof/>
                <w:webHidden/>
              </w:rPr>
            </w:r>
            <w:r>
              <w:rPr>
                <w:noProof/>
                <w:webHidden/>
              </w:rPr>
              <w:fldChar w:fldCharType="separate"/>
            </w:r>
            <w:r>
              <w:rPr>
                <w:noProof/>
                <w:webHidden/>
              </w:rPr>
              <w:t>16</w:t>
            </w:r>
            <w:r>
              <w:rPr>
                <w:noProof/>
                <w:webHidden/>
              </w:rPr>
              <w:fldChar w:fldCharType="end"/>
            </w:r>
          </w:hyperlink>
        </w:p>
        <w:p w14:paraId="399966AB"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3" w:history="1">
            <w:r w:rsidRPr="00004331">
              <w:rPr>
                <w:rStyle w:val="Hyperlink"/>
                <w:noProof/>
              </w:rPr>
              <w:t>3.2.</w:t>
            </w:r>
            <w:r>
              <w:rPr>
                <w:rFonts w:asciiTheme="minorHAnsi" w:eastAsiaTheme="minorEastAsia" w:hAnsiTheme="minorHAnsi" w:cstheme="minorBidi"/>
                <w:noProof/>
                <w:lang w:eastAsia="en-AU"/>
              </w:rPr>
              <w:tab/>
            </w:r>
            <w:r w:rsidRPr="00004331">
              <w:rPr>
                <w:rStyle w:val="Hyperlink"/>
                <w:noProof/>
              </w:rPr>
              <w:t>Good clinical practice</w:t>
            </w:r>
            <w:r>
              <w:rPr>
                <w:noProof/>
                <w:webHidden/>
              </w:rPr>
              <w:tab/>
            </w:r>
            <w:r>
              <w:rPr>
                <w:noProof/>
                <w:webHidden/>
              </w:rPr>
              <w:fldChar w:fldCharType="begin"/>
            </w:r>
            <w:r>
              <w:rPr>
                <w:noProof/>
                <w:webHidden/>
              </w:rPr>
              <w:instrText xml:space="preserve"> PAGEREF _Toc519773893 \h </w:instrText>
            </w:r>
            <w:r>
              <w:rPr>
                <w:noProof/>
                <w:webHidden/>
              </w:rPr>
            </w:r>
            <w:r>
              <w:rPr>
                <w:noProof/>
                <w:webHidden/>
              </w:rPr>
              <w:fldChar w:fldCharType="separate"/>
            </w:r>
            <w:r>
              <w:rPr>
                <w:noProof/>
                <w:webHidden/>
              </w:rPr>
              <w:t>17</w:t>
            </w:r>
            <w:r>
              <w:rPr>
                <w:noProof/>
                <w:webHidden/>
              </w:rPr>
              <w:fldChar w:fldCharType="end"/>
            </w:r>
          </w:hyperlink>
        </w:p>
        <w:p w14:paraId="4D046F62"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4" w:history="1">
            <w:r w:rsidRPr="00004331">
              <w:rPr>
                <w:rStyle w:val="Hyperlink"/>
                <w:noProof/>
              </w:rPr>
              <w:t>3.3.</w:t>
            </w:r>
            <w:r>
              <w:rPr>
                <w:rFonts w:asciiTheme="minorHAnsi" w:eastAsiaTheme="minorEastAsia" w:hAnsiTheme="minorHAnsi" w:cstheme="minorBidi"/>
                <w:noProof/>
                <w:lang w:eastAsia="en-AU"/>
              </w:rPr>
              <w:tab/>
            </w:r>
            <w:r w:rsidRPr="00004331">
              <w:rPr>
                <w:rStyle w:val="Hyperlink"/>
                <w:noProof/>
              </w:rPr>
              <w:t>Evaluator’s commentary on the clinical dossier</w:t>
            </w:r>
            <w:r>
              <w:rPr>
                <w:noProof/>
                <w:webHidden/>
              </w:rPr>
              <w:tab/>
            </w:r>
            <w:r>
              <w:rPr>
                <w:noProof/>
                <w:webHidden/>
              </w:rPr>
              <w:fldChar w:fldCharType="begin"/>
            </w:r>
            <w:r>
              <w:rPr>
                <w:noProof/>
                <w:webHidden/>
              </w:rPr>
              <w:instrText xml:space="preserve"> PAGEREF _Toc519773894 \h </w:instrText>
            </w:r>
            <w:r>
              <w:rPr>
                <w:noProof/>
                <w:webHidden/>
              </w:rPr>
            </w:r>
            <w:r>
              <w:rPr>
                <w:noProof/>
                <w:webHidden/>
              </w:rPr>
              <w:fldChar w:fldCharType="separate"/>
            </w:r>
            <w:r>
              <w:rPr>
                <w:noProof/>
                <w:webHidden/>
              </w:rPr>
              <w:t>17</w:t>
            </w:r>
            <w:r>
              <w:rPr>
                <w:noProof/>
                <w:webHidden/>
              </w:rPr>
              <w:fldChar w:fldCharType="end"/>
            </w:r>
          </w:hyperlink>
        </w:p>
        <w:p w14:paraId="3E31E475"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895" w:history="1">
            <w:r w:rsidRPr="00004331">
              <w:rPr>
                <w:rStyle w:val="Hyperlink"/>
                <w:noProof/>
              </w:rPr>
              <w:t>4.</w:t>
            </w:r>
            <w:r>
              <w:rPr>
                <w:rFonts w:asciiTheme="minorHAnsi" w:eastAsiaTheme="minorEastAsia" w:hAnsiTheme="minorHAnsi" w:cstheme="minorBidi"/>
                <w:b w:val="0"/>
                <w:noProof/>
                <w:sz w:val="22"/>
                <w:lang w:eastAsia="en-AU"/>
              </w:rPr>
              <w:tab/>
            </w:r>
            <w:r w:rsidRPr="00004331">
              <w:rPr>
                <w:rStyle w:val="Hyperlink"/>
                <w:noProof/>
              </w:rPr>
              <w:t>Pharmacokinetics</w:t>
            </w:r>
            <w:r>
              <w:rPr>
                <w:noProof/>
                <w:webHidden/>
              </w:rPr>
              <w:tab/>
            </w:r>
            <w:r>
              <w:rPr>
                <w:noProof/>
                <w:webHidden/>
              </w:rPr>
              <w:fldChar w:fldCharType="begin"/>
            </w:r>
            <w:r>
              <w:rPr>
                <w:noProof/>
                <w:webHidden/>
              </w:rPr>
              <w:instrText xml:space="preserve"> PAGEREF _Toc519773895 \h </w:instrText>
            </w:r>
            <w:r>
              <w:rPr>
                <w:noProof/>
                <w:webHidden/>
              </w:rPr>
            </w:r>
            <w:r>
              <w:rPr>
                <w:noProof/>
                <w:webHidden/>
              </w:rPr>
              <w:fldChar w:fldCharType="separate"/>
            </w:r>
            <w:r>
              <w:rPr>
                <w:noProof/>
                <w:webHidden/>
              </w:rPr>
              <w:t>18</w:t>
            </w:r>
            <w:r>
              <w:rPr>
                <w:noProof/>
                <w:webHidden/>
              </w:rPr>
              <w:fldChar w:fldCharType="end"/>
            </w:r>
          </w:hyperlink>
        </w:p>
        <w:p w14:paraId="1B163EE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6" w:history="1">
            <w:r w:rsidRPr="00004331">
              <w:rPr>
                <w:rStyle w:val="Hyperlink"/>
                <w:noProof/>
              </w:rPr>
              <w:t>4.1.</w:t>
            </w:r>
            <w:r>
              <w:rPr>
                <w:rFonts w:asciiTheme="minorHAnsi" w:eastAsiaTheme="minorEastAsia" w:hAnsiTheme="minorHAnsi" w:cstheme="minorBidi"/>
                <w:noProof/>
                <w:lang w:eastAsia="en-AU"/>
              </w:rPr>
              <w:tab/>
            </w:r>
            <w:r w:rsidRPr="00004331">
              <w:rPr>
                <w:rStyle w:val="Hyperlink"/>
                <w:noProof/>
              </w:rPr>
              <w:t>Studies providing pharmacokinetic information</w:t>
            </w:r>
            <w:r>
              <w:rPr>
                <w:noProof/>
                <w:webHidden/>
              </w:rPr>
              <w:tab/>
            </w:r>
            <w:r>
              <w:rPr>
                <w:noProof/>
                <w:webHidden/>
              </w:rPr>
              <w:fldChar w:fldCharType="begin"/>
            </w:r>
            <w:r>
              <w:rPr>
                <w:noProof/>
                <w:webHidden/>
              </w:rPr>
              <w:instrText xml:space="preserve"> PAGEREF _Toc519773896 \h </w:instrText>
            </w:r>
            <w:r>
              <w:rPr>
                <w:noProof/>
                <w:webHidden/>
              </w:rPr>
            </w:r>
            <w:r>
              <w:rPr>
                <w:noProof/>
                <w:webHidden/>
              </w:rPr>
              <w:fldChar w:fldCharType="separate"/>
            </w:r>
            <w:r>
              <w:rPr>
                <w:noProof/>
                <w:webHidden/>
              </w:rPr>
              <w:t>18</w:t>
            </w:r>
            <w:r>
              <w:rPr>
                <w:noProof/>
                <w:webHidden/>
              </w:rPr>
              <w:fldChar w:fldCharType="end"/>
            </w:r>
          </w:hyperlink>
        </w:p>
        <w:p w14:paraId="3F7750E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7" w:history="1">
            <w:r w:rsidRPr="00004331">
              <w:rPr>
                <w:rStyle w:val="Hyperlink"/>
                <w:noProof/>
              </w:rPr>
              <w:t>4.1.</w:t>
            </w:r>
            <w:r>
              <w:rPr>
                <w:rFonts w:asciiTheme="minorHAnsi" w:eastAsiaTheme="minorEastAsia" w:hAnsiTheme="minorHAnsi" w:cstheme="minorBidi"/>
                <w:noProof/>
                <w:lang w:eastAsia="en-AU"/>
              </w:rPr>
              <w:tab/>
            </w:r>
            <w:r w:rsidRPr="00004331">
              <w:rPr>
                <w:rStyle w:val="Hyperlink"/>
                <w:noProof/>
              </w:rPr>
              <w:t>Summary of pharmacokinetics</w:t>
            </w:r>
            <w:r>
              <w:rPr>
                <w:noProof/>
                <w:webHidden/>
              </w:rPr>
              <w:tab/>
            </w:r>
            <w:r>
              <w:rPr>
                <w:noProof/>
                <w:webHidden/>
              </w:rPr>
              <w:fldChar w:fldCharType="begin"/>
            </w:r>
            <w:r>
              <w:rPr>
                <w:noProof/>
                <w:webHidden/>
              </w:rPr>
              <w:instrText xml:space="preserve"> PAGEREF _Toc519773897 \h </w:instrText>
            </w:r>
            <w:r>
              <w:rPr>
                <w:noProof/>
                <w:webHidden/>
              </w:rPr>
            </w:r>
            <w:r>
              <w:rPr>
                <w:noProof/>
                <w:webHidden/>
              </w:rPr>
              <w:fldChar w:fldCharType="separate"/>
            </w:r>
            <w:r>
              <w:rPr>
                <w:noProof/>
                <w:webHidden/>
              </w:rPr>
              <w:t>19</w:t>
            </w:r>
            <w:r>
              <w:rPr>
                <w:noProof/>
                <w:webHidden/>
              </w:rPr>
              <w:fldChar w:fldCharType="end"/>
            </w:r>
          </w:hyperlink>
        </w:p>
        <w:p w14:paraId="5F675780"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898" w:history="1">
            <w:r w:rsidRPr="00004331">
              <w:rPr>
                <w:rStyle w:val="Hyperlink"/>
                <w:noProof/>
              </w:rPr>
              <w:t>4.2.</w:t>
            </w:r>
            <w:r>
              <w:rPr>
                <w:rFonts w:asciiTheme="minorHAnsi" w:eastAsiaTheme="minorEastAsia" w:hAnsiTheme="minorHAnsi" w:cstheme="minorBidi"/>
                <w:noProof/>
                <w:lang w:eastAsia="en-AU"/>
              </w:rPr>
              <w:tab/>
            </w:r>
            <w:r w:rsidRPr="00004331">
              <w:rPr>
                <w:rStyle w:val="Hyperlink"/>
                <w:noProof/>
              </w:rPr>
              <w:t>Evaluator’s overall conclusions on pharmacokinetics</w:t>
            </w:r>
            <w:r>
              <w:rPr>
                <w:noProof/>
                <w:webHidden/>
              </w:rPr>
              <w:tab/>
            </w:r>
            <w:r>
              <w:rPr>
                <w:noProof/>
                <w:webHidden/>
              </w:rPr>
              <w:fldChar w:fldCharType="begin"/>
            </w:r>
            <w:r>
              <w:rPr>
                <w:noProof/>
                <w:webHidden/>
              </w:rPr>
              <w:instrText xml:space="preserve"> PAGEREF _Toc519773898 \h </w:instrText>
            </w:r>
            <w:r>
              <w:rPr>
                <w:noProof/>
                <w:webHidden/>
              </w:rPr>
            </w:r>
            <w:r>
              <w:rPr>
                <w:noProof/>
                <w:webHidden/>
              </w:rPr>
              <w:fldChar w:fldCharType="separate"/>
            </w:r>
            <w:r>
              <w:rPr>
                <w:noProof/>
                <w:webHidden/>
              </w:rPr>
              <w:t>37</w:t>
            </w:r>
            <w:r>
              <w:rPr>
                <w:noProof/>
                <w:webHidden/>
              </w:rPr>
              <w:fldChar w:fldCharType="end"/>
            </w:r>
          </w:hyperlink>
        </w:p>
        <w:p w14:paraId="1A94C270"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899" w:history="1">
            <w:r w:rsidRPr="00004331">
              <w:rPr>
                <w:rStyle w:val="Hyperlink"/>
                <w:noProof/>
              </w:rPr>
              <w:t>5.</w:t>
            </w:r>
            <w:r>
              <w:rPr>
                <w:rFonts w:asciiTheme="minorHAnsi" w:eastAsiaTheme="minorEastAsia" w:hAnsiTheme="minorHAnsi" w:cstheme="minorBidi"/>
                <w:b w:val="0"/>
                <w:noProof/>
                <w:sz w:val="22"/>
                <w:lang w:eastAsia="en-AU"/>
              </w:rPr>
              <w:tab/>
            </w:r>
            <w:r w:rsidRPr="00004331">
              <w:rPr>
                <w:rStyle w:val="Hyperlink"/>
                <w:noProof/>
              </w:rPr>
              <w:t>Pharmacodynamics</w:t>
            </w:r>
            <w:r>
              <w:rPr>
                <w:noProof/>
                <w:webHidden/>
              </w:rPr>
              <w:tab/>
            </w:r>
            <w:r>
              <w:rPr>
                <w:noProof/>
                <w:webHidden/>
              </w:rPr>
              <w:fldChar w:fldCharType="begin"/>
            </w:r>
            <w:r>
              <w:rPr>
                <w:noProof/>
                <w:webHidden/>
              </w:rPr>
              <w:instrText xml:space="preserve"> PAGEREF _Toc519773899 \h </w:instrText>
            </w:r>
            <w:r>
              <w:rPr>
                <w:noProof/>
                <w:webHidden/>
              </w:rPr>
            </w:r>
            <w:r>
              <w:rPr>
                <w:noProof/>
                <w:webHidden/>
              </w:rPr>
              <w:fldChar w:fldCharType="separate"/>
            </w:r>
            <w:r>
              <w:rPr>
                <w:noProof/>
                <w:webHidden/>
              </w:rPr>
              <w:t>40</w:t>
            </w:r>
            <w:r>
              <w:rPr>
                <w:noProof/>
                <w:webHidden/>
              </w:rPr>
              <w:fldChar w:fldCharType="end"/>
            </w:r>
          </w:hyperlink>
        </w:p>
        <w:p w14:paraId="57F3FC9B"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0" w:history="1">
            <w:r w:rsidRPr="00004331">
              <w:rPr>
                <w:rStyle w:val="Hyperlink"/>
                <w:noProof/>
              </w:rPr>
              <w:t>5.1.</w:t>
            </w:r>
            <w:r>
              <w:rPr>
                <w:rFonts w:asciiTheme="minorHAnsi" w:eastAsiaTheme="minorEastAsia" w:hAnsiTheme="minorHAnsi" w:cstheme="minorBidi"/>
                <w:noProof/>
                <w:lang w:eastAsia="en-AU"/>
              </w:rPr>
              <w:tab/>
            </w:r>
            <w:r w:rsidRPr="00004331">
              <w:rPr>
                <w:rStyle w:val="Hyperlink"/>
                <w:noProof/>
              </w:rPr>
              <w:t>Studies providing pharmacodynamic information</w:t>
            </w:r>
            <w:r>
              <w:rPr>
                <w:noProof/>
                <w:webHidden/>
              </w:rPr>
              <w:tab/>
            </w:r>
            <w:r>
              <w:rPr>
                <w:noProof/>
                <w:webHidden/>
              </w:rPr>
              <w:fldChar w:fldCharType="begin"/>
            </w:r>
            <w:r>
              <w:rPr>
                <w:noProof/>
                <w:webHidden/>
              </w:rPr>
              <w:instrText xml:space="preserve"> PAGEREF _Toc519773900 \h </w:instrText>
            </w:r>
            <w:r>
              <w:rPr>
                <w:noProof/>
                <w:webHidden/>
              </w:rPr>
            </w:r>
            <w:r>
              <w:rPr>
                <w:noProof/>
                <w:webHidden/>
              </w:rPr>
              <w:fldChar w:fldCharType="separate"/>
            </w:r>
            <w:r>
              <w:rPr>
                <w:noProof/>
                <w:webHidden/>
              </w:rPr>
              <w:t>40</w:t>
            </w:r>
            <w:r>
              <w:rPr>
                <w:noProof/>
                <w:webHidden/>
              </w:rPr>
              <w:fldChar w:fldCharType="end"/>
            </w:r>
          </w:hyperlink>
        </w:p>
        <w:p w14:paraId="462EAFC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1" w:history="1">
            <w:r w:rsidRPr="00004331">
              <w:rPr>
                <w:rStyle w:val="Hyperlink"/>
                <w:noProof/>
              </w:rPr>
              <w:t>5.2.</w:t>
            </w:r>
            <w:r>
              <w:rPr>
                <w:rFonts w:asciiTheme="minorHAnsi" w:eastAsiaTheme="minorEastAsia" w:hAnsiTheme="minorHAnsi" w:cstheme="minorBidi"/>
                <w:noProof/>
                <w:lang w:eastAsia="en-AU"/>
              </w:rPr>
              <w:tab/>
            </w:r>
            <w:r w:rsidRPr="00004331">
              <w:rPr>
                <w:rStyle w:val="Hyperlink"/>
                <w:noProof/>
              </w:rPr>
              <w:t>Summary of pharmacodynamics</w:t>
            </w:r>
            <w:r>
              <w:rPr>
                <w:noProof/>
                <w:webHidden/>
              </w:rPr>
              <w:tab/>
            </w:r>
            <w:r>
              <w:rPr>
                <w:noProof/>
                <w:webHidden/>
              </w:rPr>
              <w:fldChar w:fldCharType="begin"/>
            </w:r>
            <w:r>
              <w:rPr>
                <w:noProof/>
                <w:webHidden/>
              </w:rPr>
              <w:instrText xml:space="preserve"> PAGEREF _Toc519773901 \h </w:instrText>
            </w:r>
            <w:r>
              <w:rPr>
                <w:noProof/>
                <w:webHidden/>
              </w:rPr>
            </w:r>
            <w:r>
              <w:rPr>
                <w:noProof/>
                <w:webHidden/>
              </w:rPr>
              <w:fldChar w:fldCharType="separate"/>
            </w:r>
            <w:r>
              <w:rPr>
                <w:noProof/>
                <w:webHidden/>
              </w:rPr>
              <w:t>40</w:t>
            </w:r>
            <w:r>
              <w:rPr>
                <w:noProof/>
                <w:webHidden/>
              </w:rPr>
              <w:fldChar w:fldCharType="end"/>
            </w:r>
          </w:hyperlink>
        </w:p>
        <w:p w14:paraId="081B687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2" w:history="1">
            <w:r w:rsidRPr="00004331">
              <w:rPr>
                <w:rStyle w:val="Hyperlink"/>
                <w:noProof/>
              </w:rPr>
              <w:t>5.3.</w:t>
            </w:r>
            <w:r>
              <w:rPr>
                <w:rFonts w:asciiTheme="minorHAnsi" w:eastAsiaTheme="minorEastAsia" w:hAnsiTheme="minorHAnsi" w:cstheme="minorBidi"/>
                <w:noProof/>
                <w:lang w:eastAsia="en-AU"/>
              </w:rPr>
              <w:tab/>
            </w:r>
            <w:r w:rsidRPr="00004331">
              <w:rPr>
                <w:rStyle w:val="Hyperlink"/>
                <w:noProof/>
              </w:rPr>
              <w:t>Evaluator’s overall conclusions on pharmacodynamics</w:t>
            </w:r>
            <w:r>
              <w:rPr>
                <w:noProof/>
                <w:webHidden/>
              </w:rPr>
              <w:tab/>
            </w:r>
            <w:r>
              <w:rPr>
                <w:noProof/>
                <w:webHidden/>
              </w:rPr>
              <w:fldChar w:fldCharType="begin"/>
            </w:r>
            <w:r>
              <w:rPr>
                <w:noProof/>
                <w:webHidden/>
              </w:rPr>
              <w:instrText xml:space="preserve"> PAGEREF _Toc519773902 \h </w:instrText>
            </w:r>
            <w:r>
              <w:rPr>
                <w:noProof/>
                <w:webHidden/>
              </w:rPr>
            </w:r>
            <w:r>
              <w:rPr>
                <w:noProof/>
                <w:webHidden/>
              </w:rPr>
              <w:fldChar w:fldCharType="separate"/>
            </w:r>
            <w:r>
              <w:rPr>
                <w:noProof/>
                <w:webHidden/>
              </w:rPr>
              <w:t>40</w:t>
            </w:r>
            <w:r>
              <w:rPr>
                <w:noProof/>
                <w:webHidden/>
              </w:rPr>
              <w:fldChar w:fldCharType="end"/>
            </w:r>
          </w:hyperlink>
        </w:p>
        <w:p w14:paraId="1E82CBDC"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903" w:history="1">
            <w:r w:rsidRPr="00004331">
              <w:rPr>
                <w:rStyle w:val="Hyperlink"/>
                <w:noProof/>
              </w:rPr>
              <w:t>6.</w:t>
            </w:r>
            <w:r>
              <w:rPr>
                <w:rFonts w:asciiTheme="minorHAnsi" w:eastAsiaTheme="minorEastAsia" w:hAnsiTheme="minorHAnsi" w:cstheme="minorBidi"/>
                <w:b w:val="0"/>
                <w:noProof/>
                <w:sz w:val="22"/>
                <w:lang w:eastAsia="en-AU"/>
              </w:rPr>
              <w:tab/>
            </w:r>
            <w:r w:rsidRPr="00004331">
              <w:rPr>
                <w:rStyle w:val="Hyperlink"/>
                <w:noProof/>
              </w:rPr>
              <w:t>Dosage selection for the pivotal studies</w:t>
            </w:r>
            <w:r>
              <w:rPr>
                <w:noProof/>
                <w:webHidden/>
              </w:rPr>
              <w:tab/>
            </w:r>
            <w:r>
              <w:rPr>
                <w:noProof/>
                <w:webHidden/>
              </w:rPr>
              <w:fldChar w:fldCharType="begin"/>
            </w:r>
            <w:r>
              <w:rPr>
                <w:noProof/>
                <w:webHidden/>
              </w:rPr>
              <w:instrText xml:space="preserve"> PAGEREF _Toc519773903 \h </w:instrText>
            </w:r>
            <w:r>
              <w:rPr>
                <w:noProof/>
                <w:webHidden/>
              </w:rPr>
            </w:r>
            <w:r>
              <w:rPr>
                <w:noProof/>
                <w:webHidden/>
              </w:rPr>
              <w:fldChar w:fldCharType="separate"/>
            </w:r>
            <w:r>
              <w:rPr>
                <w:noProof/>
                <w:webHidden/>
              </w:rPr>
              <w:t>40</w:t>
            </w:r>
            <w:r>
              <w:rPr>
                <w:noProof/>
                <w:webHidden/>
              </w:rPr>
              <w:fldChar w:fldCharType="end"/>
            </w:r>
          </w:hyperlink>
        </w:p>
        <w:p w14:paraId="1AD386B9"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904" w:history="1">
            <w:r w:rsidRPr="00004331">
              <w:rPr>
                <w:rStyle w:val="Hyperlink"/>
                <w:noProof/>
              </w:rPr>
              <w:t>7.</w:t>
            </w:r>
            <w:r>
              <w:rPr>
                <w:rFonts w:asciiTheme="minorHAnsi" w:eastAsiaTheme="minorEastAsia" w:hAnsiTheme="minorHAnsi" w:cstheme="minorBidi"/>
                <w:b w:val="0"/>
                <w:noProof/>
                <w:sz w:val="22"/>
                <w:lang w:eastAsia="en-AU"/>
              </w:rPr>
              <w:tab/>
            </w:r>
            <w:r w:rsidRPr="00004331">
              <w:rPr>
                <w:rStyle w:val="Hyperlink"/>
                <w:noProof/>
              </w:rPr>
              <w:t>Clinical efficacy</w:t>
            </w:r>
            <w:r>
              <w:rPr>
                <w:noProof/>
                <w:webHidden/>
              </w:rPr>
              <w:tab/>
            </w:r>
            <w:r>
              <w:rPr>
                <w:noProof/>
                <w:webHidden/>
              </w:rPr>
              <w:fldChar w:fldCharType="begin"/>
            </w:r>
            <w:r>
              <w:rPr>
                <w:noProof/>
                <w:webHidden/>
              </w:rPr>
              <w:instrText xml:space="preserve"> PAGEREF _Toc519773904 \h </w:instrText>
            </w:r>
            <w:r>
              <w:rPr>
                <w:noProof/>
                <w:webHidden/>
              </w:rPr>
            </w:r>
            <w:r>
              <w:rPr>
                <w:noProof/>
                <w:webHidden/>
              </w:rPr>
              <w:fldChar w:fldCharType="separate"/>
            </w:r>
            <w:r>
              <w:rPr>
                <w:noProof/>
                <w:webHidden/>
              </w:rPr>
              <w:t>40</w:t>
            </w:r>
            <w:r>
              <w:rPr>
                <w:noProof/>
                <w:webHidden/>
              </w:rPr>
              <w:fldChar w:fldCharType="end"/>
            </w:r>
          </w:hyperlink>
        </w:p>
        <w:p w14:paraId="3FE42BD7"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5" w:history="1">
            <w:r w:rsidRPr="00004331">
              <w:rPr>
                <w:rStyle w:val="Hyperlink"/>
                <w:noProof/>
              </w:rPr>
              <w:t>7.1.</w:t>
            </w:r>
            <w:r>
              <w:rPr>
                <w:rFonts w:asciiTheme="minorHAnsi" w:eastAsiaTheme="minorEastAsia" w:hAnsiTheme="minorHAnsi" w:cstheme="minorBidi"/>
                <w:noProof/>
                <w:lang w:eastAsia="en-AU"/>
              </w:rPr>
              <w:tab/>
            </w:r>
            <w:r w:rsidRPr="00004331">
              <w:rPr>
                <w:rStyle w:val="Hyperlink"/>
                <w:noProof/>
              </w:rPr>
              <w:t>Pivotal or main efficacy studies</w:t>
            </w:r>
            <w:r>
              <w:rPr>
                <w:noProof/>
                <w:webHidden/>
              </w:rPr>
              <w:tab/>
            </w:r>
            <w:r>
              <w:rPr>
                <w:noProof/>
                <w:webHidden/>
              </w:rPr>
              <w:fldChar w:fldCharType="begin"/>
            </w:r>
            <w:r>
              <w:rPr>
                <w:noProof/>
                <w:webHidden/>
              </w:rPr>
              <w:instrText xml:space="preserve"> PAGEREF _Toc519773905 \h </w:instrText>
            </w:r>
            <w:r>
              <w:rPr>
                <w:noProof/>
                <w:webHidden/>
              </w:rPr>
            </w:r>
            <w:r>
              <w:rPr>
                <w:noProof/>
                <w:webHidden/>
              </w:rPr>
              <w:fldChar w:fldCharType="separate"/>
            </w:r>
            <w:r>
              <w:rPr>
                <w:noProof/>
                <w:webHidden/>
              </w:rPr>
              <w:t>41</w:t>
            </w:r>
            <w:r>
              <w:rPr>
                <w:noProof/>
                <w:webHidden/>
              </w:rPr>
              <w:fldChar w:fldCharType="end"/>
            </w:r>
          </w:hyperlink>
        </w:p>
        <w:p w14:paraId="2F72BFA2"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6" w:history="1">
            <w:r w:rsidRPr="00004331">
              <w:rPr>
                <w:rStyle w:val="Hyperlink"/>
                <w:noProof/>
              </w:rPr>
              <w:t>7.2.</w:t>
            </w:r>
            <w:r>
              <w:rPr>
                <w:rFonts w:asciiTheme="minorHAnsi" w:eastAsiaTheme="minorEastAsia" w:hAnsiTheme="minorHAnsi" w:cstheme="minorBidi"/>
                <w:noProof/>
                <w:lang w:eastAsia="en-AU"/>
              </w:rPr>
              <w:tab/>
            </w:r>
            <w:r w:rsidRPr="00004331">
              <w:rPr>
                <w:rStyle w:val="Hyperlink"/>
                <w:noProof/>
              </w:rPr>
              <w:t>Other efficacy studies</w:t>
            </w:r>
            <w:r>
              <w:rPr>
                <w:noProof/>
                <w:webHidden/>
              </w:rPr>
              <w:tab/>
            </w:r>
            <w:r>
              <w:rPr>
                <w:noProof/>
                <w:webHidden/>
              </w:rPr>
              <w:fldChar w:fldCharType="begin"/>
            </w:r>
            <w:r>
              <w:rPr>
                <w:noProof/>
                <w:webHidden/>
              </w:rPr>
              <w:instrText xml:space="preserve"> PAGEREF _Toc519773906 \h </w:instrText>
            </w:r>
            <w:r>
              <w:rPr>
                <w:noProof/>
                <w:webHidden/>
              </w:rPr>
            </w:r>
            <w:r>
              <w:rPr>
                <w:noProof/>
                <w:webHidden/>
              </w:rPr>
              <w:fldChar w:fldCharType="separate"/>
            </w:r>
            <w:r>
              <w:rPr>
                <w:noProof/>
                <w:webHidden/>
              </w:rPr>
              <w:t>55</w:t>
            </w:r>
            <w:r>
              <w:rPr>
                <w:noProof/>
                <w:webHidden/>
              </w:rPr>
              <w:fldChar w:fldCharType="end"/>
            </w:r>
          </w:hyperlink>
        </w:p>
        <w:p w14:paraId="602E6C3D"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7" w:history="1">
            <w:r w:rsidRPr="00004331">
              <w:rPr>
                <w:rStyle w:val="Hyperlink"/>
                <w:noProof/>
              </w:rPr>
              <w:t>7.3.</w:t>
            </w:r>
            <w:r>
              <w:rPr>
                <w:rFonts w:asciiTheme="minorHAnsi" w:eastAsiaTheme="minorEastAsia" w:hAnsiTheme="minorHAnsi" w:cstheme="minorBidi"/>
                <w:noProof/>
                <w:lang w:eastAsia="en-AU"/>
              </w:rPr>
              <w:tab/>
            </w:r>
            <w:r w:rsidRPr="00004331">
              <w:rPr>
                <w:rStyle w:val="Hyperlink"/>
                <w:noProof/>
              </w:rPr>
              <w:t>Analyses performed across trials: pooled and meta analyses</w:t>
            </w:r>
            <w:r>
              <w:rPr>
                <w:noProof/>
                <w:webHidden/>
              </w:rPr>
              <w:tab/>
            </w:r>
            <w:r>
              <w:rPr>
                <w:noProof/>
                <w:webHidden/>
              </w:rPr>
              <w:fldChar w:fldCharType="begin"/>
            </w:r>
            <w:r>
              <w:rPr>
                <w:noProof/>
                <w:webHidden/>
              </w:rPr>
              <w:instrText xml:space="preserve"> PAGEREF _Toc519773907 \h </w:instrText>
            </w:r>
            <w:r>
              <w:rPr>
                <w:noProof/>
                <w:webHidden/>
              </w:rPr>
            </w:r>
            <w:r>
              <w:rPr>
                <w:noProof/>
                <w:webHidden/>
              </w:rPr>
              <w:fldChar w:fldCharType="separate"/>
            </w:r>
            <w:r>
              <w:rPr>
                <w:noProof/>
                <w:webHidden/>
              </w:rPr>
              <w:t>69</w:t>
            </w:r>
            <w:r>
              <w:rPr>
                <w:noProof/>
                <w:webHidden/>
              </w:rPr>
              <w:fldChar w:fldCharType="end"/>
            </w:r>
          </w:hyperlink>
        </w:p>
        <w:p w14:paraId="6FFB377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08" w:history="1">
            <w:r w:rsidRPr="00004331">
              <w:rPr>
                <w:rStyle w:val="Hyperlink"/>
                <w:noProof/>
              </w:rPr>
              <w:t>7.4.</w:t>
            </w:r>
            <w:r>
              <w:rPr>
                <w:rFonts w:asciiTheme="minorHAnsi" w:eastAsiaTheme="minorEastAsia" w:hAnsiTheme="minorHAnsi" w:cstheme="minorBidi"/>
                <w:noProof/>
                <w:lang w:eastAsia="en-AU"/>
              </w:rPr>
              <w:tab/>
            </w:r>
            <w:r w:rsidRPr="00004331">
              <w:rPr>
                <w:rStyle w:val="Hyperlink"/>
                <w:noProof/>
              </w:rPr>
              <w:t>Evaluator’s conclusions on clinical efficacy</w:t>
            </w:r>
            <w:r>
              <w:rPr>
                <w:noProof/>
                <w:webHidden/>
              </w:rPr>
              <w:tab/>
            </w:r>
            <w:r>
              <w:rPr>
                <w:noProof/>
                <w:webHidden/>
              </w:rPr>
              <w:fldChar w:fldCharType="begin"/>
            </w:r>
            <w:r>
              <w:rPr>
                <w:noProof/>
                <w:webHidden/>
              </w:rPr>
              <w:instrText xml:space="preserve"> PAGEREF _Toc519773908 \h </w:instrText>
            </w:r>
            <w:r>
              <w:rPr>
                <w:noProof/>
                <w:webHidden/>
              </w:rPr>
            </w:r>
            <w:r>
              <w:rPr>
                <w:noProof/>
                <w:webHidden/>
              </w:rPr>
              <w:fldChar w:fldCharType="separate"/>
            </w:r>
            <w:r>
              <w:rPr>
                <w:noProof/>
                <w:webHidden/>
              </w:rPr>
              <w:t>69</w:t>
            </w:r>
            <w:r>
              <w:rPr>
                <w:noProof/>
                <w:webHidden/>
              </w:rPr>
              <w:fldChar w:fldCharType="end"/>
            </w:r>
          </w:hyperlink>
        </w:p>
        <w:p w14:paraId="138B2812"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909" w:history="1">
            <w:r w:rsidRPr="00004331">
              <w:rPr>
                <w:rStyle w:val="Hyperlink"/>
                <w:noProof/>
              </w:rPr>
              <w:t>8.</w:t>
            </w:r>
            <w:r>
              <w:rPr>
                <w:rFonts w:asciiTheme="minorHAnsi" w:eastAsiaTheme="minorEastAsia" w:hAnsiTheme="minorHAnsi" w:cstheme="minorBidi"/>
                <w:b w:val="0"/>
                <w:noProof/>
                <w:sz w:val="22"/>
                <w:lang w:eastAsia="en-AU"/>
              </w:rPr>
              <w:tab/>
            </w:r>
            <w:r w:rsidRPr="00004331">
              <w:rPr>
                <w:rStyle w:val="Hyperlink"/>
                <w:noProof/>
              </w:rPr>
              <w:t>Clinical safety</w:t>
            </w:r>
            <w:r>
              <w:rPr>
                <w:noProof/>
                <w:webHidden/>
              </w:rPr>
              <w:tab/>
            </w:r>
            <w:r>
              <w:rPr>
                <w:noProof/>
                <w:webHidden/>
              </w:rPr>
              <w:fldChar w:fldCharType="begin"/>
            </w:r>
            <w:r>
              <w:rPr>
                <w:noProof/>
                <w:webHidden/>
              </w:rPr>
              <w:instrText xml:space="preserve"> PAGEREF _Toc519773909 \h </w:instrText>
            </w:r>
            <w:r>
              <w:rPr>
                <w:noProof/>
                <w:webHidden/>
              </w:rPr>
            </w:r>
            <w:r>
              <w:rPr>
                <w:noProof/>
                <w:webHidden/>
              </w:rPr>
              <w:fldChar w:fldCharType="separate"/>
            </w:r>
            <w:r>
              <w:rPr>
                <w:noProof/>
                <w:webHidden/>
              </w:rPr>
              <w:t>70</w:t>
            </w:r>
            <w:r>
              <w:rPr>
                <w:noProof/>
                <w:webHidden/>
              </w:rPr>
              <w:fldChar w:fldCharType="end"/>
            </w:r>
          </w:hyperlink>
        </w:p>
        <w:p w14:paraId="5C8D0697"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0" w:history="1">
            <w:r w:rsidRPr="00004331">
              <w:rPr>
                <w:rStyle w:val="Hyperlink"/>
                <w:noProof/>
              </w:rPr>
              <w:t>8.1.</w:t>
            </w:r>
            <w:r>
              <w:rPr>
                <w:rFonts w:asciiTheme="minorHAnsi" w:eastAsiaTheme="minorEastAsia" w:hAnsiTheme="minorHAnsi" w:cstheme="minorBidi"/>
                <w:noProof/>
                <w:lang w:eastAsia="en-AU"/>
              </w:rPr>
              <w:tab/>
            </w:r>
            <w:r w:rsidRPr="00004331">
              <w:rPr>
                <w:rStyle w:val="Hyperlink"/>
                <w:noProof/>
              </w:rPr>
              <w:t>Studies providing evaluable safety data</w:t>
            </w:r>
            <w:r>
              <w:rPr>
                <w:noProof/>
                <w:webHidden/>
              </w:rPr>
              <w:tab/>
            </w:r>
            <w:r>
              <w:rPr>
                <w:noProof/>
                <w:webHidden/>
              </w:rPr>
              <w:fldChar w:fldCharType="begin"/>
            </w:r>
            <w:r>
              <w:rPr>
                <w:noProof/>
                <w:webHidden/>
              </w:rPr>
              <w:instrText xml:space="preserve"> PAGEREF _Toc519773910 \h </w:instrText>
            </w:r>
            <w:r>
              <w:rPr>
                <w:noProof/>
                <w:webHidden/>
              </w:rPr>
            </w:r>
            <w:r>
              <w:rPr>
                <w:noProof/>
                <w:webHidden/>
              </w:rPr>
              <w:fldChar w:fldCharType="separate"/>
            </w:r>
            <w:r>
              <w:rPr>
                <w:noProof/>
                <w:webHidden/>
              </w:rPr>
              <w:t>70</w:t>
            </w:r>
            <w:r>
              <w:rPr>
                <w:noProof/>
                <w:webHidden/>
              </w:rPr>
              <w:fldChar w:fldCharType="end"/>
            </w:r>
          </w:hyperlink>
        </w:p>
        <w:p w14:paraId="2942B6B5"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1" w:history="1">
            <w:r w:rsidRPr="00004331">
              <w:rPr>
                <w:rStyle w:val="Hyperlink"/>
                <w:noProof/>
              </w:rPr>
              <w:t>8.2.</w:t>
            </w:r>
            <w:r>
              <w:rPr>
                <w:rFonts w:asciiTheme="minorHAnsi" w:eastAsiaTheme="minorEastAsia" w:hAnsiTheme="minorHAnsi" w:cstheme="minorBidi"/>
                <w:noProof/>
                <w:lang w:eastAsia="en-AU"/>
              </w:rPr>
              <w:tab/>
            </w:r>
            <w:r w:rsidRPr="00004331">
              <w:rPr>
                <w:rStyle w:val="Hyperlink"/>
                <w:noProof/>
              </w:rPr>
              <w:t>Studies that assessed safety as the sole primary outcome</w:t>
            </w:r>
            <w:r>
              <w:rPr>
                <w:noProof/>
                <w:webHidden/>
              </w:rPr>
              <w:tab/>
            </w:r>
            <w:r>
              <w:rPr>
                <w:noProof/>
                <w:webHidden/>
              </w:rPr>
              <w:fldChar w:fldCharType="begin"/>
            </w:r>
            <w:r>
              <w:rPr>
                <w:noProof/>
                <w:webHidden/>
              </w:rPr>
              <w:instrText xml:space="preserve"> PAGEREF _Toc519773911 \h </w:instrText>
            </w:r>
            <w:r>
              <w:rPr>
                <w:noProof/>
                <w:webHidden/>
              </w:rPr>
            </w:r>
            <w:r>
              <w:rPr>
                <w:noProof/>
                <w:webHidden/>
              </w:rPr>
              <w:fldChar w:fldCharType="separate"/>
            </w:r>
            <w:r>
              <w:rPr>
                <w:noProof/>
                <w:webHidden/>
              </w:rPr>
              <w:t>70</w:t>
            </w:r>
            <w:r>
              <w:rPr>
                <w:noProof/>
                <w:webHidden/>
              </w:rPr>
              <w:fldChar w:fldCharType="end"/>
            </w:r>
          </w:hyperlink>
        </w:p>
        <w:p w14:paraId="7F680E2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2" w:history="1">
            <w:r w:rsidRPr="00004331">
              <w:rPr>
                <w:rStyle w:val="Hyperlink"/>
                <w:noProof/>
              </w:rPr>
              <w:t>8.3.</w:t>
            </w:r>
            <w:r>
              <w:rPr>
                <w:rFonts w:asciiTheme="minorHAnsi" w:eastAsiaTheme="minorEastAsia" w:hAnsiTheme="minorHAnsi" w:cstheme="minorBidi"/>
                <w:noProof/>
                <w:lang w:eastAsia="en-AU"/>
              </w:rPr>
              <w:tab/>
            </w:r>
            <w:r w:rsidRPr="00004331">
              <w:rPr>
                <w:rStyle w:val="Hyperlink"/>
                <w:noProof/>
              </w:rPr>
              <w:t>Patient exposure</w:t>
            </w:r>
            <w:r>
              <w:rPr>
                <w:noProof/>
                <w:webHidden/>
              </w:rPr>
              <w:tab/>
            </w:r>
            <w:r>
              <w:rPr>
                <w:noProof/>
                <w:webHidden/>
              </w:rPr>
              <w:fldChar w:fldCharType="begin"/>
            </w:r>
            <w:r>
              <w:rPr>
                <w:noProof/>
                <w:webHidden/>
              </w:rPr>
              <w:instrText xml:space="preserve"> PAGEREF _Toc519773912 \h </w:instrText>
            </w:r>
            <w:r>
              <w:rPr>
                <w:noProof/>
                <w:webHidden/>
              </w:rPr>
            </w:r>
            <w:r>
              <w:rPr>
                <w:noProof/>
                <w:webHidden/>
              </w:rPr>
              <w:fldChar w:fldCharType="separate"/>
            </w:r>
            <w:r>
              <w:rPr>
                <w:noProof/>
                <w:webHidden/>
              </w:rPr>
              <w:t>90</w:t>
            </w:r>
            <w:r>
              <w:rPr>
                <w:noProof/>
                <w:webHidden/>
              </w:rPr>
              <w:fldChar w:fldCharType="end"/>
            </w:r>
          </w:hyperlink>
        </w:p>
        <w:p w14:paraId="55F3C42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3" w:history="1">
            <w:r w:rsidRPr="00004331">
              <w:rPr>
                <w:rStyle w:val="Hyperlink"/>
                <w:noProof/>
              </w:rPr>
              <w:t>8.4.</w:t>
            </w:r>
            <w:r>
              <w:rPr>
                <w:rFonts w:asciiTheme="minorHAnsi" w:eastAsiaTheme="minorEastAsia" w:hAnsiTheme="minorHAnsi" w:cstheme="minorBidi"/>
                <w:noProof/>
                <w:lang w:eastAsia="en-AU"/>
              </w:rPr>
              <w:tab/>
            </w:r>
            <w:r w:rsidRPr="00004331">
              <w:rPr>
                <w:rStyle w:val="Hyperlink"/>
                <w:noProof/>
              </w:rPr>
              <w:t>Adverse events</w:t>
            </w:r>
            <w:r>
              <w:rPr>
                <w:noProof/>
                <w:webHidden/>
              </w:rPr>
              <w:tab/>
            </w:r>
            <w:r>
              <w:rPr>
                <w:noProof/>
                <w:webHidden/>
              </w:rPr>
              <w:fldChar w:fldCharType="begin"/>
            </w:r>
            <w:r>
              <w:rPr>
                <w:noProof/>
                <w:webHidden/>
              </w:rPr>
              <w:instrText xml:space="preserve"> PAGEREF _Toc519773913 \h </w:instrText>
            </w:r>
            <w:r>
              <w:rPr>
                <w:noProof/>
                <w:webHidden/>
              </w:rPr>
            </w:r>
            <w:r>
              <w:rPr>
                <w:noProof/>
                <w:webHidden/>
              </w:rPr>
              <w:fldChar w:fldCharType="separate"/>
            </w:r>
            <w:r>
              <w:rPr>
                <w:noProof/>
                <w:webHidden/>
              </w:rPr>
              <w:t>94</w:t>
            </w:r>
            <w:r>
              <w:rPr>
                <w:noProof/>
                <w:webHidden/>
              </w:rPr>
              <w:fldChar w:fldCharType="end"/>
            </w:r>
          </w:hyperlink>
        </w:p>
        <w:p w14:paraId="03BA2CF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4" w:history="1">
            <w:r w:rsidRPr="00004331">
              <w:rPr>
                <w:rStyle w:val="Hyperlink"/>
                <w:noProof/>
              </w:rPr>
              <w:t>8.5.</w:t>
            </w:r>
            <w:r>
              <w:rPr>
                <w:rFonts w:asciiTheme="minorHAnsi" w:eastAsiaTheme="minorEastAsia" w:hAnsiTheme="minorHAnsi" w:cstheme="minorBidi"/>
                <w:noProof/>
                <w:lang w:eastAsia="en-AU"/>
              </w:rPr>
              <w:tab/>
            </w:r>
            <w:r w:rsidRPr="00004331">
              <w:rPr>
                <w:rStyle w:val="Hyperlink"/>
                <w:noProof/>
              </w:rPr>
              <w:t>Evaluation of issues with possible regulatory impact</w:t>
            </w:r>
            <w:r>
              <w:rPr>
                <w:noProof/>
                <w:webHidden/>
              </w:rPr>
              <w:tab/>
            </w:r>
            <w:r>
              <w:rPr>
                <w:noProof/>
                <w:webHidden/>
              </w:rPr>
              <w:fldChar w:fldCharType="begin"/>
            </w:r>
            <w:r>
              <w:rPr>
                <w:noProof/>
                <w:webHidden/>
              </w:rPr>
              <w:instrText xml:space="preserve"> PAGEREF _Toc519773914 \h </w:instrText>
            </w:r>
            <w:r>
              <w:rPr>
                <w:noProof/>
                <w:webHidden/>
              </w:rPr>
            </w:r>
            <w:r>
              <w:rPr>
                <w:noProof/>
                <w:webHidden/>
              </w:rPr>
              <w:fldChar w:fldCharType="separate"/>
            </w:r>
            <w:r>
              <w:rPr>
                <w:noProof/>
                <w:webHidden/>
              </w:rPr>
              <w:t>109</w:t>
            </w:r>
            <w:r>
              <w:rPr>
                <w:noProof/>
                <w:webHidden/>
              </w:rPr>
              <w:fldChar w:fldCharType="end"/>
            </w:r>
          </w:hyperlink>
        </w:p>
        <w:p w14:paraId="185CF80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5" w:history="1">
            <w:r w:rsidRPr="00004331">
              <w:rPr>
                <w:rStyle w:val="Hyperlink"/>
                <w:noProof/>
              </w:rPr>
              <w:t>8.6.</w:t>
            </w:r>
            <w:r>
              <w:rPr>
                <w:rFonts w:asciiTheme="minorHAnsi" w:eastAsiaTheme="minorEastAsia" w:hAnsiTheme="minorHAnsi" w:cstheme="minorBidi"/>
                <w:noProof/>
                <w:lang w:eastAsia="en-AU"/>
              </w:rPr>
              <w:tab/>
            </w:r>
            <w:r w:rsidRPr="00004331">
              <w:rPr>
                <w:rStyle w:val="Hyperlink"/>
                <w:noProof/>
              </w:rPr>
              <w:t>Other safety issues</w:t>
            </w:r>
            <w:r>
              <w:rPr>
                <w:noProof/>
                <w:webHidden/>
              </w:rPr>
              <w:tab/>
            </w:r>
            <w:r>
              <w:rPr>
                <w:noProof/>
                <w:webHidden/>
              </w:rPr>
              <w:fldChar w:fldCharType="begin"/>
            </w:r>
            <w:r>
              <w:rPr>
                <w:noProof/>
                <w:webHidden/>
              </w:rPr>
              <w:instrText xml:space="preserve"> PAGEREF _Toc519773915 \h </w:instrText>
            </w:r>
            <w:r>
              <w:rPr>
                <w:noProof/>
                <w:webHidden/>
              </w:rPr>
            </w:r>
            <w:r>
              <w:rPr>
                <w:noProof/>
                <w:webHidden/>
              </w:rPr>
              <w:fldChar w:fldCharType="separate"/>
            </w:r>
            <w:r>
              <w:rPr>
                <w:noProof/>
                <w:webHidden/>
              </w:rPr>
              <w:t>119</w:t>
            </w:r>
            <w:r>
              <w:rPr>
                <w:noProof/>
                <w:webHidden/>
              </w:rPr>
              <w:fldChar w:fldCharType="end"/>
            </w:r>
          </w:hyperlink>
        </w:p>
        <w:p w14:paraId="41A3B94C"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6" w:history="1">
            <w:r w:rsidRPr="00004331">
              <w:rPr>
                <w:rStyle w:val="Hyperlink"/>
                <w:noProof/>
              </w:rPr>
              <w:t>8.7.</w:t>
            </w:r>
            <w:r>
              <w:rPr>
                <w:rFonts w:asciiTheme="minorHAnsi" w:eastAsiaTheme="minorEastAsia" w:hAnsiTheme="minorHAnsi" w:cstheme="minorBidi"/>
                <w:noProof/>
                <w:lang w:eastAsia="en-AU"/>
              </w:rPr>
              <w:tab/>
            </w:r>
            <w:r w:rsidRPr="00004331">
              <w:rPr>
                <w:rStyle w:val="Hyperlink"/>
                <w:noProof/>
              </w:rPr>
              <w:t>Post marketing experience</w:t>
            </w:r>
            <w:r>
              <w:rPr>
                <w:noProof/>
                <w:webHidden/>
              </w:rPr>
              <w:tab/>
            </w:r>
            <w:r>
              <w:rPr>
                <w:noProof/>
                <w:webHidden/>
              </w:rPr>
              <w:fldChar w:fldCharType="begin"/>
            </w:r>
            <w:r>
              <w:rPr>
                <w:noProof/>
                <w:webHidden/>
              </w:rPr>
              <w:instrText xml:space="preserve"> PAGEREF _Toc519773916 \h </w:instrText>
            </w:r>
            <w:r>
              <w:rPr>
                <w:noProof/>
                <w:webHidden/>
              </w:rPr>
            </w:r>
            <w:r>
              <w:rPr>
                <w:noProof/>
                <w:webHidden/>
              </w:rPr>
              <w:fldChar w:fldCharType="separate"/>
            </w:r>
            <w:r>
              <w:rPr>
                <w:noProof/>
                <w:webHidden/>
              </w:rPr>
              <w:t>120</w:t>
            </w:r>
            <w:r>
              <w:rPr>
                <w:noProof/>
                <w:webHidden/>
              </w:rPr>
              <w:fldChar w:fldCharType="end"/>
            </w:r>
          </w:hyperlink>
        </w:p>
        <w:p w14:paraId="41087E8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7" w:history="1">
            <w:r w:rsidRPr="00004331">
              <w:rPr>
                <w:rStyle w:val="Hyperlink"/>
                <w:noProof/>
              </w:rPr>
              <w:t>8.8.</w:t>
            </w:r>
            <w:r>
              <w:rPr>
                <w:rFonts w:asciiTheme="minorHAnsi" w:eastAsiaTheme="minorEastAsia" w:hAnsiTheme="minorHAnsi" w:cstheme="minorBidi"/>
                <w:noProof/>
                <w:lang w:eastAsia="en-AU"/>
              </w:rPr>
              <w:tab/>
            </w:r>
            <w:r w:rsidRPr="00004331">
              <w:rPr>
                <w:rStyle w:val="Hyperlink"/>
                <w:noProof/>
              </w:rPr>
              <w:t>Evaluator’s overall conclusions on clinical safety</w:t>
            </w:r>
            <w:r>
              <w:rPr>
                <w:noProof/>
                <w:webHidden/>
              </w:rPr>
              <w:tab/>
            </w:r>
            <w:r>
              <w:rPr>
                <w:noProof/>
                <w:webHidden/>
              </w:rPr>
              <w:fldChar w:fldCharType="begin"/>
            </w:r>
            <w:r>
              <w:rPr>
                <w:noProof/>
                <w:webHidden/>
              </w:rPr>
              <w:instrText xml:space="preserve"> PAGEREF _Toc519773917 \h </w:instrText>
            </w:r>
            <w:r>
              <w:rPr>
                <w:noProof/>
                <w:webHidden/>
              </w:rPr>
            </w:r>
            <w:r>
              <w:rPr>
                <w:noProof/>
                <w:webHidden/>
              </w:rPr>
              <w:fldChar w:fldCharType="separate"/>
            </w:r>
            <w:r>
              <w:rPr>
                <w:noProof/>
                <w:webHidden/>
              </w:rPr>
              <w:t>124</w:t>
            </w:r>
            <w:r>
              <w:rPr>
                <w:noProof/>
                <w:webHidden/>
              </w:rPr>
              <w:fldChar w:fldCharType="end"/>
            </w:r>
          </w:hyperlink>
        </w:p>
        <w:p w14:paraId="7DEA42A0" w14:textId="77777777" w:rsidR="001977DC" w:rsidRDefault="001977DC">
          <w:pPr>
            <w:pStyle w:val="TOC2"/>
            <w:tabs>
              <w:tab w:val="left" w:pos="1100"/>
            </w:tabs>
            <w:rPr>
              <w:rFonts w:asciiTheme="minorHAnsi" w:eastAsiaTheme="minorEastAsia" w:hAnsiTheme="minorHAnsi" w:cstheme="minorBidi"/>
              <w:b w:val="0"/>
              <w:noProof/>
              <w:sz w:val="22"/>
              <w:lang w:eastAsia="en-AU"/>
            </w:rPr>
          </w:pPr>
          <w:hyperlink w:anchor="_Toc519773918" w:history="1">
            <w:r w:rsidRPr="00004331">
              <w:rPr>
                <w:rStyle w:val="Hyperlink"/>
                <w:noProof/>
              </w:rPr>
              <w:t>9.</w:t>
            </w:r>
            <w:r>
              <w:rPr>
                <w:rFonts w:asciiTheme="minorHAnsi" w:eastAsiaTheme="minorEastAsia" w:hAnsiTheme="minorHAnsi" w:cstheme="minorBidi"/>
                <w:b w:val="0"/>
                <w:noProof/>
                <w:sz w:val="22"/>
                <w:lang w:eastAsia="en-AU"/>
              </w:rPr>
              <w:tab/>
            </w:r>
            <w:r w:rsidRPr="00004331">
              <w:rPr>
                <w:rStyle w:val="Hyperlink"/>
                <w:noProof/>
              </w:rPr>
              <w:t>First round benefit-risk assessment</w:t>
            </w:r>
            <w:r>
              <w:rPr>
                <w:noProof/>
                <w:webHidden/>
              </w:rPr>
              <w:tab/>
            </w:r>
            <w:r>
              <w:rPr>
                <w:noProof/>
                <w:webHidden/>
              </w:rPr>
              <w:fldChar w:fldCharType="begin"/>
            </w:r>
            <w:r>
              <w:rPr>
                <w:noProof/>
                <w:webHidden/>
              </w:rPr>
              <w:instrText xml:space="preserve"> PAGEREF _Toc519773918 \h </w:instrText>
            </w:r>
            <w:r>
              <w:rPr>
                <w:noProof/>
                <w:webHidden/>
              </w:rPr>
            </w:r>
            <w:r>
              <w:rPr>
                <w:noProof/>
                <w:webHidden/>
              </w:rPr>
              <w:fldChar w:fldCharType="separate"/>
            </w:r>
            <w:r>
              <w:rPr>
                <w:noProof/>
                <w:webHidden/>
              </w:rPr>
              <w:t>124</w:t>
            </w:r>
            <w:r>
              <w:rPr>
                <w:noProof/>
                <w:webHidden/>
              </w:rPr>
              <w:fldChar w:fldCharType="end"/>
            </w:r>
          </w:hyperlink>
        </w:p>
        <w:p w14:paraId="1F0AE891"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19" w:history="1">
            <w:r w:rsidRPr="00004331">
              <w:rPr>
                <w:rStyle w:val="Hyperlink"/>
                <w:noProof/>
              </w:rPr>
              <w:t>9.1.</w:t>
            </w:r>
            <w:r>
              <w:rPr>
                <w:rFonts w:asciiTheme="minorHAnsi" w:eastAsiaTheme="minorEastAsia" w:hAnsiTheme="minorHAnsi" w:cstheme="minorBidi"/>
                <w:noProof/>
                <w:lang w:eastAsia="en-AU"/>
              </w:rPr>
              <w:tab/>
            </w:r>
            <w:r w:rsidRPr="00004331">
              <w:rPr>
                <w:rStyle w:val="Hyperlink"/>
                <w:noProof/>
              </w:rPr>
              <w:t>First round assessment of benefits</w:t>
            </w:r>
            <w:r>
              <w:rPr>
                <w:noProof/>
                <w:webHidden/>
              </w:rPr>
              <w:tab/>
            </w:r>
            <w:r>
              <w:rPr>
                <w:noProof/>
                <w:webHidden/>
              </w:rPr>
              <w:fldChar w:fldCharType="begin"/>
            </w:r>
            <w:r>
              <w:rPr>
                <w:noProof/>
                <w:webHidden/>
              </w:rPr>
              <w:instrText xml:space="preserve"> PAGEREF _Toc519773919 \h </w:instrText>
            </w:r>
            <w:r>
              <w:rPr>
                <w:noProof/>
                <w:webHidden/>
              </w:rPr>
            </w:r>
            <w:r>
              <w:rPr>
                <w:noProof/>
                <w:webHidden/>
              </w:rPr>
              <w:fldChar w:fldCharType="separate"/>
            </w:r>
            <w:r>
              <w:rPr>
                <w:noProof/>
                <w:webHidden/>
              </w:rPr>
              <w:t>124</w:t>
            </w:r>
            <w:r>
              <w:rPr>
                <w:noProof/>
                <w:webHidden/>
              </w:rPr>
              <w:fldChar w:fldCharType="end"/>
            </w:r>
          </w:hyperlink>
        </w:p>
        <w:p w14:paraId="0088C07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0" w:history="1">
            <w:r w:rsidRPr="00004331">
              <w:rPr>
                <w:rStyle w:val="Hyperlink"/>
                <w:noProof/>
              </w:rPr>
              <w:t>9.2.</w:t>
            </w:r>
            <w:r>
              <w:rPr>
                <w:rFonts w:asciiTheme="minorHAnsi" w:eastAsiaTheme="minorEastAsia" w:hAnsiTheme="minorHAnsi" w:cstheme="minorBidi"/>
                <w:noProof/>
                <w:lang w:eastAsia="en-AU"/>
              </w:rPr>
              <w:tab/>
            </w:r>
            <w:r w:rsidRPr="00004331">
              <w:rPr>
                <w:rStyle w:val="Hyperlink"/>
                <w:noProof/>
              </w:rPr>
              <w:t>First round assessment of risks</w:t>
            </w:r>
            <w:r>
              <w:rPr>
                <w:noProof/>
                <w:webHidden/>
              </w:rPr>
              <w:tab/>
            </w:r>
            <w:r>
              <w:rPr>
                <w:noProof/>
                <w:webHidden/>
              </w:rPr>
              <w:fldChar w:fldCharType="begin"/>
            </w:r>
            <w:r>
              <w:rPr>
                <w:noProof/>
                <w:webHidden/>
              </w:rPr>
              <w:instrText xml:space="preserve"> PAGEREF _Toc519773920 \h </w:instrText>
            </w:r>
            <w:r>
              <w:rPr>
                <w:noProof/>
                <w:webHidden/>
              </w:rPr>
            </w:r>
            <w:r>
              <w:rPr>
                <w:noProof/>
                <w:webHidden/>
              </w:rPr>
              <w:fldChar w:fldCharType="separate"/>
            </w:r>
            <w:r>
              <w:rPr>
                <w:noProof/>
                <w:webHidden/>
              </w:rPr>
              <w:t>125</w:t>
            </w:r>
            <w:r>
              <w:rPr>
                <w:noProof/>
                <w:webHidden/>
              </w:rPr>
              <w:fldChar w:fldCharType="end"/>
            </w:r>
          </w:hyperlink>
        </w:p>
        <w:p w14:paraId="194D75F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1" w:history="1">
            <w:r w:rsidRPr="00004331">
              <w:rPr>
                <w:rStyle w:val="Hyperlink"/>
                <w:noProof/>
              </w:rPr>
              <w:t>9.3.</w:t>
            </w:r>
            <w:r>
              <w:rPr>
                <w:rFonts w:asciiTheme="minorHAnsi" w:eastAsiaTheme="minorEastAsia" w:hAnsiTheme="minorHAnsi" w:cstheme="minorBidi"/>
                <w:noProof/>
                <w:lang w:eastAsia="en-AU"/>
              </w:rPr>
              <w:tab/>
            </w:r>
            <w:r w:rsidRPr="00004331">
              <w:rPr>
                <w:rStyle w:val="Hyperlink"/>
                <w:noProof/>
              </w:rPr>
              <w:t>First round assessment of benefit-risk balance</w:t>
            </w:r>
            <w:r>
              <w:rPr>
                <w:noProof/>
                <w:webHidden/>
              </w:rPr>
              <w:tab/>
            </w:r>
            <w:r>
              <w:rPr>
                <w:noProof/>
                <w:webHidden/>
              </w:rPr>
              <w:fldChar w:fldCharType="begin"/>
            </w:r>
            <w:r>
              <w:rPr>
                <w:noProof/>
                <w:webHidden/>
              </w:rPr>
              <w:instrText xml:space="preserve"> PAGEREF _Toc519773921 \h </w:instrText>
            </w:r>
            <w:r>
              <w:rPr>
                <w:noProof/>
                <w:webHidden/>
              </w:rPr>
            </w:r>
            <w:r>
              <w:rPr>
                <w:noProof/>
                <w:webHidden/>
              </w:rPr>
              <w:fldChar w:fldCharType="separate"/>
            </w:r>
            <w:r>
              <w:rPr>
                <w:noProof/>
                <w:webHidden/>
              </w:rPr>
              <w:t>126</w:t>
            </w:r>
            <w:r>
              <w:rPr>
                <w:noProof/>
                <w:webHidden/>
              </w:rPr>
              <w:fldChar w:fldCharType="end"/>
            </w:r>
          </w:hyperlink>
        </w:p>
        <w:p w14:paraId="4BB47168" w14:textId="77777777" w:rsidR="001977DC" w:rsidRDefault="001977DC">
          <w:pPr>
            <w:pStyle w:val="TOC2"/>
            <w:tabs>
              <w:tab w:val="left" w:pos="1320"/>
            </w:tabs>
            <w:rPr>
              <w:rFonts w:asciiTheme="minorHAnsi" w:eastAsiaTheme="minorEastAsia" w:hAnsiTheme="minorHAnsi" w:cstheme="minorBidi"/>
              <w:b w:val="0"/>
              <w:noProof/>
              <w:sz w:val="22"/>
              <w:lang w:eastAsia="en-AU"/>
            </w:rPr>
          </w:pPr>
          <w:hyperlink w:anchor="_Toc519773922" w:history="1">
            <w:r w:rsidRPr="00004331">
              <w:rPr>
                <w:rStyle w:val="Hyperlink"/>
                <w:noProof/>
              </w:rPr>
              <w:t>10.</w:t>
            </w:r>
            <w:r>
              <w:rPr>
                <w:rFonts w:asciiTheme="minorHAnsi" w:eastAsiaTheme="minorEastAsia" w:hAnsiTheme="minorHAnsi" w:cstheme="minorBidi"/>
                <w:b w:val="0"/>
                <w:noProof/>
                <w:sz w:val="22"/>
                <w:lang w:eastAsia="en-AU"/>
              </w:rPr>
              <w:tab/>
            </w:r>
            <w:r w:rsidRPr="00004331">
              <w:rPr>
                <w:rStyle w:val="Hyperlink"/>
                <w:noProof/>
              </w:rPr>
              <w:t>First round recommendation regarding authorisation</w:t>
            </w:r>
            <w:r>
              <w:rPr>
                <w:noProof/>
                <w:webHidden/>
              </w:rPr>
              <w:tab/>
            </w:r>
            <w:r>
              <w:rPr>
                <w:noProof/>
                <w:webHidden/>
              </w:rPr>
              <w:fldChar w:fldCharType="begin"/>
            </w:r>
            <w:r>
              <w:rPr>
                <w:noProof/>
                <w:webHidden/>
              </w:rPr>
              <w:instrText xml:space="preserve"> PAGEREF _Toc519773922 \h </w:instrText>
            </w:r>
            <w:r>
              <w:rPr>
                <w:noProof/>
                <w:webHidden/>
              </w:rPr>
            </w:r>
            <w:r>
              <w:rPr>
                <w:noProof/>
                <w:webHidden/>
              </w:rPr>
              <w:fldChar w:fldCharType="separate"/>
            </w:r>
            <w:r>
              <w:rPr>
                <w:noProof/>
                <w:webHidden/>
              </w:rPr>
              <w:t>127</w:t>
            </w:r>
            <w:r>
              <w:rPr>
                <w:noProof/>
                <w:webHidden/>
              </w:rPr>
              <w:fldChar w:fldCharType="end"/>
            </w:r>
          </w:hyperlink>
        </w:p>
        <w:p w14:paraId="646F89D8" w14:textId="77777777" w:rsidR="001977DC" w:rsidRDefault="001977DC">
          <w:pPr>
            <w:pStyle w:val="TOC2"/>
            <w:tabs>
              <w:tab w:val="left" w:pos="1320"/>
            </w:tabs>
            <w:rPr>
              <w:rFonts w:asciiTheme="minorHAnsi" w:eastAsiaTheme="minorEastAsia" w:hAnsiTheme="minorHAnsi" w:cstheme="minorBidi"/>
              <w:b w:val="0"/>
              <w:noProof/>
              <w:sz w:val="22"/>
              <w:lang w:eastAsia="en-AU"/>
            </w:rPr>
          </w:pPr>
          <w:hyperlink w:anchor="_Toc519773923" w:history="1">
            <w:r w:rsidRPr="00004331">
              <w:rPr>
                <w:rStyle w:val="Hyperlink"/>
                <w:noProof/>
              </w:rPr>
              <w:t>11.</w:t>
            </w:r>
            <w:r>
              <w:rPr>
                <w:rFonts w:asciiTheme="minorHAnsi" w:eastAsiaTheme="minorEastAsia" w:hAnsiTheme="minorHAnsi" w:cstheme="minorBidi"/>
                <w:b w:val="0"/>
                <w:noProof/>
                <w:sz w:val="22"/>
                <w:lang w:eastAsia="en-AU"/>
              </w:rPr>
              <w:tab/>
            </w:r>
            <w:r w:rsidRPr="00004331">
              <w:rPr>
                <w:rStyle w:val="Hyperlink"/>
                <w:noProof/>
              </w:rPr>
              <w:t>Clinical questions</w:t>
            </w:r>
            <w:r>
              <w:rPr>
                <w:noProof/>
                <w:webHidden/>
              </w:rPr>
              <w:tab/>
            </w:r>
            <w:r>
              <w:rPr>
                <w:noProof/>
                <w:webHidden/>
              </w:rPr>
              <w:fldChar w:fldCharType="begin"/>
            </w:r>
            <w:r>
              <w:rPr>
                <w:noProof/>
                <w:webHidden/>
              </w:rPr>
              <w:instrText xml:space="preserve"> PAGEREF _Toc519773923 \h </w:instrText>
            </w:r>
            <w:r>
              <w:rPr>
                <w:noProof/>
                <w:webHidden/>
              </w:rPr>
            </w:r>
            <w:r>
              <w:rPr>
                <w:noProof/>
                <w:webHidden/>
              </w:rPr>
              <w:fldChar w:fldCharType="separate"/>
            </w:r>
            <w:r>
              <w:rPr>
                <w:noProof/>
                <w:webHidden/>
              </w:rPr>
              <w:t>127</w:t>
            </w:r>
            <w:r>
              <w:rPr>
                <w:noProof/>
                <w:webHidden/>
              </w:rPr>
              <w:fldChar w:fldCharType="end"/>
            </w:r>
          </w:hyperlink>
        </w:p>
        <w:p w14:paraId="26080AA6"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4" w:history="1">
            <w:r w:rsidRPr="00004331">
              <w:rPr>
                <w:rStyle w:val="Hyperlink"/>
                <w:noProof/>
              </w:rPr>
              <w:t>11.1.</w:t>
            </w:r>
            <w:r>
              <w:rPr>
                <w:rFonts w:asciiTheme="minorHAnsi" w:eastAsiaTheme="minorEastAsia" w:hAnsiTheme="minorHAnsi" w:cstheme="minorBidi"/>
                <w:noProof/>
                <w:lang w:eastAsia="en-AU"/>
              </w:rPr>
              <w:tab/>
            </w:r>
            <w:r w:rsidRPr="00004331">
              <w:rPr>
                <w:rStyle w:val="Hyperlink"/>
                <w:noProof/>
              </w:rPr>
              <w:t>General</w:t>
            </w:r>
            <w:r>
              <w:rPr>
                <w:noProof/>
                <w:webHidden/>
              </w:rPr>
              <w:tab/>
            </w:r>
            <w:r>
              <w:rPr>
                <w:noProof/>
                <w:webHidden/>
              </w:rPr>
              <w:fldChar w:fldCharType="begin"/>
            </w:r>
            <w:r>
              <w:rPr>
                <w:noProof/>
                <w:webHidden/>
              </w:rPr>
              <w:instrText xml:space="preserve"> PAGEREF _Toc519773924 \h </w:instrText>
            </w:r>
            <w:r>
              <w:rPr>
                <w:noProof/>
                <w:webHidden/>
              </w:rPr>
            </w:r>
            <w:r>
              <w:rPr>
                <w:noProof/>
                <w:webHidden/>
              </w:rPr>
              <w:fldChar w:fldCharType="separate"/>
            </w:r>
            <w:r>
              <w:rPr>
                <w:noProof/>
                <w:webHidden/>
              </w:rPr>
              <w:t>127</w:t>
            </w:r>
            <w:r>
              <w:rPr>
                <w:noProof/>
                <w:webHidden/>
              </w:rPr>
              <w:fldChar w:fldCharType="end"/>
            </w:r>
          </w:hyperlink>
        </w:p>
        <w:p w14:paraId="1D8D3A5A"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5" w:history="1">
            <w:r w:rsidRPr="00004331">
              <w:rPr>
                <w:rStyle w:val="Hyperlink"/>
                <w:noProof/>
              </w:rPr>
              <w:t>11.2.</w:t>
            </w:r>
            <w:r>
              <w:rPr>
                <w:rFonts w:asciiTheme="minorHAnsi" w:eastAsiaTheme="minorEastAsia" w:hAnsiTheme="minorHAnsi" w:cstheme="minorBidi"/>
                <w:noProof/>
                <w:lang w:eastAsia="en-AU"/>
              </w:rPr>
              <w:tab/>
            </w:r>
            <w:r w:rsidRPr="00004331">
              <w:rPr>
                <w:rStyle w:val="Hyperlink"/>
                <w:noProof/>
              </w:rPr>
              <w:t>Pharmacokinetics</w:t>
            </w:r>
            <w:r>
              <w:rPr>
                <w:noProof/>
                <w:webHidden/>
              </w:rPr>
              <w:tab/>
            </w:r>
            <w:r>
              <w:rPr>
                <w:noProof/>
                <w:webHidden/>
              </w:rPr>
              <w:fldChar w:fldCharType="begin"/>
            </w:r>
            <w:r>
              <w:rPr>
                <w:noProof/>
                <w:webHidden/>
              </w:rPr>
              <w:instrText xml:space="preserve"> PAGEREF _Toc519773925 \h </w:instrText>
            </w:r>
            <w:r>
              <w:rPr>
                <w:noProof/>
                <w:webHidden/>
              </w:rPr>
            </w:r>
            <w:r>
              <w:rPr>
                <w:noProof/>
                <w:webHidden/>
              </w:rPr>
              <w:fldChar w:fldCharType="separate"/>
            </w:r>
            <w:r>
              <w:rPr>
                <w:noProof/>
                <w:webHidden/>
              </w:rPr>
              <w:t>127</w:t>
            </w:r>
            <w:r>
              <w:rPr>
                <w:noProof/>
                <w:webHidden/>
              </w:rPr>
              <w:fldChar w:fldCharType="end"/>
            </w:r>
          </w:hyperlink>
        </w:p>
        <w:p w14:paraId="4E046370"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6" w:history="1">
            <w:r w:rsidRPr="00004331">
              <w:rPr>
                <w:rStyle w:val="Hyperlink"/>
                <w:noProof/>
              </w:rPr>
              <w:t>11.3.</w:t>
            </w:r>
            <w:r>
              <w:rPr>
                <w:rFonts w:asciiTheme="minorHAnsi" w:eastAsiaTheme="minorEastAsia" w:hAnsiTheme="minorHAnsi" w:cstheme="minorBidi"/>
                <w:noProof/>
                <w:lang w:eastAsia="en-AU"/>
              </w:rPr>
              <w:tab/>
            </w:r>
            <w:r w:rsidRPr="00004331">
              <w:rPr>
                <w:rStyle w:val="Hyperlink"/>
                <w:noProof/>
              </w:rPr>
              <w:t>Efficacy</w:t>
            </w:r>
            <w:r>
              <w:rPr>
                <w:noProof/>
                <w:webHidden/>
              </w:rPr>
              <w:tab/>
            </w:r>
            <w:r>
              <w:rPr>
                <w:noProof/>
                <w:webHidden/>
              </w:rPr>
              <w:fldChar w:fldCharType="begin"/>
            </w:r>
            <w:r>
              <w:rPr>
                <w:noProof/>
                <w:webHidden/>
              </w:rPr>
              <w:instrText xml:space="preserve"> PAGEREF _Toc519773926 \h </w:instrText>
            </w:r>
            <w:r>
              <w:rPr>
                <w:noProof/>
                <w:webHidden/>
              </w:rPr>
            </w:r>
            <w:r>
              <w:rPr>
                <w:noProof/>
                <w:webHidden/>
              </w:rPr>
              <w:fldChar w:fldCharType="separate"/>
            </w:r>
            <w:r>
              <w:rPr>
                <w:noProof/>
                <w:webHidden/>
              </w:rPr>
              <w:t>128</w:t>
            </w:r>
            <w:r>
              <w:rPr>
                <w:noProof/>
                <w:webHidden/>
              </w:rPr>
              <w:fldChar w:fldCharType="end"/>
            </w:r>
          </w:hyperlink>
        </w:p>
        <w:p w14:paraId="1967AA3D"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7" w:history="1">
            <w:r w:rsidRPr="00004331">
              <w:rPr>
                <w:rStyle w:val="Hyperlink"/>
                <w:noProof/>
              </w:rPr>
              <w:t>11.4.</w:t>
            </w:r>
            <w:r>
              <w:rPr>
                <w:rFonts w:asciiTheme="minorHAnsi" w:eastAsiaTheme="minorEastAsia" w:hAnsiTheme="minorHAnsi" w:cstheme="minorBidi"/>
                <w:noProof/>
                <w:lang w:eastAsia="en-AU"/>
              </w:rPr>
              <w:tab/>
            </w:r>
            <w:r w:rsidRPr="00004331">
              <w:rPr>
                <w:rStyle w:val="Hyperlink"/>
                <w:noProof/>
              </w:rPr>
              <w:t>Safety</w:t>
            </w:r>
            <w:r>
              <w:rPr>
                <w:noProof/>
                <w:webHidden/>
              </w:rPr>
              <w:tab/>
            </w:r>
            <w:r>
              <w:rPr>
                <w:noProof/>
                <w:webHidden/>
              </w:rPr>
              <w:fldChar w:fldCharType="begin"/>
            </w:r>
            <w:r>
              <w:rPr>
                <w:noProof/>
                <w:webHidden/>
              </w:rPr>
              <w:instrText xml:space="preserve"> PAGEREF _Toc519773927 \h </w:instrText>
            </w:r>
            <w:r>
              <w:rPr>
                <w:noProof/>
                <w:webHidden/>
              </w:rPr>
            </w:r>
            <w:r>
              <w:rPr>
                <w:noProof/>
                <w:webHidden/>
              </w:rPr>
              <w:fldChar w:fldCharType="separate"/>
            </w:r>
            <w:r>
              <w:rPr>
                <w:noProof/>
                <w:webHidden/>
              </w:rPr>
              <w:t>128</w:t>
            </w:r>
            <w:r>
              <w:rPr>
                <w:noProof/>
                <w:webHidden/>
              </w:rPr>
              <w:fldChar w:fldCharType="end"/>
            </w:r>
          </w:hyperlink>
        </w:p>
        <w:p w14:paraId="38FAA4E0"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28" w:history="1">
            <w:r w:rsidRPr="00004331">
              <w:rPr>
                <w:rStyle w:val="Hyperlink"/>
                <w:noProof/>
              </w:rPr>
              <w:t>11.5.</w:t>
            </w:r>
            <w:r>
              <w:rPr>
                <w:rFonts w:asciiTheme="minorHAnsi" w:eastAsiaTheme="minorEastAsia" w:hAnsiTheme="minorHAnsi" w:cstheme="minorBidi"/>
                <w:noProof/>
                <w:lang w:eastAsia="en-AU"/>
              </w:rPr>
              <w:tab/>
            </w:r>
            <w:r w:rsidRPr="00004331">
              <w:rPr>
                <w:rStyle w:val="Hyperlink"/>
                <w:noProof/>
              </w:rPr>
              <w:t>PI and CMI</w:t>
            </w:r>
            <w:r>
              <w:rPr>
                <w:noProof/>
                <w:webHidden/>
              </w:rPr>
              <w:tab/>
            </w:r>
            <w:r>
              <w:rPr>
                <w:noProof/>
                <w:webHidden/>
              </w:rPr>
              <w:fldChar w:fldCharType="begin"/>
            </w:r>
            <w:r>
              <w:rPr>
                <w:noProof/>
                <w:webHidden/>
              </w:rPr>
              <w:instrText xml:space="preserve"> PAGEREF _Toc519773928 \h </w:instrText>
            </w:r>
            <w:r>
              <w:rPr>
                <w:noProof/>
                <w:webHidden/>
              </w:rPr>
            </w:r>
            <w:r>
              <w:rPr>
                <w:noProof/>
                <w:webHidden/>
              </w:rPr>
              <w:fldChar w:fldCharType="separate"/>
            </w:r>
            <w:r>
              <w:rPr>
                <w:noProof/>
                <w:webHidden/>
              </w:rPr>
              <w:t>128</w:t>
            </w:r>
            <w:r>
              <w:rPr>
                <w:noProof/>
                <w:webHidden/>
              </w:rPr>
              <w:fldChar w:fldCharType="end"/>
            </w:r>
          </w:hyperlink>
        </w:p>
        <w:p w14:paraId="0294007E" w14:textId="77777777" w:rsidR="001977DC" w:rsidRDefault="001977DC">
          <w:pPr>
            <w:pStyle w:val="TOC2"/>
            <w:tabs>
              <w:tab w:val="left" w:pos="1320"/>
            </w:tabs>
            <w:rPr>
              <w:rFonts w:asciiTheme="minorHAnsi" w:eastAsiaTheme="minorEastAsia" w:hAnsiTheme="minorHAnsi" w:cstheme="minorBidi"/>
              <w:b w:val="0"/>
              <w:noProof/>
              <w:sz w:val="22"/>
              <w:lang w:eastAsia="en-AU"/>
            </w:rPr>
          </w:pPr>
          <w:hyperlink w:anchor="_Toc519773929" w:history="1">
            <w:r w:rsidRPr="00004331">
              <w:rPr>
                <w:rStyle w:val="Hyperlink"/>
                <w:noProof/>
              </w:rPr>
              <w:t>12.</w:t>
            </w:r>
            <w:r>
              <w:rPr>
                <w:rFonts w:asciiTheme="minorHAnsi" w:eastAsiaTheme="minorEastAsia" w:hAnsiTheme="minorHAnsi" w:cstheme="minorBidi"/>
                <w:b w:val="0"/>
                <w:noProof/>
                <w:sz w:val="22"/>
                <w:lang w:eastAsia="en-AU"/>
              </w:rPr>
              <w:tab/>
            </w:r>
            <w:r w:rsidRPr="00004331">
              <w:rPr>
                <w:rStyle w:val="Hyperlink"/>
                <w:noProof/>
              </w:rPr>
              <w:t>Second round evaluation of clinical data submitted in response to questions</w:t>
            </w:r>
            <w:r>
              <w:rPr>
                <w:noProof/>
                <w:webHidden/>
              </w:rPr>
              <w:tab/>
            </w:r>
            <w:r>
              <w:rPr>
                <w:noProof/>
                <w:webHidden/>
              </w:rPr>
              <w:fldChar w:fldCharType="begin"/>
            </w:r>
            <w:r>
              <w:rPr>
                <w:noProof/>
                <w:webHidden/>
              </w:rPr>
              <w:instrText xml:space="preserve"> PAGEREF _Toc519773929 \h </w:instrText>
            </w:r>
            <w:r>
              <w:rPr>
                <w:noProof/>
                <w:webHidden/>
              </w:rPr>
            </w:r>
            <w:r>
              <w:rPr>
                <w:noProof/>
                <w:webHidden/>
              </w:rPr>
              <w:fldChar w:fldCharType="separate"/>
            </w:r>
            <w:r>
              <w:rPr>
                <w:noProof/>
                <w:webHidden/>
              </w:rPr>
              <w:t>128</w:t>
            </w:r>
            <w:r>
              <w:rPr>
                <w:noProof/>
                <w:webHidden/>
              </w:rPr>
              <w:fldChar w:fldCharType="end"/>
            </w:r>
          </w:hyperlink>
        </w:p>
        <w:p w14:paraId="02E39075"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0" w:history="1">
            <w:r w:rsidRPr="00004331">
              <w:rPr>
                <w:rStyle w:val="Hyperlink"/>
                <w:noProof/>
              </w:rPr>
              <w:t>12.1.</w:t>
            </w:r>
            <w:r>
              <w:rPr>
                <w:rFonts w:asciiTheme="minorHAnsi" w:eastAsiaTheme="minorEastAsia" w:hAnsiTheme="minorHAnsi" w:cstheme="minorBidi"/>
                <w:noProof/>
                <w:lang w:eastAsia="en-AU"/>
              </w:rPr>
              <w:tab/>
            </w:r>
            <w:r w:rsidRPr="00004331">
              <w:rPr>
                <w:rStyle w:val="Hyperlink"/>
                <w:noProof/>
              </w:rPr>
              <w:t>General</w:t>
            </w:r>
            <w:r>
              <w:rPr>
                <w:noProof/>
                <w:webHidden/>
              </w:rPr>
              <w:tab/>
            </w:r>
            <w:r>
              <w:rPr>
                <w:noProof/>
                <w:webHidden/>
              </w:rPr>
              <w:fldChar w:fldCharType="begin"/>
            </w:r>
            <w:r>
              <w:rPr>
                <w:noProof/>
                <w:webHidden/>
              </w:rPr>
              <w:instrText xml:space="preserve"> PAGEREF _Toc519773930 \h </w:instrText>
            </w:r>
            <w:r>
              <w:rPr>
                <w:noProof/>
                <w:webHidden/>
              </w:rPr>
            </w:r>
            <w:r>
              <w:rPr>
                <w:noProof/>
                <w:webHidden/>
              </w:rPr>
              <w:fldChar w:fldCharType="separate"/>
            </w:r>
            <w:r>
              <w:rPr>
                <w:noProof/>
                <w:webHidden/>
              </w:rPr>
              <w:t>128</w:t>
            </w:r>
            <w:r>
              <w:rPr>
                <w:noProof/>
                <w:webHidden/>
              </w:rPr>
              <w:fldChar w:fldCharType="end"/>
            </w:r>
          </w:hyperlink>
        </w:p>
        <w:p w14:paraId="6F299233"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1" w:history="1">
            <w:r w:rsidRPr="00004331">
              <w:rPr>
                <w:rStyle w:val="Hyperlink"/>
                <w:noProof/>
              </w:rPr>
              <w:t>12.2.</w:t>
            </w:r>
            <w:r>
              <w:rPr>
                <w:rFonts w:asciiTheme="minorHAnsi" w:eastAsiaTheme="minorEastAsia" w:hAnsiTheme="minorHAnsi" w:cstheme="minorBidi"/>
                <w:noProof/>
                <w:lang w:eastAsia="en-AU"/>
              </w:rPr>
              <w:tab/>
            </w:r>
            <w:r w:rsidRPr="00004331">
              <w:rPr>
                <w:rStyle w:val="Hyperlink"/>
                <w:noProof/>
              </w:rPr>
              <w:t>Pharmacokinetics</w:t>
            </w:r>
            <w:r>
              <w:rPr>
                <w:noProof/>
                <w:webHidden/>
              </w:rPr>
              <w:tab/>
            </w:r>
            <w:r>
              <w:rPr>
                <w:noProof/>
                <w:webHidden/>
              </w:rPr>
              <w:fldChar w:fldCharType="begin"/>
            </w:r>
            <w:r>
              <w:rPr>
                <w:noProof/>
                <w:webHidden/>
              </w:rPr>
              <w:instrText xml:space="preserve"> PAGEREF _Toc519773931 \h </w:instrText>
            </w:r>
            <w:r>
              <w:rPr>
                <w:noProof/>
                <w:webHidden/>
              </w:rPr>
            </w:r>
            <w:r>
              <w:rPr>
                <w:noProof/>
                <w:webHidden/>
              </w:rPr>
              <w:fldChar w:fldCharType="separate"/>
            </w:r>
            <w:r>
              <w:rPr>
                <w:noProof/>
                <w:webHidden/>
              </w:rPr>
              <w:t>129</w:t>
            </w:r>
            <w:r>
              <w:rPr>
                <w:noProof/>
                <w:webHidden/>
              </w:rPr>
              <w:fldChar w:fldCharType="end"/>
            </w:r>
          </w:hyperlink>
        </w:p>
        <w:p w14:paraId="28DA9A1F"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2" w:history="1">
            <w:r w:rsidRPr="00004331">
              <w:rPr>
                <w:rStyle w:val="Hyperlink"/>
                <w:noProof/>
              </w:rPr>
              <w:t>12.3.</w:t>
            </w:r>
            <w:r>
              <w:rPr>
                <w:rFonts w:asciiTheme="minorHAnsi" w:eastAsiaTheme="minorEastAsia" w:hAnsiTheme="minorHAnsi" w:cstheme="minorBidi"/>
                <w:noProof/>
                <w:lang w:eastAsia="en-AU"/>
              </w:rPr>
              <w:tab/>
            </w:r>
            <w:r w:rsidRPr="00004331">
              <w:rPr>
                <w:rStyle w:val="Hyperlink"/>
                <w:noProof/>
              </w:rPr>
              <w:t>Efficacy</w:t>
            </w:r>
            <w:r>
              <w:rPr>
                <w:noProof/>
                <w:webHidden/>
              </w:rPr>
              <w:tab/>
            </w:r>
            <w:r>
              <w:rPr>
                <w:noProof/>
                <w:webHidden/>
              </w:rPr>
              <w:fldChar w:fldCharType="begin"/>
            </w:r>
            <w:r>
              <w:rPr>
                <w:noProof/>
                <w:webHidden/>
              </w:rPr>
              <w:instrText xml:space="preserve"> PAGEREF _Toc519773932 \h </w:instrText>
            </w:r>
            <w:r>
              <w:rPr>
                <w:noProof/>
                <w:webHidden/>
              </w:rPr>
            </w:r>
            <w:r>
              <w:rPr>
                <w:noProof/>
                <w:webHidden/>
              </w:rPr>
              <w:fldChar w:fldCharType="separate"/>
            </w:r>
            <w:r>
              <w:rPr>
                <w:noProof/>
                <w:webHidden/>
              </w:rPr>
              <w:t>134</w:t>
            </w:r>
            <w:r>
              <w:rPr>
                <w:noProof/>
                <w:webHidden/>
              </w:rPr>
              <w:fldChar w:fldCharType="end"/>
            </w:r>
          </w:hyperlink>
        </w:p>
        <w:p w14:paraId="6557632A"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3" w:history="1">
            <w:r w:rsidRPr="00004331">
              <w:rPr>
                <w:rStyle w:val="Hyperlink"/>
                <w:noProof/>
              </w:rPr>
              <w:t>12.4.</w:t>
            </w:r>
            <w:r>
              <w:rPr>
                <w:rFonts w:asciiTheme="minorHAnsi" w:eastAsiaTheme="minorEastAsia" w:hAnsiTheme="minorHAnsi" w:cstheme="minorBidi"/>
                <w:noProof/>
                <w:lang w:eastAsia="en-AU"/>
              </w:rPr>
              <w:tab/>
            </w:r>
            <w:r w:rsidRPr="00004331">
              <w:rPr>
                <w:rStyle w:val="Hyperlink"/>
                <w:noProof/>
              </w:rPr>
              <w:t>Safety</w:t>
            </w:r>
            <w:r>
              <w:rPr>
                <w:noProof/>
                <w:webHidden/>
              </w:rPr>
              <w:tab/>
            </w:r>
            <w:r>
              <w:rPr>
                <w:noProof/>
                <w:webHidden/>
              </w:rPr>
              <w:fldChar w:fldCharType="begin"/>
            </w:r>
            <w:r>
              <w:rPr>
                <w:noProof/>
                <w:webHidden/>
              </w:rPr>
              <w:instrText xml:space="preserve"> PAGEREF _Toc519773933 \h </w:instrText>
            </w:r>
            <w:r>
              <w:rPr>
                <w:noProof/>
                <w:webHidden/>
              </w:rPr>
            </w:r>
            <w:r>
              <w:rPr>
                <w:noProof/>
                <w:webHidden/>
              </w:rPr>
              <w:fldChar w:fldCharType="separate"/>
            </w:r>
            <w:r>
              <w:rPr>
                <w:noProof/>
                <w:webHidden/>
              </w:rPr>
              <w:t>136</w:t>
            </w:r>
            <w:r>
              <w:rPr>
                <w:noProof/>
                <w:webHidden/>
              </w:rPr>
              <w:fldChar w:fldCharType="end"/>
            </w:r>
          </w:hyperlink>
        </w:p>
        <w:p w14:paraId="64841C2B"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4" w:history="1">
            <w:r w:rsidRPr="00004331">
              <w:rPr>
                <w:rStyle w:val="Hyperlink"/>
                <w:noProof/>
              </w:rPr>
              <w:t>12.5.</w:t>
            </w:r>
            <w:r>
              <w:rPr>
                <w:rFonts w:asciiTheme="minorHAnsi" w:eastAsiaTheme="minorEastAsia" w:hAnsiTheme="minorHAnsi" w:cstheme="minorBidi"/>
                <w:noProof/>
                <w:lang w:eastAsia="en-AU"/>
              </w:rPr>
              <w:tab/>
            </w:r>
            <w:r w:rsidRPr="00004331">
              <w:rPr>
                <w:rStyle w:val="Hyperlink"/>
                <w:noProof/>
              </w:rPr>
              <w:t>PI and CMI</w:t>
            </w:r>
            <w:r>
              <w:rPr>
                <w:noProof/>
                <w:webHidden/>
              </w:rPr>
              <w:tab/>
            </w:r>
            <w:r>
              <w:rPr>
                <w:noProof/>
                <w:webHidden/>
              </w:rPr>
              <w:fldChar w:fldCharType="begin"/>
            </w:r>
            <w:r>
              <w:rPr>
                <w:noProof/>
                <w:webHidden/>
              </w:rPr>
              <w:instrText xml:space="preserve"> PAGEREF _Toc519773934 \h </w:instrText>
            </w:r>
            <w:r>
              <w:rPr>
                <w:noProof/>
                <w:webHidden/>
              </w:rPr>
            </w:r>
            <w:r>
              <w:rPr>
                <w:noProof/>
                <w:webHidden/>
              </w:rPr>
              <w:fldChar w:fldCharType="separate"/>
            </w:r>
            <w:r>
              <w:rPr>
                <w:noProof/>
                <w:webHidden/>
              </w:rPr>
              <w:t>138</w:t>
            </w:r>
            <w:r>
              <w:rPr>
                <w:noProof/>
                <w:webHidden/>
              </w:rPr>
              <w:fldChar w:fldCharType="end"/>
            </w:r>
          </w:hyperlink>
        </w:p>
        <w:p w14:paraId="3B399CA0" w14:textId="77777777" w:rsidR="001977DC" w:rsidRDefault="001977DC">
          <w:pPr>
            <w:pStyle w:val="TOC2"/>
            <w:tabs>
              <w:tab w:val="left" w:pos="1320"/>
            </w:tabs>
            <w:rPr>
              <w:rFonts w:asciiTheme="minorHAnsi" w:eastAsiaTheme="minorEastAsia" w:hAnsiTheme="minorHAnsi" w:cstheme="minorBidi"/>
              <w:b w:val="0"/>
              <w:noProof/>
              <w:sz w:val="22"/>
              <w:lang w:eastAsia="en-AU"/>
            </w:rPr>
          </w:pPr>
          <w:hyperlink w:anchor="_Toc519773935" w:history="1">
            <w:r w:rsidRPr="00004331">
              <w:rPr>
                <w:rStyle w:val="Hyperlink"/>
                <w:noProof/>
              </w:rPr>
              <w:t>13.</w:t>
            </w:r>
            <w:r>
              <w:rPr>
                <w:rFonts w:asciiTheme="minorHAnsi" w:eastAsiaTheme="minorEastAsia" w:hAnsiTheme="minorHAnsi" w:cstheme="minorBidi"/>
                <w:b w:val="0"/>
                <w:noProof/>
                <w:sz w:val="22"/>
                <w:lang w:eastAsia="en-AU"/>
              </w:rPr>
              <w:tab/>
            </w:r>
            <w:r w:rsidRPr="00004331">
              <w:rPr>
                <w:rStyle w:val="Hyperlink"/>
                <w:noProof/>
              </w:rPr>
              <w:t>Second round benefit-risk assessment</w:t>
            </w:r>
            <w:r>
              <w:rPr>
                <w:noProof/>
                <w:webHidden/>
              </w:rPr>
              <w:tab/>
            </w:r>
            <w:r>
              <w:rPr>
                <w:noProof/>
                <w:webHidden/>
              </w:rPr>
              <w:fldChar w:fldCharType="begin"/>
            </w:r>
            <w:r>
              <w:rPr>
                <w:noProof/>
                <w:webHidden/>
              </w:rPr>
              <w:instrText xml:space="preserve"> PAGEREF _Toc519773935 \h </w:instrText>
            </w:r>
            <w:r>
              <w:rPr>
                <w:noProof/>
                <w:webHidden/>
              </w:rPr>
            </w:r>
            <w:r>
              <w:rPr>
                <w:noProof/>
                <w:webHidden/>
              </w:rPr>
              <w:fldChar w:fldCharType="separate"/>
            </w:r>
            <w:r>
              <w:rPr>
                <w:noProof/>
                <w:webHidden/>
              </w:rPr>
              <w:t>139</w:t>
            </w:r>
            <w:r>
              <w:rPr>
                <w:noProof/>
                <w:webHidden/>
              </w:rPr>
              <w:fldChar w:fldCharType="end"/>
            </w:r>
          </w:hyperlink>
        </w:p>
        <w:p w14:paraId="2C3A7B65"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6" w:history="1">
            <w:r w:rsidRPr="00004331">
              <w:rPr>
                <w:rStyle w:val="Hyperlink"/>
                <w:noProof/>
              </w:rPr>
              <w:t>13.1.</w:t>
            </w:r>
            <w:r>
              <w:rPr>
                <w:rFonts w:asciiTheme="minorHAnsi" w:eastAsiaTheme="minorEastAsia" w:hAnsiTheme="minorHAnsi" w:cstheme="minorBidi"/>
                <w:noProof/>
                <w:lang w:eastAsia="en-AU"/>
              </w:rPr>
              <w:tab/>
            </w:r>
            <w:r w:rsidRPr="00004331">
              <w:rPr>
                <w:rStyle w:val="Hyperlink"/>
                <w:noProof/>
              </w:rPr>
              <w:t>Second round assessment of benefits</w:t>
            </w:r>
            <w:r>
              <w:rPr>
                <w:noProof/>
                <w:webHidden/>
              </w:rPr>
              <w:tab/>
            </w:r>
            <w:r>
              <w:rPr>
                <w:noProof/>
                <w:webHidden/>
              </w:rPr>
              <w:fldChar w:fldCharType="begin"/>
            </w:r>
            <w:r>
              <w:rPr>
                <w:noProof/>
                <w:webHidden/>
              </w:rPr>
              <w:instrText xml:space="preserve"> PAGEREF _Toc519773936 \h </w:instrText>
            </w:r>
            <w:r>
              <w:rPr>
                <w:noProof/>
                <w:webHidden/>
              </w:rPr>
            </w:r>
            <w:r>
              <w:rPr>
                <w:noProof/>
                <w:webHidden/>
              </w:rPr>
              <w:fldChar w:fldCharType="separate"/>
            </w:r>
            <w:r>
              <w:rPr>
                <w:noProof/>
                <w:webHidden/>
              </w:rPr>
              <w:t>139</w:t>
            </w:r>
            <w:r>
              <w:rPr>
                <w:noProof/>
                <w:webHidden/>
              </w:rPr>
              <w:fldChar w:fldCharType="end"/>
            </w:r>
          </w:hyperlink>
        </w:p>
        <w:p w14:paraId="5A9CA04A"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7" w:history="1">
            <w:r w:rsidRPr="00004331">
              <w:rPr>
                <w:rStyle w:val="Hyperlink"/>
                <w:noProof/>
              </w:rPr>
              <w:t>13.2.</w:t>
            </w:r>
            <w:r>
              <w:rPr>
                <w:rFonts w:asciiTheme="minorHAnsi" w:eastAsiaTheme="minorEastAsia" w:hAnsiTheme="minorHAnsi" w:cstheme="minorBidi"/>
                <w:noProof/>
                <w:lang w:eastAsia="en-AU"/>
              </w:rPr>
              <w:tab/>
            </w:r>
            <w:r w:rsidRPr="00004331">
              <w:rPr>
                <w:rStyle w:val="Hyperlink"/>
                <w:noProof/>
              </w:rPr>
              <w:t>Second round assessment of risks</w:t>
            </w:r>
            <w:r>
              <w:rPr>
                <w:noProof/>
                <w:webHidden/>
              </w:rPr>
              <w:tab/>
            </w:r>
            <w:r>
              <w:rPr>
                <w:noProof/>
                <w:webHidden/>
              </w:rPr>
              <w:fldChar w:fldCharType="begin"/>
            </w:r>
            <w:r>
              <w:rPr>
                <w:noProof/>
                <w:webHidden/>
              </w:rPr>
              <w:instrText xml:space="preserve"> PAGEREF _Toc519773937 \h </w:instrText>
            </w:r>
            <w:r>
              <w:rPr>
                <w:noProof/>
                <w:webHidden/>
              </w:rPr>
            </w:r>
            <w:r>
              <w:rPr>
                <w:noProof/>
                <w:webHidden/>
              </w:rPr>
              <w:fldChar w:fldCharType="separate"/>
            </w:r>
            <w:r>
              <w:rPr>
                <w:noProof/>
                <w:webHidden/>
              </w:rPr>
              <w:t>139</w:t>
            </w:r>
            <w:r>
              <w:rPr>
                <w:noProof/>
                <w:webHidden/>
              </w:rPr>
              <w:fldChar w:fldCharType="end"/>
            </w:r>
          </w:hyperlink>
        </w:p>
        <w:p w14:paraId="45BE257A" w14:textId="77777777" w:rsidR="001977DC" w:rsidRDefault="001977DC">
          <w:pPr>
            <w:pStyle w:val="TOC3"/>
            <w:tabs>
              <w:tab w:val="left" w:pos="1760"/>
            </w:tabs>
            <w:rPr>
              <w:rFonts w:asciiTheme="minorHAnsi" w:eastAsiaTheme="minorEastAsia" w:hAnsiTheme="minorHAnsi" w:cstheme="minorBidi"/>
              <w:noProof/>
              <w:lang w:eastAsia="en-AU"/>
            </w:rPr>
          </w:pPr>
          <w:hyperlink w:anchor="_Toc519773938" w:history="1">
            <w:r w:rsidRPr="00004331">
              <w:rPr>
                <w:rStyle w:val="Hyperlink"/>
                <w:noProof/>
              </w:rPr>
              <w:t>13.1.</w:t>
            </w:r>
            <w:r>
              <w:rPr>
                <w:rFonts w:asciiTheme="minorHAnsi" w:eastAsiaTheme="minorEastAsia" w:hAnsiTheme="minorHAnsi" w:cstheme="minorBidi"/>
                <w:noProof/>
                <w:lang w:eastAsia="en-AU"/>
              </w:rPr>
              <w:tab/>
            </w:r>
            <w:r w:rsidRPr="00004331">
              <w:rPr>
                <w:rStyle w:val="Hyperlink"/>
                <w:noProof/>
              </w:rPr>
              <w:t>Second round assessment of benefit-risk balance</w:t>
            </w:r>
            <w:r>
              <w:rPr>
                <w:noProof/>
                <w:webHidden/>
              </w:rPr>
              <w:tab/>
            </w:r>
            <w:r>
              <w:rPr>
                <w:noProof/>
                <w:webHidden/>
              </w:rPr>
              <w:fldChar w:fldCharType="begin"/>
            </w:r>
            <w:r>
              <w:rPr>
                <w:noProof/>
                <w:webHidden/>
              </w:rPr>
              <w:instrText xml:space="preserve"> PAGEREF _Toc519773938 \h </w:instrText>
            </w:r>
            <w:r>
              <w:rPr>
                <w:noProof/>
                <w:webHidden/>
              </w:rPr>
            </w:r>
            <w:r>
              <w:rPr>
                <w:noProof/>
                <w:webHidden/>
              </w:rPr>
              <w:fldChar w:fldCharType="separate"/>
            </w:r>
            <w:r>
              <w:rPr>
                <w:noProof/>
                <w:webHidden/>
              </w:rPr>
              <w:t>141</w:t>
            </w:r>
            <w:r>
              <w:rPr>
                <w:noProof/>
                <w:webHidden/>
              </w:rPr>
              <w:fldChar w:fldCharType="end"/>
            </w:r>
          </w:hyperlink>
        </w:p>
        <w:p w14:paraId="2AB0970F" w14:textId="77777777" w:rsidR="001977DC" w:rsidRDefault="001977DC">
          <w:pPr>
            <w:pStyle w:val="TOC2"/>
            <w:tabs>
              <w:tab w:val="left" w:pos="1320"/>
            </w:tabs>
            <w:rPr>
              <w:rFonts w:asciiTheme="minorHAnsi" w:eastAsiaTheme="minorEastAsia" w:hAnsiTheme="minorHAnsi" w:cstheme="minorBidi"/>
              <w:b w:val="0"/>
              <w:noProof/>
              <w:sz w:val="22"/>
              <w:lang w:eastAsia="en-AU"/>
            </w:rPr>
          </w:pPr>
          <w:hyperlink w:anchor="_Toc519773939" w:history="1">
            <w:r w:rsidRPr="00004331">
              <w:rPr>
                <w:rStyle w:val="Hyperlink"/>
                <w:noProof/>
              </w:rPr>
              <w:t>14.</w:t>
            </w:r>
            <w:r>
              <w:rPr>
                <w:rFonts w:asciiTheme="minorHAnsi" w:eastAsiaTheme="minorEastAsia" w:hAnsiTheme="minorHAnsi" w:cstheme="minorBidi"/>
                <w:b w:val="0"/>
                <w:noProof/>
                <w:sz w:val="22"/>
                <w:lang w:eastAsia="en-AU"/>
              </w:rPr>
              <w:tab/>
            </w:r>
            <w:r w:rsidRPr="00004331">
              <w:rPr>
                <w:rStyle w:val="Hyperlink"/>
                <w:noProof/>
              </w:rPr>
              <w:t>Second round recommendation regarding authorisation</w:t>
            </w:r>
            <w:r>
              <w:rPr>
                <w:noProof/>
                <w:webHidden/>
              </w:rPr>
              <w:tab/>
            </w:r>
            <w:r>
              <w:rPr>
                <w:noProof/>
                <w:webHidden/>
              </w:rPr>
              <w:fldChar w:fldCharType="begin"/>
            </w:r>
            <w:r>
              <w:rPr>
                <w:noProof/>
                <w:webHidden/>
              </w:rPr>
              <w:instrText xml:space="preserve"> PAGEREF _Toc519773939 \h </w:instrText>
            </w:r>
            <w:r>
              <w:rPr>
                <w:noProof/>
                <w:webHidden/>
              </w:rPr>
            </w:r>
            <w:r>
              <w:rPr>
                <w:noProof/>
                <w:webHidden/>
              </w:rPr>
              <w:fldChar w:fldCharType="separate"/>
            </w:r>
            <w:r>
              <w:rPr>
                <w:noProof/>
                <w:webHidden/>
              </w:rPr>
              <w:t>141</w:t>
            </w:r>
            <w:r>
              <w:rPr>
                <w:noProof/>
                <w:webHidden/>
              </w:rPr>
              <w:fldChar w:fldCharType="end"/>
            </w:r>
          </w:hyperlink>
        </w:p>
        <w:p w14:paraId="7EF40E61" w14:textId="77777777" w:rsidR="003A7F6C" w:rsidRPr="00B811C6" w:rsidRDefault="004F4AF5" w:rsidP="00B811C6">
          <w:pPr>
            <w:pStyle w:val="TOC2"/>
          </w:pPr>
          <w:r>
            <w:fldChar w:fldCharType="end"/>
          </w:r>
        </w:p>
      </w:sdtContent>
    </w:sdt>
    <w:bookmarkStart w:id="3" w:name="_Toc314842482" w:displacedByCustomXml="prev"/>
    <w:p w14:paraId="73D89F5D" w14:textId="77777777" w:rsidR="00586F98" w:rsidRDefault="00586F98" w:rsidP="00360E60">
      <w:pPr>
        <w:pStyle w:val="Heading2"/>
        <w:pageBreakBefore/>
        <w:numPr>
          <w:ilvl w:val="0"/>
          <w:numId w:val="0"/>
        </w:numPr>
      </w:pPr>
      <w:bookmarkStart w:id="4" w:name="_Toc351716269"/>
      <w:bookmarkStart w:id="5" w:name="_Toc351718881"/>
      <w:bookmarkStart w:id="6" w:name="_Toc355338616"/>
      <w:bookmarkStart w:id="7" w:name="_Toc519773879"/>
      <w:r>
        <w:lastRenderedPageBreak/>
        <w:t>List of abbreviations</w:t>
      </w:r>
      <w:bookmarkEnd w:id="4"/>
      <w:bookmarkEnd w:id="5"/>
      <w:bookmarkEnd w:id="6"/>
      <w:bookmarkEnd w:id="7"/>
    </w:p>
    <w:tbl>
      <w:tblPr>
        <w:tblStyle w:val="TableTGAblue"/>
        <w:tblW w:w="0" w:type="auto"/>
        <w:tblLook w:val="04A0" w:firstRow="1" w:lastRow="0" w:firstColumn="1" w:lastColumn="0" w:noHBand="0" w:noVBand="1"/>
      </w:tblPr>
      <w:tblGrid>
        <w:gridCol w:w="1890"/>
        <w:gridCol w:w="6911"/>
      </w:tblGrid>
      <w:tr w:rsidR="00586F98" w14:paraId="655F0441" w14:textId="77777777" w:rsidTr="00B342F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14:paraId="5866A400" w14:textId="77777777" w:rsidR="00586F98" w:rsidRDefault="00586F98" w:rsidP="000A63AF">
            <w:r>
              <w:t>Abbreviation</w:t>
            </w:r>
          </w:p>
        </w:tc>
        <w:tc>
          <w:tcPr>
            <w:tcW w:w="6911" w:type="dxa"/>
          </w:tcPr>
          <w:p w14:paraId="74AE7F85" w14:textId="77777777"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B342FA" w14:paraId="5820DB17"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9332408" w14:textId="77777777" w:rsidR="00B342FA" w:rsidRDefault="00B342FA" w:rsidP="00B342FA">
            <w:r>
              <w:t>AaDO</w:t>
            </w:r>
            <w:r w:rsidRPr="00242E3C">
              <w:rPr>
                <w:vertAlign w:val="subscript"/>
              </w:rPr>
              <w:t>2</w:t>
            </w:r>
          </w:p>
        </w:tc>
        <w:tc>
          <w:tcPr>
            <w:tcW w:w="6911" w:type="dxa"/>
          </w:tcPr>
          <w:p w14:paraId="09FA0866"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242E3C">
              <w:t>Alveolar-arterial oxygen difference</w:t>
            </w:r>
          </w:p>
        </w:tc>
      </w:tr>
      <w:tr w:rsidR="00B342FA" w14:paraId="5DE478C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F81D75F" w14:textId="77777777" w:rsidR="00B342FA" w:rsidRDefault="00B342FA" w:rsidP="00B342FA">
            <w:r>
              <w:t>ABG</w:t>
            </w:r>
          </w:p>
        </w:tc>
        <w:tc>
          <w:tcPr>
            <w:tcW w:w="6911" w:type="dxa"/>
          </w:tcPr>
          <w:p w14:paraId="3330456F" w14:textId="77777777" w:rsidR="00B342FA" w:rsidRPr="00242E3C" w:rsidRDefault="00B342FA" w:rsidP="00B342FA">
            <w:pPr>
              <w:cnfStyle w:val="000000000000" w:firstRow="0" w:lastRow="0" w:firstColumn="0" w:lastColumn="0" w:oddVBand="0" w:evenVBand="0" w:oddHBand="0" w:evenHBand="0" w:firstRowFirstColumn="0" w:firstRowLastColumn="0" w:lastRowFirstColumn="0" w:lastRowLastColumn="0"/>
            </w:pPr>
            <w:r>
              <w:t>Arterial blood gas</w:t>
            </w:r>
          </w:p>
        </w:tc>
      </w:tr>
      <w:tr w:rsidR="00B342FA" w14:paraId="0A75964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0FA791C" w14:textId="77777777" w:rsidR="00B342FA" w:rsidRDefault="00B342FA" w:rsidP="00B342FA">
            <w:r>
              <w:t>AE</w:t>
            </w:r>
          </w:p>
        </w:tc>
        <w:tc>
          <w:tcPr>
            <w:tcW w:w="6911" w:type="dxa"/>
          </w:tcPr>
          <w:p w14:paraId="4404E297"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Adverse event</w:t>
            </w:r>
          </w:p>
        </w:tc>
      </w:tr>
      <w:tr w:rsidR="00B342FA" w14:paraId="129CC757"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C129F9E" w14:textId="77777777" w:rsidR="00B342FA" w:rsidRDefault="00B342FA" w:rsidP="00B342FA">
            <w:r>
              <w:t>AI</w:t>
            </w:r>
          </w:p>
        </w:tc>
        <w:tc>
          <w:tcPr>
            <w:tcW w:w="6911" w:type="dxa"/>
          </w:tcPr>
          <w:p w14:paraId="51826656"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Accumulation index</w:t>
            </w:r>
          </w:p>
        </w:tc>
      </w:tr>
      <w:tr w:rsidR="00B342FA" w14:paraId="6B4CF0D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397FCC5" w14:textId="77777777" w:rsidR="00B342FA" w:rsidRDefault="00B342FA" w:rsidP="00B342FA">
            <w:r>
              <w:t>ALT</w:t>
            </w:r>
          </w:p>
        </w:tc>
        <w:tc>
          <w:tcPr>
            <w:tcW w:w="6911" w:type="dxa"/>
          </w:tcPr>
          <w:p w14:paraId="18C8D2D5"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Alanine aminotransferase</w:t>
            </w:r>
          </w:p>
        </w:tc>
      </w:tr>
      <w:tr w:rsidR="00B342FA" w14:paraId="1602457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1C17D66" w14:textId="77777777" w:rsidR="00B342FA" w:rsidRDefault="00B342FA" w:rsidP="00B342FA">
            <w:r>
              <w:t>ANCOVA</w:t>
            </w:r>
          </w:p>
        </w:tc>
        <w:tc>
          <w:tcPr>
            <w:tcW w:w="6911" w:type="dxa"/>
          </w:tcPr>
          <w:p w14:paraId="76F4523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Analysis of covariance</w:t>
            </w:r>
          </w:p>
        </w:tc>
      </w:tr>
      <w:tr w:rsidR="00B342FA" w14:paraId="46534401"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02F0BF0" w14:textId="77777777" w:rsidR="00B342FA" w:rsidRDefault="00B342FA" w:rsidP="00B342FA">
            <w:r>
              <w:t>ARGPM</w:t>
            </w:r>
          </w:p>
        </w:tc>
        <w:tc>
          <w:tcPr>
            <w:tcW w:w="6911" w:type="dxa"/>
          </w:tcPr>
          <w:p w14:paraId="57E9FB1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B06222">
              <w:t>Australian Regulatory Guidel</w:t>
            </w:r>
            <w:r>
              <w:t>ines for Prescription Medicines</w:t>
            </w:r>
          </w:p>
        </w:tc>
      </w:tr>
      <w:tr w:rsidR="00B342FA" w14:paraId="0F2652FE"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364A43F" w14:textId="77777777" w:rsidR="00B342FA" w:rsidRDefault="00B342FA" w:rsidP="00B342FA">
            <w:r>
              <w:t>ASA</w:t>
            </w:r>
          </w:p>
        </w:tc>
        <w:tc>
          <w:tcPr>
            <w:tcW w:w="6911" w:type="dxa"/>
          </w:tcPr>
          <w:p w14:paraId="46FDBC1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Australian Specific Annexe</w:t>
            </w:r>
          </w:p>
        </w:tc>
      </w:tr>
      <w:tr w:rsidR="00B342FA" w14:paraId="682F4E12"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C4AA56D" w14:textId="77777777" w:rsidR="00B342FA" w:rsidRDefault="00B342FA" w:rsidP="00B342FA">
            <w:r>
              <w:t>AST</w:t>
            </w:r>
          </w:p>
        </w:tc>
        <w:tc>
          <w:tcPr>
            <w:tcW w:w="6911" w:type="dxa"/>
          </w:tcPr>
          <w:p w14:paraId="66B9278E"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Aspartate aminotransferase</w:t>
            </w:r>
          </w:p>
        </w:tc>
      </w:tr>
      <w:tr w:rsidR="00B342FA" w14:paraId="3534C644"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9D3006C" w14:textId="77777777" w:rsidR="00B342FA" w:rsidRDefault="00B342FA" w:rsidP="00B342FA">
            <w:r>
              <w:t>AUC</w:t>
            </w:r>
          </w:p>
        </w:tc>
        <w:tc>
          <w:tcPr>
            <w:tcW w:w="6911" w:type="dxa"/>
          </w:tcPr>
          <w:p w14:paraId="2EC4210D"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Area under the curve</w:t>
            </w:r>
          </w:p>
        </w:tc>
      </w:tr>
      <w:tr w:rsidR="00B342FA" w14:paraId="6E3FE27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4A6F0AD" w14:textId="77777777" w:rsidR="00B342FA" w:rsidRDefault="00B342FA" w:rsidP="00B342FA">
            <w:r>
              <w:t>AUC</w:t>
            </w:r>
            <w:r w:rsidRPr="00BC415F">
              <w:rPr>
                <w:vertAlign w:val="subscript"/>
              </w:rPr>
              <w:t>0-24C</w:t>
            </w:r>
          </w:p>
        </w:tc>
        <w:tc>
          <w:tcPr>
            <w:tcW w:w="6911" w:type="dxa"/>
          </w:tcPr>
          <w:p w14:paraId="536BEBBF"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Corrected AUC</w:t>
            </w:r>
          </w:p>
        </w:tc>
      </w:tr>
      <w:tr w:rsidR="00B342FA" w14:paraId="1201906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3E0C907" w14:textId="77777777" w:rsidR="00B342FA" w:rsidRDefault="00B342FA" w:rsidP="00B342FA">
            <w:r>
              <w:t>AUC</w:t>
            </w:r>
            <w:r w:rsidRPr="00BC415F">
              <w:rPr>
                <w:vertAlign w:val="subscript"/>
              </w:rPr>
              <w:t>0-24C</w:t>
            </w:r>
            <w:r>
              <w:rPr>
                <w:vertAlign w:val="subscript"/>
              </w:rPr>
              <w:t>N</w:t>
            </w:r>
          </w:p>
        </w:tc>
        <w:tc>
          <w:tcPr>
            <w:tcW w:w="6911" w:type="dxa"/>
          </w:tcPr>
          <w:p w14:paraId="018CCF83" w14:textId="77777777" w:rsidR="00B342FA" w:rsidRPr="003D489D" w:rsidRDefault="00B342FA" w:rsidP="00B342FA">
            <w:pPr>
              <w:cnfStyle w:val="000000000000" w:firstRow="0" w:lastRow="0" w:firstColumn="0" w:lastColumn="0" w:oddVBand="0" w:evenVBand="0" w:oddHBand="0" w:evenHBand="0" w:firstRowFirstColumn="0" w:firstRowLastColumn="0" w:lastRowFirstColumn="0" w:lastRowLastColumn="0"/>
            </w:pPr>
            <w:r>
              <w:t>AUC dose normalised to 1</w:t>
            </w:r>
            <w:r w:rsidR="00D517F6">
              <w:t xml:space="preserve"> </w:t>
            </w:r>
            <w:r>
              <w:t>mg per day</w:t>
            </w:r>
          </w:p>
        </w:tc>
      </w:tr>
      <w:tr w:rsidR="00B342FA" w14:paraId="44552E8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10CD77E" w14:textId="77777777" w:rsidR="00B342FA" w:rsidRDefault="00B342FA" w:rsidP="00B342FA">
            <w:r w:rsidRPr="00BC415F">
              <w:t>AUC</w:t>
            </w:r>
            <w:r w:rsidRPr="00BC415F">
              <w:rPr>
                <w:rFonts w:hint="eastAsia"/>
                <w:vertAlign w:val="subscript"/>
              </w:rPr>
              <w:t>τ</w:t>
            </w:r>
          </w:p>
        </w:tc>
        <w:tc>
          <w:tcPr>
            <w:tcW w:w="6911" w:type="dxa"/>
          </w:tcPr>
          <w:p w14:paraId="44B3E496"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AUC during a dosing interval</w:t>
            </w:r>
          </w:p>
        </w:tc>
      </w:tr>
      <w:tr w:rsidR="00B342FA" w14:paraId="7F266E1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2E7ABD2" w14:textId="77777777" w:rsidR="00B342FA" w:rsidRDefault="00B342FA" w:rsidP="00B342FA">
            <w:r>
              <w:t>BCS</w:t>
            </w:r>
          </w:p>
        </w:tc>
        <w:tc>
          <w:tcPr>
            <w:tcW w:w="6911" w:type="dxa"/>
          </w:tcPr>
          <w:p w14:paraId="5CB74D8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FA4849">
              <w:t>Biopha</w:t>
            </w:r>
            <w:r>
              <w:t>rmaceutic Classification System</w:t>
            </w:r>
          </w:p>
        </w:tc>
      </w:tr>
      <w:tr w:rsidR="00B342FA" w14:paraId="20D2151C"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05A42B9" w14:textId="77777777" w:rsidR="00B342FA" w:rsidRDefault="007C6D8D" w:rsidP="00B342FA">
            <w:r>
              <w:t>BD</w:t>
            </w:r>
          </w:p>
        </w:tc>
        <w:tc>
          <w:tcPr>
            <w:tcW w:w="6911" w:type="dxa"/>
          </w:tcPr>
          <w:p w14:paraId="21BE6915"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Twice daily</w:t>
            </w:r>
          </w:p>
        </w:tc>
      </w:tr>
      <w:tr w:rsidR="00B342FA" w14:paraId="6660E362"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680AA2A" w14:textId="77777777" w:rsidR="00B342FA" w:rsidRDefault="00B342FA" w:rsidP="00B342FA">
            <w:r>
              <w:t>BMI</w:t>
            </w:r>
          </w:p>
        </w:tc>
        <w:tc>
          <w:tcPr>
            <w:tcW w:w="6911" w:type="dxa"/>
          </w:tcPr>
          <w:p w14:paraId="010CE2AE"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Body mass index</w:t>
            </w:r>
          </w:p>
        </w:tc>
      </w:tr>
      <w:tr w:rsidR="00B342FA" w14:paraId="6F1E328C"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E000CF5" w14:textId="77777777" w:rsidR="00B342FA" w:rsidRDefault="00B342FA" w:rsidP="00B342FA">
            <w:r>
              <w:t>BP</w:t>
            </w:r>
          </w:p>
        </w:tc>
        <w:tc>
          <w:tcPr>
            <w:tcW w:w="6911" w:type="dxa"/>
          </w:tcPr>
          <w:p w14:paraId="52FDD697"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Blood pressure</w:t>
            </w:r>
          </w:p>
        </w:tc>
      </w:tr>
      <w:tr w:rsidR="00B342FA" w14:paraId="2253B687"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48620F0" w14:textId="77777777" w:rsidR="00B342FA" w:rsidRDefault="00B342FA" w:rsidP="00B342FA">
            <w:r>
              <w:t>bpm</w:t>
            </w:r>
          </w:p>
        </w:tc>
        <w:tc>
          <w:tcPr>
            <w:tcW w:w="6911" w:type="dxa"/>
          </w:tcPr>
          <w:p w14:paraId="58AA8F9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Beats per minute</w:t>
            </w:r>
          </w:p>
        </w:tc>
      </w:tr>
      <w:tr w:rsidR="00B342FA" w14:paraId="76F7F52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08E19A3" w14:textId="77777777" w:rsidR="00B342FA" w:rsidRDefault="00B342FA" w:rsidP="00B342FA">
            <w:r>
              <w:t>CHD</w:t>
            </w:r>
          </w:p>
        </w:tc>
        <w:tc>
          <w:tcPr>
            <w:tcW w:w="6911" w:type="dxa"/>
          </w:tcPr>
          <w:p w14:paraId="667A255B"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Congenital heart disease</w:t>
            </w:r>
          </w:p>
        </w:tc>
      </w:tr>
      <w:tr w:rsidR="00B342FA" w14:paraId="5F723E0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1854126" w14:textId="77777777" w:rsidR="00B342FA" w:rsidRDefault="00B342FA" w:rsidP="00B342FA">
            <w:r>
              <w:t>CHMP</w:t>
            </w:r>
          </w:p>
        </w:tc>
        <w:tc>
          <w:tcPr>
            <w:tcW w:w="6911" w:type="dxa"/>
          </w:tcPr>
          <w:p w14:paraId="10211012" w14:textId="77777777" w:rsidR="00B342FA" w:rsidRPr="00627E88" w:rsidRDefault="00B342FA" w:rsidP="00B342FA">
            <w:pPr>
              <w:cnfStyle w:val="000000000000" w:firstRow="0" w:lastRow="0" w:firstColumn="0" w:lastColumn="0" w:oddVBand="0" w:evenVBand="0" w:oddHBand="0" w:evenHBand="0" w:firstRowFirstColumn="0" w:firstRowLastColumn="0" w:lastRowFirstColumn="0" w:lastRowLastColumn="0"/>
            </w:pPr>
            <w:r w:rsidRPr="00627E88">
              <w:rPr>
                <w:bCs/>
              </w:rPr>
              <w:t>Committee for Medicinal Products for Human Use</w:t>
            </w:r>
          </w:p>
        </w:tc>
      </w:tr>
      <w:tr w:rsidR="00B342FA" w14:paraId="03CCEF61"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CC29B4A" w14:textId="77777777" w:rsidR="00B342FA" w:rsidRDefault="00B342FA" w:rsidP="00B342FA">
            <w:r>
              <w:t>CI</w:t>
            </w:r>
          </w:p>
        </w:tc>
        <w:tc>
          <w:tcPr>
            <w:tcW w:w="6911" w:type="dxa"/>
          </w:tcPr>
          <w:p w14:paraId="10CC2C5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Confidence interval</w:t>
            </w:r>
          </w:p>
        </w:tc>
      </w:tr>
      <w:tr w:rsidR="00B342FA" w14:paraId="7B9DDF29"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8080872" w14:textId="77777777" w:rsidR="00B342FA" w:rsidRDefault="00B342FA" w:rsidP="00B342FA">
            <w:r>
              <w:t>CL</w:t>
            </w:r>
          </w:p>
        </w:tc>
        <w:tc>
          <w:tcPr>
            <w:tcW w:w="6911" w:type="dxa"/>
          </w:tcPr>
          <w:p w14:paraId="1738DDB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Confidence limits</w:t>
            </w:r>
          </w:p>
        </w:tc>
      </w:tr>
      <w:tr w:rsidR="00B342FA" w14:paraId="4F026B71"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2871E81" w14:textId="77777777" w:rsidR="00B342FA" w:rsidRDefault="00B342FA" w:rsidP="00B342FA">
            <w:r>
              <w:t>CL/f</w:t>
            </w:r>
          </w:p>
        </w:tc>
        <w:tc>
          <w:tcPr>
            <w:tcW w:w="6911" w:type="dxa"/>
          </w:tcPr>
          <w:p w14:paraId="44AA296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Apparent total body clearance</w:t>
            </w:r>
          </w:p>
        </w:tc>
      </w:tr>
      <w:tr w:rsidR="00B342FA" w14:paraId="16B823B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AE0BBE6" w14:textId="77777777" w:rsidR="00B342FA" w:rsidRDefault="00B342FA" w:rsidP="00B342FA">
            <w:r>
              <w:lastRenderedPageBreak/>
              <w:t>C</w:t>
            </w:r>
            <w:r w:rsidRPr="00441792">
              <w:rPr>
                <w:vertAlign w:val="subscript"/>
              </w:rPr>
              <w:t>max</w:t>
            </w:r>
          </w:p>
        </w:tc>
        <w:tc>
          <w:tcPr>
            <w:tcW w:w="6911" w:type="dxa"/>
          </w:tcPr>
          <w:p w14:paraId="0A9524F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Maximum observed concentration</w:t>
            </w:r>
          </w:p>
        </w:tc>
      </w:tr>
      <w:tr w:rsidR="00B342FA" w14:paraId="0E429B1B"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13E4931" w14:textId="77777777" w:rsidR="00B342FA" w:rsidRDefault="00B342FA" w:rsidP="00B342FA">
            <w:r>
              <w:t>C</w:t>
            </w:r>
            <w:r w:rsidRPr="00BC415F">
              <w:rPr>
                <w:vertAlign w:val="subscript"/>
              </w:rPr>
              <w:t>maxC</w:t>
            </w:r>
          </w:p>
        </w:tc>
        <w:tc>
          <w:tcPr>
            <w:tcW w:w="6911" w:type="dxa"/>
          </w:tcPr>
          <w:p w14:paraId="3D8ABB5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Corrected C</w:t>
            </w:r>
            <w:r w:rsidRPr="00BC415F">
              <w:rPr>
                <w:vertAlign w:val="subscript"/>
              </w:rPr>
              <w:t>max</w:t>
            </w:r>
          </w:p>
        </w:tc>
      </w:tr>
      <w:tr w:rsidR="00B342FA" w14:paraId="562466D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C4516C1" w14:textId="77777777" w:rsidR="00B342FA" w:rsidRDefault="00B342FA" w:rsidP="00B342FA">
            <w:r>
              <w:t>CMI</w:t>
            </w:r>
          </w:p>
        </w:tc>
        <w:tc>
          <w:tcPr>
            <w:tcW w:w="6911" w:type="dxa"/>
          </w:tcPr>
          <w:p w14:paraId="7186A99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Consumer Medicines Information</w:t>
            </w:r>
          </w:p>
        </w:tc>
      </w:tr>
      <w:tr w:rsidR="00B342FA" w14:paraId="201626CC"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D89F216" w14:textId="77777777" w:rsidR="00B342FA" w:rsidRDefault="00B342FA" w:rsidP="00B342FA">
            <w:r>
              <w:t>CPMP</w:t>
            </w:r>
          </w:p>
        </w:tc>
        <w:tc>
          <w:tcPr>
            <w:tcW w:w="6911" w:type="dxa"/>
          </w:tcPr>
          <w:p w14:paraId="401927BC" w14:textId="77777777" w:rsidR="00B342FA" w:rsidRPr="00627E88" w:rsidRDefault="00B342FA" w:rsidP="00B342FA">
            <w:pPr>
              <w:cnfStyle w:val="000000000000" w:firstRow="0" w:lastRow="0" w:firstColumn="0" w:lastColumn="0" w:oddVBand="0" w:evenVBand="0" w:oddHBand="0" w:evenHBand="0" w:firstRowFirstColumn="0" w:firstRowLastColumn="0" w:lastRowFirstColumn="0" w:lastRowLastColumn="0"/>
            </w:pPr>
            <w:r w:rsidRPr="00627E88">
              <w:rPr>
                <w:bCs/>
              </w:rPr>
              <w:t>Committee for Proprietary Medicinal Products</w:t>
            </w:r>
          </w:p>
        </w:tc>
      </w:tr>
      <w:tr w:rsidR="00B342FA" w14:paraId="29B54D4E"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CDB2F3D" w14:textId="77777777" w:rsidR="00B342FA" w:rsidRDefault="00B342FA" w:rsidP="00B342FA">
            <w:r>
              <w:t>CSR</w:t>
            </w:r>
          </w:p>
        </w:tc>
        <w:tc>
          <w:tcPr>
            <w:tcW w:w="6911" w:type="dxa"/>
          </w:tcPr>
          <w:p w14:paraId="4FAFE371"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Clinical Study Report</w:t>
            </w:r>
          </w:p>
        </w:tc>
      </w:tr>
      <w:tr w:rsidR="00B342FA" w14:paraId="67E9AF59"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B63685A" w14:textId="77777777" w:rsidR="00B342FA" w:rsidRDefault="00B342FA" w:rsidP="00B342FA">
            <w:r>
              <w:t>CV</w:t>
            </w:r>
          </w:p>
        </w:tc>
        <w:tc>
          <w:tcPr>
            <w:tcW w:w="6911" w:type="dxa"/>
          </w:tcPr>
          <w:p w14:paraId="1FA7155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Coefficient of variation</w:t>
            </w:r>
          </w:p>
        </w:tc>
      </w:tr>
      <w:tr w:rsidR="00B342FA" w14:paraId="7365E12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AF8CAE4" w14:textId="77777777" w:rsidR="00B342FA" w:rsidRDefault="00B342FA" w:rsidP="00B342FA">
            <w:r>
              <w:t>ECG</w:t>
            </w:r>
          </w:p>
        </w:tc>
        <w:tc>
          <w:tcPr>
            <w:tcW w:w="6911" w:type="dxa"/>
          </w:tcPr>
          <w:p w14:paraId="058C5357"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Electrocardiogram</w:t>
            </w:r>
          </w:p>
        </w:tc>
      </w:tr>
      <w:tr w:rsidR="00B342FA" w14:paraId="2A0CBFF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67BB059" w14:textId="77777777" w:rsidR="00B342FA" w:rsidRDefault="00B342FA" w:rsidP="00B342FA">
            <w:r>
              <w:t>ECMO</w:t>
            </w:r>
          </w:p>
        </w:tc>
        <w:tc>
          <w:tcPr>
            <w:tcW w:w="6911" w:type="dxa"/>
          </w:tcPr>
          <w:p w14:paraId="722900B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Extra corporeal membrane oxygenation</w:t>
            </w:r>
          </w:p>
        </w:tc>
      </w:tr>
      <w:tr w:rsidR="00B342FA" w14:paraId="1804C36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62D917E" w14:textId="77777777" w:rsidR="00B342FA" w:rsidRDefault="00B342FA" w:rsidP="00B342FA">
            <w:r w:rsidRPr="00B86F2C">
              <w:t>EEA</w:t>
            </w:r>
          </w:p>
        </w:tc>
        <w:tc>
          <w:tcPr>
            <w:tcW w:w="6911" w:type="dxa"/>
          </w:tcPr>
          <w:p w14:paraId="5D33670A"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B86F2C">
              <w:t>Euro</w:t>
            </w:r>
            <w:r>
              <w:t>pean Economic Area</w:t>
            </w:r>
          </w:p>
        </w:tc>
      </w:tr>
      <w:tr w:rsidR="00B342FA" w14:paraId="7552371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9C9E971" w14:textId="77777777" w:rsidR="00B342FA" w:rsidRDefault="00B342FA" w:rsidP="00B342FA">
            <w:r>
              <w:t>EMEA</w:t>
            </w:r>
          </w:p>
        </w:tc>
        <w:tc>
          <w:tcPr>
            <w:tcW w:w="6911" w:type="dxa"/>
          </w:tcPr>
          <w:p w14:paraId="220D5A6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European Medicines Agency</w:t>
            </w:r>
          </w:p>
        </w:tc>
      </w:tr>
      <w:tr w:rsidR="00B342FA" w14:paraId="27A9E5D9"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E199D51" w14:textId="77777777" w:rsidR="00B342FA" w:rsidRDefault="00B342FA" w:rsidP="00B342FA">
            <w:r>
              <w:t>EOS</w:t>
            </w:r>
          </w:p>
        </w:tc>
        <w:tc>
          <w:tcPr>
            <w:tcW w:w="6911" w:type="dxa"/>
          </w:tcPr>
          <w:p w14:paraId="67B50C68"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End of study</w:t>
            </w:r>
          </w:p>
        </w:tc>
      </w:tr>
      <w:tr w:rsidR="00B342FA" w14:paraId="0DF514A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BE3772C" w14:textId="77777777" w:rsidR="00B342FA" w:rsidRDefault="00B342FA" w:rsidP="00B342FA">
            <w:r>
              <w:t>EOT</w:t>
            </w:r>
          </w:p>
        </w:tc>
        <w:tc>
          <w:tcPr>
            <w:tcW w:w="6911" w:type="dxa"/>
          </w:tcPr>
          <w:p w14:paraId="205F957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End of treatment</w:t>
            </w:r>
          </w:p>
        </w:tc>
      </w:tr>
      <w:tr w:rsidR="00B342FA" w14:paraId="44D2D0D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E26F7A9" w14:textId="77777777" w:rsidR="00B342FA" w:rsidRDefault="00B342FA" w:rsidP="00B342FA">
            <w:r>
              <w:t>ET</w:t>
            </w:r>
          </w:p>
        </w:tc>
        <w:tc>
          <w:tcPr>
            <w:tcW w:w="6911" w:type="dxa"/>
          </w:tcPr>
          <w:p w14:paraId="07F7B476"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Endothelin</w:t>
            </w:r>
          </w:p>
        </w:tc>
      </w:tr>
      <w:tr w:rsidR="00B342FA" w14:paraId="4183B7B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6A25D88" w14:textId="77777777" w:rsidR="00B342FA" w:rsidRDefault="00B342FA" w:rsidP="00B342FA">
            <w:r>
              <w:t>ET-1</w:t>
            </w:r>
          </w:p>
        </w:tc>
        <w:tc>
          <w:tcPr>
            <w:tcW w:w="6911" w:type="dxa"/>
          </w:tcPr>
          <w:p w14:paraId="7DEB28A8"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Endothelin-1</w:t>
            </w:r>
          </w:p>
        </w:tc>
      </w:tr>
      <w:tr w:rsidR="00B342FA" w14:paraId="20A0FC9E"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52B6C33" w14:textId="77777777" w:rsidR="00B342FA" w:rsidRDefault="00B342FA" w:rsidP="00B342FA">
            <w:r>
              <w:t>EU</w:t>
            </w:r>
          </w:p>
        </w:tc>
        <w:tc>
          <w:tcPr>
            <w:tcW w:w="6911" w:type="dxa"/>
          </w:tcPr>
          <w:p w14:paraId="1DE2CB61"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European Union</w:t>
            </w:r>
          </w:p>
        </w:tc>
      </w:tr>
      <w:tr w:rsidR="00B342FA" w14:paraId="7161E09B"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B07EB99" w14:textId="77777777" w:rsidR="00B342FA" w:rsidRDefault="00B342FA" w:rsidP="00B342FA">
            <w:r>
              <w:t>FC</w:t>
            </w:r>
          </w:p>
        </w:tc>
        <w:tc>
          <w:tcPr>
            <w:tcW w:w="6911" w:type="dxa"/>
          </w:tcPr>
          <w:p w14:paraId="59E6413E"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Functional class</w:t>
            </w:r>
          </w:p>
        </w:tc>
      </w:tr>
      <w:tr w:rsidR="00B342FA" w14:paraId="071F2ED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2F28887" w14:textId="77777777" w:rsidR="00B342FA" w:rsidRDefault="00A5161C" w:rsidP="00B342FA">
            <w:r w:rsidRPr="00102528">
              <w:t>FiO</w:t>
            </w:r>
            <w:r w:rsidRPr="00A5161C">
              <w:rPr>
                <w:vertAlign w:val="subscript"/>
              </w:rPr>
              <w:t>2</w:t>
            </w:r>
          </w:p>
        </w:tc>
        <w:tc>
          <w:tcPr>
            <w:tcW w:w="6911" w:type="dxa"/>
          </w:tcPr>
          <w:p w14:paraId="3D6C8460"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Fraction of inspired oxygen</w:t>
            </w:r>
          </w:p>
        </w:tc>
      </w:tr>
      <w:tr w:rsidR="00B342FA" w14:paraId="4039521B"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254D162" w14:textId="77777777" w:rsidR="00B342FA" w:rsidRDefault="00B342FA" w:rsidP="00B342FA">
            <w:r w:rsidRPr="00581884">
              <w:t>GCI</w:t>
            </w:r>
            <w:r>
              <w:t>S</w:t>
            </w:r>
          </w:p>
        </w:tc>
        <w:tc>
          <w:tcPr>
            <w:tcW w:w="6911" w:type="dxa"/>
          </w:tcPr>
          <w:p w14:paraId="1AF1904B"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G</w:t>
            </w:r>
            <w:r w:rsidRPr="00581884">
              <w:t>lobal clinical impression</w:t>
            </w:r>
            <w:r>
              <w:t xml:space="preserve"> scale</w:t>
            </w:r>
          </w:p>
        </w:tc>
      </w:tr>
      <w:tr w:rsidR="00B342FA" w14:paraId="537FB654"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20FACDF" w14:textId="77777777" w:rsidR="00B342FA" w:rsidRDefault="00B342FA" w:rsidP="00B342FA">
            <w:r>
              <w:t>GCP</w:t>
            </w:r>
          </w:p>
        </w:tc>
        <w:tc>
          <w:tcPr>
            <w:tcW w:w="6911" w:type="dxa"/>
          </w:tcPr>
          <w:p w14:paraId="5E67E9C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Good Clinical Practice</w:t>
            </w:r>
          </w:p>
        </w:tc>
      </w:tr>
      <w:tr w:rsidR="00B342FA" w14:paraId="10381E5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582A235" w14:textId="77777777" w:rsidR="00B342FA" w:rsidRDefault="00B342FA" w:rsidP="00B342FA">
            <w:r>
              <w:t>HCPM</w:t>
            </w:r>
          </w:p>
        </w:tc>
        <w:tc>
          <w:tcPr>
            <w:tcW w:w="6911" w:type="dxa"/>
          </w:tcPr>
          <w:p w14:paraId="5F95C875"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Health Canada Product Monograph</w:t>
            </w:r>
          </w:p>
        </w:tc>
      </w:tr>
      <w:tr w:rsidR="00B342FA" w14:paraId="0679D57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3F1211C" w14:textId="77777777" w:rsidR="00B342FA" w:rsidRDefault="00B342FA" w:rsidP="00B342FA">
            <w:r>
              <w:t>HR</w:t>
            </w:r>
          </w:p>
        </w:tc>
        <w:tc>
          <w:tcPr>
            <w:tcW w:w="6911" w:type="dxa"/>
          </w:tcPr>
          <w:p w14:paraId="649014C6"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Hazard ratio</w:t>
            </w:r>
          </w:p>
        </w:tc>
      </w:tr>
      <w:tr w:rsidR="00B342FA" w14:paraId="280FF41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AFEC811" w14:textId="77777777" w:rsidR="00B342FA" w:rsidRDefault="00B342FA" w:rsidP="00B342FA">
            <w:r>
              <w:t>iNO</w:t>
            </w:r>
          </w:p>
        </w:tc>
        <w:tc>
          <w:tcPr>
            <w:tcW w:w="6911" w:type="dxa"/>
          </w:tcPr>
          <w:p w14:paraId="6B4DF07E"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Inhaled nitric oxide</w:t>
            </w:r>
          </w:p>
        </w:tc>
      </w:tr>
      <w:tr w:rsidR="00B342FA" w14:paraId="11A5E49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7138919" w14:textId="77777777" w:rsidR="00B342FA" w:rsidRDefault="00B342FA" w:rsidP="00B342FA">
            <w:r>
              <w:t>IPAH</w:t>
            </w:r>
          </w:p>
        </w:tc>
        <w:tc>
          <w:tcPr>
            <w:tcW w:w="6911" w:type="dxa"/>
          </w:tcPr>
          <w:p w14:paraId="137F31CB" w14:textId="0EC34365" w:rsidR="00B342FA" w:rsidRDefault="00D517F6" w:rsidP="00B342FA">
            <w:pPr>
              <w:cnfStyle w:val="000000000000" w:firstRow="0" w:lastRow="0" w:firstColumn="0" w:lastColumn="0" w:oddVBand="0" w:evenVBand="0" w:oddHBand="0" w:evenHBand="0" w:firstRowFirstColumn="0" w:firstRowLastColumn="0" w:lastRowFirstColumn="0" w:lastRowLastColumn="0"/>
            </w:pPr>
            <w:r>
              <w:rPr>
                <w:lang w:eastAsia="ja-JP"/>
              </w:rPr>
              <w:t xml:space="preserve">Idiopathic </w:t>
            </w:r>
            <w:r w:rsidR="00B342FA">
              <w:rPr>
                <w:lang w:eastAsia="ja-JP"/>
              </w:rPr>
              <w:t>PAH</w:t>
            </w:r>
          </w:p>
        </w:tc>
      </w:tr>
      <w:tr w:rsidR="00B342FA" w14:paraId="5D8A6C0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43EE592" w14:textId="77777777" w:rsidR="00B342FA" w:rsidRDefault="00B342FA" w:rsidP="00B342FA">
            <w:r>
              <w:t>k</w:t>
            </w:r>
            <w:r w:rsidRPr="004C3C1E">
              <w:rPr>
                <w:vertAlign w:val="subscript"/>
              </w:rPr>
              <w:t>a</w:t>
            </w:r>
          </w:p>
        </w:tc>
        <w:tc>
          <w:tcPr>
            <w:tcW w:w="6911" w:type="dxa"/>
          </w:tcPr>
          <w:p w14:paraId="1BF9E9C8"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rPr>
                <w:lang w:eastAsia="ja-JP"/>
              </w:rPr>
            </w:pPr>
            <w:r>
              <w:rPr>
                <w:lang w:eastAsia="ja-JP"/>
              </w:rPr>
              <w:t>Absorption rate constant</w:t>
            </w:r>
          </w:p>
        </w:tc>
      </w:tr>
      <w:tr w:rsidR="00B342FA" w14:paraId="504DDA0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25F4899" w14:textId="77777777" w:rsidR="00B342FA" w:rsidRDefault="00B342FA" w:rsidP="00B342FA">
            <w:r>
              <w:t>k</w:t>
            </w:r>
            <w:r w:rsidRPr="004C3C1E">
              <w:rPr>
                <w:vertAlign w:val="subscript"/>
              </w:rPr>
              <w:t>t</w:t>
            </w:r>
          </w:p>
        </w:tc>
        <w:tc>
          <w:tcPr>
            <w:tcW w:w="6911" w:type="dxa"/>
          </w:tcPr>
          <w:p w14:paraId="3C70D951"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rPr>
                <w:lang w:eastAsia="ja-JP"/>
              </w:rPr>
            </w:pPr>
            <w:r w:rsidRPr="004C3C1E">
              <w:rPr>
                <w:lang w:eastAsia="ja-JP"/>
              </w:rPr>
              <w:t>Transfer rate constant</w:t>
            </w:r>
          </w:p>
        </w:tc>
      </w:tr>
      <w:tr w:rsidR="00B342FA" w14:paraId="09040C0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5B33EED" w14:textId="77777777" w:rsidR="00B342FA" w:rsidRDefault="00B342FA" w:rsidP="00B342FA">
            <w:r>
              <w:lastRenderedPageBreak/>
              <w:t>LLOQ</w:t>
            </w:r>
          </w:p>
        </w:tc>
        <w:tc>
          <w:tcPr>
            <w:tcW w:w="6911" w:type="dxa"/>
          </w:tcPr>
          <w:p w14:paraId="5881DCE4"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Lower limit of quantification</w:t>
            </w:r>
          </w:p>
        </w:tc>
      </w:tr>
      <w:tr w:rsidR="00B342FA" w14:paraId="2C05E11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B4DD296" w14:textId="77777777" w:rsidR="00B342FA" w:rsidRDefault="00B342FA" w:rsidP="00B342FA">
            <w:r>
              <w:t>MAP</w:t>
            </w:r>
          </w:p>
        </w:tc>
        <w:tc>
          <w:tcPr>
            <w:tcW w:w="6911" w:type="dxa"/>
          </w:tcPr>
          <w:p w14:paraId="7394BC3A"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Mean airway pressure</w:t>
            </w:r>
          </w:p>
        </w:tc>
      </w:tr>
      <w:tr w:rsidR="00B342FA" w14:paraId="7F0C7BC4"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89968CD" w14:textId="77777777" w:rsidR="00B342FA" w:rsidRDefault="00B342FA" w:rsidP="00B342FA">
            <w:r w:rsidRPr="00F96E4C">
              <w:t>mPAP</w:t>
            </w:r>
          </w:p>
        </w:tc>
        <w:tc>
          <w:tcPr>
            <w:tcW w:w="6911" w:type="dxa"/>
          </w:tcPr>
          <w:p w14:paraId="30566FD1" w14:textId="77777777" w:rsidR="00B342FA" w:rsidRPr="00F96E4C" w:rsidRDefault="00B342FA" w:rsidP="00B342FA">
            <w:pPr>
              <w:cnfStyle w:val="000000000000" w:firstRow="0" w:lastRow="0" w:firstColumn="0" w:lastColumn="0" w:oddVBand="0" w:evenVBand="0" w:oddHBand="0" w:evenHBand="0" w:firstRowFirstColumn="0" w:firstRowLastColumn="0" w:lastRowFirstColumn="0" w:lastRowLastColumn="0"/>
            </w:pPr>
            <w:r>
              <w:t>M</w:t>
            </w:r>
            <w:r w:rsidRPr="00F96E4C">
              <w:t>e</w:t>
            </w:r>
            <w:r>
              <w:t>an pulmonary arterial pressure</w:t>
            </w:r>
          </w:p>
        </w:tc>
      </w:tr>
      <w:tr w:rsidR="00B342FA" w14:paraId="3C1A0D0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CF4FC0D" w14:textId="77777777" w:rsidR="00B342FA" w:rsidRPr="00F96E4C" w:rsidRDefault="00B342FA" w:rsidP="00B342FA">
            <w:r w:rsidRPr="000D7502">
              <w:t>NT-proBNP</w:t>
            </w:r>
          </w:p>
        </w:tc>
        <w:tc>
          <w:tcPr>
            <w:tcW w:w="6911" w:type="dxa"/>
          </w:tcPr>
          <w:p w14:paraId="7D763D4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0D7502">
              <w:t>N-terminal prohormone brain natriuretic peptide</w:t>
            </w:r>
          </w:p>
        </w:tc>
      </w:tr>
      <w:tr w:rsidR="00B342FA" w14:paraId="756F25B9"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E73D5E2" w14:textId="77777777" w:rsidR="00B342FA" w:rsidRPr="000D7502" w:rsidRDefault="00B342FA" w:rsidP="00B342FA">
            <w:r>
              <w:t>OI</w:t>
            </w:r>
          </w:p>
        </w:tc>
        <w:tc>
          <w:tcPr>
            <w:tcW w:w="6911" w:type="dxa"/>
          </w:tcPr>
          <w:p w14:paraId="4CE12C59" w14:textId="77777777" w:rsidR="00B342FA" w:rsidRPr="000D7502" w:rsidRDefault="00B342FA" w:rsidP="00B342FA">
            <w:pPr>
              <w:cnfStyle w:val="000000000000" w:firstRow="0" w:lastRow="0" w:firstColumn="0" w:lastColumn="0" w:oddVBand="0" w:evenVBand="0" w:oddHBand="0" w:evenHBand="0" w:firstRowFirstColumn="0" w:firstRowLastColumn="0" w:lastRowFirstColumn="0" w:lastRowLastColumn="0"/>
            </w:pPr>
            <w:r>
              <w:t>Oxygenation index</w:t>
            </w:r>
          </w:p>
        </w:tc>
      </w:tr>
      <w:tr w:rsidR="00B342FA" w14:paraId="587C8705"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40730C7" w14:textId="77777777" w:rsidR="00B342FA" w:rsidRDefault="00B342FA" w:rsidP="00B342FA">
            <w:r>
              <w:t>PaCO</w:t>
            </w:r>
            <w:r w:rsidRPr="00D1657D">
              <w:rPr>
                <w:vertAlign w:val="subscript"/>
              </w:rPr>
              <w:t>2</w:t>
            </w:r>
          </w:p>
        </w:tc>
        <w:tc>
          <w:tcPr>
            <w:tcW w:w="6911" w:type="dxa"/>
          </w:tcPr>
          <w:p w14:paraId="62E724D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Partial pressure of carbon dioxide</w:t>
            </w:r>
          </w:p>
        </w:tc>
      </w:tr>
      <w:tr w:rsidR="00B342FA" w14:paraId="21758B4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C54B8E3" w14:textId="77777777" w:rsidR="00B342FA" w:rsidRDefault="00B342FA" w:rsidP="00B342FA">
            <w:r>
              <w:t>PaO</w:t>
            </w:r>
            <w:r w:rsidRPr="00D1657D">
              <w:rPr>
                <w:vertAlign w:val="subscript"/>
              </w:rPr>
              <w:t>2</w:t>
            </w:r>
          </w:p>
        </w:tc>
        <w:tc>
          <w:tcPr>
            <w:tcW w:w="6911" w:type="dxa"/>
          </w:tcPr>
          <w:p w14:paraId="1945AFCA"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Partial pressure of oxygen</w:t>
            </w:r>
          </w:p>
        </w:tc>
      </w:tr>
      <w:tr w:rsidR="00B342FA" w14:paraId="4EAE554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56C49A1" w14:textId="77777777" w:rsidR="00B342FA" w:rsidRDefault="00B342FA" w:rsidP="00B342FA">
            <w:r>
              <w:t>PAH</w:t>
            </w:r>
          </w:p>
        </w:tc>
        <w:tc>
          <w:tcPr>
            <w:tcW w:w="6911" w:type="dxa"/>
          </w:tcPr>
          <w:p w14:paraId="1651797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Pulmonary arterial hypertension</w:t>
            </w:r>
          </w:p>
        </w:tc>
      </w:tr>
      <w:tr w:rsidR="00B342FA" w14:paraId="12966F7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10A465C" w14:textId="77777777" w:rsidR="00B342FA" w:rsidRDefault="00B342FA" w:rsidP="00B342FA">
            <w:r w:rsidRPr="0097242A">
              <w:t>PAH-CHD</w:t>
            </w:r>
          </w:p>
        </w:tc>
        <w:tc>
          <w:tcPr>
            <w:tcW w:w="6911" w:type="dxa"/>
          </w:tcPr>
          <w:p w14:paraId="5239E86D"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97242A">
              <w:t>PAH secondary to congenital heart</w:t>
            </w:r>
            <w:r>
              <w:t xml:space="preserve"> disease</w:t>
            </w:r>
          </w:p>
        </w:tc>
      </w:tr>
      <w:tr w:rsidR="00B342FA" w14:paraId="1423DB4C"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0402312" w14:textId="77777777" w:rsidR="00B342FA" w:rsidRPr="0097242A" w:rsidRDefault="00B342FA" w:rsidP="00B342FA">
            <w:r w:rsidRPr="0097242A">
              <w:t>PAH-SSc</w:t>
            </w:r>
          </w:p>
        </w:tc>
        <w:tc>
          <w:tcPr>
            <w:tcW w:w="6911" w:type="dxa"/>
          </w:tcPr>
          <w:p w14:paraId="278E2B67" w14:textId="77777777" w:rsidR="00B342FA" w:rsidRPr="0097242A" w:rsidRDefault="00B342FA" w:rsidP="00B342FA">
            <w:pPr>
              <w:cnfStyle w:val="000000000000" w:firstRow="0" w:lastRow="0" w:firstColumn="0" w:lastColumn="0" w:oddVBand="0" w:evenVBand="0" w:oddHBand="0" w:evenHBand="0" w:firstRowFirstColumn="0" w:firstRowLastColumn="0" w:lastRowFirstColumn="0" w:lastRowLastColumn="0"/>
            </w:pPr>
            <w:r>
              <w:t>PAH</w:t>
            </w:r>
            <w:r w:rsidRPr="0097242A">
              <w:t xml:space="preserve"> asso</w:t>
            </w:r>
            <w:r>
              <w:t>ciated with systemic sclerosis</w:t>
            </w:r>
          </w:p>
        </w:tc>
      </w:tr>
      <w:tr w:rsidR="00B342FA" w14:paraId="142821D0"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EA0B406" w14:textId="77777777" w:rsidR="00B342FA" w:rsidRPr="0097242A" w:rsidRDefault="00B342FA" w:rsidP="00B342FA">
            <w:r>
              <w:t>PBPK</w:t>
            </w:r>
          </w:p>
        </w:tc>
        <w:tc>
          <w:tcPr>
            <w:tcW w:w="6911" w:type="dxa"/>
          </w:tcPr>
          <w:p w14:paraId="3627139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7256CF">
              <w:t>Physiolo</w:t>
            </w:r>
            <w:r>
              <w:t>gically-based pharmacokinetics</w:t>
            </w:r>
          </w:p>
        </w:tc>
      </w:tr>
      <w:tr w:rsidR="00B342FA" w14:paraId="654E7BF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2A5EFBE" w14:textId="77777777" w:rsidR="00B342FA" w:rsidRDefault="00B342FA" w:rsidP="00B342FA">
            <w:r>
              <w:t>PEEP</w:t>
            </w:r>
          </w:p>
        </w:tc>
        <w:tc>
          <w:tcPr>
            <w:tcW w:w="6911" w:type="dxa"/>
          </w:tcPr>
          <w:p w14:paraId="12EB3B4C"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Positive end-expiratory pressure</w:t>
            </w:r>
          </w:p>
        </w:tc>
      </w:tr>
      <w:tr w:rsidR="00B342FA" w14:paraId="785ABEA7"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EF6BD20" w14:textId="77777777" w:rsidR="00B342FA" w:rsidRDefault="00B342FA" w:rsidP="00B342FA">
            <w:r>
              <w:t>PH</w:t>
            </w:r>
          </w:p>
        </w:tc>
        <w:tc>
          <w:tcPr>
            <w:tcW w:w="6911" w:type="dxa"/>
          </w:tcPr>
          <w:p w14:paraId="2AC23AE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Pulmonary hypertension</w:t>
            </w:r>
          </w:p>
        </w:tc>
      </w:tr>
      <w:tr w:rsidR="00B342FA" w14:paraId="26ECAB8B"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C510DD8" w14:textId="77777777" w:rsidR="00B342FA" w:rsidRDefault="00B342FA" w:rsidP="00B342FA">
            <w:r>
              <w:t>PI</w:t>
            </w:r>
          </w:p>
        </w:tc>
        <w:tc>
          <w:tcPr>
            <w:tcW w:w="6911" w:type="dxa"/>
          </w:tcPr>
          <w:p w14:paraId="5C8CF700"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Product Information</w:t>
            </w:r>
          </w:p>
        </w:tc>
      </w:tr>
      <w:tr w:rsidR="00B342FA" w14:paraId="159C093E"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07DC697" w14:textId="77777777" w:rsidR="00B342FA" w:rsidRDefault="00B342FA" w:rsidP="00B342FA">
            <w:r>
              <w:t>PIP</w:t>
            </w:r>
          </w:p>
        </w:tc>
        <w:tc>
          <w:tcPr>
            <w:tcW w:w="6911" w:type="dxa"/>
          </w:tcPr>
          <w:p w14:paraId="5438798D"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Paediatric investigational plan</w:t>
            </w:r>
          </w:p>
        </w:tc>
      </w:tr>
      <w:tr w:rsidR="00B342FA" w14:paraId="071EB00C"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E1B3C09" w14:textId="77777777" w:rsidR="00B342FA" w:rsidRDefault="00B342FA" w:rsidP="00B342FA">
            <w:r>
              <w:t>PK</w:t>
            </w:r>
          </w:p>
        </w:tc>
        <w:tc>
          <w:tcPr>
            <w:tcW w:w="6911" w:type="dxa"/>
          </w:tcPr>
          <w:p w14:paraId="15DAD4B4"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Pharmacokinetics</w:t>
            </w:r>
          </w:p>
        </w:tc>
      </w:tr>
      <w:tr w:rsidR="00B342FA" w14:paraId="7EA6ADB4"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3F5467BE" w14:textId="77777777" w:rsidR="00B342FA" w:rsidRDefault="00B342FA" w:rsidP="00B342FA">
            <w:r>
              <w:t>PK1</w:t>
            </w:r>
          </w:p>
        </w:tc>
        <w:tc>
          <w:tcPr>
            <w:tcW w:w="6911" w:type="dxa"/>
          </w:tcPr>
          <w:p w14:paraId="241CC46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Pharmacokinetic assessment 1</w:t>
            </w:r>
          </w:p>
        </w:tc>
      </w:tr>
      <w:tr w:rsidR="00B342FA" w14:paraId="4EF86C3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B62C4E1" w14:textId="77777777" w:rsidR="00B342FA" w:rsidRDefault="00B342FA" w:rsidP="00B342FA">
            <w:r>
              <w:t>PK2</w:t>
            </w:r>
          </w:p>
        </w:tc>
        <w:tc>
          <w:tcPr>
            <w:tcW w:w="6911" w:type="dxa"/>
          </w:tcPr>
          <w:p w14:paraId="7727DA8E"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Pharmacokinetic assessment 2</w:t>
            </w:r>
          </w:p>
        </w:tc>
      </w:tr>
      <w:tr w:rsidR="00B342FA" w14:paraId="61438BA0"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B5CC39D" w14:textId="77777777" w:rsidR="00B342FA" w:rsidRDefault="00B342FA" w:rsidP="00B342FA">
            <w:r>
              <w:t>PKWP</w:t>
            </w:r>
          </w:p>
        </w:tc>
        <w:tc>
          <w:tcPr>
            <w:tcW w:w="6911" w:type="dxa"/>
          </w:tcPr>
          <w:p w14:paraId="20C93002"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Pharmacokinetics Working Party</w:t>
            </w:r>
          </w:p>
        </w:tc>
      </w:tr>
      <w:tr w:rsidR="00B342FA" w14:paraId="0E1DB6E8"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7505D3A" w14:textId="77777777" w:rsidR="00B342FA" w:rsidRDefault="00B342FA" w:rsidP="00B342FA">
            <w:r>
              <w:t>PopPK</w:t>
            </w:r>
          </w:p>
        </w:tc>
        <w:tc>
          <w:tcPr>
            <w:tcW w:w="6911" w:type="dxa"/>
          </w:tcPr>
          <w:p w14:paraId="61156DAF"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Population pharmacokinetics</w:t>
            </w:r>
          </w:p>
        </w:tc>
      </w:tr>
      <w:tr w:rsidR="00B342FA" w14:paraId="2C8E460F"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4FE9E13" w14:textId="77777777" w:rsidR="00B342FA" w:rsidRDefault="00B342FA" w:rsidP="00B342FA">
            <w:r>
              <w:t>PPHN</w:t>
            </w:r>
          </w:p>
        </w:tc>
        <w:tc>
          <w:tcPr>
            <w:tcW w:w="6911" w:type="dxa"/>
          </w:tcPr>
          <w:p w14:paraId="570316CB"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Persistent pulmonary hypertension of the newborn</w:t>
            </w:r>
          </w:p>
        </w:tc>
      </w:tr>
      <w:tr w:rsidR="00B342FA" w14:paraId="033A143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9227EE5" w14:textId="77777777" w:rsidR="00B342FA" w:rsidRDefault="00B342FA" w:rsidP="00B342FA">
            <w:r>
              <w:t>PVR</w:t>
            </w:r>
          </w:p>
        </w:tc>
        <w:tc>
          <w:tcPr>
            <w:tcW w:w="6911" w:type="dxa"/>
          </w:tcPr>
          <w:p w14:paraId="6B6B020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Pulmonary vascular resistance</w:t>
            </w:r>
          </w:p>
        </w:tc>
      </w:tr>
      <w:tr w:rsidR="00B342FA" w14:paraId="0D82C7E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6269969" w14:textId="77777777" w:rsidR="00B342FA" w:rsidRDefault="00B342FA" w:rsidP="00B342FA">
            <w:r w:rsidRPr="00581884">
              <w:t>QoL</w:t>
            </w:r>
          </w:p>
        </w:tc>
        <w:tc>
          <w:tcPr>
            <w:tcW w:w="6911" w:type="dxa"/>
          </w:tcPr>
          <w:p w14:paraId="71D82EA8"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Quality of life</w:t>
            </w:r>
          </w:p>
        </w:tc>
      </w:tr>
      <w:tr w:rsidR="00B342FA" w14:paraId="1E7505B2"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D3B15D2" w14:textId="77777777" w:rsidR="00B342FA" w:rsidRPr="00081D87" w:rsidRDefault="00B342FA" w:rsidP="00B342FA">
            <w:r>
              <w:t>RHC</w:t>
            </w:r>
          </w:p>
        </w:tc>
        <w:tc>
          <w:tcPr>
            <w:tcW w:w="6911" w:type="dxa"/>
          </w:tcPr>
          <w:p w14:paraId="0EC108A3" w14:textId="77777777" w:rsidR="00B342FA" w:rsidRPr="00081D87" w:rsidRDefault="00B342FA" w:rsidP="00B342FA">
            <w:pPr>
              <w:cnfStyle w:val="000000000000" w:firstRow="0" w:lastRow="0" w:firstColumn="0" w:lastColumn="0" w:oddVBand="0" w:evenVBand="0" w:oddHBand="0" w:evenHBand="0" w:firstRowFirstColumn="0" w:firstRowLastColumn="0" w:lastRowFirstColumn="0" w:lastRowLastColumn="0"/>
            </w:pPr>
            <w:r>
              <w:t>Right heart catheterisation</w:t>
            </w:r>
          </w:p>
        </w:tc>
      </w:tr>
      <w:tr w:rsidR="00B342FA" w14:paraId="4F3726F2"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A684526" w14:textId="77777777" w:rsidR="00B342FA" w:rsidRPr="00081D87" w:rsidRDefault="00B342FA" w:rsidP="00B342FA">
            <w:r w:rsidRPr="00081D87">
              <w:t>RMP</w:t>
            </w:r>
          </w:p>
        </w:tc>
        <w:tc>
          <w:tcPr>
            <w:tcW w:w="6911" w:type="dxa"/>
          </w:tcPr>
          <w:p w14:paraId="5D318138"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081D87">
              <w:t>Risk management plan</w:t>
            </w:r>
          </w:p>
        </w:tc>
      </w:tr>
      <w:tr w:rsidR="00B342FA" w14:paraId="1107AB5B"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1DDF772" w14:textId="77777777" w:rsidR="00B342FA" w:rsidRPr="00081D87" w:rsidRDefault="00B342FA" w:rsidP="00B342FA">
            <w:r>
              <w:lastRenderedPageBreak/>
              <w:t>SAE</w:t>
            </w:r>
          </w:p>
        </w:tc>
        <w:tc>
          <w:tcPr>
            <w:tcW w:w="6911" w:type="dxa"/>
          </w:tcPr>
          <w:p w14:paraId="0B6A889D" w14:textId="77777777" w:rsidR="00B342FA" w:rsidRPr="00081D87" w:rsidRDefault="00B342FA" w:rsidP="00B342FA">
            <w:pPr>
              <w:cnfStyle w:val="000000000000" w:firstRow="0" w:lastRow="0" w:firstColumn="0" w:lastColumn="0" w:oddVBand="0" w:evenVBand="0" w:oddHBand="0" w:evenHBand="0" w:firstRowFirstColumn="0" w:firstRowLastColumn="0" w:lastRowFirstColumn="0" w:lastRowLastColumn="0"/>
            </w:pPr>
            <w:r>
              <w:t>Serious adverse event</w:t>
            </w:r>
          </w:p>
        </w:tc>
      </w:tr>
      <w:tr w:rsidR="00B342FA" w14:paraId="3D6FB829"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E457E00" w14:textId="77777777" w:rsidR="00B342FA" w:rsidRDefault="00B342FA" w:rsidP="00B342FA">
            <w:r>
              <w:t>SaO</w:t>
            </w:r>
            <w:r w:rsidRPr="00D1657D">
              <w:rPr>
                <w:vertAlign w:val="subscript"/>
              </w:rPr>
              <w:t>2</w:t>
            </w:r>
          </w:p>
        </w:tc>
        <w:tc>
          <w:tcPr>
            <w:tcW w:w="6911" w:type="dxa"/>
          </w:tcPr>
          <w:p w14:paraId="7AFFABD3"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rsidRPr="00D1657D">
              <w:t>Arterial oxygen saturation</w:t>
            </w:r>
          </w:p>
        </w:tc>
      </w:tr>
      <w:tr w:rsidR="00B342FA" w14:paraId="08CEA35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1F8D623" w14:textId="77777777" w:rsidR="00B342FA" w:rsidRDefault="00B342FA" w:rsidP="00B342FA">
            <w:r w:rsidRPr="00CF6E2E">
              <w:t>SLE</w:t>
            </w:r>
          </w:p>
        </w:tc>
        <w:tc>
          <w:tcPr>
            <w:tcW w:w="6911" w:type="dxa"/>
          </w:tcPr>
          <w:p w14:paraId="423BBD01" w14:textId="77777777" w:rsidR="00B342FA" w:rsidRPr="00D1657D" w:rsidRDefault="00B342FA" w:rsidP="00B342FA">
            <w:pPr>
              <w:cnfStyle w:val="000000000000" w:firstRow="0" w:lastRow="0" w:firstColumn="0" w:lastColumn="0" w:oddVBand="0" w:evenVBand="0" w:oddHBand="0" w:evenHBand="0" w:firstRowFirstColumn="0" w:firstRowLastColumn="0" w:lastRowFirstColumn="0" w:lastRowLastColumn="0"/>
            </w:pPr>
            <w:r>
              <w:t>S</w:t>
            </w:r>
            <w:r w:rsidRPr="00CF6E2E">
              <w:t>y</w:t>
            </w:r>
            <w:r>
              <w:t>stemic lupus erythematosus</w:t>
            </w:r>
          </w:p>
        </w:tc>
      </w:tr>
      <w:tr w:rsidR="00B342FA" w14:paraId="1973B663"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7A5DE2A6" w14:textId="77777777" w:rsidR="00B342FA" w:rsidRDefault="00B342FA" w:rsidP="00B342FA">
            <w:r w:rsidRPr="009B7525">
              <w:t>PHS</w:t>
            </w:r>
          </w:p>
        </w:tc>
        <w:tc>
          <w:tcPr>
            <w:tcW w:w="6911" w:type="dxa"/>
          </w:tcPr>
          <w:p w14:paraId="7ECCFF86" w14:textId="73FD2572" w:rsidR="00B342FA" w:rsidRPr="009B7525" w:rsidRDefault="00B342FA" w:rsidP="00B342FA">
            <w:pPr>
              <w:cnfStyle w:val="000000000000" w:firstRow="0" w:lastRow="0" w:firstColumn="0" w:lastColumn="0" w:oddVBand="0" w:evenVBand="0" w:oddHBand="0" w:evenHBand="0" w:firstRowFirstColumn="0" w:firstRowLastColumn="0" w:lastRowFirstColumn="0" w:lastRowLastColumn="0"/>
            </w:pPr>
            <w:r w:rsidRPr="009B7525">
              <w:t>Physical summary</w:t>
            </w:r>
            <w:r>
              <w:t xml:space="preserve"> score (for the SF-10 for Children)</w:t>
            </w:r>
          </w:p>
        </w:tc>
      </w:tr>
      <w:tr w:rsidR="00B342FA" w14:paraId="10AE88D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0728AD70" w14:textId="77777777" w:rsidR="00B342FA" w:rsidRPr="009B7525" w:rsidRDefault="00B342FA" w:rsidP="00B342FA">
            <w:r w:rsidRPr="009B7525">
              <w:t>PSS</w:t>
            </w:r>
          </w:p>
        </w:tc>
        <w:tc>
          <w:tcPr>
            <w:tcW w:w="6911" w:type="dxa"/>
          </w:tcPr>
          <w:p w14:paraId="3E926161" w14:textId="5192899D" w:rsidR="00B342FA" w:rsidRPr="009B7525" w:rsidRDefault="00B342FA" w:rsidP="00B342FA">
            <w:pPr>
              <w:cnfStyle w:val="000000000000" w:firstRow="0" w:lastRow="0" w:firstColumn="0" w:lastColumn="0" w:oddVBand="0" w:evenVBand="0" w:oddHBand="0" w:evenHBand="0" w:firstRowFirstColumn="0" w:firstRowLastColumn="0" w:lastRowFirstColumn="0" w:lastRowLastColumn="0"/>
            </w:pPr>
            <w:r w:rsidRPr="009B7525">
              <w:t>Psychological summary</w:t>
            </w:r>
            <w:r>
              <w:t xml:space="preserve"> score (for the SF-10 for Children)</w:t>
            </w:r>
          </w:p>
        </w:tc>
      </w:tr>
      <w:tr w:rsidR="00B342FA" w14:paraId="78B8DD21"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2C4D908" w14:textId="77777777" w:rsidR="00B342FA" w:rsidRDefault="00B342FA" w:rsidP="00B342FA">
            <w:r>
              <w:t>SmPC</w:t>
            </w:r>
          </w:p>
        </w:tc>
        <w:tc>
          <w:tcPr>
            <w:tcW w:w="6911" w:type="dxa"/>
          </w:tcPr>
          <w:p w14:paraId="24C6C67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Summary of Product Characteristics</w:t>
            </w:r>
          </w:p>
        </w:tc>
      </w:tr>
      <w:tr w:rsidR="00B342FA" w14:paraId="3E371A30"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7083EA3" w14:textId="77777777" w:rsidR="00B342FA" w:rsidRPr="00783C29" w:rsidRDefault="00B342FA" w:rsidP="00B342FA">
            <w:pPr>
              <w:rPr>
                <w:vertAlign w:val="subscript"/>
              </w:rPr>
            </w:pPr>
            <w:r>
              <w:t>t</w:t>
            </w:r>
            <w:r w:rsidR="00CF6063">
              <w:rPr>
                <w:szCs w:val="20"/>
                <w:vertAlign w:val="subscript"/>
                <w:lang w:eastAsia="ja-JP"/>
              </w:rPr>
              <w:t>½</w:t>
            </w:r>
          </w:p>
        </w:tc>
        <w:tc>
          <w:tcPr>
            <w:tcW w:w="6911" w:type="dxa"/>
          </w:tcPr>
          <w:p w14:paraId="4257D29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Half-life</w:t>
            </w:r>
          </w:p>
        </w:tc>
      </w:tr>
      <w:tr w:rsidR="00B342FA" w14:paraId="00C19A70"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62F47EC6" w14:textId="77777777" w:rsidR="00B342FA" w:rsidRDefault="007C6D8D" w:rsidP="00B342FA">
            <w:r>
              <w:t>TDS</w:t>
            </w:r>
          </w:p>
        </w:tc>
        <w:tc>
          <w:tcPr>
            <w:tcW w:w="6911" w:type="dxa"/>
          </w:tcPr>
          <w:p w14:paraId="58B05BE1"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Three times daily</w:t>
            </w:r>
          </w:p>
        </w:tc>
      </w:tr>
      <w:tr w:rsidR="00B342FA" w14:paraId="5AF3595D"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E4E6A0B" w14:textId="77777777" w:rsidR="00B342FA" w:rsidRPr="00783C29" w:rsidRDefault="00B342FA" w:rsidP="00B342FA">
            <w:pPr>
              <w:rPr>
                <w:vertAlign w:val="subscript"/>
              </w:rPr>
            </w:pPr>
            <w:r>
              <w:t>t</w:t>
            </w:r>
            <w:r>
              <w:rPr>
                <w:vertAlign w:val="subscript"/>
              </w:rPr>
              <w:t>max</w:t>
            </w:r>
          </w:p>
        </w:tc>
        <w:tc>
          <w:tcPr>
            <w:tcW w:w="6911" w:type="dxa"/>
          </w:tcPr>
          <w:p w14:paraId="4146FA0B"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Time to maximum concentration</w:t>
            </w:r>
          </w:p>
        </w:tc>
      </w:tr>
      <w:tr w:rsidR="00B342FA" w14:paraId="04914C37"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44B83361" w14:textId="77777777" w:rsidR="00B342FA" w:rsidRDefault="00B342FA" w:rsidP="00B342FA">
            <w:r>
              <w:t>ULN</w:t>
            </w:r>
          </w:p>
        </w:tc>
        <w:tc>
          <w:tcPr>
            <w:tcW w:w="6911" w:type="dxa"/>
          </w:tcPr>
          <w:p w14:paraId="6997EDF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Upper limit of normal range</w:t>
            </w:r>
          </w:p>
        </w:tc>
      </w:tr>
      <w:tr w:rsidR="00B342FA" w14:paraId="79B43436"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55259CE4" w14:textId="77777777" w:rsidR="00B342FA" w:rsidRDefault="00B342FA" w:rsidP="00B342FA">
            <w:r>
              <w:t>US</w:t>
            </w:r>
          </w:p>
        </w:tc>
        <w:tc>
          <w:tcPr>
            <w:tcW w:w="6911" w:type="dxa"/>
          </w:tcPr>
          <w:p w14:paraId="1F00B889"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United States</w:t>
            </w:r>
          </w:p>
        </w:tc>
      </w:tr>
      <w:tr w:rsidR="00B342FA" w14:paraId="61D76CCA"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1143F0A9" w14:textId="77777777" w:rsidR="00B342FA" w:rsidRDefault="00B342FA" w:rsidP="00B342FA">
            <w:r>
              <w:t>US PI</w:t>
            </w:r>
          </w:p>
        </w:tc>
        <w:tc>
          <w:tcPr>
            <w:tcW w:w="6911" w:type="dxa"/>
          </w:tcPr>
          <w:p w14:paraId="76742C61"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United States Prescribing Information</w:t>
            </w:r>
          </w:p>
        </w:tc>
      </w:tr>
      <w:tr w:rsidR="00B342FA" w14:paraId="073FDFE2" w14:textId="77777777" w:rsidTr="00B342FA">
        <w:tc>
          <w:tcPr>
            <w:cnfStyle w:val="001000000000" w:firstRow="0" w:lastRow="0" w:firstColumn="1" w:lastColumn="0" w:oddVBand="0" w:evenVBand="0" w:oddHBand="0" w:evenHBand="0" w:firstRowFirstColumn="0" w:firstRowLastColumn="0" w:lastRowFirstColumn="0" w:lastRowLastColumn="0"/>
            <w:tcW w:w="1890" w:type="dxa"/>
          </w:tcPr>
          <w:p w14:paraId="20755C6C" w14:textId="77777777" w:rsidR="00B342FA" w:rsidRDefault="00B342FA" w:rsidP="00B342FA">
            <w:r>
              <w:t>WHO</w:t>
            </w:r>
          </w:p>
        </w:tc>
        <w:tc>
          <w:tcPr>
            <w:tcW w:w="6911" w:type="dxa"/>
          </w:tcPr>
          <w:p w14:paraId="5167694F" w14:textId="77777777" w:rsidR="00B342FA" w:rsidRDefault="00B342FA" w:rsidP="00B342FA">
            <w:pPr>
              <w:cnfStyle w:val="000000000000" w:firstRow="0" w:lastRow="0" w:firstColumn="0" w:lastColumn="0" w:oddVBand="0" w:evenVBand="0" w:oddHBand="0" w:evenHBand="0" w:firstRowFirstColumn="0" w:firstRowLastColumn="0" w:lastRowFirstColumn="0" w:lastRowLastColumn="0"/>
            </w:pPr>
            <w:r>
              <w:t>World Health Organization</w:t>
            </w:r>
          </w:p>
        </w:tc>
      </w:tr>
    </w:tbl>
    <w:p w14:paraId="387C8EF5" w14:textId="77777777" w:rsidR="0094614A" w:rsidRDefault="0094614A" w:rsidP="0043797D">
      <w:pPr>
        <w:pStyle w:val="Heading2"/>
        <w:pageBreakBefore/>
        <w:rPr>
          <w:lang w:eastAsia="en-AU"/>
        </w:rPr>
      </w:pPr>
      <w:bookmarkStart w:id="8" w:name="_Toc351718900"/>
      <w:bookmarkStart w:id="9" w:name="_Toc355338635"/>
      <w:bookmarkStart w:id="10" w:name="_Toc519773880"/>
      <w:r>
        <w:rPr>
          <w:lang w:eastAsia="en-AU"/>
        </w:rPr>
        <w:lastRenderedPageBreak/>
        <w:t>Introduction</w:t>
      </w:r>
      <w:bookmarkEnd w:id="10"/>
    </w:p>
    <w:p w14:paraId="1D852D24" w14:textId="77777777" w:rsidR="00825200" w:rsidRDefault="00825200" w:rsidP="00825200">
      <w:pPr>
        <w:pStyle w:val="Heading3"/>
        <w:ind w:left="1135" w:hanging="1022"/>
      </w:pPr>
      <w:bookmarkStart w:id="11" w:name="_Toc473883964"/>
      <w:bookmarkStart w:id="12" w:name="_Toc519773881"/>
      <w:r>
        <w:t>Submission type</w:t>
      </w:r>
      <w:bookmarkEnd w:id="11"/>
      <w:bookmarkEnd w:id="12"/>
    </w:p>
    <w:p w14:paraId="19217348" w14:textId="7DB627F8" w:rsidR="00825200" w:rsidRDefault="00825200" w:rsidP="00482EC1">
      <w:pPr>
        <w:rPr>
          <w:lang w:eastAsia="ja-JP"/>
        </w:rPr>
      </w:pPr>
      <w:r>
        <w:rPr>
          <w:lang w:eastAsia="ja-JP"/>
        </w:rPr>
        <w:t>This is a</w:t>
      </w:r>
      <w:r w:rsidR="00D517F6">
        <w:rPr>
          <w:lang w:eastAsia="ja-JP"/>
        </w:rPr>
        <w:t xml:space="preserve">n </w:t>
      </w:r>
      <w:r>
        <w:rPr>
          <w:lang w:eastAsia="ja-JP"/>
        </w:rPr>
        <w:t>application to register a new oral solid dosage form and strength of bosentan for administration to the paediatric population. The new formulation is a quadrisected dispersible tablet containing 32 mg of bosentan.</w:t>
      </w:r>
    </w:p>
    <w:p w14:paraId="33504349" w14:textId="77777777" w:rsidR="00825200" w:rsidRDefault="00825200" w:rsidP="00825200">
      <w:pPr>
        <w:pStyle w:val="Heading3"/>
        <w:ind w:left="1135" w:hanging="1022"/>
      </w:pPr>
      <w:bookmarkStart w:id="13" w:name="_Toc473883965"/>
      <w:bookmarkStart w:id="14" w:name="_Toc519773882"/>
      <w:r>
        <w:t>Drug class and therapeutic indication</w:t>
      </w:r>
      <w:bookmarkEnd w:id="13"/>
      <w:bookmarkEnd w:id="14"/>
    </w:p>
    <w:p w14:paraId="29320EDA" w14:textId="77777777" w:rsidR="007C6D8D" w:rsidRDefault="00825200" w:rsidP="00482EC1">
      <w:pPr>
        <w:rPr>
          <w:lang w:eastAsia="ja-JP"/>
        </w:rPr>
      </w:pPr>
      <w:r>
        <w:rPr>
          <w:lang w:eastAsia="ja-JP"/>
        </w:rPr>
        <w:t>Bosentan</w:t>
      </w:r>
      <w:r w:rsidRPr="00314B50">
        <w:rPr>
          <w:lang w:eastAsia="ja-JP"/>
        </w:rPr>
        <w:t xml:space="preserve"> is an oral endothelin (ET)-receptor antagonist that competes with</w:t>
      </w:r>
      <w:r>
        <w:rPr>
          <w:lang w:eastAsia="ja-JP"/>
        </w:rPr>
        <w:t xml:space="preserve"> </w:t>
      </w:r>
      <w:r w:rsidRPr="00314B50">
        <w:rPr>
          <w:lang w:eastAsia="ja-JP"/>
        </w:rPr>
        <w:t xml:space="preserve">the binding of </w:t>
      </w:r>
      <w:r>
        <w:rPr>
          <w:lang w:eastAsia="ja-JP"/>
        </w:rPr>
        <w:t>ET-1</w:t>
      </w:r>
      <w:r w:rsidRPr="00314B50">
        <w:rPr>
          <w:lang w:eastAsia="ja-JP"/>
        </w:rPr>
        <w:t xml:space="preserve"> to both ET</w:t>
      </w:r>
      <w:r w:rsidRPr="00314B50">
        <w:rPr>
          <w:vertAlign w:val="subscript"/>
          <w:lang w:eastAsia="ja-JP"/>
        </w:rPr>
        <w:t>A</w:t>
      </w:r>
      <w:r w:rsidRPr="00314B50">
        <w:rPr>
          <w:lang w:eastAsia="ja-JP"/>
        </w:rPr>
        <w:t xml:space="preserve"> and ET</w:t>
      </w:r>
      <w:r w:rsidRPr="00314B50">
        <w:rPr>
          <w:vertAlign w:val="subscript"/>
          <w:lang w:eastAsia="ja-JP"/>
        </w:rPr>
        <w:t>B</w:t>
      </w:r>
      <w:r w:rsidRPr="00314B50">
        <w:rPr>
          <w:lang w:eastAsia="ja-JP"/>
        </w:rPr>
        <w:t xml:space="preserve"> receptors.</w:t>
      </w:r>
      <w:r>
        <w:rPr>
          <w:lang w:eastAsia="ja-JP"/>
        </w:rPr>
        <w:t xml:space="preserve"> The Health Canada Product Monograph (HCPM) provides the following summary of the mechanism of action of bosentan</w:t>
      </w:r>
      <w:r w:rsidR="007C6D8D">
        <w:rPr>
          <w:lang w:eastAsia="ja-JP"/>
        </w:rPr>
        <w:t>:</w:t>
      </w:r>
    </w:p>
    <w:p w14:paraId="0070980B" w14:textId="77777777" w:rsidR="007C6D8D" w:rsidRDefault="00825200" w:rsidP="00825200">
      <w:pPr>
        <w:ind w:left="720"/>
        <w:rPr>
          <w:szCs w:val="20"/>
        </w:rPr>
      </w:pPr>
      <w:r w:rsidRPr="00482EC1">
        <w:rPr>
          <w:szCs w:val="20"/>
        </w:rPr>
        <w:t>Bosentan is a dual endothelin receptor antagonist with affinity for both ET</w:t>
      </w:r>
      <w:r w:rsidRPr="00482EC1">
        <w:rPr>
          <w:szCs w:val="20"/>
          <w:vertAlign w:val="subscript"/>
        </w:rPr>
        <w:t>A</w:t>
      </w:r>
      <w:r w:rsidRPr="00482EC1">
        <w:rPr>
          <w:szCs w:val="20"/>
        </w:rPr>
        <w:t xml:space="preserve"> and ET</w:t>
      </w:r>
      <w:r w:rsidRPr="00482EC1">
        <w:rPr>
          <w:szCs w:val="20"/>
          <w:vertAlign w:val="subscript"/>
        </w:rPr>
        <w:t>B</w:t>
      </w:r>
      <w:r w:rsidRPr="00482EC1">
        <w:rPr>
          <w:szCs w:val="20"/>
        </w:rPr>
        <w:t xml:space="preserve"> receptors. Bosentan decreases both pulmonary and systemic vascular resistance, resulting in increased cardiac output without increasing heart rate</w:t>
      </w:r>
      <w:r w:rsidR="007C6D8D">
        <w:rPr>
          <w:szCs w:val="20"/>
        </w:rPr>
        <w:t>.</w:t>
      </w:r>
    </w:p>
    <w:p w14:paraId="7A857F1C" w14:textId="77777777" w:rsidR="007C6D8D" w:rsidRDefault="00825200" w:rsidP="00825200">
      <w:pPr>
        <w:ind w:left="720"/>
        <w:rPr>
          <w:szCs w:val="20"/>
        </w:rPr>
      </w:pPr>
      <w:r w:rsidRPr="00482EC1">
        <w:rPr>
          <w:szCs w:val="20"/>
        </w:rPr>
        <w:t xml:space="preserve">The neurohormone endothelin is a potent vasoconstrictor with the ability to promote fibrosis, cell proliferation, and tissue </w:t>
      </w:r>
      <w:r w:rsidR="00E97B2B" w:rsidRPr="00482EC1">
        <w:rPr>
          <w:szCs w:val="20"/>
        </w:rPr>
        <w:t>remodelling</w:t>
      </w:r>
      <w:r w:rsidRPr="00482EC1">
        <w:rPr>
          <w:szCs w:val="20"/>
        </w:rPr>
        <w:t>. Endothelin concentrations in plasma and tissues are increased in a number of cardiovascular disorders, including pulmonary hypertension, suggesting a pathological role for endothelin in these diseases. In pulmonary arterial hypertension, endothelin plasma concentrations strongly correlate with poor prognosis</w:t>
      </w:r>
      <w:r w:rsidR="007C6D8D">
        <w:rPr>
          <w:szCs w:val="20"/>
        </w:rPr>
        <w:t>.</w:t>
      </w:r>
    </w:p>
    <w:p w14:paraId="6E6A6050" w14:textId="77777777" w:rsidR="00825200" w:rsidRPr="00482EC1" w:rsidRDefault="00825200" w:rsidP="00825200">
      <w:pPr>
        <w:ind w:left="720"/>
        <w:rPr>
          <w:szCs w:val="20"/>
        </w:rPr>
      </w:pPr>
      <w:r w:rsidRPr="00482EC1">
        <w:rPr>
          <w:szCs w:val="20"/>
        </w:rPr>
        <w:t>Bosentan is specific for endothelin receptors. Bosentan competes with the binding of endothelin for both ET</w:t>
      </w:r>
      <w:r w:rsidRPr="00482EC1">
        <w:rPr>
          <w:szCs w:val="20"/>
          <w:vertAlign w:val="subscript"/>
        </w:rPr>
        <w:t>A</w:t>
      </w:r>
      <w:r w:rsidRPr="00482EC1">
        <w:rPr>
          <w:szCs w:val="20"/>
        </w:rPr>
        <w:t xml:space="preserve"> and ET</w:t>
      </w:r>
      <w:r w:rsidRPr="00482EC1">
        <w:rPr>
          <w:szCs w:val="20"/>
          <w:vertAlign w:val="subscript"/>
        </w:rPr>
        <w:t>B</w:t>
      </w:r>
      <w:r w:rsidRPr="00482EC1">
        <w:rPr>
          <w:szCs w:val="20"/>
        </w:rPr>
        <w:t xml:space="preserve"> receptors with a slightly higher affinity for ET</w:t>
      </w:r>
      <w:r w:rsidRPr="00482EC1">
        <w:rPr>
          <w:szCs w:val="20"/>
          <w:vertAlign w:val="subscript"/>
        </w:rPr>
        <w:t>A</w:t>
      </w:r>
      <w:r w:rsidRPr="00482EC1">
        <w:rPr>
          <w:szCs w:val="20"/>
        </w:rPr>
        <w:t xml:space="preserve"> receptors. In animal models of pulmonary hypertension, chronic oral administration of bosentan reduced pulmonary vascular resistance and reversed pulmonary vascular and right ventricular hypertrophy. In an animal model of pulmonary fibrosis, bosentan reduced collagen deposition.</w:t>
      </w:r>
    </w:p>
    <w:p w14:paraId="01FDCE49" w14:textId="77777777" w:rsidR="00825200" w:rsidRPr="0023406B" w:rsidRDefault="00825200" w:rsidP="00825200">
      <w:pPr>
        <w:rPr>
          <w:lang w:eastAsia="ja-JP"/>
        </w:rPr>
      </w:pPr>
      <w:r>
        <w:rPr>
          <w:lang w:eastAsia="ja-JP"/>
        </w:rPr>
        <w:t>In Australia, Tracleer</w:t>
      </w:r>
      <w:r w:rsidRPr="0023406B">
        <w:rPr>
          <w:lang w:eastAsia="ja-JP"/>
        </w:rPr>
        <w:t xml:space="preserve"> is indicated for the treatment of</w:t>
      </w:r>
      <w:r>
        <w:rPr>
          <w:lang w:eastAsia="ja-JP"/>
        </w:rPr>
        <w:t>:</w:t>
      </w:r>
    </w:p>
    <w:p w14:paraId="00DF6552" w14:textId="77777777" w:rsidR="00825200" w:rsidRPr="0023406B" w:rsidRDefault="00825200" w:rsidP="00482EC1">
      <w:pPr>
        <w:pStyle w:val="ListBullet"/>
        <w:rPr>
          <w:lang w:eastAsia="ja-JP"/>
        </w:rPr>
      </w:pPr>
      <w:r w:rsidRPr="0023406B">
        <w:rPr>
          <w:lang w:eastAsia="ja-JP"/>
        </w:rPr>
        <w:t>idiopathic pulmonary arterial hypertension</w:t>
      </w:r>
    </w:p>
    <w:p w14:paraId="153EA102" w14:textId="77777777" w:rsidR="00825200" w:rsidRPr="0023406B" w:rsidRDefault="00825200" w:rsidP="00482EC1">
      <w:pPr>
        <w:pStyle w:val="ListBullet"/>
        <w:rPr>
          <w:lang w:eastAsia="ja-JP"/>
        </w:rPr>
      </w:pPr>
      <w:r w:rsidRPr="0023406B">
        <w:rPr>
          <w:lang w:eastAsia="ja-JP"/>
        </w:rPr>
        <w:t>familial pulmonary arterial hypertension</w:t>
      </w:r>
    </w:p>
    <w:p w14:paraId="1EB38644" w14:textId="77777777" w:rsidR="00825200" w:rsidRPr="0023406B" w:rsidRDefault="00825200" w:rsidP="00482EC1">
      <w:pPr>
        <w:pStyle w:val="ListBullet"/>
        <w:rPr>
          <w:lang w:eastAsia="ja-JP"/>
        </w:rPr>
      </w:pPr>
      <w:r w:rsidRPr="0023406B">
        <w:rPr>
          <w:lang w:eastAsia="ja-JP"/>
        </w:rPr>
        <w:t>pulmonary arterial hypertension associated with scleroderma or</w:t>
      </w:r>
    </w:p>
    <w:p w14:paraId="68329C6C" w14:textId="77777777" w:rsidR="00825200" w:rsidRPr="0023406B" w:rsidRDefault="00825200" w:rsidP="00482EC1">
      <w:pPr>
        <w:pStyle w:val="ListBullet"/>
        <w:rPr>
          <w:lang w:eastAsia="ja-JP"/>
        </w:rPr>
      </w:pPr>
      <w:r w:rsidRPr="0023406B">
        <w:rPr>
          <w:lang w:eastAsia="ja-JP"/>
        </w:rPr>
        <w:t>pulmonary arterial hypertension associated with congenital systemic to pulmonary shunts including Eisenmenger’s physiology</w:t>
      </w:r>
    </w:p>
    <w:p w14:paraId="78A7D6B7" w14:textId="77777777" w:rsidR="00825200" w:rsidRDefault="00825200" w:rsidP="00482EC1">
      <w:pPr>
        <w:pStyle w:val="ListBullet"/>
        <w:rPr>
          <w:lang w:eastAsia="ja-JP"/>
        </w:rPr>
      </w:pPr>
      <w:r w:rsidRPr="0023406B">
        <w:rPr>
          <w:lang w:eastAsia="ja-JP"/>
        </w:rPr>
        <w:t>in patients with WHO functional Class II, III or IV symptoms.</w:t>
      </w:r>
    </w:p>
    <w:p w14:paraId="59E51181" w14:textId="77777777" w:rsidR="00825200" w:rsidRPr="00116F50" w:rsidRDefault="00825200" w:rsidP="002F2695">
      <w:pPr>
        <w:tabs>
          <w:tab w:val="left" w:pos="6474"/>
        </w:tabs>
        <w:rPr>
          <w:lang w:eastAsia="ja-JP"/>
        </w:rPr>
      </w:pPr>
      <w:r>
        <w:rPr>
          <w:lang w:eastAsia="ja-JP"/>
        </w:rPr>
        <w:t>No changes to the approved indications have been proposed.</w:t>
      </w:r>
    </w:p>
    <w:p w14:paraId="43DD78C6" w14:textId="77777777" w:rsidR="00825200" w:rsidRPr="00825200" w:rsidRDefault="00825200" w:rsidP="00825200">
      <w:pPr>
        <w:pStyle w:val="Heading3"/>
      </w:pPr>
      <w:bookmarkStart w:id="15" w:name="_Toc473883966"/>
      <w:bookmarkStart w:id="16" w:name="_Toc519773883"/>
      <w:r w:rsidRPr="00825200">
        <w:t>Dosage forms and strengths</w:t>
      </w:r>
      <w:bookmarkEnd w:id="15"/>
      <w:bookmarkEnd w:id="16"/>
    </w:p>
    <w:p w14:paraId="226F27E3" w14:textId="77777777" w:rsidR="00825200" w:rsidRDefault="00825200" w:rsidP="00825200">
      <w:pPr>
        <w:rPr>
          <w:lang w:eastAsia="ja-JP"/>
        </w:rPr>
      </w:pPr>
      <w:r>
        <w:rPr>
          <w:lang w:eastAsia="ja-JP"/>
        </w:rPr>
        <w:t>This application seeks approval for a bosentan 32 mg dispersible tablet for paediatric administration. The following dosage forms and strengths are currently registered</w:t>
      </w:r>
      <w:r w:rsidR="005F754D">
        <w:rPr>
          <w:lang w:eastAsia="ja-JP"/>
        </w:rPr>
        <w:t xml:space="preserve"> (Table 1)</w:t>
      </w:r>
      <w:r>
        <w:rPr>
          <w:lang w:eastAsia="ja-JP"/>
        </w:rPr>
        <w:t>:</w:t>
      </w:r>
    </w:p>
    <w:p w14:paraId="1D59EEC8" w14:textId="77777777" w:rsidR="007C6D8D" w:rsidRDefault="007C6D8D" w:rsidP="005F754D">
      <w:pPr>
        <w:pStyle w:val="Tabletitle"/>
        <w:pageBreakBefore/>
        <w:rPr>
          <w:lang w:eastAsia="ja-JP"/>
        </w:rPr>
      </w:pPr>
      <w:r>
        <w:rPr>
          <w:lang w:eastAsia="ja-JP"/>
        </w:rPr>
        <w:lastRenderedPageBreak/>
        <w:t>Table 1: Dosage forms of Tracleer currently on the ARTG</w:t>
      </w:r>
    </w:p>
    <w:tbl>
      <w:tblPr>
        <w:tblStyle w:val="TableTGAblue"/>
        <w:tblW w:w="5000" w:type="pct"/>
        <w:tblLook w:val="04A0" w:firstRow="1" w:lastRow="0" w:firstColumn="1" w:lastColumn="0" w:noHBand="0" w:noVBand="1"/>
      </w:tblPr>
      <w:tblGrid>
        <w:gridCol w:w="6628"/>
        <w:gridCol w:w="2614"/>
      </w:tblGrid>
      <w:tr w:rsidR="00825200" w:rsidRPr="00E97B2B" w14:paraId="03F77259" w14:textId="77777777" w:rsidTr="00A17C5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586" w:type="pct"/>
          </w:tcPr>
          <w:p w14:paraId="1E2A34CB" w14:textId="77777777" w:rsidR="00825200" w:rsidRPr="00E97B2B" w:rsidRDefault="00825200" w:rsidP="00E97B2B">
            <w:r w:rsidRPr="00E97B2B">
              <w:t>Dosage form</w:t>
            </w:r>
          </w:p>
        </w:tc>
        <w:tc>
          <w:tcPr>
            <w:tcW w:w="1414" w:type="pct"/>
          </w:tcPr>
          <w:p w14:paraId="543803D2" w14:textId="77777777" w:rsidR="00825200" w:rsidRPr="00E97B2B" w:rsidRDefault="00825200" w:rsidP="00E97B2B">
            <w:pPr>
              <w:cnfStyle w:val="100000000000" w:firstRow="1" w:lastRow="0" w:firstColumn="0" w:lastColumn="0" w:oddVBand="0" w:evenVBand="0" w:oddHBand="0" w:evenHBand="0" w:firstRowFirstColumn="0" w:firstRowLastColumn="0" w:lastRowFirstColumn="0" w:lastRowLastColumn="0"/>
            </w:pPr>
            <w:r w:rsidRPr="00E97B2B">
              <w:t>ARTG</w:t>
            </w:r>
            <w:r w:rsidR="00D517F6">
              <w:t xml:space="preserve"> number</w:t>
            </w:r>
          </w:p>
        </w:tc>
      </w:tr>
      <w:tr w:rsidR="00825200" w:rsidRPr="00E97B2B" w14:paraId="7C019A2E" w14:textId="77777777" w:rsidTr="00E05703">
        <w:tc>
          <w:tcPr>
            <w:cnfStyle w:val="001000000000" w:firstRow="0" w:lastRow="0" w:firstColumn="1" w:lastColumn="0" w:oddVBand="0" w:evenVBand="0" w:oddHBand="0" w:evenHBand="0" w:firstRowFirstColumn="0" w:firstRowLastColumn="0" w:lastRowFirstColumn="0" w:lastRowLastColumn="0"/>
            <w:tcW w:w="3586" w:type="pct"/>
          </w:tcPr>
          <w:p w14:paraId="46EA78C1" w14:textId="77777777" w:rsidR="00825200" w:rsidRPr="00E97B2B" w:rsidRDefault="007C6D8D" w:rsidP="00E97B2B">
            <w:r w:rsidRPr="00E97B2B">
              <w:t>Tracleer</w:t>
            </w:r>
            <w:r w:rsidR="00825200" w:rsidRPr="00E97B2B">
              <w:t xml:space="preserve"> bosentan 62.</w:t>
            </w:r>
            <w:r w:rsidRPr="00E97B2B">
              <w:t>5 mg</w:t>
            </w:r>
            <w:r w:rsidR="00825200" w:rsidRPr="00E97B2B">
              <w:t xml:space="preserve"> (as monohydrate) tablet bottle</w:t>
            </w:r>
          </w:p>
        </w:tc>
        <w:tc>
          <w:tcPr>
            <w:tcW w:w="1414" w:type="pct"/>
          </w:tcPr>
          <w:p w14:paraId="2C275556" w14:textId="77777777" w:rsidR="00825200" w:rsidRPr="00E97B2B" w:rsidRDefault="00825200" w:rsidP="00E97B2B">
            <w:pPr>
              <w:cnfStyle w:val="000000000000" w:firstRow="0" w:lastRow="0" w:firstColumn="0" w:lastColumn="0" w:oddVBand="0" w:evenVBand="0" w:oddHBand="0" w:evenHBand="0" w:firstRowFirstColumn="0" w:firstRowLastColumn="0" w:lastRowFirstColumn="0" w:lastRowLastColumn="0"/>
            </w:pPr>
            <w:r w:rsidRPr="00E97B2B">
              <w:t>91919</w:t>
            </w:r>
          </w:p>
        </w:tc>
      </w:tr>
      <w:tr w:rsidR="00825200" w:rsidRPr="00E97B2B" w14:paraId="218A2F36" w14:textId="77777777" w:rsidTr="00E05703">
        <w:tc>
          <w:tcPr>
            <w:cnfStyle w:val="001000000000" w:firstRow="0" w:lastRow="0" w:firstColumn="1" w:lastColumn="0" w:oddVBand="0" w:evenVBand="0" w:oddHBand="0" w:evenHBand="0" w:firstRowFirstColumn="0" w:firstRowLastColumn="0" w:lastRowFirstColumn="0" w:lastRowLastColumn="0"/>
            <w:tcW w:w="3586" w:type="pct"/>
          </w:tcPr>
          <w:p w14:paraId="6484E406" w14:textId="77777777" w:rsidR="00825200" w:rsidRPr="00E97B2B" w:rsidRDefault="007C6D8D" w:rsidP="00E97B2B">
            <w:r w:rsidRPr="00E97B2B">
              <w:t>Tracleer</w:t>
            </w:r>
            <w:r w:rsidR="00825200" w:rsidRPr="00E97B2B">
              <w:t xml:space="preserve"> bosentan 12</w:t>
            </w:r>
            <w:r w:rsidRPr="00E97B2B">
              <w:t>5 mg</w:t>
            </w:r>
            <w:r w:rsidR="00825200" w:rsidRPr="00E97B2B">
              <w:t xml:space="preserve"> (as monohydrate) tablet bottle</w:t>
            </w:r>
          </w:p>
        </w:tc>
        <w:tc>
          <w:tcPr>
            <w:tcW w:w="1414" w:type="pct"/>
          </w:tcPr>
          <w:p w14:paraId="592CAA32" w14:textId="77777777" w:rsidR="00825200" w:rsidRPr="00E97B2B" w:rsidRDefault="00825200" w:rsidP="00E97B2B">
            <w:pPr>
              <w:cnfStyle w:val="000000000000" w:firstRow="0" w:lastRow="0" w:firstColumn="0" w:lastColumn="0" w:oddVBand="0" w:evenVBand="0" w:oddHBand="0" w:evenHBand="0" w:firstRowFirstColumn="0" w:firstRowLastColumn="0" w:lastRowFirstColumn="0" w:lastRowLastColumn="0"/>
            </w:pPr>
            <w:r w:rsidRPr="00E97B2B">
              <w:t>91920</w:t>
            </w:r>
          </w:p>
        </w:tc>
      </w:tr>
    </w:tbl>
    <w:p w14:paraId="4D41E56F" w14:textId="77777777" w:rsidR="00825200" w:rsidRDefault="00825200" w:rsidP="00825200">
      <w:pPr>
        <w:pStyle w:val="Heading3"/>
      </w:pPr>
      <w:bookmarkStart w:id="17" w:name="_Toc473883967"/>
      <w:bookmarkStart w:id="18" w:name="_Toc519773884"/>
      <w:r>
        <w:t>Dosage and administration</w:t>
      </w:r>
      <w:bookmarkEnd w:id="17"/>
      <w:bookmarkEnd w:id="18"/>
    </w:p>
    <w:p w14:paraId="740BC3B7" w14:textId="77777777" w:rsidR="00825200" w:rsidRDefault="00825200" w:rsidP="00482EC1">
      <w:pPr>
        <w:rPr>
          <w:lang w:eastAsia="ja-JP"/>
        </w:rPr>
      </w:pPr>
      <w:r>
        <w:rPr>
          <w:lang w:eastAsia="ja-JP"/>
        </w:rPr>
        <w:t xml:space="preserve">The </w:t>
      </w:r>
      <w:r w:rsidR="007C6D8D">
        <w:rPr>
          <w:lang w:eastAsia="ja-JP"/>
        </w:rPr>
        <w:t>sponsor</w:t>
      </w:r>
      <w:r>
        <w:rPr>
          <w:lang w:eastAsia="ja-JP"/>
        </w:rPr>
        <w:t xml:space="preserve"> has proposed the following instructions for the new formulation:</w:t>
      </w:r>
    </w:p>
    <w:p w14:paraId="02602F02" w14:textId="77777777" w:rsidR="00825200" w:rsidRPr="00482EC1" w:rsidRDefault="00825200" w:rsidP="00825200">
      <w:pPr>
        <w:ind w:left="720"/>
        <w:rPr>
          <w:szCs w:val="20"/>
          <w:lang w:eastAsia="ja-JP"/>
        </w:rPr>
      </w:pPr>
      <w:r w:rsidRPr="00482EC1">
        <w:rPr>
          <w:szCs w:val="20"/>
          <w:lang w:eastAsia="ja-JP"/>
        </w:rPr>
        <w:t>The dispersible tablets should be added to a little water on a spoon, and the liquid stirred to aid dissolution, before swallowing. A little more water should be added to the spoon and swallowed by the patient, to make sure all of the medicine has been administered. If possible, a glass of water should be taken to ensure that all the medicine has been ingested. If necessary the dispersible tablet can be divided by breaking it along the lines cut into the surface.</w:t>
      </w:r>
    </w:p>
    <w:p w14:paraId="3EF80604" w14:textId="77777777" w:rsidR="00825200" w:rsidRPr="00482EC1" w:rsidRDefault="00825200" w:rsidP="00825200">
      <w:pPr>
        <w:ind w:left="720"/>
        <w:rPr>
          <w:szCs w:val="20"/>
          <w:lang w:eastAsia="ja-JP"/>
        </w:rPr>
      </w:pPr>
      <w:r w:rsidRPr="00482EC1">
        <w:rPr>
          <w:szCs w:val="20"/>
          <w:lang w:eastAsia="ja-JP"/>
        </w:rPr>
        <w:t xml:space="preserve">The dispersible tablet has been studied only in paediatric patients. A pharmacokinetic comparison between the dispersible and the film coated tablet indicated slightly lower exposure to bosentan with the dispersible tablet in adult subjects (see </w:t>
      </w:r>
      <w:r w:rsidR="00D80DA1" w:rsidRPr="00482EC1">
        <w:rPr>
          <w:szCs w:val="20"/>
          <w:lang w:eastAsia="ja-JP"/>
        </w:rPr>
        <w:t>pharmacokinetics</w:t>
      </w:r>
      <w:r w:rsidRPr="00482EC1">
        <w:rPr>
          <w:szCs w:val="20"/>
          <w:lang w:eastAsia="ja-JP"/>
        </w:rPr>
        <w:t xml:space="preserve">). Thus its use in adults should be reserved for patients who cannot take the </w:t>
      </w:r>
      <w:r w:rsidR="007C6D8D">
        <w:rPr>
          <w:szCs w:val="20"/>
          <w:lang w:eastAsia="ja-JP"/>
        </w:rPr>
        <w:t>film coated</w:t>
      </w:r>
      <w:r w:rsidRPr="00482EC1">
        <w:rPr>
          <w:szCs w:val="20"/>
          <w:lang w:eastAsia="ja-JP"/>
        </w:rPr>
        <w:t xml:space="preserve"> tablet.</w:t>
      </w:r>
    </w:p>
    <w:p w14:paraId="4C0B9A53" w14:textId="77777777" w:rsidR="00825200" w:rsidRDefault="00825200" w:rsidP="00482EC1">
      <w:pPr>
        <w:rPr>
          <w:lang w:eastAsia="ja-JP"/>
        </w:rPr>
      </w:pPr>
      <w:r>
        <w:rPr>
          <w:lang w:eastAsia="ja-JP"/>
        </w:rPr>
        <w:t xml:space="preserve">The </w:t>
      </w:r>
      <w:r w:rsidR="007C6D8D">
        <w:rPr>
          <w:lang w:eastAsia="ja-JP"/>
        </w:rPr>
        <w:t>sponsor</w:t>
      </w:r>
      <w:r>
        <w:rPr>
          <w:lang w:eastAsia="ja-JP"/>
        </w:rPr>
        <w:t xml:space="preserve"> has proposed extending the dosing instructions to include patients between one and three years of age. The following instructions for dose adjustment in children have been proposed:</w:t>
      </w:r>
    </w:p>
    <w:p w14:paraId="742C4EF2" w14:textId="77777777" w:rsidR="00825200" w:rsidRPr="00482EC1" w:rsidRDefault="00825200" w:rsidP="00825200">
      <w:pPr>
        <w:ind w:left="720"/>
        <w:rPr>
          <w:sz w:val="24"/>
          <w:lang w:eastAsia="ja-JP"/>
        </w:rPr>
      </w:pPr>
      <w:r w:rsidRPr="00482EC1">
        <w:rPr>
          <w:szCs w:val="20"/>
          <w:lang w:eastAsia="ja-JP"/>
        </w:rPr>
        <w:t>For paediatric patients aged 1 year or older, the recommended starting and maintenance dose of T</w:t>
      </w:r>
      <w:r w:rsidR="007C6D8D" w:rsidRPr="00482EC1">
        <w:rPr>
          <w:szCs w:val="20"/>
          <w:lang w:eastAsia="ja-JP"/>
        </w:rPr>
        <w:t>racleer</w:t>
      </w:r>
      <w:r w:rsidRPr="00482EC1">
        <w:rPr>
          <w:szCs w:val="20"/>
          <w:lang w:eastAsia="ja-JP"/>
        </w:rPr>
        <w:t xml:space="preserve"> is 2 mg/kg morning and evening. There is only limited clinical experience in paediatric patients under 1 year of age.</w:t>
      </w:r>
    </w:p>
    <w:p w14:paraId="62DD9039" w14:textId="77777777" w:rsidR="00825200" w:rsidRDefault="00825200" w:rsidP="00482EC1">
      <w:pPr>
        <w:rPr>
          <w:lang w:eastAsia="ja-JP"/>
        </w:rPr>
      </w:pPr>
      <w:r>
        <w:rPr>
          <w:lang w:eastAsia="ja-JP"/>
        </w:rPr>
        <w:t>These instructions would replace the current text in this section outlining the dosing instructions for children with pulmonary arterial hypertension (PAH):</w:t>
      </w:r>
    </w:p>
    <w:p w14:paraId="68F2D3B7" w14:textId="77777777" w:rsidR="00825200" w:rsidRPr="00482EC1" w:rsidRDefault="00825200" w:rsidP="00825200">
      <w:pPr>
        <w:ind w:left="720"/>
        <w:rPr>
          <w:szCs w:val="20"/>
          <w:lang w:eastAsia="ja-JP"/>
        </w:rPr>
      </w:pPr>
      <w:r w:rsidRPr="00482EC1">
        <w:rPr>
          <w:szCs w:val="20"/>
          <w:lang w:eastAsia="ja-JP"/>
        </w:rPr>
        <w:t xml:space="preserve">There is limited experience with the use of </w:t>
      </w:r>
      <w:r w:rsidR="007C6D8D">
        <w:rPr>
          <w:szCs w:val="20"/>
          <w:lang w:eastAsia="ja-JP"/>
        </w:rPr>
        <w:t>Tracleer</w:t>
      </w:r>
      <w:r w:rsidRPr="00482EC1">
        <w:rPr>
          <w:szCs w:val="20"/>
          <w:lang w:eastAsia="ja-JP"/>
        </w:rPr>
        <w:t xml:space="preserve"> in children based on a pharmacokinetic study conducted in 19 children with PAH (see </w:t>
      </w:r>
      <w:r w:rsidR="00D80DA1" w:rsidRPr="00482EC1">
        <w:rPr>
          <w:szCs w:val="20"/>
          <w:lang w:eastAsia="ja-JP"/>
        </w:rPr>
        <w:t>pharmacokinetics</w:t>
      </w:r>
      <w:r w:rsidRPr="00482EC1">
        <w:rPr>
          <w:szCs w:val="20"/>
          <w:lang w:eastAsia="ja-JP"/>
        </w:rPr>
        <w:t xml:space="preserve"> and </w:t>
      </w:r>
      <w:r w:rsidR="00D80DA1" w:rsidRPr="00482EC1">
        <w:rPr>
          <w:szCs w:val="20"/>
          <w:lang w:eastAsia="ja-JP"/>
        </w:rPr>
        <w:t>clinical trials</w:t>
      </w:r>
      <w:r w:rsidRPr="00482EC1">
        <w:rPr>
          <w:szCs w:val="20"/>
          <w:lang w:eastAsia="ja-JP"/>
        </w:rPr>
        <w:t xml:space="preserve">). The pharmacokinetic findings showed that systemic exposure in children with PAH was lower than in adults with PAH. Although the number of patients studied in each dose group was generally insufficient to establish the optimal dosing regimen, the following doses </w:t>
      </w:r>
      <w:r w:rsidR="007C6D8D">
        <w:rPr>
          <w:szCs w:val="20"/>
          <w:lang w:eastAsia="ja-JP"/>
        </w:rPr>
        <w:t xml:space="preserve">(Table 2) </w:t>
      </w:r>
      <w:r w:rsidRPr="00482EC1">
        <w:rPr>
          <w:szCs w:val="20"/>
          <w:lang w:eastAsia="ja-JP"/>
        </w:rPr>
        <w:t>are recommended in</w:t>
      </w:r>
      <w:r w:rsidR="00E97B2B">
        <w:rPr>
          <w:szCs w:val="20"/>
          <w:lang w:eastAsia="ja-JP"/>
        </w:rPr>
        <w:t xml:space="preserve"> children aged 3 years and over.</w:t>
      </w:r>
    </w:p>
    <w:p w14:paraId="46B0FABB" w14:textId="77777777" w:rsidR="00825200" w:rsidRDefault="00825200" w:rsidP="00825200">
      <w:pPr>
        <w:pStyle w:val="Tabletitle"/>
        <w:rPr>
          <w:lang w:eastAsia="ja-JP"/>
        </w:rPr>
      </w:pPr>
      <w:r>
        <w:rPr>
          <w:lang w:eastAsia="ja-JP"/>
        </w:rPr>
        <w:t>Table 2: Dosage regimen</w:t>
      </w:r>
      <w:r w:rsidR="007C6D8D">
        <w:rPr>
          <w:lang w:eastAsia="ja-JP"/>
        </w:rPr>
        <w:t xml:space="preserve"> recommended for children aged 3 year and over</w:t>
      </w:r>
    </w:p>
    <w:p w14:paraId="0E8FBD51" w14:textId="77777777" w:rsidR="00825200" w:rsidRDefault="00825200" w:rsidP="00825200">
      <w:pPr>
        <w:rPr>
          <w:lang w:eastAsia="ja-JP"/>
        </w:rPr>
      </w:pPr>
      <w:r>
        <w:rPr>
          <w:noProof/>
          <w:lang w:eastAsia="en-AU"/>
        </w:rPr>
        <w:drawing>
          <wp:inline distT="0" distB="0" distL="0" distR="0" wp14:anchorId="3F3EED36" wp14:editId="6C1F0F19">
            <wp:extent cx="2581275" cy="1905000"/>
            <wp:effectExtent l="0" t="0" r="9525" b="0"/>
            <wp:docPr id="3" name="Picture 3" descr="Table 2: Dosage regimen recommended for children aged 3 year and 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81275" cy="1905000"/>
                    </a:xfrm>
                    <a:prstGeom prst="rect">
                      <a:avLst/>
                    </a:prstGeom>
                  </pic:spPr>
                </pic:pic>
              </a:graphicData>
            </a:graphic>
          </wp:inline>
        </w:drawing>
      </w:r>
    </w:p>
    <w:p w14:paraId="3B5E76B0" w14:textId="77777777" w:rsidR="00825200" w:rsidRPr="00825200" w:rsidRDefault="00825200" w:rsidP="00825200">
      <w:pPr>
        <w:pStyle w:val="Heading3"/>
      </w:pPr>
      <w:bookmarkStart w:id="19" w:name="_Toc473883970"/>
      <w:bookmarkStart w:id="20" w:name="_Toc519773885"/>
      <w:r w:rsidRPr="00825200">
        <w:lastRenderedPageBreak/>
        <w:t>Information on the condition being treated</w:t>
      </w:r>
      <w:bookmarkEnd w:id="19"/>
      <w:bookmarkEnd w:id="20"/>
    </w:p>
    <w:p w14:paraId="31FC0280" w14:textId="77777777" w:rsidR="00825200" w:rsidRDefault="00825200" w:rsidP="00482EC1">
      <w:pPr>
        <w:rPr>
          <w:lang w:eastAsia="ja-JP"/>
        </w:rPr>
      </w:pPr>
      <w:r>
        <w:rPr>
          <w:lang w:eastAsia="ja-JP"/>
        </w:rPr>
        <w:t xml:space="preserve">Pulmonary hypertension (PH) refers to elevated pulmonary arterial pressure and </w:t>
      </w:r>
      <w:r w:rsidRPr="00E93BB1">
        <w:rPr>
          <w:lang w:eastAsia="ja-JP"/>
        </w:rPr>
        <w:t xml:space="preserve">is defined by a mean pulmonary arterial pressure (mPAP) </w:t>
      </w:r>
      <w:r w:rsidR="007C6D8D">
        <w:rPr>
          <w:lang w:eastAsia="ja-JP"/>
        </w:rPr>
        <w:t xml:space="preserve">≥ </w:t>
      </w:r>
      <w:r w:rsidRPr="00E93BB1">
        <w:rPr>
          <w:lang w:eastAsia="ja-JP"/>
        </w:rPr>
        <w:t>25 mmHg at rest</w:t>
      </w:r>
      <w:r>
        <w:rPr>
          <w:lang w:eastAsia="ja-JP"/>
        </w:rPr>
        <w:t xml:space="preserve"> (normal mPAP is </w:t>
      </w:r>
      <w:r w:rsidR="007C6D8D">
        <w:rPr>
          <w:lang w:eastAsia="ja-JP"/>
        </w:rPr>
        <w:t>≤</w:t>
      </w:r>
      <w:r>
        <w:rPr>
          <w:lang w:eastAsia="ja-JP"/>
        </w:rPr>
        <w:t xml:space="preserve"> 20 mmHg). PH may be due to a primary elevation of pressure in the pulmonary arterial system or secondary elevations of pressure in the pulmonary venous and pulmonary capillary systems. The World Health Organization (WHO) classifies PH into five groups based on aetiology and mechanism. Group 1 refers to PAH which consists of sporadic idiopathic PAH (IPAH), familial PAH and PAH due to disease that localise to the small pulmonary muscular arterioles.</w:t>
      </w:r>
      <w:r>
        <w:rPr>
          <w:rStyle w:val="FootnoteReference"/>
          <w:lang w:eastAsia="ja-JP"/>
        </w:rPr>
        <w:footnoteReference w:id="1"/>
      </w:r>
      <w:r>
        <w:rPr>
          <w:lang w:eastAsia="ja-JP"/>
        </w:rPr>
        <w:t xml:space="preserve"> </w:t>
      </w:r>
    </w:p>
    <w:p w14:paraId="2BF8A3B2" w14:textId="77777777" w:rsidR="007C6D8D" w:rsidRDefault="00825200" w:rsidP="00482EC1">
      <w:r>
        <w:rPr>
          <w:lang w:eastAsia="ja-JP"/>
        </w:rPr>
        <w:t>As outlined in the</w:t>
      </w:r>
      <w:r w:rsidRPr="008E3D84">
        <w:t xml:space="preserve"> </w:t>
      </w:r>
      <w:r>
        <w:t xml:space="preserve">TGA adopted guidance document </w:t>
      </w:r>
      <w:r w:rsidRPr="008E3D84">
        <w:t>EMA/CHMP/213972/2010</w:t>
      </w:r>
      <w:r>
        <w:t>, the most common forms of paediatric PAH are IPAH and associated PAH. The guidance states that</w:t>
      </w:r>
      <w:r w:rsidR="007C6D8D">
        <w:t>:</w:t>
      </w:r>
    </w:p>
    <w:p w14:paraId="7CACAA2B" w14:textId="77777777" w:rsidR="007C6D8D" w:rsidRDefault="00825200" w:rsidP="00825200">
      <w:pPr>
        <w:ind w:left="720"/>
        <w:rPr>
          <w:szCs w:val="20"/>
        </w:rPr>
      </w:pPr>
      <w:r w:rsidRPr="00482EC1">
        <w:rPr>
          <w:szCs w:val="20"/>
        </w:rPr>
        <w:t xml:space="preserve">Although the definition of PAH is basically the same in both populations, extrapolation from adults to children is not straightforward for several reasons: 1) The prevalence of the subtypes of PAH is different among both populations </w:t>
      </w:r>
      <w:r w:rsidR="007C6D8D">
        <w:rPr>
          <w:szCs w:val="20"/>
        </w:rPr>
        <w:t>for example</w:t>
      </w:r>
      <w:r w:rsidRPr="00482EC1">
        <w:rPr>
          <w:szCs w:val="20"/>
        </w:rPr>
        <w:t xml:space="preserve"> the idiopathic form IPAH is more prevalent in adults, whilst PAH associated with congenital heart disease is more frequent in children; 2) the anticipated lifespan of children is longer and 3) before the advent of </w:t>
      </w:r>
      <w:r w:rsidR="007C6D8D">
        <w:rPr>
          <w:szCs w:val="20"/>
        </w:rPr>
        <w:t>long term</w:t>
      </w:r>
      <w:r w:rsidRPr="00482EC1">
        <w:rPr>
          <w:szCs w:val="20"/>
        </w:rPr>
        <w:t xml:space="preserve"> vasodilator/anti-proliferative therapy, the natural history remained significantly worse for children compared to adult patients. The choice of endpoints that are relevant and feasible to demonstrate efficacy in the paediatric population is also problematic</w:t>
      </w:r>
      <w:r w:rsidR="007C6D8D">
        <w:rPr>
          <w:szCs w:val="20"/>
        </w:rPr>
        <w:t>.</w:t>
      </w:r>
    </w:p>
    <w:p w14:paraId="070930E8" w14:textId="77777777" w:rsidR="00825200" w:rsidRDefault="00825200" w:rsidP="00482EC1">
      <w:pPr>
        <w:rPr>
          <w:lang w:eastAsia="ja-JP"/>
        </w:rPr>
      </w:pPr>
      <w:r>
        <w:rPr>
          <w:lang w:eastAsia="ja-JP"/>
        </w:rPr>
        <w:t>The guidance document states that persistent pulmonary hypertension of the newborn (PPHN) is clinically classified with PAH. PPHN occurs when pulmonary vascular resistance remains abnormally elevated after birth, resulting in right to left shunting of blood through foetal circulatory pathways and hypoxaemia.</w:t>
      </w:r>
      <w:r>
        <w:rPr>
          <w:rStyle w:val="FootnoteReference"/>
          <w:lang w:eastAsia="ja-JP"/>
        </w:rPr>
        <w:footnoteReference w:id="2"/>
      </w:r>
    </w:p>
    <w:p w14:paraId="06A5DC5F" w14:textId="77777777" w:rsidR="00825200" w:rsidRPr="00825200" w:rsidRDefault="00825200" w:rsidP="00825200">
      <w:pPr>
        <w:pStyle w:val="Heading3"/>
      </w:pPr>
      <w:bookmarkStart w:id="21" w:name="_Toc473883971"/>
      <w:bookmarkStart w:id="22" w:name="_Toc519773886"/>
      <w:r w:rsidRPr="00825200">
        <w:t>Current treatment options</w:t>
      </w:r>
      <w:bookmarkEnd w:id="21"/>
      <w:bookmarkEnd w:id="22"/>
    </w:p>
    <w:p w14:paraId="2403E2CF" w14:textId="5028506D" w:rsidR="00825200" w:rsidRDefault="00825200" w:rsidP="00482EC1">
      <w:pPr>
        <w:rPr>
          <w:lang w:eastAsia="ja-JP"/>
        </w:rPr>
      </w:pPr>
      <w:r>
        <w:rPr>
          <w:lang w:eastAsia="ja-JP"/>
        </w:rPr>
        <w:t>Therapy for PH is usually directed at the underlying cause but there are no effective therapies for the causes of most types of Group 1 PAH.</w:t>
      </w:r>
      <w:r>
        <w:rPr>
          <w:rStyle w:val="FootnoteReference"/>
          <w:lang w:eastAsia="ja-JP"/>
        </w:rPr>
        <w:footnoteReference w:id="3"/>
      </w:r>
      <w:r>
        <w:rPr>
          <w:lang w:eastAsia="ja-JP"/>
        </w:rPr>
        <w:t xml:space="preserve"> As outlined in the EU Guideline on the Clinical Investigations of Medicinal Products for the Treatment of Pulmonary Arterial Hypertension, conventional treatments for PAH include calcium channel blockers, anticoagulants, diuretics and oxygen. For more advanced cases disease specific therapeutic options include prostanoids, endothelin receptor antagonists and phosphodiesterase-5 inhibitors. Since the guideline was published, soluble guanylate cyclase stimulators have been registered as a therapy for PAH.</w:t>
      </w:r>
    </w:p>
    <w:p w14:paraId="4420DED0" w14:textId="77777777" w:rsidR="00825200" w:rsidRDefault="00825200" w:rsidP="00482EC1">
      <w:pPr>
        <w:rPr>
          <w:lang w:eastAsia="ja-JP"/>
        </w:rPr>
      </w:pPr>
      <w:r>
        <w:rPr>
          <w:lang w:eastAsia="ja-JP"/>
        </w:rPr>
        <w:t>The management of PPHN consists of general supportive cardiorespiratory care, the use of vasodilatory agents, extracorporeal membrane oxygenation (ECMO) and specific treatments targeting the associated parenchymal lung disease.</w:t>
      </w:r>
      <w:r>
        <w:rPr>
          <w:rStyle w:val="FootnoteReference"/>
          <w:lang w:eastAsia="ja-JP"/>
        </w:rPr>
        <w:footnoteReference w:id="4"/>
      </w:r>
    </w:p>
    <w:p w14:paraId="3C10B392" w14:textId="77777777" w:rsidR="00586F98" w:rsidRDefault="00586F98" w:rsidP="006B4C50">
      <w:pPr>
        <w:pStyle w:val="Heading2"/>
      </w:pPr>
      <w:bookmarkStart w:id="23" w:name="_Toc519773887"/>
      <w:r w:rsidRPr="0094614A">
        <w:lastRenderedPageBreak/>
        <w:t>Clinical rationale</w:t>
      </w:r>
      <w:bookmarkEnd w:id="23"/>
    </w:p>
    <w:p w14:paraId="67C5B1FE" w14:textId="77777777" w:rsidR="007C6D8D" w:rsidRDefault="00825200" w:rsidP="00482EC1">
      <w:pPr>
        <w:rPr>
          <w:lang w:eastAsia="ja-JP"/>
        </w:rPr>
      </w:pPr>
      <w:r>
        <w:rPr>
          <w:lang w:eastAsia="ja-JP"/>
        </w:rPr>
        <w:t xml:space="preserve">At the time of the original marketing authorisation of Tracleer in the EU, an agreement was made with the Committee for Proprietary Medicinal Products (CPMP) that the </w:t>
      </w:r>
      <w:r w:rsidR="007C6D8D">
        <w:rPr>
          <w:lang w:eastAsia="ja-JP"/>
        </w:rPr>
        <w:t>sponsor</w:t>
      </w:r>
      <w:r>
        <w:rPr>
          <w:lang w:eastAsia="ja-JP"/>
        </w:rPr>
        <w:t xml:space="preserve"> would investigate the use of bosentan in paediatric patients with PAH, due to the need for therapy in children</w:t>
      </w:r>
      <w:r w:rsidR="007C6D8D">
        <w:rPr>
          <w:lang w:eastAsia="ja-JP"/>
        </w:rPr>
        <w:t>.</w:t>
      </w:r>
    </w:p>
    <w:p w14:paraId="264A41D4" w14:textId="77777777" w:rsidR="007C6D8D" w:rsidRDefault="00825200" w:rsidP="00482EC1">
      <w:pPr>
        <w:rPr>
          <w:lang w:eastAsia="ja-JP"/>
        </w:rPr>
      </w:pPr>
      <w:r>
        <w:rPr>
          <w:lang w:eastAsia="ja-JP"/>
        </w:rPr>
        <w:t xml:space="preserve">The </w:t>
      </w:r>
      <w:r w:rsidR="007C6D8D">
        <w:rPr>
          <w:lang w:eastAsia="ja-JP"/>
        </w:rPr>
        <w:t>sponsor</w:t>
      </w:r>
      <w:r>
        <w:rPr>
          <w:lang w:eastAsia="ja-JP"/>
        </w:rPr>
        <w:t xml:space="preserve"> studied the use of bosentan in children in </w:t>
      </w:r>
      <w:r w:rsidR="00E77015">
        <w:rPr>
          <w:lang w:eastAsia="ja-JP"/>
        </w:rPr>
        <w:t>Study</w:t>
      </w:r>
      <w:r>
        <w:rPr>
          <w:lang w:eastAsia="ja-JP"/>
        </w:rPr>
        <w:t xml:space="preserve"> AC-052-356 (BREATHE-3) using the approved tablet formulation of Tracleer. BREATHE-3 showed a lower systemic exposure in young children compared to the exposure in adults treated with 125 mg </w:t>
      </w:r>
      <w:r w:rsidR="007C6D8D">
        <w:rPr>
          <w:lang w:eastAsia="ja-JP"/>
        </w:rPr>
        <w:t>BD</w:t>
      </w:r>
      <w:r>
        <w:rPr>
          <w:lang w:eastAsia="ja-JP"/>
        </w:rPr>
        <w:t>. Data from this study were submitted to the CHMP for inclusion in the Tracleer Summary of Product Characteristics (SmPC). The CHMP was of the opinion that data from BREATHE-3 were insufficient to support a therapeutic indication in children for two main reasons</w:t>
      </w:r>
      <w:r w:rsidR="007C6D8D">
        <w:rPr>
          <w:lang w:eastAsia="ja-JP"/>
        </w:rPr>
        <w:t>:</w:t>
      </w:r>
    </w:p>
    <w:p w14:paraId="09CC32B8" w14:textId="77777777" w:rsidR="007C6D8D" w:rsidRDefault="00825200" w:rsidP="00482EC1">
      <w:pPr>
        <w:pStyle w:val="Numberbullet0"/>
      </w:pPr>
      <w:r w:rsidRPr="00482EC1">
        <w:t>The number of paediatric patients exposed was considered too small</w:t>
      </w:r>
      <w:r w:rsidR="007C6D8D">
        <w:t>.</w:t>
      </w:r>
    </w:p>
    <w:p w14:paraId="79C26201" w14:textId="77777777" w:rsidR="007C6D8D" w:rsidRDefault="00825200" w:rsidP="00482EC1">
      <w:pPr>
        <w:pStyle w:val="Numberbullet0"/>
      </w:pPr>
      <w:r w:rsidRPr="00482EC1">
        <w:t>The dose of bosentan used may have been suboptimal since mean plasma concentrations of bosentan obtained in children were lower than those observed in adult PAH patients</w:t>
      </w:r>
      <w:r w:rsidR="007C6D8D">
        <w:t>.</w:t>
      </w:r>
    </w:p>
    <w:p w14:paraId="3136C42A" w14:textId="77777777" w:rsidR="00825200" w:rsidRDefault="00825200" w:rsidP="00482EC1">
      <w:pPr>
        <w:rPr>
          <w:lang w:eastAsia="ja-JP"/>
        </w:rPr>
      </w:pPr>
      <w:r>
        <w:rPr>
          <w:lang w:eastAsia="ja-JP"/>
        </w:rPr>
        <w:t>The CHMP agreed to include the dosage information from BREATHE-3 in the SmPC.</w:t>
      </w:r>
    </w:p>
    <w:p w14:paraId="1D104638" w14:textId="35A23EB0" w:rsidR="00825200" w:rsidRPr="00BE470F" w:rsidRDefault="00825200" w:rsidP="00482EC1">
      <w:pPr>
        <w:rPr>
          <w:lang w:eastAsia="ja-JP"/>
        </w:rPr>
      </w:pPr>
      <w:r>
        <w:rPr>
          <w:lang w:eastAsia="ja-JP"/>
        </w:rPr>
        <w:t xml:space="preserve">The </w:t>
      </w:r>
      <w:r w:rsidR="007C6D8D">
        <w:rPr>
          <w:lang w:eastAsia="ja-JP"/>
        </w:rPr>
        <w:t>sponsor</w:t>
      </w:r>
      <w:r>
        <w:rPr>
          <w:lang w:eastAsia="ja-JP"/>
        </w:rPr>
        <w:t xml:space="preserve"> has </w:t>
      </w:r>
      <w:r w:rsidRPr="00BE470F">
        <w:rPr>
          <w:lang w:eastAsia="ja-JP"/>
        </w:rPr>
        <w:t>developed a</w:t>
      </w:r>
      <w:r>
        <w:rPr>
          <w:lang w:eastAsia="ja-JP"/>
        </w:rPr>
        <w:t>n oral</w:t>
      </w:r>
      <w:r w:rsidRPr="00BE470F">
        <w:rPr>
          <w:lang w:eastAsia="ja-JP"/>
        </w:rPr>
        <w:t xml:space="preserve"> paediatric formulation of bosentan </w:t>
      </w:r>
      <w:r>
        <w:rPr>
          <w:lang w:eastAsia="ja-JP"/>
        </w:rPr>
        <w:t>to facilitate</w:t>
      </w:r>
      <w:r w:rsidRPr="00BE470F">
        <w:rPr>
          <w:lang w:eastAsia="ja-JP"/>
        </w:rPr>
        <w:t xml:space="preserve"> </w:t>
      </w:r>
      <w:r w:rsidR="007C6D8D">
        <w:rPr>
          <w:lang w:eastAsia="ja-JP"/>
        </w:rPr>
        <w:t>weight appropriate</w:t>
      </w:r>
      <w:r w:rsidRPr="00BE470F">
        <w:rPr>
          <w:lang w:eastAsia="ja-JP"/>
        </w:rPr>
        <w:t xml:space="preserve"> dos</w:t>
      </w:r>
      <w:r>
        <w:rPr>
          <w:lang w:eastAsia="ja-JP"/>
        </w:rPr>
        <w:t>ing</w:t>
      </w:r>
      <w:r w:rsidRPr="00BE470F">
        <w:rPr>
          <w:lang w:eastAsia="ja-JP"/>
        </w:rPr>
        <w:t xml:space="preserve"> </w:t>
      </w:r>
      <w:r>
        <w:rPr>
          <w:lang w:eastAsia="ja-JP"/>
        </w:rPr>
        <w:t xml:space="preserve">in children with </w:t>
      </w:r>
      <w:r w:rsidRPr="00BE470F">
        <w:rPr>
          <w:lang w:eastAsia="ja-JP"/>
        </w:rPr>
        <w:t>PAH.</w:t>
      </w:r>
      <w:r>
        <w:rPr>
          <w:lang w:eastAsia="ja-JP"/>
        </w:rPr>
        <w:t xml:space="preserve"> The </w:t>
      </w:r>
      <w:r w:rsidR="007C6D8D">
        <w:rPr>
          <w:lang w:eastAsia="ja-JP"/>
        </w:rPr>
        <w:t>sponsor</w:t>
      </w:r>
      <w:r>
        <w:rPr>
          <w:lang w:eastAsia="ja-JP"/>
        </w:rPr>
        <w:t xml:space="preserve"> and</w:t>
      </w:r>
      <w:r w:rsidRPr="00DE520B">
        <w:rPr>
          <w:lang w:eastAsia="ja-JP"/>
        </w:rPr>
        <w:t xml:space="preserve"> the </w:t>
      </w:r>
      <w:r>
        <w:rPr>
          <w:lang w:eastAsia="ja-JP"/>
        </w:rPr>
        <w:t>EMA</w:t>
      </w:r>
      <w:r w:rsidRPr="00DE520B">
        <w:rPr>
          <w:lang w:eastAsia="ja-JP"/>
        </w:rPr>
        <w:t xml:space="preserve"> reach</w:t>
      </w:r>
      <w:r>
        <w:rPr>
          <w:lang w:eastAsia="ja-JP"/>
        </w:rPr>
        <w:t>ed</w:t>
      </w:r>
      <w:r w:rsidRPr="00DE520B">
        <w:rPr>
          <w:lang w:eastAsia="ja-JP"/>
        </w:rPr>
        <w:t xml:space="preserve"> agreement on the</w:t>
      </w:r>
      <w:r>
        <w:rPr>
          <w:lang w:eastAsia="ja-JP"/>
        </w:rPr>
        <w:t xml:space="preserve"> </w:t>
      </w:r>
      <w:r w:rsidRPr="00DE520B">
        <w:rPr>
          <w:lang w:eastAsia="ja-JP"/>
        </w:rPr>
        <w:t>similarity of the disease of PAH in</w:t>
      </w:r>
      <w:r>
        <w:rPr>
          <w:lang w:eastAsia="ja-JP"/>
        </w:rPr>
        <w:t xml:space="preserve"> adults and children and on </w:t>
      </w:r>
      <w:r w:rsidRPr="00DE520B">
        <w:rPr>
          <w:lang w:eastAsia="ja-JP"/>
        </w:rPr>
        <w:t xml:space="preserve">study design </w:t>
      </w:r>
      <w:r>
        <w:rPr>
          <w:lang w:eastAsia="ja-JP"/>
        </w:rPr>
        <w:t xml:space="preserve">in order </w:t>
      </w:r>
      <w:r w:rsidRPr="00DE520B">
        <w:rPr>
          <w:lang w:eastAsia="ja-JP"/>
        </w:rPr>
        <w:t>to obtain</w:t>
      </w:r>
      <w:r>
        <w:rPr>
          <w:lang w:eastAsia="ja-JP"/>
        </w:rPr>
        <w:t xml:space="preserve"> </w:t>
      </w:r>
      <w:r w:rsidRPr="00DE520B">
        <w:rPr>
          <w:lang w:eastAsia="ja-JP"/>
        </w:rPr>
        <w:t xml:space="preserve">approval </w:t>
      </w:r>
      <w:r>
        <w:rPr>
          <w:lang w:eastAsia="ja-JP"/>
        </w:rPr>
        <w:t>for</w:t>
      </w:r>
      <w:r w:rsidRPr="00DE520B">
        <w:rPr>
          <w:lang w:eastAsia="ja-JP"/>
        </w:rPr>
        <w:t xml:space="preserve"> the indication </w:t>
      </w:r>
      <w:r>
        <w:rPr>
          <w:lang w:eastAsia="ja-JP"/>
        </w:rPr>
        <w:t>‘</w:t>
      </w:r>
      <w:r w:rsidRPr="00DE520B">
        <w:rPr>
          <w:lang w:eastAsia="ja-JP"/>
        </w:rPr>
        <w:t>treatment of PAH in children</w:t>
      </w:r>
      <w:r>
        <w:rPr>
          <w:lang w:eastAsia="ja-JP"/>
        </w:rPr>
        <w:t xml:space="preserve">’ and the paediatric </w:t>
      </w:r>
      <w:r w:rsidRPr="00DE520B">
        <w:rPr>
          <w:lang w:eastAsia="ja-JP"/>
        </w:rPr>
        <w:t xml:space="preserve">formulation. </w:t>
      </w:r>
      <w:r>
        <w:rPr>
          <w:lang w:eastAsia="ja-JP"/>
        </w:rPr>
        <w:t>The a</w:t>
      </w:r>
      <w:r w:rsidRPr="00BE470F">
        <w:rPr>
          <w:lang w:eastAsia="ja-JP"/>
        </w:rPr>
        <w:t xml:space="preserve">gencies </w:t>
      </w:r>
      <w:r>
        <w:rPr>
          <w:lang w:eastAsia="ja-JP"/>
        </w:rPr>
        <w:t xml:space="preserve">are reported to have </w:t>
      </w:r>
      <w:r w:rsidRPr="00BE470F">
        <w:rPr>
          <w:lang w:eastAsia="ja-JP"/>
        </w:rPr>
        <w:t>agreed that the pathophysiology, evolution, and progression</w:t>
      </w:r>
      <w:r>
        <w:rPr>
          <w:lang w:eastAsia="ja-JP"/>
        </w:rPr>
        <w:t xml:space="preserve"> </w:t>
      </w:r>
      <w:r w:rsidRPr="00BE470F">
        <w:rPr>
          <w:lang w:eastAsia="ja-JP"/>
        </w:rPr>
        <w:t>of idiopathic or familial PAH are similar between children and adults</w:t>
      </w:r>
      <w:r>
        <w:rPr>
          <w:lang w:eastAsia="ja-JP"/>
        </w:rPr>
        <w:t>. Therefore</w:t>
      </w:r>
      <w:r w:rsidRPr="00BE470F">
        <w:rPr>
          <w:lang w:eastAsia="ja-JP"/>
        </w:rPr>
        <w:t xml:space="preserve">, </w:t>
      </w:r>
      <w:r>
        <w:rPr>
          <w:lang w:eastAsia="ja-JP"/>
        </w:rPr>
        <w:t xml:space="preserve">the </w:t>
      </w:r>
      <w:r w:rsidRPr="00BE470F">
        <w:rPr>
          <w:lang w:eastAsia="ja-JP"/>
        </w:rPr>
        <w:t xml:space="preserve">treatment effect of bosentan could be assumed </w:t>
      </w:r>
      <w:r>
        <w:rPr>
          <w:lang w:eastAsia="ja-JP"/>
        </w:rPr>
        <w:t xml:space="preserve">to be similar across age groups </w:t>
      </w:r>
      <w:r w:rsidRPr="00BE470F">
        <w:rPr>
          <w:lang w:eastAsia="ja-JP"/>
        </w:rPr>
        <w:t>provided that similar pla</w:t>
      </w:r>
      <w:r>
        <w:rPr>
          <w:lang w:eastAsia="ja-JP"/>
        </w:rPr>
        <w:t xml:space="preserve">sma concentrations are reached. The </w:t>
      </w:r>
      <w:r w:rsidR="007C6D8D">
        <w:rPr>
          <w:lang w:eastAsia="ja-JP"/>
        </w:rPr>
        <w:t>sponsor</w:t>
      </w:r>
      <w:r>
        <w:rPr>
          <w:lang w:eastAsia="ja-JP"/>
        </w:rPr>
        <w:t xml:space="preserve"> states that a pharmacokinetic </w:t>
      </w:r>
      <w:r w:rsidRPr="00BE470F">
        <w:rPr>
          <w:lang w:eastAsia="ja-JP"/>
        </w:rPr>
        <w:t>(PK) study investigating the safety and tolerabi</w:t>
      </w:r>
      <w:r>
        <w:rPr>
          <w:lang w:eastAsia="ja-JP"/>
        </w:rPr>
        <w:t>lity of bosentan (</w:t>
      </w:r>
      <w:r w:rsidR="00D517F6">
        <w:rPr>
          <w:lang w:eastAsia="ja-JP"/>
        </w:rPr>
        <w:t xml:space="preserve">Study </w:t>
      </w:r>
      <w:r w:rsidRPr="00F6471A">
        <w:rPr>
          <w:lang w:eastAsia="ja-JP"/>
        </w:rPr>
        <w:t>AC-052-365</w:t>
      </w:r>
      <w:r w:rsidR="00D517F6">
        <w:rPr>
          <w:lang w:eastAsia="ja-JP"/>
        </w:rPr>
        <w:t xml:space="preserve">; or </w:t>
      </w:r>
      <w:r>
        <w:rPr>
          <w:lang w:eastAsia="ja-JP"/>
        </w:rPr>
        <w:t xml:space="preserve">FUTURE-1) was </w:t>
      </w:r>
      <w:r w:rsidRPr="00BE470F">
        <w:rPr>
          <w:lang w:eastAsia="ja-JP"/>
        </w:rPr>
        <w:t>considered adequate to obtain approval of the paediatric formulation of bosentan.</w:t>
      </w:r>
    </w:p>
    <w:p w14:paraId="14628659" w14:textId="77777777" w:rsidR="00825200" w:rsidRDefault="00825200" w:rsidP="00482EC1">
      <w:pPr>
        <w:rPr>
          <w:lang w:eastAsia="ja-JP"/>
        </w:rPr>
      </w:pPr>
      <w:r>
        <w:rPr>
          <w:lang w:eastAsia="ja-JP"/>
        </w:rPr>
        <w:t>As</w:t>
      </w:r>
      <w:r w:rsidRPr="00BE470F">
        <w:rPr>
          <w:lang w:eastAsia="ja-JP"/>
        </w:rPr>
        <w:t xml:space="preserve"> data from BREATHE-3 indicated a </w:t>
      </w:r>
      <w:r w:rsidR="007C6D8D">
        <w:rPr>
          <w:lang w:eastAsia="ja-JP"/>
        </w:rPr>
        <w:t>lower than expected</w:t>
      </w:r>
      <w:r>
        <w:rPr>
          <w:lang w:eastAsia="ja-JP"/>
        </w:rPr>
        <w:t xml:space="preserve"> exposure to bosentan in </w:t>
      </w:r>
      <w:r w:rsidRPr="00BE470F">
        <w:rPr>
          <w:lang w:eastAsia="ja-JP"/>
        </w:rPr>
        <w:t>paediatric patients</w:t>
      </w:r>
      <w:r>
        <w:rPr>
          <w:lang w:eastAsia="ja-JP"/>
        </w:rPr>
        <w:t xml:space="preserve"> (</w:t>
      </w:r>
      <w:r w:rsidR="005F754D">
        <w:rPr>
          <w:lang w:eastAsia="ja-JP"/>
        </w:rPr>
        <w:t>Table 3</w:t>
      </w:r>
      <w:r>
        <w:rPr>
          <w:lang w:eastAsia="ja-JP"/>
        </w:rPr>
        <w:t>)</w:t>
      </w:r>
      <w:r w:rsidRPr="00BE470F">
        <w:rPr>
          <w:lang w:eastAsia="ja-JP"/>
        </w:rPr>
        <w:t>, the FUTURE programme (FUTU</w:t>
      </w:r>
      <w:r>
        <w:rPr>
          <w:lang w:eastAsia="ja-JP"/>
        </w:rPr>
        <w:t xml:space="preserve">RE-1 and </w:t>
      </w:r>
      <w:r w:rsidR="00D517F6">
        <w:rPr>
          <w:lang w:eastAsia="ja-JP"/>
        </w:rPr>
        <w:t xml:space="preserve">Study </w:t>
      </w:r>
      <w:r>
        <w:rPr>
          <w:lang w:eastAsia="ja-JP"/>
        </w:rPr>
        <w:t xml:space="preserve">AC-052-367 </w:t>
      </w:r>
      <w:r w:rsidR="00D517F6">
        <w:rPr>
          <w:lang w:eastAsia="ja-JP"/>
        </w:rPr>
        <w:t>(</w:t>
      </w:r>
      <w:r>
        <w:rPr>
          <w:lang w:eastAsia="ja-JP"/>
        </w:rPr>
        <w:t>FUTURE-2</w:t>
      </w:r>
      <w:r w:rsidR="00A05630">
        <w:rPr>
          <w:lang w:eastAsia="ja-JP"/>
        </w:rPr>
        <w:t>)</w:t>
      </w:r>
      <w:r>
        <w:rPr>
          <w:lang w:eastAsia="ja-JP"/>
        </w:rPr>
        <w:t xml:space="preserve">) was designed </w:t>
      </w:r>
      <w:r w:rsidRPr="00BE470F">
        <w:rPr>
          <w:lang w:eastAsia="ja-JP"/>
        </w:rPr>
        <w:t xml:space="preserve">with the </w:t>
      </w:r>
      <w:r>
        <w:rPr>
          <w:lang w:eastAsia="ja-JP"/>
        </w:rPr>
        <w:t>following objectives:</w:t>
      </w:r>
    </w:p>
    <w:p w14:paraId="22C8BA0F" w14:textId="77777777" w:rsidR="00825200" w:rsidRPr="00482EC1" w:rsidRDefault="00825200" w:rsidP="007C6D8D">
      <w:pPr>
        <w:pStyle w:val="Numberbullet0"/>
        <w:numPr>
          <w:ilvl w:val="0"/>
          <w:numId w:val="49"/>
        </w:numPr>
      </w:pPr>
      <w:r w:rsidRPr="00482EC1">
        <w:t>To increase the exposure in paediatric patients to that seen in adults.</w:t>
      </w:r>
    </w:p>
    <w:p w14:paraId="09968DFF" w14:textId="77777777" w:rsidR="00825200" w:rsidRPr="00482EC1" w:rsidRDefault="00825200" w:rsidP="00482EC1">
      <w:pPr>
        <w:pStyle w:val="Numberbullet0"/>
      </w:pPr>
      <w:r w:rsidRPr="00482EC1">
        <w:t>To increase the overall paediatric data available from bosentan studies.</w:t>
      </w:r>
    </w:p>
    <w:p w14:paraId="6FD21A1E" w14:textId="77777777" w:rsidR="007C6D8D" w:rsidRDefault="007C6D8D" w:rsidP="00482EC1">
      <w:pPr>
        <w:rPr>
          <w:lang w:eastAsia="ja-JP"/>
        </w:rPr>
      </w:pPr>
      <w:r>
        <w:rPr>
          <w:lang w:eastAsia="ja-JP"/>
        </w:rPr>
        <w:t>FUTURE-1</w:t>
      </w:r>
      <w:r w:rsidR="00825200">
        <w:rPr>
          <w:lang w:eastAsia="ja-JP"/>
        </w:rPr>
        <w:t xml:space="preserve"> </w:t>
      </w:r>
      <w:r w:rsidR="00825200" w:rsidRPr="00BE470F">
        <w:rPr>
          <w:lang w:eastAsia="ja-JP"/>
        </w:rPr>
        <w:t>was designed as a PK study, with exploratory examina</w:t>
      </w:r>
      <w:r w:rsidR="00825200">
        <w:rPr>
          <w:lang w:eastAsia="ja-JP"/>
        </w:rPr>
        <w:t>tion of efficacy and safety. P</w:t>
      </w:r>
      <w:r w:rsidR="00825200" w:rsidRPr="00BE470F">
        <w:rPr>
          <w:lang w:eastAsia="ja-JP"/>
        </w:rPr>
        <w:t xml:space="preserve">atients with WHO functional class </w:t>
      </w:r>
      <w:r w:rsidR="00825200">
        <w:rPr>
          <w:lang w:eastAsia="ja-JP"/>
        </w:rPr>
        <w:t xml:space="preserve">(FC) </w:t>
      </w:r>
      <w:r w:rsidR="00825200" w:rsidRPr="00BE470F">
        <w:rPr>
          <w:lang w:eastAsia="ja-JP"/>
        </w:rPr>
        <w:t>II or I</w:t>
      </w:r>
      <w:r w:rsidR="00825200">
        <w:rPr>
          <w:lang w:eastAsia="ja-JP"/>
        </w:rPr>
        <w:t xml:space="preserve">II PAH, received an initial dose of </w:t>
      </w:r>
      <w:r w:rsidR="00825200" w:rsidRPr="00BE470F">
        <w:rPr>
          <w:lang w:eastAsia="ja-JP"/>
        </w:rPr>
        <w:t xml:space="preserve">2 mg/kg </w:t>
      </w:r>
      <w:r>
        <w:rPr>
          <w:lang w:eastAsia="ja-JP"/>
        </w:rPr>
        <w:t>BD</w:t>
      </w:r>
      <w:r w:rsidR="00825200" w:rsidRPr="00BE470F">
        <w:rPr>
          <w:lang w:eastAsia="ja-JP"/>
        </w:rPr>
        <w:t xml:space="preserve"> for 4 weeks, followed by a maintenance</w:t>
      </w:r>
      <w:r w:rsidR="00825200">
        <w:rPr>
          <w:lang w:eastAsia="ja-JP"/>
        </w:rPr>
        <w:t xml:space="preserve"> dose of 4 mg/kg </w:t>
      </w:r>
      <w:r>
        <w:rPr>
          <w:lang w:eastAsia="ja-JP"/>
        </w:rPr>
        <w:t>BD</w:t>
      </w:r>
      <w:r w:rsidR="00825200">
        <w:rPr>
          <w:lang w:eastAsia="ja-JP"/>
        </w:rPr>
        <w:t xml:space="preserve"> up to a </w:t>
      </w:r>
      <w:r w:rsidR="00825200" w:rsidRPr="00BE470F">
        <w:rPr>
          <w:lang w:eastAsia="ja-JP"/>
        </w:rPr>
        <w:t xml:space="preserve">maximum of 120 mg </w:t>
      </w:r>
      <w:r>
        <w:rPr>
          <w:lang w:eastAsia="ja-JP"/>
        </w:rPr>
        <w:t>BD</w:t>
      </w:r>
      <w:r w:rsidR="00825200" w:rsidRPr="00BE470F">
        <w:rPr>
          <w:lang w:eastAsia="ja-JP"/>
        </w:rPr>
        <w:t xml:space="preserve"> bosentan for a total tr</w:t>
      </w:r>
      <w:r w:rsidR="00825200">
        <w:rPr>
          <w:lang w:eastAsia="ja-JP"/>
        </w:rPr>
        <w:t>eatme</w:t>
      </w:r>
      <w:r>
        <w:rPr>
          <w:lang w:eastAsia="ja-JP"/>
        </w:rPr>
        <w:t>nt period of 12 weeks. FUTURE-2</w:t>
      </w:r>
      <w:r w:rsidR="00825200">
        <w:rPr>
          <w:lang w:eastAsia="ja-JP"/>
        </w:rPr>
        <w:t xml:space="preserve"> was an </w:t>
      </w:r>
      <w:r w:rsidR="009C6335">
        <w:rPr>
          <w:lang w:eastAsia="ja-JP"/>
        </w:rPr>
        <w:t>open label</w:t>
      </w:r>
      <w:r w:rsidR="00825200">
        <w:rPr>
          <w:lang w:eastAsia="ja-JP"/>
        </w:rPr>
        <w:t xml:space="preserve"> extension </w:t>
      </w:r>
      <w:r w:rsidR="00825200" w:rsidRPr="00BE470F">
        <w:rPr>
          <w:lang w:eastAsia="ja-JP"/>
        </w:rPr>
        <w:t xml:space="preserve">of </w:t>
      </w:r>
      <w:r w:rsidR="00825200">
        <w:rPr>
          <w:lang w:eastAsia="ja-JP"/>
        </w:rPr>
        <w:t xml:space="preserve">the </w:t>
      </w:r>
      <w:r w:rsidR="00825200" w:rsidRPr="00BE470F">
        <w:rPr>
          <w:lang w:eastAsia="ja-JP"/>
        </w:rPr>
        <w:t>FUTURE-1</w:t>
      </w:r>
      <w:r w:rsidR="00825200">
        <w:rPr>
          <w:lang w:eastAsia="ja-JP"/>
        </w:rPr>
        <w:t xml:space="preserve"> </w:t>
      </w:r>
      <w:r w:rsidR="00E77015">
        <w:rPr>
          <w:lang w:eastAsia="ja-JP"/>
        </w:rPr>
        <w:t>Study</w:t>
      </w:r>
      <w:r w:rsidR="00825200" w:rsidRPr="00BE470F">
        <w:rPr>
          <w:lang w:eastAsia="ja-JP"/>
        </w:rPr>
        <w:t>.</w:t>
      </w:r>
      <w:r w:rsidR="00825200">
        <w:rPr>
          <w:lang w:eastAsia="ja-JP"/>
        </w:rPr>
        <w:t xml:space="preserve"> </w:t>
      </w:r>
      <w:r w:rsidR="00825200" w:rsidRPr="00DE520B">
        <w:rPr>
          <w:lang w:eastAsia="ja-JP"/>
        </w:rPr>
        <w:t xml:space="preserve">Results of the FUTURE-1 </w:t>
      </w:r>
      <w:r w:rsidR="00E77015">
        <w:rPr>
          <w:lang w:eastAsia="ja-JP"/>
        </w:rPr>
        <w:t>Study</w:t>
      </w:r>
      <w:r w:rsidR="00825200" w:rsidRPr="00DE520B">
        <w:rPr>
          <w:lang w:eastAsia="ja-JP"/>
        </w:rPr>
        <w:t xml:space="preserve"> indicated that the PK of bosentan in paediatric patients is</w:t>
      </w:r>
      <w:r w:rsidR="00825200">
        <w:rPr>
          <w:lang w:eastAsia="ja-JP"/>
        </w:rPr>
        <w:t xml:space="preserve"> </w:t>
      </w:r>
      <w:r w:rsidR="00825200" w:rsidRPr="00DE520B">
        <w:rPr>
          <w:lang w:eastAsia="ja-JP"/>
        </w:rPr>
        <w:t>characterised by an absorption plateau that limits exposure to bosentan, despite increasing</w:t>
      </w:r>
      <w:r w:rsidR="00825200">
        <w:rPr>
          <w:lang w:eastAsia="ja-JP"/>
        </w:rPr>
        <w:t xml:space="preserve"> </w:t>
      </w:r>
      <w:r w:rsidR="00825200" w:rsidRPr="008806DA">
        <w:rPr>
          <w:lang w:eastAsia="ja-JP"/>
        </w:rPr>
        <w:t>doses (</w:t>
      </w:r>
      <w:r w:rsidR="008806DA" w:rsidRPr="008806DA">
        <w:rPr>
          <w:lang w:eastAsia="ja-JP"/>
        </w:rPr>
        <w:t>Figure 1</w:t>
      </w:r>
      <w:r w:rsidR="00825200" w:rsidRPr="008806DA">
        <w:rPr>
          <w:lang w:eastAsia="ja-JP"/>
        </w:rPr>
        <w:t>,</w:t>
      </w:r>
      <w:r w:rsidR="005F754D" w:rsidRPr="008806DA">
        <w:rPr>
          <w:lang w:eastAsia="ja-JP"/>
        </w:rPr>
        <w:t xml:space="preserve"> Table 3</w:t>
      </w:r>
      <w:r w:rsidR="00825200" w:rsidRPr="008806DA">
        <w:rPr>
          <w:lang w:eastAsia="ja-JP"/>
        </w:rPr>
        <w:t>)</w:t>
      </w:r>
      <w:r w:rsidRPr="008806DA">
        <w:rPr>
          <w:lang w:eastAsia="ja-JP"/>
        </w:rPr>
        <w:t>.</w:t>
      </w:r>
    </w:p>
    <w:p w14:paraId="6A40F0B9" w14:textId="77777777" w:rsidR="007C6D8D" w:rsidRDefault="00825200" w:rsidP="00482EC1">
      <w:pPr>
        <w:rPr>
          <w:lang w:eastAsia="ja-JP"/>
        </w:rPr>
      </w:pPr>
      <w:r>
        <w:rPr>
          <w:lang w:eastAsia="ja-JP"/>
        </w:rPr>
        <w:t xml:space="preserve">The paediatric formulation was approved in the EU in 2009 and the </w:t>
      </w:r>
      <w:r>
        <w:t xml:space="preserve">CHMP requested a comparison of </w:t>
      </w:r>
      <w:r w:rsidRPr="00D80DA1">
        <w:t>the in vivo bioavailability</w:t>
      </w:r>
      <w:r>
        <w:t xml:space="preserve"> of the dispersible and </w:t>
      </w:r>
      <w:r w:rsidR="007C6D8D">
        <w:t>film coated</w:t>
      </w:r>
      <w:r>
        <w:t xml:space="preserve"> tablet formulations as a </w:t>
      </w:r>
      <w:r w:rsidR="007C6D8D">
        <w:t>post approval</w:t>
      </w:r>
      <w:r>
        <w:t xml:space="preserve"> commitment. </w:t>
      </w:r>
      <w:r w:rsidRPr="00EC2B92">
        <w:rPr>
          <w:lang w:eastAsia="ja-JP"/>
        </w:rPr>
        <w:t xml:space="preserve">The CHMP </w:t>
      </w:r>
      <w:r>
        <w:rPr>
          <w:lang w:eastAsia="ja-JP"/>
        </w:rPr>
        <w:t xml:space="preserve">also requested </w:t>
      </w:r>
      <w:r w:rsidRPr="00EC2B92">
        <w:rPr>
          <w:lang w:eastAsia="ja-JP"/>
        </w:rPr>
        <w:t>that further long term safety and clinical data should be collected in paediatric patients.</w:t>
      </w:r>
      <w:r>
        <w:rPr>
          <w:lang w:eastAsia="ja-JP"/>
        </w:rPr>
        <w:t xml:space="preserve"> </w:t>
      </w:r>
      <w:r>
        <w:t xml:space="preserve">Study AC-052-116 </w:t>
      </w:r>
      <w:r>
        <w:rPr>
          <w:lang w:eastAsia="ja-JP"/>
        </w:rPr>
        <w:t xml:space="preserve">compared the </w:t>
      </w:r>
      <w:r w:rsidRPr="00E70851">
        <w:rPr>
          <w:lang w:eastAsia="ja-JP"/>
        </w:rPr>
        <w:t xml:space="preserve">PK properties of the dispersible tablet with the </w:t>
      </w:r>
      <w:r w:rsidR="007C6D8D">
        <w:rPr>
          <w:lang w:eastAsia="ja-JP"/>
        </w:rPr>
        <w:t>film coated</w:t>
      </w:r>
      <w:r w:rsidRPr="00E70851">
        <w:rPr>
          <w:lang w:eastAsia="ja-JP"/>
        </w:rPr>
        <w:t xml:space="preserve"> tablet formulation in healthy adult subjects</w:t>
      </w:r>
      <w:r w:rsidR="007C6D8D">
        <w:rPr>
          <w:lang w:eastAsia="ja-JP"/>
        </w:rPr>
        <w:t>.</w:t>
      </w:r>
    </w:p>
    <w:p w14:paraId="585FE4EA" w14:textId="654852A0" w:rsidR="00825200" w:rsidRDefault="00A05630" w:rsidP="00482EC1">
      <w:pPr>
        <w:rPr>
          <w:lang w:eastAsia="ja-JP"/>
        </w:rPr>
      </w:pPr>
      <w:r>
        <w:rPr>
          <w:lang w:eastAsia="ja-JP"/>
        </w:rPr>
        <w:t xml:space="preserve">Study </w:t>
      </w:r>
      <w:r w:rsidR="00825200">
        <w:rPr>
          <w:lang w:eastAsia="ja-JP"/>
        </w:rPr>
        <w:t xml:space="preserve">AC-052-373 </w:t>
      </w:r>
      <w:r>
        <w:rPr>
          <w:lang w:eastAsia="ja-JP"/>
        </w:rPr>
        <w:t>(F</w:t>
      </w:r>
      <w:r w:rsidR="00825200">
        <w:rPr>
          <w:lang w:eastAsia="ja-JP"/>
        </w:rPr>
        <w:t>UTURE-</w:t>
      </w:r>
      <w:r w:rsidR="00825200" w:rsidRPr="00812476">
        <w:rPr>
          <w:lang w:eastAsia="ja-JP"/>
        </w:rPr>
        <w:t>3</w:t>
      </w:r>
      <w:r>
        <w:rPr>
          <w:lang w:eastAsia="ja-JP"/>
        </w:rPr>
        <w:t xml:space="preserve">) </w:t>
      </w:r>
      <w:r w:rsidR="00825200" w:rsidRPr="00812476">
        <w:rPr>
          <w:lang w:eastAsia="ja-JP"/>
        </w:rPr>
        <w:t>inv</w:t>
      </w:r>
      <w:r w:rsidR="00825200">
        <w:rPr>
          <w:lang w:eastAsia="ja-JP"/>
        </w:rPr>
        <w:t xml:space="preserve">estigated if increasing the dose </w:t>
      </w:r>
      <w:r w:rsidR="00825200" w:rsidRPr="00812476">
        <w:rPr>
          <w:lang w:eastAsia="ja-JP"/>
        </w:rPr>
        <w:t xml:space="preserve">frequency from </w:t>
      </w:r>
      <w:r w:rsidR="00825200">
        <w:rPr>
          <w:lang w:eastAsia="ja-JP"/>
        </w:rPr>
        <w:t>twice daily</w:t>
      </w:r>
      <w:r w:rsidR="00825200" w:rsidRPr="00812476">
        <w:rPr>
          <w:lang w:eastAsia="ja-JP"/>
        </w:rPr>
        <w:t xml:space="preserve"> </w:t>
      </w:r>
      <w:r w:rsidR="00825200">
        <w:rPr>
          <w:lang w:eastAsia="ja-JP"/>
        </w:rPr>
        <w:t>(</w:t>
      </w:r>
      <w:r w:rsidR="007C6D8D">
        <w:rPr>
          <w:lang w:eastAsia="ja-JP"/>
        </w:rPr>
        <w:t>BD</w:t>
      </w:r>
      <w:r w:rsidR="00825200">
        <w:rPr>
          <w:lang w:eastAsia="ja-JP"/>
        </w:rPr>
        <w:t xml:space="preserve">) </w:t>
      </w:r>
      <w:r w:rsidR="00825200" w:rsidRPr="00812476">
        <w:rPr>
          <w:lang w:eastAsia="ja-JP"/>
        </w:rPr>
        <w:t xml:space="preserve">to </w:t>
      </w:r>
      <w:r w:rsidR="00825200">
        <w:rPr>
          <w:lang w:eastAsia="ja-JP"/>
        </w:rPr>
        <w:t>three times daily</w:t>
      </w:r>
      <w:r w:rsidR="00825200" w:rsidRPr="00812476">
        <w:rPr>
          <w:lang w:eastAsia="ja-JP"/>
        </w:rPr>
        <w:t xml:space="preserve"> </w:t>
      </w:r>
      <w:r w:rsidR="00825200">
        <w:rPr>
          <w:lang w:eastAsia="ja-JP"/>
        </w:rPr>
        <w:t>(</w:t>
      </w:r>
      <w:r w:rsidR="007C6D8D">
        <w:rPr>
          <w:lang w:eastAsia="ja-JP"/>
        </w:rPr>
        <w:t>TDS</w:t>
      </w:r>
      <w:r w:rsidR="00825200">
        <w:rPr>
          <w:lang w:eastAsia="ja-JP"/>
        </w:rPr>
        <w:t xml:space="preserve">) </w:t>
      </w:r>
      <w:r w:rsidR="00825200" w:rsidRPr="00812476">
        <w:rPr>
          <w:lang w:eastAsia="ja-JP"/>
        </w:rPr>
        <w:t>would increase the</w:t>
      </w:r>
      <w:r w:rsidR="00825200">
        <w:rPr>
          <w:lang w:eastAsia="ja-JP"/>
        </w:rPr>
        <w:t xml:space="preserve"> </w:t>
      </w:r>
      <w:r w:rsidR="00825200" w:rsidRPr="00812476">
        <w:rPr>
          <w:lang w:eastAsia="ja-JP"/>
        </w:rPr>
        <w:t>exposure in paediatric PAH patients.</w:t>
      </w:r>
      <w:r w:rsidR="00825200">
        <w:rPr>
          <w:lang w:eastAsia="ja-JP"/>
        </w:rPr>
        <w:t xml:space="preserve"> The study found that </w:t>
      </w:r>
      <w:r w:rsidR="007C6D8D">
        <w:rPr>
          <w:lang w:eastAsia="ja-JP"/>
        </w:rPr>
        <w:t>TDS</w:t>
      </w:r>
      <w:r w:rsidR="00825200">
        <w:rPr>
          <w:lang w:eastAsia="ja-JP"/>
        </w:rPr>
        <w:t xml:space="preserve"> administration in the paediatric PAH population did not increase exposure to bosentan compared to </w:t>
      </w:r>
      <w:r w:rsidR="007C6D8D">
        <w:rPr>
          <w:lang w:eastAsia="ja-JP"/>
        </w:rPr>
        <w:t>BD</w:t>
      </w:r>
      <w:r w:rsidR="00825200">
        <w:rPr>
          <w:lang w:eastAsia="ja-JP"/>
        </w:rPr>
        <w:t xml:space="preserve"> administration (</w:t>
      </w:r>
      <w:r w:rsidR="005F754D">
        <w:rPr>
          <w:lang w:eastAsia="ja-JP"/>
        </w:rPr>
        <w:t>Table 4</w:t>
      </w:r>
      <w:r w:rsidR="00825200">
        <w:rPr>
          <w:lang w:eastAsia="ja-JP"/>
        </w:rPr>
        <w:t>).</w:t>
      </w:r>
    </w:p>
    <w:p w14:paraId="71DDBA93" w14:textId="38EA2FE2" w:rsidR="007C6D8D" w:rsidRDefault="00A05630" w:rsidP="00482EC1">
      <w:pPr>
        <w:rPr>
          <w:lang w:eastAsia="ja-JP"/>
        </w:rPr>
      </w:pPr>
      <w:r>
        <w:rPr>
          <w:lang w:eastAsia="ja-JP"/>
        </w:rPr>
        <w:lastRenderedPageBreak/>
        <w:t xml:space="preserve">Study </w:t>
      </w:r>
      <w:r w:rsidR="00825200">
        <w:rPr>
          <w:lang w:eastAsia="ja-JP"/>
        </w:rPr>
        <w:t xml:space="preserve">AC-052-391 </w:t>
      </w:r>
      <w:r>
        <w:rPr>
          <w:lang w:eastAsia="ja-JP"/>
        </w:rPr>
        <w:t>(</w:t>
      </w:r>
      <w:r w:rsidR="00825200">
        <w:rPr>
          <w:lang w:eastAsia="ja-JP"/>
        </w:rPr>
        <w:t>FUTURE-</w:t>
      </w:r>
      <w:r w:rsidR="00825200" w:rsidRPr="00812476">
        <w:rPr>
          <w:lang w:eastAsia="ja-JP"/>
        </w:rPr>
        <w:t>4</w:t>
      </w:r>
      <w:r>
        <w:rPr>
          <w:lang w:eastAsia="ja-JP"/>
        </w:rPr>
        <w:t>)</w:t>
      </w:r>
      <w:r w:rsidR="00825200">
        <w:rPr>
          <w:lang w:eastAsia="ja-JP"/>
        </w:rPr>
        <w:t xml:space="preserve"> </w:t>
      </w:r>
      <w:r w:rsidR="00825200" w:rsidRPr="00812476">
        <w:rPr>
          <w:lang w:eastAsia="ja-JP"/>
        </w:rPr>
        <w:t>evaluate</w:t>
      </w:r>
      <w:r w:rsidR="00825200">
        <w:rPr>
          <w:lang w:eastAsia="ja-JP"/>
        </w:rPr>
        <w:t>d</w:t>
      </w:r>
      <w:r w:rsidR="00825200" w:rsidRPr="00812476">
        <w:rPr>
          <w:lang w:eastAsia="ja-JP"/>
        </w:rPr>
        <w:t xml:space="preserve"> the efficacy, safety and</w:t>
      </w:r>
      <w:r w:rsidR="00825200">
        <w:rPr>
          <w:lang w:eastAsia="ja-JP"/>
        </w:rPr>
        <w:t xml:space="preserve"> </w:t>
      </w:r>
      <w:r w:rsidR="007C6D8D">
        <w:rPr>
          <w:lang w:eastAsia="ja-JP"/>
        </w:rPr>
        <w:t>PK of bosentan (2 mg/kg BD</w:t>
      </w:r>
      <w:r w:rsidR="00825200" w:rsidRPr="00812476">
        <w:rPr>
          <w:lang w:eastAsia="ja-JP"/>
        </w:rPr>
        <w:t xml:space="preserve">) </w:t>
      </w:r>
      <w:r w:rsidR="007C6D8D">
        <w:rPr>
          <w:lang w:eastAsia="ja-JP"/>
        </w:rPr>
        <w:t>versus</w:t>
      </w:r>
      <w:r w:rsidR="00825200" w:rsidRPr="00812476">
        <w:rPr>
          <w:lang w:eastAsia="ja-JP"/>
        </w:rPr>
        <w:t xml:space="preserve"> placebo as adjunctive treatment of PPHN in</w:t>
      </w:r>
      <w:r w:rsidR="00825200">
        <w:rPr>
          <w:lang w:eastAsia="ja-JP"/>
        </w:rPr>
        <w:t xml:space="preserve"> </w:t>
      </w:r>
      <w:r w:rsidR="00825200" w:rsidRPr="00812476">
        <w:rPr>
          <w:lang w:eastAsia="ja-JP"/>
        </w:rPr>
        <w:t xml:space="preserve">term or </w:t>
      </w:r>
      <w:r w:rsidR="007C6D8D">
        <w:rPr>
          <w:lang w:eastAsia="ja-JP"/>
        </w:rPr>
        <w:t>near term</w:t>
      </w:r>
      <w:r w:rsidR="00825200" w:rsidRPr="00812476">
        <w:rPr>
          <w:lang w:eastAsia="ja-JP"/>
        </w:rPr>
        <w:t xml:space="preserve"> neonates whose response to </w:t>
      </w:r>
      <w:r w:rsidR="00825200">
        <w:t>inhaled nitric oxide</w:t>
      </w:r>
      <w:r w:rsidR="00825200" w:rsidRPr="00812476">
        <w:rPr>
          <w:lang w:eastAsia="ja-JP"/>
        </w:rPr>
        <w:t xml:space="preserve"> </w:t>
      </w:r>
      <w:r w:rsidR="00825200">
        <w:rPr>
          <w:lang w:eastAsia="ja-JP"/>
        </w:rPr>
        <w:t>(</w:t>
      </w:r>
      <w:r w:rsidR="00825200" w:rsidRPr="00812476">
        <w:rPr>
          <w:lang w:eastAsia="ja-JP"/>
        </w:rPr>
        <w:t>iNO</w:t>
      </w:r>
      <w:r w:rsidR="00825200">
        <w:rPr>
          <w:lang w:eastAsia="ja-JP"/>
        </w:rPr>
        <w:t>)</w:t>
      </w:r>
      <w:r w:rsidR="00825200" w:rsidRPr="00812476">
        <w:rPr>
          <w:lang w:eastAsia="ja-JP"/>
        </w:rPr>
        <w:t xml:space="preserve"> therapy was insufficient.</w:t>
      </w:r>
      <w:r w:rsidR="00825200" w:rsidRPr="00DF2962">
        <w:rPr>
          <w:lang w:eastAsia="ja-JP"/>
        </w:rPr>
        <w:t xml:space="preserve"> </w:t>
      </w:r>
      <w:r w:rsidR="00825200">
        <w:rPr>
          <w:lang w:eastAsia="ja-JP"/>
        </w:rPr>
        <w:t>E</w:t>
      </w:r>
      <w:r w:rsidR="00825200" w:rsidRPr="00F839C2">
        <w:rPr>
          <w:lang w:eastAsia="ja-JP"/>
        </w:rPr>
        <w:t>x</w:t>
      </w:r>
      <w:r w:rsidR="00825200" w:rsidRPr="00812476">
        <w:rPr>
          <w:lang w:eastAsia="ja-JP"/>
        </w:rPr>
        <w:t xml:space="preserve">posure achieved at </w:t>
      </w:r>
      <w:r w:rsidR="00CF6063">
        <w:rPr>
          <w:lang w:eastAsia="ja-JP"/>
        </w:rPr>
        <w:t>steady state</w:t>
      </w:r>
      <w:r w:rsidR="00825200">
        <w:rPr>
          <w:lang w:eastAsia="ja-JP"/>
        </w:rPr>
        <w:t xml:space="preserve"> is reported to be </w:t>
      </w:r>
      <w:r w:rsidR="00825200" w:rsidRPr="00812476">
        <w:rPr>
          <w:lang w:eastAsia="ja-JP"/>
        </w:rPr>
        <w:t xml:space="preserve">similar to that observed in adult PAH patients receiving bosentan 125 mg </w:t>
      </w:r>
      <w:r w:rsidR="007C6D8D">
        <w:rPr>
          <w:lang w:eastAsia="ja-JP"/>
        </w:rPr>
        <w:t>BD</w:t>
      </w:r>
      <w:r w:rsidR="00825200" w:rsidRPr="00812476">
        <w:rPr>
          <w:lang w:eastAsia="ja-JP"/>
        </w:rPr>
        <w:t>. This</w:t>
      </w:r>
      <w:r w:rsidR="00825200">
        <w:rPr>
          <w:lang w:eastAsia="ja-JP"/>
        </w:rPr>
        <w:t xml:space="preserve"> </w:t>
      </w:r>
      <w:r w:rsidR="00825200" w:rsidRPr="00812476">
        <w:rPr>
          <w:lang w:eastAsia="ja-JP"/>
        </w:rPr>
        <w:t xml:space="preserve">was in contrast to the results in paediatric PAH patients </w:t>
      </w:r>
      <w:r w:rsidR="00825200">
        <w:rPr>
          <w:lang w:eastAsia="ja-JP"/>
        </w:rPr>
        <w:t xml:space="preserve">aged </w:t>
      </w:r>
      <w:r w:rsidR="007C6D8D">
        <w:rPr>
          <w:lang w:eastAsia="ja-JP"/>
        </w:rPr>
        <w:t xml:space="preserve">≥ </w:t>
      </w:r>
      <w:r w:rsidR="00825200" w:rsidRPr="00812476">
        <w:rPr>
          <w:lang w:eastAsia="ja-JP"/>
        </w:rPr>
        <w:t>3 months, in which adult</w:t>
      </w:r>
      <w:r w:rsidR="00825200">
        <w:rPr>
          <w:lang w:eastAsia="ja-JP"/>
        </w:rPr>
        <w:t xml:space="preserve"> </w:t>
      </w:r>
      <w:r w:rsidR="00825200" w:rsidRPr="00812476">
        <w:rPr>
          <w:lang w:eastAsia="ja-JP"/>
        </w:rPr>
        <w:t>exposures to bosentan were not reached</w:t>
      </w:r>
      <w:r w:rsidR="007C6D8D">
        <w:rPr>
          <w:lang w:eastAsia="ja-JP"/>
        </w:rPr>
        <w:t>.</w:t>
      </w:r>
    </w:p>
    <w:p w14:paraId="624B83E0" w14:textId="0B3BD19D" w:rsidR="00825200" w:rsidRPr="00D745F5" w:rsidRDefault="00825200" w:rsidP="00825200">
      <w:pPr>
        <w:pStyle w:val="Tabletitle"/>
      </w:pPr>
      <w:bookmarkStart w:id="24" w:name="_Ref463613277"/>
      <w:bookmarkStart w:id="25" w:name="_Toc473884047"/>
      <w:r>
        <w:t xml:space="preserve">Table </w:t>
      </w:r>
      <w:bookmarkEnd w:id="24"/>
      <w:r w:rsidR="005F754D">
        <w:t>3:</w:t>
      </w:r>
      <w:r>
        <w:t xml:space="preserve"> </w:t>
      </w:r>
      <w:r w:rsidRPr="00D745F5">
        <w:t>Summary pharmacokinetics of bosentan in paediatric (BREATHE-3</w:t>
      </w:r>
      <w:r>
        <w:t xml:space="preserve"> </w:t>
      </w:r>
      <w:r w:rsidR="005F754D">
        <w:t>and</w:t>
      </w:r>
      <w:r w:rsidRPr="00D745F5">
        <w:t xml:space="preserve"> FUTURE</w:t>
      </w:r>
      <w:r w:rsidR="0001094C">
        <w:noBreakHyphen/>
      </w:r>
      <w:r w:rsidRPr="00D745F5">
        <w:t>1) and adult (</w:t>
      </w:r>
      <w:r w:rsidR="0001094C">
        <w:t xml:space="preserve">Study </w:t>
      </w:r>
      <w:r w:rsidRPr="00D745F5">
        <w:t>AC-052-357) PAH patients</w:t>
      </w:r>
      <w:bookmarkEnd w:id="25"/>
    </w:p>
    <w:p w14:paraId="060F0690" w14:textId="77777777" w:rsidR="00825200" w:rsidRDefault="00825200" w:rsidP="00825200">
      <w:pPr>
        <w:rPr>
          <w:lang w:eastAsia="ja-JP"/>
        </w:rPr>
      </w:pPr>
      <w:r>
        <w:rPr>
          <w:noProof/>
          <w:lang w:eastAsia="en-AU"/>
        </w:rPr>
        <w:drawing>
          <wp:inline distT="0" distB="0" distL="0" distR="0" wp14:anchorId="7E933427" wp14:editId="7044C8F5">
            <wp:extent cx="4981651" cy="1719095"/>
            <wp:effectExtent l="0" t="0" r="0" b="0"/>
            <wp:docPr id="4" name="Picture 4" descr="Table 3: Summary pharmacokinetics of bosentan in paediatric (BREATHE-3 and FUTURE-1) and adult (AC-052-357) PAH pat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995046" cy="1723717"/>
                    </a:xfrm>
                    <a:prstGeom prst="rect">
                      <a:avLst/>
                    </a:prstGeom>
                  </pic:spPr>
                </pic:pic>
              </a:graphicData>
            </a:graphic>
          </wp:inline>
        </w:drawing>
      </w:r>
    </w:p>
    <w:p w14:paraId="097B8228" w14:textId="3FB8BECF" w:rsidR="00825200" w:rsidRDefault="00825200" w:rsidP="00825200">
      <w:pPr>
        <w:pStyle w:val="FigureTitle"/>
      </w:pPr>
      <w:bookmarkStart w:id="26" w:name="_Ref464547269"/>
      <w:bookmarkStart w:id="27" w:name="_Toc473884152"/>
      <w:r w:rsidRPr="008806DA">
        <w:t xml:space="preserve">Figure </w:t>
      </w:r>
      <w:bookmarkEnd w:id="26"/>
      <w:r w:rsidR="008806DA" w:rsidRPr="008806DA">
        <w:t>1:</w:t>
      </w:r>
      <w:r>
        <w:t xml:space="preserve"> FUTURE-1 Arithmetic mean (±</w:t>
      </w:r>
      <w:r w:rsidR="00E26B00">
        <w:t xml:space="preserve"> </w:t>
      </w:r>
      <w:r>
        <w:t xml:space="preserve">SD) plasma concentration </w:t>
      </w:r>
      <w:r w:rsidR="007C6D8D">
        <w:t>versus</w:t>
      </w:r>
      <w:r>
        <w:t xml:space="preserve"> time profiles of bosentan in paediatric patients with pulmonary arterial hypertension after multiple dose administration of bosentan at a dose of 2 and 4 mg/kg </w:t>
      </w:r>
      <w:r w:rsidR="007C6D8D">
        <w:t>BD</w:t>
      </w:r>
      <w:r>
        <w:t xml:space="preserve"> (n</w:t>
      </w:r>
      <w:r w:rsidR="00E77015">
        <w:t xml:space="preserve"> = </w:t>
      </w:r>
      <w:r>
        <w:t>11)</w:t>
      </w:r>
      <w:bookmarkEnd w:id="27"/>
    </w:p>
    <w:p w14:paraId="623CE2B7" w14:textId="77777777" w:rsidR="00825200" w:rsidRDefault="00825200" w:rsidP="00825200">
      <w:pPr>
        <w:rPr>
          <w:lang w:eastAsia="ja-JP"/>
        </w:rPr>
      </w:pPr>
      <w:r>
        <w:rPr>
          <w:noProof/>
          <w:lang w:eastAsia="en-AU"/>
        </w:rPr>
        <w:drawing>
          <wp:inline distT="0" distB="0" distL="0" distR="0" wp14:anchorId="19DE4489" wp14:editId="7EF7F40A">
            <wp:extent cx="4096512" cy="2825181"/>
            <wp:effectExtent l="0" t="0" r="0" b="0"/>
            <wp:docPr id="5" name="Picture 5" descr="Figure 1: FUTURE-1 Arithmetic mean (±SD) plasma concentration versus time profiles of bosentan in paediatric patients with pulmonary arterial hypertension after multiple dose administration of bosentan at a dose of 2 and 4 mg/kg BD (n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096047" cy="2824860"/>
                    </a:xfrm>
                    <a:prstGeom prst="rect">
                      <a:avLst/>
                    </a:prstGeom>
                  </pic:spPr>
                </pic:pic>
              </a:graphicData>
            </a:graphic>
          </wp:inline>
        </w:drawing>
      </w:r>
    </w:p>
    <w:p w14:paraId="54D26A6F" w14:textId="77777777" w:rsidR="00825200" w:rsidRDefault="00825200" w:rsidP="00825200">
      <w:pPr>
        <w:pStyle w:val="Tabletitle"/>
      </w:pPr>
      <w:bookmarkStart w:id="28" w:name="_Ref464136971"/>
      <w:bookmarkStart w:id="29" w:name="_Toc473884048"/>
      <w:r w:rsidRPr="005F754D">
        <w:t xml:space="preserve">Table </w:t>
      </w:r>
      <w:bookmarkEnd w:id="28"/>
      <w:r w:rsidR="005F754D" w:rsidRPr="005F754D">
        <w:t>4</w:t>
      </w:r>
      <w:r w:rsidR="005F754D">
        <w:t>:</w:t>
      </w:r>
      <w:r>
        <w:t xml:space="preserve"> FUTURE-3 </w:t>
      </w:r>
      <w:r w:rsidRPr="00E07D2C">
        <w:t>Ratio of geometric means between treatment groups of PK</w:t>
      </w:r>
      <w:r>
        <w:t xml:space="preserve"> parameters for bosentan (</w:t>
      </w:r>
      <w:r w:rsidR="007C6D8D">
        <w:t>TDS</w:t>
      </w:r>
      <w:r>
        <w:t>/</w:t>
      </w:r>
      <w:r w:rsidR="007C6D8D">
        <w:t>BD</w:t>
      </w:r>
      <w:r w:rsidRPr="00E07D2C">
        <w:t>); overall age groups and by age</w:t>
      </w:r>
      <w:r>
        <w:t xml:space="preserve"> </w:t>
      </w:r>
      <w:r w:rsidRPr="00E07D2C">
        <w:t>group, PK set</w:t>
      </w:r>
      <w:bookmarkEnd w:id="29"/>
    </w:p>
    <w:p w14:paraId="274A0A01" w14:textId="77777777" w:rsidR="00825200" w:rsidRDefault="00D735B8" w:rsidP="00825200">
      <w:pPr>
        <w:rPr>
          <w:lang w:eastAsia="ja-JP"/>
        </w:rPr>
      </w:pPr>
      <w:r>
        <w:rPr>
          <w:noProof/>
          <w:lang w:eastAsia="en-AU"/>
        </w:rPr>
        <w:drawing>
          <wp:inline distT="0" distB="0" distL="0" distR="0" wp14:anchorId="095A0D49" wp14:editId="5EBC617D">
            <wp:extent cx="4352925" cy="1343025"/>
            <wp:effectExtent l="0" t="0" r="9525" b="9525"/>
            <wp:docPr id="6" name="Picture 6" descr="Table 4: FUTURE-3 Ratio of geometric means between treatment groups of PK parameters for bosentan (TDS/BD); overall age groups and by age group, P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352925" cy="1343025"/>
                    </a:xfrm>
                    <a:prstGeom prst="rect">
                      <a:avLst/>
                    </a:prstGeom>
                  </pic:spPr>
                </pic:pic>
              </a:graphicData>
            </a:graphic>
          </wp:inline>
        </w:drawing>
      </w:r>
    </w:p>
    <w:p w14:paraId="5E6E8E7F" w14:textId="77777777" w:rsidR="00D735B8" w:rsidRDefault="00D735B8" w:rsidP="00153B34">
      <w:pPr>
        <w:pStyle w:val="Heading3"/>
        <w:numPr>
          <w:ilvl w:val="1"/>
          <w:numId w:val="5"/>
        </w:numPr>
      </w:pPr>
      <w:bookmarkStart w:id="30" w:name="_Toc473883973"/>
      <w:bookmarkStart w:id="31" w:name="_Toc519773888"/>
      <w:r>
        <w:lastRenderedPageBreak/>
        <w:t>Formulation</w:t>
      </w:r>
      <w:bookmarkEnd w:id="30"/>
      <w:bookmarkEnd w:id="31"/>
    </w:p>
    <w:p w14:paraId="525D7893" w14:textId="77777777" w:rsidR="00D735B8" w:rsidRDefault="00D735B8" w:rsidP="00153B34">
      <w:pPr>
        <w:pStyle w:val="Heading4"/>
        <w:numPr>
          <w:ilvl w:val="2"/>
          <w:numId w:val="5"/>
        </w:numPr>
      </w:pPr>
      <w:r>
        <w:t>Formulation development</w:t>
      </w:r>
    </w:p>
    <w:p w14:paraId="66E78275" w14:textId="77777777" w:rsidR="00D735B8" w:rsidRDefault="00D735B8" w:rsidP="00482EC1">
      <w:pPr>
        <w:rPr>
          <w:lang w:eastAsia="ja-JP"/>
        </w:rPr>
      </w:pPr>
      <w:r>
        <w:rPr>
          <w:lang w:eastAsia="ja-JP"/>
        </w:rPr>
        <w:t xml:space="preserve">Previously, the </w:t>
      </w:r>
      <w:r w:rsidR="007C6D8D">
        <w:rPr>
          <w:lang w:eastAsia="ja-JP"/>
        </w:rPr>
        <w:t>sponsor</w:t>
      </w:r>
      <w:r>
        <w:rPr>
          <w:lang w:eastAsia="ja-JP"/>
        </w:rPr>
        <w:t xml:space="preserve"> </w:t>
      </w:r>
      <w:r w:rsidRPr="00352B53">
        <w:rPr>
          <w:lang w:eastAsia="ja-JP"/>
        </w:rPr>
        <w:t xml:space="preserve">studied the use of bosentan in children in </w:t>
      </w:r>
      <w:r>
        <w:rPr>
          <w:lang w:eastAsia="ja-JP"/>
        </w:rPr>
        <w:t xml:space="preserve">BREATHE-3 </w:t>
      </w:r>
      <w:r w:rsidRPr="00352B53">
        <w:rPr>
          <w:lang w:eastAsia="ja-JP"/>
        </w:rPr>
        <w:t>using the approved tablet formulation of Tracleer</w:t>
      </w:r>
      <w:r>
        <w:rPr>
          <w:lang w:eastAsia="ja-JP"/>
        </w:rPr>
        <w:t xml:space="preserve">. The </w:t>
      </w:r>
      <w:r w:rsidR="007C6D8D">
        <w:rPr>
          <w:lang w:eastAsia="ja-JP"/>
        </w:rPr>
        <w:t>sponsor</w:t>
      </w:r>
      <w:r>
        <w:rPr>
          <w:lang w:eastAsia="ja-JP"/>
        </w:rPr>
        <w:t xml:space="preserve"> </w:t>
      </w:r>
      <w:r w:rsidRPr="00352B53">
        <w:rPr>
          <w:lang w:eastAsia="ja-JP"/>
        </w:rPr>
        <w:t>has</w:t>
      </w:r>
      <w:r>
        <w:rPr>
          <w:lang w:eastAsia="ja-JP"/>
        </w:rPr>
        <w:t xml:space="preserve"> since </w:t>
      </w:r>
      <w:r w:rsidRPr="00352B53">
        <w:rPr>
          <w:lang w:eastAsia="ja-JP"/>
        </w:rPr>
        <w:t>developed a paediatric formulation of bosentan in order to make bosentan available as oral</w:t>
      </w:r>
      <w:r>
        <w:rPr>
          <w:lang w:eastAsia="ja-JP"/>
        </w:rPr>
        <w:t xml:space="preserve"> </w:t>
      </w:r>
      <w:r w:rsidRPr="00352B53">
        <w:rPr>
          <w:lang w:eastAsia="ja-JP"/>
        </w:rPr>
        <w:t xml:space="preserve">treatment with a </w:t>
      </w:r>
      <w:r w:rsidR="007C6D8D">
        <w:rPr>
          <w:lang w:eastAsia="ja-JP"/>
        </w:rPr>
        <w:t>weight appropriate</w:t>
      </w:r>
      <w:r w:rsidRPr="00352B53">
        <w:rPr>
          <w:lang w:eastAsia="ja-JP"/>
        </w:rPr>
        <w:t xml:space="preserve"> dose and formulat</w:t>
      </w:r>
      <w:r>
        <w:rPr>
          <w:lang w:eastAsia="ja-JP"/>
        </w:rPr>
        <w:t xml:space="preserve">ion for children with </w:t>
      </w:r>
      <w:r w:rsidRPr="00352B53">
        <w:rPr>
          <w:lang w:eastAsia="ja-JP"/>
        </w:rPr>
        <w:t>PAH.</w:t>
      </w:r>
    </w:p>
    <w:p w14:paraId="5A84A149" w14:textId="77777777" w:rsidR="00D735B8" w:rsidRDefault="00D735B8" w:rsidP="00482EC1">
      <w:pPr>
        <w:rPr>
          <w:lang w:eastAsia="ja-JP"/>
        </w:rPr>
      </w:pPr>
      <w:r>
        <w:rPr>
          <w:lang w:eastAsia="ja-JP"/>
        </w:rPr>
        <w:t xml:space="preserve">The paediatric formulation is a dispersible tablet containing 32 mg of </w:t>
      </w:r>
      <w:r w:rsidR="007C6D8D">
        <w:rPr>
          <w:lang w:eastAsia="ja-JP"/>
        </w:rPr>
        <w:t>bosentan. The tablet has quadri</w:t>
      </w:r>
      <w:r>
        <w:rPr>
          <w:lang w:eastAsia="ja-JP"/>
        </w:rPr>
        <w:t>secting score lines, enabling it to be divided into four parts of 8 mg bosentan each. The whole tablet, or fractions thereof, can be dispersed in water on a teaspoon or in a glass to facilitate oral administration.</w:t>
      </w:r>
    </w:p>
    <w:p w14:paraId="2D2C651B" w14:textId="77777777" w:rsidR="007C6D8D" w:rsidRDefault="00D735B8" w:rsidP="00482EC1">
      <w:pPr>
        <w:rPr>
          <w:lang w:eastAsia="ja-JP"/>
        </w:rPr>
      </w:pPr>
      <w:r w:rsidRPr="00FA4849">
        <w:t xml:space="preserve">In the justification for not providing biopharmaceutic data the </w:t>
      </w:r>
      <w:r w:rsidR="007C6D8D">
        <w:t>sponsor</w:t>
      </w:r>
      <w:r w:rsidRPr="00FA4849">
        <w:t xml:space="preserve"> states that </w:t>
      </w:r>
      <w:r>
        <w:t xml:space="preserve">no changes have been made to the quality aspects of the bosentan drug substance, the excipients fulfil the relevant quality standards and </w:t>
      </w:r>
      <w:r w:rsidRPr="00FA4849">
        <w:t xml:space="preserve">that Bosentan is classified as a Class II compound according to Biopharmaceutic Classification System </w:t>
      </w:r>
      <w:r>
        <w:t xml:space="preserve">(BCS) </w:t>
      </w:r>
      <w:r w:rsidRPr="00FA4849">
        <w:t xml:space="preserve">and that dissolved bosentan </w:t>
      </w:r>
      <w:r w:rsidRPr="002F2695">
        <w:rPr>
          <w:iCs/>
        </w:rPr>
        <w:t>in vivo</w:t>
      </w:r>
      <w:r w:rsidRPr="00FA4849">
        <w:rPr>
          <w:i/>
          <w:iCs/>
        </w:rPr>
        <w:t xml:space="preserve"> </w:t>
      </w:r>
      <w:r w:rsidRPr="00FA4849">
        <w:t>is immediately bioavailable.</w:t>
      </w:r>
      <w:r>
        <w:t xml:space="preserve"> The </w:t>
      </w:r>
      <w:r w:rsidR="007C6D8D">
        <w:t>sponsor</w:t>
      </w:r>
      <w:r>
        <w:t xml:space="preserve"> states that </w:t>
      </w:r>
      <w:r w:rsidRPr="00FA4849">
        <w:rPr>
          <w:lang w:eastAsia="ja-JP"/>
        </w:rPr>
        <w:t xml:space="preserve">no specific biopharmaceutic studies </w:t>
      </w:r>
      <w:r>
        <w:rPr>
          <w:lang w:eastAsia="ja-JP"/>
        </w:rPr>
        <w:t>were</w:t>
      </w:r>
      <w:r w:rsidRPr="00FA4849">
        <w:rPr>
          <w:lang w:eastAsia="ja-JP"/>
        </w:rPr>
        <w:t xml:space="preserve"> performed to demonstrate bioequivalen</w:t>
      </w:r>
      <w:r>
        <w:rPr>
          <w:lang w:eastAsia="ja-JP"/>
        </w:rPr>
        <w:t xml:space="preserve">ce for the </w:t>
      </w:r>
      <w:r w:rsidRPr="00FA4849">
        <w:rPr>
          <w:lang w:eastAsia="ja-JP"/>
        </w:rPr>
        <w:t xml:space="preserve">new dispersible tablet </w:t>
      </w:r>
      <w:r>
        <w:rPr>
          <w:lang w:eastAsia="ja-JP"/>
        </w:rPr>
        <w:t>and the approved marketed formulation</w:t>
      </w:r>
      <w:r w:rsidR="007C6D8D">
        <w:rPr>
          <w:lang w:eastAsia="ja-JP"/>
        </w:rPr>
        <w:t>.</w:t>
      </w:r>
    </w:p>
    <w:p w14:paraId="1B2F92C1" w14:textId="77777777" w:rsidR="00D735B8" w:rsidRDefault="00D735B8" w:rsidP="00482EC1">
      <w:pPr>
        <w:rPr>
          <w:lang w:eastAsia="ja-JP"/>
        </w:rPr>
      </w:pPr>
      <w:r w:rsidRPr="003802D8">
        <w:rPr>
          <w:lang w:eastAsia="ja-JP"/>
        </w:rPr>
        <w:t>As dissolution testing only applies to solid oral dosage forms, no analytical studies have been performed to compare dissolution profiles of the 32 mg dispersib</w:t>
      </w:r>
      <w:r w:rsidR="007C6D8D">
        <w:rPr>
          <w:lang w:eastAsia="ja-JP"/>
        </w:rPr>
        <w:t>le tablets, the 62.5 mg and 125 </w:t>
      </w:r>
      <w:r w:rsidRPr="003802D8">
        <w:rPr>
          <w:lang w:eastAsia="ja-JP"/>
        </w:rPr>
        <w:t xml:space="preserve">mg tablets and the oral suspension of bosentan used in early clinical development. All dosage forms developed are stated to be </w:t>
      </w:r>
      <w:r w:rsidR="00A5161C">
        <w:rPr>
          <w:lang w:eastAsia="ja-JP"/>
        </w:rPr>
        <w:t>immediate release</w:t>
      </w:r>
      <w:r w:rsidRPr="003802D8">
        <w:rPr>
          <w:lang w:eastAsia="ja-JP"/>
        </w:rPr>
        <w:t xml:space="preserve"> forms with 90% of </w:t>
      </w:r>
      <w:r w:rsidR="007C6D8D">
        <w:rPr>
          <w:lang w:eastAsia="ja-JP"/>
        </w:rPr>
        <w:t xml:space="preserve">bosentan is dissolved within 20 to </w:t>
      </w:r>
      <w:r w:rsidRPr="003802D8">
        <w:rPr>
          <w:lang w:eastAsia="ja-JP"/>
        </w:rPr>
        <w:t>30 minutes for 62.5 mg and 125 mg tablets, and less than 15 min for an oral suspension or dispersion of bosentan.</w:t>
      </w:r>
    </w:p>
    <w:p w14:paraId="0B1DB6B4" w14:textId="77777777" w:rsidR="00D735B8" w:rsidRDefault="00D735B8" w:rsidP="00153B34">
      <w:pPr>
        <w:pStyle w:val="Heading4"/>
        <w:numPr>
          <w:ilvl w:val="2"/>
          <w:numId w:val="5"/>
        </w:numPr>
      </w:pPr>
      <w:r>
        <w:t>Excipients</w:t>
      </w:r>
    </w:p>
    <w:p w14:paraId="0DF6E0E6" w14:textId="77777777" w:rsidR="00D735B8" w:rsidRDefault="00D735B8" w:rsidP="00482EC1">
      <w:pPr>
        <w:rPr>
          <w:lang w:eastAsia="ja-JP"/>
        </w:rPr>
      </w:pPr>
      <w:r>
        <w:rPr>
          <w:lang w:eastAsia="ja-JP"/>
        </w:rPr>
        <w:t xml:space="preserve">The </w:t>
      </w:r>
      <w:r w:rsidR="007C6D8D">
        <w:rPr>
          <w:lang w:eastAsia="ja-JP"/>
        </w:rPr>
        <w:t>sponsor</w:t>
      </w:r>
      <w:r>
        <w:rPr>
          <w:lang w:eastAsia="ja-JP"/>
        </w:rPr>
        <w:t xml:space="preserve"> states that the new drug product excipients are commonly used in the pharmaceutical industry and fulfil all applicable quality standards.</w:t>
      </w:r>
    </w:p>
    <w:p w14:paraId="531E924C" w14:textId="77777777" w:rsidR="00D735B8" w:rsidRDefault="00D735B8" w:rsidP="00153B34">
      <w:pPr>
        <w:pStyle w:val="Heading3"/>
        <w:numPr>
          <w:ilvl w:val="1"/>
          <w:numId w:val="8"/>
        </w:numPr>
      </w:pPr>
      <w:bookmarkStart w:id="32" w:name="_Toc473883976"/>
      <w:bookmarkStart w:id="33" w:name="_Toc519773889"/>
      <w:r>
        <w:t>Evaluator’s commentary on the background information</w:t>
      </w:r>
      <w:bookmarkEnd w:id="32"/>
      <w:bookmarkEnd w:id="33"/>
    </w:p>
    <w:p w14:paraId="56DF5708" w14:textId="4DFAF756" w:rsidR="00D735B8" w:rsidRDefault="001B3DE9" w:rsidP="00482EC1">
      <w:pPr>
        <w:rPr>
          <w:lang w:eastAsia="ja-JP"/>
        </w:rPr>
      </w:pPr>
      <w:r w:rsidRPr="001B3DE9">
        <w:rPr>
          <w:lang w:eastAsia="ja-JP"/>
        </w:rPr>
        <w:t xml:space="preserve">Australian Regulatory Guidelines for Prescription Medicines </w:t>
      </w:r>
      <w:r>
        <w:rPr>
          <w:lang w:eastAsia="ja-JP"/>
        </w:rPr>
        <w:t>(</w:t>
      </w:r>
      <w:r w:rsidR="00D735B8">
        <w:rPr>
          <w:lang w:eastAsia="ja-JP"/>
        </w:rPr>
        <w:t>ARGPM</w:t>
      </w:r>
      <w:r>
        <w:rPr>
          <w:lang w:eastAsia="ja-JP"/>
        </w:rPr>
        <w:t>)</w:t>
      </w:r>
      <w:r w:rsidR="00D735B8">
        <w:rPr>
          <w:lang w:eastAsia="ja-JP"/>
        </w:rPr>
        <w:t xml:space="preserve"> Guidance 15 states that biopharmaceutic data is required for oral suspensions unless otherwise justified. For new dosage forms bioequivalence must be established between the new dosage form and the currently registered dosage form. </w:t>
      </w:r>
      <w:r w:rsidR="007C6D8D">
        <w:rPr>
          <w:lang w:eastAsia="ja-JP"/>
        </w:rPr>
        <w:t>T</w:t>
      </w:r>
      <w:r w:rsidR="00D735B8">
        <w:rPr>
          <w:lang w:eastAsia="ja-JP"/>
        </w:rPr>
        <w:t xml:space="preserve">he </w:t>
      </w:r>
      <w:r w:rsidR="007C6D8D">
        <w:rPr>
          <w:lang w:eastAsia="ja-JP"/>
        </w:rPr>
        <w:t>sponsor</w:t>
      </w:r>
      <w:r w:rsidR="00D735B8">
        <w:rPr>
          <w:lang w:eastAsia="ja-JP"/>
        </w:rPr>
        <w:t xml:space="preserve"> states that no </w:t>
      </w:r>
      <w:r w:rsidR="00D735B8" w:rsidRPr="00C1227F">
        <w:rPr>
          <w:lang w:eastAsia="ja-JP"/>
        </w:rPr>
        <w:t xml:space="preserve">specific </w:t>
      </w:r>
      <w:r w:rsidR="0066478A">
        <w:rPr>
          <w:lang w:eastAsia="ja-JP"/>
        </w:rPr>
        <w:t>study</w:t>
      </w:r>
      <w:r w:rsidR="00D735B8" w:rsidRPr="00C1227F">
        <w:rPr>
          <w:lang w:eastAsia="ja-JP"/>
        </w:rPr>
        <w:t xml:space="preserve"> has been performed to demonstrate that the new dispersible tablet, used</w:t>
      </w:r>
      <w:r w:rsidR="00D735B8">
        <w:rPr>
          <w:lang w:eastAsia="ja-JP"/>
        </w:rPr>
        <w:t xml:space="preserve"> </w:t>
      </w:r>
      <w:r w:rsidR="00D735B8" w:rsidRPr="00C1227F">
        <w:rPr>
          <w:lang w:eastAsia="ja-JP"/>
        </w:rPr>
        <w:t>in studies FUTURE-1 and FUTURE-2, is bioequivalent to the approved marketed</w:t>
      </w:r>
      <w:r w:rsidR="00D735B8">
        <w:rPr>
          <w:lang w:eastAsia="ja-JP"/>
        </w:rPr>
        <w:t xml:space="preserve"> </w:t>
      </w:r>
      <w:r w:rsidR="00D735B8" w:rsidRPr="00C1227F">
        <w:rPr>
          <w:lang w:eastAsia="ja-JP"/>
        </w:rPr>
        <w:t>formulation.</w:t>
      </w:r>
      <w:r w:rsidR="00D735B8">
        <w:rPr>
          <w:lang w:eastAsia="ja-JP"/>
        </w:rPr>
        <w:t xml:space="preserve"> However it is noted that </w:t>
      </w:r>
      <w:r w:rsidR="00E77015">
        <w:rPr>
          <w:lang w:eastAsia="ja-JP"/>
        </w:rPr>
        <w:t>Study</w:t>
      </w:r>
      <w:r w:rsidR="00D735B8">
        <w:rPr>
          <w:lang w:eastAsia="ja-JP"/>
        </w:rPr>
        <w:t xml:space="preserve"> AC-052-116 evaluated the PK properties of a dispersible paediatric </w:t>
      </w:r>
      <w:r w:rsidR="007C6D8D">
        <w:rPr>
          <w:lang w:eastAsia="ja-JP"/>
        </w:rPr>
        <w:t>formulation</w:t>
      </w:r>
      <w:r w:rsidR="00D735B8">
        <w:rPr>
          <w:lang w:eastAsia="ja-JP"/>
        </w:rPr>
        <w:t xml:space="preserve"> and an adult formulation in healthy adult male subjects. The </w:t>
      </w:r>
      <w:r w:rsidR="007C6D8D">
        <w:rPr>
          <w:lang w:eastAsia="ja-JP"/>
        </w:rPr>
        <w:t>sponsor</w:t>
      </w:r>
      <w:r w:rsidR="00D735B8">
        <w:rPr>
          <w:lang w:eastAsia="ja-JP"/>
        </w:rPr>
        <w:t xml:space="preserve"> should be requested to confirm which studies evaluated the marketed adult formulation, the paediatric formulation intended for market and the formulation in early stages of development.</w:t>
      </w:r>
    </w:p>
    <w:p w14:paraId="511ABD8C" w14:textId="41E4A15E" w:rsidR="00D735B8" w:rsidRDefault="00D735B8" w:rsidP="00482EC1">
      <w:pPr>
        <w:rPr>
          <w:lang w:eastAsia="ja-JP"/>
        </w:rPr>
      </w:pPr>
      <w:r>
        <w:rPr>
          <w:lang w:eastAsia="ja-JP"/>
        </w:rPr>
        <w:t xml:space="preserve">Study AC-052-106 </w:t>
      </w:r>
      <w:r w:rsidRPr="00282DC5">
        <w:rPr>
          <w:lang w:eastAsia="ja-JP"/>
        </w:rPr>
        <w:t>compare</w:t>
      </w:r>
      <w:r>
        <w:rPr>
          <w:lang w:eastAsia="ja-JP"/>
        </w:rPr>
        <w:t xml:space="preserve">d the bioavailability of an oral </w:t>
      </w:r>
      <w:r w:rsidRPr="00282DC5">
        <w:rPr>
          <w:lang w:eastAsia="ja-JP"/>
        </w:rPr>
        <w:t>suspension of bosentan used in early clinical development and the approved marketed</w:t>
      </w:r>
      <w:r>
        <w:rPr>
          <w:lang w:eastAsia="ja-JP"/>
        </w:rPr>
        <w:t xml:space="preserve"> formulation</w:t>
      </w:r>
      <w:r w:rsidRPr="00282DC5">
        <w:rPr>
          <w:lang w:eastAsia="ja-JP"/>
        </w:rPr>
        <w:t xml:space="preserve">. </w:t>
      </w:r>
      <w:r>
        <w:rPr>
          <w:lang w:eastAsia="ja-JP"/>
        </w:rPr>
        <w:t xml:space="preserve">The </w:t>
      </w:r>
      <w:r w:rsidR="0066478A">
        <w:rPr>
          <w:lang w:eastAsia="ja-JP"/>
        </w:rPr>
        <w:t>study</w:t>
      </w:r>
      <w:r>
        <w:rPr>
          <w:lang w:eastAsia="ja-JP"/>
        </w:rPr>
        <w:t xml:space="preserve"> is stated to provide additional bridging support. Study AC-052-106 is summarised and the text indicates that a copy of the final CSR has been included in </w:t>
      </w:r>
      <w:r w:rsidR="001B3DE9">
        <w:rPr>
          <w:lang w:eastAsia="ja-JP"/>
        </w:rPr>
        <w:t>the clinical dossier</w:t>
      </w:r>
      <w:r>
        <w:rPr>
          <w:lang w:eastAsia="ja-JP"/>
        </w:rPr>
        <w:t xml:space="preserve"> but the </w:t>
      </w:r>
      <w:r w:rsidR="0066478A">
        <w:rPr>
          <w:lang w:eastAsia="ja-JP"/>
        </w:rPr>
        <w:t>study</w:t>
      </w:r>
      <w:r>
        <w:rPr>
          <w:lang w:eastAsia="ja-JP"/>
        </w:rPr>
        <w:t xml:space="preserve"> is not included in the current submission. The </w:t>
      </w:r>
      <w:r w:rsidR="007C6D8D">
        <w:rPr>
          <w:lang w:eastAsia="ja-JP"/>
        </w:rPr>
        <w:t>sponsor</w:t>
      </w:r>
      <w:r>
        <w:rPr>
          <w:lang w:eastAsia="ja-JP"/>
        </w:rPr>
        <w:t xml:space="preserve"> states that </w:t>
      </w:r>
      <w:r w:rsidR="001B3DE9">
        <w:rPr>
          <w:lang w:eastAsia="ja-JP"/>
        </w:rPr>
        <w:t xml:space="preserve">Study </w:t>
      </w:r>
      <w:r>
        <w:rPr>
          <w:lang w:eastAsia="ja-JP"/>
        </w:rPr>
        <w:t>AC-052-106 was provided in full as part of the original Tracleer application.</w:t>
      </w:r>
    </w:p>
    <w:p w14:paraId="09E6966E" w14:textId="1756D44C" w:rsidR="00D735B8" w:rsidRPr="00D80DA1" w:rsidRDefault="00D735B8" w:rsidP="00482EC1">
      <w:pPr>
        <w:rPr>
          <w:lang w:eastAsia="ja-JP"/>
        </w:rPr>
      </w:pPr>
      <w:r>
        <w:rPr>
          <w:lang w:eastAsia="ja-JP"/>
        </w:rPr>
        <w:t>According to the ‘Guideline on the Investigation of Bioequivalence’ a BCS-based biowaiver may be applicable for immediate release drug products for BCS</w:t>
      </w:r>
      <w:r w:rsidR="001B3DE9">
        <w:rPr>
          <w:lang w:eastAsia="ja-JP"/>
        </w:rPr>
        <w:t xml:space="preserve"> C</w:t>
      </w:r>
      <w:r>
        <w:rPr>
          <w:lang w:eastAsia="ja-JP"/>
        </w:rPr>
        <w:t xml:space="preserve">lass I or III drug substances under certain conditions. The justification for not providing biopharmaceutic studies indicates that bosentan is a BCS </w:t>
      </w:r>
      <w:r w:rsidR="001B3DE9">
        <w:rPr>
          <w:lang w:eastAsia="ja-JP"/>
        </w:rPr>
        <w:t xml:space="preserve">Class </w:t>
      </w:r>
      <w:r>
        <w:rPr>
          <w:lang w:eastAsia="ja-JP"/>
        </w:rPr>
        <w:t>II compound. The guidance indicates that in ‘</w:t>
      </w:r>
      <w:r w:rsidRPr="00D80DA1">
        <w:rPr>
          <w:lang w:eastAsia="ja-JP"/>
        </w:rPr>
        <w:t xml:space="preserve">For dosage forms such as </w:t>
      </w:r>
      <w:r w:rsidRPr="00D80DA1">
        <w:rPr>
          <w:lang w:eastAsia="ja-JP"/>
        </w:rPr>
        <w:lastRenderedPageBreak/>
        <w:t>tablets, capsules and oral suspensions, bioequivalence studies are required unless a biowaiver is applicable</w:t>
      </w:r>
      <w:r w:rsidRPr="00D80DA1">
        <w:t>’ and that in ‘cases where the test product is an oral solution which is intended to be bioequivalent to another immediate release oral dosage form, bioequivalence studies are required.’ The justification for not providing biopharmaceutic data is therefore not acceptable.</w:t>
      </w:r>
    </w:p>
    <w:p w14:paraId="6E25A305" w14:textId="77777777" w:rsidR="00D735B8" w:rsidRPr="00825200" w:rsidRDefault="00D735B8" w:rsidP="00482EC1">
      <w:pPr>
        <w:rPr>
          <w:lang w:eastAsia="ja-JP"/>
        </w:rPr>
      </w:pPr>
      <w:r>
        <w:rPr>
          <w:lang w:eastAsia="ja-JP"/>
        </w:rPr>
        <w:t xml:space="preserve">The status of the current submission in the US, Canada and New Zealand is unclear. The </w:t>
      </w:r>
      <w:r w:rsidR="007C6D8D">
        <w:rPr>
          <w:lang w:eastAsia="ja-JP"/>
        </w:rPr>
        <w:t>sponsor</w:t>
      </w:r>
      <w:r>
        <w:rPr>
          <w:lang w:eastAsia="ja-JP"/>
        </w:rPr>
        <w:t xml:space="preserve"> states that this application has not </w:t>
      </w:r>
      <w:r w:rsidRPr="00B0070E">
        <w:rPr>
          <w:lang w:eastAsia="ja-JP"/>
        </w:rPr>
        <w:t xml:space="preserve">been rejected or withdrawn in the US or Canada </w:t>
      </w:r>
      <w:r>
        <w:rPr>
          <w:lang w:eastAsia="ja-JP"/>
        </w:rPr>
        <w:t xml:space="preserve">but it is unclear whether an application to register the dispersible formulation has been made in these jurisdictions. The </w:t>
      </w:r>
      <w:r>
        <w:t xml:space="preserve">United States Prescribing Information (US PI) </w:t>
      </w:r>
      <w:r>
        <w:rPr>
          <w:lang w:eastAsia="ja-JP"/>
        </w:rPr>
        <w:t>included in the submission does not describe paediatric dosing or the 3</w:t>
      </w:r>
      <w:r w:rsidR="007C6D8D">
        <w:rPr>
          <w:lang w:eastAsia="ja-JP"/>
        </w:rPr>
        <w:t>2 mg</w:t>
      </w:r>
      <w:r>
        <w:rPr>
          <w:lang w:eastAsia="ja-JP"/>
        </w:rPr>
        <w:t xml:space="preserve"> dispersible tablet. The HCPM included in the submission does not mention the paediatric formulation and contains similar dosing instructions to the current Australian Tracleer PI. It is not stated whether a similar application has been made in New Zealand.</w:t>
      </w:r>
    </w:p>
    <w:p w14:paraId="34EBE556" w14:textId="77777777" w:rsidR="00586F98" w:rsidRDefault="00586F98" w:rsidP="00586F98">
      <w:pPr>
        <w:pStyle w:val="Heading2"/>
        <w:rPr>
          <w:lang w:eastAsia="en-AU"/>
        </w:rPr>
      </w:pPr>
      <w:bookmarkStart w:id="34" w:name="_Toc519773890"/>
      <w:r>
        <w:rPr>
          <w:lang w:eastAsia="en-AU"/>
        </w:rPr>
        <w:t>Contents of the clinical dossier</w:t>
      </w:r>
      <w:bookmarkEnd w:id="8"/>
      <w:bookmarkEnd w:id="9"/>
      <w:bookmarkEnd w:id="34"/>
    </w:p>
    <w:p w14:paraId="58C9EB15" w14:textId="77777777" w:rsidR="00D735B8" w:rsidRPr="00D735B8" w:rsidRDefault="00D735B8" w:rsidP="00482EC1">
      <w:r>
        <w:t>The c</w:t>
      </w:r>
      <w:r w:rsidRPr="000A2734">
        <w:t xml:space="preserve">linical efficacy and safety </w:t>
      </w:r>
      <w:r>
        <w:t xml:space="preserve">of the new formulation of bosentan </w:t>
      </w:r>
      <w:r w:rsidRPr="000A2734">
        <w:t xml:space="preserve">in the paediatric population </w:t>
      </w:r>
      <w:r>
        <w:t>has been</w:t>
      </w:r>
      <w:r w:rsidRPr="000A2734">
        <w:t xml:space="preserve"> extrapolated from the currently-registered products</w:t>
      </w:r>
      <w:r>
        <w:t xml:space="preserve"> and the PK of the two formulations</w:t>
      </w:r>
      <w:r w:rsidRPr="000A2734">
        <w:t>.</w:t>
      </w:r>
      <w:r>
        <w:t xml:space="preserve"> Several of the submitted studies collected data on safety and efficacy in the paediatric population, as </w:t>
      </w:r>
      <w:r w:rsidRPr="007C6D8D">
        <w:t>discussed in</w:t>
      </w:r>
      <w:r w:rsidR="007C6D8D" w:rsidRPr="007C6D8D">
        <w:t xml:space="preserve"> Sections 7 and 8</w:t>
      </w:r>
      <w:r w:rsidRPr="007C6D8D">
        <w:t>.</w:t>
      </w:r>
    </w:p>
    <w:p w14:paraId="554C7279" w14:textId="77777777" w:rsidR="00586F98" w:rsidRDefault="00586F98" w:rsidP="00586F98">
      <w:pPr>
        <w:pStyle w:val="Heading3"/>
      </w:pPr>
      <w:bookmarkStart w:id="35" w:name="_Toc519773891"/>
      <w:r>
        <w:t>Scope of the clinical dossier</w:t>
      </w:r>
      <w:bookmarkEnd w:id="35"/>
    </w:p>
    <w:p w14:paraId="70D070BC" w14:textId="77777777" w:rsidR="00D735B8" w:rsidRPr="00A55675" w:rsidRDefault="007C6D8D" w:rsidP="00D735B8">
      <w:r>
        <w:t>T</w:t>
      </w:r>
      <w:r w:rsidR="00D735B8">
        <w:t>he following clinical studies of relevance to the submission</w:t>
      </w:r>
      <w:r>
        <w:t xml:space="preserve"> were provided</w:t>
      </w:r>
      <w:r w:rsidR="00D735B8">
        <w:t>:</w:t>
      </w:r>
    </w:p>
    <w:p w14:paraId="0781C1E7" w14:textId="77777777" w:rsidR="00D735B8" w:rsidRPr="00D735B8" w:rsidRDefault="00D735B8" w:rsidP="00D735B8">
      <w:pPr>
        <w:pStyle w:val="ListBullet"/>
      </w:pPr>
      <w:r w:rsidRPr="00D735B8">
        <w:t>Two clinical pharmacology studies providing PK and safety pharmacology data.</w:t>
      </w:r>
    </w:p>
    <w:p w14:paraId="17F87A16" w14:textId="77777777" w:rsidR="00D735B8" w:rsidRPr="00D735B8" w:rsidRDefault="00D735B8" w:rsidP="00D735B8">
      <w:pPr>
        <w:pStyle w:val="ListBullet"/>
      </w:pPr>
      <w:r w:rsidRPr="00D735B8">
        <w:t>Two population PK (popPK) analyses</w:t>
      </w:r>
    </w:p>
    <w:p w14:paraId="32705631" w14:textId="77777777" w:rsidR="00D735B8" w:rsidRPr="00D735B8" w:rsidRDefault="00D735B8" w:rsidP="00D735B8">
      <w:pPr>
        <w:pStyle w:val="ListBullet"/>
      </w:pPr>
      <w:r w:rsidRPr="00D735B8">
        <w:t>Three uncontrolled studies of safety and efficacy</w:t>
      </w:r>
    </w:p>
    <w:p w14:paraId="1AA7521F" w14:textId="77777777" w:rsidR="00D735B8" w:rsidRPr="00D735B8" w:rsidRDefault="00D735B8" w:rsidP="00D735B8">
      <w:pPr>
        <w:pStyle w:val="ListBullet"/>
      </w:pPr>
      <w:r w:rsidRPr="00D735B8">
        <w:t>Two suppo</w:t>
      </w:r>
      <w:r w:rsidR="007C6D8D">
        <w:t>rtive studies requested by the D</w:t>
      </w:r>
      <w:r w:rsidRPr="00D735B8">
        <w:t>elegate</w:t>
      </w:r>
    </w:p>
    <w:p w14:paraId="20062B35" w14:textId="77777777" w:rsidR="00D735B8" w:rsidRPr="00D735B8" w:rsidRDefault="00D735B8" w:rsidP="00D735B8">
      <w:pPr>
        <w:pStyle w:val="ListBullet"/>
      </w:pPr>
      <w:r w:rsidRPr="00D735B8">
        <w:t xml:space="preserve">Two reports of analyses of data from more than one </w:t>
      </w:r>
      <w:r w:rsidR="0066478A">
        <w:t>study</w:t>
      </w:r>
      <w:r w:rsidRPr="00D735B8">
        <w:t xml:space="preserve"> (appendi</w:t>
      </w:r>
      <w:r w:rsidR="007C6D8D">
        <w:t>ces to Modules 2.7.3 and 2.7.4)</w:t>
      </w:r>
    </w:p>
    <w:p w14:paraId="27B44FB8" w14:textId="77777777" w:rsidR="00D735B8" w:rsidRPr="00D735B8" w:rsidRDefault="00D735B8" w:rsidP="00D735B8">
      <w:pPr>
        <w:pStyle w:val="ListBullet"/>
      </w:pPr>
      <w:r w:rsidRPr="00D735B8">
        <w:t>One PSUR for the period 20 November 2013 to 19 November 2014</w:t>
      </w:r>
    </w:p>
    <w:p w14:paraId="4B6319EA" w14:textId="77777777" w:rsidR="00D735B8" w:rsidRPr="00A55675" w:rsidRDefault="00D735B8" w:rsidP="00D735B8">
      <w:pPr>
        <w:pStyle w:val="ListBullet"/>
      </w:pPr>
      <w:r w:rsidRPr="00D735B8">
        <w:t>61 literature references</w:t>
      </w:r>
    </w:p>
    <w:p w14:paraId="33E5F835" w14:textId="77777777" w:rsidR="00D735B8" w:rsidRDefault="007C6D8D" w:rsidP="00482EC1">
      <w:r>
        <w:t>The submission also</w:t>
      </w:r>
      <w:r w:rsidR="00D735B8">
        <w:t xml:space="preserve"> contained the following documents of relevance to the clinical evaluation:</w:t>
      </w:r>
    </w:p>
    <w:p w14:paraId="186FC6B3" w14:textId="77777777" w:rsidR="00D735B8" w:rsidRDefault="00D735B8" w:rsidP="00D735B8">
      <w:pPr>
        <w:pStyle w:val="ListBullet"/>
      </w:pPr>
      <w:r>
        <w:t>Clinical Overview and addendum to support EMEA variation 39</w:t>
      </w:r>
    </w:p>
    <w:p w14:paraId="13267268" w14:textId="77777777" w:rsidR="00D735B8" w:rsidRDefault="00D735B8" w:rsidP="00D735B8">
      <w:pPr>
        <w:pStyle w:val="ListBullet"/>
      </w:pPr>
      <w:r>
        <w:t>Clinical Overview and addendum to support EMEA variation 66</w:t>
      </w:r>
    </w:p>
    <w:p w14:paraId="44FFCE28" w14:textId="77777777" w:rsidR="00D735B8" w:rsidRDefault="00D735B8" w:rsidP="00D735B8">
      <w:pPr>
        <w:pStyle w:val="ListBullet"/>
      </w:pPr>
      <w:r>
        <w:t>Addendum (used to support EMEA Variation 51)</w:t>
      </w:r>
    </w:p>
    <w:p w14:paraId="2494AE39" w14:textId="77777777" w:rsidR="00D735B8" w:rsidRDefault="00D735B8" w:rsidP="00D735B8">
      <w:pPr>
        <w:pStyle w:val="ListBullet"/>
      </w:pPr>
      <w:r>
        <w:t>Addendum Clinical Overview (20</w:t>
      </w:r>
      <w:r w:rsidRPr="00CB4DD7">
        <w:rPr>
          <w:vertAlign w:val="superscript"/>
        </w:rPr>
        <w:t>th</w:t>
      </w:r>
      <w:r>
        <w:t xml:space="preserve"> PSUR nasal congestion)</w:t>
      </w:r>
    </w:p>
    <w:p w14:paraId="76EC8470" w14:textId="77777777" w:rsidR="00D735B8" w:rsidRDefault="00D735B8" w:rsidP="00D735B8">
      <w:pPr>
        <w:pStyle w:val="ListBullet"/>
      </w:pPr>
      <w:r>
        <w:t>Summary of Biopharmaceutic Studies and Associated Analytical Methods</w:t>
      </w:r>
    </w:p>
    <w:p w14:paraId="6AA1C4AE" w14:textId="77777777" w:rsidR="00D735B8" w:rsidRDefault="00D735B8" w:rsidP="00D735B8">
      <w:pPr>
        <w:pStyle w:val="ListBullet"/>
      </w:pPr>
      <w:r>
        <w:t>Summary and Addendum to support variation 39</w:t>
      </w:r>
    </w:p>
    <w:p w14:paraId="5B033B20" w14:textId="77777777" w:rsidR="00D735B8" w:rsidRDefault="00D735B8" w:rsidP="00D735B8">
      <w:pPr>
        <w:pStyle w:val="ListBullet"/>
      </w:pPr>
      <w:r>
        <w:t>Two documents titled ‘Summary to support EMEA variation 66’</w:t>
      </w:r>
    </w:p>
    <w:p w14:paraId="26001464" w14:textId="77777777" w:rsidR="00D735B8" w:rsidRDefault="00D735B8" w:rsidP="00D735B8">
      <w:pPr>
        <w:pStyle w:val="ListBullet"/>
      </w:pPr>
      <w:r>
        <w:t>Three documents titled ‘Summary to support EMEA variation 39’</w:t>
      </w:r>
    </w:p>
    <w:p w14:paraId="6C1B0B07" w14:textId="77777777" w:rsidR="00D735B8" w:rsidRDefault="00D735B8" w:rsidP="00D735B8">
      <w:pPr>
        <w:pStyle w:val="ListBullet"/>
      </w:pPr>
      <w:r>
        <w:t>Summary addendum (used to support EMEA Variation 51)</w:t>
      </w:r>
    </w:p>
    <w:p w14:paraId="64830F6A" w14:textId="77777777" w:rsidR="00D735B8" w:rsidRDefault="00D735B8" w:rsidP="00D735B8">
      <w:pPr>
        <w:pStyle w:val="ListBullet"/>
      </w:pPr>
      <w:r>
        <w:t>Synopses of individual studies</w:t>
      </w:r>
    </w:p>
    <w:p w14:paraId="12F349BA" w14:textId="77777777" w:rsidR="00D735B8" w:rsidRPr="00A55675" w:rsidRDefault="00D735B8" w:rsidP="00D735B8">
      <w:pPr>
        <w:pStyle w:val="ListBullet"/>
      </w:pPr>
      <w:r>
        <w:lastRenderedPageBreak/>
        <w:t>A list of literature references</w:t>
      </w:r>
    </w:p>
    <w:p w14:paraId="1A600D7C" w14:textId="77777777" w:rsidR="00586F98" w:rsidRDefault="00586F98" w:rsidP="00D735B8">
      <w:pPr>
        <w:pStyle w:val="Heading3"/>
        <w:numPr>
          <w:ilvl w:val="0"/>
          <w:numId w:val="0"/>
        </w:numPr>
      </w:pPr>
      <w:bookmarkStart w:id="36" w:name="_Toc519773892"/>
      <w:r>
        <w:t>Paediatric data</w:t>
      </w:r>
      <w:bookmarkEnd w:id="36"/>
    </w:p>
    <w:p w14:paraId="71F20843" w14:textId="77777777" w:rsidR="007C6D8D" w:rsidRDefault="00D735B8" w:rsidP="00482EC1">
      <w:pPr>
        <w:rPr>
          <w:lang w:eastAsia="ja-JP"/>
        </w:rPr>
      </w:pPr>
      <w:r>
        <w:rPr>
          <w:lang w:eastAsia="ja-JP"/>
        </w:rPr>
        <w:t xml:space="preserve">Seven studies with paediatric data have been included in the </w:t>
      </w:r>
      <w:r w:rsidRPr="005F754D">
        <w:rPr>
          <w:lang w:eastAsia="ja-JP"/>
        </w:rPr>
        <w:t>submission (</w:t>
      </w:r>
      <w:r w:rsidR="005F754D" w:rsidRPr="005F754D">
        <w:rPr>
          <w:lang w:eastAsia="ja-JP"/>
        </w:rPr>
        <w:t>Table 5</w:t>
      </w:r>
      <w:r w:rsidRPr="005F754D">
        <w:rPr>
          <w:lang w:eastAsia="ja-JP"/>
        </w:rPr>
        <w:t>).</w:t>
      </w:r>
      <w:r>
        <w:rPr>
          <w:lang w:eastAsia="ja-JP"/>
        </w:rPr>
        <w:t xml:space="preserve"> The </w:t>
      </w:r>
      <w:r w:rsidR="007C6D8D">
        <w:rPr>
          <w:lang w:eastAsia="ja-JP"/>
        </w:rPr>
        <w:t>p</w:t>
      </w:r>
      <w:r>
        <w:rPr>
          <w:lang w:eastAsia="ja-JP"/>
        </w:rPr>
        <w:t xml:space="preserve">aediatric development program form indicates that the </w:t>
      </w:r>
      <w:r w:rsidR="007C6D8D">
        <w:rPr>
          <w:lang w:eastAsia="ja-JP"/>
        </w:rPr>
        <w:t>sponsor</w:t>
      </w:r>
      <w:r>
        <w:rPr>
          <w:lang w:eastAsia="ja-JP"/>
        </w:rPr>
        <w:t xml:space="preserve"> is seeking approval for the preterm or term newborn infant, infant and toddler and children age ranges (less than 28 days to 11 years). The form indicates that the </w:t>
      </w:r>
      <w:r w:rsidR="007C6D8D">
        <w:rPr>
          <w:lang w:eastAsia="ja-JP"/>
        </w:rPr>
        <w:t>sponsor</w:t>
      </w:r>
      <w:r>
        <w:rPr>
          <w:lang w:eastAsia="ja-JP"/>
        </w:rPr>
        <w:t xml:space="preserve"> has an agreed PIP in Europe and an exemption from having to submit a paediatric assessment in the USA. The form states that all PIP studies have been completed</w:t>
      </w:r>
      <w:r w:rsidR="007C6D8D">
        <w:rPr>
          <w:lang w:eastAsia="ja-JP"/>
        </w:rPr>
        <w:t>.</w:t>
      </w:r>
    </w:p>
    <w:p w14:paraId="6D33F7B6" w14:textId="77777777" w:rsidR="00D735B8" w:rsidRDefault="00D735B8" w:rsidP="00D735B8">
      <w:pPr>
        <w:pStyle w:val="Tabletitle"/>
        <w:rPr>
          <w:lang w:eastAsia="ja-JP"/>
        </w:rPr>
      </w:pPr>
      <w:bookmarkStart w:id="37" w:name="_Ref460835035"/>
      <w:bookmarkStart w:id="38" w:name="_Toc473884049"/>
      <w:r>
        <w:t xml:space="preserve">Table </w:t>
      </w:r>
      <w:bookmarkEnd w:id="37"/>
      <w:r w:rsidR="005F754D">
        <w:t>5:</w:t>
      </w:r>
      <w:r>
        <w:t xml:space="preserve"> Paediatric studies included in the submission</w:t>
      </w:r>
      <w:bookmarkEnd w:id="38"/>
    </w:p>
    <w:tbl>
      <w:tblPr>
        <w:tblStyle w:val="TableTGAblue"/>
        <w:tblW w:w="8920" w:type="dxa"/>
        <w:tblLook w:val="04A0" w:firstRow="1" w:lastRow="0" w:firstColumn="1" w:lastColumn="0" w:noHBand="0" w:noVBand="1"/>
      </w:tblPr>
      <w:tblGrid>
        <w:gridCol w:w="1883"/>
        <w:gridCol w:w="1966"/>
        <w:gridCol w:w="1545"/>
        <w:gridCol w:w="3526"/>
      </w:tblGrid>
      <w:tr w:rsidR="00D735B8" w:rsidRPr="00A17C52" w14:paraId="372E5654" w14:textId="77777777" w:rsidTr="00E97B2B">
        <w:trPr>
          <w:cnfStyle w:val="100000000000" w:firstRow="1" w:lastRow="0" w:firstColumn="0" w:lastColumn="0" w:oddVBand="0" w:evenVBand="0" w:oddHBand="0" w:evenHBand="0" w:firstRowFirstColumn="0" w:firstRowLastColumn="0" w:lastRowFirstColumn="0" w:lastRowLastColumn="0"/>
          <w:trHeight w:val="140"/>
          <w:tblHeader/>
        </w:trPr>
        <w:tc>
          <w:tcPr>
            <w:cnfStyle w:val="001000000000" w:firstRow="0" w:lastRow="0" w:firstColumn="1" w:lastColumn="0" w:oddVBand="0" w:evenVBand="0" w:oddHBand="0" w:evenHBand="0" w:firstRowFirstColumn="0" w:firstRowLastColumn="0" w:lastRowFirstColumn="0" w:lastRowLastColumn="0"/>
            <w:tcW w:w="1883" w:type="dxa"/>
          </w:tcPr>
          <w:p w14:paraId="7DB2E73E" w14:textId="77777777" w:rsidR="00D735B8" w:rsidRPr="00A17C52" w:rsidRDefault="00D735B8" w:rsidP="00A17C52">
            <w:pPr>
              <w:rPr>
                <w:b w:val="0"/>
                <w:sz w:val="20"/>
                <w:szCs w:val="20"/>
              </w:rPr>
            </w:pPr>
            <w:r w:rsidRPr="00A17C52">
              <w:rPr>
                <w:sz w:val="20"/>
                <w:szCs w:val="20"/>
              </w:rPr>
              <w:t>PK topic</w:t>
            </w:r>
          </w:p>
        </w:tc>
        <w:tc>
          <w:tcPr>
            <w:tcW w:w="1829" w:type="dxa"/>
          </w:tcPr>
          <w:p w14:paraId="535E258A" w14:textId="77777777" w:rsidR="00D735B8" w:rsidRPr="00A17C52" w:rsidRDefault="00D735B8" w:rsidP="00A17C52">
            <w:pPr>
              <w:cnfStyle w:val="100000000000" w:firstRow="1" w:lastRow="0" w:firstColumn="0" w:lastColumn="0" w:oddVBand="0" w:evenVBand="0" w:oddHBand="0" w:evenHBand="0" w:firstRowFirstColumn="0" w:firstRowLastColumn="0" w:lastRowFirstColumn="0" w:lastRowLastColumn="0"/>
              <w:rPr>
                <w:b w:val="0"/>
                <w:sz w:val="20"/>
                <w:szCs w:val="20"/>
              </w:rPr>
            </w:pPr>
            <w:r w:rsidRPr="00A17C52">
              <w:rPr>
                <w:sz w:val="20"/>
                <w:szCs w:val="20"/>
              </w:rPr>
              <w:t>Age group</w:t>
            </w:r>
          </w:p>
        </w:tc>
        <w:tc>
          <w:tcPr>
            <w:tcW w:w="1545" w:type="dxa"/>
          </w:tcPr>
          <w:p w14:paraId="5DD30E40" w14:textId="77777777" w:rsidR="00D735B8" w:rsidRPr="00A17C52" w:rsidRDefault="00D735B8" w:rsidP="00A17C52">
            <w:pPr>
              <w:cnfStyle w:val="100000000000" w:firstRow="1" w:lastRow="0" w:firstColumn="0" w:lastColumn="0" w:oddVBand="0" w:evenVBand="0" w:oddHBand="0" w:evenHBand="0" w:firstRowFirstColumn="0" w:firstRowLastColumn="0" w:lastRowFirstColumn="0" w:lastRowLastColumn="0"/>
              <w:rPr>
                <w:b w:val="0"/>
                <w:sz w:val="20"/>
                <w:szCs w:val="20"/>
              </w:rPr>
            </w:pPr>
            <w:r w:rsidRPr="00A17C52">
              <w:rPr>
                <w:sz w:val="20"/>
                <w:szCs w:val="20"/>
              </w:rPr>
              <w:t>Study ID</w:t>
            </w:r>
          </w:p>
        </w:tc>
        <w:tc>
          <w:tcPr>
            <w:tcW w:w="0" w:type="auto"/>
          </w:tcPr>
          <w:p w14:paraId="04D69567" w14:textId="77777777" w:rsidR="00D735B8" w:rsidRPr="00A17C52" w:rsidRDefault="00D735B8" w:rsidP="00A17C52">
            <w:pPr>
              <w:cnfStyle w:val="100000000000" w:firstRow="1" w:lastRow="0" w:firstColumn="0" w:lastColumn="0" w:oddVBand="0" w:evenVBand="0" w:oddHBand="0" w:evenHBand="0" w:firstRowFirstColumn="0" w:firstRowLastColumn="0" w:lastRowFirstColumn="0" w:lastRowLastColumn="0"/>
              <w:rPr>
                <w:b w:val="0"/>
                <w:sz w:val="20"/>
                <w:szCs w:val="20"/>
              </w:rPr>
            </w:pPr>
            <w:r w:rsidRPr="00A17C52">
              <w:rPr>
                <w:sz w:val="20"/>
                <w:szCs w:val="20"/>
              </w:rPr>
              <w:t>Synopsis</w:t>
            </w:r>
          </w:p>
        </w:tc>
      </w:tr>
      <w:tr w:rsidR="00D735B8" w:rsidRPr="00A17C52" w14:paraId="49F74711"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tcPr>
          <w:p w14:paraId="07B29A0E" w14:textId="77777777" w:rsidR="00D735B8" w:rsidRPr="00A17C52" w:rsidRDefault="00D735B8" w:rsidP="00A17C52">
            <w:pPr>
              <w:rPr>
                <w:sz w:val="20"/>
                <w:szCs w:val="20"/>
              </w:rPr>
            </w:pPr>
            <w:r w:rsidRPr="00A17C52">
              <w:rPr>
                <w:sz w:val="20"/>
                <w:szCs w:val="20"/>
              </w:rPr>
              <w:t xml:space="preserve">Intrinsic factor PK </w:t>
            </w:r>
            <w:r w:rsidR="0066478A" w:rsidRPr="00A17C52">
              <w:rPr>
                <w:sz w:val="20"/>
                <w:szCs w:val="20"/>
              </w:rPr>
              <w:t>study</w:t>
            </w:r>
            <w:r w:rsidRPr="00A17C52">
              <w:rPr>
                <w:sz w:val="20"/>
                <w:szCs w:val="20"/>
              </w:rPr>
              <w:t xml:space="preserve"> reports</w:t>
            </w:r>
          </w:p>
        </w:tc>
        <w:tc>
          <w:tcPr>
            <w:tcW w:w="1829" w:type="dxa"/>
          </w:tcPr>
          <w:p w14:paraId="69CCADC7"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Children</w:t>
            </w:r>
          </w:p>
        </w:tc>
        <w:tc>
          <w:tcPr>
            <w:tcW w:w="1545" w:type="dxa"/>
          </w:tcPr>
          <w:p w14:paraId="6C3388F3"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AC-052-365 FUTURE-1</w:t>
            </w:r>
          </w:p>
        </w:tc>
        <w:tc>
          <w:tcPr>
            <w:tcW w:w="0" w:type="auto"/>
          </w:tcPr>
          <w:p w14:paraId="1019D46E"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An open label, multicentre </w:t>
            </w:r>
            <w:r w:rsidR="0066478A" w:rsidRPr="00A17C52">
              <w:rPr>
                <w:sz w:val="20"/>
                <w:szCs w:val="20"/>
              </w:rPr>
              <w:t>study</w:t>
            </w:r>
            <w:r w:rsidRPr="00A17C52">
              <w:rPr>
                <w:sz w:val="20"/>
                <w:szCs w:val="20"/>
              </w:rPr>
              <w:t xml:space="preserve"> to assess the PK, tolerability, and safety of a paediatric formulation of bosentan in children with idiopathic or familial PAH.</w:t>
            </w:r>
          </w:p>
        </w:tc>
      </w:tr>
      <w:tr w:rsidR="00D735B8" w:rsidRPr="00A17C52" w14:paraId="5FC54D41"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tcPr>
          <w:p w14:paraId="2E6E3F7A" w14:textId="77777777" w:rsidR="00D735B8" w:rsidRPr="00A17C52" w:rsidRDefault="00D735B8" w:rsidP="00A17C52">
            <w:pPr>
              <w:rPr>
                <w:sz w:val="20"/>
                <w:szCs w:val="20"/>
              </w:rPr>
            </w:pPr>
            <w:r w:rsidRPr="00A17C52">
              <w:rPr>
                <w:sz w:val="20"/>
                <w:szCs w:val="20"/>
              </w:rPr>
              <w:t>Population PK analyses</w:t>
            </w:r>
          </w:p>
        </w:tc>
        <w:tc>
          <w:tcPr>
            <w:tcW w:w="1829" w:type="dxa"/>
          </w:tcPr>
          <w:p w14:paraId="5685FF2A"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Infants/children</w:t>
            </w:r>
          </w:p>
        </w:tc>
        <w:tc>
          <w:tcPr>
            <w:tcW w:w="1545" w:type="dxa"/>
          </w:tcPr>
          <w:p w14:paraId="6D9AD1E9"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AC-052-373 FUTURE-3</w:t>
            </w:r>
          </w:p>
        </w:tc>
        <w:tc>
          <w:tcPr>
            <w:tcW w:w="0" w:type="auto"/>
          </w:tcPr>
          <w:p w14:paraId="6773C7CF"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PopPK of bosentan in children with PAH</w:t>
            </w:r>
          </w:p>
        </w:tc>
      </w:tr>
      <w:tr w:rsidR="00D735B8" w:rsidRPr="00A17C52" w14:paraId="5A4E0E4A"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val="restart"/>
          </w:tcPr>
          <w:p w14:paraId="2F319686" w14:textId="77777777" w:rsidR="00D735B8" w:rsidRPr="00A17C52" w:rsidRDefault="00D735B8" w:rsidP="00A17C52">
            <w:pPr>
              <w:rPr>
                <w:sz w:val="20"/>
                <w:szCs w:val="20"/>
              </w:rPr>
            </w:pPr>
            <w:r w:rsidRPr="00A17C52">
              <w:rPr>
                <w:sz w:val="20"/>
                <w:szCs w:val="20"/>
              </w:rPr>
              <w:t>Uncontrolled clinical studies</w:t>
            </w:r>
          </w:p>
        </w:tc>
        <w:tc>
          <w:tcPr>
            <w:tcW w:w="1829" w:type="dxa"/>
          </w:tcPr>
          <w:p w14:paraId="1C685957"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Children</w:t>
            </w:r>
          </w:p>
        </w:tc>
        <w:tc>
          <w:tcPr>
            <w:tcW w:w="1545" w:type="dxa"/>
          </w:tcPr>
          <w:p w14:paraId="6A381D18"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AC-052-367 FUTURE-2</w:t>
            </w:r>
          </w:p>
        </w:tc>
        <w:tc>
          <w:tcPr>
            <w:tcW w:w="0" w:type="auto"/>
          </w:tcPr>
          <w:p w14:paraId="05C10E4B"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An </w:t>
            </w:r>
            <w:r w:rsidR="009C6335" w:rsidRPr="00A17C52">
              <w:rPr>
                <w:sz w:val="20"/>
                <w:szCs w:val="20"/>
              </w:rPr>
              <w:t>open label</w:t>
            </w:r>
            <w:r w:rsidRPr="00A17C52">
              <w:rPr>
                <w:sz w:val="20"/>
                <w:szCs w:val="20"/>
              </w:rPr>
              <w:t xml:space="preserve">, </w:t>
            </w:r>
            <w:r w:rsidR="007C6D8D" w:rsidRPr="00A17C52">
              <w:rPr>
                <w:sz w:val="20"/>
                <w:szCs w:val="20"/>
              </w:rPr>
              <w:t>long term</w:t>
            </w:r>
            <w:r w:rsidRPr="00A17C52">
              <w:rPr>
                <w:sz w:val="20"/>
                <w:szCs w:val="20"/>
              </w:rPr>
              <w:t xml:space="preserve">, safety, and tolerability extension </w:t>
            </w:r>
            <w:r w:rsidR="0066478A" w:rsidRPr="00A17C52">
              <w:rPr>
                <w:sz w:val="20"/>
                <w:szCs w:val="20"/>
              </w:rPr>
              <w:t>study</w:t>
            </w:r>
            <w:r w:rsidRPr="00A17C52">
              <w:rPr>
                <w:sz w:val="20"/>
                <w:szCs w:val="20"/>
              </w:rPr>
              <w:t xml:space="preserve"> using the paediatric formulation of bosentan in the treatment of children with idiopathic or familial PAH who completed </w:t>
            </w:r>
            <w:r w:rsidR="009C6335" w:rsidRPr="00A17C52">
              <w:rPr>
                <w:sz w:val="20"/>
                <w:szCs w:val="20"/>
              </w:rPr>
              <w:t>FUTURE-1</w:t>
            </w:r>
            <w:r w:rsidRPr="00A17C52">
              <w:rPr>
                <w:sz w:val="20"/>
                <w:szCs w:val="20"/>
              </w:rPr>
              <w:t>.</w:t>
            </w:r>
          </w:p>
        </w:tc>
      </w:tr>
      <w:tr w:rsidR="00D735B8" w:rsidRPr="00A17C52" w14:paraId="3C2E237A"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tcPr>
          <w:p w14:paraId="7F870BD0" w14:textId="77777777" w:rsidR="00D735B8" w:rsidRPr="00A17C52" w:rsidRDefault="00D735B8" w:rsidP="00A17C52">
            <w:pPr>
              <w:rPr>
                <w:sz w:val="20"/>
                <w:szCs w:val="20"/>
              </w:rPr>
            </w:pPr>
          </w:p>
        </w:tc>
        <w:tc>
          <w:tcPr>
            <w:tcW w:w="1829" w:type="dxa"/>
          </w:tcPr>
          <w:p w14:paraId="7ADD3015"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Infants/children</w:t>
            </w:r>
          </w:p>
        </w:tc>
        <w:tc>
          <w:tcPr>
            <w:tcW w:w="1545" w:type="dxa"/>
          </w:tcPr>
          <w:p w14:paraId="128A89D9"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AC-052-373 FUTURE-3</w:t>
            </w:r>
          </w:p>
        </w:tc>
        <w:tc>
          <w:tcPr>
            <w:tcW w:w="0" w:type="auto"/>
          </w:tcPr>
          <w:p w14:paraId="67D6F2D1"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highlight w:val="green"/>
              </w:rPr>
            </w:pPr>
            <w:r w:rsidRPr="00A17C52">
              <w:rPr>
                <w:sz w:val="20"/>
                <w:szCs w:val="20"/>
              </w:rPr>
              <w:t xml:space="preserve">An </w:t>
            </w:r>
            <w:r w:rsidR="009C6335" w:rsidRPr="00A17C52">
              <w:rPr>
                <w:sz w:val="20"/>
                <w:szCs w:val="20"/>
              </w:rPr>
              <w:t>open label</w:t>
            </w:r>
            <w:r w:rsidRPr="00A17C52">
              <w:rPr>
                <w:sz w:val="20"/>
                <w:szCs w:val="20"/>
              </w:rPr>
              <w:t xml:space="preserve">, randomised, multicentre, multiple dose trial to evaluate the PK, tolerability, safety and efficacy of the paediatric formulation of bosentan </w:t>
            </w:r>
            <w:r w:rsidR="007C6D8D" w:rsidRPr="00A17C52">
              <w:rPr>
                <w:sz w:val="20"/>
                <w:szCs w:val="20"/>
              </w:rPr>
              <w:t>BD</w:t>
            </w:r>
            <w:r w:rsidRPr="00A17C52">
              <w:rPr>
                <w:sz w:val="20"/>
                <w:szCs w:val="20"/>
              </w:rPr>
              <w:t xml:space="preserve"> </w:t>
            </w:r>
            <w:r w:rsidR="007C6D8D" w:rsidRPr="00A17C52">
              <w:rPr>
                <w:sz w:val="20"/>
                <w:szCs w:val="20"/>
              </w:rPr>
              <w:t>versus</w:t>
            </w:r>
            <w:r w:rsidRPr="00A17C52">
              <w:rPr>
                <w:sz w:val="20"/>
                <w:szCs w:val="20"/>
              </w:rPr>
              <w:t xml:space="preserve"> </w:t>
            </w:r>
            <w:r w:rsidR="007C6D8D" w:rsidRPr="00A17C52">
              <w:rPr>
                <w:sz w:val="20"/>
                <w:szCs w:val="20"/>
              </w:rPr>
              <w:t>TDS</w:t>
            </w:r>
            <w:r w:rsidRPr="00A17C52">
              <w:rPr>
                <w:sz w:val="20"/>
                <w:szCs w:val="20"/>
              </w:rPr>
              <w:t xml:space="preserve"> in children from 3 months to less than 12 years of age with PAH.</w:t>
            </w:r>
          </w:p>
        </w:tc>
      </w:tr>
      <w:tr w:rsidR="00D735B8" w:rsidRPr="00A17C52" w14:paraId="3C53EAD6"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tcPr>
          <w:p w14:paraId="5113DA35" w14:textId="77777777" w:rsidR="00D735B8" w:rsidRPr="00A17C52" w:rsidRDefault="00D735B8" w:rsidP="00A17C52">
            <w:pPr>
              <w:rPr>
                <w:sz w:val="20"/>
                <w:szCs w:val="20"/>
              </w:rPr>
            </w:pPr>
          </w:p>
        </w:tc>
        <w:tc>
          <w:tcPr>
            <w:tcW w:w="1829" w:type="dxa"/>
          </w:tcPr>
          <w:p w14:paraId="01A709C3"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Infants/children</w:t>
            </w:r>
          </w:p>
        </w:tc>
        <w:tc>
          <w:tcPr>
            <w:tcW w:w="1545" w:type="dxa"/>
          </w:tcPr>
          <w:p w14:paraId="002E1D8A"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AC-052-374 FUTURE-3 extension</w:t>
            </w:r>
          </w:p>
        </w:tc>
        <w:tc>
          <w:tcPr>
            <w:tcW w:w="0" w:type="auto"/>
          </w:tcPr>
          <w:p w14:paraId="042FE43F"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 prospective multicentre, </w:t>
            </w:r>
            <w:r w:rsidR="009C6335" w:rsidRPr="00A17C52">
              <w:rPr>
                <w:sz w:val="20"/>
                <w:szCs w:val="20"/>
              </w:rPr>
              <w:t>open label</w:t>
            </w:r>
            <w:r w:rsidRPr="00A17C52">
              <w:rPr>
                <w:sz w:val="20"/>
                <w:szCs w:val="20"/>
              </w:rPr>
              <w:t xml:space="preserve"> extension of Future 3 to assess the safety, tolerability and efficacy of the paediatric formulation of bosentan </w:t>
            </w:r>
            <w:r w:rsidR="007C6D8D" w:rsidRPr="00A17C52">
              <w:rPr>
                <w:sz w:val="20"/>
                <w:szCs w:val="20"/>
              </w:rPr>
              <w:t>BD</w:t>
            </w:r>
            <w:r w:rsidRPr="00A17C52">
              <w:rPr>
                <w:sz w:val="20"/>
                <w:szCs w:val="20"/>
              </w:rPr>
              <w:t xml:space="preserve"> </w:t>
            </w:r>
            <w:r w:rsidR="007C6D8D" w:rsidRPr="00A17C52">
              <w:rPr>
                <w:sz w:val="20"/>
                <w:szCs w:val="20"/>
              </w:rPr>
              <w:t>versus</w:t>
            </w:r>
            <w:r w:rsidRPr="00A17C52">
              <w:rPr>
                <w:sz w:val="20"/>
                <w:szCs w:val="20"/>
              </w:rPr>
              <w:t xml:space="preserve"> </w:t>
            </w:r>
            <w:r w:rsidR="007C6D8D" w:rsidRPr="00A17C52">
              <w:rPr>
                <w:sz w:val="20"/>
                <w:szCs w:val="20"/>
              </w:rPr>
              <w:t>TDS</w:t>
            </w:r>
            <w:r w:rsidRPr="00A17C52">
              <w:rPr>
                <w:sz w:val="20"/>
                <w:szCs w:val="20"/>
              </w:rPr>
              <w:t xml:space="preserve"> in children with PAH.</w:t>
            </w:r>
          </w:p>
        </w:tc>
      </w:tr>
      <w:tr w:rsidR="00D735B8" w:rsidRPr="00A17C52" w14:paraId="3D6FA52C"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val="restart"/>
          </w:tcPr>
          <w:p w14:paraId="7A64ECAD" w14:textId="77777777" w:rsidR="00D735B8" w:rsidRPr="00A17C52" w:rsidRDefault="00D735B8" w:rsidP="00A17C52">
            <w:pPr>
              <w:rPr>
                <w:sz w:val="20"/>
                <w:szCs w:val="20"/>
              </w:rPr>
            </w:pPr>
            <w:r w:rsidRPr="00A17C52">
              <w:rPr>
                <w:sz w:val="20"/>
                <w:szCs w:val="20"/>
              </w:rPr>
              <w:t>Reports of Analyses of Data from More Than One Study</w:t>
            </w:r>
          </w:p>
        </w:tc>
        <w:tc>
          <w:tcPr>
            <w:tcW w:w="1829" w:type="dxa"/>
          </w:tcPr>
          <w:p w14:paraId="0CD8925A"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Infants/children</w:t>
            </w:r>
          </w:p>
        </w:tc>
        <w:tc>
          <w:tcPr>
            <w:tcW w:w="1545" w:type="dxa"/>
          </w:tcPr>
          <w:p w14:paraId="6B733094"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AC-052-367 FUTURE-2</w:t>
            </w:r>
          </w:p>
          <w:p w14:paraId="3D1B8C36"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AC-052-373 FUTURE-3</w:t>
            </w:r>
          </w:p>
          <w:p w14:paraId="64DEC390"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w:t>
            </w:r>
            <w:r w:rsidRPr="00A17C52">
              <w:rPr>
                <w:sz w:val="20"/>
                <w:szCs w:val="20"/>
              </w:rPr>
              <w:lastRenderedPageBreak/>
              <w:t>391 FUTURE-4</w:t>
            </w:r>
          </w:p>
        </w:tc>
        <w:tc>
          <w:tcPr>
            <w:tcW w:w="0" w:type="auto"/>
          </w:tcPr>
          <w:p w14:paraId="5101643F"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lastRenderedPageBreak/>
              <w:t>This document is a compilation of appendices referred to in the Summary of Clinical Efficacy.</w:t>
            </w:r>
          </w:p>
        </w:tc>
      </w:tr>
      <w:tr w:rsidR="00D735B8" w:rsidRPr="00A17C52" w14:paraId="4246B689"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tcPr>
          <w:p w14:paraId="7F204C1E" w14:textId="77777777" w:rsidR="00D735B8" w:rsidRPr="00A17C52" w:rsidRDefault="00D735B8" w:rsidP="00A17C52">
            <w:pPr>
              <w:rPr>
                <w:sz w:val="20"/>
                <w:szCs w:val="20"/>
              </w:rPr>
            </w:pPr>
          </w:p>
        </w:tc>
        <w:tc>
          <w:tcPr>
            <w:tcW w:w="1829" w:type="dxa"/>
          </w:tcPr>
          <w:p w14:paraId="15151183"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Infants/children</w:t>
            </w:r>
          </w:p>
        </w:tc>
        <w:tc>
          <w:tcPr>
            <w:tcW w:w="1545" w:type="dxa"/>
          </w:tcPr>
          <w:p w14:paraId="644D96BE"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AC-052-365 FUTURE-1</w:t>
            </w:r>
          </w:p>
          <w:p w14:paraId="0F9CF428"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AC-052-367 FUTURE-2</w:t>
            </w:r>
          </w:p>
          <w:p w14:paraId="134F630C"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AC-052-373 FUTURE-3</w:t>
            </w:r>
          </w:p>
          <w:p w14:paraId="679785E5"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AC-052-374 FUTURE-3 Extension</w:t>
            </w:r>
          </w:p>
          <w:p w14:paraId="3AF8876C"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AC-052-391 FUTURE-4</w:t>
            </w:r>
          </w:p>
        </w:tc>
        <w:tc>
          <w:tcPr>
            <w:tcW w:w="0" w:type="auto"/>
          </w:tcPr>
          <w:p w14:paraId="6B6FFCEB" w14:textId="791B14CA"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This document provides an analysis of the pooled </w:t>
            </w:r>
            <w:r w:rsidR="007C6D8D" w:rsidRPr="00A17C52">
              <w:rPr>
                <w:sz w:val="20"/>
                <w:szCs w:val="20"/>
              </w:rPr>
              <w:t>long term</w:t>
            </w:r>
            <w:r w:rsidRPr="00A17C52">
              <w:rPr>
                <w:sz w:val="20"/>
                <w:szCs w:val="20"/>
              </w:rPr>
              <w:t xml:space="preserve"> safety data from the FUTURE </w:t>
            </w:r>
            <w:r w:rsidR="00E77015" w:rsidRPr="00A17C52">
              <w:rPr>
                <w:sz w:val="20"/>
                <w:szCs w:val="20"/>
              </w:rPr>
              <w:t>Study</w:t>
            </w:r>
            <w:r w:rsidR="00D80DA1" w:rsidRPr="00A17C52">
              <w:rPr>
                <w:sz w:val="20"/>
                <w:szCs w:val="20"/>
              </w:rPr>
              <w:t xml:space="preserve"> series 1 to </w:t>
            </w:r>
            <w:r w:rsidR="00E767B4" w:rsidRPr="00A17C52">
              <w:rPr>
                <w:sz w:val="20"/>
                <w:szCs w:val="20"/>
              </w:rPr>
              <w:t>4</w:t>
            </w:r>
            <w:r w:rsidR="00D80DA1" w:rsidRPr="00A17C52">
              <w:rPr>
                <w:sz w:val="20"/>
                <w:szCs w:val="20"/>
              </w:rPr>
              <w:t xml:space="preserve"> Extension.</w:t>
            </w:r>
          </w:p>
        </w:tc>
      </w:tr>
      <w:tr w:rsidR="00D735B8" w:rsidRPr="00A17C52" w14:paraId="428B359D" w14:textId="77777777" w:rsidTr="00E97B2B">
        <w:trPr>
          <w:trHeight w:val="1407"/>
        </w:trPr>
        <w:tc>
          <w:tcPr>
            <w:cnfStyle w:val="001000000000" w:firstRow="0" w:lastRow="0" w:firstColumn="1" w:lastColumn="0" w:oddVBand="0" w:evenVBand="0" w:oddHBand="0" w:evenHBand="0" w:firstRowFirstColumn="0" w:firstRowLastColumn="0" w:lastRowFirstColumn="0" w:lastRowLastColumn="0"/>
            <w:tcW w:w="1883" w:type="dxa"/>
            <w:vMerge w:val="restart"/>
          </w:tcPr>
          <w:p w14:paraId="2DD586A7" w14:textId="77777777" w:rsidR="00D735B8" w:rsidRPr="00A17C52" w:rsidRDefault="00D735B8" w:rsidP="00A17C52">
            <w:pPr>
              <w:rPr>
                <w:sz w:val="20"/>
                <w:szCs w:val="20"/>
              </w:rPr>
            </w:pPr>
            <w:r w:rsidRPr="00A17C52">
              <w:rPr>
                <w:sz w:val="20"/>
                <w:szCs w:val="20"/>
              </w:rPr>
              <w:t>PK in special populations</w:t>
            </w:r>
          </w:p>
        </w:tc>
        <w:tc>
          <w:tcPr>
            <w:tcW w:w="1829" w:type="dxa"/>
          </w:tcPr>
          <w:p w14:paraId="739B892F"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Neonates</w:t>
            </w:r>
          </w:p>
        </w:tc>
        <w:tc>
          <w:tcPr>
            <w:tcW w:w="1545" w:type="dxa"/>
          </w:tcPr>
          <w:p w14:paraId="30EACC15"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AC-052-391 FUTURE-4</w:t>
            </w:r>
          </w:p>
        </w:tc>
        <w:tc>
          <w:tcPr>
            <w:tcW w:w="0" w:type="auto"/>
          </w:tcPr>
          <w:p w14:paraId="3AA40CC8"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Exploratory, multicentre, </w:t>
            </w:r>
            <w:r w:rsidR="00A5161C" w:rsidRPr="00A17C52">
              <w:rPr>
                <w:sz w:val="20"/>
                <w:szCs w:val="20"/>
              </w:rPr>
              <w:t>double blind</w:t>
            </w:r>
            <w:r w:rsidRPr="00A17C52">
              <w:rPr>
                <w:sz w:val="20"/>
                <w:szCs w:val="20"/>
              </w:rPr>
              <w:t xml:space="preserve">, </w:t>
            </w:r>
            <w:r w:rsidR="00A5161C" w:rsidRPr="00A17C52">
              <w:rPr>
                <w:sz w:val="20"/>
                <w:szCs w:val="20"/>
              </w:rPr>
              <w:t>placebo controlled</w:t>
            </w:r>
            <w:r w:rsidRPr="00A17C52">
              <w:rPr>
                <w:sz w:val="20"/>
                <w:szCs w:val="20"/>
              </w:rPr>
              <w:t xml:space="preserve">, randomised, prospective </w:t>
            </w:r>
            <w:r w:rsidR="0066478A" w:rsidRPr="00A17C52">
              <w:rPr>
                <w:sz w:val="20"/>
                <w:szCs w:val="20"/>
              </w:rPr>
              <w:t>study</w:t>
            </w:r>
            <w:r w:rsidRPr="00A17C52">
              <w:rPr>
                <w:sz w:val="20"/>
                <w:szCs w:val="20"/>
              </w:rPr>
              <w:t xml:space="preserve"> to evaluate PK, safety and efficacy of bosentan as add-on therapy to iNO in the management of PPHN.</w:t>
            </w:r>
          </w:p>
        </w:tc>
      </w:tr>
      <w:tr w:rsidR="00D735B8" w:rsidRPr="00A17C52" w14:paraId="65A2F88F" w14:textId="77777777" w:rsidTr="00E97B2B">
        <w:trPr>
          <w:trHeight w:val="140"/>
        </w:trPr>
        <w:tc>
          <w:tcPr>
            <w:cnfStyle w:val="001000000000" w:firstRow="0" w:lastRow="0" w:firstColumn="1" w:lastColumn="0" w:oddVBand="0" w:evenVBand="0" w:oddHBand="0" w:evenHBand="0" w:firstRowFirstColumn="0" w:firstRowLastColumn="0" w:lastRowFirstColumn="0" w:lastRowLastColumn="0"/>
            <w:tcW w:w="1883" w:type="dxa"/>
            <w:vMerge/>
          </w:tcPr>
          <w:p w14:paraId="7194A385" w14:textId="77777777" w:rsidR="00D735B8" w:rsidRPr="00A17C52" w:rsidRDefault="00D735B8" w:rsidP="00A17C52">
            <w:pPr>
              <w:rPr>
                <w:sz w:val="20"/>
                <w:szCs w:val="20"/>
              </w:rPr>
            </w:pPr>
          </w:p>
        </w:tc>
        <w:tc>
          <w:tcPr>
            <w:tcW w:w="1829" w:type="dxa"/>
          </w:tcPr>
          <w:p w14:paraId="6E521D33"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Neonates</w:t>
            </w:r>
          </w:p>
        </w:tc>
        <w:tc>
          <w:tcPr>
            <w:tcW w:w="1545" w:type="dxa"/>
          </w:tcPr>
          <w:p w14:paraId="5F371F58"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AC-052-392 FUTURE-4 Extension</w:t>
            </w:r>
          </w:p>
        </w:tc>
        <w:tc>
          <w:tcPr>
            <w:tcW w:w="0" w:type="auto"/>
          </w:tcPr>
          <w:p w14:paraId="60BA4982" w14:textId="77777777" w:rsidR="00D735B8" w:rsidRPr="00A17C52" w:rsidRDefault="00D735B8" w:rsidP="00A17C52">
            <w:pPr>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Multicentre, non-drug interventional extension </w:t>
            </w:r>
            <w:r w:rsidR="0066478A" w:rsidRPr="00A17C52">
              <w:rPr>
                <w:sz w:val="20"/>
                <w:szCs w:val="20"/>
              </w:rPr>
              <w:t>study</w:t>
            </w:r>
            <w:r w:rsidRPr="00A17C52">
              <w:rPr>
                <w:sz w:val="20"/>
                <w:szCs w:val="20"/>
              </w:rPr>
              <w:t xml:space="preserve"> to assess </w:t>
            </w:r>
            <w:r w:rsidR="007C6D8D" w:rsidRPr="00A17C52">
              <w:rPr>
                <w:sz w:val="20"/>
                <w:szCs w:val="20"/>
              </w:rPr>
              <w:t>long term</w:t>
            </w:r>
            <w:r w:rsidRPr="00A17C52">
              <w:rPr>
                <w:sz w:val="20"/>
                <w:szCs w:val="20"/>
              </w:rPr>
              <w:t xml:space="preserve"> safety and effects on growth in patients who received bosentan or placebo as adjunctive therapy to iNO for PPHN in Future 4.</w:t>
            </w:r>
          </w:p>
        </w:tc>
      </w:tr>
    </w:tbl>
    <w:p w14:paraId="38267B36" w14:textId="77777777" w:rsidR="00586F98" w:rsidRDefault="00586F98" w:rsidP="00586F98">
      <w:pPr>
        <w:pStyle w:val="Heading3"/>
      </w:pPr>
      <w:bookmarkStart w:id="39" w:name="_Toc519773893"/>
      <w:r>
        <w:t>Good clinical practice</w:t>
      </w:r>
      <w:bookmarkEnd w:id="39"/>
    </w:p>
    <w:p w14:paraId="3751AAB9" w14:textId="77777777" w:rsidR="00D735B8" w:rsidRDefault="00D735B8" w:rsidP="00482EC1">
      <w:pPr>
        <w:rPr>
          <w:lang w:eastAsia="ja-JP"/>
        </w:rPr>
      </w:pPr>
      <w:bookmarkStart w:id="40" w:name="_Toc355338639"/>
      <w:r>
        <w:rPr>
          <w:lang w:eastAsia="ja-JP"/>
        </w:rPr>
        <w:t xml:space="preserve">Each of the Clinical Study Reports (CSRs) listed in the </w:t>
      </w:r>
      <w:r w:rsidR="007C6D8D">
        <w:rPr>
          <w:lang w:eastAsia="ja-JP"/>
        </w:rPr>
        <w:t>t</w:t>
      </w:r>
      <w:r>
        <w:rPr>
          <w:lang w:eastAsia="ja-JP"/>
        </w:rPr>
        <w:t xml:space="preserve">abular listing of all clinical studies included has a statement indicating that research was conducted according to the principles of the ‘Declaration of Helsinki’ and with the laws and regulations of the countries in which the research was conducted. The wording regarding Good Clinical Practice (GCP) varies between studies but all studies indicate that the </w:t>
      </w:r>
      <w:r w:rsidR="0066478A">
        <w:rPr>
          <w:lang w:eastAsia="ja-JP"/>
        </w:rPr>
        <w:t>study</w:t>
      </w:r>
      <w:r>
        <w:rPr>
          <w:lang w:eastAsia="ja-JP"/>
        </w:rPr>
        <w:t xml:space="preserve"> was conducted in accordance with GCP.</w:t>
      </w:r>
    </w:p>
    <w:p w14:paraId="530F4875" w14:textId="77777777" w:rsidR="00D735B8" w:rsidRPr="00D735B8" w:rsidRDefault="00D735B8" w:rsidP="00D735B8">
      <w:pPr>
        <w:pStyle w:val="Heading3"/>
      </w:pPr>
      <w:bookmarkStart w:id="41" w:name="_Toc473883981"/>
      <w:bookmarkStart w:id="42" w:name="_Toc519773894"/>
      <w:r w:rsidRPr="00D735B8">
        <w:t>Evaluator’s commentary on the clinical dossier</w:t>
      </w:r>
      <w:bookmarkEnd w:id="41"/>
      <w:bookmarkEnd w:id="42"/>
    </w:p>
    <w:p w14:paraId="0C5B94C3" w14:textId="77777777" w:rsidR="007C6D8D" w:rsidRDefault="00D735B8" w:rsidP="00482EC1">
      <w:r>
        <w:rPr>
          <w:lang w:eastAsia="ja-JP"/>
        </w:rPr>
        <w:t xml:space="preserve">The submission is composed of three separate variations previously submitted to the EMA. Variation </w:t>
      </w:r>
      <w:r>
        <w:t>39 relates to the new paediatric dosage form. Variation 51 is an update to the Undesirable effects section of the EU SmPC to include additional safety data from clinical trials and post-market safety updates. Variation 66 includes new PK data, safety and efficacy results from the FUTURE studies and safety data from post-market sources</w:t>
      </w:r>
      <w:r w:rsidR="007C6D8D">
        <w:t>.</w:t>
      </w:r>
    </w:p>
    <w:p w14:paraId="3066B1AA" w14:textId="77777777" w:rsidR="007C6D8D" w:rsidRDefault="00D735B8" w:rsidP="00482EC1">
      <w:pPr>
        <w:rPr>
          <w:lang w:eastAsia="ja-JP"/>
        </w:rPr>
      </w:pPr>
      <w:r>
        <w:rPr>
          <w:lang w:eastAsia="ja-JP"/>
        </w:rPr>
        <w:lastRenderedPageBreak/>
        <w:t xml:space="preserve">It is noted that whilst the FUTURE-4 </w:t>
      </w:r>
      <w:r w:rsidR="00E77015">
        <w:rPr>
          <w:lang w:eastAsia="ja-JP"/>
        </w:rPr>
        <w:t>Study</w:t>
      </w:r>
      <w:r>
        <w:rPr>
          <w:lang w:eastAsia="ja-JP"/>
        </w:rPr>
        <w:t xml:space="preserve"> examined the efficacy of bosentan in neonates with PPHN, PPHN is not an approved indication for bosentan in Australia and the </w:t>
      </w:r>
      <w:r w:rsidR="007C6D8D">
        <w:rPr>
          <w:lang w:eastAsia="ja-JP"/>
        </w:rPr>
        <w:t>sponsor</w:t>
      </w:r>
      <w:r>
        <w:rPr>
          <w:lang w:eastAsia="ja-JP"/>
        </w:rPr>
        <w:t xml:space="preserve"> has not requested an extension of indications to include PPHN</w:t>
      </w:r>
      <w:r w:rsidR="007C6D8D">
        <w:rPr>
          <w:lang w:eastAsia="ja-JP"/>
        </w:rPr>
        <w:t>.</w:t>
      </w:r>
    </w:p>
    <w:p w14:paraId="6EBAA2C4" w14:textId="77777777" w:rsidR="00586F98" w:rsidRDefault="00586F98" w:rsidP="00586F98">
      <w:pPr>
        <w:pStyle w:val="Heading2"/>
      </w:pPr>
      <w:bookmarkStart w:id="43" w:name="_Toc519773895"/>
      <w:r>
        <w:t>Pharmacokinetics</w:t>
      </w:r>
      <w:bookmarkEnd w:id="40"/>
      <w:bookmarkEnd w:id="43"/>
      <w:r>
        <w:t xml:space="preserve"> </w:t>
      </w:r>
    </w:p>
    <w:p w14:paraId="09033B82" w14:textId="77777777" w:rsidR="00D735B8" w:rsidRDefault="00D735B8" w:rsidP="00D735B8">
      <w:pPr>
        <w:pStyle w:val="Heading3"/>
        <w:ind w:left="1135" w:hanging="1022"/>
      </w:pPr>
      <w:bookmarkStart w:id="44" w:name="_Toc473883983"/>
      <w:bookmarkStart w:id="45" w:name="_Toc519773896"/>
      <w:r>
        <w:t>Studies providing pharmacokinetic information</w:t>
      </w:r>
      <w:bookmarkEnd w:id="44"/>
      <w:bookmarkEnd w:id="45"/>
    </w:p>
    <w:p w14:paraId="5C0E98E8" w14:textId="77777777" w:rsidR="00D735B8" w:rsidRDefault="00D735B8" w:rsidP="00482EC1">
      <w:pPr>
        <w:rPr>
          <w:lang w:eastAsia="ja-JP"/>
        </w:rPr>
      </w:pPr>
      <w:r>
        <w:rPr>
          <w:lang w:eastAsia="ja-JP"/>
        </w:rPr>
        <w:t xml:space="preserve">In </w:t>
      </w:r>
      <w:r w:rsidR="007C6D8D">
        <w:rPr>
          <w:lang w:eastAsia="ja-JP"/>
        </w:rPr>
        <w:t>the clinical summary</w:t>
      </w:r>
      <w:r>
        <w:rPr>
          <w:lang w:eastAsia="ja-JP"/>
        </w:rPr>
        <w:t xml:space="preserve"> the </w:t>
      </w:r>
      <w:r w:rsidR="007C6D8D">
        <w:rPr>
          <w:lang w:eastAsia="ja-JP"/>
        </w:rPr>
        <w:t>sponsor</w:t>
      </w:r>
      <w:r>
        <w:rPr>
          <w:lang w:eastAsia="ja-JP"/>
        </w:rPr>
        <w:t xml:space="preserve"> lists the following clinical pharmacology studies of relevance to the submission:</w:t>
      </w:r>
    </w:p>
    <w:p w14:paraId="370CDC57" w14:textId="17610470" w:rsidR="00D735B8" w:rsidRPr="00EE67E9" w:rsidRDefault="00E82765" w:rsidP="00D735B8">
      <w:pPr>
        <w:pStyle w:val="ListBullet"/>
        <w:rPr>
          <w:lang w:eastAsia="ja-JP"/>
        </w:rPr>
      </w:pPr>
      <w:r>
        <w:rPr>
          <w:lang w:eastAsia="ja-JP"/>
        </w:rPr>
        <w:t xml:space="preserve">Study </w:t>
      </w:r>
      <w:r w:rsidR="00D735B8" w:rsidRPr="00EE67E9">
        <w:rPr>
          <w:lang w:eastAsia="ja-JP"/>
        </w:rPr>
        <w:t>AC-052-106</w:t>
      </w:r>
    </w:p>
    <w:p w14:paraId="036DCA34" w14:textId="03A082D9" w:rsidR="00D735B8" w:rsidRPr="00025E51" w:rsidRDefault="00E82765" w:rsidP="00D735B8">
      <w:pPr>
        <w:pStyle w:val="ListBullet"/>
        <w:rPr>
          <w:lang w:eastAsia="ja-JP"/>
        </w:rPr>
      </w:pPr>
      <w:r>
        <w:rPr>
          <w:lang w:eastAsia="ja-JP"/>
        </w:rPr>
        <w:t xml:space="preserve">Study </w:t>
      </w:r>
      <w:r w:rsidR="00D735B8" w:rsidRPr="00025E51">
        <w:rPr>
          <w:lang w:eastAsia="ja-JP"/>
        </w:rPr>
        <w:t>AC-052-116</w:t>
      </w:r>
    </w:p>
    <w:p w14:paraId="25F2E324" w14:textId="478E44B7" w:rsidR="00D735B8" w:rsidRPr="00EE67E9" w:rsidRDefault="00E82765" w:rsidP="00D735B8">
      <w:pPr>
        <w:pStyle w:val="ListBullet"/>
        <w:rPr>
          <w:lang w:eastAsia="ja-JP"/>
        </w:rPr>
      </w:pPr>
      <w:r>
        <w:rPr>
          <w:lang w:eastAsia="ja-JP"/>
        </w:rPr>
        <w:t xml:space="preserve">Study </w:t>
      </w:r>
      <w:r w:rsidR="00D735B8">
        <w:rPr>
          <w:lang w:eastAsia="ja-JP"/>
        </w:rPr>
        <w:t xml:space="preserve">AC-052-356 </w:t>
      </w:r>
      <w:r>
        <w:rPr>
          <w:lang w:eastAsia="ja-JP"/>
        </w:rPr>
        <w:t>(</w:t>
      </w:r>
      <w:r w:rsidR="00D735B8">
        <w:rPr>
          <w:lang w:eastAsia="ja-JP"/>
        </w:rPr>
        <w:t>BREATHE-3</w:t>
      </w:r>
      <w:r>
        <w:rPr>
          <w:lang w:eastAsia="ja-JP"/>
        </w:rPr>
        <w:t>)</w:t>
      </w:r>
    </w:p>
    <w:p w14:paraId="7200A308" w14:textId="0A5CD547" w:rsidR="00D735B8" w:rsidRPr="00EE67E9" w:rsidRDefault="00E82765" w:rsidP="00D735B8">
      <w:pPr>
        <w:pStyle w:val="ListBullet"/>
        <w:rPr>
          <w:lang w:eastAsia="ja-JP"/>
        </w:rPr>
      </w:pPr>
      <w:r>
        <w:rPr>
          <w:lang w:eastAsia="ja-JP"/>
        </w:rPr>
        <w:t xml:space="preserve">Study </w:t>
      </w:r>
      <w:r w:rsidR="00D735B8" w:rsidRPr="00EE67E9">
        <w:rPr>
          <w:lang w:eastAsia="ja-JP"/>
        </w:rPr>
        <w:t>AC-052-357</w:t>
      </w:r>
    </w:p>
    <w:p w14:paraId="1D7B6AA3" w14:textId="63AA5415" w:rsidR="00D735B8" w:rsidRPr="00025E51" w:rsidRDefault="00E82765" w:rsidP="00D735B8">
      <w:pPr>
        <w:pStyle w:val="ListBullet"/>
        <w:rPr>
          <w:lang w:eastAsia="ja-JP"/>
        </w:rPr>
      </w:pPr>
      <w:r>
        <w:rPr>
          <w:lang w:eastAsia="ja-JP"/>
        </w:rPr>
        <w:t xml:space="preserve">Study </w:t>
      </w:r>
      <w:r w:rsidR="00D735B8">
        <w:rPr>
          <w:lang w:eastAsia="ja-JP"/>
        </w:rPr>
        <w:t xml:space="preserve">AC-052-365 </w:t>
      </w:r>
      <w:r>
        <w:rPr>
          <w:lang w:eastAsia="ja-JP"/>
        </w:rPr>
        <w:t>(</w:t>
      </w:r>
      <w:r w:rsidR="00D735B8">
        <w:rPr>
          <w:lang w:eastAsia="ja-JP"/>
        </w:rPr>
        <w:t>FUTURE-1</w:t>
      </w:r>
      <w:r>
        <w:rPr>
          <w:lang w:eastAsia="ja-JP"/>
        </w:rPr>
        <w:t>)</w:t>
      </w:r>
    </w:p>
    <w:p w14:paraId="22B6A517" w14:textId="7E79ADE4" w:rsidR="00D735B8" w:rsidRPr="00EE67E9" w:rsidRDefault="00E82765" w:rsidP="00D735B8">
      <w:pPr>
        <w:pStyle w:val="ListBullet"/>
        <w:rPr>
          <w:lang w:eastAsia="ja-JP"/>
        </w:rPr>
      </w:pPr>
      <w:r>
        <w:rPr>
          <w:lang w:eastAsia="ja-JP"/>
        </w:rPr>
        <w:t xml:space="preserve">Study </w:t>
      </w:r>
      <w:r w:rsidR="00D735B8">
        <w:rPr>
          <w:lang w:eastAsia="ja-JP"/>
        </w:rPr>
        <w:t xml:space="preserve">AC-052-373 </w:t>
      </w:r>
      <w:r>
        <w:rPr>
          <w:lang w:eastAsia="ja-JP"/>
        </w:rPr>
        <w:t>(</w:t>
      </w:r>
      <w:r w:rsidR="00D735B8">
        <w:rPr>
          <w:lang w:eastAsia="ja-JP"/>
        </w:rPr>
        <w:t>FUTURE-3</w:t>
      </w:r>
      <w:r>
        <w:rPr>
          <w:lang w:eastAsia="ja-JP"/>
        </w:rPr>
        <w:t>)</w:t>
      </w:r>
    </w:p>
    <w:p w14:paraId="53E82DD5" w14:textId="2D67C02C" w:rsidR="00D735B8" w:rsidRPr="00025E51" w:rsidRDefault="00E82765" w:rsidP="00D735B8">
      <w:pPr>
        <w:pStyle w:val="ListBullet"/>
        <w:rPr>
          <w:lang w:eastAsia="ja-JP"/>
        </w:rPr>
      </w:pPr>
      <w:r>
        <w:rPr>
          <w:lang w:eastAsia="ja-JP"/>
        </w:rPr>
        <w:t xml:space="preserve">Study </w:t>
      </w:r>
      <w:r w:rsidR="00D735B8">
        <w:rPr>
          <w:lang w:eastAsia="ja-JP"/>
        </w:rPr>
        <w:t xml:space="preserve">AC-052-391 </w:t>
      </w:r>
      <w:r>
        <w:rPr>
          <w:lang w:eastAsia="ja-JP"/>
        </w:rPr>
        <w:t>(</w:t>
      </w:r>
      <w:r w:rsidR="00D735B8">
        <w:rPr>
          <w:lang w:eastAsia="ja-JP"/>
        </w:rPr>
        <w:t>FUTURE-4</w:t>
      </w:r>
      <w:r>
        <w:rPr>
          <w:lang w:eastAsia="ja-JP"/>
        </w:rPr>
        <w:t>)</w:t>
      </w:r>
    </w:p>
    <w:p w14:paraId="0D33335A" w14:textId="26F5A200" w:rsidR="007C6D8D" w:rsidRDefault="00D735B8" w:rsidP="00482EC1">
      <w:pPr>
        <w:rPr>
          <w:lang w:eastAsia="ja-JP"/>
        </w:rPr>
      </w:pPr>
      <w:r>
        <w:rPr>
          <w:lang w:eastAsia="ja-JP"/>
        </w:rPr>
        <w:t xml:space="preserve">Full CSRs have not been included in the submission for </w:t>
      </w:r>
      <w:r w:rsidR="00E82765">
        <w:rPr>
          <w:lang w:eastAsia="ja-JP"/>
        </w:rPr>
        <w:t xml:space="preserve">Studies </w:t>
      </w:r>
      <w:r>
        <w:rPr>
          <w:lang w:eastAsia="ja-JP"/>
        </w:rPr>
        <w:t xml:space="preserve">AC-052-106, </w:t>
      </w:r>
      <w:r w:rsidR="00E82765" w:rsidRPr="00EE67E9">
        <w:rPr>
          <w:lang w:eastAsia="ja-JP"/>
        </w:rPr>
        <w:t>AC-052-357</w:t>
      </w:r>
      <w:r w:rsidR="00E82765">
        <w:rPr>
          <w:lang w:eastAsia="ja-JP"/>
        </w:rPr>
        <w:t xml:space="preserve"> and </w:t>
      </w:r>
      <w:r>
        <w:rPr>
          <w:lang w:eastAsia="ja-JP"/>
        </w:rPr>
        <w:t xml:space="preserve">BREATHE-3. A brief overview of these studies has been included in </w:t>
      </w:r>
      <w:r w:rsidR="00E82765">
        <w:rPr>
          <w:lang w:eastAsia="ja-JP"/>
        </w:rPr>
        <w:t>the submission</w:t>
      </w:r>
      <w:r>
        <w:rPr>
          <w:lang w:eastAsia="ja-JP"/>
        </w:rPr>
        <w:t xml:space="preserve"> which the </w:t>
      </w:r>
      <w:r w:rsidR="007C6D8D">
        <w:rPr>
          <w:lang w:eastAsia="ja-JP"/>
        </w:rPr>
        <w:t>evaluator</w:t>
      </w:r>
      <w:r>
        <w:rPr>
          <w:lang w:eastAsia="ja-JP"/>
        </w:rPr>
        <w:t xml:space="preserve"> has summarised </w:t>
      </w:r>
      <w:r w:rsidR="00CF6063">
        <w:rPr>
          <w:lang w:eastAsia="ja-JP"/>
        </w:rPr>
        <w:t>(provided)</w:t>
      </w:r>
      <w:r>
        <w:rPr>
          <w:lang w:eastAsia="ja-JP"/>
        </w:rPr>
        <w:t xml:space="preserve"> despite the lack of a full CSR</w:t>
      </w:r>
      <w:r w:rsidR="007C6D8D">
        <w:rPr>
          <w:lang w:eastAsia="ja-JP"/>
        </w:rPr>
        <w:t>.</w:t>
      </w:r>
    </w:p>
    <w:p w14:paraId="0045B78D" w14:textId="77777777" w:rsidR="00D735B8" w:rsidRDefault="00D735B8" w:rsidP="00482EC1">
      <w:r>
        <w:rPr>
          <w:lang w:eastAsia="ja-JP"/>
        </w:rPr>
        <w:t xml:space="preserve">The </w:t>
      </w:r>
      <w:r w:rsidR="007C6D8D">
        <w:rPr>
          <w:lang w:eastAsia="ja-JP"/>
        </w:rPr>
        <w:t>sponsor</w:t>
      </w:r>
      <w:r>
        <w:rPr>
          <w:lang w:eastAsia="ja-JP"/>
        </w:rPr>
        <w:t xml:space="preserve"> states that they seek marketing authorisation for the paediatric dispersible tablet of bosentan based primarily on data from the BREATHE-3, FUTURE-1 and FUTURE-2 studies. Previous submissions indicate that BREATHE-</w:t>
      </w:r>
      <w:r w:rsidR="00A5161C">
        <w:rPr>
          <w:lang w:eastAsia="ja-JP"/>
        </w:rPr>
        <w:t>3 hours</w:t>
      </w:r>
      <w:r w:rsidR="00E97B2B">
        <w:rPr>
          <w:lang w:eastAsia="ja-JP"/>
        </w:rPr>
        <w:t xml:space="preserve"> </w:t>
      </w:r>
      <w:r>
        <w:rPr>
          <w:lang w:eastAsia="ja-JP"/>
        </w:rPr>
        <w:t xml:space="preserve">as been evaluated by the TGA as part of PM-2005-2150-3 and it is noted that the results of this </w:t>
      </w:r>
      <w:r w:rsidR="0066478A">
        <w:rPr>
          <w:lang w:eastAsia="ja-JP"/>
        </w:rPr>
        <w:t>study</w:t>
      </w:r>
      <w:r>
        <w:rPr>
          <w:lang w:eastAsia="ja-JP"/>
        </w:rPr>
        <w:t xml:space="preserve"> are discussed in the current Tracleer </w:t>
      </w:r>
      <w:r w:rsidRPr="005F754D">
        <w:rPr>
          <w:lang w:eastAsia="ja-JP"/>
        </w:rPr>
        <w:t xml:space="preserve">PI. </w:t>
      </w:r>
      <w:r w:rsidR="005F754D" w:rsidRPr="005F754D">
        <w:rPr>
          <w:lang w:eastAsia="ja-JP"/>
        </w:rPr>
        <w:t>Table</w:t>
      </w:r>
      <w:r w:rsidR="005F754D">
        <w:rPr>
          <w:lang w:eastAsia="ja-JP"/>
        </w:rPr>
        <w:t xml:space="preserve"> 6</w:t>
      </w:r>
      <w:r>
        <w:rPr>
          <w:lang w:eastAsia="ja-JP"/>
        </w:rPr>
        <w:t xml:space="preserve"> summarises the submitted pharmacokinetic studies.</w:t>
      </w:r>
      <w:r w:rsidRPr="001A45E1">
        <w:rPr>
          <w:lang w:eastAsia="ja-JP"/>
        </w:rPr>
        <w:t xml:space="preserve"> </w:t>
      </w:r>
      <w:r>
        <w:rPr>
          <w:lang w:eastAsia="ja-JP"/>
        </w:rPr>
        <w:t xml:space="preserve">A brief synopsis of referenced studies that weren’t included in the submission is </w:t>
      </w:r>
      <w:r w:rsidRPr="005F754D">
        <w:rPr>
          <w:lang w:eastAsia="ja-JP"/>
        </w:rPr>
        <w:t xml:space="preserve">provided in </w:t>
      </w:r>
      <w:r w:rsidR="005F754D">
        <w:rPr>
          <w:lang w:eastAsia="ja-JP"/>
        </w:rPr>
        <w:t>Table 7.</w:t>
      </w:r>
    </w:p>
    <w:p w14:paraId="0D9F4403" w14:textId="77777777" w:rsidR="00D735B8" w:rsidRDefault="00D735B8" w:rsidP="00D735B8">
      <w:pPr>
        <w:pStyle w:val="Tabletitle"/>
      </w:pPr>
      <w:bookmarkStart w:id="46" w:name="_Ref461722706"/>
      <w:bookmarkStart w:id="47" w:name="_Ref461722701"/>
      <w:bookmarkStart w:id="48" w:name="_Toc473884050"/>
      <w:r>
        <w:t xml:space="preserve">Table </w:t>
      </w:r>
      <w:bookmarkEnd w:id="46"/>
      <w:r w:rsidR="005F754D">
        <w:t>6:</w:t>
      </w:r>
      <w:r>
        <w:t xml:space="preserve"> Submitted pharmacokinetic studies</w:t>
      </w:r>
      <w:bookmarkEnd w:id="47"/>
      <w:bookmarkEnd w:id="48"/>
    </w:p>
    <w:tbl>
      <w:tblPr>
        <w:tblStyle w:val="TableTGAblue"/>
        <w:tblW w:w="4652" w:type="pct"/>
        <w:tblLook w:val="04A0" w:firstRow="1" w:lastRow="0" w:firstColumn="1" w:lastColumn="0" w:noHBand="0" w:noVBand="1"/>
      </w:tblPr>
      <w:tblGrid>
        <w:gridCol w:w="1677"/>
        <w:gridCol w:w="2552"/>
        <w:gridCol w:w="1543"/>
        <w:gridCol w:w="2827"/>
      </w:tblGrid>
      <w:tr w:rsidR="00CF6063" w:rsidRPr="00E97B2B" w14:paraId="6CB419AA" w14:textId="77777777" w:rsidTr="00CF6063">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975" w:type="pct"/>
          </w:tcPr>
          <w:p w14:paraId="3200EBE0" w14:textId="77777777" w:rsidR="00CF6063" w:rsidRPr="00E97B2B" w:rsidRDefault="00CF6063" w:rsidP="00E97B2B">
            <w:pPr>
              <w:ind w:left="0" w:right="0"/>
              <w:rPr>
                <w:sz w:val="20"/>
                <w:szCs w:val="20"/>
              </w:rPr>
            </w:pPr>
            <w:r w:rsidRPr="00E97B2B">
              <w:rPr>
                <w:sz w:val="20"/>
                <w:szCs w:val="20"/>
              </w:rPr>
              <w:t>PK topic</w:t>
            </w:r>
          </w:p>
        </w:tc>
        <w:tc>
          <w:tcPr>
            <w:tcW w:w="1484" w:type="pct"/>
          </w:tcPr>
          <w:p w14:paraId="6865CED7" w14:textId="77777777" w:rsidR="00CF6063" w:rsidRPr="00E97B2B" w:rsidRDefault="00CF6063" w:rsidP="00E97B2B">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E97B2B">
              <w:rPr>
                <w:sz w:val="20"/>
                <w:szCs w:val="20"/>
              </w:rPr>
              <w:t>Subtopic</w:t>
            </w:r>
          </w:p>
        </w:tc>
        <w:tc>
          <w:tcPr>
            <w:tcW w:w="897" w:type="pct"/>
          </w:tcPr>
          <w:p w14:paraId="24BCF1B0" w14:textId="77777777" w:rsidR="00CF6063" w:rsidRPr="00E97B2B" w:rsidRDefault="00CF6063" w:rsidP="00E97B2B">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E97B2B">
              <w:rPr>
                <w:sz w:val="20"/>
                <w:szCs w:val="20"/>
              </w:rPr>
              <w:t>Study ID</w:t>
            </w:r>
          </w:p>
        </w:tc>
        <w:tc>
          <w:tcPr>
            <w:tcW w:w="1644" w:type="pct"/>
          </w:tcPr>
          <w:p w14:paraId="7F90AFC5" w14:textId="77777777" w:rsidR="00CF6063" w:rsidRPr="00E97B2B" w:rsidRDefault="00CF6063" w:rsidP="00E97B2B">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E97B2B">
              <w:rPr>
                <w:sz w:val="20"/>
                <w:szCs w:val="20"/>
              </w:rPr>
              <w:t>Synopsis</w:t>
            </w:r>
          </w:p>
        </w:tc>
      </w:tr>
      <w:tr w:rsidR="00CF6063" w:rsidRPr="00E97B2B" w14:paraId="0BE29F9E" w14:textId="77777777" w:rsidTr="00CF6063">
        <w:tc>
          <w:tcPr>
            <w:cnfStyle w:val="001000000000" w:firstRow="0" w:lastRow="0" w:firstColumn="1" w:lastColumn="0" w:oddVBand="0" w:evenVBand="0" w:oddHBand="0" w:evenHBand="0" w:firstRowFirstColumn="0" w:firstRowLastColumn="0" w:lastRowFirstColumn="0" w:lastRowLastColumn="0"/>
            <w:tcW w:w="975" w:type="pct"/>
          </w:tcPr>
          <w:p w14:paraId="54498DC3" w14:textId="77777777" w:rsidR="00CF6063" w:rsidRPr="00E97B2B" w:rsidRDefault="00CF6063" w:rsidP="00E97B2B">
            <w:pPr>
              <w:ind w:left="0" w:right="0"/>
              <w:rPr>
                <w:sz w:val="20"/>
                <w:szCs w:val="20"/>
              </w:rPr>
            </w:pPr>
            <w:r w:rsidRPr="00E97B2B">
              <w:rPr>
                <w:sz w:val="20"/>
                <w:szCs w:val="20"/>
              </w:rPr>
              <w:t>PK in healthy adults</w:t>
            </w:r>
          </w:p>
        </w:tc>
        <w:tc>
          <w:tcPr>
            <w:tcW w:w="1484" w:type="pct"/>
          </w:tcPr>
          <w:p w14:paraId="24D0472F" w14:textId="77777777" w:rsid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Bioequivalence †</w:t>
            </w:r>
          </w:p>
          <w:p w14:paraId="6547ABA4"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Single dose</w:t>
            </w:r>
          </w:p>
        </w:tc>
        <w:tc>
          <w:tcPr>
            <w:tcW w:w="897" w:type="pct"/>
          </w:tcPr>
          <w:p w14:paraId="09909D0E"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AC-052-116</w:t>
            </w:r>
          </w:p>
        </w:tc>
        <w:tc>
          <w:tcPr>
            <w:tcW w:w="1644" w:type="pct"/>
          </w:tcPr>
          <w:p w14:paraId="0BE5D9D6"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 xml:space="preserve">Safety and tolerability </w:t>
            </w:r>
            <w:r w:rsidR="0066478A" w:rsidRPr="00E97B2B">
              <w:rPr>
                <w:sz w:val="20"/>
                <w:szCs w:val="20"/>
              </w:rPr>
              <w:t>study</w:t>
            </w:r>
            <w:r w:rsidRPr="00E97B2B">
              <w:rPr>
                <w:sz w:val="20"/>
                <w:szCs w:val="20"/>
              </w:rPr>
              <w:t xml:space="preserve"> evaluating the relative PK properties of two different formulations of bosentan in healthy male subjects.</w:t>
            </w:r>
          </w:p>
        </w:tc>
      </w:tr>
      <w:tr w:rsidR="00CF6063" w:rsidRPr="00E97B2B" w14:paraId="4F2FA2D6" w14:textId="77777777" w:rsidTr="00CF6063">
        <w:tc>
          <w:tcPr>
            <w:cnfStyle w:val="001000000000" w:firstRow="0" w:lastRow="0" w:firstColumn="1" w:lastColumn="0" w:oddVBand="0" w:evenVBand="0" w:oddHBand="0" w:evenHBand="0" w:firstRowFirstColumn="0" w:firstRowLastColumn="0" w:lastRowFirstColumn="0" w:lastRowLastColumn="0"/>
            <w:tcW w:w="975" w:type="pct"/>
            <w:vMerge w:val="restart"/>
          </w:tcPr>
          <w:p w14:paraId="10121EB5" w14:textId="77777777" w:rsidR="00CF6063" w:rsidRPr="00E97B2B" w:rsidRDefault="00CF6063" w:rsidP="00E97B2B">
            <w:pPr>
              <w:ind w:left="0" w:right="0"/>
              <w:rPr>
                <w:sz w:val="20"/>
                <w:szCs w:val="20"/>
              </w:rPr>
            </w:pPr>
            <w:r w:rsidRPr="00E97B2B">
              <w:rPr>
                <w:sz w:val="20"/>
                <w:szCs w:val="20"/>
              </w:rPr>
              <w:t>PK in special populations</w:t>
            </w:r>
          </w:p>
        </w:tc>
        <w:tc>
          <w:tcPr>
            <w:tcW w:w="1484" w:type="pct"/>
          </w:tcPr>
          <w:p w14:paraId="2230C2F9" w14:textId="77777777" w:rsid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Targe</w:t>
            </w:r>
            <w:r w:rsidR="00E97B2B">
              <w:rPr>
                <w:sz w:val="20"/>
                <w:szCs w:val="20"/>
              </w:rPr>
              <w:t>t population (paediatric PAH) §</w:t>
            </w:r>
          </w:p>
          <w:p w14:paraId="43B48D4B"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 xml:space="preserve">Multi-dose </w:t>
            </w:r>
          </w:p>
        </w:tc>
        <w:tc>
          <w:tcPr>
            <w:tcW w:w="897" w:type="pct"/>
          </w:tcPr>
          <w:p w14:paraId="009D50FD"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AC-052-365 FUTURE-1</w:t>
            </w:r>
          </w:p>
        </w:tc>
        <w:tc>
          <w:tcPr>
            <w:tcW w:w="1644" w:type="pct"/>
          </w:tcPr>
          <w:p w14:paraId="2E38AC1D"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 xml:space="preserve">Assessed the PK, tolerability, and safety of a paediatric formulation of bosentan. </w:t>
            </w:r>
          </w:p>
        </w:tc>
      </w:tr>
      <w:tr w:rsidR="00CF6063" w:rsidRPr="00E97B2B" w14:paraId="1F2C8A83" w14:textId="77777777" w:rsidTr="00CF6063">
        <w:tc>
          <w:tcPr>
            <w:cnfStyle w:val="001000000000" w:firstRow="0" w:lastRow="0" w:firstColumn="1" w:lastColumn="0" w:oddVBand="0" w:evenVBand="0" w:oddHBand="0" w:evenHBand="0" w:firstRowFirstColumn="0" w:firstRowLastColumn="0" w:lastRowFirstColumn="0" w:lastRowLastColumn="0"/>
            <w:tcW w:w="975" w:type="pct"/>
            <w:vMerge/>
          </w:tcPr>
          <w:p w14:paraId="7186C9F6" w14:textId="77777777" w:rsidR="00CF6063" w:rsidRPr="00E97B2B" w:rsidRDefault="00CF6063" w:rsidP="00E97B2B">
            <w:pPr>
              <w:ind w:left="0" w:right="0"/>
              <w:rPr>
                <w:sz w:val="20"/>
                <w:szCs w:val="20"/>
              </w:rPr>
            </w:pPr>
          </w:p>
        </w:tc>
        <w:tc>
          <w:tcPr>
            <w:tcW w:w="1484" w:type="pct"/>
          </w:tcPr>
          <w:p w14:paraId="5AFEDF32" w14:textId="77777777" w:rsid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 xml:space="preserve">Target population (paediatric PAH) § </w:t>
            </w:r>
          </w:p>
          <w:p w14:paraId="7EC572AD"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Multi-dose</w:t>
            </w:r>
          </w:p>
        </w:tc>
        <w:tc>
          <w:tcPr>
            <w:tcW w:w="897" w:type="pct"/>
          </w:tcPr>
          <w:p w14:paraId="77CD5E2A"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AC-052-373 FUTURE-3</w:t>
            </w:r>
          </w:p>
        </w:tc>
        <w:tc>
          <w:tcPr>
            <w:tcW w:w="1644" w:type="pct"/>
          </w:tcPr>
          <w:p w14:paraId="1CA27343"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Investigated the PK of a paediatric formulation of bosentan BD versus TDS in children with PAH.</w:t>
            </w:r>
          </w:p>
        </w:tc>
      </w:tr>
      <w:tr w:rsidR="00CF6063" w:rsidRPr="00E97B2B" w14:paraId="40864375" w14:textId="77777777" w:rsidTr="00CF6063">
        <w:tc>
          <w:tcPr>
            <w:cnfStyle w:val="001000000000" w:firstRow="0" w:lastRow="0" w:firstColumn="1" w:lastColumn="0" w:oddVBand="0" w:evenVBand="0" w:oddHBand="0" w:evenHBand="0" w:firstRowFirstColumn="0" w:firstRowLastColumn="0" w:lastRowFirstColumn="0" w:lastRowLastColumn="0"/>
            <w:tcW w:w="975" w:type="pct"/>
            <w:vMerge/>
          </w:tcPr>
          <w:p w14:paraId="0ACA8DC6" w14:textId="77777777" w:rsidR="00CF6063" w:rsidRPr="00E97B2B" w:rsidRDefault="00CF6063" w:rsidP="00E97B2B">
            <w:pPr>
              <w:ind w:left="0" w:right="0"/>
              <w:rPr>
                <w:sz w:val="20"/>
                <w:szCs w:val="20"/>
              </w:rPr>
            </w:pPr>
          </w:p>
        </w:tc>
        <w:tc>
          <w:tcPr>
            <w:tcW w:w="1484" w:type="pct"/>
          </w:tcPr>
          <w:p w14:paraId="17AD91AA" w14:textId="77777777" w:rsidR="00CF6063" w:rsidRPr="00E97B2B" w:rsidRDefault="00E97B2B"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Target population (PPHN)</w:t>
            </w:r>
            <w:r w:rsidR="00CF6063" w:rsidRPr="00E97B2B">
              <w:rPr>
                <w:sz w:val="20"/>
                <w:szCs w:val="20"/>
              </w:rPr>
              <w:t xml:space="preserve"> Multi-dose</w:t>
            </w:r>
          </w:p>
        </w:tc>
        <w:tc>
          <w:tcPr>
            <w:tcW w:w="897" w:type="pct"/>
          </w:tcPr>
          <w:p w14:paraId="78B9EB17"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AC-052-391 FUTURE-4</w:t>
            </w:r>
          </w:p>
        </w:tc>
        <w:tc>
          <w:tcPr>
            <w:tcW w:w="1644" w:type="pct"/>
          </w:tcPr>
          <w:p w14:paraId="0F7CC460" w14:textId="77777777" w:rsidR="00CF6063" w:rsidRPr="00E97B2B" w:rsidRDefault="00CF6063"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E97B2B">
              <w:rPr>
                <w:sz w:val="20"/>
                <w:szCs w:val="20"/>
              </w:rPr>
              <w:t xml:space="preserve">Evaluated PK, safety and efficacy of bosentan as add-on </w:t>
            </w:r>
            <w:r w:rsidRPr="00E97B2B">
              <w:rPr>
                <w:sz w:val="20"/>
                <w:szCs w:val="20"/>
              </w:rPr>
              <w:lastRenderedPageBreak/>
              <w:t>therapy to iNO in the management of PPHN.</w:t>
            </w:r>
          </w:p>
        </w:tc>
      </w:tr>
    </w:tbl>
    <w:p w14:paraId="79D6BC43" w14:textId="77777777" w:rsidR="00D735B8" w:rsidRPr="00D735B8" w:rsidRDefault="00D735B8" w:rsidP="00D735B8">
      <w:pPr>
        <w:pStyle w:val="TableDescription"/>
      </w:pPr>
      <w:r w:rsidRPr="00D735B8">
        <w:lastRenderedPageBreak/>
        <w:t>† Bioequivalence of different formulations. § Subjects who would be eligible to receive the drug if approved for the proposed indication.</w:t>
      </w:r>
    </w:p>
    <w:p w14:paraId="3E015199" w14:textId="77777777" w:rsidR="00D735B8" w:rsidRDefault="00D735B8" w:rsidP="00D735B8">
      <w:pPr>
        <w:pStyle w:val="Tabletitle"/>
      </w:pPr>
      <w:bookmarkStart w:id="49" w:name="_Ref461782872"/>
      <w:bookmarkStart w:id="50" w:name="_Toc453839296"/>
      <w:bookmarkStart w:id="51" w:name="_Toc473884051"/>
      <w:r>
        <w:t xml:space="preserve">Table </w:t>
      </w:r>
      <w:bookmarkEnd w:id="49"/>
      <w:r w:rsidR="005F754D">
        <w:t>7:</w:t>
      </w:r>
      <w:r>
        <w:t xml:space="preserve"> Referenced p</w:t>
      </w:r>
      <w:r w:rsidRPr="00BC615D">
        <w:t xml:space="preserve">harmacokinetic </w:t>
      </w:r>
      <w:bookmarkEnd w:id="50"/>
      <w:r>
        <w:t>studies not included in the submission</w:t>
      </w:r>
      <w:bookmarkEnd w:id="51"/>
    </w:p>
    <w:tbl>
      <w:tblPr>
        <w:tblStyle w:val="TableTGAblue"/>
        <w:tblW w:w="4874" w:type="pct"/>
        <w:tblLook w:val="04A0" w:firstRow="1" w:lastRow="0" w:firstColumn="1" w:lastColumn="0" w:noHBand="0" w:noVBand="1"/>
      </w:tblPr>
      <w:tblGrid>
        <w:gridCol w:w="3092"/>
        <w:gridCol w:w="2746"/>
        <w:gridCol w:w="3171"/>
      </w:tblGrid>
      <w:tr w:rsidR="00482EC1" w:rsidRPr="00A17C52" w14:paraId="35F2AD07" w14:textId="77777777" w:rsidTr="00CF6063">
        <w:trPr>
          <w:cnfStyle w:val="100000000000" w:firstRow="1" w:lastRow="0" w:firstColumn="0" w:lastColumn="0" w:oddVBand="0" w:evenVBand="0" w:oddHBand="0" w:evenHBand="0" w:firstRowFirstColumn="0" w:firstRowLastColumn="0" w:lastRowFirstColumn="0" w:lastRowLastColumn="0"/>
          <w:trHeight w:val="469"/>
          <w:tblHeader/>
        </w:trPr>
        <w:tc>
          <w:tcPr>
            <w:cnfStyle w:val="001000000000" w:firstRow="0" w:lastRow="0" w:firstColumn="1" w:lastColumn="0" w:oddVBand="0" w:evenVBand="0" w:oddHBand="0" w:evenHBand="0" w:firstRowFirstColumn="0" w:firstRowLastColumn="0" w:lastRowFirstColumn="0" w:lastRowLastColumn="0"/>
            <w:tcW w:w="1716" w:type="pct"/>
          </w:tcPr>
          <w:p w14:paraId="53A42CC7" w14:textId="77777777" w:rsidR="00482EC1" w:rsidRPr="00A17C52" w:rsidRDefault="00482EC1" w:rsidP="00E97B2B">
            <w:pPr>
              <w:ind w:left="0" w:right="0"/>
              <w:rPr>
                <w:sz w:val="20"/>
                <w:szCs w:val="20"/>
              </w:rPr>
            </w:pPr>
            <w:r w:rsidRPr="00A17C52">
              <w:rPr>
                <w:sz w:val="20"/>
                <w:szCs w:val="20"/>
              </w:rPr>
              <w:t>Study ID</w:t>
            </w:r>
          </w:p>
        </w:tc>
        <w:tc>
          <w:tcPr>
            <w:tcW w:w="1524" w:type="pct"/>
          </w:tcPr>
          <w:p w14:paraId="5C56B219" w14:textId="77777777" w:rsidR="00482EC1" w:rsidRPr="00A17C52" w:rsidRDefault="00482EC1" w:rsidP="00E97B2B">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A17C52">
              <w:rPr>
                <w:sz w:val="20"/>
                <w:szCs w:val="20"/>
              </w:rPr>
              <w:t>Subtopics</w:t>
            </w:r>
          </w:p>
        </w:tc>
        <w:tc>
          <w:tcPr>
            <w:tcW w:w="1760" w:type="pct"/>
          </w:tcPr>
          <w:p w14:paraId="04FB40D4" w14:textId="77777777" w:rsidR="00482EC1" w:rsidRPr="00A17C52" w:rsidRDefault="00482EC1" w:rsidP="00E97B2B">
            <w:pPr>
              <w:ind w:left="0" w:right="0"/>
              <w:cnfStyle w:val="100000000000" w:firstRow="1" w:lastRow="0" w:firstColumn="0" w:lastColumn="0" w:oddVBand="0" w:evenVBand="0" w:oddHBand="0" w:evenHBand="0" w:firstRowFirstColumn="0" w:firstRowLastColumn="0" w:lastRowFirstColumn="0" w:lastRowLastColumn="0"/>
              <w:rPr>
                <w:sz w:val="20"/>
                <w:szCs w:val="20"/>
              </w:rPr>
            </w:pPr>
            <w:r w:rsidRPr="00A17C52">
              <w:rPr>
                <w:sz w:val="20"/>
                <w:szCs w:val="20"/>
              </w:rPr>
              <w:t>Synopsis</w:t>
            </w:r>
          </w:p>
        </w:tc>
      </w:tr>
      <w:tr w:rsidR="00482EC1" w:rsidRPr="00A17C52" w14:paraId="7C56E81B" w14:textId="77777777" w:rsidTr="00CF6063">
        <w:trPr>
          <w:trHeight w:val="3101"/>
        </w:trPr>
        <w:tc>
          <w:tcPr>
            <w:cnfStyle w:val="001000000000" w:firstRow="0" w:lastRow="0" w:firstColumn="1" w:lastColumn="0" w:oddVBand="0" w:evenVBand="0" w:oddHBand="0" w:evenHBand="0" w:firstRowFirstColumn="0" w:firstRowLastColumn="0" w:lastRowFirstColumn="0" w:lastRowLastColumn="0"/>
            <w:tcW w:w="1716" w:type="pct"/>
          </w:tcPr>
          <w:p w14:paraId="39E4BF3C" w14:textId="77777777" w:rsidR="00482EC1" w:rsidRPr="00A17C52" w:rsidRDefault="00482EC1" w:rsidP="00E97B2B">
            <w:pPr>
              <w:ind w:left="0" w:right="0"/>
              <w:rPr>
                <w:sz w:val="20"/>
                <w:szCs w:val="20"/>
              </w:rPr>
            </w:pPr>
            <w:r w:rsidRPr="00A17C52">
              <w:rPr>
                <w:sz w:val="20"/>
                <w:szCs w:val="20"/>
                <w:lang w:eastAsia="ja-JP"/>
              </w:rPr>
              <w:t xml:space="preserve">AC-052-106 </w:t>
            </w:r>
          </w:p>
        </w:tc>
        <w:tc>
          <w:tcPr>
            <w:tcW w:w="1524" w:type="pct"/>
          </w:tcPr>
          <w:p w14:paraId="17892489"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PK in healthy adults, bioequivalence, single dose</w:t>
            </w:r>
          </w:p>
        </w:tc>
        <w:tc>
          <w:tcPr>
            <w:tcW w:w="1760" w:type="pct"/>
          </w:tcPr>
          <w:p w14:paraId="034B570B"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 single-centre, prospective, </w:t>
            </w:r>
            <w:r w:rsidR="009C6335" w:rsidRPr="00A17C52">
              <w:rPr>
                <w:sz w:val="20"/>
                <w:szCs w:val="20"/>
              </w:rPr>
              <w:t>open label</w:t>
            </w:r>
            <w:r w:rsidRPr="00A17C52">
              <w:rPr>
                <w:sz w:val="20"/>
                <w:szCs w:val="20"/>
              </w:rPr>
              <w:t xml:space="preserve">, randomised, 4-way crossover </w:t>
            </w:r>
            <w:r w:rsidR="0066478A" w:rsidRPr="00A17C52">
              <w:rPr>
                <w:sz w:val="20"/>
                <w:szCs w:val="20"/>
              </w:rPr>
              <w:t>study</w:t>
            </w:r>
            <w:r w:rsidRPr="00A17C52">
              <w:rPr>
                <w:sz w:val="20"/>
                <w:szCs w:val="20"/>
              </w:rPr>
              <w:t xml:space="preserve"> comparing the bioavailability of a 125 mg bosentan tablet relative to that of an oral suspension of 125 mg bosentan, under both fasting conditions. The </w:t>
            </w:r>
            <w:r w:rsidR="0066478A" w:rsidRPr="00A17C52">
              <w:rPr>
                <w:sz w:val="20"/>
                <w:szCs w:val="20"/>
              </w:rPr>
              <w:t>study</w:t>
            </w:r>
            <w:r w:rsidRPr="00A17C52">
              <w:rPr>
                <w:sz w:val="20"/>
                <w:szCs w:val="20"/>
              </w:rPr>
              <w:t xml:space="preserve"> also compared the bioavailability of a 125 mg bosentan tablet to two 62.</w:t>
            </w:r>
            <w:r w:rsidR="007C6D8D" w:rsidRPr="00A17C52">
              <w:rPr>
                <w:sz w:val="20"/>
                <w:szCs w:val="20"/>
              </w:rPr>
              <w:t>5 mg</w:t>
            </w:r>
            <w:r w:rsidRPr="00A17C52">
              <w:rPr>
                <w:sz w:val="20"/>
                <w:szCs w:val="20"/>
              </w:rPr>
              <w:t xml:space="preserve"> tablets under fed conditions.</w:t>
            </w:r>
          </w:p>
        </w:tc>
      </w:tr>
      <w:tr w:rsidR="00482EC1" w:rsidRPr="00A17C52" w14:paraId="3C14C108" w14:textId="77777777" w:rsidTr="00CF6063">
        <w:trPr>
          <w:trHeight w:val="1190"/>
        </w:trPr>
        <w:tc>
          <w:tcPr>
            <w:cnfStyle w:val="001000000000" w:firstRow="0" w:lastRow="0" w:firstColumn="1" w:lastColumn="0" w:oddVBand="0" w:evenVBand="0" w:oddHBand="0" w:evenHBand="0" w:firstRowFirstColumn="0" w:firstRowLastColumn="0" w:lastRowFirstColumn="0" w:lastRowLastColumn="0"/>
            <w:tcW w:w="1716" w:type="pct"/>
          </w:tcPr>
          <w:p w14:paraId="2D134CF9" w14:textId="77777777" w:rsidR="00482EC1" w:rsidRPr="00A17C52" w:rsidRDefault="00482EC1" w:rsidP="00E97B2B">
            <w:pPr>
              <w:ind w:left="0" w:right="0"/>
              <w:rPr>
                <w:sz w:val="20"/>
                <w:szCs w:val="20"/>
              </w:rPr>
            </w:pPr>
            <w:r w:rsidRPr="00A17C52">
              <w:rPr>
                <w:sz w:val="20"/>
                <w:szCs w:val="20"/>
                <w:lang w:eastAsia="ja-JP"/>
              </w:rPr>
              <w:t>AC-052-357</w:t>
            </w:r>
          </w:p>
        </w:tc>
        <w:tc>
          <w:tcPr>
            <w:tcW w:w="1524" w:type="pct"/>
          </w:tcPr>
          <w:p w14:paraId="587CABEC"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PK in target population (adult PAH)</w:t>
            </w:r>
          </w:p>
        </w:tc>
        <w:tc>
          <w:tcPr>
            <w:tcW w:w="1760" w:type="pct"/>
          </w:tcPr>
          <w:p w14:paraId="41DC50CE"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 multi-centre, </w:t>
            </w:r>
            <w:r w:rsidR="009C6335" w:rsidRPr="00A17C52">
              <w:rPr>
                <w:sz w:val="20"/>
                <w:szCs w:val="20"/>
              </w:rPr>
              <w:t>open label</w:t>
            </w:r>
            <w:r w:rsidRPr="00A17C52">
              <w:rPr>
                <w:sz w:val="20"/>
                <w:szCs w:val="20"/>
              </w:rPr>
              <w:t xml:space="preserve">, non-comparative </w:t>
            </w:r>
            <w:r w:rsidR="0066478A" w:rsidRPr="00A17C52">
              <w:rPr>
                <w:sz w:val="20"/>
                <w:szCs w:val="20"/>
              </w:rPr>
              <w:t>study</w:t>
            </w:r>
            <w:r w:rsidRPr="00A17C52">
              <w:rPr>
                <w:sz w:val="20"/>
                <w:szCs w:val="20"/>
              </w:rPr>
              <w:t xml:space="preserve"> designed to obtain safety data with bosentan in adult patients with PAH.</w:t>
            </w:r>
          </w:p>
        </w:tc>
      </w:tr>
      <w:tr w:rsidR="00482EC1" w:rsidRPr="00A17C52" w14:paraId="0A14064C" w14:textId="77777777" w:rsidTr="00CF6063">
        <w:trPr>
          <w:trHeight w:val="1316"/>
        </w:trPr>
        <w:tc>
          <w:tcPr>
            <w:cnfStyle w:val="001000000000" w:firstRow="0" w:lastRow="0" w:firstColumn="1" w:lastColumn="0" w:oddVBand="0" w:evenVBand="0" w:oddHBand="0" w:evenHBand="0" w:firstRowFirstColumn="0" w:firstRowLastColumn="0" w:lastRowFirstColumn="0" w:lastRowLastColumn="0"/>
            <w:tcW w:w="1716" w:type="pct"/>
          </w:tcPr>
          <w:p w14:paraId="033E33B7" w14:textId="77777777" w:rsidR="00482EC1" w:rsidRPr="00A17C52" w:rsidRDefault="00482EC1" w:rsidP="00E97B2B">
            <w:pPr>
              <w:ind w:left="0" w:right="0"/>
              <w:rPr>
                <w:sz w:val="20"/>
                <w:szCs w:val="20"/>
              </w:rPr>
            </w:pPr>
            <w:r w:rsidRPr="00A17C52">
              <w:rPr>
                <w:sz w:val="20"/>
                <w:szCs w:val="20"/>
                <w:lang w:eastAsia="ja-JP"/>
              </w:rPr>
              <w:t>AC-052-356 (BREATHE-3)</w:t>
            </w:r>
          </w:p>
        </w:tc>
        <w:tc>
          <w:tcPr>
            <w:tcW w:w="1524" w:type="pct"/>
          </w:tcPr>
          <w:p w14:paraId="0452A4DD"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PK in target population (paediatric PAH)</w:t>
            </w:r>
          </w:p>
        </w:tc>
        <w:tc>
          <w:tcPr>
            <w:tcW w:w="1760" w:type="pct"/>
          </w:tcPr>
          <w:p w14:paraId="718B5A4C"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 multi-centre, prospective, </w:t>
            </w:r>
            <w:r w:rsidR="009C6335" w:rsidRPr="00A17C52">
              <w:rPr>
                <w:sz w:val="20"/>
                <w:szCs w:val="20"/>
              </w:rPr>
              <w:t>open label</w:t>
            </w:r>
            <w:r w:rsidRPr="00A17C52">
              <w:rPr>
                <w:sz w:val="20"/>
                <w:szCs w:val="20"/>
              </w:rPr>
              <w:t xml:space="preserve">, non-controlled </w:t>
            </w:r>
            <w:r w:rsidR="0066478A" w:rsidRPr="00A17C52">
              <w:rPr>
                <w:sz w:val="20"/>
                <w:szCs w:val="20"/>
              </w:rPr>
              <w:t>study</w:t>
            </w:r>
            <w:r w:rsidRPr="00A17C52">
              <w:rPr>
                <w:sz w:val="20"/>
                <w:szCs w:val="20"/>
              </w:rPr>
              <w:t xml:space="preserve"> to investigate the PK of bosentan given as single and multiple oral doses in paediatric patients with PAH.</w:t>
            </w:r>
          </w:p>
        </w:tc>
      </w:tr>
      <w:tr w:rsidR="00482EC1" w:rsidRPr="00A17C52" w14:paraId="69FA8F89" w14:textId="77777777" w:rsidTr="00CF6063">
        <w:trPr>
          <w:trHeight w:val="143"/>
        </w:trPr>
        <w:tc>
          <w:tcPr>
            <w:cnfStyle w:val="001000000000" w:firstRow="0" w:lastRow="0" w:firstColumn="1" w:lastColumn="0" w:oddVBand="0" w:evenVBand="0" w:oddHBand="0" w:evenHBand="0" w:firstRowFirstColumn="0" w:firstRowLastColumn="0" w:lastRowFirstColumn="0" w:lastRowLastColumn="0"/>
            <w:tcW w:w="1716" w:type="pct"/>
          </w:tcPr>
          <w:p w14:paraId="3D423D25" w14:textId="77777777" w:rsidR="00482EC1" w:rsidRPr="00A17C52" w:rsidRDefault="00482EC1" w:rsidP="00E97B2B">
            <w:pPr>
              <w:ind w:left="0" w:right="0"/>
              <w:rPr>
                <w:sz w:val="20"/>
                <w:szCs w:val="20"/>
              </w:rPr>
            </w:pPr>
            <w:r w:rsidRPr="00A17C52">
              <w:rPr>
                <w:sz w:val="20"/>
                <w:szCs w:val="20"/>
                <w:lang w:eastAsia="ja-JP"/>
              </w:rPr>
              <w:t>AC-052-356 (BREATHE-3)</w:t>
            </w:r>
          </w:p>
        </w:tc>
        <w:tc>
          <w:tcPr>
            <w:tcW w:w="1524" w:type="pct"/>
          </w:tcPr>
          <w:p w14:paraId="31307C60"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PK in target population (paediatric PAH)</w:t>
            </w:r>
          </w:p>
        </w:tc>
        <w:tc>
          <w:tcPr>
            <w:tcW w:w="1760" w:type="pct"/>
          </w:tcPr>
          <w:p w14:paraId="2C2030BD" w14:textId="77777777" w:rsidR="00482EC1" w:rsidRPr="00A17C52" w:rsidRDefault="00482EC1" w:rsidP="00E97B2B">
            <w:pPr>
              <w:ind w:left="0" w:right="0"/>
              <w:cnfStyle w:val="000000000000" w:firstRow="0" w:lastRow="0" w:firstColumn="0" w:lastColumn="0" w:oddVBand="0" w:evenVBand="0" w:oddHBand="0" w:evenHBand="0" w:firstRowFirstColumn="0" w:firstRowLastColumn="0" w:lastRowFirstColumn="0" w:lastRowLastColumn="0"/>
              <w:rPr>
                <w:sz w:val="20"/>
                <w:szCs w:val="20"/>
              </w:rPr>
            </w:pPr>
            <w:r w:rsidRPr="00A17C52">
              <w:rPr>
                <w:sz w:val="20"/>
                <w:szCs w:val="20"/>
              </w:rPr>
              <w:t xml:space="preserve">A multi-centre, prospective, </w:t>
            </w:r>
            <w:r w:rsidR="009C6335" w:rsidRPr="00A17C52">
              <w:rPr>
                <w:sz w:val="20"/>
                <w:szCs w:val="20"/>
              </w:rPr>
              <w:t>open label</w:t>
            </w:r>
            <w:r w:rsidRPr="00A17C52">
              <w:rPr>
                <w:sz w:val="20"/>
                <w:szCs w:val="20"/>
              </w:rPr>
              <w:t xml:space="preserve">, non-controlled </w:t>
            </w:r>
            <w:r w:rsidR="0066478A" w:rsidRPr="00A17C52">
              <w:rPr>
                <w:sz w:val="20"/>
                <w:szCs w:val="20"/>
              </w:rPr>
              <w:t>study</w:t>
            </w:r>
            <w:r w:rsidRPr="00A17C52">
              <w:rPr>
                <w:sz w:val="20"/>
                <w:szCs w:val="20"/>
              </w:rPr>
              <w:t xml:space="preserve"> to investigate the PK of bosentan given as single and multiple oral doses in paediatric patients with PAH.</w:t>
            </w:r>
          </w:p>
        </w:tc>
      </w:tr>
    </w:tbl>
    <w:p w14:paraId="4C61628B" w14:textId="77777777" w:rsidR="00482EC1" w:rsidRPr="002B74F6" w:rsidRDefault="00482EC1" w:rsidP="00153B34">
      <w:pPr>
        <w:pStyle w:val="Heading3"/>
        <w:numPr>
          <w:ilvl w:val="1"/>
          <w:numId w:val="9"/>
        </w:numPr>
      </w:pPr>
      <w:bookmarkStart w:id="52" w:name="_Toc473883984"/>
      <w:bookmarkStart w:id="53" w:name="_Toc519773897"/>
      <w:r w:rsidRPr="002B74F6">
        <w:t>Summary of pharmacokinetics</w:t>
      </w:r>
      <w:bookmarkEnd w:id="52"/>
      <w:bookmarkEnd w:id="53"/>
    </w:p>
    <w:p w14:paraId="4F0E5E4A" w14:textId="77777777" w:rsidR="00482EC1" w:rsidRDefault="00482EC1" w:rsidP="00482EC1">
      <w:pPr>
        <w:rPr>
          <w:lang w:eastAsia="ja-JP"/>
        </w:rPr>
      </w:pPr>
      <w:bookmarkStart w:id="54" w:name="_Toc272414617"/>
      <w:bookmarkStart w:id="55" w:name="_Toc290888466"/>
      <w:bookmarkStart w:id="56" w:name="_Toc416353662"/>
      <w:bookmarkStart w:id="57" w:name="_Toc421005243"/>
      <w:bookmarkStart w:id="58" w:name="_Toc432079125"/>
      <w:bookmarkStart w:id="59" w:name="_Toc432080698"/>
      <w:r>
        <w:rPr>
          <w:lang w:eastAsia="ja-JP"/>
        </w:rPr>
        <w:t>The following summary of pharmacokinetics is presented in the Tracleer PI:</w:t>
      </w:r>
    </w:p>
    <w:p w14:paraId="75441705" w14:textId="77777777" w:rsidR="00482EC1" w:rsidRPr="00482EC1" w:rsidRDefault="00CF6063" w:rsidP="00482EC1">
      <w:pPr>
        <w:ind w:left="720"/>
        <w:rPr>
          <w:i/>
          <w:szCs w:val="20"/>
          <w:lang w:eastAsia="ja-JP"/>
        </w:rPr>
      </w:pPr>
      <w:r>
        <w:rPr>
          <w:i/>
          <w:szCs w:val="20"/>
          <w:lang w:eastAsia="ja-JP"/>
        </w:rPr>
        <w:t>General</w:t>
      </w:r>
    </w:p>
    <w:p w14:paraId="5034085C" w14:textId="38549AAA" w:rsidR="007C6D8D" w:rsidRDefault="00482EC1" w:rsidP="00482EC1">
      <w:pPr>
        <w:ind w:left="720"/>
        <w:rPr>
          <w:szCs w:val="20"/>
          <w:lang w:eastAsia="ja-JP"/>
        </w:rPr>
      </w:pPr>
      <w:r w:rsidRPr="00482EC1">
        <w:rPr>
          <w:szCs w:val="20"/>
          <w:lang w:eastAsia="ja-JP"/>
        </w:rPr>
        <w:t xml:space="preserve">After oral administration, maximum plasma concentrations of bosentan found in a </w:t>
      </w:r>
      <w:r w:rsidR="0066478A">
        <w:rPr>
          <w:szCs w:val="20"/>
          <w:lang w:eastAsia="ja-JP"/>
        </w:rPr>
        <w:t>study</w:t>
      </w:r>
      <w:r w:rsidRPr="00482EC1">
        <w:rPr>
          <w:szCs w:val="20"/>
          <w:lang w:eastAsia="ja-JP"/>
        </w:rPr>
        <w:t xml:space="preserve"> of the 125 mg tablets taken as a single dose, were attained within 3.7 </w:t>
      </w:r>
      <w:r w:rsidR="00CF6063">
        <w:rPr>
          <w:szCs w:val="20"/>
          <w:lang w:eastAsia="ja-JP"/>
        </w:rPr>
        <w:t>±</w:t>
      </w:r>
      <w:r w:rsidRPr="00482EC1">
        <w:rPr>
          <w:szCs w:val="20"/>
          <w:lang w:eastAsia="ja-JP"/>
        </w:rPr>
        <w:t xml:space="preserve"> 1.7 hours an</w:t>
      </w:r>
      <w:r w:rsidR="00CF6063">
        <w:rPr>
          <w:szCs w:val="20"/>
          <w:lang w:eastAsia="ja-JP"/>
        </w:rPr>
        <w:t>d the apparent elimination half-</w:t>
      </w:r>
      <w:r w:rsidR="00CF6063" w:rsidRPr="00482EC1">
        <w:rPr>
          <w:szCs w:val="20"/>
          <w:lang w:eastAsia="ja-JP"/>
        </w:rPr>
        <w:t>life</w:t>
      </w:r>
      <w:r w:rsidRPr="00482EC1">
        <w:rPr>
          <w:szCs w:val="20"/>
          <w:lang w:eastAsia="ja-JP"/>
        </w:rPr>
        <w:t xml:space="preserve"> (t</w:t>
      </w:r>
      <w:r w:rsidR="00CF6063">
        <w:rPr>
          <w:szCs w:val="20"/>
          <w:vertAlign w:val="subscript"/>
          <w:lang w:eastAsia="ja-JP"/>
        </w:rPr>
        <w:t>½</w:t>
      </w:r>
      <w:r w:rsidRPr="00482EC1">
        <w:rPr>
          <w:szCs w:val="20"/>
          <w:lang w:eastAsia="ja-JP"/>
        </w:rPr>
        <w:t>) was 5.6 ± 1.6 hours in 16 fasted subjects. The pharmacokinetics of oral bosentan have not been studied in patients with pulmonary arterial hypertension. The clearance of intravenous bosentan was significantly lower in patients with primary pulmonary hype</w:t>
      </w:r>
      <w:r w:rsidR="00CF6063">
        <w:rPr>
          <w:szCs w:val="20"/>
          <w:lang w:eastAsia="ja-JP"/>
        </w:rPr>
        <w:t>rtension (3 L</w:t>
      </w:r>
      <w:r w:rsidRPr="00482EC1">
        <w:rPr>
          <w:szCs w:val="20"/>
          <w:lang w:eastAsia="ja-JP"/>
        </w:rPr>
        <w:t xml:space="preserve">/h) than in healthy volunteers </w:t>
      </w:r>
      <w:r w:rsidRPr="00482EC1">
        <w:rPr>
          <w:szCs w:val="20"/>
          <w:lang w:eastAsia="ja-JP"/>
        </w:rPr>
        <w:lastRenderedPageBreak/>
        <w:t>(9</w:t>
      </w:r>
      <w:r w:rsidR="00CF6063">
        <w:rPr>
          <w:szCs w:val="20"/>
          <w:lang w:eastAsia="ja-JP"/>
        </w:rPr>
        <w:t> L</w:t>
      </w:r>
      <w:r w:rsidRPr="00482EC1">
        <w:rPr>
          <w:szCs w:val="20"/>
          <w:lang w:eastAsia="ja-JP"/>
        </w:rPr>
        <w:t>/h). Exposure is also expected to be greater in patients with pulmonary arterial hypertension since increased (</w:t>
      </w:r>
      <w:r w:rsidR="00CF6063">
        <w:rPr>
          <w:szCs w:val="20"/>
          <w:lang w:eastAsia="ja-JP"/>
        </w:rPr>
        <w:t>30 to 40</w:t>
      </w:r>
      <w:r w:rsidRPr="00482EC1">
        <w:rPr>
          <w:szCs w:val="20"/>
          <w:lang w:eastAsia="ja-JP"/>
        </w:rPr>
        <w:t>%) bosentan exposure has been observed in patients with severe chronic heart failure</w:t>
      </w:r>
      <w:r w:rsidR="007C6D8D">
        <w:rPr>
          <w:szCs w:val="20"/>
          <w:lang w:eastAsia="ja-JP"/>
        </w:rPr>
        <w:t>.</w:t>
      </w:r>
    </w:p>
    <w:p w14:paraId="7731A0D6" w14:textId="77777777" w:rsidR="00482EC1" w:rsidRPr="002F2695" w:rsidRDefault="00482EC1" w:rsidP="00482EC1">
      <w:pPr>
        <w:ind w:left="720"/>
        <w:rPr>
          <w:i/>
          <w:szCs w:val="20"/>
          <w:lang w:eastAsia="ja-JP"/>
        </w:rPr>
      </w:pPr>
      <w:r w:rsidRPr="002F2695">
        <w:rPr>
          <w:i/>
          <w:szCs w:val="20"/>
          <w:lang w:eastAsia="ja-JP"/>
        </w:rPr>
        <w:t>Absorp</w:t>
      </w:r>
      <w:r w:rsidR="00CF6063" w:rsidRPr="002F2695">
        <w:rPr>
          <w:i/>
          <w:szCs w:val="20"/>
          <w:lang w:eastAsia="ja-JP"/>
        </w:rPr>
        <w:t>tion and Distribution</w:t>
      </w:r>
    </w:p>
    <w:p w14:paraId="45F435C4" w14:textId="77777777" w:rsidR="007C6D8D" w:rsidRDefault="00482EC1" w:rsidP="00482EC1">
      <w:pPr>
        <w:ind w:left="720"/>
        <w:rPr>
          <w:szCs w:val="20"/>
          <w:lang w:eastAsia="ja-JP"/>
        </w:rPr>
      </w:pPr>
      <w:r w:rsidRPr="00482EC1">
        <w:rPr>
          <w:szCs w:val="20"/>
          <w:lang w:eastAsia="ja-JP"/>
        </w:rPr>
        <w:t xml:space="preserve">In healthy volunteers at a dose of 600 mg, the absolute bioavailability of bosentan from an oral suspension was 41%. At a dose of 125 mg, administration of </w:t>
      </w:r>
      <w:r w:rsidR="007C6D8D">
        <w:rPr>
          <w:szCs w:val="20"/>
          <w:lang w:eastAsia="ja-JP"/>
        </w:rPr>
        <w:t>Tracleer</w:t>
      </w:r>
      <w:r w:rsidRPr="00482EC1">
        <w:rPr>
          <w:szCs w:val="20"/>
          <w:lang w:eastAsia="ja-JP"/>
        </w:rPr>
        <w:t xml:space="preserve"> with food did not have a significant effect on the extent of absorption but did increase the rate, leading to a 20% increase in peak plasma concentrations of bosentan. This is not expected to be clinically significant. The volume of distribution and clearance of bosentan are nonlinear and decrease as the dose increases. The mean volume of distribution of 17.8 ± 3.6 L/h and the mean clearance of 8.8 ± 1.9 L were determined after a mean IV dose of 250 mg was administered to 18 healthy male volunteers. Bosentan is highly bound (</w:t>
      </w:r>
      <w:r w:rsidR="00CF6063">
        <w:rPr>
          <w:szCs w:val="20"/>
          <w:lang w:eastAsia="ja-JP"/>
        </w:rPr>
        <w:t xml:space="preserve">&gt; </w:t>
      </w:r>
      <w:r w:rsidRPr="00482EC1">
        <w:rPr>
          <w:szCs w:val="20"/>
          <w:lang w:eastAsia="ja-JP"/>
        </w:rPr>
        <w:t>98%) to plasma proteins, mainly albumin. Bosentan does not penetrate into erythrocytes</w:t>
      </w:r>
      <w:r w:rsidR="007C6D8D">
        <w:rPr>
          <w:szCs w:val="20"/>
          <w:lang w:eastAsia="ja-JP"/>
        </w:rPr>
        <w:t>.</w:t>
      </w:r>
    </w:p>
    <w:p w14:paraId="44BF7C24" w14:textId="77777777" w:rsidR="00482EC1" w:rsidRPr="002F2695" w:rsidRDefault="00CF6063" w:rsidP="00482EC1">
      <w:pPr>
        <w:keepNext/>
        <w:ind w:left="720"/>
        <w:rPr>
          <w:i/>
          <w:szCs w:val="20"/>
          <w:lang w:eastAsia="ja-JP"/>
        </w:rPr>
      </w:pPr>
      <w:r w:rsidRPr="002F2695">
        <w:rPr>
          <w:i/>
          <w:szCs w:val="20"/>
          <w:lang w:eastAsia="ja-JP"/>
        </w:rPr>
        <w:t>Metabolism and Elimination</w:t>
      </w:r>
    </w:p>
    <w:p w14:paraId="010A460D" w14:textId="77777777" w:rsidR="00482EC1" w:rsidRPr="00482EC1" w:rsidRDefault="00482EC1" w:rsidP="00482EC1">
      <w:pPr>
        <w:ind w:left="720"/>
        <w:rPr>
          <w:szCs w:val="20"/>
          <w:lang w:eastAsia="ja-JP"/>
        </w:rPr>
      </w:pPr>
      <w:r w:rsidRPr="00482EC1">
        <w:rPr>
          <w:szCs w:val="20"/>
          <w:lang w:eastAsia="ja-JP"/>
        </w:rPr>
        <w:t>Bosentan is metabolised in the liver by the cytochrom</w:t>
      </w:r>
      <w:r w:rsidR="00CF6063">
        <w:rPr>
          <w:szCs w:val="20"/>
          <w:lang w:eastAsia="ja-JP"/>
        </w:rPr>
        <w:t>e P450 enzymes, CYP 2C9 and CYP </w:t>
      </w:r>
      <w:r w:rsidRPr="00482EC1">
        <w:rPr>
          <w:szCs w:val="20"/>
          <w:lang w:eastAsia="ja-JP"/>
        </w:rPr>
        <w:t>3A4, and eliminated by biliary excretion. 94% of a radioactive oral dose was recovered in faeces (30% was unchanged). Bosentan has three metabolites, one of which is pharmacologically active and may contribute 20% of the effect of bosentan. Bosentan is an inducer of CYP2C9 and CYP3A4 and possibly also of CYP 2C19. Total clearance after a single intravenous dose is about 8</w:t>
      </w:r>
      <w:r w:rsidR="00CF6063">
        <w:rPr>
          <w:szCs w:val="20"/>
          <w:lang w:eastAsia="ja-JP"/>
        </w:rPr>
        <w:t xml:space="preserve"> L</w:t>
      </w:r>
      <w:r w:rsidRPr="00482EC1">
        <w:rPr>
          <w:szCs w:val="20"/>
          <w:lang w:eastAsia="ja-JP"/>
        </w:rPr>
        <w:t xml:space="preserve">/hr. Upon multiple dosing, plasma concentrations decrease gradually to </w:t>
      </w:r>
      <w:r w:rsidR="00CF6063">
        <w:rPr>
          <w:szCs w:val="20"/>
          <w:lang w:eastAsia="ja-JP"/>
        </w:rPr>
        <w:t>50 to 65</w:t>
      </w:r>
      <w:r w:rsidRPr="00482EC1">
        <w:rPr>
          <w:szCs w:val="20"/>
          <w:lang w:eastAsia="ja-JP"/>
        </w:rPr>
        <w:t xml:space="preserve">% of those seen after single dose administration, probably the effect of auto-induction of the metabolising liver enzymes. Steady state is reached within </w:t>
      </w:r>
      <w:r w:rsidR="00CF6063">
        <w:rPr>
          <w:szCs w:val="20"/>
          <w:lang w:eastAsia="ja-JP"/>
        </w:rPr>
        <w:t>3 to 5</w:t>
      </w:r>
      <w:r w:rsidRPr="00482EC1">
        <w:rPr>
          <w:szCs w:val="20"/>
          <w:lang w:eastAsia="ja-JP"/>
        </w:rPr>
        <w:t xml:space="preserve"> days. Less than 3% of an administered oral dose is recovered in urine.</w:t>
      </w:r>
    </w:p>
    <w:p w14:paraId="022E1374" w14:textId="77777777" w:rsidR="00482EC1" w:rsidRPr="00482EC1" w:rsidRDefault="00CF6063" w:rsidP="00482EC1">
      <w:pPr>
        <w:ind w:left="720"/>
        <w:rPr>
          <w:i/>
          <w:szCs w:val="20"/>
          <w:lang w:eastAsia="ja-JP"/>
        </w:rPr>
      </w:pPr>
      <w:r>
        <w:rPr>
          <w:i/>
          <w:szCs w:val="20"/>
          <w:lang w:eastAsia="ja-JP"/>
        </w:rPr>
        <w:t>Special Populations</w:t>
      </w:r>
    </w:p>
    <w:p w14:paraId="3CACFB7F" w14:textId="77777777" w:rsidR="007C6D8D" w:rsidRDefault="00482EC1" w:rsidP="00482EC1">
      <w:pPr>
        <w:ind w:left="720"/>
        <w:rPr>
          <w:szCs w:val="20"/>
          <w:lang w:eastAsia="ja-JP"/>
        </w:rPr>
      </w:pPr>
      <w:r w:rsidRPr="00482EC1">
        <w:rPr>
          <w:szCs w:val="20"/>
          <w:lang w:eastAsia="ja-JP"/>
        </w:rPr>
        <w:t>It is not known whether bosentan pharmacokinetics are influenced by gender, body weight, race, or age</w:t>
      </w:r>
      <w:r w:rsidR="007C6D8D">
        <w:rPr>
          <w:szCs w:val="20"/>
          <w:lang w:eastAsia="ja-JP"/>
        </w:rPr>
        <w:t>.</w:t>
      </w:r>
    </w:p>
    <w:p w14:paraId="5338F882" w14:textId="77777777" w:rsidR="00482EC1" w:rsidRPr="00482EC1" w:rsidRDefault="00CF6063" w:rsidP="00482EC1">
      <w:pPr>
        <w:ind w:left="720"/>
        <w:rPr>
          <w:i/>
          <w:szCs w:val="20"/>
          <w:lang w:eastAsia="ja-JP"/>
        </w:rPr>
      </w:pPr>
      <w:r>
        <w:rPr>
          <w:i/>
          <w:szCs w:val="20"/>
          <w:lang w:eastAsia="ja-JP"/>
        </w:rPr>
        <w:t>Hepatic Function Impairment</w:t>
      </w:r>
    </w:p>
    <w:p w14:paraId="4BA27BC0" w14:textId="77777777" w:rsidR="007C6D8D" w:rsidRDefault="00482EC1" w:rsidP="00482EC1">
      <w:pPr>
        <w:ind w:left="720"/>
        <w:rPr>
          <w:szCs w:val="20"/>
          <w:lang w:eastAsia="ja-JP"/>
        </w:rPr>
      </w:pPr>
      <w:r w:rsidRPr="00482EC1">
        <w:rPr>
          <w:szCs w:val="20"/>
          <w:lang w:eastAsia="ja-JP"/>
        </w:rPr>
        <w:t xml:space="preserve">The </w:t>
      </w:r>
      <w:r w:rsidR="00CF6063">
        <w:rPr>
          <w:szCs w:val="20"/>
          <w:lang w:eastAsia="ja-JP"/>
        </w:rPr>
        <w:t>steady state</w:t>
      </w:r>
      <w:r w:rsidRPr="00482EC1">
        <w:rPr>
          <w:szCs w:val="20"/>
          <w:lang w:eastAsia="ja-JP"/>
        </w:rPr>
        <w:t xml:space="preserve"> pharmacokinetics of bosentan and metabolites were studied in 8 patients with mild hepatic impairment (Child-Pugh Class A) without pulmonary hypertension. Compared to healthy controls, bosentan C</w:t>
      </w:r>
      <w:r w:rsidRPr="00482EC1">
        <w:rPr>
          <w:szCs w:val="20"/>
          <w:vertAlign w:val="subscript"/>
          <w:lang w:eastAsia="ja-JP"/>
        </w:rPr>
        <w:t>max</w:t>
      </w:r>
      <w:r w:rsidRPr="00482EC1">
        <w:rPr>
          <w:szCs w:val="20"/>
          <w:lang w:eastAsia="ja-JP"/>
        </w:rPr>
        <w:t>, AUC and half-life were not significantly altered; AUC of the active metabolite</w:t>
      </w:r>
      <w:r w:rsidR="00CF6063">
        <w:rPr>
          <w:szCs w:val="20"/>
          <w:lang w:eastAsia="ja-JP"/>
        </w:rPr>
        <w:t xml:space="preserve"> Ro 48-</w:t>
      </w:r>
      <w:r w:rsidRPr="00482EC1">
        <w:rPr>
          <w:szCs w:val="20"/>
          <w:lang w:eastAsia="ja-JP"/>
        </w:rPr>
        <w:t>5033 was increased by 33%; trough concentr</w:t>
      </w:r>
      <w:r w:rsidR="00CF6063">
        <w:rPr>
          <w:szCs w:val="20"/>
          <w:lang w:eastAsia="ja-JP"/>
        </w:rPr>
        <w:t>ations of Ro 48-5033 and Ro 64-</w:t>
      </w:r>
      <w:r w:rsidRPr="00482EC1">
        <w:rPr>
          <w:szCs w:val="20"/>
          <w:lang w:eastAsia="ja-JP"/>
        </w:rPr>
        <w:t xml:space="preserve">1056 were increased by 75% and 20%, respectively. Based on these findings, no dosage adjustment is required in patients with mild hepatic impairment (see </w:t>
      </w:r>
      <w:r w:rsidR="00D80DA1" w:rsidRPr="00482EC1">
        <w:rPr>
          <w:szCs w:val="20"/>
          <w:lang w:eastAsia="ja-JP"/>
        </w:rPr>
        <w:t>dosage and administration</w:t>
      </w:r>
      <w:r w:rsidRPr="00482EC1">
        <w:rPr>
          <w:szCs w:val="20"/>
          <w:lang w:eastAsia="ja-JP"/>
        </w:rPr>
        <w:t>)</w:t>
      </w:r>
      <w:r w:rsidR="007C6D8D">
        <w:rPr>
          <w:szCs w:val="20"/>
          <w:lang w:eastAsia="ja-JP"/>
        </w:rPr>
        <w:t>.</w:t>
      </w:r>
    </w:p>
    <w:p w14:paraId="33725D80" w14:textId="77777777" w:rsidR="007C6D8D" w:rsidRDefault="00482EC1" w:rsidP="00482EC1">
      <w:pPr>
        <w:ind w:left="720"/>
        <w:rPr>
          <w:szCs w:val="20"/>
          <w:lang w:eastAsia="ja-JP"/>
        </w:rPr>
      </w:pPr>
      <w:r w:rsidRPr="00482EC1">
        <w:rPr>
          <w:szCs w:val="20"/>
          <w:lang w:eastAsia="ja-JP"/>
        </w:rPr>
        <w:t xml:space="preserve">The pharmacokinetics of bosentan have not been studied in patients with moderate to severe hepatic impairment. </w:t>
      </w:r>
      <w:r w:rsidR="007C6D8D">
        <w:rPr>
          <w:szCs w:val="20"/>
          <w:lang w:eastAsia="ja-JP"/>
        </w:rPr>
        <w:t>Tracleer</w:t>
      </w:r>
      <w:r w:rsidRPr="00482EC1">
        <w:rPr>
          <w:szCs w:val="20"/>
          <w:lang w:eastAsia="ja-JP"/>
        </w:rPr>
        <w:t xml:space="preserve"> is contraindicated in patients with moderate to severe hepatic abnormalities and/or baseline elevated aminotransferases </w:t>
      </w:r>
      <w:r w:rsidR="00CF6063">
        <w:rPr>
          <w:szCs w:val="20"/>
          <w:lang w:eastAsia="ja-JP"/>
        </w:rPr>
        <w:t xml:space="preserve">&gt; </w:t>
      </w:r>
      <w:r w:rsidRPr="00482EC1">
        <w:rPr>
          <w:szCs w:val="20"/>
          <w:lang w:eastAsia="ja-JP"/>
        </w:rPr>
        <w:t>3 x Upper Limit of Normal (ULN) (</w:t>
      </w:r>
      <w:r w:rsidR="00D80DA1" w:rsidRPr="00482EC1">
        <w:rPr>
          <w:szCs w:val="20"/>
          <w:lang w:eastAsia="ja-JP"/>
        </w:rPr>
        <w:t>see contraindications</w:t>
      </w:r>
      <w:r w:rsidRPr="00482EC1">
        <w:rPr>
          <w:szCs w:val="20"/>
          <w:lang w:eastAsia="ja-JP"/>
        </w:rPr>
        <w:t>)</w:t>
      </w:r>
      <w:r w:rsidR="007C6D8D">
        <w:rPr>
          <w:szCs w:val="20"/>
          <w:lang w:eastAsia="ja-JP"/>
        </w:rPr>
        <w:t>.</w:t>
      </w:r>
    </w:p>
    <w:p w14:paraId="4579CECB" w14:textId="77777777" w:rsidR="00482EC1" w:rsidRPr="00482EC1" w:rsidRDefault="00CF6063" w:rsidP="00482EC1">
      <w:pPr>
        <w:ind w:left="720"/>
        <w:rPr>
          <w:i/>
          <w:szCs w:val="20"/>
          <w:lang w:eastAsia="ja-JP"/>
        </w:rPr>
      </w:pPr>
      <w:r>
        <w:rPr>
          <w:i/>
          <w:szCs w:val="20"/>
          <w:lang w:eastAsia="ja-JP"/>
        </w:rPr>
        <w:t>Renal Impairment</w:t>
      </w:r>
    </w:p>
    <w:p w14:paraId="6CFF0CAC" w14:textId="77777777" w:rsidR="007C6D8D" w:rsidRDefault="00482EC1" w:rsidP="00482EC1">
      <w:pPr>
        <w:ind w:left="720"/>
        <w:rPr>
          <w:szCs w:val="20"/>
          <w:lang w:eastAsia="ja-JP"/>
        </w:rPr>
      </w:pPr>
      <w:r w:rsidRPr="00482EC1">
        <w:rPr>
          <w:szCs w:val="20"/>
          <w:lang w:eastAsia="ja-JP"/>
        </w:rPr>
        <w:t xml:space="preserve">In patients with severe renal impairment (creatinine clearance </w:t>
      </w:r>
      <w:r w:rsidR="00CF6063">
        <w:rPr>
          <w:szCs w:val="20"/>
          <w:lang w:eastAsia="ja-JP"/>
        </w:rPr>
        <w:t xml:space="preserve">15 to 30 </w:t>
      </w:r>
      <w:r w:rsidRPr="00482EC1">
        <w:rPr>
          <w:szCs w:val="20"/>
          <w:lang w:eastAsia="ja-JP"/>
        </w:rPr>
        <w:t xml:space="preserve">mL/min), plasma concentrations of bosentan were essentially unchanged and plasma concentrations of the three metabolites were increased about </w:t>
      </w:r>
      <w:r w:rsidR="00CF6063">
        <w:rPr>
          <w:szCs w:val="20"/>
          <w:lang w:eastAsia="ja-JP"/>
        </w:rPr>
        <w:t>2 fold</w:t>
      </w:r>
      <w:r w:rsidRPr="00482EC1">
        <w:rPr>
          <w:szCs w:val="20"/>
          <w:lang w:eastAsia="ja-JP"/>
        </w:rPr>
        <w:t xml:space="preserve"> compared to people with normal renal function. These differences do not appear to be clinically important (</w:t>
      </w:r>
      <w:r w:rsidR="00D80DA1" w:rsidRPr="00482EC1">
        <w:rPr>
          <w:szCs w:val="20"/>
          <w:lang w:eastAsia="ja-JP"/>
        </w:rPr>
        <w:t>see dosage and administration</w:t>
      </w:r>
      <w:r w:rsidRPr="00482EC1">
        <w:rPr>
          <w:szCs w:val="20"/>
          <w:lang w:eastAsia="ja-JP"/>
        </w:rPr>
        <w:t>)</w:t>
      </w:r>
      <w:r w:rsidR="007C6D8D">
        <w:rPr>
          <w:szCs w:val="20"/>
          <w:lang w:eastAsia="ja-JP"/>
        </w:rPr>
        <w:t>.</w:t>
      </w:r>
    </w:p>
    <w:p w14:paraId="0F9614E7" w14:textId="77777777" w:rsidR="00482EC1" w:rsidRPr="00482EC1" w:rsidRDefault="00CF6063" w:rsidP="00482EC1">
      <w:pPr>
        <w:ind w:left="720"/>
        <w:rPr>
          <w:i/>
          <w:szCs w:val="20"/>
          <w:lang w:eastAsia="ja-JP"/>
        </w:rPr>
      </w:pPr>
      <w:r>
        <w:rPr>
          <w:i/>
          <w:szCs w:val="20"/>
          <w:lang w:eastAsia="ja-JP"/>
        </w:rPr>
        <w:t>Children</w:t>
      </w:r>
    </w:p>
    <w:p w14:paraId="0BACA37C" w14:textId="77777777" w:rsidR="00482EC1" w:rsidRPr="00482EC1" w:rsidRDefault="00482EC1" w:rsidP="00482EC1">
      <w:pPr>
        <w:ind w:left="720"/>
        <w:rPr>
          <w:szCs w:val="20"/>
          <w:lang w:eastAsia="ja-JP"/>
        </w:rPr>
      </w:pPr>
      <w:r w:rsidRPr="00482EC1">
        <w:rPr>
          <w:szCs w:val="20"/>
          <w:lang w:eastAsia="ja-JP"/>
        </w:rPr>
        <w:lastRenderedPageBreak/>
        <w:t xml:space="preserve">The pharmacokinetics of bosentan at </w:t>
      </w:r>
      <w:r w:rsidR="00CF6063">
        <w:rPr>
          <w:szCs w:val="20"/>
          <w:lang w:eastAsia="ja-JP"/>
        </w:rPr>
        <w:t>steady state</w:t>
      </w:r>
      <w:r w:rsidRPr="00482EC1">
        <w:rPr>
          <w:szCs w:val="20"/>
          <w:lang w:eastAsia="ja-JP"/>
        </w:rPr>
        <w:t xml:space="preserve"> were studied in 19 children aged 3 to 15 years with PPH or PAH secondary to congenital systemic to pulmonary communications. The number of patients studied in each dose group was insufficient to establish the optimal dosing regimen. In children weighing over 20 kg, administration of the recommended dose regimen (see </w:t>
      </w:r>
      <w:r w:rsidR="00D80DA1" w:rsidRPr="00482EC1">
        <w:rPr>
          <w:szCs w:val="20"/>
          <w:lang w:eastAsia="ja-JP"/>
        </w:rPr>
        <w:t>dosage and administration</w:t>
      </w:r>
      <w:r w:rsidRPr="00482EC1">
        <w:rPr>
          <w:szCs w:val="20"/>
          <w:lang w:eastAsia="ja-JP"/>
        </w:rPr>
        <w:t>) led to bosentan plasma concentrations which were higher than those in healthy adults taking the recommended adult dose, but similar to those expected in adults with pulmonary hypertension. In chi</w:t>
      </w:r>
      <w:r w:rsidR="00CF6063">
        <w:rPr>
          <w:szCs w:val="20"/>
          <w:lang w:eastAsia="ja-JP"/>
        </w:rPr>
        <w:t xml:space="preserve">ldren weighing 10 to </w:t>
      </w:r>
      <w:r w:rsidRPr="00482EC1">
        <w:rPr>
          <w:szCs w:val="20"/>
          <w:lang w:eastAsia="ja-JP"/>
        </w:rPr>
        <w:t xml:space="preserve">20 kg, bosentan plasma concentrations during administration of the recommended dose were lower than in healthy adults, and thus lower than those expected in adults with pulmonary hypertension. However, the recommended dose was associated with haemodynamic improvement and should not be exceeded on safety grounds. The </w:t>
      </w:r>
      <w:r w:rsidR="00CF6063">
        <w:rPr>
          <w:szCs w:val="20"/>
          <w:lang w:eastAsia="ja-JP"/>
        </w:rPr>
        <w:t>steady state</w:t>
      </w:r>
      <w:r w:rsidRPr="00482EC1">
        <w:rPr>
          <w:szCs w:val="20"/>
          <w:lang w:eastAsia="ja-JP"/>
        </w:rPr>
        <w:t xml:space="preserve"> </w:t>
      </w:r>
      <w:r w:rsidR="00CF6063" w:rsidRPr="00482EC1">
        <w:rPr>
          <w:szCs w:val="20"/>
          <w:lang w:eastAsia="ja-JP"/>
        </w:rPr>
        <w:t>half-life</w:t>
      </w:r>
      <w:r w:rsidRPr="00482EC1">
        <w:rPr>
          <w:szCs w:val="20"/>
          <w:lang w:eastAsia="ja-JP"/>
        </w:rPr>
        <w:t xml:space="preserve"> of bosentan in children averaged 5 to 6 hours.</w:t>
      </w:r>
    </w:p>
    <w:p w14:paraId="79087D0C" w14:textId="77777777" w:rsidR="00482EC1" w:rsidRPr="002B74F6" w:rsidRDefault="00482EC1" w:rsidP="00153B34">
      <w:pPr>
        <w:pStyle w:val="Heading4"/>
        <w:numPr>
          <w:ilvl w:val="2"/>
          <w:numId w:val="5"/>
        </w:numPr>
      </w:pPr>
      <w:r w:rsidRPr="002B74F6">
        <w:t>Physicochemical characteristics of the active substance</w:t>
      </w:r>
      <w:bookmarkEnd w:id="54"/>
      <w:bookmarkEnd w:id="55"/>
      <w:bookmarkEnd w:id="56"/>
      <w:bookmarkEnd w:id="57"/>
      <w:bookmarkEnd w:id="58"/>
      <w:bookmarkEnd w:id="59"/>
    </w:p>
    <w:p w14:paraId="55B22D9E" w14:textId="77777777" w:rsidR="00482EC1" w:rsidRPr="00EB613E" w:rsidRDefault="00482EC1" w:rsidP="00482EC1">
      <w:pPr>
        <w:rPr>
          <w:lang w:eastAsia="ja-JP"/>
        </w:rPr>
      </w:pPr>
      <w:bookmarkStart w:id="60" w:name="_Ref271189106"/>
      <w:bookmarkStart w:id="61" w:name="_Ref271189143"/>
      <w:bookmarkStart w:id="62" w:name="_Toc272414618"/>
      <w:bookmarkStart w:id="63" w:name="_Toc290888467"/>
      <w:bookmarkStart w:id="64" w:name="_Toc416353663"/>
      <w:bookmarkStart w:id="65" w:name="_Toc421005244"/>
      <w:bookmarkStart w:id="66" w:name="_Toc432079126"/>
      <w:bookmarkStart w:id="67" w:name="_Toc432080699"/>
      <w:r w:rsidRPr="00EB613E">
        <w:rPr>
          <w:lang w:eastAsia="ja-JP"/>
        </w:rPr>
        <w:t>The chemical name of bosentan is benzenesulfonamide, 4-(1,1-dimethylethyl)-N-[6-(2-hydroxyethoxy)-5-(2-methoxyphenoxy)[2,2'-bipyrimidin]-4-yl], monohydrate. The active</w:t>
      </w:r>
      <w:r>
        <w:rPr>
          <w:lang w:eastAsia="ja-JP"/>
        </w:rPr>
        <w:t xml:space="preserve"> </w:t>
      </w:r>
      <w:r w:rsidRPr="00EB613E">
        <w:rPr>
          <w:lang w:eastAsia="ja-JP"/>
        </w:rPr>
        <w:t>pharmaceutical ingredient is actually a monohydrate and is designated Ro 47-0203/029.</w:t>
      </w:r>
    </w:p>
    <w:p w14:paraId="2F8CF4C5" w14:textId="77777777" w:rsidR="00482EC1" w:rsidRDefault="00482EC1" w:rsidP="00482EC1">
      <w:pPr>
        <w:rPr>
          <w:lang w:eastAsia="ja-JP"/>
        </w:rPr>
      </w:pPr>
      <w:r>
        <w:rPr>
          <w:lang w:eastAsia="ja-JP"/>
        </w:rPr>
        <w:t>Bosentan is achiral</w:t>
      </w:r>
      <w:r w:rsidRPr="00EB613E">
        <w:rPr>
          <w:lang w:eastAsia="ja-JP"/>
        </w:rPr>
        <w:t xml:space="preserve"> </w:t>
      </w:r>
      <w:r>
        <w:rPr>
          <w:lang w:eastAsia="ja-JP"/>
        </w:rPr>
        <w:t>and t</w:t>
      </w:r>
      <w:r w:rsidRPr="00EB613E">
        <w:rPr>
          <w:lang w:eastAsia="ja-JP"/>
        </w:rPr>
        <w:t>he molecular formula is C27H29N506S.H20 with a relative molecular mass of 569.64.</w:t>
      </w:r>
      <w:r>
        <w:rPr>
          <w:lang w:eastAsia="ja-JP"/>
        </w:rPr>
        <w:t xml:space="preserve"> </w:t>
      </w:r>
      <w:r w:rsidRPr="00767190">
        <w:rPr>
          <w:lang w:eastAsia="ja-JP"/>
        </w:rPr>
        <w:t xml:space="preserve">In aqueous solution, bosentan monohydrate is insoluble in </w:t>
      </w:r>
      <w:r>
        <w:rPr>
          <w:lang w:eastAsia="ja-JP"/>
        </w:rPr>
        <w:t xml:space="preserve">water and in buffer solution of </w:t>
      </w:r>
      <w:r w:rsidRPr="00767190">
        <w:rPr>
          <w:lang w:eastAsia="ja-JP"/>
        </w:rPr>
        <w:t>pH 1 to 5. The solubility increases at higher pH values (43 mg/100 mL at pH 7.5).</w:t>
      </w:r>
      <w:r>
        <w:rPr>
          <w:lang w:eastAsia="ja-JP"/>
        </w:rPr>
        <w:t xml:space="preserve"> In </w:t>
      </w:r>
      <w:r w:rsidRPr="00767190">
        <w:rPr>
          <w:lang w:eastAsia="ja-JP"/>
        </w:rPr>
        <w:t xml:space="preserve">aqueous buffers, </w:t>
      </w:r>
      <w:r>
        <w:rPr>
          <w:lang w:eastAsia="ja-JP"/>
        </w:rPr>
        <w:t xml:space="preserve">bosentan </w:t>
      </w:r>
      <w:r w:rsidRPr="00767190">
        <w:rPr>
          <w:lang w:eastAsia="ja-JP"/>
        </w:rPr>
        <w:t>is most stable between pH 3 and 5. Bosentan monohydrate has a dissociation constant of 5.46</w:t>
      </w:r>
      <w:r>
        <w:rPr>
          <w:lang w:eastAsia="ja-JP"/>
        </w:rPr>
        <w:t>.</w:t>
      </w:r>
    </w:p>
    <w:p w14:paraId="4D96F265" w14:textId="77777777" w:rsidR="00482EC1" w:rsidRDefault="00482EC1" w:rsidP="00153B34">
      <w:pPr>
        <w:pStyle w:val="Heading4"/>
        <w:numPr>
          <w:ilvl w:val="2"/>
          <w:numId w:val="5"/>
        </w:numPr>
      </w:pPr>
      <w:r w:rsidRPr="00545B14">
        <w:t>Pharmacokinetics in healthy subjects</w:t>
      </w:r>
      <w:bookmarkEnd w:id="60"/>
      <w:bookmarkEnd w:id="61"/>
      <w:bookmarkEnd w:id="62"/>
      <w:bookmarkEnd w:id="63"/>
      <w:bookmarkEnd w:id="64"/>
      <w:bookmarkEnd w:id="65"/>
      <w:bookmarkEnd w:id="66"/>
      <w:bookmarkEnd w:id="67"/>
    </w:p>
    <w:p w14:paraId="32DDFBD0" w14:textId="77777777" w:rsidR="007C6D8D" w:rsidRDefault="00482EC1" w:rsidP="00482EC1">
      <w:r>
        <w:t>Two studies provided additional information regarding the pharmacokinetics of bosentan in the healthy adult population. The focus of these trials was the relative bioavailability of various bosentan formulations</w:t>
      </w:r>
      <w:r w:rsidR="007C6D8D">
        <w:t>.</w:t>
      </w:r>
    </w:p>
    <w:p w14:paraId="09121C5A" w14:textId="45D73093" w:rsidR="007C6D8D" w:rsidRDefault="00482EC1" w:rsidP="00482EC1">
      <w:r>
        <w:t xml:space="preserve">A full CSR for </w:t>
      </w:r>
      <w:r w:rsidR="009F5B88">
        <w:t xml:space="preserve">Study </w:t>
      </w:r>
      <w:r>
        <w:t xml:space="preserve">AC-052-106 was not included in the current submission. Study </w:t>
      </w:r>
      <w:r w:rsidR="00CF6063">
        <w:rPr>
          <w:lang w:eastAsia="ja-JP"/>
        </w:rPr>
        <w:t>AC-052-106</w:t>
      </w:r>
      <w:r>
        <w:t xml:space="preserve"> compared </w:t>
      </w:r>
      <w:r w:rsidRPr="001A45E1">
        <w:t>the bioavailability of a 125 mg bosentan tablet to th</w:t>
      </w:r>
      <w:r w:rsidR="00CF6063">
        <w:t>at of an oral suspension of 125 </w:t>
      </w:r>
      <w:r w:rsidRPr="001A45E1">
        <w:t>mg bosentan, under fasting conditions.</w:t>
      </w:r>
      <w:r>
        <w:t xml:space="preserve"> The oral suspension formulation used in this </w:t>
      </w:r>
      <w:r w:rsidR="0066478A">
        <w:t>study</w:t>
      </w:r>
      <w:r>
        <w:t xml:space="preserve"> is stated to be one from early clinical development. The tablet formulation was the approved marketed formulation. Study </w:t>
      </w:r>
      <w:r>
        <w:rPr>
          <w:lang w:eastAsia="ja-JP"/>
        </w:rPr>
        <w:t xml:space="preserve">AC-052-106 </w:t>
      </w:r>
      <w:r>
        <w:t>also compared the bioavailability of a 125 mg bosentan tablet to two 62.</w:t>
      </w:r>
      <w:r w:rsidR="007C6D8D">
        <w:t>5 mg</w:t>
      </w:r>
      <w:r>
        <w:t xml:space="preserve"> tablets under fed conditions</w:t>
      </w:r>
      <w:r w:rsidR="007C6D8D">
        <w:t>.</w:t>
      </w:r>
    </w:p>
    <w:p w14:paraId="16D66E9B" w14:textId="77777777" w:rsidR="00482EC1" w:rsidRDefault="00482EC1" w:rsidP="00482EC1">
      <w:r>
        <w:t xml:space="preserve">Study AC-052-116 compared the PK properties of an adult and a paediatric formulation of bosentan after </w:t>
      </w:r>
      <w:r w:rsidR="00CF6063">
        <w:t>single dose</w:t>
      </w:r>
      <w:r>
        <w:t xml:space="preserve"> administration to healthy male subjects. The adult formulation was a 62.</w:t>
      </w:r>
      <w:r w:rsidR="007C6D8D">
        <w:t>5 mg</w:t>
      </w:r>
      <w:r>
        <w:t xml:space="preserve"> tablet and the paediatric formulation was a dispersible 3</w:t>
      </w:r>
      <w:r w:rsidR="007C6D8D">
        <w:t>2 mg</w:t>
      </w:r>
      <w:r>
        <w:t xml:space="preserve"> tablet. Treatment A consisted of a single dose of the 62.</w:t>
      </w:r>
      <w:r w:rsidR="007C6D8D">
        <w:t>5 mg</w:t>
      </w:r>
      <w:r>
        <w:t xml:space="preserve"> adult formulation and treatment B consisted of two tablets of the 32 mg paediatric formulation (64 mg).</w:t>
      </w:r>
    </w:p>
    <w:p w14:paraId="3B5DF5D8" w14:textId="77777777" w:rsidR="00482EC1" w:rsidRPr="005B0142" w:rsidRDefault="00482EC1" w:rsidP="00153B34">
      <w:pPr>
        <w:pStyle w:val="Heading5"/>
        <w:numPr>
          <w:ilvl w:val="3"/>
          <w:numId w:val="5"/>
        </w:numPr>
      </w:pPr>
      <w:r w:rsidRPr="005B0142">
        <w:t>Bioavailability</w:t>
      </w:r>
    </w:p>
    <w:p w14:paraId="1EAD2887" w14:textId="77777777" w:rsidR="00482EC1" w:rsidRPr="00482EC1" w:rsidRDefault="00CF6063" w:rsidP="00482EC1">
      <w:pPr>
        <w:pStyle w:val="Heading6"/>
      </w:pPr>
      <w:r>
        <w:t xml:space="preserve">Study </w:t>
      </w:r>
      <w:r w:rsidR="00482EC1" w:rsidRPr="00482EC1">
        <w:t>AC-052-106</w:t>
      </w:r>
    </w:p>
    <w:p w14:paraId="73F87A56" w14:textId="166072AC" w:rsidR="007C6D8D" w:rsidRDefault="009F5B88" w:rsidP="00482EC1">
      <w:pPr>
        <w:rPr>
          <w:lang w:eastAsia="ja-JP"/>
        </w:rPr>
      </w:pPr>
      <w:r>
        <w:rPr>
          <w:lang w:eastAsia="ja-JP"/>
        </w:rPr>
        <w:t xml:space="preserve">Study </w:t>
      </w:r>
      <w:r w:rsidR="00482EC1">
        <w:rPr>
          <w:lang w:eastAsia="ja-JP"/>
        </w:rPr>
        <w:t xml:space="preserve">AC-052-106 found that the </w:t>
      </w:r>
      <w:r w:rsidR="00482EC1" w:rsidRPr="00677DE6">
        <w:rPr>
          <w:lang w:eastAsia="ja-JP"/>
        </w:rPr>
        <w:t xml:space="preserve">125 mg bosentan tablet had similar </w:t>
      </w:r>
      <w:r w:rsidR="00482EC1">
        <w:rPr>
          <w:lang w:eastAsia="ja-JP"/>
        </w:rPr>
        <w:t>AUC</w:t>
      </w:r>
      <w:r w:rsidR="00482EC1" w:rsidRPr="00616E09">
        <w:rPr>
          <w:vertAlign w:val="subscript"/>
          <w:lang w:eastAsia="ja-JP"/>
        </w:rPr>
        <w:t>0-</w:t>
      </w:r>
      <w:r w:rsidR="00CF6063">
        <w:rPr>
          <w:vertAlign w:val="subscript"/>
          <w:lang w:eastAsia="ja-JP"/>
        </w:rPr>
        <w:t>∞</w:t>
      </w:r>
      <w:r w:rsidR="00482EC1" w:rsidRPr="00677DE6">
        <w:rPr>
          <w:lang w:eastAsia="ja-JP"/>
        </w:rPr>
        <w:t xml:space="preserve"> as the oral</w:t>
      </w:r>
      <w:r w:rsidR="00482EC1">
        <w:rPr>
          <w:lang w:eastAsia="ja-JP"/>
        </w:rPr>
        <w:t xml:space="preserve"> </w:t>
      </w:r>
      <w:r w:rsidR="00482EC1" w:rsidRPr="00677DE6">
        <w:rPr>
          <w:lang w:eastAsia="ja-JP"/>
        </w:rPr>
        <w:t>suspension under fasted conditions</w:t>
      </w:r>
      <w:r w:rsidR="005F754D">
        <w:rPr>
          <w:lang w:eastAsia="ja-JP"/>
        </w:rPr>
        <w:t xml:space="preserve"> (Table 8</w:t>
      </w:r>
      <w:r w:rsidR="00482EC1">
        <w:rPr>
          <w:lang w:eastAsia="ja-JP"/>
        </w:rPr>
        <w:t>)</w:t>
      </w:r>
      <w:r w:rsidR="00482EC1" w:rsidRPr="00677DE6">
        <w:rPr>
          <w:lang w:eastAsia="ja-JP"/>
        </w:rPr>
        <w:t xml:space="preserve">. </w:t>
      </w:r>
      <w:r w:rsidR="00482EC1">
        <w:rPr>
          <w:lang w:eastAsia="ja-JP"/>
        </w:rPr>
        <w:t>The</w:t>
      </w:r>
      <w:r w:rsidR="00482EC1" w:rsidRPr="00677DE6">
        <w:rPr>
          <w:lang w:eastAsia="ja-JP"/>
        </w:rPr>
        <w:t xml:space="preserve"> </w:t>
      </w:r>
      <w:r w:rsidR="0066478A">
        <w:rPr>
          <w:lang w:eastAsia="ja-JP"/>
        </w:rPr>
        <w:t>study</w:t>
      </w:r>
      <w:r w:rsidR="00482EC1" w:rsidRPr="00677DE6">
        <w:rPr>
          <w:lang w:eastAsia="ja-JP"/>
        </w:rPr>
        <w:t xml:space="preserve"> </w:t>
      </w:r>
      <w:r w:rsidR="00482EC1">
        <w:rPr>
          <w:lang w:eastAsia="ja-JP"/>
        </w:rPr>
        <w:t>found</w:t>
      </w:r>
      <w:r w:rsidR="00482EC1" w:rsidRPr="00677DE6">
        <w:rPr>
          <w:lang w:eastAsia="ja-JP"/>
        </w:rPr>
        <w:t xml:space="preserve"> that food</w:t>
      </w:r>
      <w:r w:rsidR="00482EC1">
        <w:rPr>
          <w:lang w:eastAsia="ja-JP"/>
        </w:rPr>
        <w:t xml:space="preserve"> </w:t>
      </w:r>
      <w:r w:rsidR="00482EC1" w:rsidRPr="00677DE6">
        <w:rPr>
          <w:lang w:eastAsia="ja-JP"/>
        </w:rPr>
        <w:t>had a small effect on the PK of bosentan</w:t>
      </w:r>
      <w:r w:rsidR="00482EC1">
        <w:rPr>
          <w:lang w:eastAsia="ja-JP"/>
        </w:rPr>
        <w:t>.</w:t>
      </w:r>
      <w:r w:rsidR="00482EC1" w:rsidRPr="00677DE6">
        <w:rPr>
          <w:lang w:eastAsia="ja-JP"/>
        </w:rPr>
        <w:t xml:space="preserve"> There was a 10% increase in bioavailability when the</w:t>
      </w:r>
      <w:r w:rsidR="00482EC1">
        <w:rPr>
          <w:lang w:eastAsia="ja-JP"/>
        </w:rPr>
        <w:t xml:space="preserve"> </w:t>
      </w:r>
      <w:r w:rsidR="00482EC1" w:rsidRPr="00677DE6">
        <w:rPr>
          <w:lang w:eastAsia="ja-JP"/>
        </w:rPr>
        <w:t>125 mg tablet</w:t>
      </w:r>
      <w:r w:rsidR="00482EC1">
        <w:rPr>
          <w:lang w:eastAsia="ja-JP"/>
        </w:rPr>
        <w:t xml:space="preserve"> was given under fed conditions (</w:t>
      </w:r>
      <w:r w:rsidR="005F754D">
        <w:rPr>
          <w:lang w:eastAsia="ja-JP"/>
        </w:rPr>
        <w:t>Table 9</w:t>
      </w:r>
      <w:r w:rsidR="00482EC1">
        <w:rPr>
          <w:lang w:eastAsia="ja-JP"/>
        </w:rPr>
        <w:t xml:space="preserve">). The </w:t>
      </w:r>
      <w:r w:rsidR="007C6D8D">
        <w:rPr>
          <w:lang w:eastAsia="ja-JP"/>
        </w:rPr>
        <w:t>sponsor</w:t>
      </w:r>
      <w:r w:rsidR="00482EC1">
        <w:rPr>
          <w:lang w:eastAsia="ja-JP"/>
        </w:rPr>
        <w:t xml:space="preserve"> states that this difference </w:t>
      </w:r>
      <w:r w:rsidR="00482EC1" w:rsidRPr="00677DE6">
        <w:rPr>
          <w:lang w:eastAsia="ja-JP"/>
        </w:rPr>
        <w:t>was not clinically relevant</w:t>
      </w:r>
      <w:r w:rsidR="007C6D8D">
        <w:rPr>
          <w:lang w:eastAsia="ja-JP"/>
        </w:rPr>
        <w:t>.</w:t>
      </w:r>
    </w:p>
    <w:p w14:paraId="1E7A3765" w14:textId="77777777" w:rsidR="00482EC1" w:rsidRPr="00E403A1" w:rsidRDefault="00CF6063" w:rsidP="00482EC1">
      <w:pPr>
        <w:rPr>
          <w:lang w:eastAsia="ja-JP"/>
        </w:rPr>
      </w:pPr>
      <w:r>
        <w:rPr>
          <w:lang w:eastAsia="ja-JP"/>
        </w:rPr>
        <w:t xml:space="preserve">The mean plasma concentration </w:t>
      </w:r>
      <w:r w:rsidR="00482EC1" w:rsidRPr="00934800">
        <w:rPr>
          <w:lang w:eastAsia="ja-JP"/>
        </w:rPr>
        <w:t>time curves of bosentan following the four</w:t>
      </w:r>
      <w:r w:rsidR="00482EC1">
        <w:rPr>
          <w:lang w:eastAsia="ja-JP"/>
        </w:rPr>
        <w:t xml:space="preserve"> </w:t>
      </w:r>
      <w:r w:rsidR="00482EC1" w:rsidRPr="00934800">
        <w:rPr>
          <w:lang w:eastAsia="ja-JP"/>
        </w:rPr>
        <w:t>different treatments</w:t>
      </w:r>
      <w:r w:rsidR="008806DA">
        <w:rPr>
          <w:lang w:eastAsia="ja-JP"/>
        </w:rPr>
        <w:t xml:space="preserve"> were </w:t>
      </w:r>
      <w:r w:rsidR="008806DA" w:rsidRPr="008806DA">
        <w:rPr>
          <w:lang w:eastAsia="ja-JP"/>
        </w:rPr>
        <w:t>provided</w:t>
      </w:r>
      <w:r w:rsidR="00482EC1" w:rsidRPr="008806DA">
        <w:rPr>
          <w:lang w:eastAsia="ja-JP"/>
        </w:rPr>
        <w:t xml:space="preserve">. The </w:t>
      </w:r>
      <w:r w:rsidR="007C6D8D" w:rsidRPr="008806DA">
        <w:rPr>
          <w:lang w:eastAsia="ja-JP"/>
        </w:rPr>
        <w:t>sponsor</w:t>
      </w:r>
      <w:r w:rsidR="00482EC1" w:rsidRPr="008806DA">
        <w:rPr>
          <w:lang w:eastAsia="ja-JP"/>
        </w:rPr>
        <w:t xml:space="preserve"> states that </w:t>
      </w:r>
      <w:r w:rsidR="00E77015" w:rsidRPr="008806DA">
        <w:rPr>
          <w:lang w:eastAsia="ja-JP"/>
        </w:rPr>
        <w:t>Study</w:t>
      </w:r>
      <w:r w:rsidR="00482EC1" w:rsidRPr="008806DA">
        <w:rPr>
          <w:lang w:eastAsia="ja-JP"/>
        </w:rPr>
        <w:t xml:space="preserve"> AC-052-106 indicated that the bioavailability of the marketed adult bosentan</w:t>
      </w:r>
      <w:r w:rsidR="00482EC1" w:rsidRPr="00B733E9">
        <w:rPr>
          <w:lang w:eastAsia="ja-JP"/>
        </w:rPr>
        <w:t xml:space="preserve"> tablet was similar to that of an oral suspension of bosentan.</w:t>
      </w:r>
    </w:p>
    <w:p w14:paraId="51ABE4CC" w14:textId="77777777" w:rsidR="00482EC1" w:rsidRDefault="005F754D" w:rsidP="00482EC1">
      <w:pPr>
        <w:pStyle w:val="Tabletitle"/>
      </w:pPr>
      <w:bookmarkStart w:id="68" w:name="_Toc473884052"/>
      <w:r>
        <w:lastRenderedPageBreak/>
        <w:t>Table 8:</w:t>
      </w:r>
      <w:r w:rsidR="00482EC1">
        <w:t xml:space="preserve"> AC-052-106 Geometric mean ratios for AUC</w:t>
      </w:r>
      <w:r w:rsidR="00482EC1">
        <w:rPr>
          <w:vertAlign w:val="subscript"/>
        </w:rPr>
        <w:t>0-∞</w:t>
      </w:r>
      <w:r w:rsidR="00482EC1">
        <w:t xml:space="preserve"> and C</w:t>
      </w:r>
      <w:r w:rsidR="00482EC1">
        <w:rPr>
          <w:vertAlign w:val="subscript"/>
        </w:rPr>
        <w:t>max</w:t>
      </w:r>
      <w:bookmarkEnd w:id="68"/>
    </w:p>
    <w:p w14:paraId="4A754E69" w14:textId="77777777" w:rsidR="00D735B8" w:rsidRDefault="00482EC1" w:rsidP="00586F98">
      <w:r>
        <w:rPr>
          <w:noProof/>
          <w:lang w:eastAsia="en-AU"/>
        </w:rPr>
        <w:drawing>
          <wp:inline distT="0" distB="0" distL="0" distR="0" wp14:anchorId="7BF4EC8C" wp14:editId="7E23A586">
            <wp:extent cx="5025542" cy="1864712"/>
            <wp:effectExtent l="0" t="0" r="3810" b="2540"/>
            <wp:docPr id="7" name="Picture 7" descr="Table 8: AC-052-106 Geometric mean ratios for AUC0-∞ and Cm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022381" cy="1863539"/>
                    </a:xfrm>
                    <a:prstGeom prst="rect">
                      <a:avLst/>
                    </a:prstGeom>
                  </pic:spPr>
                </pic:pic>
              </a:graphicData>
            </a:graphic>
          </wp:inline>
        </w:drawing>
      </w:r>
    </w:p>
    <w:p w14:paraId="114DE5FE" w14:textId="77777777" w:rsidR="00482EC1" w:rsidRDefault="00482EC1" w:rsidP="00482EC1">
      <w:pPr>
        <w:pStyle w:val="Tabletitle"/>
      </w:pPr>
      <w:bookmarkStart w:id="69" w:name="_Ref461701662"/>
      <w:bookmarkStart w:id="70" w:name="_Toc473884053"/>
      <w:r w:rsidRPr="005F754D">
        <w:t xml:space="preserve">Table </w:t>
      </w:r>
      <w:bookmarkEnd w:id="69"/>
      <w:r w:rsidR="005F754D" w:rsidRPr="005F754D">
        <w:t xml:space="preserve">9: </w:t>
      </w:r>
      <w:r w:rsidRPr="005F754D">
        <w:t>AC-052-106 Pharmacokinetic parameters of bosentan following administration</w:t>
      </w:r>
      <w:r>
        <w:t xml:space="preserve"> of four different 125 mg treatments</w:t>
      </w:r>
      <w:bookmarkEnd w:id="70"/>
    </w:p>
    <w:p w14:paraId="747CFE90" w14:textId="77777777" w:rsidR="00D735B8" w:rsidRDefault="00482EC1" w:rsidP="00586F98">
      <w:r>
        <w:rPr>
          <w:noProof/>
          <w:lang w:eastAsia="en-AU"/>
        </w:rPr>
        <w:drawing>
          <wp:inline distT="0" distB="0" distL="0" distR="0" wp14:anchorId="389210D3" wp14:editId="569C2DF7">
            <wp:extent cx="4930445" cy="1982713"/>
            <wp:effectExtent l="0" t="0" r="3810" b="0"/>
            <wp:docPr id="8" name="Picture 8" descr="Table 9: AC-052-106 Pharmacokinetic parameters of bosentan following administration of four different 125 mg treat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931650" cy="1983197"/>
                    </a:xfrm>
                    <a:prstGeom prst="rect">
                      <a:avLst/>
                    </a:prstGeom>
                  </pic:spPr>
                </pic:pic>
              </a:graphicData>
            </a:graphic>
          </wp:inline>
        </w:drawing>
      </w:r>
    </w:p>
    <w:p w14:paraId="7A3ECA7A" w14:textId="77777777" w:rsidR="00482EC1" w:rsidRPr="00482EC1" w:rsidRDefault="00CF6063" w:rsidP="00482EC1">
      <w:pPr>
        <w:pStyle w:val="Heading6"/>
      </w:pPr>
      <w:r>
        <w:t>Study AC-052-116</w:t>
      </w:r>
    </w:p>
    <w:p w14:paraId="55EAA760" w14:textId="538A2758" w:rsidR="00482EC1" w:rsidRDefault="00482EC1" w:rsidP="00482EC1">
      <w:r w:rsidRPr="00DB5770">
        <w:t>On average, the systemic exposure to all analytes was lower in subjects treated with the</w:t>
      </w:r>
      <w:r>
        <w:t xml:space="preserve"> </w:t>
      </w:r>
      <w:r w:rsidRPr="00DB5770">
        <w:t>p</w:t>
      </w:r>
      <w:r>
        <w:t>a</w:t>
      </w:r>
      <w:r w:rsidRPr="00DB5770">
        <w:t>ediatric formulation</w:t>
      </w:r>
      <w:r>
        <w:t xml:space="preserve"> com</w:t>
      </w:r>
      <w:r w:rsidR="005F754D">
        <w:t>pared to the adult formulation</w:t>
      </w:r>
      <w:r w:rsidRPr="00DB5770">
        <w:t>.</w:t>
      </w:r>
      <w:r>
        <w:t xml:space="preserve"> </w:t>
      </w:r>
      <w:r w:rsidRPr="00DB5770">
        <w:t xml:space="preserve">Following treatment with the paediatric formulation, </w:t>
      </w:r>
      <w:r>
        <w:t xml:space="preserve">the </w:t>
      </w:r>
      <w:r w:rsidRPr="00DB5770">
        <w:t>AUC</w:t>
      </w:r>
      <w:r w:rsidRPr="00DB5770">
        <w:rPr>
          <w:vertAlign w:val="subscript"/>
        </w:rPr>
        <w:t>0-</w:t>
      </w:r>
      <w:r w:rsidR="00CF6063">
        <w:rPr>
          <w:vertAlign w:val="subscript"/>
        </w:rPr>
        <w:t>t</w:t>
      </w:r>
      <w:r w:rsidRPr="00DB5770">
        <w:t xml:space="preserve"> and AUC</w:t>
      </w:r>
      <w:r>
        <w:rPr>
          <w:vertAlign w:val="subscript"/>
        </w:rPr>
        <w:t>0-∞</w:t>
      </w:r>
      <w:r w:rsidRPr="00DB5770">
        <w:t xml:space="preserve"> of bosentan</w:t>
      </w:r>
      <w:r>
        <w:t xml:space="preserve"> </w:t>
      </w:r>
      <w:r w:rsidRPr="00DB5770">
        <w:t xml:space="preserve">were lower </w:t>
      </w:r>
      <w:r>
        <w:t>than with the adult formulation. The geometric mean ratio</w:t>
      </w:r>
      <w:r w:rsidRPr="00DB5770">
        <w:t xml:space="preserve"> </w:t>
      </w:r>
      <w:r>
        <w:t xml:space="preserve">for </w:t>
      </w:r>
      <w:r w:rsidRPr="00DB5770">
        <w:t>AUC</w:t>
      </w:r>
      <w:r w:rsidRPr="00DB5770">
        <w:rPr>
          <w:vertAlign w:val="subscript"/>
        </w:rPr>
        <w:t>0-t</w:t>
      </w:r>
      <w:r w:rsidRPr="00DB5770">
        <w:t xml:space="preserve"> </w:t>
      </w:r>
      <w:r>
        <w:t>was</w:t>
      </w:r>
      <w:r w:rsidRPr="00DB5770">
        <w:t xml:space="preserve"> 0.87 (90% CI:</w:t>
      </w:r>
      <w:r>
        <w:t xml:space="preserve"> </w:t>
      </w:r>
      <w:r w:rsidRPr="00DB5770">
        <w:t>0.78, 0.96) and 0.87 (90% CI: 0.78, 0.97) for AUC</w:t>
      </w:r>
      <w:r w:rsidRPr="00DB5770">
        <w:rPr>
          <w:vertAlign w:val="subscript"/>
        </w:rPr>
        <w:t>0-∞</w:t>
      </w:r>
      <w:r>
        <w:t>. C</w:t>
      </w:r>
      <w:r w:rsidRPr="00A61A43">
        <w:rPr>
          <w:vertAlign w:val="subscript"/>
        </w:rPr>
        <w:t>max</w:t>
      </w:r>
      <w:r>
        <w:t xml:space="preserve"> was also lower with the paediatric formulation (geometric mean ratio 0.82 (90% CI: 0.65, 1.04))</w:t>
      </w:r>
      <w:r w:rsidR="00A46B08">
        <w:t xml:space="preserve"> </w:t>
      </w:r>
      <w:r>
        <w:t>(</w:t>
      </w:r>
      <w:r w:rsidR="005F754D">
        <w:t>Table 10</w:t>
      </w:r>
      <w:r>
        <w:t>)</w:t>
      </w:r>
      <w:r w:rsidRPr="00DB5770">
        <w:t>.</w:t>
      </w:r>
    </w:p>
    <w:p w14:paraId="2623EDDC" w14:textId="77777777" w:rsidR="00482EC1" w:rsidRDefault="00482EC1" w:rsidP="00482EC1">
      <w:r w:rsidRPr="00DB5770">
        <w:t>For Ro 48-5033, AUC</w:t>
      </w:r>
      <w:r w:rsidRPr="00DB5770">
        <w:rPr>
          <w:vertAlign w:val="subscript"/>
        </w:rPr>
        <w:t>0-t</w:t>
      </w:r>
      <w:r w:rsidRPr="00DB5770">
        <w:t xml:space="preserve"> was lower </w:t>
      </w:r>
      <w:r>
        <w:t>with</w:t>
      </w:r>
      <w:r w:rsidRPr="00DB5770">
        <w:t xml:space="preserve"> the paediatric</w:t>
      </w:r>
      <w:r>
        <w:t xml:space="preserve"> formulation</w:t>
      </w:r>
      <w:r w:rsidRPr="00DB5770">
        <w:t xml:space="preserve"> </w:t>
      </w:r>
      <w:r>
        <w:t xml:space="preserve">(geometric mean ratio </w:t>
      </w:r>
      <w:r w:rsidRPr="00DB5770">
        <w:t>0.82 (90% CI: 0.74, 0.90)</w:t>
      </w:r>
      <w:r>
        <w:t>)</w:t>
      </w:r>
      <w:r w:rsidRPr="00DB5770">
        <w:t>. For AUC</w:t>
      </w:r>
      <w:r w:rsidRPr="00DB5770">
        <w:rPr>
          <w:vertAlign w:val="subscript"/>
        </w:rPr>
        <w:t>0-∞</w:t>
      </w:r>
      <w:r w:rsidRPr="00DB5770">
        <w:t>, the geometric</w:t>
      </w:r>
      <w:r>
        <w:t xml:space="preserve"> </w:t>
      </w:r>
      <w:r w:rsidRPr="00DB5770">
        <w:t>mean ratio was 0.91 (90% CI: 0.81, 1.01)</w:t>
      </w:r>
      <w:r>
        <w:t>. C</w:t>
      </w:r>
      <w:r w:rsidRPr="00A61A43">
        <w:rPr>
          <w:vertAlign w:val="subscript"/>
        </w:rPr>
        <w:t>max</w:t>
      </w:r>
      <w:r>
        <w:t xml:space="preserve"> was also lower than with the adult formulation (geometric mean ratio 0.70 (90% CI: 0.55, 0.88))</w:t>
      </w:r>
      <w:r w:rsidRPr="00DB5770">
        <w:t>.</w:t>
      </w:r>
    </w:p>
    <w:p w14:paraId="4B68DE8C" w14:textId="77777777" w:rsidR="00482EC1" w:rsidRPr="00A61A43" w:rsidRDefault="00482EC1" w:rsidP="00482EC1">
      <w:pPr>
        <w:rPr>
          <w:lang w:eastAsia="ja-JP"/>
        </w:rPr>
      </w:pPr>
      <w:r w:rsidRPr="00A61A43">
        <w:rPr>
          <w:lang w:eastAsia="ja-JP"/>
        </w:rPr>
        <w:t xml:space="preserve">The </w:t>
      </w:r>
      <w:r w:rsidR="007C6D8D">
        <w:rPr>
          <w:lang w:eastAsia="ja-JP"/>
        </w:rPr>
        <w:t>sponsor</w:t>
      </w:r>
      <w:r w:rsidRPr="00A61A43">
        <w:rPr>
          <w:lang w:eastAsia="ja-JP"/>
        </w:rPr>
        <w:t xml:space="preserve"> states that </w:t>
      </w:r>
      <w:r>
        <w:rPr>
          <w:lang w:eastAsia="ja-JP"/>
        </w:rPr>
        <w:t>t</w:t>
      </w:r>
      <w:r w:rsidRPr="00A61A43">
        <w:rPr>
          <w:vertAlign w:val="subscript"/>
          <w:lang w:eastAsia="ja-JP"/>
        </w:rPr>
        <w:t>max</w:t>
      </w:r>
      <w:r w:rsidRPr="00A61A43">
        <w:rPr>
          <w:lang w:eastAsia="ja-JP"/>
        </w:rPr>
        <w:t xml:space="preserve"> and t</w:t>
      </w:r>
      <w:r w:rsidR="00CF6063">
        <w:rPr>
          <w:szCs w:val="20"/>
          <w:vertAlign w:val="subscript"/>
          <w:lang w:eastAsia="ja-JP"/>
        </w:rPr>
        <w:t>½</w:t>
      </w:r>
      <w:r w:rsidRPr="00A61A43">
        <w:rPr>
          <w:lang w:eastAsia="ja-JP"/>
        </w:rPr>
        <w:t xml:space="preserve"> of bosentan and Ro 48-5033 were not significantly affected by the formulation.</w:t>
      </w:r>
      <w:r>
        <w:rPr>
          <w:lang w:eastAsia="ja-JP"/>
        </w:rPr>
        <w:t xml:space="preserve"> The t</w:t>
      </w:r>
      <w:r w:rsidRPr="00D776D5">
        <w:rPr>
          <w:vertAlign w:val="subscript"/>
          <w:lang w:eastAsia="ja-JP"/>
        </w:rPr>
        <w:t>max</w:t>
      </w:r>
      <w:r>
        <w:rPr>
          <w:lang w:eastAsia="ja-JP"/>
        </w:rPr>
        <w:t xml:space="preserve"> for bosentan was 4.0 hours for both formulations and the t</w:t>
      </w:r>
      <w:r w:rsidRPr="00D776D5">
        <w:rPr>
          <w:vertAlign w:val="subscript"/>
          <w:lang w:eastAsia="ja-JP"/>
        </w:rPr>
        <w:t>max</w:t>
      </w:r>
      <w:r>
        <w:rPr>
          <w:lang w:eastAsia="ja-JP"/>
        </w:rPr>
        <w:t xml:space="preserve"> for </w:t>
      </w:r>
      <w:r w:rsidR="00CF6063">
        <w:rPr>
          <w:lang w:eastAsia="ja-JP"/>
        </w:rPr>
        <w:t>Ro </w:t>
      </w:r>
      <w:r w:rsidRPr="00A61A43">
        <w:rPr>
          <w:lang w:eastAsia="ja-JP"/>
        </w:rPr>
        <w:t xml:space="preserve">48-5033 </w:t>
      </w:r>
      <w:r>
        <w:rPr>
          <w:lang w:eastAsia="ja-JP"/>
        </w:rPr>
        <w:t>was 5.0 hours for both formulations. The median difference and 90% CI for the t</w:t>
      </w:r>
      <w:r w:rsidRPr="00A61A43">
        <w:rPr>
          <w:vertAlign w:val="subscript"/>
          <w:lang w:eastAsia="ja-JP"/>
        </w:rPr>
        <w:t>max</w:t>
      </w:r>
      <w:r>
        <w:rPr>
          <w:lang w:eastAsia="ja-JP"/>
        </w:rPr>
        <w:t xml:space="preserve"> of bosentan </w:t>
      </w:r>
      <w:r w:rsidRPr="00A61A43">
        <w:rPr>
          <w:lang w:eastAsia="ja-JP"/>
        </w:rPr>
        <w:t xml:space="preserve">and Ro 48-5033 </w:t>
      </w:r>
      <w:r>
        <w:rPr>
          <w:lang w:eastAsia="ja-JP"/>
        </w:rPr>
        <w:t>was -0.3 (90% CI: -1.5, 0.5) and -2.8 (90% CI: -9.5, 2.5) respectively. The t</w:t>
      </w:r>
      <w:r w:rsidR="00CF6063">
        <w:rPr>
          <w:szCs w:val="20"/>
          <w:vertAlign w:val="subscript"/>
          <w:lang w:eastAsia="ja-JP"/>
        </w:rPr>
        <w:t>½</w:t>
      </w:r>
      <w:r w:rsidRPr="00AE0091">
        <w:rPr>
          <w:lang w:eastAsia="ja-JP"/>
        </w:rPr>
        <w:t xml:space="preserve"> </w:t>
      </w:r>
      <w:r>
        <w:rPr>
          <w:lang w:eastAsia="ja-JP"/>
        </w:rPr>
        <w:t>for bosentan was 8.</w:t>
      </w:r>
      <w:r w:rsidR="00A5161C">
        <w:rPr>
          <w:lang w:eastAsia="ja-JP"/>
        </w:rPr>
        <w:t>3 hours</w:t>
      </w:r>
      <w:r>
        <w:rPr>
          <w:lang w:eastAsia="ja-JP"/>
        </w:rPr>
        <w:t xml:space="preserve"> for the adult formulation compared to 9.</w:t>
      </w:r>
      <w:r w:rsidR="00A5161C">
        <w:rPr>
          <w:lang w:eastAsia="ja-JP"/>
        </w:rPr>
        <w:t>3 hours</w:t>
      </w:r>
      <w:r>
        <w:rPr>
          <w:lang w:eastAsia="ja-JP"/>
        </w:rPr>
        <w:t xml:space="preserve"> for the paediatric formulation. The t</w:t>
      </w:r>
      <w:r w:rsidR="00CF6063">
        <w:rPr>
          <w:szCs w:val="20"/>
          <w:vertAlign w:val="subscript"/>
          <w:lang w:eastAsia="ja-JP"/>
        </w:rPr>
        <w:t>½</w:t>
      </w:r>
      <w:r w:rsidRPr="00AE0091">
        <w:rPr>
          <w:lang w:eastAsia="ja-JP"/>
        </w:rPr>
        <w:t xml:space="preserve"> </w:t>
      </w:r>
      <w:r>
        <w:rPr>
          <w:lang w:eastAsia="ja-JP"/>
        </w:rPr>
        <w:t>for Ro 48-5033 was 10 hours for the adult formulation compared to 11 hours for the paediatric formulation. The geometric mean ratio for the t</w:t>
      </w:r>
      <w:r w:rsidR="00CF6063">
        <w:rPr>
          <w:szCs w:val="20"/>
          <w:vertAlign w:val="subscript"/>
          <w:lang w:eastAsia="ja-JP"/>
        </w:rPr>
        <w:t>½</w:t>
      </w:r>
      <w:r w:rsidRPr="00AE0091">
        <w:rPr>
          <w:lang w:eastAsia="ja-JP"/>
        </w:rPr>
        <w:t xml:space="preserve"> </w:t>
      </w:r>
      <w:r>
        <w:rPr>
          <w:lang w:eastAsia="ja-JP"/>
        </w:rPr>
        <w:t xml:space="preserve">of bosentan </w:t>
      </w:r>
      <w:r w:rsidRPr="00A61A43">
        <w:rPr>
          <w:lang w:eastAsia="ja-JP"/>
        </w:rPr>
        <w:t>and Ro 48-5033</w:t>
      </w:r>
      <w:r>
        <w:rPr>
          <w:lang w:eastAsia="ja-JP"/>
        </w:rPr>
        <w:t xml:space="preserve"> was 1.12 (90% CI: 0.95, 1.33) and 1.11 (90% CI: 0.85, 1.42) respectively.</w:t>
      </w:r>
    </w:p>
    <w:p w14:paraId="112E8198" w14:textId="77777777" w:rsidR="00482EC1" w:rsidRDefault="00482EC1" w:rsidP="00482EC1">
      <w:pPr>
        <w:rPr>
          <w:lang w:eastAsia="ja-JP"/>
        </w:rPr>
      </w:pPr>
      <w:r>
        <w:rPr>
          <w:lang w:eastAsia="ja-JP"/>
        </w:rPr>
        <w:t>O</w:t>
      </w:r>
      <w:r w:rsidRPr="00951714">
        <w:rPr>
          <w:lang w:eastAsia="ja-JP"/>
        </w:rPr>
        <w:t>n average, the systemic exposure to all analytes was lower in subjects treated with the</w:t>
      </w:r>
      <w:r>
        <w:rPr>
          <w:lang w:eastAsia="ja-JP"/>
        </w:rPr>
        <w:t xml:space="preserve"> paediatric formulation.</w:t>
      </w:r>
    </w:p>
    <w:p w14:paraId="402E6ACD" w14:textId="77777777" w:rsidR="00482EC1" w:rsidRDefault="00482EC1" w:rsidP="00482EC1">
      <w:pPr>
        <w:pStyle w:val="Tabletitle"/>
      </w:pPr>
      <w:bookmarkStart w:id="71" w:name="_Ref460934267"/>
      <w:bookmarkStart w:id="72" w:name="_Ref460934264"/>
      <w:bookmarkStart w:id="73" w:name="_Toc473884054"/>
      <w:r w:rsidRPr="005F754D">
        <w:lastRenderedPageBreak/>
        <w:t xml:space="preserve">Table </w:t>
      </w:r>
      <w:bookmarkEnd w:id="71"/>
      <w:r w:rsidR="005F754D">
        <w:t>10:</w:t>
      </w:r>
      <w:r>
        <w:t xml:space="preserve"> AC-052-116 Effect of the formulation on bosentan pharmacokinetics: Paediatric </w:t>
      </w:r>
      <w:r w:rsidR="007C6D8D">
        <w:t>versus</w:t>
      </w:r>
      <w:r>
        <w:t xml:space="preserve"> Adult formulation</w:t>
      </w:r>
      <w:bookmarkEnd w:id="72"/>
      <w:bookmarkEnd w:id="73"/>
    </w:p>
    <w:p w14:paraId="4FC4185B" w14:textId="77777777" w:rsidR="00D735B8" w:rsidRDefault="00206160" w:rsidP="00586F98">
      <w:r>
        <w:rPr>
          <w:noProof/>
          <w:lang w:eastAsia="en-AU"/>
        </w:rPr>
        <w:drawing>
          <wp:inline distT="0" distB="0" distL="0" distR="0" wp14:anchorId="409C493A" wp14:editId="46B21082">
            <wp:extent cx="5230368" cy="1547317"/>
            <wp:effectExtent l="0" t="0" r="0" b="0"/>
            <wp:docPr id="9" name="Picture 9" descr="Table 10: AC-052-116 Effect of the formulation on bosentan pharmacokinetics: Paediatric versus Adult for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27078" cy="1546344"/>
                    </a:xfrm>
                    <a:prstGeom prst="rect">
                      <a:avLst/>
                    </a:prstGeom>
                  </pic:spPr>
                </pic:pic>
              </a:graphicData>
            </a:graphic>
          </wp:inline>
        </w:drawing>
      </w:r>
    </w:p>
    <w:p w14:paraId="30E74BC1" w14:textId="77777777" w:rsidR="00206160" w:rsidRPr="00E05703" w:rsidRDefault="00206160" w:rsidP="00E05703">
      <w:pPr>
        <w:pStyle w:val="Heading4"/>
      </w:pPr>
      <w:r w:rsidRPr="00E05703">
        <w:t>Pharmacokinetics in the target population</w:t>
      </w:r>
    </w:p>
    <w:p w14:paraId="3451E5C8" w14:textId="77777777" w:rsidR="00206160" w:rsidRDefault="00206160" w:rsidP="00E05703">
      <w:pPr>
        <w:rPr>
          <w:lang w:eastAsia="ja-JP"/>
        </w:rPr>
      </w:pPr>
      <w:r>
        <w:rPr>
          <w:lang w:eastAsia="ja-JP"/>
        </w:rPr>
        <w:t xml:space="preserve">As outlined </w:t>
      </w:r>
      <w:r w:rsidRPr="005F754D">
        <w:rPr>
          <w:lang w:eastAsia="ja-JP"/>
        </w:rPr>
        <w:t xml:space="preserve">in </w:t>
      </w:r>
      <w:r w:rsidR="005F754D" w:rsidRPr="005F754D">
        <w:rPr>
          <w:lang w:eastAsia="ja-JP"/>
        </w:rPr>
        <w:t>Table 5</w:t>
      </w:r>
      <w:r w:rsidRPr="005F754D">
        <w:rPr>
          <w:lang w:eastAsia="ja-JP"/>
        </w:rPr>
        <w:t xml:space="preserve"> and </w:t>
      </w:r>
      <w:r w:rsidR="005F754D" w:rsidRPr="005F754D">
        <w:rPr>
          <w:lang w:eastAsia="ja-JP"/>
        </w:rPr>
        <w:t>Table</w:t>
      </w:r>
      <w:r w:rsidR="005F754D">
        <w:rPr>
          <w:lang w:eastAsia="ja-JP"/>
        </w:rPr>
        <w:t xml:space="preserve"> 7</w:t>
      </w:r>
      <w:r>
        <w:rPr>
          <w:lang w:eastAsia="ja-JP"/>
        </w:rPr>
        <w:t>, the following studies provided data on the PK of bosentan in the paediatric population:</w:t>
      </w:r>
    </w:p>
    <w:p w14:paraId="44E90C1D" w14:textId="31E50E5F" w:rsidR="00206160" w:rsidRPr="00EE67E9" w:rsidRDefault="00267B31" w:rsidP="00206160">
      <w:pPr>
        <w:pStyle w:val="ListBullet"/>
        <w:rPr>
          <w:lang w:eastAsia="ja-JP"/>
        </w:rPr>
      </w:pPr>
      <w:r>
        <w:rPr>
          <w:lang w:eastAsia="ja-JP"/>
        </w:rPr>
        <w:t xml:space="preserve">Study </w:t>
      </w:r>
      <w:r w:rsidR="00206160">
        <w:rPr>
          <w:lang w:eastAsia="ja-JP"/>
        </w:rPr>
        <w:t xml:space="preserve">AC-052-356 </w:t>
      </w:r>
      <w:r>
        <w:rPr>
          <w:lang w:eastAsia="ja-JP"/>
        </w:rPr>
        <w:t>(</w:t>
      </w:r>
      <w:r w:rsidR="00206160">
        <w:rPr>
          <w:lang w:eastAsia="ja-JP"/>
        </w:rPr>
        <w:t>BREATHE-3</w:t>
      </w:r>
      <w:r>
        <w:rPr>
          <w:lang w:eastAsia="ja-JP"/>
        </w:rPr>
        <w:t>)</w:t>
      </w:r>
    </w:p>
    <w:p w14:paraId="3B8281F0" w14:textId="51F6BAFB" w:rsidR="00206160" w:rsidRPr="00025E51" w:rsidRDefault="00267B31" w:rsidP="00206160">
      <w:pPr>
        <w:pStyle w:val="ListBullet"/>
        <w:rPr>
          <w:lang w:eastAsia="ja-JP"/>
        </w:rPr>
      </w:pPr>
      <w:r>
        <w:rPr>
          <w:lang w:eastAsia="ja-JP"/>
        </w:rPr>
        <w:t xml:space="preserve">Study </w:t>
      </w:r>
      <w:r w:rsidR="00206160">
        <w:rPr>
          <w:lang w:eastAsia="ja-JP"/>
        </w:rPr>
        <w:t xml:space="preserve">AC-052-365 </w:t>
      </w:r>
      <w:r>
        <w:rPr>
          <w:lang w:eastAsia="ja-JP"/>
        </w:rPr>
        <w:t>(</w:t>
      </w:r>
      <w:r w:rsidR="00206160">
        <w:rPr>
          <w:lang w:eastAsia="ja-JP"/>
        </w:rPr>
        <w:t>FUTURE-1</w:t>
      </w:r>
      <w:r>
        <w:rPr>
          <w:lang w:eastAsia="ja-JP"/>
        </w:rPr>
        <w:t>)</w:t>
      </w:r>
    </w:p>
    <w:p w14:paraId="18BFA005" w14:textId="017002A8" w:rsidR="00206160" w:rsidRPr="00EE67E9" w:rsidRDefault="00267B31" w:rsidP="00206160">
      <w:pPr>
        <w:pStyle w:val="ListBullet"/>
        <w:rPr>
          <w:lang w:eastAsia="ja-JP"/>
        </w:rPr>
      </w:pPr>
      <w:r>
        <w:rPr>
          <w:lang w:eastAsia="ja-JP"/>
        </w:rPr>
        <w:t xml:space="preserve">Study </w:t>
      </w:r>
      <w:r w:rsidR="00206160">
        <w:rPr>
          <w:lang w:eastAsia="ja-JP"/>
        </w:rPr>
        <w:t xml:space="preserve">AC-052-373 </w:t>
      </w:r>
      <w:r>
        <w:rPr>
          <w:lang w:eastAsia="ja-JP"/>
        </w:rPr>
        <w:t>(</w:t>
      </w:r>
      <w:r w:rsidR="00206160">
        <w:rPr>
          <w:lang w:eastAsia="ja-JP"/>
        </w:rPr>
        <w:t>FUTURE-3</w:t>
      </w:r>
      <w:r>
        <w:rPr>
          <w:lang w:eastAsia="ja-JP"/>
        </w:rPr>
        <w:t>)</w:t>
      </w:r>
    </w:p>
    <w:p w14:paraId="0A6A8C67" w14:textId="4122A7D8" w:rsidR="00206160" w:rsidRDefault="00267B31" w:rsidP="00206160">
      <w:pPr>
        <w:pStyle w:val="ListBullet"/>
        <w:rPr>
          <w:lang w:eastAsia="ja-JP"/>
        </w:rPr>
      </w:pPr>
      <w:r>
        <w:rPr>
          <w:lang w:eastAsia="ja-JP"/>
        </w:rPr>
        <w:t xml:space="preserve">Study </w:t>
      </w:r>
      <w:r w:rsidR="00206160">
        <w:rPr>
          <w:lang w:eastAsia="ja-JP"/>
        </w:rPr>
        <w:t xml:space="preserve">AC-052-391 </w:t>
      </w:r>
      <w:r>
        <w:rPr>
          <w:lang w:eastAsia="ja-JP"/>
        </w:rPr>
        <w:t>(</w:t>
      </w:r>
      <w:r w:rsidR="00206160">
        <w:rPr>
          <w:lang w:eastAsia="ja-JP"/>
        </w:rPr>
        <w:t>FUTURE-4</w:t>
      </w:r>
      <w:r>
        <w:rPr>
          <w:lang w:eastAsia="ja-JP"/>
        </w:rPr>
        <w:t>)</w:t>
      </w:r>
    </w:p>
    <w:p w14:paraId="349901D1" w14:textId="11E72F19" w:rsidR="00206160" w:rsidRPr="00C622FF" w:rsidRDefault="00206160" w:rsidP="00206160">
      <w:pPr>
        <w:rPr>
          <w:lang w:eastAsia="ja-JP"/>
        </w:rPr>
      </w:pPr>
      <w:r>
        <w:rPr>
          <w:lang w:eastAsia="ja-JP"/>
        </w:rPr>
        <w:t xml:space="preserve">The BREATHE-3 </w:t>
      </w:r>
      <w:r w:rsidR="00E77015">
        <w:rPr>
          <w:lang w:eastAsia="ja-JP"/>
        </w:rPr>
        <w:t>Study</w:t>
      </w:r>
      <w:r>
        <w:rPr>
          <w:lang w:eastAsia="ja-JP"/>
        </w:rPr>
        <w:t xml:space="preserve"> was not included in the current </w:t>
      </w:r>
      <w:r w:rsidR="00CF6063">
        <w:rPr>
          <w:lang w:eastAsia="ja-JP"/>
        </w:rPr>
        <w:t>submission but</w:t>
      </w:r>
      <w:r>
        <w:rPr>
          <w:lang w:eastAsia="ja-JP"/>
        </w:rPr>
        <w:t xml:space="preserve"> a brief overview</w:t>
      </w:r>
      <w:r w:rsidR="00CF6063">
        <w:rPr>
          <w:lang w:eastAsia="ja-JP"/>
        </w:rPr>
        <w:t xml:space="preserve"> was provided (by the evaluator)</w:t>
      </w:r>
      <w:r>
        <w:rPr>
          <w:lang w:eastAsia="ja-JP"/>
        </w:rPr>
        <w:t xml:space="preserve">. The BREATHE-3 </w:t>
      </w:r>
      <w:r w:rsidR="00E77015">
        <w:rPr>
          <w:lang w:eastAsia="ja-JP"/>
        </w:rPr>
        <w:t>Study</w:t>
      </w:r>
      <w:r>
        <w:rPr>
          <w:lang w:eastAsia="ja-JP"/>
        </w:rPr>
        <w:t xml:space="preserve"> assessed the PK of bosentan given as single and multiple oral doses in paediatric patients with PAH. </w:t>
      </w:r>
      <w:r w:rsidRPr="00C622FF">
        <w:rPr>
          <w:lang w:eastAsia="ja-JP"/>
        </w:rPr>
        <w:t>The patients were treated</w:t>
      </w:r>
      <w:r>
        <w:rPr>
          <w:lang w:eastAsia="ja-JP"/>
        </w:rPr>
        <w:t xml:space="preserve"> </w:t>
      </w:r>
      <w:r w:rsidRPr="00C622FF">
        <w:rPr>
          <w:lang w:eastAsia="ja-JP"/>
        </w:rPr>
        <w:t>with the marketed adult formulation of bosentan.</w:t>
      </w:r>
      <w:r>
        <w:rPr>
          <w:lang w:eastAsia="ja-JP"/>
        </w:rPr>
        <w:t xml:space="preserve"> P</w:t>
      </w:r>
      <w:r w:rsidRPr="00C622FF">
        <w:rPr>
          <w:lang w:eastAsia="ja-JP"/>
        </w:rPr>
        <w:t xml:space="preserve">atients received </w:t>
      </w:r>
      <w:r>
        <w:rPr>
          <w:lang w:eastAsia="ja-JP"/>
        </w:rPr>
        <w:t>a single dose</w:t>
      </w:r>
      <w:r w:rsidRPr="00C622FF">
        <w:rPr>
          <w:lang w:eastAsia="ja-JP"/>
        </w:rPr>
        <w:t xml:space="preserve"> of bosentan on Day 1 </w:t>
      </w:r>
      <w:r>
        <w:rPr>
          <w:lang w:eastAsia="ja-JP"/>
        </w:rPr>
        <w:t>according to body weight; on Day 2 patients began daily treatm</w:t>
      </w:r>
      <w:r w:rsidR="00CF6063">
        <w:rPr>
          <w:lang w:eastAsia="ja-JP"/>
        </w:rPr>
        <w:t>ent with the initial dose for 4 </w:t>
      </w:r>
      <w:r>
        <w:rPr>
          <w:lang w:eastAsia="ja-JP"/>
        </w:rPr>
        <w:t xml:space="preserve">weeks which was then up-titrated to twice the initial dose. </w:t>
      </w:r>
      <w:r w:rsidRPr="007D15FA">
        <w:rPr>
          <w:lang w:eastAsia="ja-JP"/>
        </w:rPr>
        <w:t>The doses of bosentan used in BREATHE-3 were a</w:t>
      </w:r>
      <w:r>
        <w:rPr>
          <w:lang w:eastAsia="ja-JP"/>
        </w:rPr>
        <w:t xml:space="preserve">imed at achieving an equivalent </w:t>
      </w:r>
      <w:r w:rsidRPr="007D15FA">
        <w:rPr>
          <w:lang w:eastAsia="ja-JP"/>
        </w:rPr>
        <w:t>exposure in paediatric patients, as had been previously achieved in adults.</w:t>
      </w:r>
    </w:p>
    <w:p w14:paraId="6CE783D1" w14:textId="738828CA" w:rsidR="00206160" w:rsidRDefault="00206160" w:rsidP="00206160">
      <w:pPr>
        <w:rPr>
          <w:lang w:eastAsia="ja-JP"/>
        </w:rPr>
      </w:pPr>
      <w:r w:rsidRPr="0089694D">
        <w:rPr>
          <w:lang w:eastAsia="ja-JP"/>
        </w:rPr>
        <w:t xml:space="preserve">The FUTURE-1 </w:t>
      </w:r>
      <w:r w:rsidR="00E77015">
        <w:rPr>
          <w:lang w:eastAsia="ja-JP"/>
        </w:rPr>
        <w:t>Study</w:t>
      </w:r>
      <w:r w:rsidRPr="0089694D">
        <w:rPr>
          <w:lang w:eastAsia="ja-JP"/>
        </w:rPr>
        <w:t xml:space="preserve"> </w:t>
      </w:r>
      <w:r>
        <w:rPr>
          <w:lang w:eastAsia="ja-JP"/>
        </w:rPr>
        <w:t>is discussed</w:t>
      </w:r>
      <w:r w:rsidR="00CF6063">
        <w:rPr>
          <w:lang w:eastAsia="ja-JP"/>
        </w:rPr>
        <w:t xml:space="preserve"> (by the evaluator)</w:t>
      </w:r>
      <w:r>
        <w:rPr>
          <w:lang w:eastAsia="ja-JP"/>
        </w:rPr>
        <w:t xml:space="preserve">. This </w:t>
      </w:r>
      <w:r w:rsidR="0066478A">
        <w:rPr>
          <w:lang w:eastAsia="ja-JP"/>
        </w:rPr>
        <w:t>study</w:t>
      </w:r>
      <w:r>
        <w:rPr>
          <w:lang w:eastAsia="ja-JP"/>
        </w:rPr>
        <w:t xml:space="preserve"> </w:t>
      </w:r>
      <w:r w:rsidRPr="0089694D">
        <w:rPr>
          <w:lang w:eastAsia="ja-JP"/>
        </w:rPr>
        <w:t>assessed exposure to bosentan in children with idiopathic or familial PAH, using a paediatric formulation.</w:t>
      </w:r>
      <w:r>
        <w:rPr>
          <w:lang w:eastAsia="ja-JP"/>
        </w:rPr>
        <w:t xml:space="preserve"> </w:t>
      </w:r>
      <w:r w:rsidR="00CF6063">
        <w:rPr>
          <w:lang w:eastAsia="ja-JP"/>
        </w:rPr>
        <w:t>The initial dose was 2 </w:t>
      </w:r>
      <w:r w:rsidRPr="006C51AD">
        <w:rPr>
          <w:lang w:eastAsia="ja-JP"/>
        </w:rPr>
        <w:t xml:space="preserve">mg/kg </w:t>
      </w:r>
      <w:r w:rsidR="007C6D8D">
        <w:rPr>
          <w:lang w:eastAsia="ja-JP"/>
        </w:rPr>
        <w:t>BD</w:t>
      </w:r>
      <w:r w:rsidRPr="006C51AD">
        <w:rPr>
          <w:lang w:eastAsia="ja-JP"/>
        </w:rPr>
        <w:t xml:space="preserve"> for 4 weeks. After 4 weeks, the dose was to be up-titrated to the maintenance dose of 4 mg/kg </w:t>
      </w:r>
      <w:r w:rsidR="007C6D8D">
        <w:rPr>
          <w:lang w:eastAsia="ja-JP"/>
        </w:rPr>
        <w:t>BD</w:t>
      </w:r>
      <w:r w:rsidRPr="006C51AD">
        <w:rPr>
          <w:lang w:eastAsia="ja-JP"/>
        </w:rPr>
        <w:t xml:space="preserve"> up to the end of the </w:t>
      </w:r>
      <w:r w:rsidR="0066478A">
        <w:rPr>
          <w:lang w:eastAsia="ja-JP"/>
        </w:rPr>
        <w:t>study</w:t>
      </w:r>
      <w:r w:rsidRPr="006C51AD">
        <w:rPr>
          <w:lang w:eastAsia="ja-JP"/>
        </w:rPr>
        <w:t xml:space="preserve"> treatment at Week 12. If the maintenance dose was not well tolerated, the dose was to be down-titrated to the initial dose. Children weighing 30 kg or above were to receive the maximum initial dose of 64 mg </w:t>
      </w:r>
      <w:r w:rsidR="007C6D8D">
        <w:rPr>
          <w:lang w:eastAsia="ja-JP"/>
        </w:rPr>
        <w:t>BD</w:t>
      </w:r>
      <w:r w:rsidRPr="006C51AD">
        <w:rPr>
          <w:lang w:eastAsia="ja-JP"/>
        </w:rPr>
        <w:t xml:space="preserve">, then 120 mg </w:t>
      </w:r>
      <w:r w:rsidR="007C6D8D">
        <w:rPr>
          <w:lang w:eastAsia="ja-JP"/>
        </w:rPr>
        <w:t>BD</w:t>
      </w:r>
      <w:r w:rsidRPr="006C51AD">
        <w:rPr>
          <w:lang w:eastAsia="ja-JP"/>
        </w:rPr>
        <w:t xml:space="preserve"> as the maintenance dose.</w:t>
      </w:r>
      <w:r>
        <w:rPr>
          <w:lang w:eastAsia="ja-JP"/>
        </w:rPr>
        <w:t xml:space="preserve"> The FUTURE-2 </w:t>
      </w:r>
      <w:r w:rsidR="00E77015">
        <w:rPr>
          <w:lang w:eastAsia="ja-JP"/>
        </w:rPr>
        <w:t>Study</w:t>
      </w:r>
      <w:r>
        <w:rPr>
          <w:lang w:eastAsia="ja-JP"/>
        </w:rPr>
        <w:t xml:space="preserve"> was an open label </w:t>
      </w:r>
      <w:r w:rsidR="00CF6063">
        <w:rPr>
          <w:lang w:eastAsia="ja-JP"/>
        </w:rPr>
        <w:t>Phase III</w:t>
      </w:r>
      <w:r>
        <w:rPr>
          <w:lang w:eastAsia="ja-JP"/>
        </w:rPr>
        <w:t xml:space="preserve"> extension of the FUTURE-1 </w:t>
      </w:r>
      <w:r w:rsidR="00E77015">
        <w:rPr>
          <w:lang w:eastAsia="ja-JP"/>
        </w:rPr>
        <w:t>Study</w:t>
      </w:r>
      <w:r>
        <w:rPr>
          <w:lang w:eastAsia="ja-JP"/>
        </w:rPr>
        <w:t>.</w:t>
      </w:r>
    </w:p>
    <w:p w14:paraId="08B8E16A" w14:textId="7ABF3745" w:rsidR="00206160" w:rsidRDefault="00206160" w:rsidP="00206160">
      <w:pPr>
        <w:rPr>
          <w:lang w:eastAsia="ja-JP"/>
        </w:rPr>
      </w:pPr>
      <w:r>
        <w:rPr>
          <w:lang w:eastAsia="ja-JP"/>
        </w:rPr>
        <w:t xml:space="preserve">The FUTURE-3 </w:t>
      </w:r>
      <w:r w:rsidR="00E77015">
        <w:rPr>
          <w:lang w:eastAsia="ja-JP"/>
        </w:rPr>
        <w:t>Study</w:t>
      </w:r>
      <w:r>
        <w:rPr>
          <w:lang w:eastAsia="ja-JP"/>
        </w:rPr>
        <w:t xml:space="preserve"> compared </w:t>
      </w:r>
      <w:r w:rsidR="007C6D8D">
        <w:rPr>
          <w:lang w:eastAsia="ja-JP"/>
        </w:rPr>
        <w:t>BD</w:t>
      </w:r>
      <w:r>
        <w:rPr>
          <w:lang w:eastAsia="ja-JP"/>
        </w:rPr>
        <w:t xml:space="preserve"> and </w:t>
      </w:r>
      <w:r w:rsidR="007C6D8D">
        <w:rPr>
          <w:lang w:eastAsia="ja-JP"/>
        </w:rPr>
        <w:t>TDS</w:t>
      </w:r>
      <w:r>
        <w:rPr>
          <w:lang w:eastAsia="ja-JP"/>
        </w:rPr>
        <w:t xml:space="preserve"> dosing using the dispersible tablet formulation in children with PAH from </w:t>
      </w:r>
      <w:r w:rsidR="007C6D8D">
        <w:rPr>
          <w:lang w:eastAsia="ja-JP"/>
        </w:rPr>
        <w:t>≥</w:t>
      </w:r>
      <w:r w:rsidR="00CF6063">
        <w:rPr>
          <w:lang w:eastAsia="ja-JP"/>
        </w:rPr>
        <w:t xml:space="preserve"> </w:t>
      </w:r>
      <w:r>
        <w:rPr>
          <w:lang w:eastAsia="ja-JP"/>
        </w:rPr>
        <w:t xml:space="preserve">3 months to &lt; 2 years. The treatments assigned in the core </w:t>
      </w:r>
      <w:r w:rsidR="0066478A">
        <w:rPr>
          <w:lang w:eastAsia="ja-JP"/>
        </w:rPr>
        <w:t>study</w:t>
      </w:r>
      <w:r>
        <w:rPr>
          <w:lang w:eastAsia="ja-JP"/>
        </w:rPr>
        <w:t xml:space="preserve"> were continued in the AC-052-</w:t>
      </w:r>
      <w:r>
        <w:t>374</w:t>
      </w:r>
      <w:r w:rsidR="00CF6063">
        <w:rPr>
          <w:lang w:eastAsia="ja-JP"/>
        </w:rPr>
        <w:t xml:space="preserve"> FUTURE-3 extension </w:t>
      </w:r>
      <w:r w:rsidR="009E4492">
        <w:rPr>
          <w:lang w:eastAsia="ja-JP"/>
        </w:rPr>
        <w:t>study</w:t>
      </w:r>
      <w:r w:rsidR="00CF6063">
        <w:rPr>
          <w:lang w:eastAsia="ja-JP"/>
        </w:rPr>
        <w:t>.</w:t>
      </w:r>
    </w:p>
    <w:p w14:paraId="37AC55FB" w14:textId="14B841B6" w:rsidR="007C6D8D" w:rsidRDefault="00206160" w:rsidP="00206160">
      <w:pPr>
        <w:rPr>
          <w:lang w:eastAsia="ja-JP"/>
        </w:rPr>
      </w:pPr>
      <w:r>
        <w:rPr>
          <w:lang w:eastAsia="ja-JP"/>
        </w:rPr>
        <w:t xml:space="preserve">The FUTURE-4 </w:t>
      </w:r>
      <w:r w:rsidR="00E77015">
        <w:rPr>
          <w:lang w:eastAsia="ja-JP"/>
        </w:rPr>
        <w:t>Study</w:t>
      </w:r>
      <w:r>
        <w:rPr>
          <w:lang w:eastAsia="ja-JP"/>
        </w:rPr>
        <w:t xml:space="preserve"> assessed the efficacy of bosentan in neonates with PPHN who were in need of iNO. Secondary objectives included the evaluation of PK</w:t>
      </w:r>
      <w:r w:rsidR="007C6D8D">
        <w:rPr>
          <w:lang w:eastAsia="ja-JP"/>
        </w:rPr>
        <w:t>.</w:t>
      </w:r>
    </w:p>
    <w:p w14:paraId="696B5A0B" w14:textId="77777777" w:rsidR="00206160" w:rsidRPr="00206160" w:rsidRDefault="00206160" w:rsidP="00206160">
      <w:pPr>
        <w:pStyle w:val="Heading5"/>
      </w:pPr>
      <w:r w:rsidRPr="00206160">
        <w:t>Bioavailability</w:t>
      </w:r>
    </w:p>
    <w:p w14:paraId="566A4C5C" w14:textId="4362F52E" w:rsidR="00206160" w:rsidRDefault="009E4492" w:rsidP="00206160">
      <w:pPr>
        <w:pStyle w:val="Heading6"/>
      </w:pPr>
      <w:r>
        <w:t xml:space="preserve">Study </w:t>
      </w:r>
      <w:r w:rsidR="00206160" w:rsidRPr="00956633">
        <w:t xml:space="preserve">AC-052-356 </w:t>
      </w:r>
      <w:r>
        <w:t>(</w:t>
      </w:r>
      <w:r w:rsidR="00206160">
        <w:t>BREATHE-3</w:t>
      </w:r>
      <w:r>
        <w:t>)</w:t>
      </w:r>
    </w:p>
    <w:p w14:paraId="470042A2" w14:textId="77777777" w:rsidR="00206160" w:rsidRDefault="00206160" w:rsidP="00206160">
      <w:r>
        <w:t>A</w:t>
      </w:r>
      <w:r w:rsidRPr="007D15FA">
        <w:t>t Week 12, C</w:t>
      </w:r>
      <w:r w:rsidRPr="007D15FA">
        <w:rPr>
          <w:vertAlign w:val="subscript"/>
        </w:rPr>
        <w:t>max</w:t>
      </w:r>
      <w:r w:rsidRPr="007D15FA">
        <w:t xml:space="preserve"> ranged from 685 (10 to 20 kg) to</w:t>
      </w:r>
      <w:r>
        <w:t xml:space="preserve"> 1,200 (</w:t>
      </w:r>
      <w:r w:rsidR="00CF6063">
        <w:t xml:space="preserve">&gt; </w:t>
      </w:r>
      <w:r>
        <w:t xml:space="preserve">40 kg) ng/mL and </w:t>
      </w:r>
      <w:r w:rsidRPr="007D15FA">
        <w:t>AUC</w:t>
      </w:r>
      <w:r w:rsidR="00CF6063">
        <w:rPr>
          <w:vertAlign w:val="subscript"/>
        </w:rPr>
        <w:t xml:space="preserve">τ </w:t>
      </w:r>
      <w:r>
        <w:t>ranged</w:t>
      </w:r>
      <w:r w:rsidRPr="007D15FA">
        <w:t xml:space="preserve"> from 3,496 (10 to 20 kg) to 6,124 (</w:t>
      </w:r>
      <w:r w:rsidR="00CF6063">
        <w:t xml:space="preserve">&gt; </w:t>
      </w:r>
      <w:r w:rsidRPr="007D15FA">
        <w:t>40 kg) ng·h/mL</w:t>
      </w:r>
      <w:r>
        <w:t xml:space="preserve"> (</w:t>
      </w:r>
      <w:r w:rsidR="005F754D">
        <w:t>Table 3</w:t>
      </w:r>
      <w:r>
        <w:t>)</w:t>
      </w:r>
      <w:r w:rsidRPr="007D15FA">
        <w:t xml:space="preserve">. </w:t>
      </w:r>
      <w:r>
        <w:t xml:space="preserve">These results were compared to those from </w:t>
      </w:r>
      <w:r w:rsidRPr="007D15FA">
        <w:t>adult PAH</w:t>
      </w:r>
      <w:r>
        <w:t xml:space="preserve"> </w:t>
      </w:r>
      <w:r w:rsidRPr="007D15FA">
        <w:t>patients</w:t>
      </w:r>
      <w:r>
        <w:t xml:space="preserve"> where</w:t>
      </w:r>
      <w:r w:rsidRPr="007D15FA">
        <w:t xml:space="preserve"> </w:t>
      </w:r>
      <w:r w:rsidR="00CF6063">
        <w:t>steady state</w:t>
      </w:r>
      <w:r w:rsidRPr="007D15FA">
        <w:t xml:space="preserve"> C</w:t>
      </w:r>
      <w:r w:rsidRPr="007D15FA">
        <w:rPr>
          <w:vertAlign w:val="subscript"/>
        </w:rPr>
        <w:t>max</w:t>
      </w:r>
      <w:r w:rsidRPr="007D15FA">
        <w:t xml:space="preserve"> and AUC</w:t>
      </w:r>
      <w:r w:rsidR="00CF6063">
        <w:rPr>
          <w:vertAlign w:val="subscript"/>
        </w:rPr>
        <w:t>τ</w:t>
      </w:r>
      <w:r w:rsidRPr="007D15FA">
        <w:t xml:space="preserve"> values of 1,878 ng/mL and 8,149</w:t>
      </w:r>
      <w:r w:rsidR="00CF6063">
        <w:t> </w:t>
      </w:r>
      <w:r w:rsidRPr="007D15FA">
        <w:t>ng·h/mL were</w:t>
      </w:r>
      <w:r>
        <w:t xml:space="preserve"> </w:t>
      </w:r>
      <w:r w:rsidRPr="007D15FA">
        <w:t>observed, respectively.</w:t>
      </w:r>
      <w:r>
        <w:t xml:space="preserve"> Paediatric systemic exposure was only about half that seen previously in adults.</w:t>
      </w:r>
    </w:p>
    <w:p w14:paraId="70091930" w14:textId="140BAE84" w:rsidR="00206160" w:rsidRPr="00206160" w:rsidRDefault="009E4492" w:rsidP="00206160">
      <w:pPr>
        <w:pStyle w:val="Heading6"/>
      </w:pPr>
      <w:r>
        <w:lastRenderedPageBreak/>
        <w:t xml:space="preserve">Study </w:t>
      </w:r>
      <w:r w:rsidR="00206160" w:rsidRPr="00206160">
        <w:t xml:space="preserve">AC-052-365 </w:t>
      </w:r>
      <w:r>
        <w:t>(</w:t>
      </w:r>
      <w:r w:rsidR="00206160" w:rsidRPr="00206160">
        <w:t>FUTURE-1</w:t>
      </w:r>
      <w:r>
        <w:t>)</w:t>
      </w:r>
    </w:p>
    <w:p w14:paraId="28184C90" w14:textId="77777777" w:rsidR="00206160" w:rsidRPr="008D6D93" w:rsidRDefault="00206160" w:rsidP="00206160">
      <w:pPr>
        <w:rPr>
          <w:lang w:eastAsia="ja-JP"/>
        </w:rPr>
      </w:pPr>
      <w:r w:rsidRPr="008D6D93">
        <w:rPr>
          <w:lang w:eastAsia="ja-JP"/>
        </w:rPr>
        <w:t xml:space="preserve">The primary objective of the </w:t>
      </w:r>
      <w:r w:rsidR="0066478A">
        <w:rPr>
          <w:lang w:eastAsia="ja-JP"/>
        </w:rPr>
        <w:t>study</w:t>
      </w:r>
      <w:r w:rsidRPr="008D6D93">
        <w:rPr>
          <w:lang w:eastAsia="ja-JP"/>
        </w:rPr>
        <w:t xml:space="preserve"> was not met: the geometric mean of the AUC</w:t>
      </w:r>
      <w:r w:rsidRPr="005040D3">
        <w:rPr>
          <w:rFonts w:hint="eastAsia"/>
          <w:vertAlign w:val="subscript"/>
          <w:lang w:eastAsia="ja-JP"/>
        </w:rPr>
        <w:t>τ</w:t>
      </w:r>
      <w:r>
        <w:rPr>
          <w:lang w:val="en-US" w:eastAsia="ja-JP"/>
        </w:rPr>
        <w:t xml:space="preserve"> </w:t>
      </w:r>
      <w:r w:rsidRPr="008D6D93">
        <w:rPr>
          <w:lang w:eastAsia="ja-JP"/>
        </w:rPr>
        <w:t>following treatment with the paedia</w:t>
      </w:r>
      <w:r>
        <w:rPr>
          <w:lang w:eastAsia="ja-JP"/>
        </w:rPr>
        <w:t xml:space="preserve">tric formulation of bosentan </w:t>
      </w:r>
      <w:r w:rsidRPr="008D6D93">
        <w:rPr>
          <w:lang w:eastAsia="ja-JP"/>
        </w:rPr>
        <w:t xml:space="preserve">was 4,383 ng.h/ml (95% </w:t>
      </w:r>
      <w:r>
        <w:rPr>
          <w:lang w:eastAsia="ja-JP"/>
        </w:rPr>
        <w:t>CI</w:t>
      </w:r>
      <w:r w:rsidRPr="008D6D93">
        <w:rPr>
          <w:lang w:eastAsia="ja-JP"/>
        </w:rPr>
        <w:t xml:space="preserve"> 3,461; 5,552)</w:t>
      </w:r>
      <w:r>
        <w:rPr>
          <w:lang w:eastAsia="ja-JP"/>
        </w:rPr>
        <w:t xml:space="preserve"> </w:t>
      </w:r>
      <w:r w:rsidRPr="005F754D">
        <w:rPr>
          <w:lang w:eastAsia="ja-JP"/>
        </w:rPr>
        <w:t>(</w:t>
      </w:r>
      <w:r w:rsidR="005F754D" w:rsidRPr="005F754D">
        <w:rPr>
          <w:lang w:eastAsia="ja-JP"/>
        </w:rPr>
        <w:t>Table 11</w:t>
      </w:r>
      <w:r w:rsidRPr="005F754D">
        <w:rPr>
          <w:lang w:eastAsia="ja-JP"/>
        </w:rPr>
        <w:t>). The ratio of the geometric means for AUC</w:t>
      </w:r>
      <w:r w:rsidR="00CF6063" w:rsidRPr="005F754D">
        <w:rPr>
          <w:vertAlign w:val="subscript"/>
          <w:lang w:eastAsia="ja-JP"/>
        </w:rPr>
        <w:t>τ</w:t>
      </w:r>
      <w:r w:rsidRPr="005F754D">
        <w:rPr>
          <w:lang w:eastAsia="ja-JP"/>
        </w:rPr>
        <w:t xml:space="preserve"> was 0.5 (90% CI 0.4, 0.8), indicating that</w:t>
      </w:r>
      <w:r w:rsidRPr="008D6D93">
        <w:rPr>
          <w:lang w:eastAsia="ja-JP"/>
        </w:rPr>
        <w:t xml:space="preserve"> exposure to bosentan</w:t>
      </w:r>
      <w:r>
        <w:rPr>
          <w:lang w:eastAsia="ja-JP"/>
        </w:rPr>
        <w:t xml:space="preserve"> </w:t>
      </w:r>
      <w:r w:rsidRPr="008D6D93">
        <w:rPr>
          <w:lang w:eastAsia="ja-JP"/>
        </w:rPr>
        <w:t>in adults was almost twice the exposure in children</w:t>
      </w:r>
      <w:r>
        <w:rPr>
          <w:lang w:eastAsia="ja-JP"/>
        </w:rPr>
        <w:t xml:space="preserve"> (</w:t>
      </w:r>
      <w:r w:rsidR="005F754D">
        <w:rPr>
          <w:lang w:eastAsia="ja-JP"/>
        </w:rPr>
        <w:t>Table 12</w:t>
      </w:r>
      <w:r>
        <w:rPr>
          <w:lang w:eastAsia="ja-JP"/>
        </w:rPr>
        <w:t>)</w:t>
      </w:r>
      <w:r w:rsidRPr="008D6D93">
        <w:rPr>
          <w:lang w:eastAsia="ja-JP"/>
        </w:rPr>
        <w:t>. The confidence interval around the</w:t>
      </w:r>
      <w:r>
        <w:rPr>
          <w:lang w:eastAsia="ja-JP"/>
        </w:rPr>
        <w:t xml:space="preserve"> </w:t>
      </w:r>
      <w:r w:rsidRPr="008D6D93">
        <w:rPr>
          <w:lang w:eastAsia="ja-JP"/>
        </w:rPr>
        <w:t>ratio of the geometric means of AUC</w:t>
      </w:r>
      <w:r w:rsidRPr="005040D3">
        <w:rPr>
          <w:rFonts w:hint="eastAsia"/>
          <w:vertAlign w:val="subscript"/>
          <w:lang w:eastAsia="ja-JP"/>
        </w:rPr>
        <w:t>τ</w:t>
      </w:r>
      <w:r w:rsidRPr="008D6D93">
        <w:rPr>
          <w:lang w:eastAsia="ja-JP"/>
        </w:rPr>
        <w:t xml:space="preserve"> </w:t>
      </w:r>
      <w:r>
        <w:rPr>
          <w:lang w:eastAsia="ja-JP"/>
        </w:rPr>
        <w:t>did</w:t>
      </w:r>
      <w:r w:rsidRPr="008D6D93">
        <w:rPr>
          <w:lang w:eastAsia="ja-JP"/>
        </w:rPr>
        <w:t xml:space="preserve"> not </w:t>
      </w:r>
      <w:r>
        <w:rPr>
          <w:lang w:eastAsia="ja-JP"/>
        </w:rPr>
        <w:t xml:space="preserve">fall </w:t>
      </w:r>
      <w:r w:rsidRPr="008D6D93">
        <w:rPr>
          <w:lang w:eastAsia="ja-JP"/>
        </w:rPr>
        <w:t>within the predefined</w:t>
      </w:r>
      <w:r>
        <w:rPr>
          <w:lang w:eastAsia="ja-JP"/>
        </w:rPr>
        <w:t xml:space="preserve"> </w:t>
      </w:r>
      <w:r w:rsidR="005F754D">
        <w:rPr>
          <w:lang w:eastAsia="ja-JP"/>
        </w:rPr>
        <w:t xml:space="preserve">equivalence limits of 0.66 to </w:t>
      </w:r>
      <w:r w:rsidRPr="008D6D93">
        <w:rPr>
          <w:lang w:eastAsia="ja-JP"/>
        </w:rPr>
        <w:t>1.5.</w:t>
      </w:r>
    </w:p>
    <w:p w14:paraId="473DE92F" w14:textId="77777777" w:rsidR="00206160" w:rsidRPr="00F11EF1" w:rsidRDefault="00206160" w:rsidP="00206160">
      <w:r>
        <w:t>The secondary PK endpoints were C</w:t>
      </w:r>
      <w:r w:rsidRPr="00444805">
        <w:rPr>
          <w:vertAlign w:val="subscript"/>
        </w:rPr>
        <w:t xml:space="preserve">max </w:t>
      </w:r>
      <w:r>
        <w:t>and t</w:t>
      </w:r>
      <w:r w:rsidRPr="00444805">
        <w:rPr>
          <w:vertAlign w:val="subscript"/>
        </w:rPr>
        <w:t>max</w:t>
      </w:r>
      <w:r>
        <w:t xml:space="preserve"> of bosentan and the C</w:t>
      </w:r>
      <w:r w:rsidRPr="00444805">
        <w:rPr>
          <w:vertAlign w:val="subscript"/>
        </w:rPr>
        <w:t>max</w:t>
      </w:r>
      <w:r>
        <w:t>, t</w:t>
      </w:r>
      <w:r w:rsidRPr="00444805">
        <w:rPr>
          <w:vertAlign w:val="subscript"/>
        </w:rPr>
        <w:t>max</w:t>
      </w:r>
      <w:r>
        <w:t xml:space="preserve"> and AUC</w:t>
      </w:r>
      <w:r w:rsidRPr="00444805">
        <w:rPr>
          <w:vertAlign w:val="subscript"/>
        </w:rPr>
        <w:t>τ</w:t>
      </w:r>
      <w:r>
        <w:t xml:space="preserve"> of metabolites </w:t>
      </w:r>
      <w:r w:rsidRPr="00444805">
        <w:t>(Ro 47-8634, Ro 48-5033, Ro 64-1056).</w:t>
      </w:r>
      <w:r>
        <w:t xml:space="preserve"> The geometric mean for the C</w:t>
      </w:r>
      <w:r w:rsidRPr="00B924E3">
        <w:rPr>
          <w:vertAlign w:val="subscript"/>
        </w:rPr>
        <w:t>max</w:t>
      </w:r>
      <w:r>
        <w:t xml:space="preserve"> of bosentan was 895 ng/ml (699, 1146). </w:t>
      </w:r>
      <w:r w:rsidRPr="00F11EF1">
        <w:t>The median time to reach t</w:t>
      </w:r>
      <w:r w:rsidRPr="00F11EF1">
        <w:rPr>
          <w:vertAlign w:val="subscript"/>
        </w:rPr>
        <w:t>max</w:t>
      </w:r>
      <w:r w:rsidRPr="00F11EF1">
        <w:t xml:space="preserve"> of bosentan was </w:t>
      </w:r>
      <w:r w:rsidR="00A5161C">
        <w:t>3 hours</w:t>
      </w:r>
      <w:r w:rsidRPr="00F11EF1">
        <w:t>. The exposure to the metabolites was low compared to the e</w:t>
      </w:r>
      <w:r w:rsidR="00CF6063">
        <w:t>xposure to bosentan, with Ro 48</w:t>
      </w:r>
      <w:r w:rsidR="00CF6063">
        <w:noBreakHyphen/>
      </w:r>
      <w:r w:rsidRPr="00F11EF1">
        <w:t xml:space="preserve">5033 being the most </w:t>
      </w:r>
      <w:r w:rsidRPr="005F754D">
        <w:t>prominent (</w:t>
      </w:r>
      <w:r w:rsidR="005F754D" w:rsidRPr="005F754D">
        <w:t>Table</w:t>
      </w:r>
      <w:r w:rsidR="005F754D">
        <w:t xml:space="preserve"> 11</w:t>
      </w:r>
      <w:r>
        <w:t>)</w:t>
      </w:r>
      <w:r w:rsidRPr="00F11EF1">
        <w:t>.</w:t>
      </w:r>
    </w:p>
    <w:p w14:paraId="2D2784BF" w14:textId="77777777" w:rsidR="007C6D8D" w:rsidRDefault="00206160" w:rsidP="00206160">
      <w:pPr>
        <w:rPr>
          <w:lang w:eastAsia="ja-JP"/>
        </w:rPr>
      </w:pPr>
      <w:r w:rsidRPr="008D6D93">
        <w:rPr>
          <w:lang w:eastAsia="ja-JP"/>
        </w:rPr>
        <w:t>In the 11 patients who underwent two PK assessments, the exposure to bosentan</w:t>
      </w:r>
      <w:r>
        <w:rPr>
          <w:lang w:eastAsia="ja-JP"/>
        </w:rPr>
        <w:t xml:space="preserve"> </w:t>
      </w:r>
      <w:r w:rsidRPr="008D6D93">
        <w:rPr>
          <w:lang w:eastAsia="ja-JP"/>
        </w:rPr>
        <w:t>following both the initial dose of 2 mg/kg and the maintenance dose of 4 mg/kg was</w:t>
      </w:r>
      <w:r>
        <w:rPr>
          <w:lang w:eastAsia="ja-JP"/>
        </w:rPr>
        <w:t xml:space="preserve"> </w:t>
      </w:r>
      <w:r w:rsidRPr="008D6D93">
        <w:rPr>
          <w:lang w:eastAsia="ja-JP"/>
        </w:rPr>
        <w:t xml:space="preserve">similar, </w:t>
      </w:r>
      <w:r w:rsidR="00CF6063">
        <w:rPr>
          <w:lang w:eastAsia="ja-JP"/>
        </w:rPr>
        <w:t>that is</w:t>
      </w:r>
      <w:r w:rsidRPr="008D6D93">
        <w:rPr>
          <w:lang w:eastAsia="ja-JP"/>
        </w:rPr>
        <w:t xml:space="preserve">, there was no increase in exposure to bosentan after doubling of the </w:t>
      </w:r>
      <w:r w:rsidRPr="008806DA">
        <w:rPr>
          <w:lang w:eastAsia="ja-JP"/>
        </w:rPr>
        <w:t>dose (</w:t>
      </w:r>
      <w:r w:rsidR="008806DA" w:rsidRPr="008806DA">
        <w:rPr>
          <w:lang w:eastAsia="ja-JP"/>
        </w:rPr>
        <w:t>Figure 1</w:t>
      </w:r>
      <w:r w:rsidRPr="008806DA">
        <w:rPr>
          <w:lang w:eastAsia="ja-JP"/>
        </w:rPr>
        <w:t>,</w:t>
      </w:r>
      <w:r w:rsidR="005F754D" w:rsidRPr="008806DA">
        <w:rPr>
          <w:lang w:eastAsia="ja-JP"/>
        </w:rPr>
        <w:t xml:space="preserve"> Table13</w:t>
      </w:r>
      <w:r w:rsidRPr="008806DA">
        <w:rPr>
          <w:lang w:eastAsia="ja-JP"/>
        </w:rPr>
        <w:t xml:space="preserve">). The exposure to bosentan and its metabolites was similar when </w:t>
      </w:r>
      <w:r w:rsidR="00CF6063" w:rsidRPr="008806DA">
        <w:rPr>
          <w:lang w:eastAsia="ja-JP"/>
        </w:rPr>
        <w:t>comparing oral doses</w:t>
      </w:r>
      <w:r w:rsidR="00CF6063">
        <w:rPr>
          <w:lang w:eastAsia="ja-JP"/>
        </w:rPr>
        <w:t xml:space="preserve"> of 2 and 4 </w:t>
      </w:r>
      <w:r w:rsidRPr="008A0BCB">
        <w:rPr>
          <w:lang w:eastAsia="ja-JP"/>
        </w:rPr>
        <w:t>m</w:t>
      </w:r>
      <w:r>
        <w:rPr>
          <w:lang w:eastAsia="ja-JP"/>
        </w:rPr>
        <w:t xml:space="preserve">g/kg. </w:t>
      </w:r>
      <w:r w:rsidRPr="008A0BCB">
        <w:rPr>
          <w:lang w:eastAsia="ja-JP"/>
        </w:rPr>
        <w:t>No dose proportionality was</w:t>
      </w:r>
      <w:r>
        <w:rPr>
          <w:lang w:eastAsia="ja-JP"/>
        </w:rPr>
        <w:t xml:space="preserve"> </w:t>
      </w:r>
      <w:r w:rsidRPr="008A0BCB">
        <w:rPr>
          <w:lang w:eastAsia="ja-JP"/>
        </w:rPr>
        <w:t>observed</w:t>
      </w:r>
      <w:r w:rsidR="007C6D8D">
        <w:rPr>
          <w:lang w:eastAsia="ja-JP"/>
        </w:rPr>
        <w:t>.</w:t>
      </w:r>
    </w:p>
    <w:p w14:paraId="601C509A" w14:textId="77777777" w:rsidR="00206160" w:rsidRPr="006C51AD" w:rsidRDefault="00206160" w:rsidP="00206160">
      <w:r>
        <w:rPr>
          <w:lang w:eastAsia="ja-JP"/>
        </w:rPr>
        <w:t xml:space="preserve">No trend for an effect </w:t>
      </w:r>
      <w:r w:rsidRPr="008A0BCB">
        <w:rPr>
          <w:lang w:eastAsia="ja-JP"/>
        </w:rPr>
        <w:t xml:space="preserve">of age on the exposure to bosentan was </w:t>
      </w:r>
      <w:r w:rsidRPr="008806DA">
        <w:rPr>
          <w:lang w:eastAsia="ja-JP"/>
        </w:rPr>
        <w:t>discerned (</w:t>
      </w:r>
      <w:r w:rsidR="008806DA" w:rsidRPr="008806DA">
        <w:rPr>
          <w:lang w:eastAsia="ja-JP"/>
        </w:rPr>
        <w:t>Figure 2</w:t>
      </w:r>
      <w:r w:rsidRPr="008806DA">
        <w:rPr>
          <w:lang w:eastAsia="ja-JP"/>
        </w:rPr>
        <w:t>).</w:t>
      </w:r>
      <w:r w:rsidRPr="008806DA">
        <w:t xml:space="preserve"> </w:t>
      </w:r>
      <w:r w:rsidRPr="008806DA">
        <w:rPr>
          <w:lang w:eastAsia="ja-JP"/>
        </w:rPr>
        <w:t>None of</w:t>
      </w:r>
      <w:r w:rsidRPr="00966951">
        <w:rPr>
          <w:lang w:eastAsia="ja-JP"/>
        </w:rPr>
        <w:t xml:space="preserve"> the covariates </w:t>
      </w:r>
      <w:r>
        <w:rPr>
          <w:lang w:eastAsia="ja-JP"/>
        </w:rPr>
        <w:t xml:space="preserve">(gender, WHO class, concomitant epoprostenol and previous bosentan treatment) </w:t>
      </w:r>
      <w:r w:rsidRPr="00966951">
        <w:rPr>
          <w:lang w:eastAsia="ja-JP"/>
        </w:rPr>
        <w:t>had a discernible effect on the pharmacokinetics of</w:t>
      </w:r>
      <w:r>
        <w:rPr>
          <w:lang w:eastAsia="ja-JP"/>
        </w:rPr>
        <w:t xml:space="preserve"> </w:t>
      </w:r>
      <w:r w:rsidRPr="008806DA">
        <w:rPr>
          <w:lang w:eastAsia="ja-JP"/>
        </w:rPr>
        <w:t>bosentan (</w:t>
      </w:r>
      <w:r w:rsidR="008806DA" w:rsidRPr="008806DA">
        <w:rPr>
          <w:lang w:eastAsia="ja-JP"/>
        </w:rPr>
        <w:t>Figure 3</w:t>
      </w:r>
      <w:r w:rsidRPr="008806DA">
        <w:rPr>
          <w:lang w:eastAsia="ja-JP"/>
        </w:rPr>
        <w:t>).</w:t>
      </w:r>
    </w:p>
    <w:p w14:paraId="394D0D25" w14:textId="77777777" w:rsidR="00E05703" w:rsidRDefault="00E05703" w:rsidP="00E05703">
      <w:pPr>
        <w:pStyle w:val="Tabletitle"/>
      </w:pPr>
      <w:bookmarkStart w:id="74" w:name="_Ref463338488"/>
      <w:bookmarkStart w:id="75" w:name="_Toc473884055"/>
      <w:r w:rsidRPr="005F754D">
        <w:t xml:space="preserve">Table </w:t>
      </w:r>
      <w:bookmarkEnd w:id="74"/>
      <w:r w:rsidR="005F754D" w:rsidRPr="005F754D">
        <w:t>11:</w:t>
      </w:r>
      <w:r w:rsidRPr="005F754D">
        <w:t xml:space="preserve"> FUTURE-1 Descriptive statistics of the PK parameters of bosentan and its</w:t>
      </w:r>
      <w:r>
        <w:t xml:space="preserve"> metabolites in paediatric patients with PAH after multiple dose administration of bosentan at a dose of 4</w:t>
      </w:r>
      <w:r w:rsidR="005F754D">
        <w:t xml:space="preserve"> </w:t>
      </w:r>
      <w:r>
        <w:t xml:space="preserve">mg/kg </w:t>
      </w:r>
      <w:r w:rsidR="007C6D8D">
        <w:t>BD</w:t>
      </w:r>
      <w:r>
        <w:t xml:space="preserve"> (n</w:t>
      </w:r>
      <w:r w:rsidR="00E77015">
        <w:t xml:space="preserve"> = </w:t>
      </w:r>
      <w:r>
        <w:t>35)</w:t>
      </w:r>
      <w:bookmarkEnd w:id="75"/>
    </w:p>
    <w:p w14:paraId="5BFE1F2E" w14:textId="77777777" w:rsidR="00D735B8" w:rsidRDefault="00E05703" w:rsidP="00586F98">
      <w:r>
        <w:rPr>
          <w:noProof/>
          <w:lang w:eastAsia="en-AU"/>
        </w:rPr>
        <w:drawing>
          <wp:inline distT="0" distB="0" distL="0" distR="0" wp14:anchorId="38302E48" wp14:editId="2B6C5EF1">
            <wp:extent cx="5248275" cy="1790700"/>
            <wp:effectExtent l="0" t="0" r="9525" b="0"/>
            <wp:docPr id="10" name="Picture 10" descr="Table 11: FUTURE-1 Descriptive statistics of the PK parameters of bosentan and its metabolites in paediatric patients with PAH after multiple dose administration of bosentan at a dose of 4 mg/kg BD (n =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BEBA8EAE-BF5A-486C-A8C5-ECC9F3942E4B}">
                          <a14:imgProps xmlns:a14="http://schemas.microsoft.com/office/drawing/2010/main">
                            <a14:imgLayer r:embed="rId23">
                              <a14:imgEffect>
                                <a14:brightnessContrast contrast="-40000"/>
                              </a14:imgEffect>
                            </a14:imgLayer>
                          </a14:imgProps>
                        </a:ext>
                      </a:extLst>
                    </a:blip>
                    <a:stretch>
                      <a:fillRect/>
                    </a:stretch>
                  </pic:blipFill>
                  <pic:spPr>
                    <a:xfrm>
                      <a:off x="0" y="0"/>
                      <a:ext cx="5248275" cy="1790700"/>
                    </a:xfrm>
                    <a:prstGeom prst="rect">
                      <a:avLst/>
                    </a:prstGeom>
                  </pic:spPr>
                </pic:pic>
              </a:graphicData>
            </a:graphic>
          </wp:inline>
        </w:drawing>
      </w:r>
    </w:p>
    <w:p w14:paraId="3EFF0047" w14:textId="7AF24AE9" w:rsidR="00E05703" w:rsidRPr="00692091" w:rsidRDefault="00E05703" w:rsidP="00E05703">
      <w:pPr>
        <w:pStyle w:val="Tabletitle"/>
      </w:pPr>
      <w:bookmarkStart w:id="76" w:name="_Ref463859506"/>
      <w:bookmarkStart w:id="77" w:name="_Toc473884056"/>
      <w:r w:rsidRPr="005F754D">
        <w:lastRenderedPageBreak/>
        <w:t xml:space="preserve">Table </w:t>
      </w:r>
      <w:bookmarkEnd w:id="76"/>
      <w:r w:rsidR="005F754D" w:rsidRPr="005F754D">
        <w:t>12</w:t>
      </w:r>
      <w:r w:rsidR="005F754D">
        <w:t>:</w:t>
      </w:r>
      <w:r>
        <w:t xml:space="preserve"> FUTURE-1 </w:t>
      </w:r>
      <w:r w:rsidRPr="00692091">
        <w:t>Comparison of AUC</w:t>
      </w:r>
      <w:r w:rsidR="005F754D">
        <w:rPr>
          <w:vertAlign w:val="subscript"/>
        </w:rPr>
        <w:t>τ</w:t>
      </w:r>
      <w:r w:rsidRPr="00692091">
        <w:t xml:space="preserve"> of bosentan in paediatric </w:t>
      </w:r>
      <w:r>
        <w:t>(4</w:t>
      </w:r>
      <w:r w:rsidR="009E4492">
        <w:t xml:space="preserve"> </w:t>
      </w:r>
      <w:r>
        <w:t xml:space="preserve">mg/kg) </w:t>
      </w:r>
      <w:r w:rsidRPr="00692091">
        <w:t>and adult PAH</w:t>
      </w:r>
      <w:r>
        <w:t xml:space="preserve"> </w:t>
      </w:r>
      <w:r w:rsidRPr="00692091">
        <w:t>patients</w:t>
      </w:r>
      <w:r>
        <w:t xml:space="preserve"> (</w:t>
      </w:r>
      <w:r w:rsidR="009E4492">
        <w:t xml:space="preserve">Study </w:t>
      </w:r>
      <w:r>
        <w:t>AC-052-357)</w:t>
      </w:r>
      <w:bookmarkEnd w:id="77"/>
    </w:p>
    <w:p w14:paraId="57BA7218" w14:textId="77777777" w:rsidR="00D735B8" w:rsidRDefault="00E05703" w:rsidP="00586F98">
      <w:r>
        <w:rPr>
          <w:noProof/>
          <w:lang w:eastAsia="en-AU"/>
        </w:rPr>
        <w:drawing>
          <wp:inline distT="0" distB="0" distL="0" distR="0" wp14:anchorId="778314C5" wp14:editId="7AC0C5DF">
            <wp:extent cx="4752975" cy="2333625"/>
            <wp:effectExtent l="0" t="0" r="9525" b="9525"/>
            <wp:docPr id="11" name="Picture 11" descr="Table 12: FUTURE-1 Comparison of AUCτ of bosentan in paediatric (4mg/kg) and adult PAH patients (AC-05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BEBA8EAE-BF5A-486C-A8C5-ECC9F3942E4B}">
                          <a14:imgProps xmlns:a14="http://schemas.microsoft.com/office/drawing/2010/main">
                            <a14:imgLayer r:embed="rId25">
                              <a14:imgEffect>
                                <a14:brightnessContrast contrast="-40000"/>
                              </a14:imgEffect>
                            </a14:imgLayer>
                          </a14:imgProps>
                        </a:ext>
                      </a:extLst>
                    </a:blip>
                    <a:stretch>
                      <a:fillRect/>
                    </a:stretch>
                  </pic:blipFill>
                  <pic:spPr>
                    <a:xfrm>
                      <a:off x="0" y="0"/>
                      <a:ext cx="4752975" cy="2333625"/>
                    </a:xfrm>
                    <a:prstGeom prst="rect">
                      <a:avLst/>
                    </a:prstGeom>
                  </pic:spPr>
                </pic:pic>
              </a:graphicData>
            </a:graphic>
          </wp:inline>
        </w:drawing>
      </w:r>
    </w:p>
    <w:p w14:paraId="26B7D571" w14:textId="77777777" w:rsidR="00E05703" w:rsidRPr="008A0BCB" w:rsidRDefault="00E05703" w:rsidP="00E05703">
      <w:pPr>
        <w:pStyle w:val="Tabletitle"/>
      </w:pPr>
      <w:bookmarkStart w:id="78" w:name="_Ref463859727"/>
      <w:bookmarkStart w:id="79" w:name="_Toc473884057"/>
      <w:r>
        <w:t xml:space="preserve">Table </w:t>
      </w:r>
      <w:bookmarkEnd w:id="78"/>
      <w:r w:rsidR="005F754D">
        <w:t>13:</w:t>
      </w:r>
      <w:r>
        <w:t xml:space="preserve"> </w:t>
      </w:r>
      <w:r w:rsidRPr="008A0BCB">
        <w:t>FUTURE-1 Descriptive statistics of pharmacokinetic parameters of bosentan and</w:t>
      </w:r>
      <w:r>
        <w:t xml:space="preserve"> </w:t>
      </w:r>
      <w:r w:rsidRPr="008A0BCB">
        <w:t>its metabolites following administration of 2 and 4 mg/kg</w:t>
      </w:r>
      <w:bookmarkEnd w:id="79"/>
    </w:p>
    <w:p w14:paraId="758417E7" w14:textId="77777777" w:rsidR="00D735B8" w:rsidRDefault="00E05703" w:rsidP="00586F98">
      <w:r>
        <w:rPr>
          <w:noProof/>
          <w:lang w:eastAsia="en-AU"/>
        </w:rPr>
        <w:drawing>
          <wp:inline distT="0" distB="0" distL="0" distR="0" wp14:anchorId="5073E30A" wp14:editId="08D9C72F">
            <wp:extent cx="4543425" cy="2876550"/>
            <wp:effectExtent l="0" t="0" r="9525" b="0"/>
            <wp:docPr id="12" name="Picture 12" descr="Table 13: FUTURE-1 Descriptive statistics of pharmacokinetic parameters of bosentan and its metabolites following administration of 2 and 4 mg/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BEBA8EAE-BF5A-486C-A8C5-ECC9F3942E4B}">
                          <a14:imgProps xmlns:a14="http://schemas.microsoft.com/office/drawing/2010/main">
                            <a14:imgLayer r:embed="rId27">
                              <a14:imgEffect>
                                <a14:brightnessContrast contrast="-40000"/>
                              </a14:imgEffect>
                            </a14:imgLayer>
                          </a14:imgProps>
                        </a:ext>
                      </a:extLst>
                    </a:blip>
                    <a:stretch>
                      <a:fillRect/>
                    </a:stretch>
                  </pic:blipFill>
                  <pic:spPr>
                    <a:xfrm>
                      <a:off x="0" y="0"/>
                      <a:ext cx="4543425" cy="2876550"/>
                    </a:xfrm>
                    <a:prstGeom prst="rect">
                      <a:avLst/>
                    </a:prstGeom>
                  </pic:spPr>
                </pic:pic>
              </a:graphicData>
            </a:graphic>
          </wp:inline>
        </w:drawing>
      </w:r>
    </w:p>
    <w:p w14:paraId="67960089" w14:textId="77777777" w:rsidR="00E05703" w:rsidRDefault="00E05703" w:rsidP="00E05703">
      <w:pPr>
        <w:pStyle w:val="FigureTitle"/>
      </w:pPr>
      <w:bookmarkStart w:id="80" w:name="_Ref464140663"/>
      <w:bookmarkStart w:id="81" w:name="_Toc473884153"/>
      <w:r w:rsidRPr="008806DA">
        <w:lastRenderedPageBreak/>
        <w:t xml:space="preserve">Figure </w:t>
      </w:r>
      <w:bookmarkEnd w:id="80"/>
      <w:r w:rsidR="008806DA" w:rsidRPr="008806DA">
        <w:t>2:</w:t>
      </w:r>
      <w:r w:rsidRPr="008806DA">
        <w:t xml:space="preserve"> FUTURE-1 Effect of age on the PK of bosentan in paediatric patients with</w:t>
      </w:r>
      <w:r>
        <w:t xml:space="preserve"> pulmonary arterial hypertension after multiple dose administration at a dose of 4 mg/kg </w:t>
      </w:r>
      <w:r w:rsidR="007C6D8D">
        <w:t>BD</w:t>
      </w:r>
      <w:bookmarkEnd w:id="81"/>
    </w:p>
    <w:p w14:paraId="009F7F49" w14:textId="77777777" w:rsidR="00E05703" w:rsidRDefault="00E05703" w:rsidP="00586F98">
      <w:r>
        <w:rPr>
          <w:noProof/>
          <w:lang w:eastAsia="en-AU"/>
        </w:rPr>
        <w:drawing>
          <wp:inline distT="0" distB="0" distL="0" distR="0" wp14:anchorId="25BB13AB" wp14:editId="14EE4670">
            <wp:extent cx="3862426" cy="2511715"/>
            <wp:effectExtent l="0" t="0" r="5080" b="3175"/>
            <wp:docPr id="13" name="Picture 13" descr="Figure 2: FUTURE-1 Effect of age on the PK of bosentan in paediatric patients with pulmonary arterial hypertension after multiple dose administration at a dose of 4 mg/kg 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62333" cy="2511654"/>
                    </a:xfrm>
                    <a:prstGeom prst="rect">
                      <a:avLst/>
                    </a:prstGeom>
                  </pic:spPr>
                </pic:pic>
              </a:graphicData>
            </a:graphic>
          </wp:inline>
        </w:drawing>
      </w:r>
    </w:p>
    <w:p w14:paraId="01E2BC23" w14:textId="77777777" w:rsidR="00E05703" w:rsidRPr="00966951" w:rsidRDefault="00E05703" w:rsidP="00E05703">
      <w:pPr>
        <w:pStyle w:val="FigureTitle"/>
      </w:pPr>
      <w:bookmarkStart w:id="82" w:name="_Ref463861740"/>
      <w:bookmarkStart w:id="83" w:name="_Toc473884154"/>
      <w:r w:rsidRPr="008806DA">
        <w:t xml:space="preserve">Figure </w:t>
      </w:r>
      <w:bookmarkEnd w:id="82"/>
      <w:r w:rsidR="008806DA" w:rsidRPr="008806DA">
        <w:t>3:</w:t>
      </w:r>
      <w:r w:rsidRPr="008806DA">
        <w:t xml:space="preserve"> FUTURE-1 Effect of gender, WHO class, concomitant epoprostenol, and previous</w:t>
      </w:r>
      <w:r w:rsidRPr="00966951">
        <w:t xml:space="preserve"> treatment with bosentan on the pharmacokinetics of</w:t>
      </w:r>
      <w:r>
        <w:t xml:space="preserve"> </w:t>
      </w:r>
      <w:r w:rsidRPr="00966951">
        <w:t>bosentan in paediatric patients with pulmonary arterial hypertension</w:t>
      </w:r>
      <w:r>
        <w:t xml:space="preserve"> </w:t>
      </w:r>
      <w:r w:rsidRPr="00966951">
        <w:t>after multiple-dose administ</w:t>
      </w:r>
      <w:r>
        <w:t xml:space="preserve">ration at a dose of 4 mg/kg </w:t>
      </w:r>
      <w:r w:rsidR="007C6D8D">
        <w:t>BD</w:t>
      </w:r>
      <w:bookmarkEnd w:id="83"/>
    </w:p>
    <w:p w14:paraId="7258290F" w14:textId="77777777" w:rsidR="00E05703" w:rsidRDefault="00E05703" w:rsidP="00586F98">
      <w:r>
        <w:rPr>
          <w:noProof/>
          <w:lang w:eastAsia="en-AU"/>
        </w:rPr>
        <w:drawing>
          <wp:inline distT="0" distB="0" distL="0" distR="0" wp14:anchorId="1410FCD3" wp14:editId="6ABFDEBA">
            <wp:extent cx="5629275" cy="4886325"/>
            <wp:effectExtent l="0" t="0" r="9525" b="9525"/>
            <wp:docPr id="14" name="Picture 14" descr="Figure 3: FUTURE-1 Effect of gender, WHO class, concomitant epoprostenol, and previous treatment with bosentan on the pharmacokinetics of bosentan in paediatric patients with pulmonary arterial hypertension after multiple-dose administration at a dose of 4 mg/kg 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29275" cy="4886325"/>
                    </a:xfrm>
                    <a:prstGeom prst="rect">
                      <a:avLst/>
                    </a:prstGeom>
                  </pic:spPr>
                </pic:pic>
              </a:graphicData>
            </a:graphic>
          </wp:inline>
        </w:drawing>
      </w:r>
    </w:p>
    <w:p w14:paraId="3B2C1F71" w14:textId="33723DB8" w:rsidR="00E05703" w:rsidRPr="000F1977" w:rsidRDefault="00CF6063" w:rsidP="000F1977">
      <w:pPr>
        <w:pStyle w:val="Heading6"/>
      </w:pPr>
      <w:r>
        <w:lastRenderedPageBreak/>
        <w:t xml:space="preserve">Study </w:t>
      </w:r>
      <w:r w:rsidR="00E05703" w:rsidRPr="000F1977">
        <w:t xml:space="preserve">AC-052-373 </w:t>
      </w:r>
      <w:r w:rsidR="009E4492">
        <w:t>(</w:t>
      </w:r>
      <w:r w:rsidR="00E05703" w:rsidRPr="000F1977">
        <w:t>FUTURE-3</w:t>
      </w:r>
      <w:r w:rsidR="009E4492">
        <w:t>)</w:t>
      </w:r>
    </w:p>
    <w:p w14:paraId="26BF0E70" w14:textId="77777777" w:rsidR="00E05703" w:rsidRDefault="00E05703" w:rsidP="000F1977">
      <w:pPr>
        <w:rPr>
          <w:lang w:eastAsia="ja-JP"/>
        </w:rPr>
      </w:pPr>
      <w:r w:rsidRPr="004D1BF0">
        <w:rPr>
          <w:lang w:eastAsia="ja-JP"/>
        </w:rPr>
        <w:t>The main PK endpoint was the AUC</w:t>
      </w:r>
      <w:r w:rsidRPr="004D1BF0">
        <w:rPr>
          <w:vertAlign w:val="subscript"/>
          <w:lang w:eastAsia="ja-JP"/>
        </w:rPr>
        <w:t>0-24</w:t>
      </w:r>
      <w:r w:rsidRPr="004D1BF0">
        <w:rPr>
          <w:lang w:eastAsia="ja-JP"/>
        </w:rPr>
        <w:t xml:space="preserve"> calculated as</w:t>
      </w:r>
      <w:r>
        <w:rPr>
          <w:lang w:eastAsia="ja-JP"/>
        </w:rPr>
        <w:t xml:space="preserve"> </w:t>
      </w:r>
      <w:r w:rsidRPr="004D1BF0">
        <w:rPr>
          <w:lang w:eastAsia="ja-JP"/>
        </w:rPr>
        <w:t>a multiple of the exposure over a dosing interval (AUC</w:t>
      </w:r>
      <w:r w:rsidRPr="005040D3">
        <w:rPr>
          <w:rFonts w:hint="eastAsia"/>
          <w:vertAlign w:val="subscript"/>
          <w:lang w:eastAsia="ja-JP"/>
        </w:rPr>
        <w:t>τ</w:t>
      </w:r>
      <w:r w:rsidRPr="004D1BF0">
        <w:rPr>
          <w:lang w:eastAsia="ja-JP"/>
        </w:rPr>
        <w:t>),</w:t>
      </w:r>
      <w:r>
        <w:rPr>
          <w:lang w:eastAsia="ja-JP"/>
        </w:rPr>
        <w:t xml:space="preserve"> 3</w:t>
      </w:r>
      <w:r w:rsidR="00CF6063">
        <w:rPr>
          <w:lang w:eastAsia="ja-JP"/>
        </w:rPr>
        <w:t xml:space="preserve"> </w:t>
      </w:r>
      <w:r w:rsidR="00CF6063">
        <w:rPr>
          <w:lang w:val="en-US" w:eastAsia="ja-JP"/>
        </w:rPr>
        <w:t xml:space="preserve">x </w:t>
      </w:r>
      <w:r w:rsidRPr="004D1BF0">
        <w:rPr>
          <w:lang w:eastAsia="ja-JP"/>
        </w:rPr>
        <w:t>AUC</w:t>
      </w:r>
      <w:r w:rsidRPr="005040D3">
        <w:rPr>
          <w:rFonts w:hint="eastAsia"/>
          <w:vertAlign w:val="subscript"/>
          <w:lang w:eastAsia="ja-JP"/>
        </w:rPr>
        <w:t>τ</w:t>
      </w:r>
      <w:r>
        <w:rPr>
          <w:lang w:eastAsia="ja-JP"/>
        </w:rPr>
        <w:t xml:space="preserve"> and 2</w:t>
      </w:r>
      <w:r w:rsidR="00CF6063">
        <w:rPr>
          <w:rFonts w:hint="eastAsia"/>
          <w:lang w:eastAsia="ja-JP"/>
        </w:rPr>
        <w:t xml:space="preserve"> x </w:t>
      </w:r>
      <w:r w:rsidRPr="004D1BF0">
        <w:rPr>
          <w:lang w:eastAsia="ja-JP"/>
        </w:rPr>
        <w:t>AUC</w:t>
      </w:r>
      <w:r w:rsidRPr="005040D3">
        <w:rPr>
          <w:rFonts w:hint="eastAsia"/>
          <w:vertAlign w:val="subscript"/>
          <w:lang w:eastAsia="ja-JP"/>
        </w:rPr>
        <w:t>τ</w:t>
      </w:r>
      <w:r w:rsidRPr="004D1BF0">
        <w:rPr>
          <w:lang w:eastAsia="ja-JP"/>
        </w:rPr>
        <w:t xml:space="preserve"> for </w:t>
      </w:r>
      <w:r w:rsidR="007C6D8D">
        <w:rPr>
          <w:lang w:eastAsia="ja-JP"/>
        </w:rPr>
        <w:t>TDS</w:t>
      </w:r>
      <w:r>
        <w:rPr>
          <w:lang w:eastAsia="ja-JP"/>
        </w:rPr>
        <w:t xml:space="preserve"> and </w:t>
      </w:r>
      <w:r w:rsidR="007C6D8D">
        <w:rPr>
          <w:lang w:eastAsia="ja-JP"/>
        </w:rPr>
        <w:t>BD</w:t>
      </w:r>
      <w:r w:rsidRPr="004D1BF0">
        <w:rPr>
          <w:lang w:eastAsia="ja-JP"/>
        </w:rPr>
        <w:t xml:space="preserve"> regimens,</w:t>
      </w:r>
      <w:r>
        <w:rPr>
          <w:lang w:eastAsia="ja-JP"/>
        </w:rPr>
        <w:t xml:space="preserve"> </w:t>
      </w:r>
      <w:r w:rsidRPr="004D1BF0">
        <w:rPr>
          <w:lang w:eastAsia="ja-JP"/>
        </w:rPr>
        <w:t>respectively.</w:t>
      </w:r>
      <w:r>
        <w:rPr>
          <w:lang w:eastAsia="ja-JP"/>
        </w:rPr>
        <w:t xml:space="preserve"> </w:t>
      </w:r>
      <w:r w:rsidRPr="004D1BF0">
        <w:rPr>
          <w:lang w:eastAsia="ja-JP"/>
        </w:rPr>
        <w:t>Other PK endpoints were C</w:t>
      </w:r>
      <w:r w:rsidRPr="004D1BF0">
        <w:rPr>
          <w:vertAlign w:val="subscript"/>
          <w:lang w:eastAsia="ja-JP"/>
        </w:rPr>
        <w:t>max</w:t>
      </w:r>
      <w:r>
        <w:rPr>
          <w:lang w:eastAsia="ja-JP"/>
        </w:rPr>
        <w:t xml:space="preserve"> and </w:t>
      </w:r>
      <w:r w:rsidRPr="004D1BF0">
        <w:rPr>
          <w:lang w:eastAsia="ja-JP"/>
        </w:rPr>
        <w:t>t</w:t>
      </w:r>
      <w:r w:rsidRPr="004D1BF0">
        <w:rPr>
          <w:vertAlign w:val="subscript"/>
          <w:lang w:eastAsia="ja-JP"/>
        </w:rPr>
        <w:t>max</w:t>
      </w:r>
      <w:r w:rsidRPr="004D1BF0">
        <w:rPr>
          <w:lang w:eastAsia="ja-JP"/>
        </w:rPr>
        <w:t xml:space="preserve"> </w:t>
      </w:r>
      <w:r>
        <w:rPr>
          <w:lang w:eastAsia="ja-JP"/>
        </w:rPr>
        <w:t xml:space="preserve">of bosentan and </w:t>
      </w:r>
      <w:r w:rsidRPr="004D1BF0">
        <w:rPr>
          <w:lang w:eastAsia="ja-JP"/>
        </w:rPr>
        <w:t>AUC</w:t>
      </w:r>
      <w:r w:rsidRPr="004D1BF0">
        <w:rPr>
          <w:vertAlign w:val="subscript"/>
          <w:lang w:eastAsia="ja-JP"/>
        </w:rPr>
        <w:t>0-24</w:t>
      </w:r>
      <w:r>
        <w:rPr>
          <w:lang w:eastAsia="ja-JP"/>
        </w:rPr>
        <w:t xml:space="preserve">, </w:t>
      </w:r>
      <w:r w:rsidRPr="004D1BF0">
        <w:rPr>
          <w:lang w:eastAsia="ja-JP"/>
        </w:rPr>
        <w:t>C</w:t>
      </w:r>
      <w:r w:rsidRPr="004D1BF0">
        <w:rPr>
          <w:vertAlign w:val="subscript"/>
          <w:lang w:eastAsia="ja-JP"/>
        </w:rPr>
        <w:t>max</w:t>
      </w:r>
      <w:r w:rsidRPr="004D1BF0">
        <w:rPr>
          <w:lang w:eastAsia="ja-JP"/>
        </w:rPr>
        <w:t>, t</w:t>
      </w:r>
      <w:r w:rsidRPr="004D1BF0">
        <w:rPr>
          <w:vertAlign w:val="subscript"/>
          <w:lang w:eastAsia="ja-JP"/>
        </w:rPr>
        <w:t>max</w:t>
      </w:r>
      <w:r w:rsidRPr="004D1BF0">
        <w:rPr>
          <w:lang w:eastAsia="ja-JP"/>
        </w:rPr>
        <w:t xml:space="preserve"> of bosentan metabolites.</w:t>
      </w:r>
    </w:p>
    <w:p w14:paraId="0A99B71B" w14:textId="77777777" w:rsidR="007C6D8D" w:rsidRDefault="00E05703" w:rsidP="000F1977">
      <w:pPr>
        <w:rPr>
          <w:lang w:eastAsia="ja-JP"/>
        </w:rPr>
      </w:pPr>
      <w:r>
        <w:rPr>
          <w:lang w:eastAsia="ja-JP"/>
        </w:rPr>
        <w:t xml:space="preserve">The </w:t>
      </w:r>
      <w:r w:rsidRPr="004D1BF0">
        <w:rPr>
          <w:lang w:eastAsia="ja-JP"/>
        </w:rPr>
        <w:t>PK profiles for bosentan and its three metaboli</w:t>
      </w:r>
      <w:r>
        <w:rPr>
          <w:lang w:eastAsia="ja-JP"/>
        </w:rPr>
        <w:t xml:space="preserve">tes </w:t>
      </w:r>
      <w:r w:rsidRPr="004D1BF0">
        <w:rPr>
          <w:lang w:eastAsia="ja-JP"/>
        </w:rPr>
        <w:t xml:space="preserve">at </w:t>
      </w:r>
      <w:r w:rsidR="00CF6063">
        <w:rPr>
          <w:lang w:eastAsia="ja-JP"/>
        </w:rPr>
        <w:t>steady state</w:t>
      </w:r>
      <w:r>
        <w:rPr>
          <w:lang w:eastAsia="ja-JP"/>
        </w:rPr>
        <w:t xml:space="preserve"> are listed </w:t>
      </w:r>
      <w:r w:rsidRPr="005F754D">
        <w:rPr>
          <w:lang w:eastAsia="ja-JP"/>
        </w:rPr>
        <w:t>in</w:t>
      </w:r>
      <w:r w:rsidR="005F754D" w:rsidRPr="005F754D">
        <w:rPr>
          <w:lang w:eastAsia="ja-JP"/>
        </w:rPr>
        <w:t xml:space="preserve"> Table 14</w:t>
      </w:r>
      <w:r w:rsidRPr="005F754D">
        <w:rPr>
          <w:lang w:eastAsia="ja-JP"/>
        </w:rPr>
        <w:t>.</w:t>
      </w:r>
      <w:r>
        <w:rPr>
          <w:lang w:eastAsia="ja-JP"/>
        </w:rPr>
        <w:t xml:space="preserve"> PK </w:t>
      </w:r>
      <w:r w:rsidRPr="004D1BF0">
        <w:rPr>
          <w:lang w:eastAsia="ja-JP"/>
        </w:rPr>
        <w:t>profiles of bosentan for both dosing regimens were characte</w:t>
      </w:r>
      <w:r>
        <w:rPr>
          <w:lang w:eastAsia="ja-JP"/>
        </w:rPr>
        <w:t xml:space="preserve">rised by rapid absorption, with </w:t>
      </w:r>
      <w:r w:rsidRPr="004D1BF0">
        <w:rPr>
          <w:lang w:eastAsia="ja-JP"/>
        </w:rPr>
        <w:t>a median t</w:t>
      </w:r>
      <w:r w:rsidRPr="001637AA">
        <w:rPr>
          <w:vertAlign w:val="subscript"/>
          <w:lang w:eastAsia="ja-JP"/>
        </w:rPr>
        <w:t>max</w:t>
      </w:r>
      <w:r w:rsidRPr="004D1BF0">
        <w:rPr>
          <w:lang w:eastAsia="ja-JP"/>
        </w:rPr>
        <w:t xml:space="preserve"> of </w:t>
      </w:r>
      <w:r w:rsidR="00A5161C">
        <w:rPr>
          <w:lang w:eastAsia="ja-JP"/>
        </w:rPr>
        <w:t>3 hours</w:t>
      </w:r>
      <w:r w:rsidR="007C6D8D">
        <w:rPr>
          <w:lang w:eastAsia="ja-JP"/>
        </w:rPr>
        <w:t>.</w:t>
      </w:r>
    </w:p>
    <w:p w14:paraId="4612472C" w14:textId="77777777" w:rsidR="007C6D8D" w:rsidRDefault="00E05703" w:rsidP="000F1977">
      <w:pPr>
        <w:rPr>
          <w:lang w:eastAsia="ja-JP"/>
        </w:rPr>
      </w:pPr>
      <w:r w:rsidRPr="00D26017">
        <w:rPr>
          <w:lang w:eastAsia="ja-JP"/>
        </w:rPr>
        <w:t>On average, the observed systemic concentrations over a dosing interval were slightly</w:t>
      </w:r>
      <w:r>
        <w:rPr>
          <w:lang w:eastAsia="ja-JP"/>
        </w:rPr>
        <w:t xml:space="preserve"> </w:t>
      </w:r>
      <w:r w:rsidRPr="00D26017">
        <w:rPr>
          <w:lang w:eastAsia="ja-JP"/>
        </w:rPr>
        <w:t>lower</w:t>
      </w:r>
      <w:r>
        <w:rPr>
          <w:lang w:eastAsia="ja-JP"/>
        </w:rPr>
        <w:t xml:space="preserve"> in patients who were dosed </w:t>
      </w:r>
      <w:r w:rsidR="007C6D8D">
        <w:rPr>
          <w:lang w:eastAsia="ja-JP"/>
        </w:rPr>
        <w:t>TDS</w:t>
      </w:r>
      <w:r>
        <w:rPr>
          <w:lang w:eastAsia="ja-JP"/>
        </w:rPr>
        <w:t xml:space="preserve"> (</w:t>
      </w:r>
      <w:r w:rsidR="008806DA">
        <w:rPr>
          <w:lang w:eastAsia="ja-JP"/>
        </w:rPr>
        <w:t>Figure 4</w:t>
      </w:r>
      <w:r>
        <w:rPr>
          <w:lang w:eastAsia="ja-JP"/>
        </w:rPr>
        <w:t xml:space="preserve">). </w:t>
      </w:r>
      <w:r w:rsidRPr="00D26017">
        <w:rPr>
          <w:lang w:eastAsia="ja-JP"/>
        </w:rPr>
        <w:t>AUC</w:t>
      </w:r>
      <w:r w:rsidRPr="00D26017">
        <w:rPr>
          <w:vertAlign w:val="subscript"/>
          <w:lang w:eastAsia="ja-JP"/>
        </w:rPr>
        <w:t>0-24C</w:t>
      </w:r>
      <w:r>
        <w:rPr>
          <w:lang w:eastAsia="ja-JP"/>
        </w:rPr>
        <w:t xml:space="preserve"> for the </w:t>
      </w:r>
      <w:r w:rsidR="007C6D8D">
        <w:rPr>
          <w:lang w:eastAsia="ja-JP"/>
        </w:rPr>
        <w:t>TDS</w:t>
      </w:r>
      <w:r w:rsidRPr="00D26017">
        <w:rPr>
          <w:lang w:eastAsia="ja-JP"/>
        </w:rPr>
        <w:t xml:space="preserve"> (geometric mean: 7275 ng</w:t>
      </w:r>
      <w:r w:rsidRPr="00D26017">
        <w:rPr>
          <w:rFonts w:hint="eastAsia"/>
          <w:lang w:eastAsia="ja-JP"/>
        </w:rPr>
        <w:t>·</w:t>
      </w:r>
      <w:r w:rsidRPr="00D26017">
        <w:rPr>
          <w:lang w:eastAsia="ja-JP"/>
        </w:rPr>
        <w:t>h/mL) and</w:t>
      </w:r>
      <w:r>
        <w:rPr>
          <w:lang w:eastAsia="ja-JP"/>
        </w:rPr>
        <w:t xml:space="preserve"> </w:t>
      </w:r>
      <w:r w:rsidR="007C6D8D">
        <w:rPr>
          <w:lang w:eastAsia="ja-JP"/>
        </w:rPr>
        <w:t>BD</w:t>
      </w:r>
      <w:r w:rsidRPr="00D26017">
        <w:rPr>
          <w:lang w:eastAsia="ja-JP"/>
        </w:rPr>
        <w:t xml:space="preserve"> regimens</w:t>
      </w:r>
      <w:r>
        <w:rPr>
          <w:lang w:eastAsia="ja-JP"/>
        </w:rPr>
        <w:t xml:space="preserve"> </w:t>
      </w:r>
      <w:r w:rsidRPr="00D26017">
        <w:rPr>
          <w:lang w:eastAsia="ja-JP"/>
        </w:rPr>
        <w:t>(geometric mean: 8535 ng</w:t>
      </w:r>
      <w:r w:rsidRPr="00D26017">
        <w:rPr>
          <w:rFonts w:hint="eastAsia"/>
          <w:lang w:eastAsia="ja-JP"/>
        </w:rPr>
        <w:t>·</w:t>
      </w:r>
      <w:r w:rsidRPr="00D26017">
        <w:rPr>
          <w:lang w:eastAsia="ja-JP"/>
        </w:rPr>
        <w:t>h/mL) were similar in the context of the high variability in</w:t>
      </w:r>
      <w:r>
        <w:rPr>
          <w:lang w:eastAsia="ja-JP"/>
        </w:rPr>
        <w:t xml:space="preserve"> </w:t>
      </w:r>
      <w:r w:rsidRPr="00D26017">
        <w:rPr>
          <w:lang w:eastAsia="ja-JP"/>
        </w:rPr>
        <w:t>exposure</w:t>
      </w:r>
      <w:r>
        <w:rPr>
          <w:lang w:eastAsia="ja-JP"/>
        </w:rPr>
        <w:t>. T</w:t>
      </w:r>
      <w:r w:rsidRPr="004C6743">
        <w:rPr>
          <w:lang w:eastAsia="ja-JP"/>
        </w:rPr>
        <w:t xml:space="preserve">he </w:t>
      </w:r>
      <w:r w:rsidR="007C6D8D">
        <w:rPr>
          <w:lang w:eastAsia="ja-JP"/>
        </w:rPr>
        <w:t>TDS</w:t>
      </w:r>
      <w:r w:rsidRPr="004C6743">
        <w:rPr>
          <w:lang w:eastAsia="ja-JP"/>
        </w:rPr>
        <w:t xml:space="preserve"> d</w:t>
      </w:r>
      <w:r>
        <w:rPr>
          <w:lang w:eastAsia="ja-JP"/>
        </w:rPr>
        <w:t xml:space="preserve">osing regimen resulted in a 15% </w:t>
      </w:r>
      <w:r w:rsidRPr="004C6743">
        <w:rPr>
          <w:lang w:eastAsia="ja-JP"/>
        </w:rPr>
        <w:t>lower geometric mean bosentan AUC</w:t>
      </w:r>
      <w:r w:rsidRPr="004C6743">
        <w:rPr>
          <w:vertAlign w:val="subscript"/>
          <w:lang w:eastAsia="ja-JP"/>
        </w:rPr>
        <w:t>0-24C</w:t>
      </w:r>
      <w:r w:rsidRPr="004C6743">
        <w:rPr>
          <w:lang w:eastAsia="ja-JP"/>
        </w:rPr>
        <w:t xml:space="preserve"> </w:t>
      </w:r>
      <w:r>
        <w:rPr>
          <w:lang w:eastAsia="ja-JP"/>
        </w:rPr>
        <w:t xml:space="preserve">than in the </w:t>
      </w:r>
      <w:r w:rsidR="007C6D8D">
        <w:rPr>
          <w:lang w:eastAsia="ja-JP"/>
        </w:rPr>
        <w:t>BD</w:t>
      </w:r>
      <w:r w:rsidRPr="004C6743">
        <w:rPr>
          <w:lang w:eastAsia="ja-JP"/>
        </w:rPr>
        <w:t xml:space="preserve"> dosing regimen</w:t>
      </w:r>
      <w:r>
        <w:rPr>
          <w:lang w:eastAsia="ja-JP"/>
        </w:rPr>
        <w:t xml:space="preserve"> for both the All randomised and </w:t>
      </w:r>
      <w:r w:rsidRPr="005F754D">
        <w:rPr>
          <w:lang w:eastAsia="ja-JP"/>
        </w:rPr>
        <w:t>PK sets (</w:t>
      </w:r>
      <w:r w:rsidR="005F754D" w:rsidRPr="005F754D">
        <w:rPr>
          <w:lang w:eastAsia="ja-JP"/>
        </w:rPr>
        <w:t>Table</w:t>
      </w:r>
      <w:r w:rsidR="005F754D">
        <w:rPr>
          <w:lang w:eastAsia="ja-JP"/>
        </w:rPr>
        <w:t> 4</w:t>
      </w:r>
      <w:r>
        <w:rPr>
          <w:lang w:eastAsia="ja-JP"/>
        </w:rPr>
        <w:t xml:space="preserve">). The </w:t>
      </w:r>
      <w:r w:rsidR="007C6D8D">
        <w:rPr>
          <w:lang w:eastAsia="ja-JP"/>
        </w:rPr>
        <w:t>sponsor</w:t>
      </w:r>
      <w:r>
        <w:rPr>
          <w:lang w:eastAsia="ja-JP"/>
        </w:rPr>
        <w:t xml:space="preserve"> states that d</w:t>
      </w:r>
      <w:r w:rsidRPr="004C6743">
        <w:rPr>
          <w:lang w:eastAsia="ja-JP"/>
        </w:rPr>
        <w:t>espite th</w:t>
      </w:r>
      <w:r>
        <w:rPr>
          <w:lang w:eastAsia="ja-JP"/>
        </w:rPr>
        <w:t>e</w:t>
      </w:r>
      <w:r w:rsidRPr="004C6743">
        <w:rPr>
          <w:lang w:eastAsia="ja-JP"/>
        </w:rPr>
        <w:t xml:space="preserve"> difference </w:t>
      </w:r>
      <w:r>
        <w:rPr>
          <w:lang w:eastAsia="ja-JP"/>
        </w:rPr>
        <w:t>in</w:t>
      </w:r>
      <w:r w:rsidRPr="004C6743">
        <w:rPr>
          <w:lang w:eastAsia="ja-JP"/>
        </w:rPr>
        <w:t xml:space="preserve"> point estim</w:t>
      </w:r>
      <w:r>
        <w:rPr>
          <w:lang w:eastAsia="ja-JP"/>
        </w:rPr>
        <w:t>ates and the high inter-individual variability, the</w:t>
      </w:r>
      <w:r w:rsidRPr="004C6743">
        <w:rPr>
          <w:lang w:eastAsia="ja-JP"/>
        </w:rPr>
        <w:t xml:space="preserve"> CI</w:t>
      </w:r>
      <w:r>
        <w:rPr>
          <w:lang w:eastAsia="ja-JP"/>
        </w:rPr>
        <w:t>s</w:t>
      </w:r>
      <w:r w:rsidRPr="004C6743">
        <w:rPr>
          <w:lang w:eastAsia="ja-JP"/>
        </w:rPr>
        <w:t xml:space="preserve"> around th</w:t>
      </w:r>
      <w:r>
        <w:rPr>
          <w:lang w:eastAsia="ja-JP"/>
        </w:rPr>
        <w:t>e geometric mean ratio included</w:t>
      </w:r>
      <w:r w:rsidRPr="004C6743">
        <w:rPr>
          <w:lang w:eastAsia="ja-JP"/>
        </w:rPr>
        <w:t xml:space="preserve"> 1.00, suggest</w:t>
      </w:r>
      <w:r>
        <w:rPr>
          <w:lang w:eastAsia="ja-JP"/>
        </w:rPr>
        <w:t>ing</w:t>
      </w:r>
      <w:r w:rsidRPr="004C6743">
        <w:rPr>
          <w:lang w:eastAsia="ja-JP"/>
        </w:rPr>
        <w:t xml:space="preserve"> that the</w:t>
      </w:r>
      <w:r>
        <w:rPr>
          <w:lang w:eastAsia="ja-JP"/>
        </w:rPr>
        <w:t xml:space="preserve"> </w:t>
      </w:r>
      <w:r w:rsidRPr="004C6743">
        <w:rPr>
          <w:lang w:eastAsia="ja-JP"/>
        </w:rPr>
        <w:t>daily exposures with the two regimens were comparable</w:t>
      </w:r>
      <w:r w:rsidR="007C6D8D">
        <w:rPr>
          <w:lang w:eastAsia="ja-JP"/>
        </w:rPr>
        <w:t>.</w:t>
      </w:r>
    </w:p>
    <w:p w14:paraId="46413DF2" w14:textId="77777777" w:rsidR="00E05703" w:rsidRDefault="00E05703" w:rsidP="00E05703">
      <w:pPr>
        <w:rPr>
          <w:lang w:eastAsia="ja-JP"/>
        </w:rPr>
      </w:pPr>
      <w:r w:rsidRPr="0027705D">
        <w:rPr>
          <w:lang w:eastAsia="ja-JP"/>
        </w:rPr>
        <w:t>The C</w:t>
      </w:r>
      <w:r w:rsidRPr="0027705D">
        <w:rPr>
          <w:vertAlign w:val="subscript"/>
          <w:lang w:eastAsia="ja-JP"/>
        </w:rPr>
        <w:t>maxC</w:t>
      </w:r>
      <w:r w:rsidRPr="0027705D">
        <w:rPr>
          <w:lang w:eastAsia="ja-JP"/>
        </w:rPr>
        <w:t xml:space="preserve"> geometric mean for bosentan in patients who </w:t>
      </w:r>
      <w:r>
        <w:rPr>
          <w:lang w:eastAsia="ja-JP"/>
        </w:rPr>
        <w:t xml:space="preserve">were dosed </w:t>
      </w:r>
      <w:r w:rsidR="007C6D8D">
        <w:rPr>
          <w:lang w:eastAsia="ja-JP"/>
        </w:rPr>
        <w:t>TDS</w:t>
      </w:r>
      <w:r>
        <w:rPr>
          <w:lang w:eastAsia="ja-JP"/>
        </w:rPr>
        <w:t xml:space="preserve"> (527.9 ng/mL) </w:t>
      </w:r>
      <w:r w:rsidRPr="0027705D">
        <w:rPr>
          <w:lang w:eastAsia="ja-JP"/>
        </w:rPr>
        <w:t>was lower than for patients who wer</w:t>
      </w:r>
      <w:r>
        <w:rPr>
          <w:lang w:eastAsia="ja-JP"/>
        </w:rPr>
        <w:t xml:space="preserve">e dosed </w:t>
      </w:r>
      <w:r w:rsidR="007C6D8D">
        <w:rPr>
          <w:lang w:eastAsia="ja-JP"/>
        </w:rPr>
        <w:t>BD</w:t>
      </w:r>
      <w:r w:rsidRPr="0027705D">
        <w:rPr>
          <w:lang w:eastAsia="ja-JP"/>
        </w:rPr>
        <w:t xml:space="preserve"> (742.8 ng/mL</w:t>
      </w:r>
      <w:r>
        <w:rPr>
          <w:lang w:eastAsia="ja-JP"/>
        </w:rPr>
        <w:t>) (</w:t>
      </w:r>
      <w:r w:rsidR="005F754D">
        <w:rPr>
          <w:lang w:eastAsia="ja-JP"/>
        </w:rPr>
        <w:t>Table 14</w:t>
      </w:r>
      <w:r>
        <w:rPr>
          <w:lang w:eastAsia="ja-JP"/>
        </w:rPr>
        <w:t xml:space="preserve">). With the </w:t>
      </w:r>
      <w:r w:rsidR="007C6D8D">
        <w:rPr>
          <w:lang w:eastAsia="ja-JP"/>
        </w:rPr>
        <w:t>TDS</w:t>
      </w:r>
      <w:r w:rsidRPr="0027705D">
        <w:rPr>
          <w:lang w:eastAsia="ja-JP"/>
        </w:rPr>
        <w:t xml:space="preserve"> dosing regimen, the bosentan C</w:t>
      </w:r>
      <w:r w:rsidRPr="003C4CD6">
        <w:rPr>
          <w:vertAlign w:val="subscript"/>
          <w:lang w:eastAsia="ja-JP"/>
        </w:rPr>
        <w:t>maxC</w:t>
      </w:r>
      <w:r>
        <w:rPr>
          <w:lang w:eastAsia="ja-JP"/>
        </w:rPr>
        <w:t xml:space="preserve"> was 29% lower </w:t>
      </w:r>
      <w:r w:rsidRPr="0027705D">
        <w:rPr>
          <w:lang w:eastAsia="ja-JP"/>
        </w:rPr>
        <w:t>compared to that with the</w:t>
      </w:r>
      <w:r>
        <w:rPr>
          <w:lang w:eastAsia="ja-JP"/>
        </w:rPr>
        <w:t xml:space="preserve"> </w:t>
      </w:r>
      <w:r w:rsidR="007C6D8D">
        <w:rPr>
          <w:lang w:eastAsia="ja-JP"/>
        </w:rPr>
        <w:t>BD</w:t>
      </w:r>
      <w:r w:rsidRPr="0027705D">
        <w:rPr>
          <w:lang w:eastAsia="ja-JP"/>
        </w:rPr>
        <w:t xml:space="preserve"> dosing regimen</w:t>
      </w:r>
      <w:r>
        <w:rPr>
          <w:lang w:eastAsia="ja-JP"/>
        </w:rPr>
        <w:t xml:space="preserve">. The effect of the </w:t>
      </w:r>
      <w:r w:rsidRPr="0027705D">
        <w:rPr>
          <w:lang w:eastAsia="ja-JP"/>
        </w:rPr>
        <w:t>dosing regimen on C</w:t>
      </w:r>
      <w:r w:rsidRPr="003C4CD6">
        <w:rPr>
          <w:vertAlign w:val="subscript"/>
          <w:lang w:eastAsia="ja-JP"/>
        </w:rPr>
        <w:t>maxC</w:t>
      </w:r>
      <w:r w:rsidRPr="0027705D">
        <w:rPr>
          <w:lang w:eastAsia="ja-JP"/>
        </w:rPr>
        <w:t xml:space="preserve"> was assessed by analysis of th</w:t>
      </w:r>
      <w:r>
        <w:rPr>
          <w:lang w:eastAsia="ja-JP"/>
        </w:rPr>
        <w:t xml:space="preserve">e geometric means ratio and its </w:t>
      </w:r>
      <w:r w:rsidRPr="0027705D">
        <w:rPr>
          <w:lang w:eastAsia="ja-JP"/>
        </w:rPr>
        <w:t>95% CI (0.71 [95% CI: 0.48, 1.05</w:t>
      </w:r>
      <w:r w:rsidRPr="005F754D">
        <w:rPr>
          <w:lang w:eastAsia="ja-JP"/>
        </w:rPr>
        <w:t>]) (</w:t>
      </w:r>
      <w:r w:rsidR="005F754D" w:rsidRPr="005F754D">
        <w:rPr>
          <w:lang w:eastAsia="ja-JP"/>
        </w:rPr>
        <w:t>Table 4</w:t>
      </w:r>
      <w:r w:rsidRPr="005F754D">
        <w:rPr>
          <w:lang w:eastAsia="ja-JP"/>
        </w:rPr>
        <w:t>). The</w:t>
      </w:r>
      <w:r w:rsidRPr="0027705D">
        <w:rPr>
          <w:lang w:eastAsia="ja-JP"/>
        </w:rPr>
        <w:t xml:space="preserve"> 95% CI showed high variability. </w:t>
      </w:r>
      <w:r>
        <w:rPr>
          <w:lang w:eastAsia="ja-JP"/>
        </w:rPr>
        <w:t xml:space="preserve">The </w:t>
      </w:r>
      <w:r w:rsidR="007C6D8D">
        <w:rPr>
          <w:lang w:eastAsia="ja-JP"/>
        </w:rPr>
        <w:t>sponsor</w:t>
      </w:r>
      <w:r>
        <w:rPr>
          <w:lang w:eastAsia="ja-JP"/>
        </w:rPr>
        <w:t xml:space="preserve"> states that the </w:t>
      </w:r>
      <w:r w:rsidRPr="0027705D">
        <w:rPr>
          <w:lang w:eastAsia="ja-JP"/>
        </w:rPr>
        <w:t>C</w:t>
      </w:r>
      <w:r w:rsidRPr="0027705D">
        <w:rPr>
          <w:vertAlign w:val="subscript"/>
          <w:lang w:eastAsia="ja-JP"/>
        </w:rPr>
        <w:t>maxC</w:t>
      </w:r>
      <w:r w:rsidRPr="0027705D">
        <w:rPr>
          <w:lang w:eastAsia="ja-JP"/>
        </w:rPr>
        <w:t xml:space="preserve"> </w:t>
      </w:r>
      <w:r>
        <w:rPr>
          <w:lang w:eastAsia="ja-JP"/>
        </w:rPr>
        <w:t xml:space="preserve">for both dosing regimens were comparable as </w:t>
      </w:r>
      <w:r w:rsidRPr="0027705D">
        <w:rPr>
          <w:lang w:eastAsia="ja-JP"/>
        </w:rPr>
        <w:t>the 95% CI included 1.00</w:t>
      </w:r>
      <w:r>
        <w:rPr>
          <w:lang w:eastAsia="ja-JP"/>
        </w:rPr>
        <w:t>.</w:t>
      </w:r>
    </w:p>
    <w:p w14:paraId="4FF25A62" w14:textId="77777777" w:rsidR="00E05703" w:rsidRPr="00B835BA" w:rsidRDefault="00E05703" w:rsidP="00E05703">
      <w:pPr>
        <w:rPr>
          <w:lang w:eastAsia="ja-JP"/>
        </w:rPr>
      </w:pPr>
      <w:r w:rsidRPr="00B835BA">
        <w:rPr>
          <w:lang w:eastAsia="ja-JP"/>
        </w:rPr>
        <w:t>The exposure to the three bosentan metabolites was lower compared to bosentan exposure.</w:t>
      </w:r>
      <w:r>
        <w:rPr>
          <w:lang w:eastAsia="ja-JP"/>
        </w:rPr>
        <w:t xml:space="preserve"> </w:t>
      </w:r>
      <w:r w:rsidR="00E77015">
        <w:rPr>
          <w:lang w:eastAsia="ja-JP"/>
        </w:rPr>
        <w:t>Ro </w:t>
      </w:r>
      <w:r w:rsidRPr="00B835BA">
        <w:rPr>
          <w:lang w:eastAsia="ja-JP"/>
        </w:rPr>
        <w:t>48-5033 was the metabolite predominantly detected</w:t>
      </w:r>
      <w:r>
        <w:rPr>
          <w:lang w:eastAsia="ja-JP"/>
        </w:rPr>
        <w:t xml:space="preserve">. For </w:t>
      </w:r>
      <w:r w:rsidR="00E77015">
        <w:rPr>
          <w:lang w:eastAsia="ja-JP"/>
        </w:rPr>
        <w:t>Ro 48-5033, Ro 64-1056, and Ro </w:t>
      </w:r>
      <w:r w:rsidRPr="00B835BA">
        <w:rPr>
          <w:lang w:eastAsia="ja-JP"/>
        </w:rPr>
        <w:t xml:space="preserve">47-8634, peak concentrations were attained at </w:t>
      </w:r>
      <w:r w:rsidR="00A5161C">
        <w:rPr>
          <w:lang w:eastAsia="ja-JP"/>
        </w:rPr>
        <w:t>3 hours</w:t>
      </w:r>
      <w:r>
        <w:rPr>
          <w:lang w:eastAsia="ja-JP"/>
        </w:rPr>
        <w:t xml:space="preserve"> for the </w:t>
      </w:r>
      <w:r w:rsidR="007C6D8D">
        <w:rPr>
          <w:lang w:eastAsia="ja-JP"/>
        </w:rPr>
        <w:t>BD</w:t>
      </w:r>
      <w:r w:rsidRPr="00B835BA">
        <w:rPr>
          <w:lang w:eastAsia="ja-JP"/>
        </w:rPr>
        <w:t xml:space="preserve"> dosing regimen, and at </w:t>
      </w:r>
      <w:r w:rsidR="00A5161C">
        <w:rPr>
          <w:lang w:eastAsia="ja-JP"/>
        </w:rPr>
        <w:t>3 hours</w:t>
      </w:r>
      <w:r w:rsidRPr="00B835BA">
        <w:rPr>
          <w:lang w:eastAsia="ja-JP"/>
        </w:rPr>
        <w:t xml:space="preserve">, </w:t>
      </w:r>
      <w:r w:rsidR="00A5161C">
        <w:rPr>
          <w:lang w:eastAsia="ja-JP"/>
        </w:rPr>
        <w:t>5 hours</w:t>
      </w:r>
      <w:r w:rsidRPr="00B835BA">
        <w:rPr>
          <w:lang w:eastAsia="ja-JP"/>
        </w:rPr>
        <w:t xml:space="preserve">, and </w:t>
      </w:r>
      <w:r w:rsidR="00A5161C">
        <w:rPr>
          <w:lang w:eastAsia="ja-JP"/>
        </w:rPr>
        <w:t>3 hours</w:t>
      </w:r>
      <w:r w:rsidRPr="00B835BA">
        <w:rPr>
          <w:lang w:eastAsia="ja-JP"/>
        </w:rPr>
        <w:t>, respectively, for the</w:t>
      </w:r>
      <w:r>
        <w:rPr>
          <w:lang w:eastAsia="ja-JP"/>
        </w:rPr>
        <w:t xml:space="preserve"> </w:t>
      </w:r>
      <w:r w:rsidR="007C6D8D">
        <w:rPr>
          <w:lang w:eastAsia="ja-JP"/>
        </w:rPr>
        <w:t>TDS</w:t>
      </w:r>
      <w:r w:rsidRPr="00B835BA">
        <w:rPr>
          <w:lang w:eastAsia="ja-JP"/>
        </w:rPr>
        <w:t xml:space="preserve"> dosing regimen</w:t>
      </w:r>
      <w:r>
        <w:rPr>
          <w:lang w:eastAsia="ja-JP"/>
        </w:rPr>
        <w:t xml:space="preserve">. </w:t>
      </w:r>
      <w:r w:rsidRPr="00B835BA">
        <w:rPr>
          <w:lang w:eastAsia="ja-JP"/>
        </w:rPr>
        <w:t>C</w:t>
      </w:r>
      <w:r w:rsidRPr="00EB1096">
        <w:rPr>
          <w:vertAlign w:val="subscript"/>
          <w:lang w:eastAsia="ja-JP"/>
        </w:rPr>
        <w:t>maxC</w:t>
      </w:r>
      <w:r w:rsidRPr="00B835BA">
        <w:rPr>
          <w:lang w:eastAsia="ja-JP"/>
        </w:rPr>
        <w:t xml:space="preserve"> and AUC</w:t>
      </w:r>
      <w:r w:rsidRPr="00EB1096">
        <w:rPr>
          <w:vertAlign w:val="subscript"/>
          <w:lang w:eastAsia="ja-JP"/>
        </w:rPr>
        <w:t>0-24C</w:t>
      </w:r>
      <w:r w:rsidRPr="00B835BA">
        <w:rPr>
          <w:lang w:eastAsia="ja-JP"/>
        </w:rPr>
        <w:t xml:space="preserve"> for the three metabolites</w:t>
      </w:r>
      <w:r>
        <w:rPr>
          <w:lang w:eastAsia="ja-JP"/>
        </w:rPr>
        <w:t xml:space="preserve"> </w:t>
      </w:r>
      <w:r w:rsidRPr="00B835BA">
        <w:rPr>
          <w:lang w:eastAsia="ja-JP"/>
        </w:rPr>
        <w:t xml:space="preserve">were lower with the </w:t>
      </w:r>
      <w:r w:rsidR="007C6D8D">
        <w:rPr>
          <w:lang w:eastAsia="ja-JP"/>
        </w:rPr>
        <w:t>TDS</w:t>
      </w:r>
      <w:r w:rsidRPr="00B835BA">
        <w:rPr>
          <w:lang w:eastAsia="ja-JP"/>
        </w:rPr>
        <w:t xml:space="preserve"> than with</w:t>
      </w:r>
      <w:r>
        <w:rPr>
          <w:lang w:eastAsia="ja-JP"/>
        </w:rPr>
        <w:t xml:space="preserve"> </w:t>
      </w:r>
      <w:r w:rsidRPr="00B835BA">
        <w:rPr>
          <w:lang w:eastAsia="ja-JP"/>
        </w:rPr>
        <w:t xml:space="preserve">the </w:t>
      </w:r>
      <w:r w:rsidR="007C6D8D">
        <w:rPr>
          <w:lang w:eastAsia="ja-JP"/>
        </w:rPr>
        <w:t>BD</w:t>
      </w:r>
      <w:r w:rsidRPr="00B835BA">
        <w:rPr>
          <w:lang w:eastAsia="ja-JP"/>
        </w:rPr>
        <w:t xml:space="preserve"> dosing </w:t>
      </w:r>
      <w:r w:rsidRPr="005F754D">
        <w:rPr>
          <w:lang w:eastAsia="ja-JP"/>
        </w:rPr>
        <w:t>regimen (</w:t>
      </w:r>
      <w:r w:rsidR="005F754D" w:rsidRPr="005F754D">
        <w:rPr>
          <w:lang w:eastAsia="ja-JP"/>
        </w:rPr>
        <w:t>Table 14</w:t>
      </w:r>
      <w:r w:rsidRPr="005F754D">
        <w:rPr>
          <w:lang w:eastAsia="ja-JP"/>
        </w:rPr>
        <w:t>). The</w:t>
      </w:r>
      <w:r>
        <w:rPr>
          <w:lang w:eastAsia="ja-JP"/>
        </w:rPr>
        <w:t xml:space="preserve"> 95% </w:t>
      </w:r>
      <w:r w:rsidRPr="00A960EF">
        <w:rPr>
          <w:lang w:eastAsia="ja-JP"/>
        </w:rPr>
        <w:t>C</w:t>
      </w:r>
      <w:r>
        <w:rPr>
          <w:lang w:eastAsia="ja-JP"/>
        </w:rPr>
        <w:t>I of geometric mean ratios (</w:t>
      </w:r>
      <w:r w:rsidR="007C6D8D">
        <w:rPr>
          <w:lang w:eastAsia="ja-JP"/>
        </w:rPr>
        <w:t>TDS</w:t>
      </w:r>
      <w:r>
        <w:rPr>
          <w:lang w:eastAsia="ja-JP"/>
        </w:rPr>
        <w:t xml:space="preserve"> </w:t>
      </w:r>
      <w:r w:rsidR="00E77015">
        <w:rPr>
          <w:lang w:eastAsia="ja-JP"/>
        </w:rPr>
        <w:t>versus</w:t>
      </w:r>
      <w:r>
        <w:rPr>
          <w:lang w:eastAsia="ja-JP"/>
        </w:rPr>
        <w:t xml:space="preserve"> </w:t>
      </w:r>
      <w:r w:rsidR="007C6D8D">
        <w:rPr>
          <w:lang w:eastAsia="ja-JP"/>
        </w:rPr>
        <w:t>BD</w:t>
      </w:r>
      <w:r w:rsidRPr="00A960EF">
        <w:rPr>
          <w:lang w:eastAsia="ja-JP"/>
        </w:rPr>
        <w:t>), for C</w:t>
      </w:r>
      <w:r w:rsidRPr="00A960EF">
        <w:rPr>
          <w:vertAlign w:val="subscript"/>
          <w:lang w:eastAsia="ja-JP"/>
        </w:rPr>
        <w:t>maxC</w:t>
      </w:r>
      <w:r w:rsidRPr="00A960EF">
        <w:rPr>
          <w:lang w:eastAsia="ja-JP"/>
        </w:rPr>
        <w:t xml:space="preserve"> </w:t>
      </w:r>
      <w:r>
        <w:rPr>
          <w:lang w:eastAsia="ja-JP"/>
        </w:rPr>
        <w:t>were</w:t>
      </w:r>
      <w:r w:rsidRPr="00A960EF">
        <w:rPr>
          <w:lang w:eastAsia="ja-JP"/>
        </w:rPr>
        <w:t xml:space="preserve"> 0.85 (0.60, 1.21), 0.69 (0.46, 1.01), and</w:t>
      </w:r>
      <w:r>
        <w:rPr>
          <w:lang w:eastAsia="ja-JP"/>
        </w:rPr>
        <w:t xml:space="preserve"> </w:t>
      </w:r>
      <w:r w:rsidRPr="00A960EF">
        <w:rPr>
          <w:lang w:eastAsia="ja-JP"/>
        </w:rPr>
        <w:t xml:space="preserve">0.72 (0.51, 1.02), </w:t>
      </w:r>
      <w:r>
        <w:rPr>
          <w:lang w:eastAsia="ja-JP"/>
        </w:rPr>
        <w:t xml:space="preserve">for </w:t>
      </w:r>
      <w:r w:rsidRPr="00B835BA">
        <w:rPr>
          <w:lang w:eastAsia="ja-JP"/>
        </w:rPr>
        <w:t>Ro 47-8634</w:t>
      </w:r>
      <w:r>
        <w:rPr>
          <w:lang w:eastAsia="ja-JP"/>
        </w:rPr>
        <w:t xml:space="preserve">, </w:t>
      </w:r>
      <w:r w:rsidRPr="00B835BA">
        <w:rPr>
          <w:lang w:eastAsia="ja-JP"/>
        </w:rPr>
        <w:t>Ro 48-5033, and Ro 64-1056</w:t>
      </w:r>
      <w:r>
        <w:rPr>
          <w:lang w:eastAsia="ja-JP"/>
        </w:rPr>
        <w:t xml:space="preserve"> respectively.</w:t>
      </w:r>
      <w:r w:rsidRPr="00A960EF">
        <w:rPr>
          <w:lang w:eastAsia="ja-JP"/>
        </w:rPr>
        <w:t xml:space="preserve"> </w:t>
      </w:r>
      <w:r>
        <w:rPr>
          <w:lang w:eastAsia="ja-JP"/>
        </w:rPr>
        <w:t xml:space="preserve">The 95% </w:t>
      </w:r>
      <w:r w:rsidRPr="00A960EF">
        <w:rPr>
          <w:lang w:eastAsia="ja-JP"/>
        </w:rPr>
        <w:t>CI of geomet</w:t>
      </w:r>
      <w:r>
        <w:rPr>
          <w:lang w:eastAsia="ja-JP"/>
        </w:rPr>
        <w:t>ric mean ratios (</w:t>
      </w:r>
      <w:r w:rsidR="007C6D8D">
        <w:rPr>
          <w:lang w:eastAsia="ja-JP"/>
        </w:rPr>
        <w:t>TDS</w:t>
      </w:r>
      <w:r>
        <w:rPr>
          <w:lang w:eastAsia="ja-JP"/>
        </w:rPr>
        <w:t xml:space="preserve"> </w:t>
      </w:r>
      <w:r w:rsidR="00E77015">
        <w:rPr>
          <w:lang w:eastAsia="ja-JP"/>
        </w:rPr>
        <w:t>versus</w:t>
      </w:r>
      <w:r>
        <w:rPr>
          <w:lang w:eastAsia="ja-JP"/>
        </w:rPr>
        <w:t xml:space="preserve"> </w:t>
      </w:r>
      <w:r w:rsidR="007C6D8D">
        <w:rPr>
          <w:lang w:eastAsia="ja-JP"/>
        </w:rPr>
        <w:t>BD</w:t>
      </w:r>
      <w:r w:rsidRPr="00A960EF">
        <w:rPr>
          <w:lang w:eastAsia="ja-JP"/>
        </w:rPr>
        <w:t>), for AUC</w:t>
      </w:r>
      <w:r w:rsidRPr="00A960EF">
        <w:rPr>
          <w:vertAlign w:val="subscript"/>
          <w:lang w:eastAsia="ja-JP"/>
        </w:rPr>
        <w:t>0-24C</w:t>
      </w:r>
      <w:r w:rsidRPr="00A960EF">
        <w:rPr>
          <w:lang w:eastAsia="ja-JP"/>
        </w:rPr>
        <w:t xml:space="preserve"> </w:t>
      </w:r>
      <w:r>
        <w:rPr>
          <w:lang w:eastAsia="ja-JP"/>
        </w:rPr>
        <w:t>were</w:t>
      </w:r>
      <w:r w:rsidRPr="00A960EF">
        <w:rPr>
          <w:lang w:eastAsia="ja-JP"/>
        </w:rPr>
        <w:t xml:space="preserve"> 0.86 (</w:t>
      </w:r>
      <w:r>
        <w:rPr>
          <w:lang w:eastAsia="ja-JP"/>
        </w:rPr>
        <w:t xml:space="preserve">0.57, 1.30), 0.72 (0.50, 1.03), </w:t>
      </w:r>
      <w:r w:rsidRPr="00A960EF">
        <w:rPr>
          <w:lang w:eastAsia="ja-JP"/>
        </w:rPr>
        <w:t>and</w:t>
      </w:r>
      <w:r>
        <w:rPr>
          <w:lang w:eastAsia="ja-JP"/>
        </w:rPr>
        <w:t xml:space="preserve"> 0.71 (0.50, 1.00) for </w:t>
      </w:r>
      <w:r w:rsidRPr="00B835BA">
        <w:rPr>
          <w:lang w:eastAsia="ja-JP"/>
        </w:rPr>
        <w:t>Ro 47-8634</w:t>
      </w:r>
      <w:r>
        <w:rPr>
          <w:lang w:eastAsia="ja-JP"/>
        </w:rPr>
        <w:t xml:space="preserve">, </w:t>
      </w:r>
      <w:r w:rsidRPr="00B835BA">
        <w:rPr>
          <w:lang w:eastAsia="ja-JP"/>
        </w:rPr>
        <w:t>Ro 48-5033, and Ro 64-1056</w:t>
      </w:r>
      <w:r>
        <w:rPr>
          <w:lang w:eastAsia="ja-JP"/>
        </w:rPr>
        <w:t xml:space="preserve"> respectively. The </w:t>
      </w:r>
      <w:r w:rsidR="007C6D8D">
        <w:rPr>
          <w:lang w:eastAsia="ja-JP"/>
        </w:rPr>
        <w:t>sponsor</w:t>
      </w:r>
      <w:r>
        <w:rPr>
          <w:lang w:eastAsia="ja-JP"/>
        </w:rPr>
        <w:t xml:space="preserve"> states that the </w:t>
      </w:r>
      <w:r w:rsidRPr="00B835BA">
        <w:rPr>
          <w:lang w:eastAsia="ja-JP"/>
        </w:rPr>
        <w:t>95%</w:t>
      </w:r>
      <w:r>
        <w:rPr>
          <w:lang w:eastAsia="ja-JP"/>
        </w:rPr>
        <w:t xml:space="preserve"> </w:t>
      </w:r>
      <w:r w:rsidRPr="00B835BA">
        <w:rPr>
          <w:lang w:eastAsia="ja-JP"/>
        </w:rPr>
        <w:t>CI of geometric mean ratios for C</w:t>
      </w:r>
      <w:r w:rsidRPr="00A960EF">
        <w:rPr>
          <w:vertAlign w:val="subscript"/>
          <w:lang w:eastAsia="ja-JP"/>
        </w:rPr>
        <w:t>maxC</w:t>
      </w:r>
      <w:r w:rsidRPr="00B835BA">
        <w:rPr>
          <w:lang w:eastAsia="ja-JP"/>
        </w:rPr>
        <w:t xml:space="preserve"> and AUC</w:t>
      </w:r>
      <w:r w:rsidRPr="00A960EF">
        <w:rPr>
          <w:vertAlign w:val="subscript"/>
          <w:lang w:eastAsia="ja-JP"/>
        </w:rPr>
        <w:t>0-24C</w:t>
      </w:r>
      <w:r w:rsidRPr="00B835BA">
        <w:rPr>
          <w:lang w:eastAsia="ja-JP"/>
        </w:rPr>
        <w:t>, always included 1.00, indicating similarity</w:t>
      </w:r>
      <w:r>
        <w:rPr>
          <w:lang w:eastAsia="ja-JP"/>
        </w:rPr>
        <w:t xml:space="preserve"> between the two regimens.</w:t>
      </w:r>
    </w:p>
    <w:p w14:paraId="1F8249E7" w14:textId="77777777" w:rsidR="007C6D8D" w:rsidRDefault="00E05703" w:rsidP="00E05703">
      <w:pPr>
        <w:rPr>
          <w:lang w:eastAsia="ja-JP"/>
        </w:rPr>
      </w:pPr>
      <w:r w:rsidRPr="00B835BA">
        <w:rPr>
          <w:lang w:eastAsia="ja-JP"/>
        </w:rPr>
        <w:t>The comparison of the metabolite to parent geometri</w:t>
      </w:r>
      <w:r>
        <w:rPr>
          <w:lang w:eastAsia="ja-JP"/>
        </w:rPr>
        <w:t xml:space="preserve">c mean ratios between the </w:t>
      </w:r>
      <w:r w:rsidR="007C6D8D">
        <w:rPr>
          <w:lang w:eastAsia="ja-JP"/>
        </w:rPr>
        <w:t>TDS</w:t>
      </w:r>
      <w:r w:rsidRPr="00B835BA">
        <w:rPr>
          <w:lang w:eastAsia="ja-JP"/>
        </w:rPr>
        <w:t xml:space="preserve"> dosing</w:t>
      </w:r>
      <w:r>
        <w:rPr>
          <w:lang w:eastAsia="ja-JP"/>
        </w:rPr>
        <w:t xml:space="preserve"> </w:t>
      </w:r>
      <w:r w:rsidRPr="00B835BA">
        <w:rPr>
          <w:lang w:eastAsia="ja-JP"/>
        </w:rPr>
        <w:t>regimen (0.025, 0.134, and 0.101 for Ro 47-86</w:t>
      </w:r>
      <w:r>
        <w:rPr>
          <w:lang w:eastAsia="ja-JP"/>
        </w:rPr>
        <w:t xml:space="preserve">34, Ro 48-5033, and Ro 64-1056, respectively) and </w:t>
      </w:r>
      <w:r w:rsidR="007C6D8D">
        <w:rPr>
          <w:lang w:eastAsia="ja-JP"/>
        </w:rPr>
        <w:t>BD</w:t>
      </w:r>
      <w:r w:rsidRPr="00B835BA">
        <w:rPr>
          <w:lang w:eastAsia="ja-JP"/>
        </w:rPr>
        <w:t xml:space="preserve"> dosing regimen (0.025, 0.159, and</w:t>
      </w:r>
      <w:r>
        <w:rPr>
          <w:lang w:eastAsia="ja-JP"/>
        </w:rPr>
        <w:t xml:space="preserve"> 0.122, respectively) indicated </w:t>
      </w:r>
      <w:r w:rsidRPr="00B835BA">
        <w:rPr>
          <w:lang w:eastAsia="ja-JP"/>
        </w:rPr>
        <w:t>that the dosing regimen did not influence the meta</w:t>
      </w:r>
      <w:r>
        <w:rPr>
          <w:lang w:eastAsia="ja-JP"/>
        </w:rPr>
        <w:t xml:space="preserve">bolic pathways or the extent of </w:t>
      </w:r>
      <w:r w:rsidRPr="00B835BA">
        <w:rPr>
          <w:lang w:eastAsia="ja-JP"/>
        </w:rPr>
        <w:t xml:space="preserve">metabolism of bosentan in the overall patient </w:t>
      </w:r>
      <w:r w:rsidRPr="005F754D">
        <w:rPr>
          <w:lang w:eastAsia="ja-JP"/>
        </w:rPr>
        <w:t>population (</w:t>
      </w:r>
      <w:r w:rsidR="005F754D" w:rsidRPr="005F754D">
        <w:rPr>
          <w:lang w:eastAsia="ja-JP"/>
        </w:rPr>
        <w:t>Table</w:t>
      </w:r>
      <w:r w:rsidR="005F754D">
        <w:rPr>
          <w:lang w:eastAsia="ja-JP"/>
        </w:rPr>
        <w:t xml:space="preserve"> 15</w:t>
      </w:r>
      <w:r>
        <w:rPr>
          <w:lang w:eastAsia="ja-JP"/>
        </w:rPr>
        <w:t>)</w:t>
      </w:r>
      <w:r w:rsidR="007C6D8D">
        <w:rPr>
          <w:lang w:eastAsia="ja-JP"/>
        </w:rPr>
        <w:t>.</w:t>
      </w:r>
    </w:p>
    <w:p w14:paraId="6459F6C3" w14:textId="77777777" w:rsidR="00E05703" w:rsidRDefault="00E05703" w:rsidP="00E05703">
      <w:pPr>
        <w:rPr>
          <w:lang w:eastAsia="ja-JP"/>
        </w:rPr>
      </w:pPr>
      <w:r w:rsidRPr="00DA03B1">
        <w:rPr>
          <w:lang w:eastAsia="ja-JP"/>
        </w:rPr>
        <w:t xml:space="preserve">The PK profiles of bosentan in the </w:t>
      </w:r>
      <w:r w:rsidR="007C6D8D">
        <w:rPr>
          <w:lang w:eastAsia="ja-JP"/>
        </w:rPr>
        <w:t>BD</w:t>
      </w:r>
      <w:r>
        <w:rPr>
          <w:lang w:eastAsia="ja-JP"/>
        </w:rPr>
        <w:t xml:space="preserve"> and </w:t>
      </w:r>
      <w:r w:rsidR="007C6D8D">
        <w:rPr>
          <w:lang w:eastAsia="ja-JP"/>
        </w:rPr>
        <w:t>TDS</w:t>
      </w:r>
      <w:r w:rsidRPr="00DA03B1">
        <w:rPr>
          <w:lang w:eastAsia="ja-JP"/>
        </w:rPr>
        <w:t xml:space="preserve"> dosing regimens by age </w:t>
      </w:r>
      <w:r w:rsidRPr="008806DA">
        <w:rPr>
          <w:lang w:eastAsia="ja-JP"/>
        </w:rPr>
        <w:t>group (</w:t>
      </w:r>
      <w:r w:rsidR="008806DA">
        <w:rPr>
          <w:lang w:eastAsia="ja-JP"/>
        </w:rPr>
        <w:t>Figure 5</w:t>
      </w:r>
      <w:r>
        <w:rPr>
          <w:lang w:eastAsia="ja-JP"/>
        </w:rPr>
        <w:t xml:space="preserve">) </w:t>
      </w:r>
      <w:r w:rsidRPr="00DA03B1">
        <w:rPr>
          <w:lang w:eastAsia="ja-JP"/>
        </w:rPr>
        <w:t>were similar to those for the overall population. The 95% CI of geometric mean of</w:t>
      </w:r>
      <w:r>
        <w:rPr>
          <w:lang w:eastAsia="ja-JP"/>
        </w:rPr>
        <w:t xml:space="preserve"> </w:t>
      </w:r>
      <w:r w:rsidRPr="00DA03B1">
        <w:rPr>
          <w:lang w:eastAsia="ja-JP"/>
        </w:rPr>
        <w:t>AUC</w:t>
      </w:r>
      <w:r w:rsidRPr="00DA03B1">
        <w:rPr>
          <w:vertAlign w:val="subscript"/>
          <w:lang w:eastAsia="ja-JP"/>
        </w:rPr>
        <w:t>0-24C</w:t>
      </w:r>
      <w:r w:rsidRPr="00DA03B1">
        <w:rPr>
          <w:lang w:eastAsia="ja-JP"/>
        </w:rPr>
        <w:t xml:space="preserve"> and C</w:t>
      </w:r>
      <w:r w:rsidRPr="00DA03B1">
        <w:rPr>
          <w:vertAlign w:val="subscript"/>
          <w:lang w:eastAsia="ja-JP"/>
        </w:rPr>
        <w:t>maxC</w:t>
      </w:r>
      <w:r w:rsidRPr="00DA03B1">
        <w:rPr>
          <w:lang w:eastAsia="ja-JP"/>
        </w:rPr>
        <w:t xml:space="preserve"> largely overlapped for both dosing regimens and both age </w:t>
      </w:r>
      <w:r w:rsidRPr="005F754D">
        <w:rPr>
          <w:lang w:eastAsia="ja-JP"/>
        </w:rPr>
        <w:t>groups (</w:t>
      </w:r>
      <w:r w:rsidR="005F754D" w:rsidRPr="005F754D">
        <w:rPr>
          <w:lang w:eastAsia="ja-JP"/>
        </w:rPr>
        <w:t>Table 16</w:t>
      </w:r>
      <w:r w:rsidRPr="005F754D">
        <w:rPr>
          <w:lang w:eastAsia="ja-JP"/>
        </w:rPr>
        <w:t>). The median</w:t>
      </w:r>
      <w:r w:rsidRPr="006B5E4C">
        <w:rPr>
          <w:lang w:eastAsia="ja-JP"/>
        </w:rPr>
        <w:t xml:space="preserve"> t</w:t>
      </w:r>
      <w:r w:rsidRPr="006B5E4C">
        <w:rPr>
          <w:vertAlign w:val="subscript"/>
          <w:lang w:eastAsia="ja-JP"/>
        </w:rPr>
        <w:t>max</w:t>
      </w:r>
      <w:r w:rsidRPr="006B5E4C">
        <w:rPr>
          <w:lang w:eastAsia="ja-JP"/>
        </w:rPr>
        <w:t xml:space="preserve"> </w:t>
      </w:r>
      <w:r>
        <w:rPr>
          <w:lang w:eastAsia="ja-JP"/>
        </w:rPr>
        <w:t xml:space="preserve">was </w:t>
      </w:r>
      <w:r w:rsidR="00A5161C">
        <w:rPr>
          <w:lang w:eastAsia="ja-JP"/>
        </w:rPr>
        <w:t>3 hours</w:t>
      </w:r>
      <w:r w:rsidRPr="006B5E4C">
        <w:rPr>
          <w:lang w:eastAsia="ja-JP"/>
        </w:rPr>
        <w:t xml:space="preserve"> for </w:t>
      </w:r>
      <w:r w:rsidR="00E77015">
        <w:rPr>
          <w:lang w:eastAsia="ja-JP"/>
        </w:rPr>
        <w:t>patient</w:t>
      </w:r>
      <w:r w:rsidR="00E77015" w:rsidRPr="006B5E4C">
        <w:rPr>
          <w:lang w:eastAsia="ja-JP"/>
        </w:rPr>
        <w:t>s</w:t>
      </w:r>
      <w:r w:rsidRPr="006B5E4C">
        <w:rPr>
          <w:lang w:eastAsia="ja-JP"/>
        </w:rPr>
        <w:t xml:space="preserve"> </w:t>
      </w:r>
      <w:r w:rsidR="007C6D8D">
        <w:rPr>
          <w:lang w:eastAsia="ja-JP"/>
        </w:rPr>
        <w:t>≥</w:t>
      </w:r>
      <w:r w:rsidR="00CF6063">
        <w:rPr>
          <w:lang w:eastAsia="ja-JP"/>
        </w:rPr>
        <w:t xml:space="preserve"> </w:t>
      </w:r>
      <w:r w:rsidRPr="006B5E4C">
        <w:rPr>
          <w:lang w:eastAsia="ja-JP"/>
        </w:rPr>
        <w:t>2 years for both dose regimens. In patients &lt; 2 years, the</w:t>
      </w:r>
      <w:r>
        <w:rPr>
          <w:lang w:eastAsia="ja-JP"/>
        </w:rPr>
        <w:t xml:space="preserve"> </w:t>
      </w:r>
      <w:r w:rsidRPr="006B5E4C">
        <w:rPr>
          <w:lang w:eastAsia="ja-JP"/>
        </w:rPr>
        <w:t>median t</w:t>
      </w:r>
      <w:r w:rsidRPr="006B5E4C">
        <w:rPr>
          <w:vertAlign w:val="subscript"/>
          <w:lang w:eastAsia="ja-JP"/>
        </w:rPr>
        <w:t>max</w:t>
      </w:r>
      <w:r w:rsidRPr="006B5E4C">
        <w:rPr>
          <w:lang w:eastAsia="ja-JP"/>
        </w:rPr>
        <w:t xml:space="preserve"> </w:t>
      </w:r>
      <w:r>
        <w:rPr>
          <w:lang w:eastAsia="ja-JP"/>
        </w:rPr>
        <w:t xml:space="preserve">occurred later on </w:t>
      </w:r>
      <w:r w:rsidR="007C6D8D">
        <w:rPr>
          <w:lang w:eastAsia="ja-JP"/>
        </w:rPr>
        <w:t>TDS</w:t>
      </w:r>
      <w:r>
        <w:rPr>
          <w:lang w:eastAsia="ja-JP"/>
        </w:rPr>
        <w:t xml:space="preserve"> dosing (4 h) than on </w:t>
      </w:r>
      <w:r w:rsidR="007C6D8D">
        <w:rPr>
          <w:lang w:eastAsia="ja-JP"/>
        </w:rPr>
        <w:t>BD</w:t>
      </w:r>
      <w:r w:rsidRPr="006B5E4C">
        <w:rPr>
          <w:lang w:eastAsia="ja-JP"/>
        </w:rPr>
        <w:t xml:space="preserve"> dosing (</w:t>
      </w:r>
      <w:r w:rsidR="00A5161C">
        <w:rPr>
          <w:lang w:eastAsia="ja-JP"/>
        </w:rPr>
        <w:t>3 hours</w:t>
      </w:r>
      <w:r w:rsidRPr="006B5E4C">
        <w:rPr>
          <w:lang w:eastAsia="ja-JP"/>
        </w:rPr>
        <w:t>). This slight</w:t>
      </w:r>
      <w:r>
        <w:rPr>
          <w:lang w:eastAsia="ja-JP"/>
        </w:rPr>
        <w:t xml:space="preserve"> </w:t>
      </w:r>
      <w:r w:rsidRPr="006B5E4C">
        <w:rPr>
          <w:lang w:eastAsia="ja-JP"/>
        </w:rPr>
        <w:t>difference might be driven by two atypical bosentan profiles in patients &lt; 2 years who</w:t>
      </w:r>
      <w:r>
        <w:rPr>
          <w:lang w:eastAsia="ja-JP"/>
        </w:rPr>
        <w:t xml:space="preserve"> were dosed </w:t>
      </w:r>
      <w:r w:rsidR="007C6D8D">
        <w:rPr>
          <w:lang w:eastAsia="ja-JP"/>
        </w:rPr>
        <w:t>TDS</w:t>
      </w:r>
      <w:r w:rsidRPr="006B5E4C">
        <w:rPr>
          <w:lang w:eastAsia="ja-JP"/>
        </w:rPr>
        <w:t>.</w:t>
      </w:r>
    </w:p>
    <w:p w14:paraId="6A5C7A7E" w14:textId="77777777" w:rsidR="00E05703" w:rsidRDefault="00E05703" w:rsidP="00E05703">
      <w:pPr>
        <w:rPr>
          <w:lang w:eastAsia="ja-JP"/>
        </w:rPr>
      </w:pPr>
      <w:r w:rsidRPr="008E5DFC">
        <w:rPr>
          <w:lang w:eastAsia="ja-JP"/>
        </w:rPr>
        <w:t>The point estimates of the geometric mean ratios of AUC</w:t>
      </w:r>
      <w:r w:rsidRPr="003C4CD6">
        <w:rPr>
          <w:vertAlign w:val="subscript"/>
          <w:lang w:eastAsia="ja-JP"/>
        </w:rPr>
        <w:t>0-24C</w:t>
      </w:r>
      <w:r>
        <w:rPr>
          <w:lang w:eastAsia="ja-JP"/>
        </w:rPr>
        <w:t xml:space="preserve"> and C</w:t>
      </w:r>
      <w:r w:rsidRPr="003C4CD6">
        <w:rPr>
          <w:vertAlign w:val="subscript"/>
          <w:lang w:eastAsia="ja-JP"/>
        </w:rPr>
        <w:t>maxC</w:t>
      </w:r>
      <w:r>
        <w:rPr>
          <w:lang w:eastAsia="ja-JP"/>
        </w:rPr>
        <w:t xml:space="preserve"> for bosentan and its </w:t>
      </w:r>
      <w:r w:rsidRPr="008E5DFC">
        <w:rPr>
          <w:lang w:eastAsia="ja-JP"/>
        </w:rPr>
        <w:t>metabolites were comparable across the age groups, and th</w:t>
      </w:r>
      <w:r>
        <w:rPr>
          <w:lang w:eastAsia="ja-JP"/>
        </w:rPr>
        <w:t xml:space="preserve">e systemic exposure to bosentan </w:t>
      </w:r>
      <w:r w:rsidRPr="008E5DFC">
        <w:rPr>
          <w:lang w:eastAsia="ja-JP"/>
        </w:rPr>
        <w:t xml:space="preserve">was also comparable between patients aged &lt; 2 years and those </w:t>
      </w:r>
      <w:r w:rsidR="007C6D8D">
        <w:rPr>
          <w:lang w:eastAsia="ja-JP"/>
        </w:rPr>
        <w:t>≥</w:t>
      </w:r>
      <w:r w:rsidR="00CF6063">
        <w:rPr>
          <w:lang w:eastAsia="ja-JP"/>
        </w:rPr>
        <w:t xml:space="preserve"> </w:t>
      </w:r>
      <w:r>
        <w:rPr>
          <w:lang w:eastAsia="ja-JP"/>
        </w:rPr>
        <w:t xml:space="preserve">2 years, and this was observed for both </w:t>
      </w:r>
      <w:r w:rsidR="007C6D8D">
        <w:rPr>
          <w:lang w:eastAsia="ja-JP"/>
        </w:rPr>
        <w:t>BD</w:t>
      </w:r>
      <w:r>
        <w:rPr>
          <w:lang w:eastAsia="ja-JP"/>
        </w:rPr>
        <w:t xml:space="preserve"> and </w:t>
      </w:r>
      <w:r w:rsidR="007C6D8D">
        <w:rPr>
          <w:lang w:eastAsia="ja-JP"/>
        </w:rPr>
        <w:t>TDS</w:t>
      </w:r>
      <w:r w:rsidRPr="008E5DFC">
        <w:rPr>
          <w:lang w:eastAsia="ja-JP"/>
        </w:rPr>
        <w:t xml:space="preserve"> dosing regimens.</w:t>
      </w:r>
      <w:r>
        <w:rPr>
          <w:lang w:eastAsia="ja-JP"/>
        </w:rPr>
        <w:t xml:space="preserve"> The geometric mean ratio of </w:t>
      </w:r>
      <w:r w:rsidRPr="006B5E4C">
        <w:rPr>
          <w:lang w:eastAsia="ja-JP"/>
        </w:rPr>
        <w:t>AUC</w:t>
      </w:r>
      <w:r w:rsidRPr="006B5E4C">
        <w:rPr>
          <w:vertAlign w:val="subscript"/>
          <w:lang w:eastAsia="ja-JP"/>
        </w:rPr>
        <w:t>0-24C</w:t>
      </w:r>
      <w:r w:rsidRPr="006B5E4C">
        <w:rPr>
          <w:lang w:eastAsia="ja-JP"/>
        </w:rPr>
        <w:t xml:space="preserve"> </w:t>
      </w:r>
      <w:r>
        <w:rPr>
          <w:lang w:eastAsia="ja-JP"/>
        </w:rPr>
        <w:t>(</w:t>
      </w:r>
      <w:r w:rsidR="007C6D8D">
        <w:rPr>
          <w:lang w:eastAsia="ja-JP"/>
        </w:rPr>
        <w:t>TDS</w:t>
      </w:r>
      <w:r>
        <w:rPr>
          <w:lang w:eastAsia="ja-JP"/>
        </w:rPr>
        <w:t xml:space="preserve"> </w:t>
      </w:r>
      <w:r w:rsidR="007C6D8D">
        <w:rPr>
          <w:lang w:eastAsia="ja-JP"/>
        </w:rPr>
        <w:t>versus</w:t>
      </w:r>
      <w:r>
        <w:rPr>
          <w:lang w:eastAsia="ja-JP"/>
        </w:rPr>
        <w:t xml:space="preserve"> </w:t>
      </w:r>
      <w:r w:rsidR="007C6D8D">
        <w:rPr>
          <w:lang w:eastAsia="ja-JP"/>
        </w:rPr>
        <w:t>BD</w:t>
      </w:r>
      <w:r>
        <w:rPr>
          <w:lang w:eastAsia="ja-JP"/>
        </w:rPr>
        <w:t xml:space="preserve"> dosing, PK set) </w:t>
      </w:r>
      <w:r w:rsidRPr="006B5E4C">
        <w:rPr>
          <w:lang w:eastAsia="ja-JP"/>
        </w:rPr>
        <w:t xml:space="preserve">by age group </w:t>
      </w:r>
      <w:r>
        <w:rPr>
          <w:lang w:eastAsia="ja-JP"/>
        </w:rPr>
        <w:t xml:space="preserve">was </w:t>
      </w:r>
      <w:r w:rsidRPr="006B5E4C">
        <w:rPr>
          <w:lang w:eastAsia="ja-JP"/>
        </w:rPr>
        <w:t xml:space="preserve">0.86 [95% CI: 0.43, 1.72] </w:t>
      </w:r>
      <w:r>
        <w:rPr>
          <w:lang w:eastAsia="ja-JP"/>
        </w:rPr>
        <w:t xml:space="preserve">for patients </w:t>
      </w:r>
      <w:r w:rsidRPr="006B5E4C">
        <w:rPr>
          <w:lang w:eastAsia="ja-JP"/>
        </w:rPr>
        <w:t xml:space="preserve">&lt; 2 years and </w:t>
      </w:r>
      <w:r w:rsidRPr="006B5E4C">
        <w:rPr>
          <w:lang w:eastAsia="ja-JP"/>
        </w:rPr>
        <w:lastRenderedPageBreak/>
        <w:t>0.85 [95% CI: 0.57,1.28</w:t>
      </w:r>
      <w:r>
        <w:rPr>
          <w:lang w:eastAsia="ja-JP"/>
        </w:rPr>
        <w:t xml:space="preserve">] </w:t>
      </w:r>
      <w:r w:rsidRPr="006B5E4C">
        <w:rPr>
          <w:lang w:eastAsia="ja-JP"/>
        </w:rPr>
        <w:t xml:space="preserve">for patients </w:t>
      </w:r>
      <w:r w:rsidR="007C6D8D">
        <w:rPr>
          <w:lang w:eastAsia="ja-JP"/>
        </w:rPr>
        <w:t>≥</w:t>
      </w:r>
      <w:r w:rsidR="00CF6063">
        <w:rPr>
          <w:lang w:eastAsia="ja-JP"/>
        </w:rPr>
        <w:t xml:space="preserve"> </w:t>
      </w:r>
      <w:r>
        <w:rPr>
          <w:lang w:eastAsia="ja-JP"/>
        </w:rPr>
        <w:t>2 years</w:t>
      </w:r>
      <w:r w:rsidRPr="006B5E4C">
        <w:rPr>
          <w:lang w:eastAsia="ja-JP"/>
        </w:rPr>
        <w:t>. The point estimates were almost identical in</w:t>
      </w:r>
      <w:r>
        <w:rPr>
          <w:lang w:eastAsia="ja-JP"/>
        </w:rPr>
        <w:t xml:space="preserve"> </w:t>
      </w:r>
      <w:r w:rsidRPr="006B5E4C">
        <w:rPr>
          <w:lang w:eastAsia="ja-JP"/>
        </w:rPr>
        <w:t>both age groups. The difference between the ranges of the 95% CI are likely due to the</w:t>
      </w:r>
      <w:r>
        <w:rPr>
          <w:lang w:eastAsia="ja-JP"/>
        </w:rPr>
        <w:t xml:space="preserve"> </w:t>
      </w:r>
      <w:r w:rsidRPr="006B5E4C">
        <w:rPr>
          <w:lang w:eastAsia="ja-JP"/>
        </w:rPr>
        <w:t>imbalance of number of patients in the two age groups (patients &lt; 2 years: n</w:t>
      </w:r>
      <w:r w:rsidR="00E77015">
        <w:rPr>
          <w:lang w:eastAsia="ja-JP"/>
        </w:rPr>
        <w:t xml:space="preserve"> = </w:t>
      </w:r>
      <w:r w:rsidRPr="006B5E4C">
        <w:rPr>
          <w:lang w:eastAsia="ja-JP"/>
        </w:rPr>
        <w:t>20; patients</w:t>
      </w:r>
      <w:r>
        <w:rPr>
          <w:lang w:eastAsia="ja-JP"/>
        </w:rPr>
        <w:t xml:space="preserve"> </w:t>
      </w:r>
      <w:r w:rsidR="007C6D8D">
        <w:rPr>
          <w:lang w:eastAsia="ja-JP"/>
        </w:rPr>
        <w:t>≥</w:t>
      </w:r>
      <w:r w:rsidR="00CF6063">
        <w:rPr>
          <w:lang w:eastAsia="ja-JP"/>
        </w:rPr>
        <w:t xml:space="preserve"> </w:t>
      </w:r>
      <w:r w:rsidRPr="006B5E4C">
        <w:rPr>
          <w:lang w:eastAsia="ja-JP"/>
        </w:rPr>
        <w:t>2 years: n</w:t>
      </w:r>
      <w:r w:rsidR="00E77015">
        <w:rPr>
          <w:lang w:eastAsia="ja-JP"/>
        </w:rPr>
        <w:t xml:space="preserve"> = </w:t>
      </w:r>
      <w:r w:rsidRPr="006B5E4C">
        <w:rPr>
          <w:lang w:eastAsia="ja-JP"/>
        </w:rPr>
        <w:t>43</w:t>
      </w:r>
      <w:r w:rsidRPr="008806DA">
        <w:rPr>
          <w:lang w:eastAsia="ja-JP"/>
        </w:rPr>
        <w:t xml:space="preserve">). </w:t>
      </w:r>
      <w:r w:rsidR="008806DA" w:rsidRPr="008806DA">
        <w:rPr>
          <w:lang w:eastAsia="ja-JP"/>
        </w:rPr>
        <w:t xml:space="preserve">Figure 6 </w:t>
      </w:r>
      <w:r w:rsidRPr="008806DA">
        <w:rPr>
          <w:lang w:eastAsia="ja-JP"/>
        </w:rPr>
        <w:t>presents the PK profiles of bosentan by dosing regimen and by age group (3 months to &lt; 2 years</w:t>
      </w:r>
      <w:r w:rsidRPr="006B5E4C">
        <w:rPr>
          <w:lang w:eastAsia="ja-JP"/>
        </w:rPr>
        <w:t xml:space="preserve"> </w:t>
      </w:r>
      <w:r w:rsidR="00E77015">
        <w:rPr>
          <w:lang w:eastAsia="ja-JP"/>
        </w:rPr>
        <w:t>versus</w:t>
      </w:r>
      <w:r w:rsidRPr="006B5E4C">
        <w:rPr>
          <w:lang w:eastAsia="ja-JP"/>
        </w:rPr>
        <w:t xml:space="preserve"> 2 to &lt; 12 years). The PK profiles </w:t>
      </w:r>
      <w:r>
        <w:rPr>
          <w:lang w:eastAsia="ja-JP"/>
        </w:rPr>
        <w:t>indicate</w:t>
      </w:r>
      <w:r w:rsidRPr="006B5E4C">
        <w:rPr>
          <w:lang w:eastAsia="ja-JP"/>
        </w:rPr>
        <w:t xml:space="preserve"> that age had little or no influence on</w:t>
      </w:r>
      <w:r>
        <w:rPr>
          <w:lang w:eastAsia="ja-JP"/>
        </w:rPr>
        <w:t xml:space="preserve"> bosentan levels</w:t>
      </w:r>
      <w:r w:rsidRPr="006B5E4C">
        <w:rPr>
          <w:lang w:eastAsia="ja-JP"/>
        </w:rPr>
        <w:t>.</w:t>
      </w:r>
    </w:p>
    <w:p w14:paraId="78D423F0" w14:textId="77777777" w:rsidR="00E05703" w:rsidRDefault="00E05703" w:rsidP="00E05703">
      <w:pPr>
        <w:rPr>
          <w:lang w:eastAsia="ja-JP"/>
        </w:rPr>
      </w:pPr>
      <w:r>
        <w:rPr>
          <w:lang w:eastAsia="ja-JP"/>
        </w:rPr>
        <w:t xml:space="preserve">The </w:t>
      </w:r>
      <w:r w:rsidR="007C6D8D">
        <w:rPr>
          <w:lang w:eastAsia="ja-JP"/>
        </w:rPr>
        <w:t>sponsor</w:t>
      </w:r>
      <w:r>
        <w:rPr>
          <w:lang w:eastAsia="ja-JP"/>
        </w:rPr>
        <w:t xml:space="preserve"> concludes that o</w:t>
      </w:r>
      <w:r w:rsidRPr="008E5DFC">
        <w:rPr>
          <w:lang w:eastAsia="ja-JP"/>
        </w:rPr>
        <w:t xml:space="preserve">verall, the </w:t>
      </w:r>
      <w:r w:rsidR="0066478A">
        <w:rPr>
          <w:lang w:eastAsia="ja-JP"/>
        </w:rPr>
        <w:t>study</w:t>
      </w:r>
      <w:r w:rsidRPr="008E5DFC">
        <w:rPr>
          <w:lang w:eastAsia="ja-JP"/>
        </w:rPr>
        <w:t xml:space="preserve"> showed that </w:t>
      </w:r>
      <w:r w:rsidR="007C6D8D">
        <w:rPr>
          <w:lang w:eastAsia="ja-JP"/>
        </w:rPr>
        <w:t>TDS</w:t>
      </w:r>
      <w:r w:rsidRPr="008E5DFC">
        <w:rPr>
          <w:lang w:eastAsia="ja-JP"/>
        </w:rPr>
        <w:t xml:space="preserve"> dosing in the paediatric</w:t>
      </w:r>
      <w:r>
        <w:rPr>
          <w:lang w:eastAsia="ja-JP"/>
        </w:rPr>
        <w:t xml:space="preserve"> PAH population did not </w:t>
      </w:r>
      <w:r w:rsidRPr="008E5DFC">
        <w:rPr>
          <w:lang w:eastAsia="ja-JP"/>
        </w:rPr>
        <w:t>increase the expos</w:t>
      </w:r>
      <w:r>
        <w:rPr>
          <w:lang w:eastAsia="ja-JP"/>
        </w:rPr>
        <w:t xml:space="preserve">ure to bosentan compared to </w:t>
      </w:r>
      <w:r w:rsidR="007C6D8D">
        <w:rPr>
          <w:lang w:eastAsia="ja-JP"/>
        </w:rPr>
        <w:t>BD</w:t>
      </w:r>
      <w:r w:rsidRPr="008E5DFC">
        <w:rPr>
          <w:lang w:eastAsia="ja-JP"/>
        </w:rPr>
        <w:t xml:space="preserve"> dosing.</w:t>
      </w:r>
    </w:p>
    <w:p w14:paraId="7D73AB2A" w14:textId="77777777" w:rsidR="00E05703" w:rsidRPr="000F1977" w:rsidRDefault="00E05703" w:rsidP="000F1977">
      <w:pPr>
        <w:pStyle w:val="Tabletitle"/>
      </w:pPr>
      <w:bookmarkStart w:id="84" w:name="_Ref463951605"/>
      <w:bookmarkStart w:id="85" w:name="_Toc473884058"/>
      <w:r w:rsidRPr="005F754D">
        <w:t xml:space="preserve">Table </w:t>
      </w:r>
      <w:bookmarkEnd w:id="84"/>
      <w:r w:rsidR="005F754D" w:rsidRPr="005F754D">
        <w:t>14:</w:t>
      </w:r>
      <w:r w:rsidRPr="005F754D">
        <w:t xml:space="preserve"> FUTURE</w:t>
      </w:r>
      <w:r w:rsidRPr="000F1977">
        <w:t>-3 Short summary of bosentan, Ro 47-8634</w:t>
      </w:r>
      <w:r w:rsidR="005F754D">
        <w:t>, Ro 48-5033, and Ro 64</w:t>
      </w:r>
      <w:r w:rsidR="005F754D">
        <w:noBreakHyphen/>
      </w:r>
      <w:r w:rsidRPr="000F1977">
        <w:t>1056, PK set</w:t>
      </w:r>
      <w:bookmarkEnd w:id="85"/>
    </w:p>
    <w:p w14:paraId="597A698F" w14:textId="77777777" w:rsidR="00E05703" w:rsidRDefault="000F1977" w:rsidP="00586F98">
      <w:r>
        <w:rPr>
          <w:noProof/>
          <w:lang w:eastAsia="en-AU"/>
        </w:rPr>
        <w:drawing>
          <wp:inline distT="0" distB="0" distL="0" distR="0" wp14:anchorId="5DD068A0" wp14:editId="1F4AA0E9">
            <wp:extent cx="5731510" cy="1494724"/>
            <wp:effectExtent l="0" t="0" r="2540" b="0"/>
            <wp:docPr id="15" name="Picture 15" descr="Table 14: FUTURE-3 Short summary of bosentan, Ro 47-8634, Ro 48-5033, and Ro 64 1056, P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Lst>
                    </a:blip>
                    <a:stretch>
                      <a:fillRect/>
                    </a:stretch>
                  </pic:blipFill>
                  <pic:spPr>
                    <a:xfrm>
                      <a:off x="0" y="0"/>
                      <a:ext cx="5731510" cy="1494724"/>
                    </a:xfrm>
                    <a:prstGeom prst="rect">
                      <a:avLst/>
                    </a:prstGeom>
                  </pic:spPr>
                </pic:pic>
              </a:graphicData>
            </a:graphic>
          </wp:inline>
        </w:drawing>
      </w:r>
    </w:p>
    <w:p w14:paraId="4830842A" w14:textId="40B69A67" w:rsidR="000F1977" w:rsidRDefault="000F1977" w:rsidP="000F1977">
      <w:pPr>
        <w:pStyle w:val="FigureTitle"/>
      </w:pPr>
      <w:bookmarkStart w:id="86" w:name="_Ref463961460"/>
      <w:bookmarkStart w:id="87" w:name="_Toc473884155"/>
      <w:r w:rsidRPr="008806DA">
        <w:t xml:space="preserve">Figure </w:t>
      </w:r>
      <w:bookmarkEnd w:id="86"/>
      <w:r w:rsidR="008806DA" w:rsidRPr="008806DA">
        <w:t>4:</w:t>
      </w:r>
      <w:r w:rsidRPr="008806DA">
        <w:t xml:space="preserve"> </w:t>
      </w:r>
      <w:r w:rsidRPr="008806DA">
        <w:rPr>
          <w:lang w:eastAsia="ja-JP"/>
        </w:rPr>
        <w:t>FUTURE</w:t>
      </w:r>
      <w:r>
        <w:rPr>
          <w:lang w:eastAsia="ja-JP"/>
        </w:rPr>
        <w:t xml:space="preserve">-3 </w:t>
      </w:r>
      <w:r>
        <w:t>Arithmetic mean plasma concentration (±</w:t>
      </w:r>
      <w:r w:rsidR="009E4492">
        <w:t xml:space="preserve"> </w:t>
      </w:r>
      <w:r>
        <w:t xml:space="preserve">SD) </w:t>
      </w:r>
      <w:r w:rsidR="007C6D8D">
        <w:t>versus</w:t>
      </w:r>
      <w:r>
        <w:t xml:space="preserve"> time profiles of bosentan (</w:t>
      </w:r>
      <w:r w:rsidR="007C6D8D">
        <w:t>TDS</w:t>
      </w:r>
      <w:r>
        <w:t xml:space="preserve"> (n</w:t>
      </w:r>
      <w:r w:rsidR="00E77015">
        <w:t xml:space="preserve"> = </w:t>
      </w:r>
      <w:r>
        <w:t xml:space="preserve">27) and </w:t>
      </w:r>
      <w:r w:rsidR="007C6D8D">
        <w:t>BD</w:t>
      </w:r>
      <w:r>
        <w:t xml:space="preserve"> (m</w:t>
      </w:r>
      <w:r w:rsidR="00E77015">
        <w:t xml:space="preserve"> = </w:t>
      </w:r>
      <w:r>
        <w:t>31)) on a linear and semi-logarithmic scale, dose corrected, overall age group at Week 4, PK set</w:t>
      </w:r>
      <w:bookmarkEnd w:id="87"/>
    </w:p>
    <w:p w14:paraId="084B2AB5" w14:textId="77777777" w:rsidR="00E05703" w:rsidRDefault="000F1977" w:rsidP="00586F98">
      <w:r>
        <w:rPr>
          <w:noProof/>
          <w:lang w:eastAsia="en-AU"/>
        </w:rPr>
        <w:drawing>
          <wp:inline distT="0" distB="0" distL="0" distR="0" wp14:anchorId="0D0BDBDF" wp14:editId="1AFEA998">
            <wp:extent cx="5731510" cy="2645925"/>
            <wp:effectExtent l="0" t="0" r="2540" b="2540"/>
            <wp:docPr id="16" name="Picture 16" descr="Figure 4: FUTURE-3 Arithmetic mean plasma concentration (±SD) versus time profiles of bosentan (TDS (n = 27) and BD (m = 31)) on a linear and semi-logarithmic scale, dose corrected, overall age group at Week 4, P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2645925"/>
                    </a:xfrm>
                    <a:prstGeom prst="rect">
                      <a:avLst/>
                    </a:prstGeom>
                  </pic:spPr>
                </pic:pic>
              </a:graphicData>
            </a:graphic>
          </wp:inline>
        </w:drawing>
      </w:r>
    </w:p>
    <w:p w14:paraId="46B2275D" w14:textId="77777777" w:rsidR="000F1977" w:rsidRDefault="000F1977" w:rsidP="000F1977">
      <w:pPr>
        <w:pStyle w:val="Tabletitle"/>
      </w:pPr>
      <w:bookmarkStart w:id="88" w:name="_Ref463965552"/>
      <w:bookmarkStart w:id="89" w:name="_Toc473884059"/>
      <w:r>
        <w:lastRenderedPageBreak/>
        <w:t xml:space="preserve">Table </w:t>
      </w:r>
      <w:bookmarkEnd w:id="88"/>
      <w:r w:rsidR="005F754D">
        <w:t>15:</w:t>
      </w:r>
      <w:r>
        <w:t xml:space="preserve"> </w:t>
      </w:r>
      <w:r w:rsidRPr="004D1BF0">
        <w:t>FUTURE-3</w:t>
      </w:r>
      <w:r>
        <w:rPr>
          <w:i/>
        </w:rPr>
        <w:t xml:space="preserve"> </w:t>
      </w:r>
      <w:r w:rsidRPr="006206FA">
        <w:t>Metabolites to bosentan exposure geometric mean ratio, PK set</w:t>
      </w:r>
      <w:bookmarkEnd w:id="89"/>
    </w:p>
    <w:p w14:paraId="3B9CEACF" w14:textId="77777777" w:rsidR="00E05703" w:rsidRDefault="000F1977" w:rsidP="00586F98">
      <w:r>
        <w:rPr>
          <w:noProof/>
          <w:lang w:eastAsia="en-AU"/>
        </w:rPr>
        <w:drawing>
          <wp:inline distT="0" distB="0" distL="0" distR="0" wp14:anchorId="36BCECCF" wp14:editId="08D58AB5">
            <wp:extent cx="5731510" cy="3031087"/>
            <wp:effectExtent l="0" t="0" r="2540" b="0"/>
            <wp:docPr id="17" name="Picture 17" descr="Table 15: FUTURE-3 Metabolites to bosentan exposure geometric mean ratio, P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brightnessContrast contrast="-40000"/>
                              </a14:imgEffect>
                            </a14:imgLayer>
                          </a14:imgProps>
                        </a:ext>
                      </a:extLst>
                    </a:blip>
                    <a:stretch>
                      <a:fillRect/>
                    </a:stretch>
                  </pic:blipFill>
                  <pic:spPr>
                    <a:xfrm>
                      <a:off x="0" y="0"/>
                      <a:ext cx="5731510" cy="3031087"/>
                    </a:xfrm>
                    <a:prstGeom prst="rect">
                      <a:avLst/>
                    </a:prstGeom>
                  </pic:spPr>
                </pic:pic>
              </a:graphicData>
            </a:graphic>
          </wp:inline>
        </w:drawing>
      </w:r>
    </w:p>
    <w:p w14:paraId="0DE8E0BE" w14:textId="77777777" w:rsidR="000F1977" w:rsidRPr="006206FA" w:rsidRDefault="008806DA" w:rsidP="000F1977">
      <w:pPr>
        <w:pStyle w:val="FigureTitle"/>
        <w:rPr>
          <w:lang w:eastAsia="ja-JP"/>
        </w:rPr>
      </w:pPr>
      <w:bookmarkStart w:id="90" w:name="_Toc473884156"/>
      <w:r>
        <w:t xml:space="preserve">Figure 5: </w:t>
      </w:r>
      <w:r w:rsidR="000F1977" w:rsidRPr="004D1BF0">
        <w:t>FUTURE-3</w:t>
      </w:r>
      <w:r w:rsidR="000F1977">
        <w:rPr>
          <w:i/>
        </w:rPr>
        <w:t xml:space="preserve"> </w:t>
      </w:r>
      <w:r w:rsidR="000F1977" w:rsidRPr="006206FA">
        <w:rPr>
          <w:lang w:eastAsia="ja-JP"/>
        </w:rPr>
        <w:t>Arithmetic mean plasma concentration (</w:t>
      </w:r>
      <w:r w:rsidR="000F1977">
        <w:t>±</w:t>
      </w:r>
      <w:r w:rsidR="000F1977" w:rsidRPr="006206FA">
        <w:rPr>
          <w:lang w:eastAsia="ja-JP"/>
        </w:rPr>
        <w:t xml:space="preserve"> SD) versus time profiles of</w:t>
      </w:r>
      <w:r w:rsidR="000F1977">
        <w:rPr>
          <w:lang w:eastAsia="ja-JP"/>
        </w:rPr>
        <w:t xml:space="preserve"> </w:t>
      </w:r>
      <w:r w:rsidR="000F1977" w:rsidRPr="006206FA">
        <w:rPr>
          <w:lang w:eastAsia="ja-JP"/>
        </w:rPr>
        <w:t>bosentan by age group and dosing regimen (on a linear scale)</w:t>
      </w:r>
      <w:bookmarkEnd w:id="90"/>
    </w:p>
    <w:p w14:paraId="3A028ED3" w14:textId="77777777" w:rsidR="00E05703" w:rsidRDefault="000F1977" w:rsidP="00586F98">
      <w:r>
        <w:rPr>
          <w:noProof/>
          <w:lang w:eastAsia="en-AU"/>
        </w:rPr>
        <w:drawing>
          <wp:inline distT="0" distB="0" distL="0" distR="0" wp14:anchorId="0336FC80" wp14:editId="6F817D8F">
            <wp:extent cx="5731510" cy="3045171"/>
            <wp:effectExtent l="0" t="0" r="2540" b="3175"/>
            <wp:docPr id="18" name="Picture 18" descr="Figure 5: FUTURE-3 Arithmetic mean plasma concentration (± SD) versus time profiles of bosentan by age group and dosing regimen (on a linea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31510" cy="3045171"/>
                    </a:xfrm>
                    <a:prstGeom prst="rect">
                      <a:avLst/>
                    </a:prstGeom>
                  </pic:spPr>
                </pic:pic>
              </a:graphicData>
            </a:graphic>
          </wp:inline>
        </w:drawing>
      </w:r>
    </w:p>
    <w:p w14:paraId="0F2DF82B" w14:textId="7BBDAF51" w:rsidR="000F1977" w:rsidRDefault="000F1977" w:rsidP="000F1977">
      <w:pPr>
        <w:pStyle w:val="Tabletitle"/>
        <w:rPr>
          <w:lang w:eastAsia="ja-JP"/>
        </w:rPr>
      </w:pPr>
      <w:bookmarkStart w:id="91" w:name="_Ref463969536"/>
      <w:bookmarkStart w:id="92" w:name="_Toc473884060"/>
      <w:r w:rsidRPr="005F754D">
        <w:lastRenderedPageBreak/>
        <w:t xml:space="preserve">Table </w:t>
      </w:r>
      <w:bookmarkEnd w:id="91"/>
      <w:r w:rsidR="005F754D" w:rsidRPr="005F754D">
        <w:t>16:</w:t>
      </w:r>
      <w:r w:rsidR="005F754D">
        <w:t xml:space="preserve"> </w:t>
      </w:r>
      <w:r w:rsidRPr="005F754D">
        <w:t>FUTURE</w:t>
      </w:r>
      <w:r w:rsidRPr="004D1BF0">
        <w:t>-3</w:t>
      </w:r>
      <w:r>
        <w:rPr>
          <w:i/>
        </w:rPr>
        <w:t xml:space="preserve"> </w:t>
      </w:r>
      <w:r w:rsidRPr="00DA03B1">
        <w:t>Summary of bosentan PK parameters per treatment group; by age group, PK set</w:t>
      </w:r>
      <w:bookmarkEnd w:id="92"/>
    </w:p>
    <w:p w14:paraId="71962FFB" w14:textId="77777777" w:rsidR="000F1977" w:rsidRDefault="000F1977" w:rsidP="00586F98">
      <w:r>
        <w:rPr>
          <w:noProof/>
          <w:lang w:eastAsia="en-AU"/>
        </w:rPr>
        <w:drawing>
          <wp:inline distT="0" distB="0" distL="0" distR="0" wp14:anchorId="55BAC698" wp14:editId="7961987F">
            <wp:extent cx="5731510" cy="6969051"/>
            <wp:effectExtent l="0" t="0" r="2540" b="3810"/>
            <wp:docPr id="19" name="Picture 19" descr="Table 16: FUTURE-3. Summary of bosentan PK parameters per treatment group; by age group, PK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BEBA8EAE-BF5A-486C-A8C5-ECC9F3942E4B}">
                          <a14:imgProps xmlns:a14="http://schemas.microsoft.com/office/drawing/2010/main">
                            <a14:imgLayer r:embed="rId37">
                              <a14:imgEffect>
                                <a14:brightnessContrast contrast="-40000"/>
                              </a14:imgEffect>
                            </a14:imgLayer>
                          </a14:imgProps>
                        </a:ext>
                      </a:extLst>
                    </a:blip>
                    <a:stretch>
                      <a:fillRect/>
                    </a:stretch>
                  </pic:blipFill>
                  <pic:spPr>
                    <a:xfrm>
                      <a:off x="0" y="0"/>
                      <a:ext cx="5731510" cy="6969051"/>
                    </a:xfrm>
                    <a:prstGeom prst="rect">
                      <a:avLst/>
                    </a:prstGeom>
                  </pic:spPr>
                </pic:pic>
              </a:graphicData>
            </a:graphic>
          </wp:inline>
        </w:drawing>
      </w:r>
    </w:p>
    <w:p w14:paraId="29BBB063" w14:textId="77777777" w:rsidR="000F1977" w:rsidRPr="006206FA" w:rsidRDefault="000F1977" w:rsidP="000F1977">
      <w:pPr>
        <w:pStyle w:val="FigureTitle"/>
      </w:pPr>
      <w:bookmarkStart w:id="93" w:name="_Ref463970007"/>
      <w:bookmarkStart w:id="94" w:name="_Ref463970002"/>
      <w:bookmarkStart w:id="95" w:name="_Toc473884157"/>
      <w:r w:rsidRPr="008806DA">
        <w:lastRenderedPageBreak/>
        <w:t xml:space="preserve">Figure </w:t>
      </w:r>
      <w:bookmarkEnd w:id="93"/>
      <w:r w:rsidR="008806DA" w:rsidRPr="008806DA">
        <w:t>6:</w:t>
      </w:r>
      <w:r w:rsidRPr="008806DA">
        <w:t xml:space="preserve"> FUTURE-</w:t>
      </w:r>
      <w:r w:rsidRPr="004D1BF0">
        <w:t>3</w:t>
      </w:r>
      <w:r>
        <w:rPr>
          <w:i/>
        </w:rPr>
        <w:t xml:space="preserve"> </w:t>
      </w:r>
      <w:r w:rsidRPr="006206FA">
        <w:t>Arithmetic mean plasma concentration (</w:t>
      </w:r>
      <w:r>
        <w:t>±</w:t>
      </w:r>
      <w:r w:rsidRPr="006206FA">
        <w:t xml:space="preserve"> SD) versus time profiles of</w:t>
      </w:r>
      <w:r>
        <w:t xml:space="preserve"> </w:t>
      </w:r>
      <w:r w:rsidRPr="006206FA">
        <w:t>bosentan by dosing regimen and age group (on a linear scale)</w:t>
      </w:r>
      <w:bookmarkEnd w:id="94"/>
      <w:bookmarkEnd w:id="95"/>
    </w:p>
    <w:p w14:paraId="206A97B7" w14:textId="77777777" w:rsidR="000F1977" w:rsidRDefault="000F1977" w:rsidP="00586F98">
      <w:r>
        <w:rPr>
          <w:noProof/>
          <w:lang w:eastAsia="en-AU"/>
        </w:rPr>
        <w:drawing>
          <wp:inline distT="0" distB="0" distL="0" distR="0" wp14:anchorId="302433D4" wp14:editId="77E510DF">
            <wp:extent cx="5610758" cy="2429530"/>
            <wp:effectExtent l="0" t="0" r="9525" b="8890"/>
            <wp:docPr id="20" name="Picture 20" descr="Figure 6: FUTURE-3 Arithmetic mean plasma concentration (± SD) versus time profiles of bosentan by dosing regimen and age group (on a linear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15202" cy="2431454"/>
                    </a:xfrm>
                    <a:prstGeom prst="rect">
                      <a:avLst/>
                    </a:prstGeom>
                  </pic:spPr>
                </pic:pic>
              </a:graphicData>
            </a:graphic>
          </wp:inline>
        </w:drawing>
      </w:r>
    </w:p>
    <w:p w14:paraId="344B017A" w14:textId="2D4E6DA7" w:rsidR="00F42144" w:rsidRPr="00F42144" w:rsidRDefault="00E77015" w:rsidP="00F42144">
      <w:pPr>
        <w:pStyle w:val="Heading6"/>
      </w:pPr>
      <w:r>
        <w:t xml:space="preserve">Study </w:t>
      </w:r>
      <w:r w:rsidR="00F42144" w:rsidRPr="00F42144">
        <w:t xml:space="preserve">AC-052-391 </w:t>
      </w:r>
      <w:r w:rsidR="009B4988">
        <w:t>(</w:t>
      </w:r>
      <w:r w:rsidR="00F42144" w:rsidRPr="00F42144">
        <w:t>FUTURE-4</w:t>
      </w:r>
      <w:r w:rsidR="009B4988">
        <w:t>)</w:t>
      </w:r>
    </w:p>
    <w:p w14:paraId="3C846F6D" w14:textId="5E2F4F7B" w:rsidR="00F42144" w:rsidRPr="00BC415F" w:rsidRDefault="00F42144" w:rsidP="00F42144">
      <w:r w:rsidRPr="00BC415F">
        <w:t xml:space="preserve">Secondary objectives </w:t>
      </w:r>
      <w:r>
        <w:t xml:space="preserve">of the FUTURE-4 </w:t>
      </w:r>
      <w:r w:rsidR="00E77015">
        <w:t>Study</w:t>
      </w:r>
      <w:r w:rsidRPr="00BC415F">
        <w:t xml:space="preserve"> </w:t>
      </w:r>
      <w:r>
        <w:t xml:space="preserve">included the </w:t>
      </w:r>
      <w:r w:rsidRPr="00BC415F">
        <w:t>ev</w:t>
      </w:r>
      <w:r>
        <w:t>aluation of the PK</w:t>
      </w:r>
      <w:r w:rsidRPr="00BC415F">
        <w:t xml:space="preserve"> of</w:t>
      </w:r>
      <w:r>
        <w:t xml:space="preserve"> </w:t>
      </w:r>
      <w:r w:rsidRPr="00BC415F">
        <w:t>bosentan in neonates with PPHN who were in need of</w:t>
      </w:r>
      <w:r>
        <w:t xml:space="preserve"> </w:t>
      </w:r>
      <w:r w:rsidRPr="00BC415F">
        <w:t xml:space="preserve">continued </w:t>
      </w:r>
      <w:r>
        <w:t>iNO</w:t>
      </w:r>
      <w:r w:rsidRPr="00BC415F">
        <w:t>.</w:t>
      </w:r>
      <w:r>
        <w:t xml:space="preserve"> </w:t>
      </w:r>
      <w:r w:rsidRPr="00BC415F">
        <w:t>Patients were randomi</w:t>
      </w:r>
      <w:r>
        <w:t>s</w:t>
      </w:r>
      <w:r w:rsidRPr="00BC415F">
        <w:t>ed in a 2:1 ratio to bosentan 2 mg/kg</w:t>
      </w:r>
      <w:r>
        <w:t xml:space="preserve"> </w:t>
      </w:r>
      <w:r w:rsidR="007C6D8D">
        <w:t>BD</w:t>
      </w:r>
      <w:r w:rsidRPr="00BC415F">
        <w:t xml:space="preserve"> dispersible tablet formulation or to</w:t>
      </w:r>
      <w:r>
        <w:t xml:space="preserve"> </w:t>
      </w:r>
      <w:r w:rsidRPr="00BC415F">
        <w:t>matching placebo.</w:t>
      </w:r>
      <w:r>
        <w:t xml:space="preserve"> </w:t>
      </w:r>
      <w:r w:rsidRPr="00BC415F">
        <w:t>St</w:t>
      </w:r>
      <w:r>
        <w:t xml:space="preserve">udy drug was administered until </w:t>
      </w:r>
      <w:r w:rsidR="00A5161C">
        <w:t>24 hours</w:t>
      </w:r>
      <w:r w:rsidRPr="00BC415F">
        <w:t xml:space="preserve"> after complete weaning from iNO or until</w:t>
      </w:r>
      <w:r>
        <w:t xml:space="preserve"> </w:t>
      </w:r>
      <w:r w:rsidRPr="00BC415F">
        <w:t xml:space="preserve">treatment failure (defined as </w:t>
      </w:r>
      <w:r>
        <w:t xml:space="preserve">the </w:t>
      </w:r>
      <w:r w:rsidRPr="00BC415F">
        <w:t xml:space="preserve">need for </w:t>
      </w:r>
      <w:r>
        <w:t xml:space="preserve">ECMO or the </w:t>
      </w:r>
      <w:r w:rsidRPr="00BC415F">
        <w:t>initiation of</w:t>
      </w:r>
      <w:r>
        <w:t xml:space="preserve"> </w:t>
      </w:r>
      <w:r w:rsidRPr="00BC415F">
        <w:t>alternative pulmonary vasodilator), or the maximum</w:t>
      </w:r>
      <w:r>
        <w:t xml:space="preserve"> </w:t>
      </w:r>
      <w:r w:rsidRPr="00BC415F">
        <w:t xml:space="preserve">permitted duration of treatment with </w:t>
      </w:r>
      <w:r w:rsidR="0066478A">
        <w:t>study</w:t>
      </w:r>
      <w:r w:rsidRPr="00BC415F">
        <w:t xml:space="preserve"> drug </w:t>
      </w:r>
      <w:r>
        <w:t xml:space="preserve">had been reached (14 days). The FUTURE-4 </w:t>
      </w:r>
      <w:r w:rsidR="00E77015">
        <w:t>Study</w:t>
      </w:r>
      <w:r>
        <w:t xml:space="preserve"> design is discussed in Section </w:t>
      </w:r>
      <w:r w:rsidR="00E77015">
        <w:t>7.</w:t>
      </w:r>
      <w:r>
        <w:t xml:space="preserve"> </w:t>
      </w:r>
      <w:r w:rsidRPr="00BC415F">
        <w:t>The following PK en</w:t>
      </w:r>
      <w:r>
        <w:t xml:space="preserve">dpoints were evaluated based on </w:t>
      </w:r>
      <w:r w:rsidRPr="00BC415F">
        <w:t>concentrations in dried blood spot samples:</w:t>
      </w:r>
    </w:p>
    <w:p w14:paraId="3FB374BA" w14:textId="77777777" w:rsidR="00F42144" w:rsidRPr="00BC415F" w:rsidRDefault="00F42144" w:rsidP="00F42144">
      <w:pPr>
        <w:pStyle w:val="ListBullet"/>
      </w:pPr>
      <w:r w:rsidRPr="00BC415F">
        <w:t>C</w:t>
      </w:r>
      <w:r w:rsidRPr="00BC415F">
        <w:rPr>
          <w:vertAlign w:val="subscript"/>
        </w:rPr>
        <w:t>max</w:t>
      </w:r>
      <w:r w:rsidRPr="00BC415F">
        <w:t xml:space="preserve"> and t</w:t>
      </w:r>
      <w:r w:rsidRPr="00BC415F">
        <w:rPr>
          <w:vertAlign w:val="subscript"/>
        </w:rPr>
        <w:t>max</w:t>
      </w:r>
      <w:r w:rsidRPr="00BC415F">
        <w:t xml:space="preserve"> (Days 1 and 5), </w:t>
      </w:r>
      <w:r w:rsidR="00A5161C" w:rsidRPr="00EE37DE">
        <w:t>AUC</w:t>
      </w:r>
      <w:r w:rsidR="00A5161C" w:rsidRPr="00A5161C">
        <w:rPr>
          <w:vertAlign w:val="subscript"/>
        </w:rPr>
        <w:t>0-12</w:t>
      </w:r>
      <w:r w:rsidRPr="00BC415F">
        <w:t xml:space="preserve"> (Day 1),</w:t>
      </w:r>
      <w:r>
        <w:t xml:space="preserve"> </w:t>
      </w:r>
      <w:r w:rsidRPr="00BC415F">
        <w:t>AUC</w:t>
      </w:r>
      <w:r w:rsidRPr="00BC415F">
        <w:rPr>
          <w:rFonts w:hint="eastAsia"/>
          <w:vertAlign w:val="subscript"/>
        </w:rPr>
        <w:t>τ</w:t>
      </w:r>
      <w:r w:rsidR="00E77015" w:rsidRPr="00E77015">
        <w:t xml:space="preserve"> </w:t>
      </w:r>
      <w:r w:rsidRPr="00BC415F">
        <w:t>(Day 5), and AUC</w:t>
      </w:r>
      <w:r w:rsidRPr="00365E01">
        <w:rPr>
          <w:vertAlign w:val="subscript"/>
        </w:rPr>
        <w:t>0-24</w:t>
      </w:r>
      <w:r w:rsidRPr="00BC415F">
        <w:t xml:space="preserve"> (Days 1 and 5) for</w:t>
      </w:r>
      <w:r>
        <w:t xml:space="preserve"> </w:t>
      </w:r>
      <w:r w:rsidRPr="00BC415F">
        <w:t>bosentan and its metabolites (Ro 48-5033,</w:t>
      </w:r>
      <w:r>
        <w:t xml:space="preserve"> </w:t>
      </w:r>
      <w:r w:rsidRPr="00BC415F">
        <w:t>Ro 47-8634, Ro 64-1056).</w:t>
      </w:r>
    </w:p>
    <w:p w14:paraId="6291CC06" w14:textId="77777777" w:rsidR="00F42144" w:rsidRDefault="00F42144" w:rsidP="00F42144">
      <w:pPr>
        <w:pStyle w:val="ListBullet"/>
      </w:pPr>
      <w:r w:rsidRPr="00BC415F">
        <w:t>Accumulation index (AI), defined as the ratio</w:t>
      </w:r>
      <w:r>
        <w:t xml:space="preserve"> </w:t>
      </w:r>
      <w:r w:rsidRPr="00BC415F">
        <w:t>between AUC</w:t>
      </w:r>
      <w:r w:rsidRPr="005040D3">
        <w:rPr>
          <w:rFonts w:hint="eastAsia"/>
          <w:vertAlign w:val="subscript"/>
        </w:rPr>
        <w:t>τ</w:t>
      </w:r>
      <w:r w:rsidRPr="00BC415F">
        <w:t xml:space="preserve"> (Day 5) and </w:t>
      </w:r>
      <w:r w:rsidR="00A5161C" w:rsidRPr="00EE37DE">
        <w:t>AUC</w:t>
      </w:r>
      <w:r w:rsidR="00A5161C" w:rsidRPr="00A5161C">
        <w:rPr>
          <w:vertAlign w:val="subscript"/>
        </w:rPr>
        <w:t>0-12</w:t>
      </w:r>
      <w:r w:rsidRPr="00BC415F">
        <w:t xml:space="preserve"> (Day 1) for</w:t>
      </w:r>
      <w:r>
        <w:t xml:space="preserve"> </w:t>
      </w:r>
      <w:r w:rsidRPr="00BC415F">
        <w:t>patients who had PK assessments performed on</w:t>
      </w:r>
      <w:r>
        <w:t xml:space="preserve"> </w:t>
      </w:r>
      <w:r w:rsidRPr="00BC415F">
        <w:t xml:space="preserve">Days 1 and 5, provided that </w:t>
      </w:r>
      <w:r w:rsidR="00A5161C" w:rsidRPr="00EE37DE">
        <w:t>AUC</w:t>
      </w:r>
      <w:r w:rsidR="00A5161C" w:rsidRPr="00A5161C">
        <w:rPr>
          <w:vertAlign w:val="subscript"/>
        </w:rPr>
        <w:t>0-12</w:t>
      </w:r>
      <w:r w:rsidRPr="00BC415F">
        <w:t xml:space="preserve"> was</w:t>
      </w:r>
      <w:r>
        <w:t xml:space="preserve"> </w:t>
      </w:r>
      <w:r w:rsidR="00CF6063">
        <w:t>&gt;</w:t>
      </w:r>
      <w:r w:rsidR="00E77015">
        <w:t> 0 </w:t>
      </w:r>
      <w:r w:rsidRPr="00BC415F">
        <w:t>ng.h/mL.</w:t>
      </w:r>
    </w:p>
    <w:p w14:paraId="0E4CF4D3" w14:textId="5809088F" w:rsidR="007C6D8D" w:rsidRDefault="00F42144" w:rsidP="00F42144">
      <w:r w:rsidRPr="002F74C3">
        <w:t>After the first dose of 2 mg/kg the bosentan PK profile was</w:t>
      </w:r>
      <w:r>
        <w:t xml:space="preserve"> </w:t>
      </w:r>
      <w:r w:rsidRPr="002F74C3">
        <w:t>characteri</w:t>
      </w:r>
      <w:r>
        <w:t>s</w:t>
      </w:r>
      <w:r w:rsidRPr="002F74C3">
        <w:t>ed by a slow and continuous increase in concentration over the first dosing</w:t>
      </w:r>
      <w:r>
        <w:t xml:space="preserve"> </w:t>
      </w:r>
      <w:r w:rsidRPr="002F74C3">
        <w:t>interval</w:t>
      </w:r>
      <w:r>
        <w:t xml:space="preserve"> after the first </w:t>
      </w:r>
      <w:r w:rsidR="0066478A">
        <w:t>study</w:t>
      </w:r>
      <w:r>
        <w:t xml:space="preserve"> drug </w:t>
      </w:r>
      <w:r w:rsidRPr="008806DA">
        <w:t>administration (</w:t>
      </w:r>
      <w:r w:rsidR="008806DA" w:rsidRPr="008806DA">
        <w:t>Figure 7</w:t>
      </w:r>
      <w:r w:rsidRPr="008806DA">
        <w:t>). Bosentan</w:t>
      </w:r>
      <w:r w:rsidRPr="002F74C3">
        <w:t xml:space="preserve"> exposure was low and variable </w:t>
      </w:r>
      <w:r>
        <w:t xml:space="preserve">on Day 1, with a geometric mean </w:t>
      </w:r>
      <w:r w:rsidRPr="002F74C3">
        <w:t>AUC</w:t>
      </w:r>
      <w:r w:rsidRPr="002F74C3">
        <w:rPr>
          <w:vertAlign w:val="subscript"/>
        </w:rPr>
        <w:t>0-24C</w:t>
      </w:r>
      <w:r w:rsidRPr="002F74C3">
        <w:t xml:space="preserve"> (95% </w:t>
      </w:r>
      <w:r>
        <w:t>CI</w:t>
      </w:r>
      <w:r w:rsidRPr="002F74C3">
        <w:t>) of 287.5 ng·h/mL (15.0, 5504.7) and a</w:t>
      </w:r>
      <w:r>
        <w:t xml:space="preserve"> </w:t>
      </w:r>
      <w:r w:rsidRPr="002F74C3">
        <w:t>geometric mean C</w:t>
      </w:r>
      <w:r w:rsidRPr="002F74C3">
        <w:rPr>
          <w:vertAlign w:val="subscript"/>
        </w:rPr>
        <w:t xml:space="preserve">max </w:t>
      </w:r>
      <w:r w:rsidRPr="002F74C3">
        <w:t>of 30.1</w:t>
      </w:r>
      <w:r w:rsidR="009B4988">
        <w:t> </w:t>
      </w:r>
      <w:r w:rsidRPr="002F74C3">
        <w:t>ng/mL (2.4, 372.2)</w:t>
      </w:r>
      <w:r>
        <w:t xml:space="preserve"> (</w:t>
      </w:r>
      <w:r w:rsidR="008806DA">
        <w:t xml:space="preserve">Figure 8, </w:t>
      </w:r>
      <w:r w:rsidR="005F754D">
        <w:t>Table 17</w:t>
      </w:r>
      <w:r>
        <w:t>)</w:t>
      </w:r>
      <w:r w:rsidR="007C6D8D">
        <w:t>.</w:t>
      </w:r>
    </w:p>
    <w:p w14:paraId="3958F2AF" w14:textId="77777777" w:rsidR="00F42144" w:rsidRPr="002F74C3" w:rsidRDefault="00F42144" w:rsidP="00F42144">
      <w:r w:rsidRPr="002F74C3">
        <w:t>On Day 5, the pre-dose mean bosentan concentration was similar to that measured at the</w:t>
      </w:r>
      <w:r>
        <w:t xml:space="preserve"> </w:t>
      </w:r>
      <w:r w:rsidRPr="002F74C3">
        <w:t xml:space="preserve">end of the dosing interval, suggesting the attainment of </w:t>
      </w:r>
      <w:r w:rsidR="00CF6063">
        <w:t>steady state</w:t>
      </w:r>
      <w:r w:rsidRPr="002F74C3">
        <w:t xml:space="preserve"> conditions.</w:t>
      </w:r>
      <w:r>
        <w:t xml:space="preserve"> M</w:t>
      </w:r>
      <w:r w:rsidRPr="002F74C3">
        <w:t>edian t</w:t>
      </w:r>
      <w:r w:rsidRPr="002F74C3">
        <w:rPr>
          <w:vertAlign w:val="subscript"/>
        </w:rPr>
        <w:t>max</w:t>
      </w:r>
      <w:r>
        <w:t xml:space="preserve"> was 7.</w:t>
      </w:r>
      <w:r w:rsidR="00A5161C">
        <w:t>5 hours</w:t>
      </w:r>
      <w:r w:rsidRPr="002F74C3">
        <w:t>. Bosentan exposure was markedly higher when</w:t>
      </w:r>
      <w:r>
        <w:t xml:space="preserve"> </w:t>
      </w:r>
      <w:r w:rsidRPr="002F74C3">
        <w:t>compared to Day 1 with a geometric mean AUC</w:t>
      </w:r>
      <w:r w:rsidR="00E77015">
        <w:rPr>
          <w:vertAlign w:val="subscript"/>
        </w:rPr>
        <w:t>0</w:t>
      </w:r>
      <w:r w:rsidR="00E77015">
        <w:rPr>
          <w:vertAlign w:val="subscript"/>
        </w:rPr>
        <w:noBreakHyphen/>
      </w:r>
      <w:r w:rsidRPr="001D5ADA">
        <w:rPr>
          <w:vertAlign w:val="subscript"/>
        </w:rPr>
        <w:t xml:space="preserve">24C </w:t>
      </w:r>
      <w:r w:rsidRPr="002F74C3">
        <w:t>(95% CI) of 11530.2 ng·h/mL</w:t>
      </w:r>
      <w:r>
        <w:t xml:space="preserve"> </w:t>
      </w:r>
      <w:r w:rsidRPr="002F74C3">
        <w:t>(4507.0, 29497.5) and geometric mean C</w:t>
      </w:r>
      <w:r w:rsidRPr="00256A4D">
        <w:rPr>
          <w:vertAlign w:val="subscript"/>
        </w:rPr>
        <w:t>max</w:t>
      </w:r>
      <w:r w:rsidR="00E77015">
        <w:t xml:space="preserve"> of 880.0 </w:t>
      </w:r>
      <w:r w:rsidRPr="002F74C3">
        <w:t>ng/mL (339.2, 2282.7). Bosentan</w:t>
      </w:r>
      <w:r>
        <w:t xml:space="preserve"> </w:t>
      </w:r>
      <w:r w:rsidRPr="002F74C3">
        <w:t>exposure remained variable on Day 5 but was similar to the exposure observed in</w:t>
      </w:r>
      <w:r>
        <w:t xml:space="preserve"> </w:t>
      </w:r>
      <w:r w:rsidRPr="002F74C3">
        <w:t>adult PAH patients admini</w:t>
      </w:r>
      <w:r>
        <w:t xml:space="preserve">stered with 125 mg bosentan </w:t>
      </w:r>
      <w:r w:rsidR="007C6D8D">
        <w:t>BD</w:t>
      </w:r>
      <w:r>
        <w:t xml:space="preserve"> </w:t>
      </w:r>
      <w:r w:rsidRPr="005F754D">
        <w:t>(</w:t>
      </w:r>
      <w:r w:rsidR="005F754D" w:rsidRPr="005F754D">
        <w:t>Table 17</w:t>
      </w:r>
      <w:r w:rsidRPr="005F754D">
        <w:t>).</w:t>
      </w:r>
    </w:p>
    <w:p w14:paraId="2462E79C" w14:textId="77777777" w:rsidR="00F42144" w:rsidRDefault="00F42144" w:rsidP="00F42144">
      <w:r w:rsidRPr="002F74C3">
        <w:t xml:space="preserve">The exposure to bosentan metabolites was limited on Day 1. At </w:t>
      </w:r>
      <w:r w:rsidR="00CF6063">
        <w:t>steady state</w:t>
      </w:r>
      <w:r w:rsidRPr="002F74C3">
        <w:t>, the</w:t>
      </w:r>
      <w:r>
        <w:t xml:space="preserve"> </w:t>
      </w:r>
      <w:r w:rsidRPr="002F74C3">
        <w:t xml:space="preserve">exposures to the metabolites </w:t>
      </w:r>
      <w:r w:rsidRPr="005F754D">
        <w:t>increased (</w:t>
      </w:r>
      <w:r w:rsidR="005F754D" w:rsidRPr="005F754D">
        <w:t>Table</w:t>
      </w:r>
      <w:r w:rsidR="005F754D">
        <w:t xml:space="preserve"> 18</w:t>
      </w:r>
      <w:r>
        <w:t xml:space="preserve">). The </w:t>
      </w:r>
      <w:r w:rsidR="007C6D8D">
        <w:t>sponsor</w:t>
      </w:r>
      <w:r>
        <w:t xml:space="preserve"> states that these ratios are</w:t>
      </w:r>
      <w:r w:rsidRPr="002F74C3">
        <w:t xml:space="preserve"> higher than those in</w:t>
      </w:r>
      <w:r>
        <w:t xml:space="preserve"> </w:t>
      </w:r>
      <w:r w:rsidRPr="002F74C3">
        <w:t>paediatric PAH populations, but comparable to those observed in adult PAH patients.</w:t>
      </w:r>
    </w:p>
    <w:p w14:paraId="015C22D1" w14:textId="77777777" w:rsidR="00F42144" w:rsidRDefault="00F42144" w:rsidP="00F42144">
      <w:r>
        <w:t xml:space="preserve">The relationship between bosentan exposure and several baseline covariates was explored visually. No relationship was observed between bosentan exposure and patient age at treatment initiation, gestational age or birth weight. </w:t>
      </w:r>
      <w:r w:rsidRPr="00242E3C">
        <w:t>On Day 5, the analysis of the</w:t>
      </w:r>
      <w:r>
        <w:t xml:space="preserve"> </w:t>
      </w:r>
      <w:r w:rsidRPr="00242E3C">
        <w:t xml:space="preserve">relationship between </w:t>
      </w:r>
      <w:r w:rsidRPr="00242E3C">
        <w:lastRenderedPageBreak/>
        <w:t>bosentan exposure and the severity of the disease at</w:t>
      </w:r>
      <w:r>
        <w:t xml:space="preserve"> </w:t>
      </w:r>
      <w:r w:rsidRPr="00242E3C">
        <w:t>baseline</w:t>
      </w:r>
      <w:r>
        <w:t xml:space="preserve"> </w:t>
      </w:r>
      <w:r w:rsidRPr="00242E3C">
        <w:t>suggested that patients with less severe disease at baseline (reflected as a</w:t>
      </w:r>
      <w:r>
        <w:t xml:space="preserve"> </w:t>
      </w:r>
      <w:r w:rsidRPr="00242E3C">
        <w:t xml:space="preserve">low OI) had higher exposure to </w:t>
      </w:r>
      <w:r w:rsidRPr="008806DA">
        <w:t>bosentan (</w:t>
      </w:r>
      <w:r w:rsidR="008806DA" w:rsidRPr="008806DA">
        <w:t>Figure 9</w:t>
      </w:r>
      <w:r w:rsidRPr="008806DA">
        <w:t>).</w:t>
      </w:r>
    </w:p>
    <w:p w14:paraId="46B068EB" w14:textId="77777777" w:rsidR="007C6D8D" w:rsidRDefault="00F42144" w:rsidP="00F42144">
      <w:r w:rsidRPr="00242E3C">
        <w:t>The small number of patients coupled</w:t>
      </w:r>
      <w:r>
        <w:t xml:space="preserve"> </w:t>
      </w:r>
      <w:r w:rsidRPr="00242E3C">
        <w:t>with the high variability in drug concentration on Day 1 meant that it was not possible to</w:t>
      </w:r>
      <w:r>
        <w:t xml:space="preserve"> detect any relationship between bosentan concentration and change in baseline OI and alveolar-arterial oxygen difference (AaDO</w:t>
      </w:r>
      <w:r w:rsidRPr="00242E3C">
        <w:rPr>
          <w:vertAlign w:val="subscript"/>
        </w:rPr>
        <w:t>2</w:t>
      </w:r>
      <w:r>
        <w:t>). A</w:t>
      </w:r>
      <w:r w:rsidRPr="00242E3C">
        <w:t>nalyses of the mean change in OI</w:t>
      </w:r>
      <w:r>
        <w:t xml:space="preserve"> </w:t>
      </w:r>
      <w:r w:rsidRPr="00242E3C">
        <w:t>and in AaDO</w:t>
      </w:r>
      <w:r w:rsidRPr="00242E3C">
        <w:rPr>
          <w:vertAlign w:val="subscript"/>
        </w:rPr>
        <w:t>2</w:t>
      </w:r>
      <w:r w:rsidRPr="00242E3C">
        <w:t xml:space="preserve"> </w:t>
      </w:r>
      <w:r w:rsidR="007C6D8D">
        <w:t>versus</w:t>
      </w:r>
      <w:r w:rsidRPr="00242E3C">
        <w:t xml:space="preserve"> bosentan exposure (AUC</w:t>
      </w:r>
      <w:r w:rsidRPr="00242E3C">
        <w:rPr>
          <w:vertAlign w:val="subscript"/>
        </w:rPr>
        <w:t>0-24</w:t>
      </w:r>
      <w:r w:rsidRPr="00242E3C">
        <w:t xml:space="preserve"> and C</w:t>
      </w:r>
      <w:r w:rsidRPr="00242E3C">
        <w:rPr>
          <w:vertAlign w:val="subscript"/>
        </w:rPr>
        <w:t>max</w:t>
      </w:r>
      <w:r w:rsidRPr="00242E3C">
        <w:t>) on Days 1 and 5 did not show any</w:t>
      </w:r>
      <w:r>
        <w:t xml:space="preserve"> </w:t>
      </w:r>
      <w:r w:rsidRPr="00242E3C">
        <w:t>relationship</w:t>
      </w:r>
      <w:r>
        <w:t xml:space="preserve">. </w:t>
      </w:r>
      <w:r w:rsidRPr="00242E3C">
        <w:t>The time to complete weaning from iNO did not sh</w:t>
      </w:r>
      <w:r>
        <w:t xml:space="preserve">ow any relationship to bosentan </w:t>
      </w:r>
      <w:r w:rsidRPr="00242E3C">
        <w:t>exposure</w:t>
      </w:r>
      <w:r w:rsidR="007C6D8D">
        <w:t>.</w:t>
      </w:r>
    </w:p>
    <w:p w14:paraId="78B5D3AA" w14:textId="77777777" w:rsidR="00F42144" w:rsidRDefault="00F42144" w:rsidP="00F42144">
      <w:pPr>
        <w:rPr>
          <w:lang w:eastAsia="ja-JP"/>
        </w:rPr>
      </w:pPr>
      <w:r w:rsidRPr="00D87EBA">
        <w:rPr>
          <w:lang w:eastAsia="ja-JP"/>
        </w:rPr>
        <w:t>The geometric mean AI for bosentan was 61.6. The individual AI values ranged from</w:t>
      </w:r>
      <w:r>
        <w:rPr>
          <w:lang w:eastAsia="ja-JP"/>
        </w:rPr>
        <w:t xml:space="preserve"> </w:t>
      </w:r>
      <w:r w:rsidRPr="00D87EBA">
        <w:rPr>
          <w:lang w:eastAsia="ja-JP"/>
        </w:rPr>
        <w:t>almost no accumulation (1.15</w:t>
      </w:r>
      <w:r w:rsidR="00E77015">
        <w:rPr>
          <w:lang w:eastAsia="ja-JP"/>
        </w:rPr>
        <w:t xml:space="preserve"> fold</w:t>
      </w:r>
      <w:r w:rsidRPr="00D87EBA">
        <w:rPr>
          <w:lang w:eastAsia="ja-JP"/>
        </w:rPr>
        <w:t xml:space="preserve">) </w:t>
      </w:r>
      <w:r w:rsidR="00E77015">
        <w:rPr>
          <w:lang w:eastAsia="ja-JP"/>
        </w:rPr>
        <w:t xml:space="preserve">to pronounced accumulation (450 </w:t>
      </w:r>
      <w:r w:rsidRPr="00D87EBA">
        <w:rPr>
          <w:lang w:eastAsia="ja-JP"/>
        </w:rPr>
        <w:t>fold) without taking</w:t>
      </w:r>
      <w:r>
        <w:rPr>
          <w:lang w:eastAsia="ja-JP"/>
        </w:rPr>
        <w:t xml:space="preserve"> </w:t>
      </w:r>
      <w:r w:rsidRPr="00D87EBA">
        <w:rPr>
          <w:lang w:eastAsia="ja-JP"/>
        </w:rPr>
        <w:t xml:space="preserve">into account the AI of </w:t>
      </w:r>
      <w:r>
        <w:rPr>
          <w:lang w:eastAsia="ja-JP"/>
        </w:rPr>
        <w:t xml:space="preserve">one </w:t>
      </w:r>
      <w:r w:rsidRPr="00D87EBA">
        <w:rPr>
          <w:lang w:eastAsia="ja-JP"/>
        </w:rPr>
        <w:t>patient who had no bosentan exposure on Day 1 and for</w:t>
      </w:r>
      <w:r>
        <w:rPr>
          <w:lang w:eastAsia="ja-JP"/>
        </w:rPr>
        <w:t xml:space="preserve"> </w:t>
      </w:r>
      <w:r w:rsidRPr="00D87EBA">
        <w:rPr>
          <w:lang w:eastAsia="ja-JP"/>
        </w:rPr>
        <w:t>whom a low value for AUC</w:t>
      </w:r>
      <w:r w:rsidRPr="00B24108">
        <w:rPr>
          <w:vertAlign w:val="subscript"/>
          <w:lang w:eastAsia="ja-JP"/>
        </w:rPr>
        <w:t xml:space="preserve">0-24C </w:t>
      </w:r>
      <w:r w:rsidRPr="00D87EBA">
        <w:rPr>
          <w:lang w:eastAsia="ja-JP"/>
        </w:rPr>
        <w:t>and C</w:t>
      </w:r>
      <w:r w:rsidRPr="00B24108">
        <w:rPr>
          <w:vertAlign w:val="subscript"/>
          <w:lang w:eastAsia="ja-JP"/>
        </w:rPr>
        <w:t>maxC</w:t>
      </w:r>
      <w:r w:rsidRPr="00D87EBA">
        <w:rPr>
          <w:lang w:eastAsia="ja-JP"/>
        </w:rPr>
        <w:t xml:space="preserve"> was imputed. The high AIs observed are driven</w:t>
      </w:r>
      <w:r>
        <w:rPr>
          <w:lang w:eastAsia="ja-JP"/>
        </w:rPr>
        <w:t xml:space="preserve"> </w:t>
      </w:r>
      <w:r w:rsidRPr="00D87EBA">
        <w:rPr>
          <w:lang w:eastAsia="ja-JP"/>
        </w:rPr>
        <w:t>by very low exposures to bosentan after the first dosing rather than high exposure on</w:t>
      </w:r>
      <w:r>
        <w:rPr>
          <w:lang w:eastAsia="ja-JP"/>
        </w:rPr>
        <w:t xml:space="preserve"> </w:t>
      </w:r>
      <w:r w:rsidRPr="00D87EBA">
        <w:rPr>
          <w:lang w:eastAsia="ja-JP"/>
        </w:rPr>
        <w:t xml:space="preserve">Day 5, as the overall exposure at </w:t>
      </w:r>
      <w:r w:rsidR="00CF6063">
        <w:rPr>
          <w:lang w:eastAsia="ja-JP"/>
        </w:rPr>
        <w:t>steady state</w:t>
      </w:r>
      <w:r w:rsidRPr="00D87EBA">
        <w:rPr>
          <w:lang w:eastAsia="ja-JP"/>
        </w:rPr>
        <w:t xml:space="preserve"> is comparable to the exposure observed in</w:t>
      </w:r>
      <w:r>
        <w:rPr>
          <w:lang w:eastAsia="ja-JP"/>
        </w:rPr>
        <w:t xml:space="preserve"> </w:t>
      </w:r>
      <w:r w:rsidRPr="00D87EBA">
        <w:rPr>
          <w:lang w:eastAsia="ja-JP"/>
        </w:rPr>
        <w:t xml:space="preserve">adult PAH patients administered with 125 mg bosentan </w:t>
      </w:r>
      <w:r w:rsidR="007C6D8D">
        <w:rPr>
          <w:lang w:eastAsia="ja-JP"/>
        </w:rPr>
        <w:t>BD</w:t>
      </w:r>
      <w:r w:rsidRPr="00D87EBA">
        <w:rPr>
          <w:lang w:eastAsia="ja-JP"/>
        </w:rPr>
        <w:t>.</w:t>
      </w:r>
      <w:r>
        <w:rPr>
          <w:lang w:eastAsia="ja-JP"/>
        </w:rPr>
        <w:t xml:space="preserve"> </w:t>
      </w:r>
      <w:r w:rsidRPr="00D87EBA">
        <w:rPr>
          <w:lang w:eastAsia="ja-JP"/>
        </w:rPr>
        <w:t>The geometric mean C</w:t>
      </w:r>
      <w:r w:rsidRPr="000515F6">
        <w:rPr>
          <w:vertAlign w:val="subscript"/>
          <w:lang w:eastAsia="ja-JP"/>
        </w:rPr>
        <w:t>maxC</w:t>
      </w:r>
      <w:r w:rsidRPr="00D87EBA">
        <w:rPr>
          <w:lang w:eastAsia="ja-JP"/>
        </w:rPr>
        <w:t xml:space="preserve"> for bosentan at </w:t>
      </w:r>
      <w:r w:rsidR="00CF6063">
        <w:rPr>
          <w:lang w:eastAsia="ja-JP"/>
        </w:rPr>
        <w:t>steady state</w:t>
      </w:r>
      <w:r w:rsidRPr="00D87EBA">
        <w:rPr>
          <w:lang w:eastAsia="ja-JP"/>
        </w:rPr>
        <w:t xml:space="preserve"> (880 ng/mL [95% CI 339.2,</w:t>
      </w:r>
      <w:r>
        <w:rPr>
          <w:lang w:eastAsia="ja-JP"/>
        </w:rPr>
        <w:t xml:space="preserve"> </w:t>
      </w:r>
      <w:r w:rsidRPr="00D87EBA">
        <w:rPr>
          <w:lang w:eastAsia="ja-JP"/>
        </w:rPr>
        <w:t>2282.7]) was approximately 30 times higher than on Day 1 (30.1 ng/mL [95% CI 2.4,</w:t>
      </w:r>
      <w:r>
        <w:rPr>
          <w:lang w:eastAsia="ja-JP"/>
        </w:rPr>
        <w:t xml:space="preserve"> </w:t>
      </w:r>
      <w:r w:rsidRPr="00D87EBA">
        <w:rPr>
          <w:lang w:eastAsia="ja-JP"/>
        </w:rPr>
        <w:t xml:space="preserve">372.2]) as </w:t>
      </w:r>
      <w:r w:rsidRPr="005F754D">
        <w:rPr>
          <w:lang w:eastAsia="ja-JP"/>
        </w:rPr>
        <w:t>shown in</w:t>
      </w:r>
      <w:r w:rsidR="005F754D" w:rsidRPr="005F754D">
        <w:rPr>
          <w:lang w:eastAsia="ja-JP"/>
        </w:rPr>
        <w:t xml:space="preserve"> Table 17</w:t>
      </w:r>
      <w:r w:rsidRPr="005F754D">
        <w:rPr>
          <w:lang w:eastAsia="ja-JP"/>
        </w:rPr>
        <w:t>.</w:t>
      </w:r>
    </w:p>
    <w:p w14:paraId="72861352" w14:textId="77777777" w:rsidR="00F42144" w:rsidRDefault="00F42144" w:rsidP="00F42144">
      <w:pPr>
        <w:rPr>
          <w:lang w:eastAsia="ja-JP"/>
        </w:rPr>
      </w:pPr>
      <w:r w:rsidRPr="00D87EBA">
        <w:rPr>
          <w:lang w:eastAsia="ja-JP"/>
        </w:rPr>
        <w:t>The metabolite to parent geometric mean ratios on Day 1 (0.0004, 0.0061, and 0.0110 for</w:t>
      </w:r>
      <w:r>
        <w:rPr>
          <w:lang w:eastAsia="ja-JP"/>
        </w:rPr>
        <w:t xml:space="preserve"> </w:t>
      </w:r>
      <w:r w:rsidR="00A5161C">
        <w:rPr>
          <w:lang w:eastAsia="ja-JP"/>
        </w:rPr>
        <w:t>Ro </w:t>
      </w:r>
      <w:r w:rsidRPr="00D87EBA">
        <w:rPr>
          <w:lang w:eastAsia="ja-JP"/>
        </w:rPr>
        <w:t>47-8634, Ro 48-5033, and Ro 64-1056, respectively) showed that on Day 1</w:t>
      </w:r>
      <w:r>
        <w:rPr>
          <w:lang w:eastAsia="ja-JP"/>
        </w:rPr>
        <w:t xml:space="preserve"> </w:t>
      </w:r>
      <w:r w:rsidRPr="00D87EBA">
        <w:rPr>
          <w:lang w:eastAsia="ja-JP"/>
        </w:rPr>
        <w:t>only very small amounts of metabolites were formed. On Day 5, the metabolite to parent</w:t>
      </w:r>
      <w:r>
        <w:rPr>
          <w:lang w:eastAsia="ja-JP"/>
        </w:rPr>
        <w:t xml:space="preserve"> </w:t>
      </w:r>
      <w:r w:rsidRPr="00D87EBA">
        <w:rPr>
          <w:lang w:eastAsia="ja-JP"/>
        </w:rPr>
        <w:t>geometric mean ratios (0.04, 0.46, and 0.22, respectively) had increased substantially,</w:t>
      </w:r>
      <w:r>
        <w:rPr>
          <w:lang w:eastAsia="ja-JP"/>
        </w:rPr>
        <w:t xml:space="preserve"> </w:t>
      </w:r>
      <w:r w:rsidRPr="00D87EBA">
        <w:rPr>
          <w:lang w:eastAsia="ja-JP"/>
        </w:rPr>
        <w:t>indicating greater metabolism compared to Day 1.</w:t>
      </w:r>
    </w:p>
    <w:p w14:paraId="1CA026A7" w14:textId="77777777" w:rsidR="00F42144" w:rsidRPr="00EA595C" w:rsidRDefault="00F42144" w:rsidP="00F42144">
      <w:pPr>
        <w:rPr>
          <w:lang w:eastAsia="ja-JP"/>
        </w:rPr>
      </w:pPr>
      <w:r w:rsidRPr="00EA595C">
        <w:rPr>
          <w:lang w:eastAsia="ja-JP"/>
        </w:rPr>
        <w:t xml:space="preserve">Potential relationships between bosentan concentrations at </w:t>
      </w:r>
      <w:r w:rsidR="00A5161C">
        <w:rPr>
          <w:lang w:eastAsia="ja-JP"/>
        </w:rPr>
        <w:t>3 hours</w:t>
      </w:r>
      <w:r w:rsidRPr="00EA595C">
        <w:rPr>
          <w:lang w:eastAsia="ja-JP"/>
        </w:rPr>
        <w:t xml:space="preserve"> and </w:t>
      </w:r>
      <w:r w:rsidR="00A5161C">
        <w:rPr>
          <w:lang w:eastAsia="ja-JP"/>
        </w:rPr>
        <w:t>12 hours</w:t>
      </w:r>
      <w:r w:rsidRPr="00EA595C">
        <w:rPr>
          <w:lang w:eastAsia="ja-JP"/>
        </w:rPr>
        <w:t xml:space="preserve"> on Day 1, and the</w:t>
      </w:r>
      <w:r>
        <w:rPr>
          <w:lang w:eastAsia="ja-JP"/>
        </w:rPr>
        <w:t xml:space="preserve"> </w:t>
      </w:r>
      <w:r w:rsidRPr="00EA595C">
        <w:rPr>
          <w:lang w:eastAsia="ja-JP"/>
        </w:rPr>
        <w:t xml:space="preserve">change from baseline in OI </w:t>
      </w:r>
      <w:r>
        <w:rPr>
          <w:lang w:eastAsia="ja-JP"/>
        </w:rPr>
        <w:t xml:space="preserve">or </w:t>
      </w:r>
      <w:r w:rsidRPr="00EA595C">
        <w:rPr>
          <w:lang w:eastAsia="ja-JP"/>
        </w:rPr>
        <w:t>AaDO</w:t>
      </w:r>
      <w:r w:rsidRPr="005F754D">
        <w:rPr>
          <w:vertAlign w:val="subscript"/>
          <w:lang w:eastAsia="ja-JP"/>
        </w:rPr>
        <w:t>2</w:t>
      </w:r>
      <w:r w:rsidRPr="00EA595C">
        <w:rPr>
          <w:lang w:eastAsia="ja-JP"/>
        </w:rPr>
        <w:t xml:space="preserve"> were investigated. The small number of patients coupled</w:t>
      </w:r>
      <w:r>
        <w:rPr>
          <w:lang w:eastAsia="ja-JP"/>
        </w:rPr>
        <w:t xml:space="preserve"> </w:t>
      </w:r>
      <w:r w:rsidRPr="00EA595C">
        <w:rPr>
          <w:lang w:eastAsia="ja-JP"/>
        </w:rPr>
        <w:t>with the high variability in drug concentration on Day 1 meant that it was not possible to</w:t>
      </w:r>
      <w:r>
        <w:rPr>
          <w:lang w:eastAsia="ja-JP"/>
        </w:rPr>
        <w:t xml:space="preserve"> </w:t>
      </w:r>
      <w:r w:rsidRPr="00EA595C">
        <w:rPr>
          <w:lang w:eastAsia="ja-JP"/>
        </w:rPr>
        <w:t xml:space="preserve">detect any relationship. </w:t>
      </w:r>
      <w:r>
        <w:rPr>
          <w:lang w:eastAsia="ja-JP"/>
        </w:rPr>
        <w:t>A</w:t>
      </w:r>
      <w:r w:rsidRPr="00EA595C">
        <w:rPr>
          <w:lang w:eastAsia="ja-JP"/>
        </w:rPr>
        <w:t>nalyses of the mean change in OI</w:t>
      </w:r>
      <w:r>
        <w:rPr>
          <w:lang w:eastAsia="ja-JP"/>
        </w:rPr>
        <w:t xml:space="preserve"> </w:t>
      </w:r>
      <w:r w:rsidRPr="00EA595C">
        <w:rPr>
          <w:lang w:eastAsia="ja-JP"/>
        </w:rPr>
        <w:t>and in AaDO</w:t>
      </w:r>
      <w:r w:rsidRPr="005F754D">
        <w:rPr>
          <w:vertAlign w:val="subscript"/>
          <w:lang w:eastAsia="ja-JP"/>
        </w:rPr>
        <w:t>2</w:t>
      </w:r>
      <w:r w:rsidRPr="00EA595C">
        <w:rPr>
          <w:lang w:eastAsia="ja-JP"/>
        </w:rPr>
        <w:t xml:space="preserve"> </w:t>
      </w:r>
      <w:r w:rsidR="00E77015">
        <w:rPr>
          <w:lang w:eastAsia="ja-JP"/>
        </w:rPr>
        <w:t>versus</w:t>
      </w:r>
      <w:r w:rsidRPr="00EA595C">
        <w:rPr>
          <w:lang w:eastAsia="ja-JP"/>
        </w:rPr>
        <w:t xml:space="preserve"> bosentan exposure (</w:t>
      </w:r>
      <w:r w:rsidRPr="005E389D">
        <w:rPr>
          <w:lang w:eastAsia="ja-JP"/>
        </w:rPr>
        <w:t>AUC</w:t>
      </w:r>
      <w:r w:rsidRPr="00EA595C">
        <w:rPr>
          <w:vertAlign w:val="subscript"/>
          <w:lang w:eastAsia="ja-JP"/>
        </w:rPr>
        <w:t xml:space="preserve">0-24 </w:t>
      </w:r>
      <w:r w:rsidRPr="00EA595C">
        <w:rPr>
          <w:lang w:eastAsia="ja-JP"/>
        </w:rPr>
        <w:t>and C</w:t>
      </w:r>
      <w:r w:rsidRPr="00EA595C">
        <w:rPr>
          <w:vertAlign w:val="subscript"/>
          <w:lang w:eastAsia="ja-JP"/>
        </w:rPr>
        <w:t>max</w:t>
      </w:r>
      <w:r w:rsidRPr="00EA595C">
        <w:rPr>
          <w:lang w:eastAsia="ja-JP"/>
        </w:rPr>
        <w:t>) on Days 1 and 5 did not show any</w:t>
      </w:r>
      <w:r>
        <w:rPr>
          <w:lang w:eastAsia="ja-JP"/>
        </w:rPr>
        <w:t xml:space="preserve"> </w:t>
      </w:r>
      <w:r w:rsidRPr="00EA595C">
        <w:rPr>
          <w:lang w:eastAsia="ja-JP"/>
        </w:rPr>
        <w:t>relationship.</w:t>
      </w:r>
    </w:p>
    <w:p w14:paraId="46F7A3DE" w14:textId="77777777" w:rsidR="00F42144" w:rsidRDefault="00F42144" w:rsidP="00F42144">
      <w:pPr>
        <w:rPr>
          <w:lang w:eastAsia="ja-JP"/>
        </w:rPr>
      </w:pPr>
      <w:r w:rsidRPr="00EA595C">
        <w:rPr>
          <w:lang w:eastAsia="ja-JP"/>
        </w:rPr>
        <w:t>The time to complete weaning from iNO did not show any relationship to bosentan</w:t>
      </w:r>
      <w:r>
        <w:rPr>
          <w:lang w:eastAsia="ja-JP"/>
        </w:rPr>
        <w:t xml:space="preserve"> </w:t>
      </w:r>
      <w:r w:rsidRPr="00EA595C">
        <w:rPr>
          <w:lang w:eastAsia="ja-JP"/>
        </w:rPr>
        <w:t>exposure.</w:t>
      </w:r>
    </w:p>
    <w:p w14:paraId="25565544" w14:textId="6D9A3ED9" w:rsidR="00F42144" w:rsidRDefault="00F42144" w:rsidP="00F42144">
      <w:pPr>
        <w:pStyle w:val="Tabletitle"/>
      </w:pPr>
      <w:bookmarkStart w:id="96" w:name="_Ref463519089"/>
      <w:bookmarkStart w:id="97" w:name="_Toc473884061"/>
      <w:r w:rsidRPr="005F754D">
        <w:t xml:space="preserve">Table </w:t>
      </w:r>
      <w:bookmarkEnd w:id="96"/>
      <w:r w:rsidR="005F754D">
        <w:t>17:</w:t>
      </w:r>
      <w:r w:rsidRPr="005F754D">
        <w:t xml:space="preserve"> FUTURE</w:t>
      </w:r>
      <w:r>
        <w:t xml:space="preserve">-4 </w:t>
      </w:r>
      <w:r w:rsidRPr="00984F02">
        <w:t>Summary of bosentan, Ro 47-8634, Ro 48-5033, and Ro 64-1056, PK</w:t>
      </w:r>
      <w:r w:rsidR="009B4988">
        <w:t> </w:t>
      </w:r>
      <w:r w:rsidRPr="00984F02">
        <w:t>analysis set</w:t>
      </w:r>
      <w:bookmarkEnd w:id="97"/>
    </w:p>
    <w:p w14:paraId="7C11CE77" w14:textId="77777777" w:rsidR="000F1977" w:rsidRDefault="00F42144" w:rsidP="00586F98">
      <w:r>
        <w:rPr>
          <w:noProof/>
          <w:lang w:eastAsia="en-AU"/>
        </w:rPr>
        <w:drawing>
          <wp:inline distT="0" distB="0" distL="0" distR="0" wp14:anchorId="29C53872" wp14:editId="0E132397">
            <wp:extent cx="5522976" cy="1581365"/>
            <wp:effectExtent l="0" t="0" r="1905" b="0"/>
            <wp:docPr id="21" name="Picture 21" descr="Table 17: FUTURE-4 Summary of bosentan, Ro 47-8634, Ro 48-5033, and Ro 64-1056,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BEBA8EAE-BF5A-486C-A8C5-ECC9F3942E4B}">
                          <a14:imgProps xmlns:a14="http://schemas.microsoft.com/office/drawing/2010/main">
                            <a14:imgLayer r:embed="rId40">
                              <a14:imgEffect>
                                <a14:brightnessContrast contrast="-40000"/>
                              </a14:imgEffect>
                            </a14:imgLayer>
                          </a14:imgProps>
                        </a:ext>
                      </a:extLst>
                    </a:blip>
                    <a:stretch>
                      <a:fillRect/>
                    </a:stretch>
                  </pic:blipFill>
                  <pic:spPr>
                    <a:xfrm>
                      <a:off x="0" y="0"/>
                      <a:ext cx="5531298" cy="1583748"/>
                    </a:xfrm>
                    <a:prstGeom prst="rect">
                      <a:avLst/>
                    </a:prstGeom>
                  </pic:spPr>
                </pic:pic>
              </a:graphicData>
            </a:graphic>
          </wp:inline>
        </w:drawing>
      </w:r>
    </w:p>
    <w:p w14:paraId="522AB758" w14:textId="77777777" w:rsidR="00F42144" w:rsidRDefault="00F42144" w:rsidP="00F42144">
      <w:pPr>
        <w:pStyle w:val="Tabletitle"/>
      </w:pPr>
      <w:bookmarkStart w:id="98" w:name="_Ref463519385"/>
      <w:bookmarkStart w:id="99" w:name="_Toc473884062"/>
      <w:r w:rsidRPr="005F754D">
        <w:t xml:space="preserve">Table </w:t>
      </w:r>
      <w:bookmarkEnd w:id="98"/>
      <w:r w:rsidR="005F754D" w:rsidRPr="005F754D">
        <w:t>18:</w:t>
      </w:r>
      <w:r w:rsidR="005F754D">
        <w:t xml:space="preserve"> </w:t>
      </w:r>
      <w:r>
        <w:t xml:space="preserve">FUTURE-4 </w:t>
      </w:r>
      <w:r w:rsidRPr="00884377">
        <w:t>Metabolites to bosentan exposure ratios, PK analysis set</w:t>
      </w:r>
      <w:bookmarkEnd w:id="99"/>
    </w:p>
    <w:p w14:paraId="4BC89E95" w14:textId="77777777" w:rsidR="000F1977" w:rsidRDefault="00F42144" w:rsidP="00586F98">
      <w:r>
        <w:rPr>
          <w:noProof/>
          <w:lang w:eastAsia="en-AU"/>
        </w:rPr>
        <w:drawing>
          <wp:inline distT="0" distB="0" distL="0" distR="0" wp14:anchorId="0F4917D9" wp14:editId="022497F5">
            <wp:extent cx="5076749" cy="1084233"/>
            <wp:effectExtent l="0" t="0" r="0" b="1905"/>
            <wp:docPr id="22" name="Picture 22" descr="Table 18: FUTURE-4 Metabolites to bosentan exposure ratios,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86847" cy="1086390"/>
                    </a:xfrm>
                    <a:prstGeom prst="rect">
                      <a:avLst/>
                    </a:prstGeom>
                  </pic:spPr>
                </pic:pic>
              </a:graphicData>
            </a:graphic>
          </wp:inline>
        </w:drawing>
      </w:r>
    </w:p>
    <w:p w14:paraId="6A789E61" w14:textId="5169F00F" w:rsidR="00F42144" w:rsidRPr="00DC4C62" w:rsidRDefault="00F42144" w:rsidP="00F42144">
      <w:pPr>
        <w:pStyle w:val="FigureTitle"/>
      </w:pPr>
      <w:bookmarkStart w:id="100" w:name="_Ref464141410"/>
      <w:bookmarkStart w:id="101" w:name="_Ref463517799"/>
      <w:bookmarkStart w:id="102" w:name="_Toc473884158"/>
      <w:r w:rsidRPr="008806DA">
        <w:lastRenderedPageBreak/>
        <w:t xml:space="preserve">Figure </w:t>
      </w:r>
      <w:bookmarkEnd w:id="100"/>
      <w:r w:rsidR="008806DA" w:rsidRPr="008806DA">
        <w:t>7:</w:t>
      </w:r>
      <w:r w:rsidRPr="008806DA">
        <w:t xml:space="preserve"> FUTURE-4 Arithmetic mean whole blood concentration </w:t>
      </w:r>
      <w:r w:rsidR="007C6D8D" w:rsidRPr="008806DA">
        <w:t>versus</w:t>
      </w:r>
      <w:r w:rsidRPr="008806DA">
        <w:t xml:space="preserve"> time profiles of</w:t>
      </w:r>
      <w:r>
        <w:t xml:space="preserve"> bosentan and its metabolites on Day 1 (n</w:t>
      </w:r>
      <w:r w:rsidR="00E77015">
        <w:t xml:space="preserve"> = </w:t>
      </w:r>
      <w:r>
        <w:t>11) and Day 5 (n</w:t>
      </w:r>
      <w:r w:rsidR="00E77015">
        <w:t xml:space="preserve"> = </w:t>
      </w:r>
      <w:r>
        <w:t xml:space="preserve">7) on a linear scale, </w:t>
      </w:r>
      <w:r w:rsidR="007C6D8D">
        <w:t>2</w:t>
      </w:r>
      <w:r w:rsidR="009B4988">
        <w:t> </w:t>
      </w:r>
      <w:r w:rsidR="007C6D8D">
        <w:t>mg</w:t>
      </w:r>
      <w:r>
        <w:t>/kg dose-corrected concentrations; PK analysis set</w:t>
      </w:r>
      <w:bookmarkEnd w:id="101"/>
      <w:bookmarkEnd w:id="102"/>
    </w:p>
    <w:p w14:paraId="3060F0CA" w14:textId="77777777" w:rsidR="000F1977" w:rsidRDefault="00F42144" w:rsidP="00586F98">
      <w:r>
        <w:rPr>
          <w:noProof/>
          <w:lang w:eastAsia="en-AU"/>
        </w:rPr>
        <w:drawing>
          <wp:inline distT="0" distB="0" distL="0" distR="0" wp14:anchorId="50E6475A" wp14:editId="2D4C2E20">
            <wp:extent cx="5003597" cy="2229702"/>
            <wp:effectExtent l="0" t="0" r="6985" b="0"/>
            <wp:docPr id="23" name="Picture 23" descr="Figure 7: FUTURE-4 Arithmetic mean whole blood concentration versus time profiles of bosentan and its metabolites on Day 1 (n = 11) and Day 5 (n = 7) on a linear scale, 2 mg/kg dose-corrected concentrations;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005692" cy="2230636"/>
                    </a:xfrm>
                    <a:prstGeom prst="rect">
                      <a:avLst/>
                    </a:prstGeom>
                  </pic:spPr>
                </pic:pic>
              </a:graphicData>
            </a:graphic>
          </wp:inline>
        </w:drawing>
      </w:r>
    </w:p>
    <w:p w14:paraId="12025166" w14:textId="682B5892" w:rsidR="00F42144" w:rsidRDefault="00F42144" w:rsidP="00E77015">
      <w:pPr>
        <w:pStyle w:val="FigureTitle"/>
      </w:pPr>
      <w:bookmarkStart w:id="103" w:name="_Ref463518042"/>
      <w:bookmarkStart w:id="104" w:name="_Toc473884159"/>
      <w:r w:rsidRPr="008806DA">
        <w:lastRenderedPageBreak/>
        <w:t xml:space="preserve">Figure </w:t>
      </w:r>
      <w:bookmarkEnd w:id="103"/>
      <w:r w:rsidR="008806DA" w:rsidRPr="008806DA">
        <w:t>8:</w:t>
      </w:r>
      <w:r w:rsidRPr="008806DA">
        <w:t xml:space="preserve"> FUTURE</w:t>
      </w:r>
      <w:r>
        <w:t xml:space="preserve">-4 </w:t>
      </w:r>
      <w:r w:rsidRPr="0051723E">
        <w:t>Mean dose-corrected (</w:t>
      </w:r>
      <w:r>
        <w:t>±</w:t>
      </w:r>
      <w:r w:rsidRPr="0051723E">
        <w:t xml:space="preserve"> SD) whole blood profiles for bosentan,</w:t>
      </w:r>
      <w:r>
        <w:t xml:space="preserve"> </w:t>
      </w:r>
      <w:r w:rsidRPr="0051723E">
        <w:t>Ro</w:t>
      </w:r>
      <w:r w:rsidR="009B4988">
        <w:t> </w:t>
      </w:r>
      <w:r w:rsidRPr="0051723E">
        <w:t>47-8634, Ro 48-5033, and Ro 64-1056 (linear scale), PK analysis set</w:t>
      </w:r>
      <w:bookmarkEnd w:id="104"/>
    </w:p>
    <w:p w14:paraId="7DF96BA0" w14:textId="77777777" w:rsidR="000F1977" w:rsidRDefault="00F42144" w:rsidP="00586F98">
      <w:r>
        <w:rPr>
          <w:noProof/>
          <w:lang w:eastAsia="en-AU"/>
        </w:rPr>
        <w:drawing>
          <wp:inline distT="0" distB="0" distL="0" distR="0" wp14:anchorId="5E9257B7" wp14:editId="2F3BFC5F">
            <wp:extent cx="5048250" cy="8153400"/>
            <wp:effectExtent l="0" t="0" r="0" b="0"/>
            <wp:docPr id="24" name="Picture 24" descr="Figure 8: FUTURE-4 Mean dose-corrected (± SD) whole blood profiles for bosentan, Ro 47-8634, Ro 48-5033, and Ro 64-1056 (linear scale),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BEBA8EAE-BF5A-486C-A8C5-ECC9F3942E4B}">
                          <a14:imgProps xmlns:a14="http://schemas.microsoft.com/office/drawing/2010/main">
                            <a14:imgLayer r:embed="rId44">
                              <a14:imgEffect>
                                <a14:sharpenSoften amount="25000"/>
                              </a14:imgEffect>
                            </a14:imgLayer>
                          </a14:imgProps>
                        </a:ext>
                      </a:extLst>
                    </a:blip>
                    <a:stretch>
                      <a:fillRect/>
                    </a:stretch>
                  </pic:blipFill>
                  <pic:spPr>
                    <a:xfrm>
                      <a:off x="0" y="0"/>
                      <a:ext cx="5048250" cy="8153400"/>
                    </a:xfrm>
                    <a:prstGeom prst="rect">
                      <a:avLst/>
                    </a:prstGeom>
                  </pic:spPr>
                </pic:pic>
              </a:graphicData>
            </a:graphic>
          </wp:inline>
        </w:drawing>
      </w:r>
    </w:p>
    <w:p w14:paraId="64A2D474" w14:textId="77777777" w:rsidR="00F42144" w:rsidRDefault="00F42144" w:rsidP="00F42144">
      <w:pPr>
        <w:pStyle w:val="FigureTitle"/>
      </w:pPr>
      <w:bookmarkStart w:id="105" w:name="_Ref464209363"/>
      <w:bookmarkStart w:id="106" w:name="_Toc473884160"/>
      <w:r w:rsidRPr="008806DA">
        <w:lastRenderedPageBreak/>
        <w:t xml:space="preserve">Figure </w:t>
      </w:r>
      <w:bookmarkEnd w:id="105"/>
      <w:r w:rsidR="008806DA" w:rsidRPr="008806DA">
        <w:t>9:</w:t>
      </w:r>
      <w:r w:rsidRPr="008806DA">
        <w:t xml:space="preserve"> FUTURE</w:t>
      </w:r>
      <w:r w:rsidRPr="00DF6424">
        <w:t>-4 Relationship between severity of the disease at baseline (OI) and systemic exposure to bosentan on Day 5, PK analysis set</w:t>
      </w:r>
      <w:bookmarkEnd w:id="106"/>
    </w:p>
    <w:p w14:paraId="55BD65BE" w14:textId="77777777" w:rsidR="00E05703" w:rsidRDefault="00F42144" w:rsidP="00586F98">
      <w:r>
        <w:rPr>
          <w:noProof/>
          <w:lang w:eastAsia="en-AU"/>
        </w:rPr>
        <w:drawing>
          <wp:inline distT="0" distB="0" distL="0" distR="0" wp14:anchorId="2B4D89C7" wp14:editId="58AB52C9">
            <wp:extent cx="3247949" cy="3495945"/>
            <wp:effectExtent l="0" t="0" r="0" b="0"/>
            <wp:docPr id="25" name="Picture 25" descr="Figure 9: FUTURE-4 Relationship between severity of the disease at baseline (OI) and systemic exposure to bosentan on Day 5, PK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BEBA8EAE-BF5A-486C-A8C5-ECC9F3942E4B}">
                          <a14:imgProps xmlns:a14="http://schemas.microsoft.com/office/drawing/2010/main">
                            <a14:imgLayer r:embed="rId46">
                              <a14:imgEffect>
                                <a14:brightnessContrast contrast="-40000"/>
                              </a14:imgEffect>
                            </a14:imgLayer>
                          </a14:imgProps>
                        </a:ext>
                      </a:extLst>
                    </a:blip>
                    <a:stretch>
                      <a:fillRect/>
                    </a:stretch>
                  </pic:blipFill>
                  <pic:spPr>
                    <a:xfrm>
                      <a:off x="0" y="0"/>
                      <a:ext cx="3248008" cy="3496009"/>
                    </a:xfrm>
                    <a:prstGeom prst="rect">
                      <a:avLst/>
                    </a:prstGeom>
                  </pic:spPr>
                </pic:pic>
              </a:graphicData>
            </a:graphic>
          </wp:inline>
        </w:drawing>
      </w:r>
    </w:p>
    <w:p w14:paraId="5DF510AC" w14:textId="77777777" w:rsidR="00F42144" w:rsidRPr="00F42144" w:rsidRDefault="00F42144" w:rsidP="00153B34">
      <w:pPr>
        <w:pStyle w:val="Heading4"/>
        <w:numPr>
          <w:ilvl w:val="2"/>
          <w:numId w:val="10"/>
        </w:numPr>
      </w:pPr>
      <w:r w:rsidRPr="00F42144">
        <w:t>Pharmacokinetics in special populations</w:t>
      </w:r>
      <w:bookmarkStart w:id="107" w:name="_Toc272414629"/>
      <w:bookmarkStart w:id="108" w:name="_Toc290888478"/>
      <w:bookmarkStart w:id="109" w:name="_Toc416353674"/>
    </w:p>
    <w:p w14:paraId="1D8D90D8" w14:textId="77777777" w:rsidR="00F42144" w:rsidRPr="00F42144" w:rsidRDefault="00F42144" w:rsidP="00F42144">
      <w:pPr>
        <w:pStyle w:val="Heading5"/>
      </w:pPr>
      <w:r w:rsidRPr="00F42144">
        <w:t>Pharmacokinetics according to age</w:t>
      </w:r>
      <w:bookmarkEnd w:id="107"/>
      <w:bookmarkEnd w:id="108"/>
      <w:bookmarkEnd w:id="109"/>
    </w:p>
    <w:p w14:paraId="5AFA79B2" w14:textId="77777777" w:rsidR="00F42144" w:rsidRDefault="00F42144" w:rsidP="00F42144">
      <w:pPr>
        <w:rPr>
          <w:lang w:eastAsia="ja-JP"/>
        </w:rPr>
      </w:pPr>
      <w:r w:rsidRPr="00D02158">
        <w:rPr>
          <w:lang w:eastAsia="ja-JP"/>
        </w:rPr>
        <w:t xml:space="preserve">The findings of lower average </w:t>
      </w:r>
      <w:r w:rsidRPr="004226DF">
        <w:t>exposure</w:t>
      </w:r>
      <w:r w:rsidRPr="00D02158">
        <w:rPr>
          <w:lang w:eastAsia="ja-JP"/>
        </w:rPr>
        <w:t xml:space="preserve"> in children compared with</w:t>
      </w:r>
      <w:r>
        <w:rPr>
          <w:lang w:eastAsia="ja-JP"/>
        </w:rPr>
        <w:t xml:space="preserve"> </w:t>
      </w:r>
      <w:r w:rsidRPr="00D02158">
        <w:rPr>
          <w:lang w:eastAsia="ja-JP"/>
        </w:rPr>
        <w:t>adults at a given mg/kg dose of bosentan made in BREATHE-3 were confirmed in</w:t>
      </w:r>
      <w:r>
        <w:rPr>
          <w:lang w:eastAsia="ja-JP"/>
        </w:rPr>
        <w:t xml:space="preserve"> </w:t>
      </w:r>
      <w:r w:rsidRPr="00D02158">
        <w:rPr>
          <w:lang w:eastAsia="ja-JP"/>
        </w:rPr>
        <w:t>FUTURE-1</w:t>
      </w:r>
      <w:r>
        <w:rPr>
          <w:lang w:eastAsia="ja-JP"/>
        </w:rPr>
        <w:t>. T</w:t>
      </w:r>
      <w:r w:rsidRPr="00CF6A4F">
        <w:rPr>
          <w:lang w:eastAsia="ja-JP"/>
        </w:rPr>
        <w:t>he exposure to bosentan in the subgroup of patients in FUTURE-1</w:t>
      </w:r>
      <w:r>
        <w:rPr>
          <w:lang w:eastAsia="ja-JP"/>
        </w:rPr>
        <w:t xml:space="preserve"> </w:t>
      </w:r>
      <w:r w:rsidRPr="00CF6A4F">
        <w:rPr>
          <w:lang w:eastAsia="ja-JP"/>
        </w:rPr>
        <w:t xml:space="preserve">who underwent </w:t>
      </w:r>
      <w:r>
        <w:rPr>
          <w:lang w:eastAsia="ja-JP"/>
        </w:rPr>
        <w:t xml:space="preserve">two PK assessments </w:t>
      </w:r>
      <w:r w:rsidRPr="00CF6A4F">
        <w:rPr>
          <w:lang w:eastAsia="ja-JP"/>
        </w:rPr>
        <w:t xml:space="preserve">was similar for both </w:t>
      </w:r>
      <w:r>
        <w:rPr>
          <w:lang w:eastAsia="ja-JP"/>
        </w:rPr>
        <w:t>the 2 and 4 mg/kg doses, suggesting</w:t>
      </w:r>
      <w:r w:rsidRPr="00CF6A4F">
        <w:rPr>
          <w:lang w:eastAsia="ja-JP"/>
        </w:rPr>
        <w:t xml:space="preserve"> that in paediatric</w:t>
      </w:r>
      <w:r>
        <w:rPr>
          <w:lang w:eastAsia="ja-JP"/>
        </w:rPr>
        <w:t xml:space="preserve"> </w:t>
      </w:r>
      <w:r w:rsidRPr="00CF6A4F">
        <w:rPr>
          <w:lang w:eastAsia="ja-JP"/>
        </w:rPr>
        <w:t>patients an exposure plateau is reached at lower doses when compared to adults.</w:t>
      </w:r>
      <w:r>
        <w:rPr>
          <w:lang w:eastAsia="ja-JP"/>
        </w:rPr>
        <w:t xml:space="preserve"> The </w:t>
      </w:r>
      <w:r w:rsidR="007C6D8D">
        <w:rPr>
          <w:lang w:eastAsia="ja-JP"/>
        </w:rPr>
        <w:t>sponsor</w:t>
      </w:r>
      <w:r>
        <w:rPr>
          <w:lang w:eastAsia="ja-JP"/>
        </w:rPr>
        <w:t xml:space="preserve"> states that increasing the dose further is unlikely to increase the</w:t>
      </w:r>
      <w:r w:rsidRPr="003D7557">
        <w:rPr>
          <w:lang w:eastAsia="ja-JP"/>
        </w:rPr>
        <w:t xml:space="preserve"> average exposure</w:t>
      </w:r>
      <w:r>
        <w:rPr>
          <w:lang w:eastAsia="ja-JP"/>
        </w:rPr>
        <w:t xml:space="preserve"> to </w:t>
      </w:r>
      <w:r w:rsidRPr="003D7557">
        <w:rPr>
          <w:lang w:eastAsia="ja-JP"/>
        </w:rPr>
        <w:t>that observed in adult PAH patients.</w:t>
      </w:r>
      <w:bookmarkStart w:id="110" w:name="_Ref461787882"/>
      <w:r w:rsidRPr="00B24108">
        <w:t xml:space="preserve"> </w:t>
      </w:r>
      <w:r>
        <w:rPr>
          <w:lang w:eastAsia="ja-JP"/>
        </w:rPr>
        <w:t xml:space="preserve">The </w:t>
      </w:r>
      <w:r w:rsidR="007C6D8D">
        <w:rPr>
          <w:lang w:eastAsia="ja-JP"/>
        </w:rPr>
        <w:t>sponsor</w:t>
      </w:r>
      <w:r>
        <w:rPr>
          <w:lang w:eastAsia="ja-JP"/>
        </w:rPr>
        <w:t xml:space="preserve"> states t</w:t>
      </w:r>
      <w:r w:rsidRPr="00D02158">
        <w:rPr>
          <w:lang w:eastAsia="ja-JP"/>
        </w:rPr>
        <w:t xml:space="preserve">here are no indications from the biopharmaceutical and pharmacology data </w:t>
      </w:r>
      <w:r>
        <w:rPr>
          <w:lang w:eastAsia="ja-JP"/>
        </w:rPr>
        <w:t xml:space="preserve">to suggest that the </w:t>
      </w:r>
      <w:r w:rsidRPr="00D02158">
        <w:rPr>
          <w:lang w:eastAsia="ja-JP"/>
        </w:rPr>
        <w:t>new paediatric dispersible tablet</w:t>
      </w:r>
      <w:r>
        <w:rPr>
          <w:lang w:eastAsia="ja-JP"/>
        </w:rPr>
        <w:t xml:space="preserve"> </w:t>
      </w:r>
      <w:r w:rsidRPr="00D02158">
        <w:rPr>
          <w:lang w:eastAsia="ja-JP"/>
        </w:rPr>
        <w:t>formulation would be a limiting factor.</w:t>
      </w:r>
    </w:p>
    <w:p w14:paraId="561B8997" w14:textId="5E460074" w:rsidR="00F42144" w:rsidRDefault="008806DA" w:rsidP="00F42144">
      <w:pPr>
        <w:rPr>
          <w:lang w:eastAsia="ja-JP"/>
        </w:rPr>
      </w:pPr>
      <w:r w:rsidRPr="008806DA">
        <w:rPr>
          <w:lang w:eastAsia="ja-JP"/>
        </w:rPr>
        <w:t xml:space="preserve">Figure 10 </w:t>
      </w:r>
      <w:r w:rsidR="00F42144" w:rsidRPr="008806DA">
        <w:rPr>
          <w:lang w:eastAsia="ja-JP"/>
        </w:rPr>
        <w:t>shows the</w:t>
      </w:r>
      <w:r w:rsidR="00F42144" w:rsidRPr="003D7557">
        <w:rPr>
          <w:lang w:eastAsia="ja-JP"/>
        </w:rPr>
        <w:t xml:space="preserve"> individual AUC</w:t>
      </w:r>
      <w:r w:rsidR="00F42144" w:rsidRPr="005040D3">
        <w:rPr>
          <w:rFonts w:hint="eastAsia"/>
          <w:vertAlign w:val="subscript"/>
          <w:lang w:eastAsia="ja-JP"/>
        </w:rPr>
        <w:t>τ</w:t>
      </w:r>
      <w:r w:rsidR="00F42144">
        <w:rPr>
          <w:lang w:eastAsia="ja-JP"/>
        </w:rPr>
        <w:t xml:space="preserve"> values as measured in FUTURE-1 </w:t>
      </w:r>
      <w:r w:rsidR="00F42144" w:rsidRPr="003D7557">
        <w:rPr>
          <w:lang w:eastAsia="ja-JP"/>
        </w:rPr>
        <w:t xml:space="preserve">in comparison to those measured in </w:t>
      </w:r>
      <w:r w:rsidR="009B4988">
        <w:rPr>
          <w:lang w:eastAsia="ja-JP"/>
        </w:rPr>
        <w:t xml:space="preserve">Study </w:t>
      </w:r>
      <w:r w:rsidR="00F42144" w:rsidRPr="003D7557">
        <w:rPr>
          <w:lang w:eastAsia="ja-JP"/>
        </w:rPr>
        <w:t>AC-052-357 a</w:t>
      </w:r>
      <w:r w:rsidR="00F42144">
        <w:rPr>
          <w:lang w:eastAsia="ja-JP"/>
        </w:rPr>
        <w:t xml:space="preserve">nd BREATHE-3, and also includes </w:t>
      </w:r>
      <w:r w:rsidR="00F42144" w:rsidRPr="003D7557">
        <w:rPr>
          <w:lang w:eastAsia="ja-JP"/>
        </w:rPr>
        <w:t xml:space="preserve">available PK data from </w:t>
      </w:r>
      <w:r w:rsidR="00E77015">
        <w:rPr>
          <w:lang w:eastAsia="ja-JP"/>
        </w:rPr>
        <w:t>Study</w:t>
      </w:r>
      <w:r w:rsidR="00A5161C">
        <w:rPr>
          <w:lang w:eastAsia="ja-JP"/>
        </w:rPr>
        <w:t> AC</w:t>
      </w:r>
      <w:r w:rsidR="00A5161C">
        <w:rPr>
          <w:lang w:eastAsia="ja-JP"/>
        </w:rPr>
        <w:noBreakHyphen/>
      </w:r>
      <w:r w:rsidR="00F42144" w:rsidRPr="003D7557">
        <w:rPr>
          <w:lang w:eastAsia="ja-JP"/>
        </w:rPr>
        <w:t>052-364 (EARLY) in adult PA</w:t>
      </w:r>
      <w:r w:rsidR="00F42144">
        <w:rPr>
          <w:lang w:eastAsia="ja-JP"/>
        </w:rPr>
        <w:t>H patients in WHO FC</w:t>
      </w:r>
      <w:r w:rsidR="00F42144" w:rsidRPr="003D7557">
        <w:rPr>
          <w:lang w:eastAsia="ja-JP"/>
        </w:rPr>
        <w:t xml:space="preserve"> II. There is a large overlap</w:t>
      </w:r>
      <w:r w:rsidR="00F42144">
        <w:rPr>
          <w:lang w:eastAsia="ja-JP"/>
        </w:rPr>
        <w:t xml:space="preserve"> between BREATHE-3 and FUTURE-1 </w:t>
      </w:r>
      <w:r w:rsidR="00F42144" w:rsidRPr="003D7557">
        <w:rPr>
          <w:lang w:eastAsia="ja-JP"/>
        </w:rPr>
        <w:t xml:space="preserve">results, </w:t>
      </w:r>
      <w:r w:rsidR="00F42144" w:rsidRPr="004226DF">
        <w:t>despite</w:t>
      </w:r>
      <w:r w:rsidR="00F42144" w:rsidRPr="003D7557">
        <w:rPr>
          <w:lang w:eastAsia="ja-JP"/>
        </w:rPr>
        <w:t xml:space="preserve"> the different dose intensities used i</w:t>
      </w:r>
      <w:r w:rsidR="00F42144">
        <w:rPr>
          <w:lang w:eastAsia="ja-JP"/>
        </w:rPr>
        <w:t xml:space="preserve">n the two studies. Although, on </w:t>
      </w:r>
      <w:r w:rsidR="00F42144" w:rsidRPr="003D7557">
        <w:rPr>
          <w:lang w:eastAsia="ja-JP"/>
        </w:rPr>
        <w:t>average, the exposure to bosentan was higher in adult patients when compare</w:t>
      </w:r>
      <w:r w:rsidR="00F42144">
        <w:rPr>
          <w:lang w:eastAsia="ja-JP"/>
        </w:rPr>
        <w:t xml:space="preserve">d to </w:t>
      </w:r>
      <w:r w:rsidR="00F42144" w:rsidRPr="003D7557">
        <w:rPr>
          <w:lang w:eastAsia="ja-JP"/>
        </w:rPr>
        <w:t>paediatric patients, there is a</w:t>
      </w:r>
      <w:r w:rsidR="00F42144">
        <w:rPr>
          <w:lang w:eastAsia="ja-JP"/>
        </w:rPr>
        <w:t>n</w:t>
      </w:r>
      <w:r w:rsidR="00F42144" w:rsidRPr="003D7557">
        <w:rPr>
          <w:lang w:eastAsia="ja-JP"/>
        </w:rPr>
        <w:t xml:space="preserve"> overlap. At pre</w:t>
      </w:r>
      <w:r w:rsidR="00F42144">
        <w:rPr>
          <w:lang w:eastAsia="ja-JP"/>
        </w:rPr>
        <w:t xml:space="preserve">sent, it is unknown what caused </w:t>
      </w:r>
      <w:r w:rsidR="00F42144" w:rsidRPr="003D7557">
        <w:rPr>
          <w:lang w:eastAsia="ja-JP"/>
        </w:rPr>
        <w:t>the exposure to bosentan to be much higher in one patient in FUTURE-1.</w:t>
      </w:r>
    </w:p>
    <w:p w14:paraId="797A3D38" w14:textId="61F1D32C" w:rsidR="00F42144" w:rsidRPr="003D7557" w:rsidRDefault="00F42144" w:rsidP="00F42144">
      <w:pPr>
        <w:pStyle w:val="FigureTitle"/>
        <w:rPr>
          <w:lang w:eastAsia="ja-JP"/>
        </w:rPr>
      </w:pPr>
      <w:bookmarkStart w:id="111" w:name="_Ref460926024"/>
      <w:bookmarkStart w:id="112" w:name="_Toc473884161"/>
      <w:bookmarkEnd w:id="110"/>
      <w:r w:rsidRPr="008806DA">
        <w:lastRenderedPageBreak/>
        <w:t xml:space="preserve">Figure </w:t>
      </w:r>
      <w:bookmarkEnd w:id="111"/>
      <w:r w:rsidR="008806DA" w:rsidRPr="008806DA">
        <w:t>10:</w:t>
      </w:r>
      <w:r w:rsidRPr="008806DA">
        <w:t xml:space="preserve"> Individual </w:t>
      </w:r>
      <w:r w:rsidR="00A5161C" w:rsidRPr="008806DA">
        <w:t>AUC</w:t>
      </w:r>
      <w:r w:rsidR="00A5161C" w:rsidRPr="008806DA">
        <w:rPr>
          <w:vertAlign w:val="subscript"/>
        </w:rPr>
        <w:t>0-12</w:t>
      </w:r>
      <w:r w:rsidRPr="008806DA">
        <w:t xml:space="preserve"> values of bosentan for </w:t>
      </w:r>
      <w:r w:rsidR="008806DA">
        <w:t xml:space="preserve">FUTURE-1, BREATHE-3, </w:t>
      </w:r>
      <w:r w:rsidR="009B4988">
        <w:t>and Studies </w:t>
      </w:r>
      <w:r w:rsidR="008806DA">
        <w:t>AC</w:t>
      </w:r>
      <w:r w:rsidR="008806DA">
        <w:noBreakHyphen/>
      </w:r>
      <w:r>
        <w:t>052-364 EARLY and AC-052-357</w:t>
      </w:r>
      <w:bookmarkEnd w:id="112"/>
    </w:p>
    <w:p w14:paraId="618B859A" w14:textId="77777777" w:rsidR="00F42144" w:rsidRDefault="00F42144" w:rsidP="00586F98">
      <w:r>
        <w:rPr>
          <w:noProof/>
          <w:lang w:eastAsia="en-AU"/>
        </w:rPr>
        <w:drawing>
          <wp:inline distT="0" distB="0" distL="0" distR="0" wp14:anchorId="3F93CB67" wp14:editId="23EEF4DA">
            <wp:extent cx="4161816" cy="2757830"/>
            <wp:effectExtent l="0" t="0" r="0" b="4445"/>
            <wp:docPr id="26" name="Picture 26" descr="Figure 10: Individual AUC0-12 values of bosentan for studies FUTURE-1, BREATHE-3, AC-052-364 EARLY and AC-052-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4159125" cy="2756047"/>
                    </a:xfrm>
                    <a:prstGeom prst="rect">
                      <a:avLst/>
                    </a:prstGeom>
                  </pic:spPr>
                </pic:pic>
              </a:graphicData>
            </a:graphic>
          </wp:inline>
        </w:drawing>
      </w:r>
    </w:p>
    <w:p w14:paraId="40915351" w14:textId="77777777" w:rsidR="00F42144" w:rsidRPr="00F42144" w:rsidRDefault="00F42144" w:rsidP="00153B34">
      <w:pPr>
        <w:pStyle w:val="Heading4"/>
        <w:numPr>
          <w:ilvl w:val="2"/>
          <w:numId w:val="11"/>
        </w:numPr>
      </w:pPr>
      <w:bookmarkStart w:id="113" w:name="_Toc416353677"/>
      <w:bookmarkStart w:id="114" w:name="_Toc421005247"/>
      <w:bookmarkStart w:id="115" w:name="_Toc432079129"/>
      <w:bookmarkStart w:id="116" w:name="_Toc432080702"/>
      <w:r w:rsidRPr="00F42144">
        <w:t>Population pharmacokinetics</w:t>
      </w:r>
      <w:bookmarkEnd w:id="113"/>
      <w:bookmarkEnd w:id="114"/>
      <w:bookmarkEnd w:id="115"/>
      <w:bookmarkEnd w:id="116"/>
    </w:p>
    <w:p w14:paraId="22361342" w14:textId="77777777" w:rsidR="00F42144" w:rsidRPr="00F42144" w:rsidRDefault="00F42144" w:rsidP="00F42144">
      <w:pPr>
        <w:pStyle w:val="Heading5"/>
      </w:pPr>
      <w:r w:rsidRPr="00F42144">
        <w:t xml:space="preserve">AC-052-373 </w:t>
      </w:r>
      <w:r w:rsidR="009C6335">
        <w:t>FUTURE-3</w:t>
      </w:r>
      <w:r w:rsidRPr="00F42144">
        <w:t xml:space="preserve"> (PopPK analysis)</w:t>
      </w:r>
    </w:p>
    <w:p w14:paraId="0F8D93BC" w14:textId="6C7D74E7" w:rsidR="007C6D8D" w:rsidRDefault="00F42144" w:rsidP="00F42144">
      <w:pPr>
        <w:rPr>
          <w:lang w:eastAsia="ja-JP"/>
        </w:rPr>
      </w:pPr>
      <w:r>
        <w:rPr>
          <w:lang w:eastAsia="ja-JP"/>
        </w:rPr>
        <w:t xml:space="preserve">A summary of the </w:t>
      </w:r>
      <w:r w:rsidR="009C6335">
        <w:rPr>
          <w:lang w:eastAsia="ja-JP"/>
        </w:rPr>
        <w:t>FUTURE-3</w:t>
      </w:r>
      <w:r>
        <w:rPr>
          <w:lang w:eastAsia="ja-JP"/>
        </w:rPr>
        <w:t xml:space="preserve"> </w:t>
      </w:r>
      <w:r w:rsidR="00E77015">
        <w:rPr>
          <w:lang w:eastAsia="ja-JP"/>
        </w:rPr>
        <w:t>Study</w:t>
      </w:r>
      <w:r>
        <w:rPr>
          <w:lang w:eastAsia="ja-JP"/>
        </w:rPr>
        <w:t xml:space="preserve"> </w:t>
      </w:r>
      <w:r w:rsidR="00E77015">
        <w:rPr>
          <w:lang w:eastAsia="ja-JP"/>
        </w:rPr>
        <w:t>was</w:t>
      </w:r>
      <w:r>
        <w:rPr>
          <w:lang w:eastAsia="ja-JP"/>
        </w:rPr>
        <w:t xml:space="preserve"> provided. The </w:t>
      </w:r>
      <w:r w:rsidR="007C6D8D">
        <w:rPr>
          <w:lang w:eastAsia="ja-JP"/>
        </w:rPr>
        <w:t>sponsor</w:t>
      </w:r>
      <w:r>
        <w:rPr>
          <w:lang w:eastAsia="ja-JP"/>
        </w:rPr>
        <w:t xml:space="preserve"> has also provided a PopPK analysis of bosentan in paediatric patients with PAH based on the data from the FUTURE-3 </w:t>
      </w:r>
      <w:r w:rsidR="00E77015">
        <w:rPr>
          <w:lang w:eastAsia="ja-JP"/>
        </w:rPr>
        <w:t>Study</w:t>
      </w:r>
      <w:r w:rsidR="007C6D8D">
        <w:rPr>
          <w:lang w:eastAsia="ja-JP"/>
        </w:rPr>
        <w:t>.</w:t>
      </w:r>
    </w:p>
    <w:p w14:paraId="45695515" w14:textId="77777777" w:rsidR="00F42144" w:rsidRDefault="00F42144" w:rsidP="00F42144">
      <w:pPr>
        <w:rPr>
          <w:lang w:eastAsia="ja-JP"/>
        </w:rPr>
      </w:pPr>
      <w:r>
        <w:rPr>
          <w:lang w:eastAsia="ja-JP"/>
        </w:rPr>
        <w:t xml:space="preserve">Dosing regimen was identified as a significant covariate </w:t>
      </w:r>
      <w:r w:rsidRPr="00DC0E78">
        <w:rPr>
          <w:lang w:eastAsia="ja-JP"/>
        </w:rPr>
        <w:t xml:space="preserve">on </w:t>
      </w:r>
      <w:r>
        <w:rPr>
          <w:lang w:eastAsia="ja-JP"/>
        </w:rPr>
        <w:t>the absorption rate constant (</w:t>
      </w:r>
      <w:r w:rsidRPr="00DC0E78">
        <w:rPr>
          <w:lang w:eastAsia="ja-JP"/>
        </w:rPr>
        <w:t>k</w:t>
      </w:r>
      <w:r w:rsidRPr="004C3C1E">
        <w:rPr>
          <w:vertAlign w:val="subscript"/>
          <w:lang w:eastAsia="ja-JP"/>
        </w:rPr>
        <w:t>a</w:t>
      </w:r>
      <w:r>
        <w:rPr>
          <w:lang w:eastAsia="ja-JP"/>
        </w:rPr>
        <w:t>)</w:t>
      </w:r>
      <w:r w:rsidRPr="00DC0E78">
        <w:rPr>
          <w:lang w:eastAsia="ja-JP"/>
        </w:rPr>
        <w:t xml:space="preserve">, </w:t>
      </w:r>
      <w:r>
        <w:rPr>
          <w:lang w:eastAsia="ja-JP"/>
        </w:rPr>
        <w:t>apparent body clearance (</w:t>
      </w:r>
      <w:r w:rsidRPr="00DC0E78">
        <w:rPr>
          <w:lang w:eastAsia="ja-JP"/>
        </w:rPr>
        <w:t>CL/f</w:t>
      </w:r>
      <w:r>
        <w:rPr>
          <w:lang w:eastAsia="ja-JP"/>
        </w:rPr>
        <w:t>)</w:t>
      </w:r>
      <w:r w:rsidRPr="00DC0E78">
        <w:rPr>
          <w:lang w:eastAsia="ja-JP"/>
        </w:rPr>
        <w:t xml:space="preserve">, and </w:t>
      </w:r>
      <w:r>
        <w:rPr>
          <w:lang w:eastAsia="ja-JP"/>
        </w:rPr>
        <w:t>the transfer rate constant (</w:t>
      </w:r>
      <w:r w:rsidRPr="008806DA">
        <w:rPr>
          <w:lang w:eastAsia="ja-JP"/>
        </w:rPr>
        <w:t>k</w:t>
      </w:r>
      <w:r w:rsidRPr="008806DA">
        <w:rPr>
          <w:vertAlign w:val="subscript"/>
          <w:lang w:eastAsia="ja-JP"/>
        </w:rPr>
        <w:t>t</w:t>
      </w:r>
      <w:r w:rsidRPr="008806DA">
        <w:rPr>
          <w:lang w:eastAsia="ja-JP"/>
        </w:rPr>
        <w:t>) (</w:t>
      </w:r>
      <w:r w:rsidR="008806DA" w:rsidRPr="008806DA">
        <w:rPr>
          <w:lang w:eastAsia="ja-JP"/>
        </w:rPr>
        <w:t>Figure 11</w:t>
      </w:r>
      <w:r w:rsidRPr="008806DA">
        <w:rPr>
          <w:lang w:eastAsia="ja-JP"/>
        </w:rPr>
        <w:t>). The differences in bosentan concentrations between the two dosing regimens were very small with similar</w:t>
      </w:r>
      <w:r w:rsidRPr="00A94141">
        <w:rPr>
          <w:lang w:eastAsia="ja-JP"/>
        </w:rPr>
        <w:t xml:space="preserve"> maximum concentrations and slightly faster elimination for the</w:t>
      </w:r>
      <w:r>
        <w:rPr>
          <w:lang w:eastAsia="ja-JP"/>
        </w:rPr>
        <w:t xml:space="preserve"> </w:t>
      </w:r>
      <w:r w:rsidR="007C6D8D">
        <w:rPr>
          <w:lang w:eastAsia="ja-JP"/>
        </w:rPr>
        <w:t>TDS</w:t>
      </w:r>
      <w:r w:rsidRPr="00A94141">
        <w:rPr>
          <w:lang w:eastAsia="ja-JP"/>
        </w:rPr>
        <w:t xml:space="preserve"> dosing regimen.</w:t>
      </w:r>
    </w:p>
    <w:p w14:paraId="74F1F2E6" w14:textId="77777777" w:rsidR="00F42144" w:rsidRDefault="00F42144" w:rsidP="00F42144">
      <w:pPr>
        <w:rPr>
          <w:lang w:eastAsia="ja-JP"/>
        </w:rPr>
      </w:pPr>
      <w:r w:rsidRPr="00A94141">
        <w:rPr>
          <w:lang w:eastAsia="ja-JP"/>
        </w:rPr>
        <w:t xml:space="preserve">Body weight was identified as a statistically significant covariate on </w:t>
      </w:r>
      <w:r w:rsidRPr="008806DA">
        <w:rPr>
          <w:lang w:eastAsia="ja-JP"/>
        </w:rPr>
        <w:t>CL/f (</w:t>
      </w:r>
      <w:r w:rsidR="008806DA" w:rsidRPr="008806DA">
        <w:rPr>
          <w:lang w:eastAsia="ja-JP"/>
        </w:rPr>
        <w:t>Figure 12</w:t>
      </w:r>
      <w:r w:rsidRPr="00E97B2B">
        <w:rPr>
          <w:lang w:eastAsia="ja-JP"/>
        </w:rPr>
        <w:t>). Children</w:t>
      </w:r>
      <w:r>
        <w:rPr>
          <w:lang w:eastAsia="ja-JP"/>
        </w:rPr>
        <w:t xml:space="preserve"> with higher body weight have higher total doses but also higher clearances. </w:t>
      </w:r>
      <w:r w:rsidRPr="004C3C1E">
        <w:rPr>
          <w:lang w:eastAsia="ja-JP"/>
        </w:rPr>
        <w:t>Body weight and age are highly correlated and both cova</w:t>
      </w:r>
      <w:r>
        <w:rPr>
          <w:lang w:eastAsia="ja-JP"/>
        </w:rPr>
        <w:t xml:space="preserve">riates alone showed significant </w:t>
      </w:r>
      <w:r w:rsidRPr="004C3C1E">
        <w:rPr>
          <w:lang w:eastAsia="ja-JP"/>
        </w:rPr>
        <w:t>influence on the PK of bosentan during individual covariate testing. During backward</w:t>
      </w:r>
      <w:r>
        <w:rPr>
          <w:lang w:eastAsia="ja-JP"/>
        </w:rPr>
        <w:t xml:space="preserve"> </w:t>
      </w:r>
      <w:r w:rsidRPr="004C3C1E">
        <w:rPr>
          <w:lang w:eastAsia="ja-JP"/>
        </w:rPr>
        <w:t>deletion, age was dropped and body weight resulted as the covariate which can better</w:t>
      </w:r>
      <w:r>
        <w:rPr>
          <w:lang w:eastAsia="ja-JP"/>
        </w:rPr>
        <w:t xml:space="preserve"> </w:t>
      </w:r>
      <w:r w:rsidRPr="004C3C1E">
        <w:rPr>
          <w:lang w:eastAsia="ja-JP"/>
        </w:rPr>
        <w:t>explain differences in PK in children.</w:t>
      </w:r>
    </w:p>
    <w:p w14:paraId="01004D75" w14:textId="23FAAD5E" w:rsidR="00F42144" w:rsidRPr="00DC0E78" w:rsidRDefault="00F42144" w:rsidP="00F42144">
      <w:pPr>
        <w:pStyle w:val="FigureTitle"/>
      </w:pPr>
      <w:bookmarkStart w:id="117" w:name="_Ref464226621"/>
      <w:bookmarkStart w:id="118" w:name="_Toc473884162"/>
      <w:r w:rsidRPr="008806DA">
        <w:lastRenderedPageBreak/>
        <w:t xml:space="preserve">Figure </w:t>
      </w:r>
      <w:bookmarkEnd w:id="117"/>
      <w:r w:rsidR="008806DA" w:rsidRPr="008806DA">
        <w:t>11:</w:t>
      </w:r>
      <w:r>
        <w:t xml:space="preserve"> FUTURE-3 PopPK </w:t>
      </w:r>
      <w:r w:rsidR="0066478A">
        <w:t>study</w:t>
      </w:r>
      <w:r>
        <w:t xml:space="preserve"> </w:t>
      </w:r>
      <w:r w:rsidR="009B4988">
        <w:t>s</w:t>
      </w:r>
      <w:r w:rsidR="009B4988" w:rsidRPr="00DC0E78">
        <w:t xml:space="preserve">ummary </w:t>
      </w:r>
      <w:r w:rsidRPr="00DC0E78">
        <w:t>of simulations for bosentan by dose regimen (blue</w:t>
      </w:r>
      <w:r>
        <w:t xml:space="preserve"> </w:t>
      </w:r>
      <w:r w:rsidRPr="00DC0E78">
        <w:t>line</w:t>
      </w:r>
      <w:r w:rsidR="00A5161C">
        <w:t xml:space="preserve"> </w:t>
      </w:r>
      <w:r w:rsidR="00E77015">
        <w:t>=</w:t>
      </w:r>
      <w:r w:rsidR="00A5161C">
        <w:t xml:space="preserve"> </w:t>
      </w:r>
      <w:r w:rsidRPr="00DC0E78">
        <w:t>median, green lines</w:t>
      </w:r>
      <w:r w:rsidR="00A5161C">
        <w:t xml:space="preserve"> </w:t>
      </w:r>
      <w:r w:rsidR="00E77015">
        <w:t>=</w:t>
      </w:r>
      <w:r w:rsidR="00A5161C">
        <w:t xml:space="preserve"> </w:t>
      </w:r>
      <w:r w:rsidRPr="00DC0E78">
        <w:t>10th and 90th quantile)</w:t>
      </w:r>
      <w:bookmarkEnd w:id="118"/>
    </w:p>
    <w:p w14:paraId="03A82433" w14:textId="77777777" w:rsidR="00F42144" w:rsidRDefault="00F42144" w:rsidP="00586F98">
      <w:r>
        <w:rPr>
          <w:noProof/>
          <w:lang w:eastAsia="en-AU"/>
        </w:rPr>
        <w:drawing>
          <wp:inline distT="0" distB="0" distL="0" distR="0" wp14:anchorId="21341F25" wp14:editId="679BA103">
            <wp:extent cx="5143500" cy="2628900"/>
            <wp:effectExtent l="0" t="0" r="0" b="0"/>
            <wp:docPr id="27" name="Picture 27" descr="Figure 11: FUTURE-3 PopPK study Summary of simulations for bosentan by dose regimen (blue line = median, green lines = 10th and 90th qua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143500" cy="2628900"/>
                    </a:xfrm>
                    <a:prstGeom prst="rect">
                      <a:avLst/>
                    </a:prstGeom>
                  </pic:spPr>
                </pic:pic>
              </a:graphicData>
            </a:graphic>
          </wp:inline>
        </w:drawing>
      </w:r>
    </w:p>
    <w:p w14:paraId="64816FD3" w14:textId="62D9B4C1" w:rsidR="00F42144" w:rsidRPr="00DC0E78" w:rsidRDefault="00F42144" w:rsidP="00F42144">
      <w:pPr>
        <w:pStyle w:val="FigureTitle"/>
      </w:pPr>
      <w:bookmarkStart w:id="119" w:name="_Ref464226672"/>
      <w:bookmarkStart w:id="120" w:name="_Toc473884163"/>
      <w:r w:rsidRPr="008806DA">
        <w:t xml:space="preserve">Figure </w:t>
      </w:r>
      <w:bookmarkEnd w:id="119"/>
      <w:r w:rsidR="008806DA" w:rsidRPr="008806DA">
        <w:t>12:</w:t>
      </w:r>
      <w:r w:rsidRPr="008806DA">
        <w:t xml:space="preserve"> FUTURE-3 PopPK </w:t>
      </w:r>
      <w:r w:rsidR="0066478A" w:rsidRPr="008806DA">
        <w:t>study</w:t>
      </w:r>
      <w:r w:rsidRPr="008806DA">
        <w:t xml:space="preserve"> </w:t>
      </w:r>
      <w:r w:rsidR="009B4988">
        <w:t>s</w:t>
      </w:r>
      <w:r w:rsidR="009B4988" w:rsidRPr="008806DA">
        <w:t xml:space="preserve">ummary </w:t>
      </w:r>
      <w:r w:rsidRPr="008806DA">
        <w:t xml:space="preserve">of simulations for bosentan (2 mg/kg </w:t>
      </w:r>
      <w:r w:rsidR="008806DA">
        <w:t>BD</w:t>
      </w:r>
      <w:r w:rsidRPr="008806DA">
        <w:t>)</w:t>
      </w:r>
      <w:r w:rsidRPr="00DC0E78">
        <w:t xml:space="preserve"> by body weight</w:t>
      </w:r>
      <w:r>
        <w:t xml:space="preserve"> </w:t>
      </w:r>
      <w:r w:rsidRPr="00DC0E78">
        <w:t>(blue line</w:t>
      </w:r>
      <w:r w:rsidR="00A5161C">
        <w:t xml:space="preserve"> </w:t>
      </w:r>
      <w:r w:rsidR="00E77015">
        <w:t>=</w:t>
      </w:r>
      <w:r w:rsidR="00A5161C">
        <w:t xml:space="preserve"> </w:t>
      </w:r>
      <w:r w:rsidRPr="00DC0E78">
        <w:t>median, green lines</w:t>
      </w:r>
      <w:r w:rsidR="00A5161C">
        <w:t xml:space="preserve"> </w:t>
      </w:r>
      <w:r w:rsidR="00E77015">
        <w:t>=</w:t>
      </w:r>
      <w:r w:rsidR="00A5161C">
        <w:t xml:space="preserve"> </w:t>
      </w:r>
      <w:r w:rsidRPr="00DC0E78">
        <w:t>10th and 90th quantile)</w:t>
      </w:r>
      <w:bookmarkEnd w:id="120"/>
    </w:p>
    <w:p w14:paraId="54ABD8EF" w14:textId="77777777" w:rsidR="00F42144" w:rsidRDefault="00F42144" w:rsidP="00586F98">
      <w:r>
        <w:rPr>
          <w:noProof/>
          <w:lang w:eastAsia="en-AU"/>
        </w:rPr>
        <w:drawing>
          <wp:inline distT="0" distB="0" distL="0" distR="0" wp14:anchorId="587CD05F" wp14:editId="4752B603">
            <wp:extent cx="5219700" cy="2667000"/>
            <wp:effectExtent l="0" t="0" r="0" b="0"/>
            <wp:docPr id="28" name="Picture 28" descr="Figure 12: FUTURE-3 PopPK study Summary of simulations for bosentan (2 mg/kg BD) by body weight (blue line = median, green lines = 10th and 90th quant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19700" cy="2667000"/>
                    </a:xfrm>
                    <a:prstGeom prst="rect">
                      <a:avLst/>
                    </a:prstGeom>
                  </pic:spPr>
                </pic:pic>
              </a:graphicData>
            </a:graphic>
          </wp:inline>
        </w:drawing>
      </w:r>
    </w:p>
    <w:p w14:paraId="5FAE3D43" w14:textId="77777777" w:rsidR="00F42144" w:rsidRDefault="00F42144" w:rsidP="00F42144">
      <w:pPr>
        <w:pStyle w:val="Heading3"/>
        <w:ind w:left="1135" w:hanging="1022"/>
      </w:pPr>
      <w:bookmarkStart w:id="121" w:name="_Toc241374296"/>
      <w:bookmarkStart w:id="122" w:name="_Ref269982040"/>
      <w:bookmarkStart w:id="123" w:name="_Ref271018704"/>
      <w:bookmarkStart w:id="124" w:name="_Ref271018755"/>
      <w:bookmarkStart w:id="125" w:name="_Toc272414635"/>
      <w:bookmarkStart w:id="126" w:name="_Toc290888484"/>
      <w:bookmarkStart w:id="127" w:name="_Toc416353681"/>
      <w:bookmarkStart w:id="128" w:name="_Toc421005250"/>
      <w:bookmarkStart w:id="129" w:name="_Toc432079132"/>
      <w:bookmarkStart w:id="130" w:name="_Toc432080705"/>
      <w:bookmarkStart w:id="131" w:name="_Toc473883985"/>
      <w:bookmarkStart w:id="132" w:name="_Toc519773898"/>
      <w:r w:rsidRPr="00545B14">
        <w:t>Evaluator’s overall conclusions on pharmacokinetics</w:t>
      </w:r>
      <w:bookmarkEnd w:id="121"/>
      <w:bookmarkEnd w:id="122"/>
      <w:bookmarkEnd w:id="123"/>
      <w:bookmarkEnd w:id="124"/>
      <w:bookmarkEnd w:id="125"/>
      <w:bookmarkEnd w:id="126"/>
      <w:bookmarkEnd w:id="127"/>
      <w:bookmarkEnd w:id="128"/>
      <w:bookmarkEnd w:id="129"/>
      <w:bookmarkEnd w:id="130"/>
      <w:bookmarkEnd w:id="131"/>
      <w:bookmarkEnd w:id="132"/>
    </w:p>
    <w:p w14:paraId="3A711785" w14:textId="54F84680" w:rsidR="00F42144" w:rsidRDefault="00F42144" w:rsidP="00C93CED">
      <w:r w:rsidRPr="00C93CED">
        <w:t>Study AC-052-106 found that an oral suspension of bosentan was not bioequivalent to the tablet formulation with respect to C</w:t>
      </w:r>
      <w:r w:rsidRPr="00E77015">
        <w:rPr>
          <w:vertAlign w:val="subscript"/>
        </w:rPr>
        <w:t>max</w:t>
      </w:r>
      <w:r w:rsidRPr="00C93CED">
        <w:t xml:space="preserve"> as the 90% CI for the ratio of geometric means fell outside t</w:t>
      </w:r>
      <w:r w:rsidR="00E77015">
        <w:t xml:space="preserve">he acceptance interval of 80.00 to </w:t>
      </w:r>
      <w:r w:rsidRPr="00C93CED">
        <w:t>125.00% (</w:t>
      </w:r>
      <w:r w:rsidR="005F754D">
        <w:t>Table 8</w:t>
      </w:r>
      <w:r w:rsidRPr="00C93CED">
        <w:t>). The ratio of geometric means for AUC</w:t>
      </w:r>
      <w:r w:rsidRPr="00E77015">
        <w:rPr>
          <w:vertAlign w:val="subscript"/>
        </w:rPr>
        <w:t>0-∞</w:t>
      </w:r>
      <w:r w:rsidRPr="00C93CED">
        <w:t xml:space="preserve"> did fall within the acceptance interval. The </w:t>
      </w:r>
      <w:r w:rsidR="007C6D8D">
        <w:t>sponsor</w:t>
      </w:r>
      <w:r w:rsidRPr="00C93CED">
        <w:t xml:space="preserve"> states that this result together with the chemical characteristics of bosentan provides evidence for similar PK characteristics between the currently approved formula and oral suspensions or dispersions. In the submission the </w:t>
      </w:r>
      <w:r w:rsidR="007C6D8D">
        <w:t>sponsor</w:t>
      </w:r>
      <w:r w:rsidRPr="00C93CED">
        <w:t xml:space="preserve"> refers to bosentan as both a Class I and a Class II compound. It should be clarified with the </w:t>
      </w:r>
      <w:r w:rsidR="007C6D8D">
        <w:t>sponsor</w:t>
      </w:r>
      <w:r w:rsidR="00E97B2B">
        <w:t>,</w:t>
      </w:r>
      <w:r w:rsidRPr="00C93CED">
        <w:t xml:space="preserve"> which studies included the paediatric formulation intended for market rather than a formulation f</w:t>
      </w:r>
      <w:r w:rsidR="00E767B4">
        <w:t>ro</w:t>
      </w:r>
      <w:r w:rsidRPr="00C93CED">
        <w:t xml:space="preserve">m early clinical development. The </w:t>
      </w:r>
      <w:r w:rsidR="007C6D8D">
        <w:t>sponsor</w:t>
      </w:r>
      <w:r w:rsidRPr="00C93CED">
        <w:t xml:space="preserve"> states that since the new dispersible tablet is administered as a dispersion</w:t>
      </w:r>
      <w:r w:rsidR="00E97B2B">
        <w:t>,</w:t>
      </w:r>
      <w:r w:rsidRPr="00C93CED">
        <w:t xml:space="preserve"> and it is reasonable to assume that the absorption, distribution, metabolism, and elimination characteristics of the paediatric formulation would correspond to those of the oral suspension used in </w:t>
      </w:r>
      <w:r w:rsidR="00E77015">
        <w:t>Study</w:t>
      </w:r>
      <w:r w:rsidRPr="00C93CED">
        <w:t xml:space="preserve"> AC-052-106 and,</w:t>
      </w:r>
      <w:r w:rsidRPr="00616E09">
        <w:t xml:space="preserve"> </w:t>
      </w:r>
      <w:r>
        <w:t>also</w:t>
      </w:r>
      <w:r w:rsidRPr="00616E09">
        <w:t xml:space="preserve"> to those of the </w:t>
      </w:r>
      <w:r w:rsidRPr="00616E09">
        <w:lastRenderedPageBreak/>
        <w:t xml:space="preserve">approved, </w:t>
      </w:r>
      <w:r w:rsidR="007C6D8D">
        <w:t>film coated</w:t>
      </w:r>
      <w:r w:rsidRPr="00616E09">
        <w:t xml:space="preserve">, </w:t>
      </w:r>
      <w:r w:rsidR="00A5161C">
        <w:t>immediate release</w:t>
      </w:r>
      <w:r w:rsidRPr="00616E09">
        <w:t xml:space="preserve"> tablet.</w:t>
      </w:r>
      <w:r>
        <w:t xml:space="preserve"> The </w:t>
      </w:r>
      <w:r w:rsidR="007C6D8D">
        <w:t>sponsor</w:t>
      </w:r>
      <w:r>
        <w:t xml:space="preserve"> has not justified only considering AUC as the important PK parameter for establishing bioequivalence for bosentan rather than using both AUC and C</w:t>
      </w:r>
      <w:r w:rsidRPr="00E32800">
        <w:rPr>
          <w:vertAlign w:val="subscript"/>
        </w:rPr>
        <w:t>max</w:t>
      </w:r>
      <w:r>
        <w:t xml:space="preserve">. Bioequivalence has not been clearly demonstrated for an oral solution </w:t>
      </w:r>
      <w:r w:rsidR="007C6D8D">
        <w:t>versus</w:t>
      </w:r>
      <w:r>
        <w:t xml:space="preserve"> the approved tablet formulation of bosentan.</w:t>
      </w:r>
    </w:p>
    <w:p w14:paraId="1FA01D8A" w14:textId="77777777" w:rsidR="00F42144" w:rsidRDefault="00F42144" w:rsidP="00C93CED">
      <w:r w:rsidRPr="00E85C68">
        <w:t>The comparison of formulation</w:t>
      </w:r>
      <w:r>
        <w:t>s</w:t>
      </w:r>
      <w:r w:rsidRPr="00E85C68">
        <w:t xml:space="preserve"> in healthy adult volunteers rather than children </w:t>
      </w:r>
      <w:r>
        <w:t xml:space="preserve">in studies AC-052-106 and AC-052-116 </w:t>
      </w:r>
      <w:r w:rsidRPr="00E85C68">
        <w:t xml:space="preserve">is considered acceptable as stated in TGA adopted </w:t>
      </w:r>
      <w:r>
        <w:t xml:space="preserve">guideline </w:t>
      </w:r>
      <w:r w:rsidRPr="00E85C68">
        <w:t xml:space="preserve">EMA/618604/2008 Rev. 13 – Questions </w:t>
      </w:r>
      <w:r w:rsidR="00A5161C">
        <w:t>and</w:t>
      </w:r>
      <w:r w:rsidRPr="00E85C68">
        <w:t xml:space="preserve"> Answers: positions on specific questions addressed to the PKWP</w:t>
      </w:r>
      <w:r>
        <w:t>: ‘</w:t>
      </w:r>
      <w:r w:rsidRPr="00E85C68">
        <w:rPr>
          <w:i/>
        </w:rPr>
        <w:t>In the vast majority of cases BE studies in healthy volunteers are adequate for products intended for use in children.</w:t>
      </w:r>
      <w:r w:rsidRPr="00E85C68">
        <w:t>’</w:t>
      </w:r>
      <w:r>
        <w:t xml:space="preserve"> </w:t>
      </w:r>
    </w:p>
    <w:p w14:paraId="5C99F0E7" w14:textId="77777777" w:rsidR="007C6D8D" w:rsidRDefault="00F42144" w:rsidP="00C93CED">
      <w:r>
        <w:rPr>
          <w:lang w:eastAsia="ja-JP"/>
        </w:rPr>
        <w:t>S</w:t>
      </w:r>
      <w:r w:rsidRPr="00BA3D14">
        <w:rPr>
          <w:lang w:eastAsia="ja-JP"/>
        </w:rPr>
        <w:t xml:space="preserve">upporting </w:t>
      </w:r>
      <w:r w:rsidR="00E77015">
        <w:rPr>
          <w:lang w:eastAsia="ja-JP"/>
        </w:rPr>
        <w:t>Study</w:t>
      </w:r>
      <w:r w:rsidRPr="00BA3D14">
        <w:rPr>
          <w:lang w:eastAsia="ja-JP"/>
        </w:rPr>
        <w:t xml:space="preserve"> AC-052-116 failed to demonstrate bioequivalence of the </w:t>
      </w:r>
      <w:r>
        <w:rPr>
          <w:lang w:eastAsia="ja-JP"/>
        </w:rPr>
        <w:t>paediatric and adult</w:t>
      </w:r>
      <w:r w:rsidRPr="00BA3D14">
        <w:rPr>
          <w:lang w:eastAsia="ja-JP"/>
        </w:rPr>
        <w:t xml:space="preserve"> formulations and therefore bioequivalenc</w:t>
      </w:r>
      <w:r>
        <w:rPr>
          <w:lang w:eastAsia="ja-JP"/>
        </w:rPr>
        <w:t>e in children cannot be assumed</w:t>
      </w:r>
      <w:r>
        <w:t xml:space="preserve"> </w:t>
      </w:r>
      <w:r w:rsidRPr="00B2420C">
        <w:t>(</w:t>
      </w:r>
      <w:r w:rsidR="005F754D">
        <w:t>Table 10</w:t>
      </w:r>
      <w:r w:rsidRPr="00B2420C">
        <w:t>)</w:t>
      </w:r>
      <w:r>
        <w:t xml:space="preserve">. </w:t>
      </w:r>
      <w:r w:rsidRPr="00BA3D14">
        <w:t>As outlined in the TGA adopted EU Guideline on the Investigation of Bioequivalence</w:t>
      </w:r>
      <w:r w:rsidR="007C6D8D">
        <w:t>:</w:t>
      </w:r>
    </w:p>
    <w:p w14:paraId="18BBA97C" w14:textId="77777777" w:rsidR="00F42144" w:rsidRPr="00C93CED" w:rsidRDefault="00F42144" w:rsidP="00F42144">
      <w:pPr>
        <w:ind w:left="360"/>
        <w:rPr>
          <w:szCs w:val="20"/>
          <w:lang w:eastAsia="ja-JP"/>
        </w:rPr>
      </w:pPr>
      <w:r w:rsidRPr="00C93CED">
        <w:rPr>
          <w:szCs w:val="20"/>
        </w:rPr>
        <w:t>In studies to determine bioequivalence after a single dose, the parameters to be analysed are AUC</w:t>
      </w:r>
      <w:r w:rsidRPr="00C93CED">
        <w:rPr>
          <w:szCs w:val="20"/>
          <w:vertAlign w:val="subscript"/>
        </w:rPr>
        <w:t>(0-t)</w:t>
      </w:r>
      <w:r w:rsidRPr="00C93CED">
        <w:rPr>
          <w:szCs w:val="20"/>
        </w:rPr>
        <w:t>, or, when relevant, AUC</w:t>
      </w:r>
      <w:r w:rsidRPr="00C93CED">
        <w:rPr>
          <w:szCs w:val="20"/>
          <w:vertAlign w:val="subscript"/>
        </w:rPr>
        <w:t>(0-72h)</w:t>
      </w:r>
      <w:r w:rsidRPr="00C93CED">
        <w:rPr>
          <w:szCs w:val="20"/>
        </w:rPr>
        <w:t>, and C</w:t>
      </w:r>
      <w:r w:rsidRPr="00C93CED">
        <w:rPr>
          <w:szCs w:val="20"/>
          <w:vertAlign w:val="subscript"/>
        </w:rPr>
        <w:t>max</w:t>
      </w:r>
      <w:r w:rsidRPr="00C93CED">
        <w:rPr>
          <w:szCs w:val="20"/>
        </w:rPr>
        <w:t>. For these parameters the 90% confidence interval for the ratio of the test and reference products should be contained within t</w:t>
      </w:r>
      <w:r w:rsidR="00A5161C">
        <w:rPr>
          <w:szCs w:val="20"/>
        </w:rPr>
        <w:t>he acceptance interval of 80.00 to</w:t>
      </w:r>
      <w:r w:rsidRPr="00C93CED">
        <w:rPr>
          <w:szCs w:val="20"/>
        </w:rPr>
        <w:t xml:space="preserve"> 125.00%.</w:t>
      </w:r>
    </w:p>
    <w:p w14:paraId="7261AC2C" w14:textId="77777777" w:rsidR="007C6D8D" w:rsidRDefault="00F42144" w:rsidP="00C93CED">
      <w:pPr>
        <w:rPr>
          <w:lang w:eastAsia="ja-JP"/>
        </w:rPr>
      </w:pPr>
      <w:r w:rsidRPr="00BA3D14">
        <w:rPr>
          <w:lang w:eastAsia="ja-JP"/>
        </w:rPr>
        <w:t xml:space="preserve">The </w:t>
      </w:r>
      <w:r w:rsidR="007C6D8D">
        <w:rPr>
          <w:lang w:eastAsia="ja-JP"/>
        </w:rPr>
        <w:t>sponsor</w:t>
      </w:r>
      <w:r w:rsidRPr="00BA3D14">
        <w:rPr>
          <w:lang w:eastAsia="ja-JP"/>
        </w:rPr>
        <w:t xml:space="preserve"> states that the 90% CIs of the geometric mean ratios (Paediatric/Adult) fell only slight</w:t>
      </w:r>
      <w:r w:rsidR="00A5161C">
        <w:rPr>
          <w:lang w:eastAsia="ja-JP"/>
        </w:rPr>
        <w:t xml:space="preserve">ly outside the conventional 0.8 to </w:t>
      </w:r>
      <w:r w:rsidRPr="00BA3D14">
        <w:rPr>
          <w:lang w:eastAsia="ja-JP"/>
        </w:rPr>
        <w:t xml:space="preserve">1.25 equivalence range but for </w:t>
      </w:r>
      <w:r>
        <w:rPr>
          <w:lang w:eastAsia="ja-JP"/>
        </w:rPr>
        <w:t>C</w:t>
      </w:r>
      <w:r w:rsidRPr="00FB4517">
        <w:rPr>
          <w:vertAlign w:val="subscript"/>
          <w:lang w:eastAsia="ja-JP"/>
        </w:rPr>
        <w:t>max</w:t>
      </w:r>
      <w:r>
        <w:rPr>
          <w:lang w:eastAsia="ja-JP"/>
        </w:rPr>
        <w:t xml:space="preserve"> </w:t>
      </w:r>
      <w:r w:rsidRPr="00BA3D14">
        <w:rPr>
          <w:lang w:eastAsia="ja-JP"/>
        </w:rPr>
        <w:t>the 90% CI were well outside the acceptance interval described in the guidelines</w:t>
      </w:r>
      <w:r w:rsidR="007C6D8D">
        <w:rPr>
          <w:lang w:eastAsia="ja-JP"/>
        </w:rPr>
        <w:t>.</w:t>
      </w:r>
    </w:p>
    <w:p w14:paraId="281701AE" w14:textId="77777777" w:rsidR="00F42144" w:rsidRPr="005E389D" w:rsidRDefault="00F42144" w:rsidP="00C93CED">
      <w:pPr>
        <w:rPr>
          <w:highlight w:val="green"/>
          <w:lang w:eastAsia="ja-JP"/>
        </w:rPr>
      </w:pPr>
      <w:r>
        <w:rPr>
          <w:lang w:eastAsia="ja-JP"/>
        </w:rPr>
        <w:t xml:space="preserve">The </w:t>
      </w:r>
      <w:r w:rsidR="007C6D8D">
        <w:rPr>
          <w:lang w:eastAsia="ja-JP"/>
        </w:rPr>
        <w:t>sponsor</w:t>
      </w:r>
      <w:r>
        <w:rPr>
          <w:lang w:eastAsia="ja-JP"/>
        </w:rPr>
        <w:t>’s justification for not providing biopharmaceutic studies is not considered adequate as the relevant guidelines state that ‘</w:t>
      </w:r>
      <w:r w:rsidRPr="00E336E2">
        <w:rPr>
          <w:i/>
          <w:lang w:eastAsia="ja-JP"/>
        </w:rPr>
        <w:t>In those cases where the test product is an oral solution which is intended to be bioequivalent to another immediate release oral dosage form, bioequivalence studies are required.</w:t>
      </w:r>
      <w:r>
        <w:rPr>
          <w:lang w:eastAsia="ja-JP"/>
        </w:rPr>
        <w:t xml:space="preserve">’ It is noted that </w:t>
      </w:r>
      <w:r w:rsidR="00E77015">
        <w:rPr>
          <w:lang w:eastAsia="ja-JP"/>
        </w:rPr>
        <w:t>Study</w:t>
      </w:r>
      <w:r w:rsidRPr="00FD71AE">
        <w:rPr>
          <w:lang w:eastAsia="ja-JP"/>
        </w:rPr>
        <w:t xml:space="preserve"> AC-052-106 was conducted to compare the bioavailability of an oral suspension of bosentan used in early clinical development and the approved marketed tablet formulations. </w:t>
      </w:r>
      <w:r>
        <w:rPr>
          <w:lang w:eastAsia="ja-JP"/>
        </w:rPr>
        <w:t xml:space="preserve">The </w:t>
      </w:r>
      <w:r w:rsidR="007C6D8D">
        <w:rPr>
          <w:lang w:eastAsia="ja-JP"/>
        </w:rPr>
        <w:t>sponsor</w:t>
      </w:r>
      <w:r>
        <w:rPr>
          <w:lang w:eastAsia="ja-JP"/>
        </w:rPr>
        <w:t xml:space="preserve"> states that </w:t>
      </w:r>
      <w:r w:rsidRPr="00FD71AE">
        <w:rPr>
          <w:lang w:eastAsia="ja-JP"/>
        </w:rPr>
        <w:t xml:space="preserve">comparable PK characteristics between the oral suspension and the marketed tablet formulations support the comparability between the </w:t>
      </w:r>
      <w:r>
        <w:rPr>
          <w:lang w:eastAsia="ja-JP"/>
        </w:rPr>
        <w:t>approved formulation</w:t>
      </w:r>
      <w:r w:rsidRPr="00FD71AE">
        <w:rPr>
          <w:lang w:eastAsia="ja-JP"/>
        </w:rPr>
        <w:t xml:space="preserve"> and the new </w:t>
      </w:r>
      <w:r>
        <w:rPr>
          <w:lang w:eastAsia="ja-JP"/>
        </w:rPr>
        <w:t>p</w:t>
      </w:r>
      <w:r w:rsidRPr="00FD71AE">
        <w:rPr>
          <w:lang w:eastAsia="ja-JP"/>
        </w:rPr>
        <w:t xml:space="preserve">aediatric </w:t>
      </w:r>
      <w:r>
        <w:rPr>
          <w:lang w:eastAsia="ja-JP"/>
        </w:rPr>
        <w:t>formulation</w:t>
      </w:r>
      <w:r w:rsidRPr="00FD71AE">
        <w:rPr>
          <w:lang w:eastAsia="ja-JP"/>
        </w:rPr>
        <w:t xml:space="preserve">. </w:t>
      </w:r>
      <w:r>
        <w:rPr>
          <w:lang w:eastAsia="ja-JP"/>
        </w:rPr>
        <w:t xml:space="preserve">The </w:t>
      </w:r>
      <w:r w:rsidR="007C6D8D">
        <w:rPr>
          <w:lang w:eastAsia="ja-JP"/>
        </w:rPr>
        <w:t>evaluator</w:t>
      </w:r>
      <w:r>
        <w:rPr>
          <w:lang w:eastAsia="ja-JP"/>
        </w:rPr>
        <w:t xml:space="preserve"> notes that the AC-052-106 and AC-052-116 studies failed to establish bioequivalence between the various formulations.</w:t>
      </w:r>
    </w:p>
    <w:p w14:paraId="15A8470E" w14:textId="77777777" w:rsidR="00F42144" w:rsidRPr="005E389D" w:rsidRDefault="00F42144" w:rsidP="00C93CED">
      <w:pPr>
        <w:rPr>
          <w:highlight w:val="green"/>
          <w:lang w:eastAsia="ja-JP"/>
        </w:rPr>
      </w:pPr>
      <w:r>
        <w:t>From a clinical perspective, t</w:t>
      </w:r>
      <w:r w:rsidRPr="00FD71AE">
        <w:t xml:space="preserve">he </w:t>
      </w:r>
      <w:r w:rsidR="007C6D8D">
        <w:t>sponsor</w:t>
      </w:r>
      <w:r w:rsidRPr="00FD71AE">
        <w:t>’s rational</w:t>
      </w:r>
      <w:r>
        <w:t>e</w:t>
      </w:r>
      <w:r w:rsidRPr="00FD71AE">
        <w:t xml:space="preserve"> for not performing dissolution testing is reasonable</w:t>
      </w:r>
      <w:r>
        <w:t xml:space="preserve"> as the dispersible tablet is intended for administration as an oral solution bu</w:t>
      </w:r>
      <w:r w:rsidR="00A5161C">
        <w:t>t the issue is referred to the quality</w:t>
      </w:r>
      <w:r>
        <w:t xml:space="preserve"> </w:t>
      </w:r>
      <w:r w:rsidR="007C6D8D">
        <w:t>evaluator</w:t>
      </w:r>
      <w:r>
        <w:t xml:space="preserve"> for consideration. In addition, the </w:t>
      </w:r>
      <w:r w:rsidR="007C6D8D">
        <w:t>sponsor</w:t>
      </w:r>
      <w:r>
        <w:t>’s justification regarding BCS-based biowaiver</w:t>
      </w:r>
      <w:r w:rsidR="00E97B2B">
        <w:t>,</w:t>
      </w:r>
      <w:r>
        <w:t xml:space="preserve"> are referred to the </w:t>
      </w:r>
      <w:r w:rsidR="00A5161C">
        <w:t>quality</w:t>
      </w:r>
      <w:r>
        <w:t xml:space="preserve"> </w:t>
      </w:r>
      <w:r w:rsidR="007C6D8D">
        <w:t>evaluator</w:t>
      </w:r>
      <w:r>
        <w:t>. It is noted that bosentan is stated to be a BCS-class II.</w:t>
      </w:r>
    </w:p>
    <w:p w14:paraId="73BAAB91" w14:textId="77777777" w:rsidR="007C6D8D" w:rsidRDefault="00F42144" w:rsidP="00C93CED">
      <w:r>
        <w:t xml:space="preserve">The BREATHE-3 </w:t>
      </w:r>
      <w:r w:rsidR="00E77015">
        <w:t>Study</w:t>
      </w:r>
      <w:r>
        <w:t xml:space="preserve"> found a lower exposure to bosentan in paediatric patients compared to adult patients. In BREATHE-3 patients were treated with the adult tablet formulation</w:t>
      </w:r>
      <w:r w:rsidRPr="005B2F55">
        <w:t xml:space="preserve"> administered in a dosing regime</w:t>
      </w:r>
      <w:r>
        <w:t xml:space="preserve">n of approximating </w:t>
      </w:r>
      <w:r w:rsidR="007C6D8D">
        <w:t>2 mg</w:t>
      </w:r>
      <w:r w:rsidRPr="005F754D">
        <w:t xml:space="preserve">/kg </w:t>
      </w:r>
      <w:r w:rsidR="007C6D8D" w:rsidRPr="005F754D">
        <w:t>BD</w:t>
      </w:r>
      <w:r w:rsidRPr="005F754D">
        <w:t>.</w:t>
      </w:r>
      <w:r w:rsidRPr="005B2F55">
        <w:t xml:space="preserve"> </w:t>
      </w:r>
      <w:r>
        <w:t xml:space="preserve">FUTURE-1 examined whether a higher dose would increase exposure in paediatric patients. It was </w:t>
      </w:r>
      <w:r w:rsidRPr="008A4D94">
        <w:t>assumed that the PK of bosentan would be d</w:t>
      </w:r>
      <w:r>
        <w:t xml:space="preserve">ose proportional up to at least 4 mg/kg </w:t>
      </w:r>
      <w:r w:rsidR="007C6D8D">
        <w:t>BD</w:t>
      </w:r>
      <w:r w:rsidRPr="008A4D94">
        <w:t xml:space="preserve"> in paediatric patients. </w:t>
      </w:r>
      <w:r>
        <w:t>In the 11 children who underwent PK assessments</w:t>
      </w:r>
      <w:r w:rsidR="00A5161C">
        <w:t xml:space="preserve"> at both the 2 and 4 </w:t>
      </w:r>
      <w:r>
        <w:t>mg/kg doses, the exposure to bosentan was similar (</w:t>
      </w:r>
      <w:r w:rsidR="008806DA">
        <w:t>Figure 1</w:t>
      </w:r>
      <w:r>
        <w:t>). This result may indicate an exposure plateau occurring at lower doses in paediatric patients. The ratio of geometric means and 90% CI for AUC for the 4 mg/kg dose was 0.5 (90% CI 0.4, 0.8)</w:t>
      </w:r>
      <w:r w:rsidRPr="008D6D93">
        <w:rPr>
          <w:lang w:eastAsia="ja-JP"/>
        </w:rPr>
        <w:t>, indicating that exposure to bosentan</w:t>
      </w:r>
      <w:r>
        <w:rPr>
          <w:lang w:eastAsia="ja-JP"/>
        </w:rPr>
        <w:t xml:space="preserve"> </w:t>
      </w:r>
      <w:r w:rsidRPr="008D6D93">
        <w:rPr>
          <w:lang w:eastAsia="ja-JP"/>
        </w:rPr>
        <w:t xml:space="preserve">in adults was almost twice the exposure in </w:t>
      </w:r>
      <w:r w:rsidRPr="005F754D">
        <w:rPr>
          <w:lang w:eastAsia="ja-JP"/>
        </w:rPr>
        <w:t>children (</w:t>
      </w:r>
      <w:r w:rsidR="005F754D" w:rsidRPr="005F754D">
        <w:rPr>
          <w:lang w:eastAsia="ja-JP"/>
        </w:rPr>
        <w:t>Table</w:t>
      </w:r>
      <w:r w:rsidR="005F754D">
        <w:rPr>
          <w:lang w:eastAsia="ja-JP"/>
        </w:rPr>
        <w:t xml:space="preserve"> 12</w:t>
      </w:r>
      <w:r>
        <w:rPr>
          <w:lang w:eastAsia="ja-JP"/>
        </w:rPr>
        <w:t>)</w:t>
      </w:r>
      <w:r>
        <w:t xml:space="preserve">. The </w:t>
      </w:r>
      <w:r w:rsidR="007C6D8D">
        <w:t>sponsor</w:t>
      </w:r>
      <w:r>
        <w:t xml:space="preserve"> states that exposure to bosentan in the FUTURE-1 </w:t>
      </w:r>
      <w:r w:rsidR="00E77015">
        <w:t>Study</w:t>
      </w:r>
      <w:r>
        <w:t xml:space="preserve"> was similar to that seen in BREATHE-3 and that in both studies the exposure for paediatric patients was lower than for </w:t>
      </w:r>
      <w:r w:rsidRPr="005F754D">
        <w:t>adults (</w:t>
      </w:r>
      <w:r w:rsidR="005F754D" w:rsidRPr="005F754D">
        <w:t>Table 3</w:t>
      </w:r>
      <w:r w:rsidRPr="005F754D">
        <w:t>). Not</w:t>
      </w:r>
      <w:r>
        <w:t xml:space="preserve"> enough information has been presented regarding the BREATHE-3 </w:t>
      </w:r>
      <w:r w:rsidR="00E77015">
        <w:t>Study</w:t>
      </w:r>
      <w:r>
        <w:t xml:space="preserve"> to determine whether the paediatric populations and the resulting PK results are comparable. It is noted that in the FUTURE-1 </w:t>
      </w:r>
      <w:r w:rsidR="00E77015">
        <w:t>Study</w:t>
      </w:r>
      <w:r>
        <w:t xml:space="preserve"> subgroup who underwent two PK assessments the AUC</w:t>
      </w:r>
      <w:r>
        <w:rPr>
          <w:vertAlign w:val="subscript"/>
        </w:rPr>
        <w:t>τ</w:t>
      </w:r>
      <w:r>
        <w:t xml:space="preserve"> is lower than that seen for the BREATHE-3 subgroup with the lowest AUC</w:t>
      </w:r>
      <w:r w:rsidR="008806DA">
        <w:rPr>
          <w:vertAlign w:val="subscript"/>
        </w:rPr>
        <w:t>τ</w:t>
      </w:r>
      <w:r w:rsidR="007C6D8D">
        <w:t>.</w:t>
      </w:r>
    </w:p>
    <w:p w14:paraId="5B54BE74" w14:textId="53B5760A" w:rsidR="007C6D8D" w:rsidRDefault="00F42144" w:rsidP="00C93CED">
      <w:r>
        <w:lastRenderedPageBreak/>
        <w:t xml:space="preserve">The FUTURE-3 </w:t>
      </w:r>
      <w:r w:rsidR="00E77015">
        <w:t>Study</w:t>
      </w:r>
      <w:r>
        <w:t xml:space="preserve"> compared </w:t>
      </w:r>
      <w:r w:rsidR="007C6D8D">
        <w:t>BD</w:t>
      </w:r>
      <w:r>
        <w:t xml:space="preserve"> and </w:t>
      </w:r>
      <w:r w:rsidR="007C6D8D">
        <w:t>TDS</w:t>
      </w:r>
      <w:r>
        <w:t xml:space="preserve"> administration of 2 mg/kg bosentan in the paediatric population. The increased dose frequency did not increase systemic exposure to </w:t>
      </w:r>
      <w:r w:rsidRPr="008806DA">
        <w:t>bosentan (</w:t>
      </w:r>
      <w:r w:rsidR="008806DA" w:rsidRPr="008806DA">
        <w:t>Figure 4</w:t>
      </w:r>
      <w:r w:rsidRPr="008806DA">
        <w:t>,</w:t>
      </w:r>
      <w:r w:rsidR="005F754D" w:rsidRPr="008806DA">
        <w:t xml:space="preserve"> Table 4</w:t>
      </w:r>
      <w:r w:rsidRPr="008806DA">
        <w:t xml:space="preserve">). </w:t>
      </w:r>
      <w:r w:rsidR="005F754D" w:rsidRPr="008806DA">
        <w:rPr>
          <w:lang w:eastAsia="ja-JP"/>
        </w:rPr>
        <w:t>Table</w:t>
      </w:r>
      <w:r w:rsidR="005F754D">
        <w:rPr>
          <w:lang w:eastAsia="ja-JP"/>
        </w:rPr>
        <w:t xml:space="preserve"> 16 </w:t>
      </w:r>
      <w:r>
        <w:rPr>
          <w:lang w:eastAsia="ja-JP"/>
        </w:rPr>
        <w:t>indicates that C</w:t>
      </w:r>
      <w:r>
        <w:rPr>
          <w:vertAlign w:val="subscript"/>
          <w:lang w:eastAsia="ja-JP"/>
        </w:rPr>
        <w:t>maxC</w:t>
      </w:r>
      <w:r>
        <w:rPr>
          <w:lang w:eastAsia="ja-JP"/>
        </w:rPr>
        <w:t xml:space="preserve"> and AUC</w:t>
      </w:r>
      <w:r w:rsidRPr="00F2162D">
        <w:rPr>
          <w:vertAlign w:val="subscript"/>
          <w:lang w:eastAsia="ja-JP"/>
        </w:rPr>
        <w:t>0-24C</w:t>
      </w:r>
      <w:r>
        <w:rPr>
          <w:lang w:eastAsia="ja-JP"/>
        </w:rPr>
        <w:t xml:space="preserve"> were much lower in children &lt; 2 years of age compared to those </w:t>
      </w:r>
      <w:r w:rsidR="007C6D8D">
        <w:rPr>
          <w:lang w:eastAsia="ja-JP"/>
        </w:rPr>
        <w:t xml:space="preserve">≥ </w:t>
      </w:r>
      <w:r>
        <w:rPr>
          <w:lang w:eastAsia="ja-JP"/>
        </w:rPr>
        <w:t xml:space="preserve">2 years of age. This result is important to consider given the proposal to expand the dosing instructions to include patients between one and three years of age. </w:t>
      </w:r>
      <w:r>
        <w:t>It is unclear why 95% CI rather than 90% CI were calculated for the ratio of geometric means for various PK parameters</w:t>
      </w:r>
      <w:r w:rsidR="007C6D8D">
        <w:t>.</w:t>
      </w:r>
    </w:p>
    <w:p w14:paraId="5D1B4DD1" w14:textId="4C7C0A9F" w:rsidR="00F42144" w:rsidRDefault="00F42144" w:rsidP="00C93CED">
      <w:r>
        <w:t xml:space="preserve">The FUTURE-4 </w:t>
      </w:r>
      <w:r w:rsidR="00E77015">
        <w:t>Study</w:t>
      </w:r>
      <w:r w:rsidRPr="00BC415F">
        <w:t xml:space="preserve"> </w:t>
      </w:r>
      <w:r>
        <w:t xml:space="preserve">in neonates with PPHN found that </w:t>
      </w:r>
      <w:r w:rsidRPr="002F74C3">
        <w:t>the bosentan PK profile was</w:t>
      </w:r>
      <w:r>
        <w:t xml:space="preserve"> </w:t>
      </w:r>
      <w:r w:rsidRPr="002F74C3">
        <w:t>characteri</w:t>
      </w:r>
      <w:r>
        <w:t>s</w:t>
      </w:r>
      <w:r w:rsidRPr="002F74C3">
        <w:t>ed by a slow and continuous increase in concentration over the first dosing</w:t>
      </w:r>
      <w:r>
        <w:t xml:space="preserve"> </w:t>
      </w:r>
      <w:r w:rsidRPr="002F74C3">
        <w:t>interval</w:t>
      </w:r>
      <w:r>
        <w:t xml:space="preserve"> </w:t>
      </w:r>
      <w:r w:rsidRPr="008806DA">
        <w:t>(</w:t>
      </w:r>
      <w:r w:rsidR="008806DA" w:rsidRPr="008806DA">
        <w:t>Figure</w:t>
      </w:r>
      <w:r w:rsidR="008806DA">
        <w:t xml:space="preserve"> 7</w:t>
      </w:r>
      <w:r>
        <w:t>).</w:t>
      </w:r>
      <w:r w:rsidRPr="002F74C3">
        <w:t xml:space="preserve"> On Day 5, the pre-dose mean bosentan concentration was similar to that measured at the</w:t>
      </w:r>
      <w:r>
        <w:t xml:space="preserve"> </w:t>
      </w:r>
      <w:r w:rsidRPr="002F74C3">
        <w:t xml:space="preserve">end of the dosing interval, suggesting the attainment of </w:t>
      </w:r>
      <w:r w:rsidR="00CF6063">
        <w:t>steady state</w:t>
      </w:r>
      <w:r w:rsidRPr="002F74C3">
        <w:t xml:space="preserve"> conditions.</w:t>
      </w:r>
      <w:r>
        <w:t xml:space="preserve"> </w:t>
      </w:r>
      <w:r w:rsidRPr="002F74C3">
        <w:t>Bosentan</w:t>
      </w:r>
      <w:r>
        <w:t xml:space="preserve"> </w:t>
      </w:r>
      <w:r w:rsidRPr="002F74C3">
        <w:t xml:space="preserve">exposure remained variable on Day 5 but was </w:t>
      </w:r>
      <w:r>
        <w:t xml:space="preserve">reported to be </w:t>
      </w:r>
      <w:r w:rsidRPr="002F74C3">
        <w:t>similar to the exposure observed in</w:t>
      </w:r>
      <w:r>
        <w:t xml:space="preserve"> </w:t>
      </w:r>
      <w:r w:rsidRPr="002F74C3">
        <w:t>adult PAH patients admini</w:t>
      </w:r>
      <w:r>
        <w:t xml:space="preserve">stered with 125 mg bosentan </w:t>
      </w:r>
      <w:r w:rsidR="007C6D8D" w:rsidRPr="005F754D">
        <w:t>BD</w:t>
      </w:r>
      <w:r w:rsidRPr="005F754D">
        <w:t xml:space="preserve"> (</w:t>
      </w:r>
      <w:r w:rsidR="005F754D" w:rsidRPr="005F754D">
        <w:t>Table 17</w:t>
      </w:r>
      <w:r w:rsidRPr="005F754D">
        <w:t xml:space="preserve">). </w:t>
      </w:r>
      <w:r w:rsidRPr="005F754D">
        <w:rPr>
          <w:lang w:eastAsia="ja-JP"/>
        </w:rPr>
        <w:t>The</w:t>
      </w:r>
      <w:r w:rsidRPr="0072456D">
        <w:rPr>
          <w:lang w:eastAsia="ja-JP"/>
        </w:rPr>
        <w:t xml:space="preserve"> </w:t>
      </w:r>
      <w:r w:rsidR="007C6D8D">
        <w:rPr>
          <w:lang w:eastAsia="ja-JP"/>
        </w:rPr>
        <w:t>sponsor</w:t>
      </w:r>
      <w:r w:rsidRPr="0072456D">
        <w:rPr>
          <w:lang w:eastAsia="ja-JP"/>
        </w:rPr>
        <w:t xml:space="preserve"> states that the high bosentan PK variability observed in PPHN patients might be explained by several factors known to affect the absorp</w:t>
      </w:r>
      <w:r>
        <w:rPr>
          <w:lang w:eastAsia="ja-JP"/>
        </w:rPr>
        <w:t>tion of oral drugs in neonates such as</w:t>
      </w:r>
      <w:r w:rsidRPr="0072456D">
        <w:rPr>
          <w:lang w:eastAsia="ja-JP"/>
        </w:rPr>
        <w:t xml:space="preserve"> slower gut transit time due to delayed gastric emptying and reduced motility, mucus in the stomach, and gastric pH modifications.</w:t>
      </w:r>
    </w:p>
    <w:p w14:paraId="7B85376B" w14:textId="77777777" w:rsidR="00F42144" w:rsidRPr="00667DE8" w:rsidRDefault="00F42144" w:rsidP="00C93CED">
      <w:pPr>
        <w:rPr>
          <w:lang w:eastAsia="ja-JP"/>
        </w:rPr>
      </w:pPr>
      <w:r w:rsidRPr="00667DE8">
        <w:rPr>
          <w:lang w:eastAsia="ja-JP"/>
        </w:rPr>
        <w:t xml:space="preserve">As outlined above the </w:t>
      </w:r>
      <w:r w:rsidR="007C6D8D">
        <w:rPr>
          <w:lang w:eastAsia="ja-JP"/>
        </w:rPr>
        <w:t>sponsor</w:t>
      </w:r>
      <w:r w:rsidRPr="00667DE8">
        <w:rPr>
          <w:lang w:eastAsia="ja-JP"/>
        </w:rPr>
        <w:t xml:space="preserve"> and EMA came to an agreement regarding the extrapolation of the treatment effect of bosentan from adults to children across age groups provided similar plasma concentrations are reached. The </w:t>
      </w:r>
      <w:r w:rsidR="007C6D8D">
        <w:rPr>
          <w:lang w:eastAsia="ja-JP"/>
        </w:rPr>
        <w:t>sponsor</w:t>
      </w:r>
      <w:r w:rsidRPr="00667DE8">
        <w:rPr>
          <w:lang w:eastAsia="ja-JP"/>
        </w:rPr>
        <w:t xml:space="preserve"> states that based on this agreement and following the ICH E11 Guideline on ‘Clinical Investigation of Medicinal Products in the Paediatric population’, the following studies were considered adequate to obtain approval for the dispersible formulation of bosentan in the EU:</w:t>
      </w:r>
    </w:p>
    <w:p w14:paraId="40AC04AC" w14:textId="28EEE0F8" w:rsidR="00F42144" w:rsidRPr="00667DE8" w:rsidRDefault="009B4988" w:rsidP="00C93CED">
      <w:pPr>
        <w:pStyle w:val="ListBullet"/>
        <w:rPr>
          <w:lang w:eastAsia="ja-JP"/>
        </w:rPr>
      </w:pPr>
      <w:r>
        <w:rPr>
          <w:lang w:eastAsia="ja-JP"/>
        </w:rPr>
        <w:t xml:space="preserve">Study </w:t>
      </w:r>
      <w:r w:rsidR="00F42144" w:rsidRPr="00667DE8">
        <w:rPr>
          <w:lang w:eastAsia="ja-JP"/>
        </w:rPr>
        <w:t xml:space="preserve">AC-052-365 </w:t>
      </w:r>
      <w:r>
        <w:rPr>
          <w:lang w:eastAsia="ja-JP"/>
        </w:rPr>
        <w:t>(</w:t>
      </w:r>
      <w:r w:rsidR="00F42144" w:rsidRPr="00667DE8">
        <w:rPr>
          <w:lang w:eastAsia="ja-JP"/>
        </w:rPr>
        <w:t>FUTURE-1</w:t>
      </w:r>
      <w:r>
        <w:rPr>
          <w:lang w:eastAsia="ja-JP"/>
        </w:rPr>
        <w:t>)</w:t>
      </w:r>
    </w:p>
    <w:p w14:paraId="223C1D9E" w14:textId="77777777" w:rsidR="00F42144" w:rsidRPr="00667DE8" w:rsidRDefault="00F42144" w:rsidP="00C93CED">
      <w:pPr>
        <w:pStyle w:val="ListBullet"/>
        <w:rPr>
          <w:lang w:eastAsia="ja-JP"/>
        </w:rPr>
      </w:pPr>
      <w:r w:rsidRPr="00667DE8">
        <w:rPr>
          <w:lang w:eastAsia="ja-JP"/>
        </w:rPr>
        <w:t>Physiologically-based pharmacokinetic modelling of bosentan with application to paediatric patients</w:t>
      </w:r>
    </w:p>
    <w:p w14:paraId="7748F5C9" w14:textId="6F39553F" w:rsidR="00F42144" w:rsidRPr="00667DE8" w:rsidRDefault="009B4988" w:rsidP="00C93CED">
      <w:pPr>
        <w:pStyle w:val="ListBullet"/>
        <w:rPr>
          <w:lang w:eastAsia="ja-JP"/>
        </w:rPr>
      </w:pPr>
      <w:r>
        <w:rPr>
          <w:lang w:eastAsia="ja-JP"/>
        </w:rPr>
        <w:t xml:space="preserve">Study </w:t>
      </w:r>
      <w:r w:rsidR="00F42144" w:rsidRPr="00667DE8">
        <w:rPr>
          <w:lang w:eastAsia="ja-JP"/>
        </w:rPr>
        <w:t>AC-052-116</w:t>
      </w:r>
    </w:p>
    <w:p w14:paraId="450A137C" w14:textId="63F43F44" w:rsidR="00F42144" w:rsidRDefault="009B4988" w:rsidP="00C93CED">
      <w:pPr>
        <w:pStyle w:val="ListBullet"/>
        <w:rPr>
          <w:lang w:eastAsia="ja-JP"/>
        </w:rPr>
      </w:pPr>
      <w:r>
        <w:rPr>
          <w:lang w:eastAsia="ja-JP"/>
        </w:rPr>
        <w:t xml:space="preserve">Study </w:t>
      </w:r>
      <w:r w:rsidR="00F42144" w:rsidRPr="00667DE8">
        <w:rPr>
          <w:lang w:eastAsia="ja-JP"/>
        </w:rPr>
        <w:t xml:space="preserve">AC-052-373 </w:t>
      </w:r>
      <w:r>
        <w:rPr>
          <w:lang w:eastAsia="ja-JP"/>
        </w:rPr>
        <w:t>(</w:t>
      </w:r>
      <w:r w:rsidR="00F42144" w:rsidRPr="00667DE8">
        <w:rPr>
          <w:lang w:eastAsia="ja-JP"/>
        </w:rPr>
        <w:t>FUTURE-3</w:t>
      </w:r>
      <w:r>
        <w:rPr>
          <w:lang w:eastAsia="ja-JP"/>
        </w:rPr>
        <w:t>)</w:t>
      </w:r>
      <w:r w:rsidR="00F42144" w:rsidRPr="00667DE8">
        <w:rPr>
          <w:lang w:eastAsia="ja-JP"/>
        </w:rPr>
        <w:t xml:space="preserve"> PopPK: Population pharmacokinetics of bosentan in children with PAH</w:t>
      </w:r>
    </w:p>
    <w:p w14:paraId="2E9A5271" w14:textId="77777777" w:rsidR="00F42144" w:rsidRDefault="00F42144" w:rsidP="00C93CED">
      <w:pPr>
        <w:rPr>
          <w:lang w:eastAsia="ja-JP"/>
        </w:rPr>
      </w:pPr>
      <w:r>
        <w:rPr>
          <w:lang w:eastAsia="ja-JP"/>
        </w:rPr>
        <w:t>The referenced guideline states:</w:t>
      </w:r>
    </w:p>
    <w:p w14:paraId="71597D15" w14:textId="77777777" w:rsidR="007C6D8D" w:rsidRDefault="00F42144" w:rsidP="00C93CED">
      <w:r w:rsidRPr="00667DE8">
        <w:t>The relevance of efficacy data obtained in adults for the paediatric population for systemically acting drugs depends on a number of factors such as the aetiology and course of the disease, as well as the mechanism of action of the drug in adult and paediatric patients. Provided that data from adults are considered relevant, pharmacokinetic information can be used to extrapolate efficacy to the paediatric population</w:t>
      </w:r>
      <w:r w:rsidR="007C6D8D">
        <w:t>.</w:t>
      </w:r>
    </w:p>
    <w:p w14:paraId="11208C23" w14:textId="77777777" w:rsidR="00F42144" w:rsidRDefault="00F42144" w:rsidP="00C93CED">
      <w:pPr>
        <w:pStyle w:val="ListBullet2"/>
        <w:rPr>
          <w:lang w:eastAsia="ja-JP"/>
        </w:rPr>
      </w:pPr>
      <w:r w:rsidRPr="00667DE8">
        <w:t>If similar exposure in adult and paediatric patients can be assumed to produce similar efficacy, pharmacokinetic data alone can be used to extrapolate efficacy.</w:t>
      </w:r>
      <w:r w:rsidRPr="00667DE8">
        <w:sym w:font="Symbol" w:char="F020"/>
      </w:r>
    </w:p>
    <w:p w14:paraId="28ACD7C8" w14:textId="77777777" w:rsidR="00F42144" w:rsidRDefault="00F42144" w:rsidP="00C93CED">
      <w:pPr>
        <w:pStyle w:val="ListBullet2"/>
        <w:rPr>
          <w:lang w:eastAsia="ja-JP"/>
        </w:rPr>
      </w:pPr>
      <w:r w:rsidRPr="00667DE8">
        <w:t xml:space="preserve">If a similar relationship between concentration and clinical efficacy cannot be assumed, paediatric PK/PD (biomarker) data can be used to extrapolate efficacy. In this case, the predictability of the biomarker should have been documented. If this has been performed in adults only, its value for the paediatric population should be adequately justified. Evaluation of the PK-PD relationship in dose-ranging studies or multiple dose level studies is </w:t>
      </w:r>
      <w:r w:rsidR="00A5161C" w:rsidRPr="00667DE8">
        <w:t>encouraged;</w:t>
      </w:r>
      <w:r w:rsidRPr="00667DE8">
        <w:t xml:space="preserve"> as such information may be very valuable for dose-selection.</w:t>
      </w:r>
    </w:p>
    <w:p w14:paraId="09DEEEEC" w14:textId="77777777" w:rsidR="00F42144" w:rsidRDefault="00F42144" w:rsidP="00F42144">
      <w:pPr>
        <w:rPr>
          <w:lang w:eastAsia="ja-JP"/>
        </w:rPr>
      </w:pPr>
      <w:r>
        <w:rPr>
          <w:lang w:eastAsia="ja-JP"/>
        </w:rPr>
        <w:t xml:space="preserve">Assuming the features of PAH are similar in adults and children, the submitted studies have failed to demonstrate similar exposure in adult and paediatric patients. It is therefore difficult to extrapolate efficacy to the paediatric population. </w:t>
      </w:r>
      <w:r w:rsidRPr="008A0BCB">
        <w:rPr>
          <w:lang w:eastAsia="ja-JP"/>
        </w:rPr>
        <w:t xml:space="preserve">Based on the findings obtained at 2 mg/kg and 4 mg/kg, it is unlikely that increasing the dose of bosentan beyond 2 mg/kg in paediatric patients in a </w:t>
      </w:r>
      <w:r w:rsidR="007C6D8D">
        <w:rPr>
          <w:lang w:eastAsia="ja-JP"/>
        </w:rPr>
        <w:t>BD</w:t>
      </w:r>
      <w:r w:rsidRPr="008A0BCB">
        <w:rPr>
          <w:lang w:eastAsia="ja-JP"/>
        </w:rPr>
        <w:t xml:space="preserve"> regimen will result in </w:t>
      </w:r>
      <w:r>
        <w:rPr>
          <w:lang w:eastAsia="ja-JP"/>
        </w:rPr>
        <w:t>increased exposure to bosentan.</w:t>
      </w:r>
    </w:p>
    <w:p w14:paraId="4880905A" w14:textId="77777777" w:rsidR="00F42144" w:rsidRDefault="00F42144" w:rsidP="00F42144">
      <w:pPr>
        <w:rPr>
          <w:lang w:eastAsia="ja-JP"/>
        </w:rPr>
      </w:pPr>
      <w:r>
        <w:rPr>
          <w:lang w:eastAsia="ja-JP"/>
        </w:rPr>
        <w:lastRenderedPageBreak/>
        <w:t>Whilst bosentan does not have a specific approved indication for the paediatric population the PI notes that there is limited experience with its use in children and provides dosage instructions for children aged three years and over. The PI notes that ‘</w:t>
      </w:r>
      <w:r w:rsidRPr="003F6B51">
        <w:rPr>
          <w:i/>
          <w:lang w:eastAsia="ja-JP"/>
        </w:rPr>
        <w:t>Although the number of patients studied in each dose group was generally insufficient to establish the optimal dosing regimen</w:t>
      </w:r>
      <w:r>
        <w:rPr>
          <w:lang w:eastAsia="ja-JP"/>
        </w:rPr>
        <w:t xml:space="preserve">’. As noted above, </w:t>
      </w:r>
      <w:r w:rsidRPr="003F6B51">
        <w:rPr>
          <w:lang w:eastAsia="ja-JP"/>
        </w:rPr>
        <w:t xml:space="preserve">the </w:t>
      </w:r>
      <w:r>
        <w:rPr>
          <w:lang w:eastAsia="ja-JP"/>
        </w:rPr>
        <w:t xml:space="preserve">bosentan exposure in the </w:t>
      </w:r>
      <w:r w:rsidRPr="003F6B51">
        <w:rPr>
          <w:lang w:eastAsia="ja-JP"/>
        </w:rPr>
        <w:t xml:space="preserve">FUTURE-1 </w:t>
      </w:r>
      <w:r w:rsidR="00E77015">
        <w:rPr>
          <w:lang w:eastAsia="ja-JP"/>
        </w:rPr>
        <w:t>Study</w:t>
      </w:r>
      <w:r w:rsidRPr="003F6B51">
        <w:rPr>
          <w:lang w:eastAsia="ja-JP"/>
        </w:rPr>
        <w:t xml:space="preserve"> fell within the range seen in the BREATHE-3 </w:t>
      </w:r>
      <w:r w:rsidR="00E77015">
        <w:rPr>
          <w:lang w:eastAsia="ja-JP"/>
        </w:rPr>
        <w:t>Study</w:t>
      </w:r>
      <w:r w:rsidRPr="003F6B51">
        <w:rPr>
          <w:lang w:eastAsia="ja-JP"/>
        </w:rPr>
        <w:t xml:space="preserve"> </w:t>
      </w:r>
      <w:r>
        <w:rPr>
          <w:lang w:eastAsia="ja-JP"/>
        </w:rPr>
        <w:t xml:space="preserve">but </w:t>
      </w:r>
      <w:r w:rsidRPr="003F6B51">
        <w:rPr>
          <w:lang w:eastAsia="ja-JP"/>
        </w:rPr>
        <w:t>it is difficult to compare the patient populations based on the information provided in the submission.</w:t>
      </w:r>
    </w:p>
    <w:p w14:paraId="072EA484" w14:textId="77777777" w:rsidR="00F42144" w:rsidRDefault="00F42144" w:rsidP="00F42144">
      <w:pPr>
        <w:rPr>
          <w:lang w:eastAsia="ja-JP"/>
        </w:rPr>
      </w:pPr>
      <w:r>
        <w:rPr>
          <w:lang w:eastAsia="ja-JP"/>
        </w:rPr>
        <w:t>It is noted that the PI states that the adult formulation of bosentan can be taken with or without food and that in healthy volunteers ‘</w:t>
      </w:r>
      <w:r w:rsidRPr="00273F0B">
        <w:rPr>
          <w:i/>
          <w:lang w:eastAsia="ja-JP"/>
        </w:rPr>
        <w:t xml:space="preserve">At a dose of 125 mg, administration of </w:t>
      </w:r>
      <w:r w:rsidR="007C6D8D">
        <w:rPr>
          <w:i/>
          <w:lang w:eastAsia="ja-JP"/>
        </w:rPr>
        <w:t>Tracleer</w:t>
      </w:r>
      <w:r w:rsidRPr="00273F0B">
        <w:rPr>
          <w:i/>
          <w:lang w:eastAsia="ja-JP"/>
        </w:rPr>
        <w:t xml:space="preserve"> with food did not have a significant effect on the extent of absorption but did increase the rate, leading to a 20% increase in peak plasma concentrations of bosentan. This is not expected to be clinically significant.</w:t>
      </w:r>
      <w:r>
        <w:rPr>
          <w:lang w:eastAsia="ja-JP"/>
        </w:rPr>
        <w:t>’ The guideline on bioequivalence states that:</w:t>
      </w:r>
    </w:p>
    <w:p w14:paraId="236A0AEF" w14:textId="77777777" w:rsidR="00F42144" w:rsidRPr="00F42144" w:rsidRDefault="00F42144" w:rsidP="00F42144">
      <w:pPr>
        <w:ind w:left="567"/>
        <w:rPr>
          <w:szCs w:val="20"/>
          <w:lang w:eastAsia="ja-JP"/>
        </w:rPr>
      </w:pPr>
      <w:r w:rsidRPr="00F42144">
        <w:rPr>
          <w:szCs w:val="20"/>
          <w:lang w:eastAsia="ja-JP"/>
        </w:rPr>
        <w:t>However, for products with specific formulation characteristics (</w:t>
      </w:r>
      <w:r w:rsidR="007C6D8D">
        <w:rPr>
          <w:szCs w:val="20"/>
          <w:lang w:eastAsia="ja-JP"/>
        </w:rPr>
        <w:t>for example</w:t>
      </w:r>
      <w:r w:rsidRPr="00F42144">
        <w:rPr>
          <w:szCs w:val="20"/>
          <w:lang w:eastAsia="ja-JP"/>
        </w:rPr>
        <w:t xml:space="preserve"> micro</w:t>
      </w:r>
      <w:r w:rsidR="00E97B2B">
        <w:rPr>
          <w:szCs w:val="20"/>
          <w:lang w:eastAsia="ja-JP"/>
        </w:rPr>
        <w:t> </w:t>
      </w:r>
      <w:r w:rsidRPr="00F42144">
        <w:rPr>
          <w:szCs w:val="20"/>
          <w:lang w:eastAsia="ja-JP"/>
        </w:rPr>
        <w:t>emulsions, solid dispersions), bioequivalence studies performed under both fasted and fed conditions are required unless the product must be taken only in the fasted state or only in the fed state.</w:t>
      </w:r>
    </w:p>
    <w:p w14:paraId="36324865" w14:textId="77777777" w:rsidR="007C6D8D" w:rsidRDefault="00F42144" w:rsidP="00F42144">
      <w:pPr>
        <w:rPr>
          <w:lang w:eastAsia="ja-JP"/>
        </w:rPr>
      </w:pPr>
      <w:r>
        <w:rPr>
          <w:lang w:eastAsia="ja-JP"/>
        </w:rPr>
        <w:t xml:space="preserve">This position is supported by the FDA draft guidance on bosentan which recommends two </w:t>
      </w:r>
      <w:r w:rsidR="00CF6063">
        <w:rPr>
          <w:lang w:eastAsia="ja-JP"/>
        </w:rPr>
        <w:t>single dose</w:t>
      </w:r>
      <w:r w:rsidR="00A5161C">
        <w:rPr>
          <w:lang w:eastAsia="ja-JP"/>
        </w:rPr>
        <w:t xml:space="preserve">, two </w:t>
      </w:r>
      <w:r>
        <w:rPr>
          <w:lang w:eastAsia="ja-JP"/>
        </w:rPr>
        <w:t>way, crossover studies in order to establish bioequivalence. It is unclear why bioequivalence studies have not been conducted for the adult and paediatric formulations in both the fed and fasted state</w:t>
      </w:r>
      <w:r w:rsidR="007C6D8D">
        <w:rPr>
          <w:lang w:eastAsia="ja-JP"/>
        </w:rPr>
        <w:t>.</w:t>
      </w:r>
    </w:p>
    <w:p w14:paraId="42100ECD" w14:textId="77777777" w:rsidR="00586F98" w:rsidRDefault="00586F98" w:rsidP="00586F98">
      <w:pPr>
        <w:pStyle w:val="Heading2"/>
      </w:pPr>
      <w:bookmarkStart w:id="133" w:name="_Toc519773899"/>
      <w:r>
        <w:t>Pharmacodynamics</w:t>
      </w:r>
      <w:bookmarkEnd w:id="133"/>
    </w:p>
    <w:p w14:paraId="7D14AC94" w14:textId="77777777" w:rsidR="00EE37DE" w:rsidRPr="00EE37DE" w:rsidRDefault="00EE37DE" w:rsidP="00EE37DE">
      <w:pPr>
        <w:pStyle w:val="Heading3"/>
      </w:pPr>
      <w:bookmarkStart w:id="134" w:name="_Toc473883987"/>
      <w:bookmarkStart w:id="135" w:name="_Toc519773900"/>
      <w:r w:rsidRPr="00EE37DE">
        <w:t>Studies providing pharmacodynamic information</w:t>
      </w:r>
      <w:bookmarkEnd w:id="134"/>
      <w:bookmarkEnd w:id="135"/>
    </w:p>
    <w:p w14:paraId="1D2DAF5D" w14:textId="77777777" w:rsidR="00EE37DE" w:rsidRPr="003C3171" w:rsidRDefault="00EE37DE" w:rsidP="00EE37DE">
      <w:pPr>
        <w:rPr>
          <w:lang w:eastAsia="ja-JP"/>
        </w:rPr>
      </w:pPr>
      <w:r>
        <w:rPr>
          <w:lang w:eastAsia="ja-JP"/>
        </w:rPr>
        <w:t>No pharmacodynamics studies were included in the submission.</w:t>
      </w:r>
    </w:p>
    <w:p w14:paraId="7CAD5787" w14:textId="77777777" w:rsidR="00EE37DE" w:rsidRPr="00EE37DE" w:rsidRDefault="00EE37DE" w:rsidP="00EE37DE">
      <w:pPr>
        <w:pStyle w:val="Heading3"/>
      </w:pPr>
      <w:bookmarkStart w:id="136" w:name="_Ref269119989"/>
      <w:bookmarkStart w:id="137" w:name="_Toc272414639"/>
      <w:bookmarkStart w:id="138" w:name="_Toc290888487"/>
      <w:bookmarkStart w:id="139" w:name="_Toc416353684"/>
      <w:bookmarkStart w:id="140" w:name="_Toc421005253"/>
      <w:bookmarkStart w:id="141" w:name="_Toc432079135"/>
      <w:bookmarkStart w:id="142" w:name="_Toc432080708"/>
      <w:bookmarkStart w:id="143" w:name="_Toc473883988"/>
      <w:bookmarkStart w:id="144" w:name="_Toc519773901"/>
      <w:r w:rsidRPr="00EE37DE">
        <w:t>Summary of pharmacodynamics</w:t>
      </w:r>
      <w:bookmarkEnd w:id="136"/>
      <w:bookmarkEnd w:id="137"/>
      <w:bookmarkEnd w:id="138"/>
      <w:bookmarkEnd w:id="139"/>
      <w:bookmarkEnd w:id="140"/>
      <w:bookmarkEnd w:id="141"/>
      <w:bookmarkEnd w:id="142"/>
      <w:bookmarkEnd w:id="143"/>
      <w:bookmarkEnd w:id="144"/>
    </w:p>
    <w:p w14:paraId="2103C098" w14:textId="77777777" w:rsidR="00EE37DE" w:rsidRDefault="00EE37DE" w:rsidP="00EE37DE">
      <w:pPr>
        <w:rPr>
          <w:lang w:eastAsia="ja-JP"/>
        </w:rPr>
      </w:pPr>
      <w:r>
        <w:rPr>
          <w:lang w:eastAsia="ja-JP"/>
        </w:rPr>
        <w:t>Please refer to the Tracleer PI for a summary of pharmacodynamics properties of bosentan.</w:t>
      </w:r>
    </w:p>
    <w:p w14:paraId="28004616" w14:textId="77777777" w:rsidR="00EE37DE" w:rsidRPr="00EE37DE" w:rsidRDefault="00EE37DE" w:rsidP="00EE37DE">
      <w:pPr>
        <w:pStyle w:val="Heading3"/>
      </w:pPr>
      <w:bookmarkStart w:id="145" w:name="_Ref269983272"/>
      <w:bookmarkStart w:id="146" w:name="_Toc272414648"/>
      <w:bookmarkStart w:id="147" w:name="_Toc290888496"/>
      <w:bookmarkStart w:id="148" w:name="_Toc416353693"/>
      <w:bookmarkStart w:id="149" w:name="_Toc421005260"/>
      <w:bookmarkStart w:id="150" w:name="_Toc432079142"/>
      <w:bookmarkStart w:id="151" w:name="_Toc432080715"/>
      <w:bookmarkStart w:id="152" w:name="_Toc473883989"/>
      <w:bookmarkStart w:id="153" w:name="_Toc519773902"/>
      <w:r w:rsidRPr="00EE37DE">
        <w:t>Evaluator’s overall conclusions on pharmacodynamics</w:t>
      </w:r>
      <w:bookmarkEnd w:id="145"/>
      <w:bookmarkEnd w:id="146"/>
      <w:bookmarkEnd w:id="147"/>
      <w:bookmarkEnd w:id="148"/>
      <w:bookmarkEnd w:id="149"/>
      <w:bookmarkEnd w:id="150"/>
      <w:bookmarkEnd w:id="151"/>
      <w:bookmarkEnd w:id="152"/>
      <w:bookmarkEnd w:id="153"/>
    </w:p>
    <w:p w14:paraId="2D8D7CAE" w14:textId="77777777" w:rsidR="00EE37DE" w:rsidRDefault="00EE37DE" w:rsidP="00EE37DE">
      <w:pPr>
        <w:rPr>
          <w:lang w:eastAsia="ja-JP"/>
        </w:rPr>
      </w:pPr>
      <w:r>
        <w:rPr>
          <w:lang w:eastAsia="ja-JP"/>
        </w:rPr>
        <w:t>No information was presented in the submission to alter the current understanding of the pharmacodynamics of bosentan.</w:t>
      </w:r>
    </w:p>
    <w:p w14:paraId="27F4EC04" w14:textId="77777777" w:rsidR="00586F98" w:rsidRDefault="00C22678" w:rsidP="00586F98">
      <w:pPr>
        <w:pStyle w:val="Heading2"/>
      </w:pPr>
      <w:bookmarkStart w:id="154" w:name="_Toc519773903"/>
      <w:r>
        <w:t>Dosage selection for the pivotal studies</w:t>
      </w:r>
      <w:bookmarkEnd w:id="154"/>
    </w:p>
    <w:p w14:paraId="7A0F0FE5" w14:textId="77777777" w:rsidR="00C22678" w:rsidRPr="00586F98" w:rsidRDefault="00EE37DE" w:rsidP="00C22678">
      <w:pPr>
        <w:rPr>
          <w:lang w:eastAsia="ja-JP"/>
        </w:rPr>
      </w:pPr>
      <w:r>
        <w:rPr>
          <w:lang w:eastAsia="ja-JP"/>
        </w:rPr>
        <w:t>No dose selection studies were included in the submission.</w:t>
      </w:r>
    </w:p>
    <w:p w14:paraId="2EE1B81B" w14:textId="77777777" w:rsidR="00C22678" w:rsidRDefault="00C22678" w:rsidP="00C22678">
      <w:pPr>
        <w:pStyle w:val="Heading2"/>
      </w:pPr>
      <w:bookmarkStart w:id="155" w:name="_Toc519773904"/>
      <w:r>
        <w:t>Clinical efficacy</w:t>
      </w:r>
      <w:bookmarkEnd w:id="155"/>
    </w:p>
    <w:p w14:paraId="2460BDA6" w14:textId="77777777" w:rsidR="00EE37DE" w:rsidRPr="00EE37DE" w:rsidRDefault="00EE37DE" w:rsidP="00EE37DE">
      <w:r w:rsidRPr="00EE37DE">
        <w:t>The following studies included in the submission had a primary efficacy outcome:</w:t>
      </w:r>
    </w:p>
    <w:p w14:paraId="2E585AFA" w14:textId="06C841E6" w:rsidR="00EE37DE" w:rsidRPr="00EE37DE" w:rsidRDefault="009B4988" w:rsidP="00EE37DE">
      <w:pPr>
        <w:pStyle w:val="ListBullet"/>
      </w:pPr>
      <w:r>
        <w:rPr>
          <w:lang w:eastAsia="ja-JP"/>
        </w:rPr>
        <w:t>Study</w:t>
      </w:r>
      <w:r w:rsidRPr="00EE37DE">
        <w:t xml:space="preserve"> </w:t>
      </w:r>
      <w:r w:rsidR="00EE37DE" w:rsidRPr="00EE37DE">
        <w:t xml:space="preserve">AC-052-391 </w:t>
      </w:r>
      <w:r>
        <w:t>(</w:t>
      </w:r>
      <w:r w:rsidR="00EE37DE" w:rsidRPr="00EE37DE">
        <w:t>FUTURE-4</w:t>
      </w:r>
      <w:r>
        <w:t>)</w:t>
      </w:r>
    </w:p>
    <w:p w14:paraId="0EA70237" w14:textId="77777777" w:rsidR="00EE37DE" w:rsidRPr="00EE37DE" w:rsidRDefault="00EE37DE" w:rsidP="00EE37DE">
      <w:r w:rsidRPr="00EE37DE">
        <w:t>The following studies included in the submission had exploratory efficacy outcomes:</w:t>
      </w:r>
    </w:p>
    <w:p w14:paraId="380C9FD8" w14:textId="0F229563" w:rsidR="00EE37DE" w:rsidRPr="00EE37DE" w:rsidRDefault="009B4988" w:rsidP="00EE37DE">
      <w:pPr>
        <w:pStyle w:val="ListBullet"/>
      </w:pPr>
      <w:r>
        <w:rPr>
          <w:lang w:eastAsia="ja-JP"/>
        </w:rPr>
        <w:t>Study</w:t>
      </w:r>
      <w:r w:rsidRPr="00EE37DE">
        <w:t xml:space="preserve"> </w:t>
      </w:r>
      <w:r w:rsidR="00EE37DE" w:rsidRPr="00EE37DE">
        <w:t xml:space="preserve">AC-052-365 </w:t>
      </w:r>
      <w:r>
        <w:t>(</w:t>
      </w:r>
      <w:r w:rsidR="00EE37DE" w:rsidRPr="00EE37DE">
        <w:t>FUTURE-1</w:t>
      </w:r>
      <w:r>
        <w:t>)</w:t>
      </w:r>
    </w:p>
    <w:p w14:paraId="575CED38" w14:textId="2003FE12" w:rsidR="00EE37DE" w:rsidRPr="00EE37DE" w:rsidRDefault="009B4988" w:rsidP="00EE37DE">
      <w:pPr>
        <w:pStyle w:val="ListBullet"/>
      </w:pPr>
      <w:r>
        <w:rPr>
          <w:lang w:eastAsia="ja-JP"/>
        </w:rPr>
        <w:t>Study</w:t>
      </w:r>
      <w:r w:rsidRPr="00EE37DE">
        <w:t xml:space="preserve"> </w:t>
      </w:r>
      <w:r w:rsidR="00EE37DE" w:rsidRPr="00EE37DE">
        <w:t xml:space="preserve">AC-052-367 </w:t>
      </w:r>
      <w:r>
        <w:t>(</w:t>
      </w:r>
      <w:r w:rsidR="00EE37DE" w:rsidRPr="00EE37DE">
        <w:t>FUTURE-2</w:t>
      </w:r>
      <w:r>
        <w:t>)</w:t>
      </w:r>
    </w:p>
    <w:p w14:paraId="23056FB0" w14:textId="0D8163A7" w:rsidR="00EE37DE" w:rsidRPr="00EE37DE" w:rsidRDefault="00D44CEE" w:rsidP="00EE37DE">
      <w:pPr>
        <w:pStyle w:val="ListBullet"/>
      </w:pPr>
      <w:r>
        <w:lastRenderedPageBreak/>
        <w:t xml:space="preserve">Study </w:t>
      </w:r>
      <w:r w:rsidR="00EE37DE" w:rsidRPr="00EE37DE">
        <w:t xml:space="preserve">AC-052-373 </w:t>
      </w:r>
      <w:r>
        <w:t>(</w:t>
      </w:r>
      <w:r w:rsidR="00EE37DE" w:rsidRPr="00EE37DE">
        <w:t>FUTURE-3</w:t>
      </w:r>
      <w:r>
        <w:t>)</w:t>
      </w:r>
    </w:p>
    <w:p w14:paraId="229A6D75" w14:textId="06F61D6C" w:rsidR="00EE37DE" w:rsidRPr="00EE37DE" w:rsidRDefault="00D44CEE" w:rsidP="00EE37DE">
      <w:pPr>
        <w:pStyle w:val="ListBullet"/>
      </w:pPr>
      <w:r>
        <w:t xml:space="preserve">Study </w:t>
      </w:r>
      <w:r w:rsidR="00EE37DE" w:rsidRPr="00EE37DE">
        <w:t xml:space="preserve">AC-052-374 </w:t>
      </w:r>
      <w:r>
        <w:t>(</w:t>
      </w:r>
      <w:r w:rsidR="00EE37DE" w:rsidRPr="00EE37DE">
        <w:t>FUTURE-3</w:t>
      </w:r>
      <w:r>
        <w:t>)</w:t>
      </w:r>
      <w:r w:rsidR="00EE37DE" w:rsidRPr="00EE37DE">
        <w:t xml:space="preserve"> Extension</w:t>
      </w:r>
    </w:p>
    <w:p w14:paraId="1965F607" w14:textId="77777777" w:rsidR="00EE37DE" w:rsidRPr="00EE37DE" w:rsidRDefault="00EE37DE" w:rsidP="00EE37DE">
      <w:pPr>
        <w:pStyle w:val="Heading3"/>
      </w:pPr>
      <w:bookmarkStart w:id="156" w:name="_Ref463512260"/>
      <w:bookmarkStart w:id="157" w:name="_Toc473883997"/>
      <w:bookmarkStart w:id="158" w:name="_Toc519773905"/>
      <w:r w:rsidRPr="00EE37DE">
        <w:t>Pivotal or main efficacy studies</w:t>
      </w:r>
      <w:bookmarkEnd w:id="156"/>
      <w:bookmarkEnd w:id="157"/>
      <w:bookmarkEnd w:id="158"/>
    </w:p>
    <w:p w14:paraId="779C19D2" w14:textId="77777777" w:rsidR="00EE37DE" w:rsidRPr="00EE37DE" w:rsidRDefault="00EE37DE" w:rsidP="00EE37DE">
      <w:pPr>
        <w:pStyle w:val="Heading4"/>
      </w:pPr>
      <w:bookmarkStart w:id="159" w:name="_Ref243301615"/>
      <w:bookmarkStart w:id="160" w:name="_Ref271040927"/>
      <w:bookmarkStart w:id="161" w:name="_Ref271040932"/>
      <w:bookmarkStart w:id="162" w:name="_Toc272414653"/>
      <w:bookmarkStart w:id="163" w:name="_Toc290888501"/>
      <w:bookmarkStart w:id="164" w:name="_Toc416353717"/>
      <w:r w:rsidRPr="00EE37DE">
        <w:t>AC-052-391 FUTURE-4</w:t>
      </w:r>
      <w:bookmarkEnd w:id="159"/>
      <w:bookmarkEnd w:id="160"/>
      <w:bookmarkEnd w:id="161"/>
      <w:bookmarkEnd w:id="162"/>
      <w:bookmarkEnd w:id="163"/>
      <w:bookmarkEnd w:id="164"/>
    </w:p>
    <w:p w14:paraId="3A977EBB" w14:textId="77777777" w:rsidR="00EE37DE" w:rsidRPr="00EE37DE" w:rsidRDefault="00EE37DE" w:rsidP="00EE37DE">
      <w:pPr>
        <w:pStyle w:val="Heading5"/>
      </w:pPr>
      <w:r w:rsidRPr="00EE37DE">
        <w:t>Study design, objectives, locations and dates</w:t>
      </w:r>
    </w:p>
    <w:p w14:paraId="60E5A612" w14:textId="77777777" w:rsidR="007C6D8D" w:rsidRDefault="00EE37DE" w:rsidP="00EE37DE">
      <w:r>
        <w:t xml:space="preserve">FUTURE-4 was a </w:t>
      </w:r>
      <w:r w:rsidR="00A5161C">
        <w:t>Phase</w:t>
      </w:r>
      <w:r>
        <w:t xml:space="preserve"> III, e</w:t>
      </w:r>
      <w:r w:rsidRPr="001F714A">
        <w:t>xploratory, multicentre</w:t>
      </w:r>
      <w:r>
        <w:t xml:space="preserve">, </w:t>
      </w:r>
      <w:r w:rsidR="00A5161C">
        <w:t>double blind</w:t>
      </w:r>
      <w:r>
        <w:t xml:space="preserve">, </w:t>
      </w:r>
      <w:r w:rsidR="00A5161C">
        <w:t>placebo controlled</w:t>
      </w:r>
      <w:r>
        <w:t>, randomis</w:t>
      </w:r>
      <w:r w:rsidRPr="001F714A">
        <w:t xml:space="preserve">ed, prospective </w:t>
      </w:r>
      <w:r w:rsidR="0066478A">
        <w:t>study</w:t>
      </w:r>
      <w:r w:rsidRPr="001F714A">
        <w:t xml:space="preserve"> to</w:t>
      </w:r>
      <w:r>
        <w:t xml:space="preserve"> </w:t>
      </w:r>
      <w:r w:rsidRPr="001F714A">
        <w:t>evaluate pharmacokinetics, safety and efficacy of</w:t>
      </w:r>
      <w:r>
        <w:t xml:space="preserve"> </w:t>
      </w:r>
      <w:r w:rsidRPr="001F714A">
        <w:t xml:space="preserve">bosentan as add-on therapy to </w:t>
      </w:r>
      <w:r>
        <w:t xml:space="preserve">iNO </w:t>
      </w:r>
      <w:r w:rsidRPr="001F714A">
        <w:t>in the</w:t>
      </w:r>
      <w:r>
        <w:t xml:space="preserve"> </w:t>
      </w:r>
      <w:r w:rsidRPr="001F714A">
        <w:t>management of persistent pulmonary hypertension of</w:t>
      </w:r>
      <w:r>
        <w:t xml:space="preserve"> </w:t>
      </w:r>
      <w:r w:rsidRPr="001F714A">
        <w:t>the newborn</w:t>
      </w:r>
      <w:r>
        <w:t xml:space="preserve"> (PPHN)</w:t>
      </w:r>
      <w:r w:rsidR="007C6D8D">
        <w:t>.</w:t>
      </w:r>
    </w:p>
    <w:p w14:paraId="6520EE15" w14:textId="77777777" w:rsidR="00EE37DE" w:rsidRPr="001F714A" w:rsidRDefault="00EE37DE" w:rsidP="00EE37DE">
      <w:r w:rsidRPr="001F714A">
        <w:t>The primary objective was to assess the efficacy of</w:t>
      </w:r>
      <w:r>
        <w:t xml:space="preserve"> </w:t>
      </w:r>
      <w:r w:rsidRPr="001F714A">
        <w:t>bosentan in neonates with PPHN who were in need of</w:t>
      </w:r>
      <w:r>
        <w:t xml:space="preserve"> </w:t>
      </w:r>
      <w:r w:rsidRPr="001F714A">
        <w:t xml:space="preserve">continued </w:t>
      </w:r>
      <w:r>
        <w:t>iNO</w:t>
      </w:r>
      <w:r w:rsidRPr="001F714A">
        <w:t xml:space="preserve"> after at least 4 h of</w:t>
      </w:r>
      <w:r>
        <w:t xml:space="preserve"> </w:t>
      </w:r>
      <w:r w:rsidRPr="001F714A">
        <w:t>continuous iNO treatment.</w:t>
      </w:r>
    </w:p>
    <w:p w14:paraId="3B5A8AE6" w14:textId="77777777" w:rsidR="00EE37DE" w:rsidRPr="00A67434" w:rsidRDefault="00EE37DE" w:rsidP="00EE37DE">
      <w:r w:rsidRPr="001F714A">
        <w:t>Secondary objectives were to evaluate the</w:t>
      </w:r>
      <w:r>
        <w:t xml:space="preserve"> PK</w:t>
      </w:r>
      <w:r w:rsidRPr="001F714A">
        <w:t>, tolerability, and safety of</w:t>
      </w:r>
      <w:r>
        <w:t xml:space="preserve"> </w:t>
      </w:r>
      <w:r w:rsidRPr="001F714A">
        <w:t>bosentan in this patient population.</w:t>
      </w:r>
    </w:p>
    <w:p w14:paraId="1B8F6948" w14:textId="77777777" w:rsidR="00EE37DE" w:rsidRDefault="00EE37DE" w:rsidP="00EE37DE">
      <w:r>
        <w:t xml:space="preserve">Twenty five </w:t>
      </w:r>
      <w:r w:rsidR="0066478A">
        <w:t>study</w:t>
      </w:r>
      <w:r>
        <w:t xml:space="preserve"> centres were initiated and a total of 23 patients were randomised in nine centres across six countries (Czech Republic, France, South Korea, Poland, UK and USA). The </w:t>
      </w:r>
      <w:r w:rsidR="0066478A">
        <w:t>study</w:t>
      </w:r>
      <w:r>
        <w:t xml:space="preserve"> ran between 8 December 2011 and 5 December 2013.</w:t>
      </w:r>
    </w:p>
    <w:p w14:paraId="67C6ACD2" w14:textId="77777777" w:rsidR="00EE37DE" w:rsidRDefault="00EE37DE" w:rsidP="00EE37DE">
      <w:pPr>
        <w:pStyle w:val="FigureTitle"/>
        <w:rPr>
          <w:lang w:eastAsia="ja-JP"/>
        </w:rPr>
      </w:pPr>
      <w:bookmarkStart w:id="165" w:name="_Toc473884164"/>
      <w:r w:rsidRPr="008806DA">
        <w:t xml:space="preserve">Figure </w:t>
      </w:r>
      <w:r w:rsidR="008806DA" w:rsidRPr="008806DA">
        <w:t>13:</w:t>
      </w:r>
      <w:r w:rsidRPr="008806DA">
        <w:t xml:space="preserve"> FUTURE-4 Study</w:t>
      </w:r>
      <w:r>
        <w:t xml:space="preserve"> design schematic</w:t>
      </w:r>
      <w:bookmarkEnd w:id="165"/>
    </w:p>
    <w:p w14:paraId="4BE0E0EF" w14:textId="77777777" w:rsidR="00EE37DE" w:rsidRDefault="00EE37DE" w:rsidP="00C22678">
      <w:pPr>
        <w:rPr>
          <w:lang w:eastAsia="ja-JP"/>
        </w:rPr>
      </w:pPr>
      <w:r>
        <w:rPr>
          <w:noProof/>
          <w:lang w:eastAsia="en-AU"/>
        </w:rPr>
        <w:drawing>
          <wp:inline distT="0" distB="0" distL="0" distR="0" wp14:anchorId="4B1D6156" wp14:editId="412C0EB0">
            <wp:extent cx="5442509" cy="2295622"/>
            <wp:effectExtent l="0" t="0" r="6350" b="0"/>
            <wp:docPr id="29" name="Picture 29" descr="Figure 13: FUTURE-4 Study design schematic&#10;Birth screening randomisation (1st dosing day 1. either Bosentan BID 2 mg/kg (n = 20) on top of iNO or placebo BID on top of iNO for 48 hours to less than 14 dyas (study should be stopped after weaning from iNO) 7 days after drug cessation (less then 21 days) is the end of the study. follow up for SAEs is 60 days (by phone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439086" cy="2294178"/>
                    </a:xfrm>
                    <a:prstGeom prst="rect">
                      <a:avLst/>
                    </a:prstGeom>
                  </pic:spPr>
                </pic:pic>
              </a:graphicData>
            </a:graphic>
          </wp:inline>
        </w:drawing>
      </w:r>
    </w:p>
    <w:p w14:paraId="0D221934" w14:textId="77777777" w:rsidR="00EE37DE" w:rsidRPr="007F6EDD" w:rsidRDefault="00EE37DE" w:rsidP="007F6EDD">
      <w:pPr>
        <w:pStyle w:val="Heading5"/>
      </w:pPr>
      <w:bookmarkStart w:id="166" w:name="_Ref461011785"/>
      <w:r w:rsidRPr="007F6EDD">
        <w:t>Inclusion and exclusion criteria</w:t>
      </w:r>
      <w:bookmarkEnd w:id="166"/>
    </w:p>
    <w:p w14:paraId="702D9456" w14:textId="77777777" w:rsidR="00EE37DE" w:rsidRDefault="00EE37DE" w:rsidP="007F6EDD">
      <w:r w:rsidRPr="001F714A">
        <w:t xml:space="preserve">Eligible patients </w:t>
      </w:r>
      <w:r>
        <w:t>had to</w:t>
      </w:r>
      <w:r w:rsidRPr="001F714A">
        <w:t xml:space="preserve"> me</w:t>
      </w:r>
      <w:r>
        <w:t>e</w:t>
      </w:r>
      <w:r w:rsidRPr="001F714A">
        <w:t>t all of the foll</w:t>
      </w:r>
      <w:r>
        <w:t xml:space="preserve">owing inclusion criteria during </w:t>
      </w:r>
      <w:r w:rsidRPr="001F714A">
        <w:t>Screening:</w:t>
      </w:r>
    </w:p>
    <w:p w14:paraId="1FA0AD24" w14:textId="77777777" w:rsidR="00EE37DE" w:rsidRPr="007F6EDD" w:rsidRDefault="00EE37DE" w:rsidP="007F6EDD">
      <w:pPr>
        <w:pStyle w:val="ListBullet"/>
      </w:pPr>
      <w:r w:rsidRPr="007F6EDD">
        <w:t xml:space="preserve">Term and </w:t>
      </w:r>
      <w:r w:rsidR="007C6D8D">
        <w:t>near term</w:t>
      </w:r>
      <w:r w:rsidRPr="007F6EDD">
        <w:t xml:space="preserve"> newborns (gestational age </w:t>
      </w:r>
      <w:r w:rsidR="00CF6063">
        <w:t xml:space="preserve">&gt; </w:t>
      </w:r>
      <w:r w:rsidRPr="007F6EDD">
        <w:t>34 weeks)</w:t>
      </w:r>
    </w:p>
    <w:p w14:paraId="721F0854" w14:textId="77777777" w:rsidR="00EE37DE" w:rsidRPr="007F6EDD" w:rsidRDefault="00EE37DE" w:rsidP="007F6EDD">
      <w:pPr>
        <w:pStyle w:val="ListBullet"/>
      </w:pPr>
      <w:r w:rsidRPr="007F6EDD">
        <w:t xml:space="preserve">Weight at birth </w:t>
      </w:r>
      <w:r w:rsidR="007C6D8D">
        <w:t>≥</w:t>
      </w:r>
      <w:r w:rsidR="00CF6063">
        <w:t xml:space="preserve"> </w:t>
      </w:r>
      <w:r w:rsidRPr="007F6EDD">
        <w:t xml:space="preserve">2000 g (following Protocol Amendment 2, this was changed from </w:t>
      </w:r>
      <w:r w:rsidR="007C6D8D">
        <w:t>≥</w:t>
      </w:r>
      <w:r w:rsidR="00CF6063">
        <w:t xml:space="preserve"> </w:t>
      </w:r>
      <w:r w:rsidRPr="007F6EDD">
        <w:t xml:space="preserve">2500 g to </w:t>
      </w:r>
      <w:r w:rsidR="007C6D8D">
        <w:t>≥</w:t>
      </w:r>
      <w:r w:rsidR="00CF6063">
        <w:t xml:space="preserve"> </w:t>
      </w:r>
      <w:r w:rsidRPr="007F6EDD">
        <w:t>2000 g)</w:t>
      </w:r>
    </w:p>
    <w:p w14:paraId="2B8F7EF2" w14:textId="77777777" w:rsidR="00EE37DE" w:rsidRPr="007F6EDD" w:rsidRDefault="00EE37DE" w:rsidP="007F6EDD">
      <w:pPr>
        <w:pStyle w:val="ListBullet"/>
      </w:pPr>
      <w:r w:rsidRPr="007F6EDD">
        <w:t>Idiopathic PPHN or PPHN due to parenchymal lung disease</w:t>
      </w:r>
    </w:p>
    <w:p w14:paraId="3B05CA47" w14:textId="77777777" w:rsidR="00EE37DE" w:rsidRPr="007F6EDD" w:rsidRDefault="00EE37DE" w:rsidP="007F6EDD">
      <w:pPr>
        <w:pStyle w:val="ListBullet"/>
      </w:pPr>
      <w:r w:rsidRPr="007F6EDD">
        <w:t>Documented diagnosis of PH confirmed by echocardiography</w:t>
      </w:r>
    </w:p>
    <w:p w14:paraId="682DE0C1" w14:textId="77777777" w:rsidR="00EE37DE" w:rsidRPr="007F6EDD" w:rsidRDefault="00EE37DE" w:rsidP="007F6EDD">
      <w:pPr>
        <w:pStyle w:val="ListBullet"/>
      </w:pPr>
      <w:r w:rsidRPr="007F6EDD">
        <w:t xml:space="preserve">Two OI values </w:t>
      </w:r>
      <w:r w:rsidR="007C6D8D">
        <w:t>≥</w:t>
      </w:r>
      <w:r w:rsidR="00CF6063">
        <w:t xml:space="preserve"> </w:t>
      </w:r>
      <w:r w:rsidRPr="007F6EDD">
        <w:t>12 taken at least 30 min apart, in the 12 h</w:t>
      </w:r>
      <w:r w:rsidR="00A5161C">
        <w:t>ours</w:t>
      </w:r>
      <w:r w:rsidRPr="007F6EDD">
        <w:t xml:space="preserve"> prior to randomisation and while the patient was receiving iNO treatment (following implementation of Protocol Amendment 2, the requirement for OI values was reduced from </w:t>
      </w:r>
      <w:r w:rsidR="007C6D8D">
        <w:t>≥</w:t>
      </w:r>
      <w:r w:rsidR="00CF6063">
        <w:t xml:space="preserve"> </w:t>
      </w:r>
      <w:r w:rsidRPr="007F6EDD">
        <w:t xml:space="preserve">15 to </w:t>
      </w:r>
      <w:r w:rsidR="007C6D8D">
        <w:t>≥</w:t>
      </w:r>
      <w:r w:rsidR="00CF6063">
        <w:t xml:space="preserve"> </w:t>
      </w:r>
      <w:r w:rsidRPr="007F6EDD">
        <w:t>12)</w:t>
      </w:r>
    </w:p>
    <w:p w14:paraId="43143995" w14:textId="77777777" w:rsidR="00EE37DE" w:rsidRDefault="00EE37DE" w:rsidP="007F6EDD">
      <w:r>
        <w:t>The following inclusion criteria at applied at randomisation:</w:t>
      </w:r>
    </w:p>
    <w:p w14:paraId="79F1F16D" w14:textId="77777777" w:rsidR="00EE37DE" w:rsidRDefault="00EE37DE" w:rsidP="00EE37DE">
      <w:pPr>
        <w:pStyle w:val="ListBullet"/>
        <w:rPr>
          <w:rFonts w:ascii="Times New Roman" w:eastAsiaTheme="minorHAnsi"/>
        </w:rPr>
      </w:pPr>
      <w:r>
        <w:rPr>
          <w:rFonts w:ascii="Times New Roman" w:eastAsiaTheme="minorHAnsi"/>
        </w:rPr>
        <w:t>Post-</w:t>
      </w:r>
      <w:r>
        <w:t xml:space="preserve">natal age </w:t>
      </w:r>
      <w:r w:rsidR="007C6D8D">
        <w:t>≥</w:t>
      </w:r>
      <w:r w:rsidR="00CF6063">
        <w:t xml:space="preserve"> </w:t>
      </w:r>
      <w:r>
        <w:t>12 h</w:t>
      </w:r>
      <w:r w:rsidR="00A5161C">
        <w:t>ours</w:t>
      </w:r>
      <w:r>
        <w:t xml:space="preserve"> and </w:t>
      </w:r>
      <w:r>
        <w:rPr>
          <w:rFonts w:ascii="Times New Roman" w:eastAsiaTheme="minorHAnsi"/>
        </w:rPr>
        <w:t>&lt; 7 days</w:t>
      </w:r>
    </w:p>
    <w:p w14:paraId="51C7DCCE" w14:textId="77777777" w:rsidR="00EE37DE" w:rsidRPr="00102528" w:rsidRDefault="00EE37DE" w:rsidP="00EE37DE">
      <w:pPr>
        <w:pStyle w:val="ListBullet"/>
      </w:pPr>
      <w:r w:rsidRPr="00102528">
        <w:lastRenderedPageBreak/>
        <w:t xml:space="preserve">Mechanical ventilation with </w:t>
      </w:r>
      <w:r w:rsidR="00A5161C" w:rsidRPr="00102528">
        <w:t>FiO</w:t>
      </w:r>
      <w:r w:rsidR="00A5161C" w:rsidRPr="00A5161C">
        <w:rPr>
          <w:vertAlign w:val="subscript"/>
        </w:rPr>
        <w:t>2</w:t>
      </w:r>
      <w:r w:rsidRPr="00102528">
        <w:t xml:space="preserve"> </w:t>
      </w:r>
      <w:r w:rsidR="007C6D8D">
        <w:t>≥</w:t>
      </w:r>
      <w:r w:rsidR="00CF6063">
        <w:t xml:space="preserve"> </w:t>
      </w:r>
      <w:r w:rsidRPr="00102528">
        <w:t>50%</w:t>
      </w:r>
    </w:p>
    <w:p w14:paraId="7B6EAE90" w14:textId="77777777" w:rsidR="00EE37DE" w:rsidRPr="00102528" w:rsidRDefault="00EE37DE" w:rsidP="00EE37DE">
      <w:pPr>
        <w:pStyle w:val="ListBullet2"/>
      </w:pPr>
      <w:r w:rsidRPr="00102528">
        <w:t>OI</w:t>
      </w:r>
      <w:r w:rsidR="00A5161C">
        <w:t xml:space="preserve"> </w:t>
      </w:r>
      <w:r w:rsidR="00E77015">
        <w:t>=</w:t>
      </w:r>
      <w:r w:rsidR="00A5161C">
        <w:t xml:space="preserve"> </w:t>
      </w:r>
      <w:r w:rsidR="00A5161C" w:rsidRPr="00102528">
        <w:t>FiO</w:t>
      </w:r>
      <w:r w:rsidR="00A5161C" w:rsidRPr="00A5161C">
        <w:rPr>
          <w:vertAlign w:val="subscript"/>
        </w:rPr>
        <w:t>2</w:t>
      </w:r>
      <w:r w:rsidRPr="00102528">
        <w:t xml:space="preserve"> (%)</w:t>
      </w:r>
      <w:r w:rsidR="00CF6063">
        <w:t xml:space="preserve"> </w:t>
      </w:r>
      <w:r w:rsidR="00CF6063">
        <w:rPr>
          <w:rFonts w:hint="eastAsia"/>
        </w:rPr>
        <w:t xml:space="preserve">x </w:t>
      </w:r>
      <w:r w:rsidRPr="00102528">
        <w:t xml:space="preserve">MAP (cm </w:t>
      </w:r>
      <w:r w:rsidR="00A5161C" w:rsidRPr="00102528">
        <w:t>H</w:t>
      </w:r>
      <w:r w:rsidR="00A5161C" w:rsidRPr="00A5161C">
        <w:rPr>
          <w:vertAlign w:val="subscript"/>
        </w:rPr>
        <w:t>2</w:t>
      </w:r>
      <w:r w:rsidR="00A5161C" w:rsidRPr="00102528">
        <w:t>O</w:t>
      </w:r>
      <w:r w:rsidRPr="00102528">
        <w:t>) / PaO</w:t>
      </w:r>
      <w:r w:rsidRPr="00A5161C">
        <w:rPr>
          <w:vertAlign w:val="subscript"/>
        </w:rPr>
        <w:t>2</w:t>
      </w:r>
      <w:r w:rsidRPr="00102528">
        <w:t xml:space="preserve"> (torr).</w:t>
      </w:r>
    </w:p>
    <w:p w14:paraId="602BC172" w14:textId="77777777" w:rsidR="00EE37DE" w:rsidRDefault="00EE37DE" w:rsidP="00EE37DE">
      <w:r>
        <w:t xml:space="preserve">The following </w:t>
      </w:r>
      <w:r w:rsidRPr="00F73794">
        <w:t>inclusion</w:t>
      </w:r>
      <w:r>
        <w:t xml:space="preserve"> criterion needed to be met at both Screening and Randomisation:</w:t>
      </w:r>
    </w:p>
    <w:p w14:paraId="09A92B6D" w14:textId="77777777" w:rsidR="00EE37DE" w:rsidRPr="00EE37DE" w:rsidRDefault="00EE37DE" w:rsidP="00EE37DE">
      <w:pPr>
        <w:pStyle w:val="ListBullet"/>
      </w:pPr>
      <w:r w:rsidRPr="00EE37DE">
        <w:t xml:space="preserve">Need for continued iNO therapy at a dose </w:t>
      </w:r>
      <w:r w:rsidR="00CF6063">
        <w:t xml:space="preserve">&gt; </w:t>
      </w:r>
      <w:r w:rsidRPr="00EE37DE">
        <w:t xml:space="preserve">10 ppm after at least 4 h of iNO treatment at Screening and at a dose </w:t>
      </w:r>
      <w:r w:rsidR="007C6D8D">
        <w:t>≥</w:t>
      </w:r>
      <w:r w:rsidR="00CF6063">
        <w:t xml:space="preserve"> </w:t>
      </w:r>
      <w:r w:rsidRPr="00EE37DE">
        <w:t>10 ppm at randomisation (implemented following Protocol Amendment 2)</w:t>
      </w:r>
    </w:p>
    <w:p w14:paraId="39F3B57C" w14:textId="77777777" w:rsidR="00EE37DE" w:rsidRPr="00F85F74" w:rsidRDefault="00EE37DE" w:rsidP="00EE37DE">
      <w:r w:rsidRPr="00F85F74">
        <w:t>The following exclusion criteria applied during the screening period (absolute requirement of not meeting any of the exclusion criteria at screening rather than randomisation was implemented following Protocol Amendment 2):</w:t>
      </w:r>
    </w:p>
    <w:p w14:paraId="55863B6D" w14:textId="77777777" w:rsidR="00EE37DE" w:rsidRPr="00EE37DE" w:rsidRDefault="00EE37DE" w:rsidP="00EE37DE">
      <w:pPr>
        <w:pStyle w:val="ListBullet"/>
      </w:pPr>
      <w:r w:rsidRPr="00EE37DE">
        <w:t>PH associated with conditions other than PPHN</w:t>
      </w:r>
    </w:p>
    <w:p w14:paraId="19A29539" w14:textId="77777777" w:rsidR="00EE37DE" w:rsidRPr="00EE37DE" w:rsidRDefault="00EE37DE" w:rsidP="00EE37DE">
      <w:pPr>
        <w:pStyle w:val="ListBullet"/>
      </w:pPr>
      <w:r w:rsidRPr="00EE37DE">
        <w:t>Immediate need for cardiac resuscitation or ECMO</w:t>
      </w:r>
    </w:p>
    <w:p w14:paraId="0D437045" w14:textId="77777777" w:rsidR="00EE37DE" w:rsidRPr="00EE37DE" w:rsidRDefault="00EE37DE" w:rsidP="00EE37DE">
      <w:pPr>
        <w:pStyle w:val="ListBullet"/>
      </w:pPr>
      <w:r w:rsidRPr="00EE37DE">
        <w:t>Lethal congenital anomalies</w:t>
      </w:r>
    </w:p>
    <w:p w14:paraId="6F36C242" w14:textId="77777777" w:rsidR="00EE37DE" w:rsidRPr="00EE37DE" w:rsidRDefault="00EE37DE" w:rsidP="00EE37DE">
      <w:pPr>
        <w:pStyle w:val="ListBullet"/>
      </w:pPr>
      <w:r w:rsidRPr="00EE37DE">
        <w:t>Congenital diaphragmatic hernia</w:t>
      </w:r>
    </w:p>
    <w:p w14:paraId="22C74AD9" w14:textId="77777777" w:rsidR="00EE37DE" w:rsidRPr="00EE37DE" w:rsidRDefault="00EE37DE" w:rsidP="00EE37DE">
      <w:pPr>
        <w:pStyle w:val="ListBullet"/>
      </w:pPr>
      <w:r w:rsidRPr="00EE37DE">
        <w:t>Significant structural cardiac anomalies</w:t>
      </w:r>
    </w:p>
    <w:p w14:paraId="528F3DD3" w14:textId="77777777" w:rsidR="00EE37DE" w:rsidRPr="00EE37DE" w:rsidRDefault="00EE37DE" w:rsidP="00EE37DE">
      <w:pPr>
        <w:pStyle w:val="ListBullet"/>
      </w:pPr>
      <w:r w:rsidRPr="00EE37DE">
        <w:t>Medically significant pneumothorax</w:t>
      </w:r>
    </w:p>
    <w:p w14:paraId="5C439D12" w14:textId="77777777" w:rsidR="00EE37DE" w:rsidRPr="00EE37DE" w:rsidRDefault="00EE37DE" w:rsidP="00EE37DE">
      <w:pPr>
        <w:pStyle w:val="ListBullet"/>
      </w:pPr>
      <w:r w:rsidRPr="00EE37DE">
        <w:t>Active seizures</w:t>
      </w:r>
    </w:p>
    <w:p w14:paraId="28ED9814" w14:textId="77777777" w:rsidR="00EE37DE" w:rsidRPr="00EE37DE" w:rsidRDefault="00EE37DE" w:rsidP="00EE37DE">
      <w:pPr>
        <w:pStyle w:val="ListBullet"/>
      </w:pPr>
      <w:r w:rsidRPr="00EE37DE">
        <w:t>Expected duration of mechanical ventilation of less than 48 h</w:t>
      </w:r>
    </w:p>
    <w:p w14:paraId="3DEFF741" w14:textId="77777777" w:rsidR="00EE37DE" w:rsidRPr="00EE37DE" w:rsidRDefault="00EE37DE" w:rsidP="00EE37DE">
      <w:pPr>
        <w:pStyle w:val="ListBullet"/>
      </w:pPr>
      <w:r w:rsidRPr="00EE37DE">
        <w:t>Mean systemic blood pressure &lt; 35 mmHg despite therapy with volume infusions and cardiotonic support</w:t>
      </w:r>
    </w:p>
    <w:p w14:paraId="39ED5719" w14:textId="77777777" w:rsidR="00EE37DE" w:rsidRPr="00EE37DE" w:rsidRDefault="00EE37DE" w:rsidP="00EE37DE">
      <w:pPr>
        <w:pStyle w:val="ListBullet"/>
      </w:pPr>
      <w:r w:rsidRPr="00EE37DE">
        <w:t xml:space="preserve">Hepatic failure or all conditions with ALT value </w:t>
      </w:r>
      <w:r w:rsidR="00CF6063">
        <w:t xml:space="preserve">&gt; </w:t>
      </w:r>
      <w:r w:rsidRPr="00EE37DE">
        <w:t>2</w:t>
      </w:r>
      <w:r w:rsidR="00CF6063">
        <w:t xml:space="preserve"> x </w:t>
      </w:r>
      <w:r w:rsidR="00A5161C">
        <w:t>ULN</w:t>
      </w:r>
    </w:p>
    <w:p w14:paraId="613335CB" w14:textId="77777777" w:rsidR="00EE37DE" w:rsidRPr="00EE37DE" w:rsidRDefault="00EE37DE" w:rsidP="00EE37DE">
      <w:pPr>
        <w:pStyle w:val="ListBullet"/>
      </w:pPr>
      <w:r w:rsidRPr="00EE37DE">
        <w:t xml:space="preserve">Renal function impairment such as serum creatinine </w:t>
      </w:r>
      <w:r w:rsidR="00CF6063">
        <w:t xml:space="preserve">&gt; </w:t>
      </w:r>
      <w:r w:rsidRPr="00EE37DE">
        <w:t>3</w:t>
      </w:r>
      <w:r w:rsidR="00CF6063">
        <w:t xml:space="preserve"> x </w:t>
      </w:r>
      <w:r w:rsidRPr="00EE37DE">
        <w:t>ULN or anuria</w:t>
      </w:r>
    </w:p>
    <w:p w14:paraId="04A3932D" w14:textId="77777777" w:rsidR="00EE37DE" w:rsidRPr="00EE37DE" w:rsidRDefault="00EE37DE" w:rsidP="00EE37DE">
      <w:pPr>
        <w:pStyle w:val="ListBullet"/>
      </w:pPr>
      <w:r w:rsidRPr="00EE37DE">
        <w:t xml:space="preserve">Known intracranial </w:t>
      </w:r>
      <w:r w:rsidR="00360E60" w:rsidRPr="00EE37DE">
        <w:t>haemorrhage</w:t>
      </w:r>
      <w:r w:rsidRPr="00EE37DE">
        <w:t xml:space="preserve"> grade III-IV</w:t>
      </w:r>
    </w:p>
    <w:p w14:paraId="1251E471" w14:textId="77777777" w:rsidR="00EE37DE" w:rsidRPr="00EE37DE" w:rsidRDefault="00EE37DE" w:rsidP="00EE37DE">
      <w:pPr>
        <w:pStyle w:val="ListBullet"/>
      </w:pPr>
      <w:r w:rsidRPr="00EE37DE">
        <w:t xml:space="preserve">Either </w:t>
      </w:r>
      <w:r w:rsidR="00360E60" w:rsidRPr="00EE37DE">
        <w:t>haemoglobin</w:t>
      </w:r>
      <w:r w:rsidRPr="00EE37DE">
        <w:t xml:space="preserve"> and/or </w:t>
      </w:r>
      <w:r w:rsidR="00360E60" w:rsidRPr="00EE37DE">
        <w:t>haematocrit</w:t>
      </w:r>
      <w:r w:rsidRPr="00EE37DE">
        <w:t xml:space="preserve"> levels &lt; 75% of </w:t>
      </w:r>
      <w:r w:rsidR="00A5161C">
        <w:t>the lower limit of normal range</w:t>
      </w:r>
    </w:p>
    <w:p w14:paraId="6AB57447" w14:textId="4DB04290" w:rsidR="00EE37DE" w:rsidRPr="00EE37DE" w:rsidRDefault="00EE37DE" w:rsidP="00EE37DE">
      <w:pPr>
        <w:pStyle w:val="ListBullet"/>
      </w:pPr>
      <w:r w:rsidRPr="00EE37DE">
        <w:t>Thrombocytopenia (platelet count &lt; 50,000 cells/μL)</w:t>
      </w:r>
    </w:p>
    <w:p w14:paraId="4E3AAE98" w14:textId="7DF66F1E" w:rsidR="00EE37DE" w:rsidRPr="00EE37DE" w:rsidRDefault="00EE37DE" w:rsidP="00EE37DE">
      <w:pPr>
        <w:pStyle w:val="ListBullet"/>
      </w:pPr>
      <w:r w:rsidRPr="00EE37DE">
        <w:t>Leukopenia (white blood cells &lt; 2500 cells/μL)</w:t>
      </w:r>
    </w:p>
    <w:p w14:paraId="3C48DF27" w14:textId="77777777" w:rsidR="00EE37DE" w:rsidRPr="00EE37DE" w:rsidRDefault="00EE37DE" w:rsidP="00EE37DE">
      <w:pPr>
        <w:pStyle w:val="ListBullet"/>
      </w:pPr>
      <w:r w:rsidRPr="00EE37DE">
        <w:t>Any condition precluding the use of a nasogastric/orogastric tube</w:t>
      </w:r>
    </w:p>
    <w:p w14:paraId="52A59E27" w14:textId="77777777" w:rsidR="00EE37DE" w:rsidRPr="00EE37DE" w:rsidRDefault="00EE37DE" w:rsidP="00EE37DE">
      <w:pPr>
        <w:pStyle w:val="ListBullet"/>
      </w:pPr>
      <w:r w:rsidRPr="00EE37DE">
        <w:t>Administration of prohibited medication prior to randomisation</w:t>
      </w:r>
    </w:p>
    <w:p w14:paraId="36B126D8" w14:textId="77777777" w:rsidR="00EE37DE" w:rsidRPr="00EE37DE" w:rsidRDefault="00EE37DE" w:rsidP="00EE37DE">
      <w:pPr>
        <w:pStyle w:val="Heading5"/>
      </w:pPr>
      <w:r w:rsidRPr="00EE37DE">
        <w:t>Study treatments</w:t>
      </w:r>
    </w:p>
    <w:p w14:paraId="452BFCCB" w14:textId="77777777" w:rsidR="007C6D8D" w:rsidRDefault="00EE37DE" w:rsidP="00EE37DE">
      <w:r w:rsidRPr="00764F91">
        <w:t xml:space="preserve">Study drug was bosentan at </w:t>
      </w:r>
      <w:r>
        <w:t xml:space="preserve">2 mg/kg </w:t>
      </w:r>
      <w:r w:rsidR="007C6D8D">
        <w:t>BD</w:t>
      </w:r>
      <w:r>
        <w:t xml:space="preserve"> </w:t>
      </w:r>
      <w:r w:rsidRPr="00764F91">
        <w:t>or matching pl</w:t>
      </w:r>
      <w:r>
        <w:t>acebo, both administered in addition to</w:t>
      </w:r>
      <w:r w:rsidRPr="00764F91">
        <w:t xml:space="preserve"> iNO.</w:t>
      </w:r>
      <w:r>
        <w:t xml:space="preserve"> The bosentan dose was calculated according to the patient’s birth weight (rounded up to the next 0.5 kg) and did not change during </w:t>
      </w:r>
      <w:r w:rsidR="0066478A">
        <w:t>study</w:t>
      </w:r>
      <w:r>
        <w:t xml:space="preserve"> treatment</w:t>
      </w:r>
      <w:r w:rsidR="007C6D8D">
        <w:t>.</w:t>
      </w:r>
    </w:p>
    <w:p w14:paraId="438DC6CC" w14:textId="77777777" w:rsidR="007C6D8D" w:rsidRDefault="00EE37DE" w:rsidP="00EE37DE">
      <w:r>
        <w:t xml:space="preserve">Study </w:t>
      </w:r>
      <w:r w:rsidRPr="00764F91">
        <w:t>drug was administered as a 1.5 mL dispersion in sterile water via a nasogastric or</w:t>
      </w:r>
      <w:r>
        <w:t xml:space="preserve"> </w:t>
      </w:r>
      <w:r w:rsidRPr="00764F91">
        <w:t>orogastric tube, as soon as tube placement was possible, but not within the first 12 h</w:t>
      </w:r>
      <w:r w:rsidR="00A5161C">
        <w:t>ours</w:t>
      </w:r>
      <w:r w:rsidRPr="00764F91">
        <w:t xml:space="preserve"> of</w:t>
      </w:r>
      <w:r>
        <w:t xml:space="preserve"> </w:t>
      </w:r>
      <w:r w:rsidRPr="00764F91">
        <w:t xml:space="preserve">the baby’s life. </w:t>
      </w:r>
      <w:r w:rsidRPr="00441792">
        <w:t>The first dose was administered (any time of the</w:t>
      </w:r>
      <w:r>
        <w:t xml:space="preserve"> day) as soon as possible after randomis</w:t>
      </w:r>
      <w:r w:rsidRPr="00441792">
        <w:t>ation. The second dose was administered 12 h</w:t>
      </w:r>
      <w:r w:rsidR="00A5161C">
        <w:t>ours</w:t>
      </w:r>
      <w:r w:rsidRPr="00441792">
        <w:t xml:space="preserve"> late</w:t>
      </w:r>
      <w:r w:rsidR="00A5161C">
        <w:t>r, immediately after the 12 </w:t>
      </w:r>
      <w:r w:rsidRPr="00441792">
        <w:t>h</w:t>
      </w:r>
      <w:r w:rsidR="00A5161C">
        <w:t>our</w:t>
      </w:r>
      <w:r>
        <w:t xml:space="preserve"> </w:t>
      </w:r>
      <w:r w:rsidR="00A5161C">
        <w:t xml:space="preserve">post </w:t>
      </w:r>
      <w:r w:rsidRPr="00441792">
        <w:t xml:space="preserve">dose PK blood sample. Thereafter, </w:t>
      </w:r>
      <w:r w:rsidR="0066478A">
        <w:t>study</w:t>
      </w:r>
      <w:r w:rsidRPr="00441792">
        <w:t xml:space="preserve"> drug was administered approximately</w:t>
      </w:r>
      <w:r>
        <w:t xml:space="preserve"> </w:t>
      </w:r>
      <w:r w:rsidRPr="00441792">
        <w:t xml:space="preserve">every </w:t>
      </w:r>
      <w:r w:rsidR="00A5161C">
        <w:t>12 hours</w:t>
      </w:r>
      <w:r w:rsidRPr="00441792">
        <w:t xml:space="preserve"> for a minimum of 2 consecutive days and</w:t>
      </w:r>
      <w:r>
        <w:t xml:space="preserve"> </w:t>
      </w:r>
      <w:r w:rsidRPr="00441792">
        <w:t>may have continued for up to 14 days or until 1 day after</w:t>
      </w:r>
      <w:r>
        <w:t xml:space="preserve"> </w:t>
      </w:r>
      <w:r w:rsidRPr="00441792">
        <w:t>iNO completion if less than 14 days.</w:t>
      </w:r>
      <w:r>
        <w:t xml:space="preserve"> </w:t>
      </w:r>
      <w:r w:rsidRPr="00764F91">
        <w:t xml:space="preserve">Study drug was administered until </w:t>
      </w:r>
      <w:r w:rsidR="00A5161C">
        <w:t>24 hours</w:t>
      </w:r>
      <w:r w:rsidRPr="00764F91">
        <w:t xml:space="preserve"> after complete weaning of iNO or</w:t>
      </w:r>
      <w:r>
        <w:t xml:space="preserve"> </w:t>
      </w:r>
      <w:r w:rsidRPr="00764F91">
        <w:t>until treatment failure (defined as need for ECMO or initiation of alternative pulmonary</w:t>
      </w:r>
      <w:r>
        <w:t xml:space="preserve"> </w:t>
      </w:r>
      <w:r w:rsidRPr="00764F91">
        <w:t xml:space="preserve">vasodilator), or the maximum permitted duration of treatment with </w:t>
      </w:r>
      <w:r w:rsidR="0066478A">
        <w:t>study</w:t>
      </w:r>
      <w:r w:rsidRPr="00764F91">
        <w:t xml:space="preserve"> drug for an</w:t>
      </w:r>
      <w:r>
        <w:t xml:space="preserve"> </w:t>
      </w:r>
      <w:r w:rsidRPr="00764F91">
        <w:t xml:space="preserve">individual patient had been reached (14 days, regardless of </w:t>
      </w:r>
      <w:r w:rsidRPr="00764F91">
        <w:lastRenderedPageBreak/>
        <w:t>whether there was a need for</w:t>
      </w:r>
      <w:r>
        <w:t xml:space="preserve"> </w:t>
      </w:r>
      <w:r w:rsidRPr="00764F91">
        <w:t>continued iNO treatment). Weaning from iNO was performed according to a pre-defined</w:t>
      </w:r>
      <w:r>
        <w:t xml:space="preserve"> </w:t>
      </w:r>
      <w:r w:rsidRPr="00764F91">
        <w:t>weaning protocol</w:t>
      </w:r>
      <w:r>
        <w:t xml:space="preserve">. </w:t>
      </w:r>
      <w:r w:rsidRPr="00764F91">
        <w:t>End-of-Treatment</w:t>
      </w:r>
      <w:r>
        <w:t xml:space="preserve"> (EOT) visit was required to be </w:t>
      </w:r>
      <w:r w:rsidRPr="00764F91">
        <w:t xml:space="preserve">performed within </w:t>
      </w:r>
      <w:r w:rsidR="00A5161C">
        <w:t>24 hours</w:t>
      </w:r>
      <w:r>
        <w:t xml:space="preserve"> after last </w:t>
      </w:r>
      <w:r w:rsidR="0066478A">
        <w:t>study</w:t>
      </w:r>
      <w:r>
        <w:t xml:space="preserve"> drug </w:t>
      </w:r>
      <w:r w:rsidRPr="00764F91">
        <w:t>administration for all patients, including those</w:t>
      </w:r>
      <w:r>
        <w:t xml:space="preserve"> </w:t>
      </w:r>
      <w:r w:rsidRPr="00764F91">
        <w:t>who premature</w:t>
      </w:r>
      <w:r>
        <w:t xml:space="preserve">ly discontinued the </w:t>
      </w:r>
      <w:r w:rsidR="0066478A">
        <w:t>study</w:t>
      </w:r>
      <w:r>
        <w:t xml:space="preserve"> drug. </w:t>
      </w:r>
      <w:r w:rsidRPr="00764F91">
        <w:t>End-of-</w:t>
      </w:r>
      <w:r w:rsidR="0066478A">
        <w:t>study</w:t>
      </w:r>
      <w:r w:rsidRPr="00764F91">
        <w:t xml:space="preserve"> (EOS) visit for an individual</w:t>
      </w:r>
      <w:r>
        <w:t xml:space="preserve"> </w:t>
      </w:r>
      <w:r w:rsidRPr="00764F91">
        <w:t xml:space="preserve">patient occurred </w:t>
      </w:r>
      <w:r w:rsidR="00A5161C">
        <w:t xml:space="preserve">7 days after EOT. A 60 </w:t>
      </w:r>
      <w:r>
        <w:t xml:space="preserve">day post </w:t>
      </w:r>
      <w:r w:rsidRPr="00764F91">
        <w:t>treatment safety follow-up was</w:t>
      </w:r>
      <w:r>
        <w:t xml:space="preserve"> </w:t>
      </w:r>
      <w:r w:rsidRPr="00764F91">
        <w:t>conducted by telephone for all of the treated patients to r</w:t>
      </w:r>
      <w:r>
        <w:t xml:space="preserve">ecord potential serious adverse </w:t>
      </w:r>
      <w:r w:rsidRPr="00764F91">
        <w:t>events (SAEs)</w:t>
      </w:r>
      <w:r w:rsidR="007C6D8D">
        <w:t>.</w:t>
      </w:r>
    </w:p>
    <w:p w14:paraId="31104BCA" w14:textId="77777777" w:rsidR="00EE37DE" w:rsidRDefault="00EE37DE" w:rsidP="00EE37DE">
      <w:r>
        <w:rPr>
          <w:lang w:eastAsia="ja-JP"/>
        </w:rPr>
        <w:t xml:space="preserve">The </w:t>
      </w:r>
      <w:r w:rsidR="0066478A">
        <w:rPr>
          <w:lang w:eastAsia="ja-JP"/>
        </w:rPr>
        <w:t>study</w:t>
      </w:r>
      <w:r>
        <w:rPr>
          <w:lang w:eastAsia="ja-JP"/>
        </w:rPr>
        <w:t xml:space="preserve"> drug was administered as 1.5 mL dispersion in sterile water via a nasogastric or orogastric tube, as soon as tube placement was possible, but not within the first </w:t>
      </w:r>
      <w:r w:rsidR="00A5161C">
        <w:rPr>
          <w:lang w:eastAsia="ja-JP"/>
        </w:rPr>
        <w:t>12 hours</w:t>
      </w:r>
      <w:r>
        <w:rPr>
          <w:lang w:eastAsia="ja-JP"/>
        </w:rPr>
        <w:t xml:space="preserve"> of the baby’s life.</w:t>
      </w:r>
    </w:p>
    <w:p w14:paraId="59384964" w14:textId="77777777" w:rsidR="00EE37DE" w:rsidRPr="00EE37DE" w:rsidRDefault="00EE37DE" w:rsidP="00EE37DE">
      <w:pPr>
        <w:pStyle w:val="Heading5"/>
      </w:pPr>
      <w:r w:rsidRPr="00EE37DE">
        <w:t>Efficacy variables and outcomes</w:t>
      </w:r>
    </w:p>
    <w:p w14:paraId="5F646654" w14:textId="77777777" w:rsidR="00EE37DE" w:rsidRPr="00EE37DE" w:rsidRDefault="00EE37DE" w:rsidP="00EE37DE">
      <w:pPr>
        <w:pStyle w:val="Heading6"/>
      </w:pPr>
      <w:r w:rsidRPr="00EE37DE">
        <w:t>Primary efficacy endpoints</w:t>
      </w:r>
    </w:p>
    <w:p w14:paraId="29B69F06" w14:textId="77777777" w:rsidR="00EE37DE" w:rsidRDefault="00EE37DE" w:rsidP="00EE37DE">
      <w:pPr>
        <w:rPr>
          <w:lang w:eastAsia="ja-JP"/>
        </w:rPr>
      </w:pPr>
      <w:r>
        <w:rPr>
          <w:lang w:eastAsia="ja-JP"/>
        </w:rPr>
        <w:t>The primary efficacy endpoints were:</w:t>
      </w:r>
    </w:p>
    <w:p w14:paraId="5DFF8258" w14:textId="77777777" w:rsidR="00EE37DE" w:rsidRPr="00EE37DE" w:rsidRDefault="00EE37DE" w:rsidP="00EE37DE">
      <w:pPr>
        <w:pStyle w:val="ListBullet"/>
      </w:pPr>
      <w:r w:rsidRPr="00EE37DE">
        <w:t>Proportion of patients with treatment failure defined as:</w:t>
      </w:r>
    </w:p>
    <w:p w14:paraId="2E3849A7" w14:textId="77777777" w:rsidR="00EE37DE" w:rsidRDefault="00EE37DE" w:rsidP="00EE37DE">
      <w:pPr>
        <w:pStyle w:val="ListBullet2"/>
        <w:rPr>
          <w:lang w:eastAsia="ja-JP"/>
        </w:rPr>
      </w:pPr>
      <w:r>
        <w:rPr>
          <w:lang w:eastAsia="ja-JP"/>
        </w:rPr>
        <w:t>Need for ECMO</w:t>
      </w:r>
    </w:p>
    <w:p w14:paraId="406E63C9" w14:textId="77777777" w:rsidR="00EE37DE" w:rsidRDefault="00EE37DE" w:rsidP="00EE37DE">
      <w:pPr>
        <w:pStyle w:val="ListBullet2"/>
        <w:rPr>
          <w:lang w:eastAsia="ja-JP"/>
        </w:rPr>
      </w:pPr>
      <w:r>
        <w:rPr>
          <w:lang w:eastAsia="ja-JP"/>
        </w:rPr>
        <w:t>Initiation of alternative pulmonary vasodilator</w:t>
      </w:r>
    </w:p>
    <w:p w14:paraId="65F6E0DF" w14:textId="77777777" w:rsidR="00EE37DE" w:rsidRPr="00EE37DE" w:rsidRDefault="00EE37DE" w:rsidP="00EE37DE">
      <w:pPr>
        <w:pStyle w:val="ListBullet"/>
      </w:pPr>
      <w:r w:rsidRPr="00EE37DE">
        <w:t>Time to complete weaning from iNO</w:t>
      </w:r>
    </w:p>
    <w:p w14:paraId="4B1DB675" w14:textId="77777777" w:rsidR="00EE37DE" w:rsidRPr="00EE37DE" w:rsidRDefault="00EE37DE" w:rsidP="00EE37DE">
      <w:pPr>
        <w:pStyle w:val="ListBullet"/>
      </w:pPr>
      <w:r w:rsidRPr="00EE37DE">
        <w:t>Time to weaning from mechanical ventilation</w:t>
      </w:r>
    </w:p>
    <w:p w14:paraId="4DED927A" w14:textId="77777777" w:rsidR="00EE37DE" w:rsidRPr="00EE37DE" w:rsidRDefault="00EE37DE" w:rsidP="00EE37DE">
      <w:pPr>
        <w:pStyle w:val="Heading6"/>
      </w:pPr>
      <w:r w:rsidRPr="00EE37DE">
        <w:t>Secondary efficacy endpoints</w:t>
      </w:r>
    </w:p>
    <w:p w14:paraId="2E192258" w14:textId="77777777" w:rsidR="00EE37DE" w:rsidRDefault="00EE37DE" w:rsidP="00EE37DE">
      <w:pPr>
        <w:rPr>
          <w:lang w:eastAsia="ja-JP"/>
        </w:rPr>
      </w:pPr>
      <w:r>
        <w:rPr>
          <w:lang w:eastAsia="ja-JP"/>
        </w:rPr>
        <w:t>The secondary efficacy endpoints were:</w:t>
      </w:r>
    </w:p>
    <w:p w14:paraId="15476383" w14:textId="77777777" w:rsidR="00EE37DE" w:rsidRPr="00EE37DE" w:rsidRDefault="00EE37DE" w:rsidP="00EE37DE">
      <w:pPr>
        <w:pStyle w:val="ListBullet"/>
      </w:pPr>
      <w:r w:rsidRPr="00EE37DE">
        <w:t>Proportion of patients requiring re-initiation of iNO therapy.</w:t>
      </w:r>
    </w:p>
    <w:p w14:paraId="6EC14E63" w14:textId="77777777" w:rsidR="00EE37DE" w:rsidRPr="00EE37DE" w:rsidRDefault="00EE37DE" w:rsidP="00EE37DE">
      <w:pPr>
        <w:pStyle w:val="ListBullet"/>
      </w:pPr>
      <w:r w:rsidRPr="00EE37DE">
        <w:t xml:space="preserve">Change from baseline to </w:t>
      </w:r>
      <w:r w:rsidR="00A5161C">
        <w:t>3 hours</w:t>
      </w:r>
      <w:r w:rsidRPr="00EE37DE">
        <w:t xml:space="preserve">, </w:t>
      </w:r>
      <w:r w:rsidR="00A5161C">
        <w:t>5 hours</w:t>
      </w:r>
      <w:r w:rsidRPr="00EE37DE">
        <w:t xml:space="preserve">, </w:t>
      </w:r>
      <w:r w:rsidR="00A5161C">
        <w:t>12 hours</w:t>
      </w:r>
      <w:r w:rsidRPr="00EE37DE">
        <w:t xml:space="preserve">, and </w:t>
      </w:r>
      <w:r w:rsidR="00A5161C">
        <w:t>24 hours</w:t>
      </w:r>
      <w:r w:rsidRPr="00EE37DE">
        <w:t xml:space="preserve"> following the first drug administration; and thereafter every day until EOT for:</w:t>
      </w:r>
    </w:p>
    <w:p w14:paraId="08E915D8" w14:textId="77777777" w:rsidR="00EE37DE" w:rsidRPr="009D05EB" w:rsidRDefault="00EE37DE" w:rsidP="00EE37DE">
      <w:pPr>
        <w:pStyle w:val="ListBullet2"/>
        <w:rPr>
          <w:lang w:eastAsia="ja-JP"/>
        </w:rPr>
      </w:pPr>
      <w:r w:rsidRPr="009D05EB">
        <w:rPr>
          <w:lang w:eastAsia="ja-JP"/>
        </w:rPr>
        <w:t>OI</w:t>
      </w:r>
    </w:p>
    <w:p w14:paraId="70F7A5E8" w14:textId="2EDE9667" w:rsidR="00EE37DE" w:rsidRPr="009D05EB" w:rsidRDefault="00EE37DE" w:rsidP="00EE37DE">
      <w:pPr>
        <w:pStyle w:val="ListBullet2"/>
        <w:rPr>
          <w:lang w:eastAsia="ja-JP"/>
        </w:rPr>
      </w:pPr>
      <w:r w:rsidRPr="009D05EB">
        <w:rPr>
          <w:lang w:eastAsia="ja-JP"/>
        </w:rPr>
        <w:t xml:space="preserve">ABG values (pH, Arterial oxygen saturation </w:t>
      </w:r>
      <w:r w:rsidR="00D44CEE">
        <w:rPr>
          <w:lang w:eastAsia="ja-JP"/>
        </w:rPr>
        <w:t>(</w:t>
      </w:r>
      <w:r w:rsidRPr="009D05EB">
        <w:rPr>
          <w:lang w:eastAsia="ja-JP"/>
        </w:rPr>
        <w:t>SaO</w:t>
      </w:r>
      <w:r w:rsidRPr="00102528">
        <w:rPr>
          <w:vertAlign w:val="subscript"/>
          <w:lang w:eastAsia="ja-JP"/>
        </w:rPr>
        <w:t>2</w:t>
      </w:r>
      <w:r w:rsidR="00D44CEE">
        <w:rPr>
          <w:lang w:eastAsia="ja-JP"/>
        </w:rPr>
        <w:t>)</w:t>
      </w:r>
      <w:r w:rsidRPr="009D05EB">
        <w:rPr>
          <w:lang w:eastAsia="ja-JP"/>
        </w:rPr>
        <w:t>, PaO</w:t>
      </w:r>
      <w:r w:rsidRPr="00102528">
        <w:rPr>
          <w:vertAlign w:val="subscript"/>
          <w:lang w:eastAsia="ja-JP"/>
        </w:rPr>
        <w:t>2</w:t>
      </w:r>
      <w:r w:rsidRPr="009D05EB">
        <w:rPr>
          <w:lang w:eastAsia="ja-JP"/>
        </w:rPr>
        <w:t>, PaCO</w:t>
      </w:r>
      <w:r w:rsidRPr="00102528">
        <w:rPr>
          <w:vertAlign w:val="subscript"/>
          <w:lang w:eastAsia="ja-JP"/>
        </w:rPr>
        <w:t>2</w:t>
      </w:r>
      <w:r w:rsidRPr="009D05EB">
        <w:rPr>
          <w:lang w:eastAsia="ja-JP"/>
        </w:rPr>
        <w:t>)</w:t>
      </w:r>
    </w:p>
    <w:p w14:paraId="67A49616" w14:textId="77777777" w:rsidR="00EE37DE" w:rsidRPr="009D05EB" w:rsidRDefault="00EE37DE" w:rsidP="00EE37DE">
      <w:pPr>
        <w:pStyle w:val="ListBullet2"/>
        <w:rPr>
          <w:lang w:eastAsia="ja-JP"/>
        </w:rPr>
      </w:pPr>
      <w:r w:rsidRPr="009D05EB">
        <w:rPr>
          <w:lang w:eastAsia="ja-JP"/>
        </w:rPr>
        <w:t>Pulse oximetry (SpO</w:t>
      </w:r>
      <w:r w:rsidRPr="009D05EB">
        <w:rPr>
          <w:vertAlign w:val="subscript"/>
          <w:lang w:eastAsia="ja-JP"/>
        </w:rPr>
        <w:t>2</w:t>
      </w:r>
      <w:r w:rsidRPr="009D05EB">
        <w:rPr>
          <w:lang w:eastAsia="ja-JP"/>
        </w:rPr>
        <w:t>)</w:t>
      </w:r>
    </w:p>
    <w:p w14:paraId="301EBDE8" w14:textId="77777777" w:rsidR="00EE37DE" w:rsidRPr="009D05EB" w:rsidRDefault="00A5161C" w:rsidP="00EE37DE">
      <w:pPr>
        <w:pStyle w:val="ListBullet2"/>
        <w:rPr>
          <w:lang w:eastAsia="ja-JP"/>
        </w:rPr>
      </w:pPr>
      <w:r w:rsidRPr="00102528">
        <w:t>FiO</w:t>
      </w:r>
      <w:r w:rsidRPr="00A5161C">
        <w:rPr>
          <w:vertAlign w:val="subscript"/>
        </w:rPr>
        <w:t>2</w:t>
      </w:r>
    </w:p>
    <w:p w14:paraId="2668470C" w14:textId="77777777" w:rsidR="00EE37DE" w:rsidRPr="009D05EB" w:rsidRDefault="00EE37DE" w:rsidP="00EE37DE">
      <w:pPr>
        <w:pStyle w:val="ListBullet2"/>
        <w:rPr>
          <w:lang w:eastAsia="ja-JP"/>
        </w:rPr>
      </w:pPr>
      <w:r w:rsidRPr="009D05EB">
        <w:rPr>
          <w:lang w:eastAsia="ja-JP"/>
        </w:rPr>
        <w:t>AaDO</w:t>
      </w:r>
      <w:r w:rsidRPr="009D05EB">
        <w:rPr>
          <w:vertAlign w:val="subscript"/>
          <w:lang w:eastAsia="ja-JP"/>
        </w:rPr>
        <w:t>2</w:t>
      </w:r>
    </w:p>
    <w:p w14:paraId="097A6211" w14:textId="77777777" w:rsidR="00EE37DE" w:rsidRPr="00EE37DE" w:rsidRDefault="00EE37DE" w:rsidP="00EE37DE">
      <w:pPr>
        <w:pStyle w:val="ListBullet"/>
      </w:pPr>
      <w:r w:rsidRPr="00EE37DE">
        <w:t xml:space="preserve">Presence of PH (assessed by echocardiography) at </w:t>
      </w:r>
      <w:r w:rsidR="00A5161C">
        <w:t>24 hours</w:t>
      </w:r>
      <w:r w:rsidRPr="00EE37DE">
        <w:t xml:space="preserve"> (Day 2) and at EOT</w:t>
      </w:r>
    </w:p>
    <w:p w14:paraId="3710DD53" w14:textId="77777777" w:rsidR="00EE37DE" w:rsidRPr="009D05EB" w:rsidRDefault="00EE37DE" w:rsidP="00EE37DE">
      <w:pPr>
        <w:pStyle w:val="ListBullet"/>
        <w:numPr>
          <w:ilvl w:val="0"/>
          <w:numId w:val="0"/>
        </w:numPr>
        <w:rPr>
          <w:lang w:eastAsia="ja-JP"/>
        </w:rPr>
      </w:pPr>
      <w:r w:rsidRPr="009D05EB">
        <w:rPr>
          <w:lang w:eastAsia="ja-JP"/>
        </w:rPr>
        <w:t>PH was reported as ‘present’ if at least one of the following criteria was met:</w:t>
      </w:r>
    </w:p>
    <w:p w14:paraId="1D078701" w14:textId="77777777" w:rsidR="00EE37DE" w:rsidRPr="009D05EB" w:rsidRDefault="00EE37DE" w:rsidP="00EE37DE">
      <w:pPr>
        <w:pStyle w:val="ListBullet"/>
        <w:rPr>
          <w:lang w:eastAsia="ja-JP"/>
        </w:rPr>
      </w:pPr>
      <w:r w:rsidRPr="009D05EB">
        <w:rPr>
          <w:lang w:eastAsia="ja-JP"/>
        </w:rPr>
        <w:t>Shunt through ductus arteriosus was either ‘predominant right to left’ or</w:t>
      </w:r>
      <w:r>
        <w:rPr>
          <w:lang w:eastAsia="ja-JP"/>
        </w:rPr>
        <w:t xml:space="preserve"> </w:t>
      </w:r>
      <w:r w:rsidRPr="009D05EB">
        <w:rPr>
          <w:lang w:eastAsia="ja-JP"/>
        </w:rPr>
        <w:t>‘bidirectional’</w:t>
      </w:r>
    </w:p>
    <w:p w14:paraId="44D300A3" w14:textId="77777777" w:rsidR="00EE37DE" w:rsidRPr="009D05EB" w:rsidRDefault="00EE37DE" w:rsidP="00EE37DE">
      <w:pPr>
        <w:pStyle w:val="ListBullet"/>
        <w:rPr>
          <w:lang w:eastAsia="ja-JP"/>
        </w:rPr>
      </w:pPr>
      <w:r w:rsidRPr="009D05EB">
        <w:rPr>
          <w:lang w:eastAsia="ja-JP"/>
        </w:rPr>
        <w:t>Shunt through foramen ovale was either ‘predominant right to left’ or ‘bidirectional’</w:t>
      </w:r>
    </w:p>
    <w:p w14:paraId="6DCC4DCC" w14:textId="77777777" w:rsidR="00EE37DE" w:rsidRPr="009D05EB" w:rsidRDefault="00EE37DE" w:rsidP="00EE37DE">
      <w:pPr>
        <w:pStyle w:val="ListBullet"/>
        <w:rPr>
          <w:lang w:eastAsia="ja-JP"/>
        </w:rPr>
      </w:pPr>
      <w:r w:rsidRPr="009D05EB">
        <w:rPr>
          <w:lang w:eastAsia="ja-JP"/>
        </w:rPr>
        <w:t>Marked right ventricular dilation was ticked ‘present’</w:t>
      </w:r>
    </w:p>
    <w:p w14:paraId="51D16A1E" w14:textId="77777777" w:rsidR="00EE37DE" w:rsidRPr="009D05EB" w:rsidRDefault="00EE37DE" w:rsidP="00EE37DE">
      <w:pPr>
        <w:pStyle w:val="ListBullet"/>
        <w:rPr>
          <w:lang w:eastAsia="ja-JP"/>
        </w:rPr>
      </w:pPr>
      <w:r w:rsidRPr="009D05EB">
        <w:rPr>
          <w:lang w:eastAsia="ja-JP"/>
        </w:rPr>
        <w:t>Paradoxical shift of intraventricular septum was ticked ‘present’</w:t>
      </w:r>
    </w:p>
    <w:p w14:paraId="69E0E706" w14:textId="77777777" w:rsidR="00EE37DE" w:rsidRDefault="00EE37DE" w:rsidP="00EE37DE">
      <w:pPr>
        <w:pStyle w:val="ListBullet"/>
        <w:rPr>
          <w:lang w:eastAsia="ja-JP"/>
        </w:rPr>
      </w:pPr>
      <w:r w:rsidRPr="009D05EB">
        <w:rPr>
          <w:lang w:eastAsia="ja-JP"/>
        </w:rPr>
        <w:t xml:space="preserve">Right ventricular systolic pressure (mmHg) was </w:t>
      </w:r>
      <w:r w:rsidR="00CF6063">
        <w:rPr>
          <w:lang w:eastAsia="ja-JP"/>
        </w:rPr>
        <w:t xml:space="preserve">&gt; </w:t>
      </w:r>
      <w:r w:rsidRPr="009D05EB">
        <w:rPr>
          <w:lang w:eastAsia="ja-JP"/>
        </w:rPr>
        <w:t>2/3 of the reported systemic blood</w:t>
      </w:r>
      <w:r>
        <w:rPr>
          <w:lang w:eastAsia="ja-JP"/>
        </w:rPr>
        <w:t xml:space="preserve"> </w:t>
      </w:r>
      <w:r w:rsidRPr="009D05EB">
        <w:rPr>
          <w:lang w:eastAsia="ja-JP"/>
        </w:rPr>
        <w:t xml:space="preserve">pressure </w:t>
      </w:r>
      <w:r>
        <w:rPr>
          <w:lang w:eastAsia="ja-JP"/>
        </w:rPr>
        <w:t>(reported on the same CRF page)</w:t>
      </w:r>
    </w:p>
    <w:p w14:paraId="740BC11F" w14:textId="77777777" w:rsidR="00EE37DE" w:rsidRPr="00EE37DE" w:rsidRDefault="00EE37DE" w:rsidP="00EE37DE">
      <w:pPr>
        <w:pStyle w:val="Heading6"/>
      </w:pPr>
      <w:r w:rsidRPr="00EE37DE">
        <w:t>Exploratory efficacy endpoints</w:t>
      </w:r>
    </w:p>
    <w:p w14:paraId="01FCAA57" w14:textId="77777777" w:rsidR="00EE37DE" w:rsidRDefault="00EE37DE" w:rsidP="00EE37DE">
      <w:pPr>
        <w:rPr>
          <w:lang w:eastAsia="ja-JP"/>
        </w:rPr>
      </w:pPr>
      <w:r>
        <w:rPr>
          <w:lang w:eastAsia="ja-JP"/>
        </w:rPr>
        <w:t xml:space="preserve">Ventilatory support data and ventilation setting variables (other than </w:t>
      </w:r>
      <w:r w:rsidR="00A5161C" w:rsidRPr="00102528">
        <w:t>FiO</w:t>
      </w:r>
      <w:r w:rsidR="00A5161C" w:rsidRPr="00A5161C">
        <w:rPr>
          <w:vertAlign w:val="subscript"/>
        </w:rPr>
        <w:t>2</w:t>
      </w:r>
      <w:r>
        <w:rPr>
          <w:lang w:eastAsia="ja-JP"/>
        </w:rPr>
        <w:t xml:space="preserve">) were collected at </w:t>
      </w:r>
      <w:r w:rsidR="00A5161C">
        <w:rPr>
          <w:lang w:eastAsia="ja-JP"/>
        </w:rPr>
        <w:t>3 hours</w:t>
      </w:r>
      <w:r>
        <w:rPr>
          <w:lang w:eastAsia="ja-JP"/>
        </w:rPr>
        <w:t xml:space="preserve">, </w:t>
      </w:r>
      <w:r w:rsidR="00A5161C">
        <w:rPr>
          <w:lang w:eastAsia="ja-JP"/>
        </w:rPr>
        <w:t>5 hours</w:t>
      </w:r>
      <w:r>
        <w:rPr>
          <w:lang w:eastAsia="ja-JP"/>
        </w:rPr>
        <w:t xml:space="preserve">, </w:t>
      </w:r>
      <w:r w:rsidR="00A5161C">
        <w:rPr>
          <w:lang w:eastAsia="ja-JP"/>
        </w:rPr>
        <w:t>12 hours</w:t>
      </w:r>
      <w:r>
        <w:rPr>
          <w:lang w:eastAsia="ja-JP"/>
        </w:rPr>
        <w:t xml:space="preserve">, and </w:t>
      </w:r>
      <w:r w:rsidR="00A5161C">
        <w:rPr>
          <w:lang w:eastAsia="ja-JP"/>
        </w:rPr>
        <w:t>24 hours</w:t>
      </w:r>
      <w:r>
        <w:rPr>
          <w:lang w:eastAsia="ja-JP"/>
        </w:rPr>
        <w:t xml:space="preserve"> following the first drug administration; and thereafter every day until EOS. These were MAP, positive end-expiratory pressure (PEEP), peak </w:t>
      </w:r>
      <w:r>
        <w:rPr>
          <w:lang w:eastAsia="ja-JP"/>
        </w:rPr>
        <w:lastRenderedPageBreak/>
        <w:t>inspiratory pressure, ventilation rate, and tidal volume for patients on conventional ventilation or MAP, frequency and amplitude (ΔP) for patients on high frequency oscillatory ventilation.</w:t>
      </w:r>
    </w:p>
    <w:p w14:paraId="551F8A9F" w14:textId="77777777" w:rsidR="00EE37DE" w:rsidRPr="00EE37DE" w:rsidRDefault="00EE37DE" w:rsidP="00EE37DE">
      <w:pPr>
        <w:pStyle w:val="Heading6"/>
      </w:pPr>
      <w:r w:rsidRPr="00EE37DE">
        <w:t>Pharmacokinetic endpoints</w:t>
      </w:r>
    </w:p>
    <w:p w14:paraId="3615C663" w14:textId="77777777" w:rsidR="00EE37DE" w:rsidRPr="009D05EB" w:rsidRDefault="00EE37DE" w:rsidP="00EE37DE">
      <w:pPr>
        <w:rPr>
          <w:lang w:eastAsia="ja-JP"/>
        </w:rPr>
      </w:pPr>
      <w:r w:rsidRPr="009D05EB">
        <w:rPr>
          <w:lang w:eastAsia="ja-JP"/>
        </w:rPr>
        <w:t>The following PK endpoints were analy</w:t>
      </w:r>
      <w:r>
        <w:rPr>
          <w:lang w:eastAsia="ja-JP"/>
        </w:rPr>
        <w:t>s</w:t>
      </w:r>
      <w:r w:rsidRPr="009D05EB">
        <w:rPr>
          <w:lang w:eastAsia="ja-JP"/>
        </w:rPr>
        <w:t>ed based on concentration measurements from</w:t>
      </w:r>
      <w:r>
        <w:rPr>
          <w:lang w:eastAsia="ja-JP"/>
        </w:rPr>
        <w:t xml:space="preserve"> </w:t>
      </w:r>
      <w:r w:rsidRPr="009D05EB">
        <w:rPr>
          <w:lang w:eastAsia="ja-JP"/>
        </w:rPr>
        <w:t>dried blood spot samples:</w:t>
      </w:r>
    </w:p>
    <w:p w14:paraId="7C689F86" w14:textId="77777777" w:rsidR="00EE37DE" w:rsidRPr="00EE37DE" w:rsidRDefault="00EE37DE" w:rsidP="00EE37DE">
      <w:pPr>
        <w:pStyle w:val="ListBullet"/>
      </w:pPr>
      <w:r w:rsidRPr="00EE37DE">
        <w:t>C</w:t>
      </w:r>
      <w:r w:rsidRPr="00A5161C">
        <w:rPr>
          <w:vertAlign w:val="subscript"/>
        </w:rPr>
        <w:t>max</w:t>
      </w:r>
      <w:r w:rsidRPr="00EE37DE">
        <w:t>, C</w:t>
      </w:r>
      <w:r w:rsidRPr="00A5161C">
        <w:rPr>
          <w:vertAlign w:val="subscript"/>
        </w:rPr>
        <w:t>maxC</w:t>
      </w:r>
      <w:r w:rsidRPr="00EE37DE">
        <w:t>, t</w:t>
      </w:r>
      <w:r w:rsidRPr="00A5161C">
        <w:rPr>
          <w:vertAlign w:val="subscript"/>
        </w:rPr>
        <w:t>max</w:t>
      </w:r>
      <w:r w:rsidRPr="00EE37DE">
        <w:t xml:space="preserve"> (Days 1 and 5), </w:t>
      </w:r>
      <w:r w:rsidR="00A5161C" w:rsidRPr="00EE37DE">
        <w:t>AUC</w:t>
      </w:r>
      <w:r w:rsidR="00A5161C" w:rsidRPr="00A5161C">
        <w:rPr>
          <w:vertAlign w:val="subscript"/>
        </w:rPr>
        <w:t>0-12</w:t>
      </w:r>
      <w:r w:rsidRPr="00EE37DE">
        <w:t xml:space="preserve"> (Day 1), AUC</w:t>
      </w:r>
      <w:r w:rsidR="00A5161C">
        <w:t>τ</w:t>
      </w:r>
      <w:r w:rsidRPr="00EE37DE">
        <w:t xml:space="preserve"> (Day 5), AUC</w:t>
      </w:r>
      <w:r w:rsidRPr="00A5161C">
        <w:rPr>
          <w:vertAlign w:val="subscript"/>
        </w:rPr>
        <w:t>0-24</w:t>
      </w:r>
      <w:r w:rsidRPr="00EE37DE">
        <w:t>, and AUC</w:t>
      </w:r>
      <w:r w:rsidRPr="00A5161C">
        <w:rPr>
          <w:vertAlign w:val="subscript"/>
        </w:rPr>
        <w:t>0-24C</w:t>
      </w:r>
      <w:r w:rsidRPr="00EE37DE">
        <w:t xml:space="preserve"> (Days 1 and 5) for bosentan and its metabolites (Ro 48-5033, Ro 47-8634, Ro 64-1056).</w:t>
      </w:r>
    </w:p>
    <w:p w14:paraId="54BCD688" w14:textId="77777777" w:rsidR="00EE37DE" w:rsidRPr="00EE37DE" w:rsidRDefault="00EE37DE" w:rsidP="00EE37DE">
      <w:pPr>
        <w:pStyle w:val="ListBullet"/>
      </w:pPr>
      <w:r w:rsidRPr="00EE37DE">
        <w:t>AI defined as the ratio between AUC</w:t>
      </w:r>
      <w:r w:rsidR="00A5161C">
        <w:t>τ</w:t>
      </w:r>
      <w:r w:rsidRPr="00EE37DE">
        <w:t xml:space="preserve"> (Day 5) and </w:t>
      </w:r>
      <w:r w:rsidR="00A5161C" w:rsidRPr="00EE37DE">
        <w:t>AUC</w:t>
      </w:r>
      <w:r w:rsidR="00A5161C" w:rsidRPr="00A5161C">
        <w:rPr>
          <w:vertAlign w:val="subscript"/>
        </w:rPr>
        <w:t>0-12</w:t>
      </w:r>
      <w:r w:rsidRPr="00EE37DE">
        <w:t xml:space="preserve"> (Day 1) for subjects whose PK assessments were performed on Days 1 and 5 and if </w:t>
      </w:r>
      <w:r w:rsidR="00A5161C" w:rsidRPr="00EE37DE">
        <w:t>AUC</w:t>
      </w:r>
      <w:r w:rsidR="00A5161C" w:rsidRPr="00A5161C">
        <w:rPr>
          <w:vertAlign w:val="subscript"/>
        </w:rPr>
        <w:t>0-12</w:t>
      </w:r>
      <w:r w:rsidRPr="00EE37DE">
        <w:t xml:space="preserve"> is </w:t>
      </w:r>
      <w:r w:rsidR="00CF6063">
        <w:t xml:space="preserve">&gt; </w:t>
      </w:r>
      <w:r w:rsidRPr="00EE37DE">
        <w:t>0 ng.h/mL.</w:t>
      </w:r>
    </w:p>
    <w:p w14:paraId="6B7F0D2D" w14:textId="77777777" w:rsidR="00EE37DE" w:rsidRPr="00EE37DE" w:rsidRDefault="00EE37DE" w:rsidP="00EE37DE">
      <w:pPr>
        <w:pStyle w:val="Heading6"/>
      </w:pPr>
      <w:r w:rsidRPr="00EE37DE">
        <w:t>Safety endpoints</w:t>
      </w:r>
    </w:p>
    <w:p w14:paraId="04295529" w14:textId="77777777" w:rsidR="00EE37DE" w:rsidRPr="00EE37DE" w:rsidRDefault="00A5161C" w:rsidP="00EE37DE">
      <w:pPr>
        <w:pStyle w:val="ListBullet"/>
      </w:pPr>
      <w:r>
        <w:t xml:space="preserve">Treatment </w:t>
      </w:r>
      <w:r w:rsidR="00EE37DE" w:rsidRPr="00EE37DE">
        <w:t>emergent AEs (TEAEs) and SAEs</w:t>
      </w:r>
    </w:p>
    <w:p w14:paraId="40B4C941" w14:textId="77777777" w:rsidR="00EE37DE" w:rsidRPr="00EE37DE" w:rsidRDefault="00EE37DE" w:rsidP="00EE37DE">
      <w:pPr>
        <w:pStyle w:val="ListBullet"/>
      </w:pPr>
      <w:r w:rsidRPr="00EE37DE">
        <w:t xml:space="preserve">AEs leading to premature discontinuation of </w:t>
      </w:r>
      <w:r w:rsidR="0066478A">
        <w:t>study</w:t>
      </w:r>
      <w:r w:rsidRPr="00EE37DE">
        <w:t xml:space="preserve"> drug</w:t>
      </w:r>
    </w:p>
    <w:p w14:paraId="7299A7C4" w14:textId="77777777" w:rsidR="00EE37DE" w:rsidRPr="00EE37DE" w:rsidRDefault="00EE37DE" w:rsidP="00EE37DE">
      <w:pPr>
        <w:pStyle w:val="ListBullet"/>
      </w:pPr>
      <w:r w:rsidRPr="00EE37DE">
        <w:t>Changes from baseline in vital signs during the treatment period</w:t>
      </w:r>
    </w:p>
    <w:p w14:paraId="0BC5EC4A" w14:textId="77777777" w:rsidR="00EE37DE" w:rsidRPr="00EE37DE" w:rsidRDefault="00A5161C" w:rsidP="00EE37DE">
      <w:pPr>
        <w:pStyle w:val="ListBullet"/>
      </w:pPr>
      <w:r>
        <w:t xml:space="preserve">Treatment </w:t>
      </w:r>
      <w:r w:rsidR="00EE37DE" w:rsidRPr="00EE37DE">
        <w:t>emergent ECG abnormalities reported as AEs</w:t>
      </w:r>
    </w:p>
    <w:p w14:paraId="43067D84" w14:textId="77777777" w:rsidR="00EE37DE" w:rsidRPr="00EE37DE" w:rsidRDefault="00A5161C" w:rsidP="00EE37DE">
      <w:pPr>
        <w:pStyle w:val="ListBullet"/>
      </w:pPr>
      <w:r>
        <w:t xml:space="preserve">Treatment </w:t>
      </w:r>
      <w:r w:rsidR="00EE37DE" w:rsidRPr="00EE37DE">
        <w:t>emergent laboratory abnormalities</w:t>
      </w:r>
    </w:p>
    <w:p w14:paraId="6B0A185A" w14:textId="77777777" w:rsidR="00EE37DE" w:rsidRPr="00EE37DE" w:rsidRDefault="00EE37DE" w:rsidP="00EE37DE">
      <w:pPr>
        <w:pStyle w:val="ListBullet"/>
      </w:pPr>
      <w:r w:rsidRPr="00EE37DE">
        <w:t xml:space="preserve">Incidence of </w:t>
      </w:r>
      <w:r w:rsidR="00A5161C">
        <w:t>treatment emergent</w:t>
      </w:r>
      <w:r w:rsidRPr="00EE37DE">
        <w:t xml:space="preserve"> ALT or AST </w:t>
      </w:r>
      <w:r w:rsidR="00CF6063">
        <w:t xml:space="preserve">&gt; </w:t>
      </w:r>
      <w:r w:rsidRPr="00EE37DE">
        <w:t>3</w:t>
      </w:r>
      <w:r w:rsidR="00CF6063">
        <w:t xml:space="preserve"> </w:t>
      </w:r>
      <w:r w:rsidR="00CF6063">
        <w:rPr>
          <w:rFonts w:hint="eastAsia"/>
        </w:rPr>
        <w:t xml:space="preserve">x </w:t>
      </w:r>
      <w:r w:rsidRPr="00EE37DE">
        <w:t>ULN</w:t>
      </w:r>
    </w:p>
    <w:p w14:paraId="7D552802" w14:textId="2C3CBF2B" w:rsidR="00EE37DE" w:rsidRPr="00EE37DE" w:rsidRDefault="00EE37DE" w:rsidP="00EE37DE">
      <w:pPr>
        <w:pStyle w:val="ListBullet"/>
      </w:pPr>
      <w:r w:rsidRPr="00EE37DE">
        <w:t xml:space="preserve">Incidence of </w:t>
      </w:r>
      <w:r w:rsidR="00A5161C">
        <w:t>treatment emergent</w:t>
      </w:r>
      <w:r w:rsidRPr="00EE37DE">
        <w:t xml:space="preserve"> severe intracranial haemorrhage (</w:t>
      </w:r>
      <w:r w:rsidR="00D44CEE">
        <w:t>G</w:t>
      </w:r>
      <w:r w:rsidR="00D44CEE" w:rsidRPr="00EE37DE">
        <w:t xml:space="preserve">rade </w:t>
      </w:r>
      <w:r w:rsidRPr="00EE37DE">
        <w:t>III or IV), periventricular leukomalacia, and ventriculomegaly reported as AEs</w:t>
      </w:r>
      <w:r w:rsidR="00D44CEE">
        <w:t>.</w:t>
      </w:r>
    </w:p>
    <w:p w14:paraId="46ECC38C" w14:textId="77777777" w:rsidR="00EE37DE" w:rsidRPr="00EE37DE" w:rsidRDefault="00EE37DE" w:rsidP="00EE37DE">
      <w:pPr>
        <w:pStyle w:val="Heading5"/>
      </w:pPr>
      <w:bookmarkStart w:id="167" w:name="_Ref461011939"/>
      <w:r w:rsidRPr="00EE37DE">
        <w:t>Randomisation and blinding methods</w:t>
      </w:r>
      <w:bookmarkEnd w:id="167"/>
    </w:p>
    <w:p w14:paraId="04169E37" w14:textId="77777777" w:rsidR="00EE37DE" w:rsidRDefault="00EE37DE" w:rsidP="00EE37DE">
      <w:pPr>
        <w:rPr>
          <w:lang w:eastAsia="ja-JP"/>
        </w:rPr>
      </w:pPr>
      <w:r>
        <w:rPr>
          <w:lang w:eastAsia="ja-JP"/>
        </w:rPr>
        <w:t xml:space="preserve">Patients who met the eligibility criteria were randomised to receive either bosentan or matching placebo in a 2:1 ratio. Patients were randomised according to a </w:t>
      </w:r>
      <w:r w:rsidRPr="006B1723">
        <w:rPr>
          <w:lang w:eastAsia="ja-JP"/>
        </w:rPr>
        <w:t xml:space="preserve">generated </w:t>
      </w:r>
      <w:r>
        <w:rPr>
          <w:lang w:eastAsia="ja-JP"/>
        </w:rPr>
        <w:t xml:space="preserve">code using an </w:t>
      </w:r>
      <w:r w:rsidRPr="006B1723">
        <w:rPr>
          <w:lang w:eastAsia="ja-JP"/>
        </w:rPr>
        <w:t>Interactive Voice</w:t>
      </w:r>
      <w:r>
        <w:rPr>
          <w:lang w:eastAsia="ja-JP"/>
        </w:rPr>
        <w:t xml:space="preserve"> (Web) Response System. The randomisation system assigned a </w:t>
      </w:r>
      <w:r w:rsidRPr="006B1723">
        <w:rPr>
          <w:lang w:eastAsia="ja-JP"/>
        </w:rPr>
        <w:t>number according to a predefined</w:t>
      </w:r>
      <w:r>
        <w:rPr>
          <w:lang w:eastAsia="ja-JP"/>
        </w:rPr>
        <w:t xml:space="preserve"> </w:t>
      </w:r>
      <w:r w:rsidRPr="006B1723">
        <w:rPr>
          <w:lang w:eastAsia="ja-JP"/>
        </w:rPr>
        <w:t xml:space="preserve">scheme together with the corresponding bottle number. </w:t>
      </w:r>
      <w:r>
        <w:rPr>
          <w:lang w:eastAsia="ja-JP"/>
        </w:rPr>
        <w:t>T</w:t>
      </w:r>
      <w:r w:rsidRPr="006B1723">
        <w:rPr>
          <w:lang w:eastAsia="ja-JP"/>
        </w:rPr>
        <w:t xml:space="preserve">he </w:t>
      </w:r>
      <w:r>
        <w:rPr>
          <w:lang w:eastAsia="ja-JP"/>
        </w:rPr>
        <w:t xml:space="preserve">system </w:t>
      </w:r>
      <w:r w:rsidRPr="006B1723">
        <w:rPr>
          <w:lang w:eastAsia="ja-JP"/>
        </w:rPr>
        <w:t>provided the investigator with information on the dose to be administered, the number of</w:t>
      </w:r>
      <w:r>
        <w:rPr>
          <w:lang w:eastAsia="ja-JP"/>
        </w:rPr>
        <w:t xml:space="preserve"> </w:t>
      </w:r>
      <w:r w:rsidRPr="006B1723">
        <w:rPr>
          <w:lang w:eastAsia="ja-JP"/>
        </w:rPr>
        <w:t xml:space="preserve">tablet quarters to be dispersed, </w:t>
      </w:r>
      <w:r>
        <w:rPr>
          <w:lang w:eastAsia="ja-JP"/>
        </w:rPr>
        <w:t xml:space="preserve">the </w:t>
      </w:r>
      <w:r w:rsidRPr="006B1723">
        <w:rPr>
          <w:lang w:eastAsia="ja-JP"/>
        </w:rPr>
        <w:t>dispersion volume and the volume to be</w:t>
      </w:r>
      <w:r>
        <w:rPr>
          <w:lang w:eastAsia="ja-JP"/>
        </w:rPr>
        <w:t xml:space="preserve"> </w:t>
      </w:r>
      <w:r w:rsidRPr="006B1723">
        <w:rPr>
          <w:lang w:eastAsia="ja-JP"/>
        </w:rPr>
        <w:t>administered for each patient. If a patient was r</w:t>
      </w:r>
      <w:r>
        <w:rPr>
          <w:lang w:eastAsia="ja-JP"/>
        </w:rPr>
        <w:t>andomis</w:t>
      </w:r>
      <w:r w:rsidRPr="006B1723">
        <w:rPr>
          <w:lang w:eastAsia="ja-JP"/>
        </w:rPr>
        <w:t xml:space="preserve">ed and did not receive any </w:t>
      </w:r>
      <w:r w:rsidR="0066478A">
        <w:rPr>
          <w:lang w:eastAsia="ja-JP"/>
        </w:rPr>
        <w:t>study</w:t>
      </w:r>
      <w:r>
        <w:rPr>
          <w:lang w:eastAsia="ja-JP"/>
        </w:rPr>
        <w:t xml:space="preserve"> drug, the unique randomis</w:t>
      </w:r>
      <w:r w:rsidRPr="006B1723">
        <w:rPr>
          <w:lang w:eastAsia="ja-JP"/>
        </w:rPr>
        <w:t>ation number and patient kit was invalidated and the system</w:t>
      </w:r>
      <w:r>
        <w:rPr>
          <w:lang w:eastAsia="ja-JP"/>
        </w:rPr>
        <w:t xml:space="preserve"> </w:t>
      </w:r>
      <w:r w:rsidRPr="006B1723">
        <w:rPr>
          <w:lang w:eastAsia="ja-JP"/>
        </w:rPr>
        <w:t xml:space="preserve">did not </w:t>
      </w:r>
      <w:r>
        <w:rPr>
          <w:lang w:eastAsia="ja-JP"/>
        </w:rPr>
        <w:t>re</w:t>
      </w:r>
      <w:r w:rsidRPr="006B1723">
        <w:rPr>
          <w:lang w:eastAsia="ja-JP"/>
        </w:rPr>
        <w:t>assign it.</w:t>
      </w:r>
      <w:r>
        <w:rPr>
          <w:lang w:eastAsia="ja-JP"/>
        </w:rPr>
        <w:t xml:space="preserve"> The randomis</w:t>
      </w:r>
      <w:r w:rsidRPr="006B1723">
        <w:rPr>
          <w:lang w:eastAsia="ja-JP"/>
        </w:rPr>
        <w:t>ation code was accessible only to</w:t>
      </w:r>
      <w:r>
        <w:rPr>
          <w:lang w:eastAsia="ja-JP"/>
        </w:rPr>
        <w:t xml:space="preserve"> </w:t>
      </w:r>
      <w:r w:rsidRPr="006B1723">
        <w:rPr>
          <w:lang w:eastAsia="ja-JP"/>
        </w:rPr>
        <w:t>authori</w:t>
      </w:r>
      <w:r>
        <w:rPr>
          <w:lang w:eastAsia="ja-JP"/>
        </w:rPr>
        <w:t>s</w:t>
      </w:r>
      <w:r w:rsidRPr="006B1723">
        <w:rPr>
          <w:lang w:eastAsia="ja-JP"/>
        </w:rPr>
        <w:t xml:space="preserve">ed persons who were not involved in the conduct and analysis of the </w:t>
      </w:r>
      <w:r w:rsidR="0066478A">
        <w:rPr>
          <w:lang w:eastAsia="ja-JP"/>
        </w:rPr>
        <w:t>study</w:t>
      </w:r>
      <w:r w:rsidRPr="006B1723">
        <w:rPr>
          <w:lang w:eastAsia="ja-JP"/>
        </w:rPr>
        <w:t>, until</w:t>
      </w:r>
      <w:r>
        <w:rPr>
          <w:lang w:eastAsia="ja-JP"/>
        </w:rPr>
        <w:t xml:space="preserve"> </w:t>
      </w:r>
      <w:r w:rsidRPr="006B1723">
        <w:rPr>
          <w:lang w:eastAsia="ja-JP"/>
        </w:rPr>
        <w:t>unblinding.</w:t>
      </w:r>
    </w:p>
    <w:p w14:paraId="72C05AFA" w14:textId="77777777" w:rsidR="007C6D8D" w:rsidRDefault="00EE37DE" w:rsidP="00EE37DE">
      <w:pPr>
        <w:rPr>
          <w:lang w:eastAsia="ja-JP"/>
        </w:rPr>
      </w:pPr>
      <w:r w:rsidRPr="001B2034">
        <w:rPr>
          <w:lang w:eastAsia="ja-JP"/>
        </w:rPr>
        <w:t xml:space="preserve">This </w:t>
      </w:r>
      <w:r w:rsidR="0066478A">
        <w:rPr>
          <w:lang w:eastAsia="ja-JP"/>
        </w:rPr>
        <w:t>study</w:t>
      </w:r>
      <w:r w:rsidRPr="001B2034">
        <w:rPr>
          <w:lang w:eastAsia="ja-JP"/>
        </w:rPr>
        <w:t xml:space="preserve"> was </w:t>
      </w:r>
      <w:r w:rsidR="00A5161C">
        <w:rPr>
          <w:lang w:eastAsia="ja-JP"/>
        </w:rPr>
        <w:t>double blind</w:t>
      </w:r>
      <w:r>
        <w:rPr>
          <w:lang w:eastAsia="ja-JP"/>
        </w:rPr>
        <w:t>ed and p</w:t>
      </w:r>
      <w:r w:rsidRPr="001B2034">
        <w:rPr>
          <w:lang w:eastAsia="ja-JP"/>
        </w:rPr>
        <w:t>atients, caregiver</w:t>
      </w:r>
      <w:r>
        <w:rPr>
          <w:lang w:eastAsia="ja-JP"/>
        </w:rPr>
        <w:t>s</w:t>
      </w:r>
      <w:r w:rsidRPr="001B2034">
        <w:rPr>
          <w:lang w:eastAsia="ja-JP"/>
        </w:rPr>
        <w:t>, investigator</w:t>
      </w:r>
      <w:r>
        <w:rPr>
          <w:lang w:eastAsia="ja-JP"/>
        </w:rPr>
        <w:t>s</w:t>
      </w:r>
      <w:r w:rsidRPr="001B2034">
        <w:rPr>
          <w:lang w:eastAsia="ja-JP"/>
        </w:rPr>
        <w:t>,</w:t>
      </w:r>
      <w:r>
        <w:rPr>
          <w:lang w:eastAsia="ja-JP"/>
        </w:rPr>
        <w:t xml:space="preserve"> </w:t>
      </w:r>
      <w:r w:rsidRPr="001B2034">
        <w:rPr>
          <w:lang w:eastAsia="ja-JP"/>
        </w:rPr>
        <w:t>treating physician</w:t>
      </w:r>
      <w:r>
        <w:rPr>
          <w:lang w:eastAsia="ja-JP"/>
        </w:rPr>
        <w:t>s</w:t>
      </w:r>
      <w:r w:rsidRPr="001B2034">
        <w:rPr>
          <w:lang w:eastAsia="ja-JP"/>
        </w:rPr>
        <w:t>, and any other assessor</w:t>
      </w:r>
      <w:r>
        <w:rPr>
          <w:lang w:eastAsia="ja-JP"/>
        </w:rPr>
        <w:t>s</w:t>
      </w:r>
      <w:r w:rsidRPr="001B2034">
        <w:rPr>
          <w:lang w:eastAsia="ja-JP"/>
        </w:rPr>
        <w:t xml:space="preserve"> remained blinded to the individual treatment</w:t>
      </w:r>
      <w:r>
        <w:rPr>
          <w:lang w:eastAsia="ja-JP"/>
        </w:rPr>
        <w:t xml:space="preserve"> </w:t>
      </w:r>
      <w:r w:rsidRPr="001B2034">
        <w:rPr>
          <w:lang w:eastAsia="ja-JP"/>
        </w:rPr>
        <w:t>allocation until database closure. The investigational drug and its matching placebo were</w:t>
      </w:r>
      <w:r>
        <w:rPr>
          <w:lang w:eastAsia="ja-JP"/>
        </w:rPr>
        <w:t xml:space="preserve"> </w:t>
      </w:r>
      <w:r w:rsidRPr="001B2034">
        <w:rPr>
          <w:lang w:eastAsia="ja-JP"/>
        </w:rPr>
        <w:t>indistinguishable and all patient kits were packaged in the same way</w:t>
      </w:r>
      <w:r w:rsidR="007C6D8D">
        <w:rPr>
          <w:lang w:eastAsia="ja-JP"/>
        </w:rPr>
        <w:t>.</w:t>
      </w:r>
    </w:p>
    <w:p w14:paraId="586F0F19" w14:textId="77777777" w:rsidR="00EE37DE" w:rsidRDefault="00EE37DE" w:rsidP="00EE37DE">
      <w:pPr>
        <w:rPr>
          <w:lang w:eastAsia="ja-JP"/>
        </w:rPr>
      </w:pPr>
      <w:r w:rsidRPr="001B2034">
        <w:rPr>
          <w:lang w:eastAsia="ja-JP"/>
        </w:rPr>
        <w:t xml:space="preserve">Bioanalysis was performed by </w:t>
      </w:r>
      <w:r w:rsidR="00A5161C">
        <w:rPr>
          <w:lang w:eastAsia="ja-JP"/>
        </w:rPr>
        <w:t>[information redacted]</w:t>
      </w:r>
      <w:r w:rsidRPr="001B2034">
        <w:rPr>
          <w:lang w:eastAsia="ja-JP"/>
        </w:rPr>
        <w:t xml:space="preserve"> pharmaceuticals. During the </w:t>
      </w:r>
      <w:r w:rsidR="0066478A">
        <w:rPr>
          <w:lang w:eastAsia="ja-JP"/>
        </w:rPr>
        <w:t>study</w:t>
      </w:r>
      <w:r w:rsidRPr="001B2034">
        <w:rPr>
          <w:lang w:eastAsia="ja-JP"/>
        </w:rPr>
        <w:t>,</w:t>
      </w:r>
      <w:r>
        <w:rPr>
          <w:lang w:eastAsia="ja-JP"/>
        </w:rPr>
        <w:t xml:space="preserve"> </w:t>
      </w:r>
      <w:r w:rsidRPr="001B2034">
        <w:rPr>
          <w:lang w:eastAsia="ja-JP"/>
        </w:rPr>
        <w:t xml:space="preserve">the analytical laboratories were unblinded; </w:t>
      </w:r>
      <w:r>
        <w:rPr>
          <w:lang w:eastAsia="ja-JP"/>
        </w:rPr>
        <w:t>but</w:t>
      </w:r>
      <w:r w:rsidRPr="001B2034">
        <w:rPr>
          <w:lang w:eastAsia="ja-JP"/>
        </w:rPr>
        <w:t xml:space="preserve"> the clinical pharmacologist performed the interim PK analyses in a blinded way. The blind was maintained as the</w:t>
      </w:r>
      <w:r>
        <w:rPr>
          <w:lang w:eastAsia="ja-JP"/>
        </w:rPr>
        <w:t xml:space="preserve"> </w:t>
      </w:r>
      <w:r w:rsidRPr="001B2034">
        <w:rPr>
          <w:lang w:eastAsia="ja-JP"/>
        </w:rPr>
        <w:t>concentra</w:t>
      </w:r>
      <w:r>
        <w:rPr>
          <w:lang w:eastAsia="ja-JP"/>
        </w:rPr>
        <w:t>tions were transferred to the clinical pharmacologist</w:t>
      </w:r>
      <w:r w:rsidRPr="001B2034">
        <w:rPr>
          <w:lang w:eastAsia="ja-JP"/>
        </w:rPr>
        <w:t xml:space="preserve"> with masked identifiers</w:t>
      </w:r>
      <w:r>
        <w:rPr>
          <w:lang w:eastAsia="ja-JP"/>
        </w:rPr>
        <w:t>. The clinical pharmacologist</w:t>
      </w:r>
      <w:r w:rsidRPr="001B2034">
        <w:rPr>
          <w:lang w:eastAsia="ja-JP"/>
        </w:rPr>
        <w:t xml:space="preserve"> received the</w:t>
      </w:r>
      <w:r>
        <w:rPr>
          <w:lang w:eastAsia="ja-JP"/>
        </w:rPr>
        <w:t xml:space="preserve"> </w:t>
      </w:r>
      <w:r w:rsidRPr="001B2034">
        <w:rPr>
          <w:lang w:eastAsia="ja-JP"/>
        </w:rPr>
        <w:t>unblinded concentrations only after database closure and successful unblinding process.</w:t>
      </w:r>
    </w:p>
    <w:p w14:paraId="37A309AD" w14:textId="77777777" w:rsidR="00EE37DE" w:rsidRPr="00EE37DE" w:rsidDel="0081373E" w:rsidRDefault="00EE37DE" w:rsidP="00EE37DE">
      <w:pPr>
        <w:pStyle w:val="Heading5"/>
      </w:pPr>
      <w:r w:rsidRPr="00EE37DE">
        <w:t>Analysis populations</w:t>
      </w:r>
    </w:p>
    <w:p w14:paraId="04B6F24A" w14:textId="77777777" w:rsidR="00EE37DE" w:rsidRDefault="00EE37DE" w:rsidP="00EE37DE">
      <w:pPr>
        <w:rPr>
          <w:lang w:eastAsia="ja-JP"/>
        </w:rPr>
      </w:pPr>
      <w:r>
        <w:rPr>
          <w:lang w:eastAsia="ja-JP"/>
        </w:rPr>
        <w:t xml:space="preserve">The screened analysis set comprised all patients entered into the database regardless of randomisation or treatment status. The all-randomised set included all patients randomised into the trial regardless of treatment status. The all-treated set included all patients who received at least one dose of </w:t>
      </w:r>
      <w:r w:rsidR="0066478A">
        <w:rPr>
          <w:lang w:eastAsia="ja-JP"/>
        </w:rPr>
        <w:t>study</w:t>
      </w:r>
      <w:r>
        <w:rPr>
          <w:lang w:eastAsia="ja-JP"/>
        </w:rPr>
        <w:t xml:space="preserve"> drug. For the PK analysis only </w:t>
      </w:r>
      <w:r w:rsidR="00A5161C">
        <w:rPr>
          <w:lang w:eastAsia="ja-JP"/>
        </w:rPr>
        <w:t>bosentan treated</w:t>
      </w:r>
      <w:r>
        <w:rPr>
          <w:lang w:eastAsia="ja-JP"/>
        </w:rPr>
        <w:t xml:space="preserve"> patients were summarised. The full analysis set comprised of randomised patients who received at least </w:t>
      </w:r>
      <w:r>
        <w:rPr>
          <w:lang w:eastAsia="ja-JP"/>
        </w:rPr>
        <w:lastRenderedPageBreak/>
        <w:t xml:space="preserve">one dose of </w:t>
      </w:r>
      <w:r w:rsidR="0066478A">
        <w:rPr>
          <w:lang w:eastAsia="ja-JP"/>
        </w:rPr>
        <w:t>study</w:t>
      </w:r>
      <w:r>
        <w:rPr>
          <w:lang w:eastAsia="ja-JP"/>
        </w:rPr>
        <w:t xml:space="preserve"> drug and had at least one </w:t>
      </w:r>
      <w:r w:rsidR="00A5161C">
        <w:rPr>
          <w:lang w:eastAsia="ja-JP"/>
        </w:rPr>
        <w:t>post baseline</w:t>
      </w:r>
      <w:r>
        <w:rPr>
          <w:lang w:eastAsia="ja-JP"/>
        </w:rPr>
        <w:t xml:space="preserve"> efficacy assessment. The safety analysis set included all patients who received at least one dose of </w:t>
      </w:r>
      <w:r w:rsidR="0066478A">
        <w:rPr>
          <w:lang w:eastAsia="ja-JP"/>
        </w:rPr>
        <w:t>study</w:t>
      </w:r>
      <w:r>
        <w:rPr>
          <w:lang w:eastAsia="ja-JP"/>
        </w:rPr>
        <w:t xml:space="preserve"> drug. The PK analysis set comprised all patients included in the all treated set who were able to provide at least 5 of the 7 blood samples requested for at least one evaluable profile of PK assessment and who did not violate the protocol in a way that might affect the evaluation of PK endpoints. The PK analysis set 2 was identical to the PK analysis set except for the exclusion of the 2 hour time point.</w:t>
      </w:r>
    </w:p>
    <w:p w14:paraId="7979BC73" w14:textId="77777777" w:rsidR="00EE37DE" w:rsidRDefault="00EE37DE" w:rsidP="00EE37DE">
      <w:pPr>
        <w:rPr>
          <w:lang w:eastAsia="ja-JP"/>
        </w:rPr>
      </w:pPr>
      <w:r w:rsidRPr="00E80B4B">
        <w:rPr>
          <w:lang w:eastAsia="ja-JP"/>
        </w:rPr>
        <w:t>Analysis of the efficacy endpoints were performed using the Full analysis set</w:t>
      </w:r>
      <w:r>
        <w:rPr>
          <w:lang w:eastAsia="ja-JP"/>
        </w:rPr>
        <w:t>. F</w:t>
      </w:r>
      <w:r w:rsidRPr="00E80B4B">
        <w:rPr>
          <w:lang w:eastAsia="ja-JP"/>
        </w:rPr>
        <w:t xml:space="preserve">or the primary endpoint analysis, EOS </w:t>
      </w:r>
      <w:r>
        <w:rPr>
          <w:lang w:eastAsia="ja-JP"/>
        </w:rPr>
        <w:t xml:space="preserve">visits performed beyond EOT </w:t>
      </w:r>
      <w:r w:rsidR="00A5161C">
        <w:rPr>
          <w:lang w:eastAsia="ja-JP"/>
        </w:rPr>
        <w:t>+</w:t>
      </w:r>
      <w:r>
        <w:rPr>
          <w:lang w:eastAsia="ja-JP"/>
        </w:rPr>
        <w:t xml:space="preserve"> 7 </w:t>
      </w:r>
      <w:r w:rsidRPr="00E80B4B">
        <w:rPr>
          <w:lang w:eastAsia="ja-JP"/>
        </w:rPr>
        <w:t>days were included in the analysis</w:t>
      </w:r>
      <w:r>
        <w:rPr>
          <w:lang w:eastAsia="ja-JP"/>
        </w:rPr>
        <w:t>.</w:t>
      </w:r>
    </w:p>
    <w:p w14:paraId="4E3F7120" w14:textId="77777777" w:rsidR="00EE37DE" w:rsidRPr="00EE37DE" w:rsidRDefault="00EE37DE" w:rsidP="00EE37DE">
      <w:pPr>
        <w:pStyle w:val="Heading5"/>
      </w:pPr>
      <w:r w:rsidRPr="00EE37DE" w:rsidDel="0081373E">
        <w:t>S</w:t>
      </w:r>
      <w:r w:rsidRPr="00EE37DE">
        <w:t>ample size</w:t>
      </w:r>
    </w:p>
    <w:p w14:paraId="72E3C172" w14:textId="77777777" w:rsidR="00EE37DE" w:rsidRDefault="00EE37DE" w:rsidP="00EE37DE">
      <w:pPr>
        <w:rPr>
          <w:lang w:eastAsia="ja-JP"/>
        </w:rPr>
      </w:pPr>
      <w:r w:rsidRPr="00E80B4B">
        <w:rPr>
          <w:lang w:eastAsia="ja-JP"/>
        </w:rPr>
        <w:t>A sample size of 30 evaluable patients was planned based on feasibility considerations.</w:t>
      </w:r>
      <w:r>
        <w:rPr>
          <w:lang w:eastAsia="ja-JP"/>
        </w:rPr>
        <w:t xml:space="preserve"> </w:t>
      </w:r>
      <w:r w:rsidRPr="00E80B4B">
        <w:rPr>
          <w:lang w:eastAsia="ja-JP"/>
        </w:rPr>
        <w:t xml:space="preserve">However, due to the unforeseen rarity of the targeted population, the </w:t>
      </w:r>
      <w:r w:rsidR="0066478A">
        <w:rPr>
          <w:lang w:eastAsia="ja-JP"/>
        </w:rPr>
        <w:t>study</w:t>
      </w:r>
      <w:r w:rsidRPr="00E80B4B">
        <w:rPr>
          <w:lang w:eastAsia="ja-JP"/>
        </w:rPr>
        <w:t xml:space="preserve"> was terminated</w:t>
      </w:r>
      <w:r>
        <w:rPr>
          <w:lang w:eastAsia="ja-JP"/>
        </w:rPr>
        <w:t xml:space="preserve"> </w:t>
      </w:r>
      <w:r w:rsidRPr="00E80B4B">
        <w:rPr>
          <w:lang w:eastAsia="ja-JP"/>
        </w:rPr>
        <w:t>with 21 evaluable completers.</w:t>
      </w:r>
      <w:r>
        <w:rPr>
          <w:lang w:eastAsia="ja-JP"/>
        </w:rPr>
        <w:t xml:space="preserve"> It is reported that the</w:t>
      </w:r>
      <w:r w:rsidRPr="00E80B4B">
        <w:rPr>
          <w:lang w:eastAsia="ja-JP"/>
        </w:rPr>
        <w:t xml:space="preserve"> sample size was compliant with that agreed in the PIP</w:t>
      </w:r>
      <w:r>
        <w:rPr>
          <w:lang w:eastAsia="ja-JP"/>
        </w:rPr>
        <w:t>.</w:t>
      </w:r>
    </w:p>
    <w:p w14:paraId="2681370A" w14:textId="77777777" w:rsidR="00EE37DE" w:rsidRPr="00EE37DE" w:rsidRDefault="00EE37DE" w:rsidP="00EE37DE">
      <w:pPr>
        <w:pStyle w:val="Heading5"/>
      </w:pPr>
      <w:r w:rsidRPr="00EE37DE">
        <w:t>Statistical methods</w:t>
      </w:r>
    </w:p>
    <w:p w14:paraId="46294197" w14:textId="77777777" w:rsidR="00EE37DE" w:rsidRDefault="00EE37DE" w:rsidP="00EE37DE">
      <w:pPr>
        <w:rPr>
          <w:lang w:eastAsia="ja-JP"/>
        </w:rPr>
      </w:pPr>
      <w:r>
        <w:rPr>
          <w:lang w:eastAsia="ja-JP"/>
        </w:rPr>
        <w:t xml:space="preserve">The primary endpoint ‘proportion of patients with treatment failure’ was analysed using Fisher’s exact test to compare </w:t>
      </w:r>
      <w:r w:rsidR="00A5161C">
        <w:rPr>
          <w:lang w:eastAsia="ja-JP"/>
        </w:rPr>
        <w:t xml:space="preserve">the two treatment arms. Exact 2 </w:t>
      </w:r>
      <w:r>
        <w:rPr>
          <w:lang w:eastAsia="ja-JP"/>
        </w:rPr>
        <w:t>sided 95% CLs of the odds ratio were provided.</w:t>
      </w:r>
    </w:p>
    <w:p w14:paraId="37C61838" w14:textId="77777777" w:rsidR="00EE37DE" w:rsidRDefault="00EE37DE" w:rsidP="00EE37DE">
      <w:pPr>
        <w:rPr>
          <w:lang w:eastAsia="ja-JP"/>
        </w:rPr>
      </w:pPr>
      <w:r w:rsidRPr="00E80B4B">
        <w:rPr>
          <w:lang w:eastAsia="ja-JP"/>
        </w:rPr>
        <w:t xml:space="preserve">For </w:t>
      </w:r>
      <w:r w:rsidR="00A5161C">
        <w:rPr>
          <w:lang w:eastAsia="ja-JP"/>
        </w:rPr>
        <w:t>time to event</w:t>
      </w:r>
      <w:r w:rsidRPr="00E80B4B">
        <w:rPr>
          <w:lang w:eastAsia="ja-JP"/>
        </w:rPr>
        <w:t xml:space="preserve"> endpoints (time to complete weaning from iNO and time to weaning</w:t>
      </w:r>
      <w:r>
        <w:rPr>
          <w:lang w:eastAsia="ja-JP"/>
        </w:rPr>
        <w:t xml:space="preserve"> </w:t>
      </w:r>
      <w:r w:rsidRPr="00E80B4B">
        <w:rPr>
          <w:lang w:eastAsia="ja-JP"/>
        </w:rPr>
        <w:t>from mechanical ventilation), a graphical estimate of the survival functions for bosentan</w:t>
      </w:r>
      <w:r>
        <w:rPr>
          <w:lang w:eastAsia="ja-JP"/>
        </w:rPr>
        <w:t xml:space="preserve"> </w:t>
      </w:r>
      <w:r w:rsidRPr="00E80B4B">
        <w:rPr>
          <w:lang w:eastAsia="ja-JP"/>
        </w:rPr>
        <w:t>and placebo groups was obtained from the Kaplan-Meier (KM) product-limit method</w:t>
      </w:r>
      <w:r>
        <w:rPr>
          <w:lang w:eastAsia="ja-JP"/>
        </w:rPr>
        <w:t>. KM</w:t>
      </w:r>
      <w:r w:rsidR="00A5161C">
        <w:rPr>
          <w:lang w:eastAsia="ja-JP"/>
        </w:rPr>
        <w:t xml:space="preserve"> estimates with 2 </w:t>
      </w:r>
      <w:r>
        <w:rPr>
          <w:lang w:eastAsia="ja-JP"/>
        </w:rPr>
        <w:t xml:space="preserve">sided 95% CLs at specific time points (Day 3, 6, 9 and 12) were provided. The CLs were constructed using Greenwood’s formula for the standard error of the KM estimate. Median </w:t>
      </w:r>
      <w:r w:rsidR="00A5161C">
        <w:rPr>
          <w:lang w:eastAsia="ja-JP"/>
        </w:rPr>
        <w:t>time to event</w:t>
      </w:r>
      <w:r>
        <w:rPr>
          <w:lang w:eastAsia="ja-JP"/>
        </w:rPr>
        <w:t xml:space="preserve"> for each treatment group was provided along with </w:t>
      </w:r>
      <w:r w:rsidR="00A5161C">
        <w:rPr>
          <w:lang w:eastAsia="ja-JP"/>
        </w:rPr>
        <w:t>2 sided</w:t>
      </w:r>
      <w:r>
        <w:rPr>
          <w:lang w:eastAsia="ja-JP"/>
        </w:rPr>
        <w:t xml:space="preserve"> 95% CLs </w:t>
      </w:r>
      <w:r w:rsidRPr="00E80B4B">
        <w:rPr>
          <w:lang w:eastAsia="ja-JP"/>
        </w:rPr>
        <w:t>calculated using Brookmeyer’s method</w:t>
      </w:r>
      <w:r>
        <w:rPr>
          <w:lang w:eastAsia="ja-JP"/>
        </w:rPr>
        <w:t xml:space="preserve">. Treatment group comparisons </w:t>
      </w:r>
      <w:r w:rsidRPr="00E80B4B">
        <w:rPr>
          <w:lang w:eastAsia="ja-JP"/>
        </w:rPr>
        <w:t>were performed using the log-rank test.</w:t>
      </w:r>
    </w:p>
    <w:p w14:paraId="459BF86E" w14:textId="77777777" w:rsidR="00EE37DE" w:rsidRPr="00E80B4B" w:rsidRDefault="00EE37DE" w:rsidP="00EE37DE">
      <w:pPr>
        <w:rPr>
          <w:lang w:eastAsia="ja-JP"/>
        </w:rPr>
      </w:pPr>
      <w:r w:rsidRPr="00E80B4B">
        <w:rPr>
          <w:lang w:eastAsia="ja-JP"/>
        </w:rPr>
        <w:t>For the secondary endpoint ‘proportion of patients requiring re-initiation of iNO therapy’,</w:t>
      </w:r>
      <w:r>
        <w:rPr>
          <w:lang w:eastAsia="ja-JP"/>
        </w:rPr>
        <w:t xml:space="preserve"> </w:t>
      </w:r>
      <w:r w:rsidRPr="00E80B4B">
        <w:rPr>
          <w:lang w:eastAsia="ja-JP"/>
        </w:rPr>
        <w:t>comparison between arms was based on the number of patients requiring iNO re-initiation</w:t>
      </w:r>
      <w:r>
        <w:rPr>
          <w:lang w:eastAsia="ja-JP"/>
        </w:rPr>
        <w:t xml:space="preserve"> </w:t>
      </w:r>
      <w:r w:rsidRPr="00E80B4B">
        <w:rPr>
          <w:lang w:eastAsia="ja-JP"/>
        </w:rPr>
        <w:t>divided by total number of subjects. The analysis was the same as the one conducted for</w:t>
      </w:r>
      <w:r>
        <w:rPr>
          <w:lang w:eastAsia="ja-JP"/>
        </w:rPr>
        <w:t xml:space="preserve"> </w:t>
      </w:r>
      <w:r w:rsidRPr="00E80B4B">
        <w:rPr>
          <w:lang w:eastAsia="ja-JP"/>
        </w:rPr>
        <w:t>the primary endpoint ‘proportion of patients with treatment failure’.</w:t>
      </w:r>
    </w:p>
    <w:p w14:paraId="0B9676DF" w14:textId="77777777" w:rsidR="00EE37DE" w:rsidRPr="00E80B4B" w:rsidRDefault="00EE37DE" w:rsidP="00EE37DE">
      <w:pPr>
        <w:rPr>
          <w:lang w:eastAsia="ja-JP"/>
        </w:rPr>
      </w:pPr>
      <w:r w:rsidRPr="00E80B4B">
        <w:rPr>
          <w:lang w:eastAsia="ja-JP"/>
        </w:rPr>
        <w:t>Changes from baseline in secondary endpoints related OI, ABG values, SpO</w:t>
      </w:r>
      <w:r w:rsidRPr="00D1657D">
        <w:rPr>
          <w:vertAlign w:val="subscript"/>
          <w:lang w:eastAsia="ja-JP"/>
        </w:rPr>
        <w:t>2</w:t>
      </w:r>
      <w:r w:rsidRPr="00E80B4B">
        <w:rPr>
          <w:lang w:eastAsia="ja-JP"/>
        </w:rPr>
        <w:t xml:space="preserve">, </w:t>
      </w:r>
      <w:r w:rsidR="00A5161C" w:rsidRPr="00102528">
        <w:t>FiO</w:t>
      </w:r>
      <w:r w:rsidR="00A5161C" w:rsidRPr="00A5161C">
        <w:rPr>
          <w:vertAlign w:val="subscript"/>
        </w:rPr>
        <w:t>2</w:t>
      </w:r>
      <w:r w:rsidRPr="00E80B4B">
        <w:rPr>
          <w:lang w:eastAsia="ja-JP"/>
        </w:rPr>
        <w:t>, and</w:t>
      </w:r>
      <w:r>
        <w:rPr>
          <w:lang w:eastAsia="ja-JP"/>
        </w:rPr>
        <w:t xml:space="preserve"> </w:t>
      </w:r>
      <w:r w:rsidRPr="00E80B4B">
        <w:rPr>
          <w:lang w:eastAsia="ja-JP"/>
        </w:rPr>
        <w:t>AaDO</w:t>
      </w:r>
      <w:r w:rsidRPr="00D1657D">
        <w:rPr>
          <w:vertAlign w:val="subscript"/>
          <w:lang w:eastAsia="ja-JP"/>
        </w:rPr>
        <w:t>2</w:t>
      </w:r>
      <w:r w:rsidRPr="00E80B4B">
        <w:rPr>
          <w:lang w:eastAsia="ja-JP"/>
        </w:rPr>
        <w:t xml:space="preserve"> were analysed using analysis of covariance (ANCOVA) methods and were</w:t>
      </w:r>
      <w:r>
        <w:rPr>
          <w:lang w:eastAsia="ja-JP"/>
        </w:rPr>
        <w:t xml:space="preserve"> summaris</w:t>
      </w:r>
      <w:r w:rsidRPr="00E80B4B">
        <w:rPr>
          <w:lang w:eastAsia="ja-JP"/>
        </w:rPr>
        <w:t>ed using descriptive statistics for continuous variables.</w:t>
      </w:r>
    </w:p>
    <w:p w14:paraId="265AF37F" w14:textId="77777777" w:rsidR="00EE37DE" w:rsidRPr="00E80B4B" w:rsidRDefault="00EE37DE" w:rsidP="00EE37DE">
      <w:pPr>
        <w:rPr>
          <w:lang w:eastAsia="ja-JP"/>
        </w:rPr>
      </w:pPr>
      <w:r w:rsidRPr="00E80B4B">
        <w:rPr>
          <w:lang w:eastAsia="ja-JP"/>
        </w:rPr>
        <w:t xml:space="preserve">The analysis of presence of PH at </w:t>
      </w:r>
      <w:r w:rsidR="00A5161C">
        <w:rPr>
          <w:lang w:eastAsia="ja-JP"/>
        </w:rPr>
        <w:t>24 hours</w:t>
      </w:r>
      <w:r w:rsidRPr="00E80B4B">
        <w:rPr>
          <w:lang w:eastAsia="ja-JP"/>
        </w:rPr>
        <w:t xml:space="preserve"> (Day 2) and at EOT was conducted following the</w:t>
      </w:r>
      <w:r>
        <w:rPr>
          <w:lang w:eastAsia="ja-JP"/>
        </w:rPr>
        <w:t xml:space="preserve"> </w:t>
      </w:r>
      <w:r w:rsidRPr="00E80B4B">
        <w:rPr>
          <w:lang w:eastAsia="ja-JP"/>
        </w:rPr>
        <w:t>same methods as those for the primary efficacy endpoint ‘proportion of patients with</w:t>
      </w:r>
      <w:r>
        <w:rPr>
          <w:lang w:eastAsia="ja-JP"/>
        </w:rPr>
        <w:t xml:space="preserve"> </w:t>
      </w:r>
      <w:r w:rsidRPr="00E80B4B">
        <w:rPr>
          <w:lang w:eastAsia="ja-JP"/>
        </w:rPr>
        <w:t>treatment failure’.</w:t>
      </w:r>
    </w:p>
    <w:p w14:paraId="0A3C289B" w14:textId="77777777" w:rsidR="00EE37DE" w:rsidRDefault="00EE37DE" w:rsidP="00EE37DE">
      <w:pPr>
        <w:rPr>
          <w:lang w:eastAsia="ja-JP"/>
        </w:rPr>
      </w:pPr>
      <w:r w:rsidRPr="00E80B4B">
        <w:rPr>
          <w:lang w:eastAsia="ja-JP"/>
        </w:rPr>
        <w:t xml:space="preserve">Baseline demographic, disease characteristics and </w:t>
      </w:r>
      <w:r>
        <w:rPr>
          <w:lang w:eastAsia="ja-JP"/>
        </w:rPr>
        <w:t>treatment exposure were summaris</w:t>
      </w:r>
      <w:r w:rsidRPr="00E80B4B">
        <w:rPr>
          <w:lang w:eastAsia="ja-JP"/>
        </w:rPr>
        <w:t>ed</w:t>
      </w:r>
      <w:r>
        <w:rPr>
          <w:lang w:eastAsia="ja-JP"/>
        </w:rPr>
        <w:t xml:space="preserve"> </w:t>
      </w:r>
      <w:r w:rsidRPr="00E80B4B">
        <w:rPr>
          <w:lang w:eastAsia="ja-JP"/>
        </w:rPr>
        <w:t>using descriptive statistics</w:t>
      </w:r>
      <w:r>
        <w:rPr>
          <w:lang w:eastAsia="ja-JP"/>
        </w:rPr>
        <w:t>.</w:t>
      </w:r>
    </w:p>
    <w:p w14:paraId="40EE7124" w14:textId="77777777" w:rsidR="00EE37DE" w:rsidRDefault="00EE37DE" w:rsidP="00EE37DE">
      <w:pPr>
        <w:rPr>
          <w:lang w:eastAsia="ja-JP"/>
        </w:rPr>
      </w:pPr>
      <w:r w:rsidRPr="00E80B4B">
        <w:rPr>
          <w:lang w:eastAsia="ja-JP"/>
        </w:rPr>
        <w:t>Analysis of PK endpoints was performed using the PK anal</w:t>
      </w:r>
      <w:r>
        <w:rPr>
          <w:lang w:eastAsia="ja-JP"/>
        </w:rPr>
        <w:t xml:space="preserve">ysis set and </w:t>
      </w:r>
      <w:r w:rsidRPr="00E80B4B">
        <w:rPr>
          <w:lang w:eastAsia="ja-JP"/>
        </w:rPr>
        <w:t>repeated for the All-treated set</w:t>
      </w:r>
      <w:r>
        <w:rPr>
          <w:lang w:eastAsia="ja-JP"/>
        </w:rPr>
        <w:t xml:space="preserve">. </w:t>
      </w:r>
      <w:r w:rsidRPr="00E80B4B">
        <w:rPr>
          <w:lang w:eastAsia="ja-JP"/>
        </w:rPr>
        <w:t>Analysis of the safety data was performed descriptively using the safety analysis set</w:t>
      </w:r>
      <w:r>
        <w:rPr>
          <w:lang w:eastAsia="ja-JP"/>
        </w:rPr>
        <w:t>.</w:t>
      </w:r>
    </w:p>
    <w:p w14:paraId="167739B6" w14:textId="77777777" w:rsidR="00EE37DE" w:rsidRPr="00EE37DE" w:rsidRDefault="00EE37DE" w:rsidP="00EE37DE">
      <w:pPr>
        <w:pStyle w:val="Heading5"/>
      </w:pPr>
      <w:r>
        <w:t>Participant flow</w:t>
      </w:r>
    </w:p>
    <w:p w14:paraId="76EDC777" w14:textId="77777777" w:rsidR="007C6D8D" w:rsidRDefault="00EE37DE" w:rsidP="00EE37DE">
      <w:r w:rsidRPr="001F714A">
        <w:t xml:space="preserve">A total of </w:t>
      </w:r>
      <w:r>
        <w:t xml:space="preserve">27 patients were screened and </w:t>
      </w:r>
      <w:r w:rsidRPr="001F714A">
        <w:t>23 patients were randomi</w:t>
      </w:r>
      <w:r>
        <w:t>s</w:t>
      </w:r>
      <w:r w:rsidRPr="001F714A">
        <w:t>ed in a 2:1 ratio to b</w:t>
      </w:r>
      <w:r>
        <w:t>osentan (N</w:t>
      </w:r>
      <w:r w:rsidR="00A5161C">
        <w:t xml:space="preserve"> </w:t>
      </w:r>
      <w:r w:rsidR="00E77015">
        <w:t>=</w:t>
      </w:r>
      <w:r w:rsidR="00A5161C">
        <w:t xml:space="preserve"> </w:t>
      </w:r>
      <w:r>
        <w:t xml:space="preserve">15) </w:t>
      </w:r>
      <w:r w:rsidRPr="001F714A">
        <w:t>or placebo (N</w:t>
      </w:r>
      <w:r w:rsidR="00A5161C">
        <w:t xml:space="preserve"> </w:t>
      </w:r>
      <w:r w:rsidR="00E77015">
        <w:t>=</w:t>
      </w:r>
      <w:r w:rsidR="00A5161C">
        <w:t xml:space="preserve"> </w:t>
      </w:r>
      <w:r w:rsidRPr="001F714A">
        <w:t xml:space="preserve">8). A total of 21 patients received </w:t>
      </w:r>
      <w:r w:rsidR="0066478A">
        <w:t>study</w:t>
      </w:r>
      <w:r>
        <w:t xml:space="preserve"> drug (</w:t>
      </w:r>
      <w:r w:rsidR="008806DA">
        <w:t>Figure 14</w:t>
      </w:r>
      <w:r>
        <w:t xml:space="preserve">). </w:t>
      </w:r>
      <w:r w:rsidRPr="00134A83">
        <w:t>Of the 15 patients randomi</w:t>
      </w:r>
      <w:r>
        <w:t>s</w:t>
      </w:r>
      <w:r w:rsidRPr="00134A83">
        <w:t>ed to bosentan, 13 were treate</w:t>
      </w:r>
      <w:r>
        <w:t xml:space="preserve">d with bosentan and constituted </w:t>
      </w:r>
      <w:r w:rsidRPr="00134A83">
        <w:t>the All-treated set</w:t>
      </w:r>
      <w:r w:rsidR="007C6D8D">
        <w:t>.</w:t>
      </w:r>
    </w:p>
    <w:p w14:paraId="1B0A23F5" w14:textId="77777777" w:rsidR="00EE37DE" w:rsidRDefault="00EE37DE" w:rsidP="00EE37DE">
      <w:pPr>
        <w:pStyle w:val="FigureTitle"/>
        <w:rPr>
          <w:rFonts w:ascii="Times New Roman" w:eastAsiaTheme="minorHAnsi" w:hAnsi="Times New Roman"/>
          <w:sz w:val="24"/>
          <w:szCs w:val="24"/>
        </w:rPr>
      </w:pPr>
      <w:bookmarkStart w:id="168" w:name="_Ref460944080"/>
      <w:bookmarkStart w:id="169" w:name="_Toc473884165"/>
      <w:r w:rsidRPr="008806DA">
        <w:lastRenderedPageBreak/>
        <w:t xml:space="preserve">Figure </w:t>
      </w:r>
      <w:bookmarkEnd w:id="168"/>
      <w:r w:rsidR="008806DA" w:rsidRPr="008806DA">
        <w:t>14:</w:t>
      </w:r>
      <w:r w:rsidRPr="008806DA">
        <w:t xml:space="preserve"> FUTURE</w:t>
      </w:r>
      <w:r>
        <w:t>-4 Patient disposition</w:t>
      </w:r>
      <w:bookmarkEnd w:id="169"/>
    </w:p>
    <w:p w14:paraId="6F122E11" w14:textId="77777777" w:rsidR="00EE37DE" w:rsidRDefault="007F6EDD" w:rsidP="00C22678">
      <w:pPr>
        <w:rPr>
          <w:lang w:eastAsia="ja-JP"/>
        </w:rPr>
      </w:pPr>
      <w:r>
        <w:rPr>
          <w:noProof/>
          <w:lang w:eastAsia="en-AU"/>
        </w:rPr>
        <w:drawing>
          <wp:inline distT="0" distB="0" distL="0" distR="0" wp14:anchorId="523C45BC" wp14:editId="6D4C284B">
            <wp:extent cx="5731510" cy="3093546"/>
            <wp:effectExtent l="0" t="0" r="2540" b="0"/>
            <wp:docPr id="30" name="Picture 30" descr="Figure 14: FUTURE-4 Patient disposition 27 screened. 4 failed screenin.&#10;23 were randomised. 15/13 were treated with bosentan 8/8 with placebo.&#10;Of those in Bosentan group 1 prematurely discontinued 13 completed the study&#10;in the Placebo group none discontinued and 8 completed the stu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31510" cy="3093546"/>
                    </a:xfrm>
                    <a:prstGeom prst="rect">
                      <a:avLst/>
                    </a:prstGeom>
                  </pic:spPr>
                </pic:pic>
              </a:graphicData>
            </a:graphic>
          </wp:inline>
        </w:drawing>
      </w:r>
    </w:p>
    <w:p w14:paraId="277E27A1" w14:textId="77777777" w:rsidR="007F6EDD" w:rsidRPr="007F6EDD" w:rsidRDefault="007F6EDD" w:rsidP="00153B34">
      <w:pPr>
        <w:pStyle w:val="Heading5"/>
        <w:numPr>
          <w:ilvl w:val="3"/>
          <w:numId w:val="12"/>
        </w:numPr>
      </w:pPr>
      <w:r w:rsidRPr="007F6EDD">
        <w:t>Major protocol violations/deviations</w:t>
      </w:r>
    </w:p>
    <w:p w14:paraId="2DC3233B" w14:textId="77777777" w:rsidR="007F6EDD" w:rsidRDefault="007F6EDD" w:rsidP="007F6EDD">
      <w:r>
        <w:t>Two patients randomis</w:t>
      </w:r>
      <w:r w:rsidRPr="001F714A">
        <w:t>ed</w:t>
      </w:r>
      <w:r>
        <w:t xml:space="preserve"> </w:t>
      </w:r>
      <w:r w:rsidRPr="001F714A">
        <w:t xml:space="preserve">to the bosentan group did not receive </w:t>
      </w:r>
      <w:r w:rsidR="0066478A">
        <w:t>study</w:t>
      </w:r>
      <w:r w:rsidRPr="001F714A">
        <w:t xml:space="preserve"> treatment due to low birth weight (1 patient)</w:t>
      </w:r>
      <w:r>
        <w:t xml:space="preserve"> </w:t>
      </w:r>
      <w:r w:rsidRPr="001F714A">
        <w:t>and due to a transient increase in ALT (1 patient)</w:t>
      </w:r>
      <w:r>
        <w:t xml:space="preserve"> and both were excluded from the full analysis set, the safety set and the PK set</w:t>
      </w:r>
      <w:r w:rsidRPr="001F714A">
        <w:rPr>
          <w:i/>
          <w:iCs/>
        </w:rPr>
        <w:t>.</w:t>
      </w:r>
      <w:r w:rsidRPr="001F714A">
        <w:rPr>
          <w:rFonts w:ascii="Times New Roman" w:eastAsiaTheme="minorHAnsi" w:hAnsi="Times New Roman"/>
          <w:sz w:val="24"/>
          <w:szCs w:val="24"/>
        </w:rPr>
        <w:t xml:space="preserve"> </w:t>
      </w:r>
      <w:r w:rsidRPr="00134A83">
        <w:t>A total of 12 patients were included in the PK analysis set. One patient</w:t>
      </w:r>
      <w:r>
        <w:t xml:space="preserve"> </w:t>
      </w:r>
      <w:r w:rsidRPr="00134A83">
        <w:t xml:space="preserve">was excluded from PK analysis set due to a </w:t>
      </w:r>
      <w:r>
        <w:t>protocol violation</w:t>
      </w:r>
      <w:r w:rsidRPr="00134A83">
        <w:t>.</w:t>
      </w:r>
    </w:p>
    <w:p w14:paraId="322B5CCF" w14:textId="77777777" w:rsidR="007F6EDD" w:rsidRDefault="007F6EDD" w:rsidP="007F6EDD">
      <w:pPr>
        <w:rPr>
          <w:lang w:eastAsia="ja-JP"/>
        </w:rPr>
      </w:pPr>
      <w:r w:rsidRPr="00F3744F">
        <w:rPr>
          <w:lang w:eastAsia="ja-JP"/>
        </w:rPr>
        <w:t>Deviations associated with the eligibility criteria prior to randomi</w:t>
      </w:r>
      <w:r>
        <w:rPr>
          <w:lang w:eastAsia="ja-JP"/>
        </w:rPr>
        <w:t>s</w:t>
      </w:r>
      <w:r w:rsidRPr="00F3744F">
        <w:rPr>
          <w:lang w:eastAsia="ja-JP"/>
        </w:rPr>
        <w:t>ation (6 patients), use of</w:t>
      </w:r>
      <w:r>
        <w:rPr>
          <w:lang w:eastAsia="ja-JP"/>
        </w:rPr>
        <w:t xml:space="preserve"> </w:t>
      </w:r>
      <w:r w:rsidRPr="00F3744F">
        <w:rPr>
          <w:lang w:eastAsia="ja-JP"/>
        </w:rPr>
        <w:t xml:space="preserve">forbidden medication during the </w:t>
      </w:r>
      <w:r w:rsidR="0066478A">
        <w:rPr>
          <w:lang w:eastAsia="ja-JP"/>
        </w:rPr>
        <w:t>study</w:t>
      </w:r>
      <w:r w:rsidRPr="00F3744F">
        <w:rPr>
          <w:lang w:eastAsia="ja-JP"/>
        </w:rPr>
        <w:t xml:space="preserve"> treatment (1 patient), drug not administered as per</w:t>
      </w:r>
      <w:r>
        <w:rPr>
          <w:lang w:eastAsia="ja-JP"/>
        </w:rPr>
        <w:t xml:space="preserve"> protocol (1 patient) and</w:t>
      </w:r>
      <w:r w:rsidRPr="00F3744F">
        <w:rPr>
          <w:lang w:eastAsia="ja-JP"/>
        </w:rPr>
        <w:t xml:space="preserve"> procedure for informed consent (1 patient</w:t>
      </w:r>
      <w:r>
        <w:rPr>
          <w:lang w:eastAsia="ja-JP"/>
        </w:rPr>
        <w:t>)</w:t>
      </w:r>
      <w:r w:rsidRPr="00F3744F">
        <w:rPr>
          <w:lang w:eastAsia="ja-JP"/>
        </w:rPr>
        <w:t xml:space="preserve"> were considered as major protocol deviations. None of these protocol</w:t>
      </w:r>
      <w:r>
        <w:rPr>
          <w:lang w:eastAsia="ja-JP"/>
        </w:rPr>
        <w:t xml:space="preserve"> </w:t>
      </w:r>
      <w:r w:rsidRPr="00F3744F">
        <w:rPr>
          <w:lang w:eastAsia="ja-JP"/>
        </w:rPr>
        <w:t>deviations led to exclusion from any analysis set.</w:t>
      </w:r>
    </w:p>
    <w:p w14:paraId="44944AE3" w14:textId="77777777" w:rsidR="007F6EDD" w:rsidRPr="007F6EDD" w:rsidRDefault="007F6EDD" w:rsidP="007F6EDD">
      <w:pPr>
        <w:pStyle w:val="Heading5"/>
      </w:pPr>
      <w:r w:rsidRPr="007F6EDD">
        <w:t>Baseline data</w:t>
      </w:r>
    </w:p>
    <w:p w14:paraId="0809D091" w14:textId="77777777" w:rsidR="007F6EDD" w:rsidRPr="006A5AEB" w:rsidRDefault="007F6EDD" w:rsidP="007F6EDD">
      <w:r w:rsidRPr="001F714A">
        <w:t>The gestational ag</w:t>
      </w:r>
      <w:r w:rsidR="00A5161C">
        <w:t xml:space="preserve">e (median, min to </w:t>
      </w:r>
      <w:r>
        <w:t xml:space="preserve">max) was similar for patients in the bosentan </w:t>
      </w:r>
      <w:r w:rsidR="00A5161C">
        <w:t xml:space="preserve">(40.0 weeks, 36.0 to </w:t>
      </w:r>
      <w:r w:rsidRPr="001F714A">
        <w:t>41.0 weeks) and placebo groups (38.5 weeks, 36.0</w:t>
      </w:r>
      <w:r w:rsidR="00A5161C">
        <w:t xml:space="preserve"> to </w:t>
      </w:r>
      <w:r w:rsidRPr="001F714A">
        <w:t>42.0 weeks). The</w:t>
      </w:r>
      <w:r>
        <w:t xml:space="preserve"> </w:t>
      </w:r>
      <w:r w:rsidR="00A5161C">
        <w:t xml:space="preserve">median age (days, min to </w:t>
      </w:r>
      <w:r w:rsidRPr="001F714A">
        <w:t xml:space="preserve">max) at first dosing with the </w:t>
      </w:r>
      <w:r w:rsidR="0066478A">
        <w:t>study</w:t>
      </w:r>
      <w:r w:rsidRPr="001F714A">
        <w:t xml:space="preserve"> treatment was similar in the</w:t>
      </w:r>
      <w:r>
        <w:t xml:space="preserve"> </w:t>
      </w:r>
      <w:r w:rsidR="00A5161C">
        <w:t xml:space="preserve">bosentan (1.4 days, 0.6 to </w:t>
      </w:r>
      <w:r w:rsidRPr="001F714A">
        <w:t>5.6 days) an</w:t>
      </w:r>
      <w:r w:rsidR="00A5161C">
        <w:t xml:space="preserve">d placebo groups (1.7 days, 0.6 to </w:t>
      </w:r>
      <w:r w:rsidRPr="001F714A">
        <w:t xml:space="preserve">5.9 days). </w:t>
      </w:r>
      <w:r w:rsidRPr="006A5AEB">
        <w:t>The length and weight at birth were similar in both groups. Th</w:t>
      </w:r>
      <w:r>
        <w:t xml:space="preserve">e majority of patients in </w:t>
      </w:r>
      <w:r w:rsidRPr="006A5AEB">
        <w:t>both groups were female (69.2% bosentan, 75.0% placebo) and Caucasian</w:t>
      </w:r>
      <w:r>
        <w:t xml:space="preserve"> </w:t>
      </w:r>
      <w:r w:rsidRPr="006A5AEB">
        <w:t>(84.6% bosentan, 75.0% placebo)</w:t>
      </w:r>
      <w:r>
        <w:t xml:space="preserve"> (</w:t>
      </w:r>
      <w:r w:rsidR="005F754D">
        <w:t>Table 19</w:t>
      </w:r>
      <w:r>
        <w:t>)</w:t>
      </w:r>
      <w:r w:rsidRPr="006A5AEB">
        <w:t>.</w:t>
      </w:r>
    </w:p>
    <w:p w14:paraId="7B9305F1" w14:textId="06DDF65A" w:rsidR="007C6D8D" w:rsidRDefault="007F6EDD" w:rsidP="007F6EDD">
      <w:r w:rsidRPr="001F714A">
        <w:t>The aetiology of PPHN was characteri</w:t>
      </w:r>
      <w:r>
        <w:t>s</w:t>
      </w:r>
      <w:r w:rsidRPr="001F714A">
        <w:t>ed predominantly</w:t>
      </w:r>
      <w:r>
        <w:t xml:space="preserve"> by parenchymal lung disease in </w:t>
      </w:r>
      <w:r w:rsidRPr="001F714A">
        <w:t>both groups (100% bosentan, 62.5% placebo). Idiopathic PPHN was diagnosed only for</w:t>
      </w:r>
      <w:r>
        <w:t xml:space="preserve"> </w:t>
      </w:r>
      <w:r w:rsidRPr="001F714A">
        <w:t>patients in the placebo group (37.5%)</w:t>
      </w:r>
      <w:r>
        <w:t xml:space="preserve"> (</w:t>
      </w:r>
      <w:r w:rsidR="005F754D">
        <w:t>Table 20</w:t>
      </w:r>
      <w:r>
        <w:t>)</w:t>
      </w:r>
      <w:r w:rsidRPr="001F714A">
        <w:t>.</w:t>
      </w:r>
      <w:r>
        <w:t xml:space="preserve"> </w:t>
      </w:r>
      <w:r w:rsidR="00A5161C">
        <w:t xml:space="preserve">Median baseline OI (min to </w:t>
      </w:r>
      <w:r w:rsidRPr="001F714A">
        <w:t>max) values indicated that</w:t>
      </w:r>
      <w:r>
        <w:t xml:space="preserve"> the disease condition was more </w:t>
      </w:r>
      <w:r w:rsidRPr="001F714A">
        <w:t>severe in patients t</w:t>
      </w:r>
      <w:r w:rsidR="00A5161C">
        <w:t xml:space="preserve">reated with bosentan (18.3 </w:t>
      </w:r>
      <w:r w:rsidR="00D44CEE">
        <w:t>(</w:t>
      </w:r>
      <w:r w:rsidR="00A5161C">
        <w:t xml:space="preserve">5.9 to </w:t>
      </w:r>
      <w:r w:rsidRPr="001F714A">
        <w:t>44.3</w:t>
      </w:r>
      <w:r w:rsidR="00D44CEE" w:rsidRPr="001F714A">
        <w:t xml:space="preserve">) </w:t>
      </w:r>
      <w:r w:rsidR="00A5161C">
        <w:t xml:space="preserve">than placebo (13.2 </w:t>
      </w:r>
      <w:r w:rsidR="00D44CEE">
        <w:t>(</w:t>
      </w:r>
      <w:r w:rsidR="00A5161C">
        <w:t xml:space="preserve">7.1 to </w:t>
      </w:r>
      <w:r w:rsidRPr="001F714A">
        <w:t>39.4</w:t>
      </w:r>
      <w:r w:rsidR="00D44CEE">
        <w:t>)</w:t>
      </w:r>
      <w:r w:rsidRPr="005F754D">
        <w:t>) (</w:t>
      </w:r>
      <w:r w:rsidR="005F754D" w:rsidRPr="005F754D">
        <w:t>Table</w:t>
      </w:r>
      <w:r w:rsidR="005F754D">
        <w:t xml:space="preserve"> 21</w:t>
      </w:r>
      <w:r>
        <w:t>)</w:t>
      </w:r>
      <w:r w:rsidR="007C6D8D">
        <w:t>.</w:t>
      </w:r>
    </w:p>
    <w:p w14:paraId="5257E264" w14:textId="77777777" w:rsidR="007F6EDD" w:rsidRDefault="007F6EDD" w:rsidP="007F6EDD">
      <w:r w:rsidRPr="001F714A">
        <w:t>A tot</w:t>
      </w:r>
      <w:r>
        <w:t xml:space="preserve">al of 20 patients (12 bosentan, </w:t>
      </w:r>
      <w:r w:rsidRPr="001F714A">
        <w:t xml:space="preserve">8 placebo) completed </w:t>
      </w:r>
      <w:r w:rsidR="0066478A">
        <w:t>study</w:t>
      </w:r>
      <w:r w:rsidRPr="001F714A">
        <w:t xml:space="preserve"> treatment (</w:t>
      </w:r>
      <w:r w:rsidR="00CF6063">
        <w:t>that is</w:t>
      </w:r>
      <w:r w:rsidRPr="001F714A">
        <w:t>, 2 doses after successful weaning). One patient</w:t>
      </w:r>
      <w:r>
        <w:t xml:space="preserve"> </w:t>
      </w:r>
      <w:r w:rsidRPr="001F714A">
        <w:t xml:space="preserve">in the bosentan group discontinued </w:t>
      </w:r>
      <w:r w:rsidR="0066478A">
        <w:t>study</w:t>
      </w:r>
      <w:r w:rsidRPr="001F714A">
        <w:t xml:space="preserve"> treatment prematurely due to treatment failure</w:t>
      </w:r>
      <w:r>
        <w:t xml:space="preserve"> </w:t>
      </w:r>
      <w:r w:rsidRPr="001F714A">
        <w:t>(need for ECMO). A total</w:t>
      </w:r>
      <w:r w:rsidR="00A5161C">
        <w:t xml:space="preserve"> of 21 patients (13 bosentan, 8 </w:t>
      </w:r>
      <w:r w:rsidRPr="001F714A">
        <w:t>placebo)</w:t>
      </w:r>
      <w:r>
        <w:t xml:space="preserve"> </w:t>
      </w:r>
      <w:r w:rsidRPr="001F714A">
        <w:t xml:space="preserve">completed the </w:t>
      </w:r>
      <w:r w:rsidR="0066478A">
        <w:t>study</w:t>
      </w:r>
      <w:r w:rsidRPr="001F714A">
        <w:t xml:space="preserve"> as per protocol requirements</w:t>
      </w:r>
      <w:r>
        <w:t>.</w:t>
      </w:r>
    </w:p>
    <w:p w14:paraId="1094E947" w14:textId="62D22265" w:rsidR="007F6EDD" w:rsidRPr="007C149B" w:rsidRDefault="007F6EDD" w:rsidP="007F6EDD">
      <w:r w:rsidRPr="00F3744F">
        <w:t>With the exception of one patient in the placebo group, all patients had at least one</w:t>
      </w:r>
      <w:r>
        <w:t xml:space="preserve"> </w:t>
      </w:r>
      <w:r w:rsidRPr="00F3744F">
        <w:t>condition recorded as medical history</w:t>
      </w:r>
      <w:r>
        <w:t xml:space="preserve">. Reported infections were </w:t>
      </w:r>
      <w:r w:rsidRPr="007C149B">
        <w:t>p</w:t>
      </w:r>
      <w:r w:rsidR="00A5161C">
        <w:t xml:space="preserve">neumonia (5 bosentan </w:t>
      </w:r>
      <w:r w:rsidR="00D44CEE">
        <w:t>(</w:t>
      </w:r>
      <w:r w:rsidR="00A5161C">
        <w:t>38.5%</w:t>
      </w:r>
      <w:r w:rsidR="00D44CEE">
        <w:t>)</w:t>
      </w:r>
      <w:r w:rsidR="00A5161C">
        <w:t>, 2 </w:t>
      </w:r>
      <w:r w:rsidRPr="007C149B">
        <w:t xml:space="preserve">placebo </w:t>
      </w:r>
      <w:r w:rsidR="00D44CEE">
        <w:t>(</w:t>
      </w:r>
      <w:r w:rsidRPr="007C149B">
        <w:t>25.0%</w:t>
      </w:r>
      <w:r w:rsidR="00D44CEE">
        <w:t>)</w:t>
      </w:r>
      <w:r w:rsidRPr="007C149B">
        <w:t>) and neonatal</w:t>
      </w:r>
      <w:r>
        <w:t xml:space="preserve"> </w:t>
      </w:r>
      <w:r w:rsidRPr="007C149B">
        <w:t xml:space="preserve">sepsis/sepsis (2 bosentan </w:t>
      </w:r>
      <w:r w:rsidR="00D44CEE">
        <w:t>(</w:t>
      </w:r>
      <w:r w:rsidRPr="007C149B">
        <w:t>15.4%</w:t>
      </w:r>
      <w:r w:rsidR="00D44CEE">
        <w:t>)</w:t>
      </w:r>
      <w:r w:rsidRPr="007C149B">
        <w:t xml:space="preserve">, 2 placebo </w:t>
      </w:r>
      <w:r w:rsidR="00D44CEE">
        <w:t>(</w:t>
      </w:r>
      <w:r w:rsidRPr="007C149B">
        <w:t>12.5%</w:t>
      </w:r>
      <w:r w:rsidR="00D44CEE">
        <w:t>)</w:t>
      </w:r>
      <w:r w:rsidRPr="007C149B">
        <w:t>).</w:t>
      </w:r>
    </w:p>
    <w:p w14:paraId="3BC5FF31" w14:textId="77777777" w:rsidR="007F6EDD" w:rsidRDefault="007F6EDD" w:rsidP="007F6EDD">
      <w:r w:rsidRPr="007C149B">
        <w:lastRenderedPageBreak/>
        <w:t>The most frequently reported disorders were associated with the SOCs of metabolism and</w:t>
      </w:r>
      <w:r>
        <w:t xml:space="preserve"> </w:t>
      </w:r>
      <w:r w:rsidRPr="007C149B">
        <w:t>nutrition disorders (including hypoglyc</w:t>
      </w:r>
      <w:r>
        <w:t>a</w:t>
      </w:r>
      <w:r w:rsidRPr="007C149B">
        <w:t>emia, hyperglyc</w:t>
      </w:r>
      <w:r>
        <w:t>a</w:t>
      </w:r>
      <w:r w:rsidRPr="007C149B">
        <w:t>emia and metabolic acidosis),</w:t>
      </w:r>
      <w:r>
        <w:t xml:space="preserve"> </w:t>
      </w:r>
      <w:r w:rsidRPr="007C149B">
        <w:t>infections (pneumonia and neonatal sepsis/sepsis), respiratory disorders (including</w:t>
      </w:r>
      <w:r>
        <w:t xml:space="preserve"> </w:t>
      </w:r>
      <w:r w:rsidRPr="007C149B">
        <w:t>pneumothorax, neonatal aspiration, neonatal asphyxia and respiratory failure) and</w:t>
      </w:r>
      <w:r>
        <w:t xml:space="preserve"> </w:t>
      </w:r>
      <w:r w:rsidRPr="007C149B">
        <w:t>pregnancy, puerperium and perinatal conditions (including premature baby, birth trauma,</w:t>
      </w:r>
      <w:r>
        <w:t xml:space="preserve"> </w:t>
      </w:r>
      <w:r w:rsidRPr="007C149B">
        <w:t>neonatal hypothermia and neonatal jaundice).</w:t>
      </w:r>
      <w:r>
        <w:t xml:space="preserve"> </w:t>
      </w:r>
      <w:r w:rsidRPr="007C149B">
        <w:t>Blood disorders were reported for 3 patients in the bosentan group (23.1%) and 2 patients</w:t>
      </w:r>
      <w:r>
        <w:t xml:space="preserve"> </w:t>
      </w:r>
      <w:r w:rsidRPr="007C149B">
        <w:t>in the placebo group (25.0%); all were related to anaemia and in one case concomitant</w:t>
      </w:r>
      <w:r>
        <w:t xml:space="preserve"> </w:t>
      </w:r>
      <w:r w:rsidRPr="007C149B">
        <w:t xml:space="preserve">thrombocytopenia was </w:t>
      </w:r>
      <w:r w:rsidRPr="005F754D">
        <w:t>reported (</w:t>
      </w:r>
      <w:r w:rsidR="005F754D" w:rsidRPr="005F754D">
        <w:t>Table 22</w:t>
      </w:r>
      <w:r w:rsidRPr="005F754D">
        <w:t>).</w:t>
      </w:r>
    </w:p>
    <w:p w14:paraId="35DBCFB2" w14:textId="77777777" w:rsidR="007F6EDD" w:rsidRDefault="007F6EDD" w:rsidP="007F6EDD">
      <w:r w:rsidRPr="007C149B">
        <w:t>All 21 patients had received at least one previous treatment at baseline</w:t>
      </w:r>
      <w:r>
        <w:t xml:space="preserve">. Blood </w:t>
      </w:r>
      <w:r w:rsidRPr="007C149B">
        <w:t>substitutes and perfusion solutions were the most frequently received treatments</w:t>
      </w:r>
      <w:r>
        <w:t xml:space="preserve"> </w:t>
      </w:r>
      <w:r w:rsidRPr="007C149B">
        <w:t>(11 bosentan, 84.6%; 6 placebo, 75.0%). Blood transfusion was performed for 3 patients in the bosentan and placebo groups (23.1% and 37.5%,</w:t>
      </w:r>
      <w:r>
        <w:t xml:space="preserve"> </w:t>
      </w:r>
      <w:r w:rsidRPr="007C149B">
        <w:t xml:space="preserve">respectively), one </w:t>
      </w:r>
      <w:r>
        <w:t xml:space="preserve">patient </w:t>
      </w:r>
      <w:r w:rsidRPr="007C149B">
        <w:t>(bosentan) also had a platelet transfusion. Plasma transfusion was performed for</w:t>
      </w:r>
      <w:r>
        <w:t xml:space="preserve"> </w:t>
      </w:r>
      <w:r w:rsidRPr="007C149B">
        <w:t>2 patients in the bosentan and placebo groups (15.4% and 25.0%, respectively).</w:t>
      </w:r>
      <w:r>
        <w:t xml:space="preserve"> </w:t>
      </w:r>
      <w:r w:rsidRPr="007C149B">
        <w:t>Antibacterials for systemic use were received by 9 patients in the bosentan group (69.2%)</w:t>
      </w:r>
      <w:r>
        <w:t xml:space="preserve"> </w:t>
      </w:r>
      <w:r w:rsidRPr="007C149B">
        <w:t xml:space="preserve">and 3 patients in the placebo group (37.5%). Cardiac therapy consisting mostly of </w:t>
      </w:r>
      <w:r w:rsidR="00A5161C">
        <w:t xml:space="preserve">IV </w:t>
      </w:r>
      <w:r w:rsidRPr="007C149B">
        <w:t xml:space="preserve">vasopressors was administered to 9 (69.2%) bosentan patients </w:t>
      </w:r>
      <w:r>
        <w:t>and one</w:t>
      </w:r>
      <w:r w:rsidRPr="007C149B">
        <w:t xml:space="preserve"> (12.5</w:t>
      </w:r>
      <w:r>
        <w:t>%</w:t>
      </w:r>
      <w:r w:rsidRPr="007C149B">
        <w:t>) placebo patient, consistent with the higher disease severity observed at baseline in</w:t>
      </w:r>
      <w:r>
        <w:t xml:space="preserve"> </w:t>
      </w:r>
      <w:r w:rsidRPr="007C149B">
        <w:t>the bosentan group.</w:t>
      </w:r>
    </w:p>
    <w:p w14:paraId="4CBBB1C9" w14:textId="77777777" w:rsidR="007F6EDD" w:rsidRDefault="007F6EDD" w:rsidP="007F6EDD">
      <w:pPr>
        <w:pStyle w:val="FigureTitle"/>
      </w:pPr>
      <w:bookmarkStart w:id="170" w:name="_Ref463534109"/>
      <w:bookmarkStart w:id="171" w:name="_Toc473884063"/>
      <w:r w:rsidRPr="005F754D">
        <w:lastRenderedPageBreak/>
        <w:t xml:space="preserve">Table </w:t>
      </w:r>
      <w:bookmarkEnd w:id="170"/>
      <w:r w:rsidR="005F754D" w:rsidRPr="005F754D">
        <w:t>19:</w:t>
      </w:r>
      <w:r w:rsidRPr="005F754D">
        <w:t xml:space="preserve"> FUTURE-4 Summary of patient demographics, safety analysis set</w:t>
      </w:r>
      <w:bookmarkEnd w:id="171"/>
    </w:p>
    <w:p w14:paraId="57A048DB" w14:textId="77777777" w:rsidR="00EE37DE" w:rsidRDefault="007F6EDD" w:rsidP="00C22678">
      <w:pPr>
        <w:rPr>
          <w:lang w:eastAsia="ja-JP"/>
        </w:rPr>
      </w:pPr>
      <w:r>
        <w:rPr>
          <w:noProof/>
          <w:lang w:eastAsia="en-AU"/>
        </w:rPr>
        <w:drawing>
          <wp:inline distT="0" distB="0" distL="0" distR="0" wp14:anchorId="1DB2ADC6" wp14:editId="6AC14764">
            <wp:extent cx="3829050" cy="5972175"/>
            <wp:effectExtent l="0" t="0" r="0" b="9525"/>
            <wp:docPr id="31" name="Picture 31" descr="Table 19: FUTURE-4 Summary of patient demographics,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829050" cy="5972175"/>
                    </a:xfrm>
                    <a:prstGeom prst="rect">
                      <a:avLst/>
                    </a:prstGeom>
                  </pic:spPr>
                </pic:pic>
              </a:graphicData>
            </a:graphic>
          </wp:inline>
        </w:drawing>
      </w:r>
    </w:p>
    <w:p w14:paraId="3B17D56C" w14:textId="77777777" w:rsidR="007F6EDD" w:rsidRDefault="007F6EDD" w:rsidP="007F6EDD">
      <w:pPr>
        <w:pStyle w:val="Tabletitle"/>
      </w:pPr>
      <w:bookmarkStart w:id="172" w:name="_Ref463534148"/>
      <w:bookmarkStart w:id="173" w:name="_Toc473884064"/>
      <w:r w:rsidRPr="005F754D">
        <w:lastRenderedPageBreak/>
        <w:t xml:space="preserve">Table </w:t>
      </w:r>
      <w:bookmarkEnd w:id="172"/>
      <w:r w:rsidR="005F754D" w:rsidRPr="005F754D">
        <w:t>20:</w:t>
      </w:r>
      <w:r>
        <w:t xml:space="preserve"> FUTURE-4 Summary of PPHN related data (baseline), safety analysis set</w:t>
      </w:r>
      <w:bookmarkEnd w:id="173"/>
    </w:p>
    <w:p w14:paraId="1C635E3D" w14:textId="77777777" w:rsidR="00EE37DE" w:rsidRDefault="007F6EDD" w:rsidP="00C22678">
      <w:pPr>
        <w:rPr>
          <w:lang w:eastAsia="ja-JP"/>
        </w:rPr>
      </w:pPr>
      <w:r>
        <w:rPr>
          <w:noProof/>
          <w:lang w:eastAsia="en-AU"/>
        </w:rPr>
        <w:drawing>
          <wp:inline distT="0" distB="0" distL="0" distR="0" wp14:anchorId="13DCA597" wp14:editId="12C958AA">
            <wp:extent cx="4295775" cy="2952750"/>
            <wp:effectExtent l="0" t="0" r="9525" b="0"/>
            <wp:docPr id="32" name="Picture 32" descr="Table 20: FUTURE-4 Summary of PPHN related data (baseline),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4295775" cy="2952750"/>
                    </a:xfrm>
                    <a:prstGeom prst="rect">
                      <a:avLst/>
                    </a:prstGeom>
                  </pic:spPr>
                </pic:pic>
              </a:graphicData>
            </a:graphic>
          </wp:inline>
        </w:drawing>
      </w:r>
    </w:p>
    <w:p w14:paraId="2B230102" w14:textId="77777777" w:rsidR="007F6EDD" w:rsidRPr="000E76B2" w:rsidRDefault="007F6EDD" w:rsidP="007F6EDD">
      <w:pPr>
        <w:pStyle w:val="Tabletitle"/>
      </w:pPr>
      <w:bookmarkStart w:id="174" w:name="_Ref463534254"/>
      <w:bookmarkStart w:id="175" w:name="_Toc473884065"/>
      <w:r w:rsidRPr="005F754D">
        <w:lastRenderedPageBreak/>
        <w:t xml:space="preserve">Table </w:t>
      </w:r>
      <w:bookmarkEnd w:id="174"/>
      <w:r w:rsidR="005F754D" w:rsidRPr="005F754D">
        <w:t>2</w:t>
      </w:r>
      <w:r w:rsidR="005F754D">
        <w:t>1:</w:t>
      </w:r>
      <w:r>
        <w:t xml:space="preserve"> FUTURE-4 </w:t>
      </w:r>
      <w:r w:rsidRPr="000E76B2">
        <w:t>Summary of oxygenation and pulmonary pressure related data</w:t>
      </w:r>
      <w:r>
        <w:t xml:space="preserve"> (baseline)</w:t>
      </w:r>
      <w:r w:rsidRPr="000E76B2">
        <w:t>, Safety</w:t>
      </w:r>
      <w:r>
        <w:t xml:space="preserve"> </w:t>
      </w:r>
      <w:r w:rsidRPr="000E76B2">
        <w:t>analysis set</w:t>
      </w:r>
      <w:bookmarkEnd w:id="175"/>
    </w:p>
    <w:p w14:paraId="78EA8210" w14:textId="77777777" w:rsidR="00EE37DE" w:rsidRDefault="007F6EDD" w:rsidP="00C22678">
      <w:pPr>
        <w:rPr>
          <w:lang w:eastAsia="ja-JP"/>
        </w:rPr>
      </w:pPr>
      <w:r>
        <w:rPr>
          <w:noProof/>
          <w:lang w:eastAsia="en-AU"/>
        </w:rPr>
        <w:drawing>
          <wp:inline distT="0" distB="0" distL="0" distR="0" wp14:anchorId="515B3E2F" wp14:editId="346D7567">
            <wp:extent cx="5369357" cy="5369357"/>
            <wp:effectExtent l="0" t="0" r="3175" b="3175"/>
            <wp:docPr id="33" name="Picture 33" descr="Table 21: FUTURE-4 Summary of oxygenation and pulmonary pressure related data (baseline),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365980" cy="5365980"/>
                    </a:xfrm>
                    <a:prstGeom prst="rect">
                      <a:avLst/>
                    </a:prstGeom>
                  </pic:spPr>
                </pic:pic>
              </a:graphicData>
            </a:graphic>
          </wp:inline>
        </w:drawing>
      </w:r>
    </w:p>
    <w:p w14:paraId="578CA5EF" w14:textId="77777777" w:rsidR="007F6EDD" w:rsidRPr="007C149B" w:rsidRDefault="007F6EDD" w:rsidP="007F6EDD">
      <w:pPr>
        <w:pStyle w:val="Tabletitle"/>
      </w:pPr>
      <w:bookmarkStart w:id="176" w:name="_Ref463534869"/>
      <w:bookmarkStart w:id="177" w:name="_Toc473884066"/>
      <w:r w:rsidRPr="005F754D">
        <w:lastRenderedPageBreak/>
        <w:t xml:space="preserve">Table </w:t>
      </w:r>
      <w:bookmarkEnd w:id="176"/>
      <w:r w:rsidR="005F754D" w:rsidRPr="005F754D">
        <w:t>22:</w:t>
      </w:r>
      <w:r>
        <w:t xml:space="preserve"> FUTURE-4 </w:t>
      </w:r>
      <w:r w:rsidRPr="007C149B">
        <w:t>Summary of medical history by system organ class and preferred</w:t>
      </w:r>
      <w:r>
        <w:t xml:space="preserve"> </w:t>
      </w:r>
      <w:r w:rsidRPr="007C149B">
        <w:t>term</w:t>
      </w:r>
      <w:r>
        <w:t xml:space="preserve"> (baseline)</w:t>
      </w:r>
      <w:r w:rsidRPr="007C149B">
        <w:t>, Safety analysis set</w:t>
      </w:r>
      <w:bookmarkEnd w:id="177"/>
    </w:p>
    <w:p w14:paraId="49C6A10F" w14:textId="77777777" w:rsidR="00EE37DE" w:rsidRDefault="007F6EDD" w:rsidP="00C22678">
      <w:pPr>
        <w:rPr>
          <w:lang w:eastAsia="ja-JP"/>
        </w:rPr>
      </w:pPr>
      <w:r>
        <w:rPr>
          <w:noProof/>
          <w:lang w:eastAsia="en-AU"/>
        </w:rPr>
        <w:drawing>
          <wp:inline distT="0" distB="0" distL="0" distR="0" wp14:anchorId="663DD292" wp14:editId="6CC4294A">
            <wp:extent cx="4267200" cy="8143875"/>
            <wp:effectExtent l="0" t="0" r="0" b="9525"/>
            <wp:docPr id="34" name="Picture 34" descr="Table 22: FUTURE-4 Summary of medical history by system organ class and preferred term (baseline),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267200" cy="8143875"/>
                    </a:xfrm>
                    <a:prstGeom prst="rect">
                      <a:avLst/>
                    </a:prstGeom>
                  </pic:spPr>
                </pic:pic>
              </a:graphicData>
            </a:graphic>
          </wp:inline>
        </w:drawing>
      </w:r>
    </w:p>
    <w:p w14:paraId="641D911E" w14:textId="77777777" w:rsidR="007F6EDD" w:rsidRPr="007F6EDD" w:rsidRDefault="007F6EDD" w:rsidP="00153B34">
      <w:pPr>
        <w:pStyle w:val="Heading5"/>
        <w:numPr>
          <w:ilvl w:val="3"/>
          <w:numId w:val="13"/>
        </w:numPr>
      </w:pPr>
      <w:r w:rsidRPr="007F6EDD">
        <w:lastRenderedPageBreak/>
        <w:t>Results for the primary efficacy outcome</w:t>
      </w:r>
    </w:p>
    <w:p w14:paraId="5D550F7A" w14:textId="77777777" w:rsidR="007F6EDD" w:rsidRPr="007F6EDD" w:rsidRDefault="007F6EDD" w:rsidP="007F6EDD">
      <w:pPr>
        <w:pStyle w:val="Heading6"/>
      </w:pPr>
      <w:r w:rsidRPr="007F6EDD">
        <w:rPr>
          <w:rFonts w:eastAsiaTheme="minorHAnsi"/>
        </w:rPr>
        <w:t>Proportion of patients with treatment failure</w:t>
      </w:r>
    </w:p>
    <w:p w14:paraId="233FA486" w14:textId="77777777" w:rsidR="007F6EDD" w:rsidRDefault="007F6EDD" w:rsidP="007F6EDD">
      <w:pPr>
        <w:rPr>
          <w:lang w:eastAsia="ja-JP"/>
        </w:rPr>
      </w:pPr>
      <w:r w:rsidRPr="0055041E">
        <w:rPr>
          <w:lang w:eastAsia="ja-JP"/>
        </w:rPr>
        <w:t xml:space="preserve">One patient in the bosentan group had treatment failure due to the need for </w:t>
      </w:r>
      <w:r w:rsidRPr="005F754D">
        <w:rPr>
          <w:lang w:eastAsia="ja-JP"/>
        </w:rPr>
        <w:t>ECMO (</w:t>
      </w:r>
      <w:r w:rsidR="005F754D" w:rsidRPr="005F754D">
        <w:rPr>
          <w:lang w:eastAsia="ja-JP"/>
        </w:rPr>
        <w:t>Table 23</w:t>
      </w:r>
      <w:r w:rsidRPr="005F754D">
        <w:rPr>
          <w:lang w:eastAsia="ja-JP"/>
        </w:rPr>
        <w:t>).</w:t>
      </w:r>
      <w:r w:rsidRPr="0055041E">
        <w:rPr>
          <w:lang w:eastAsia="ja-JP"/>
        </w:rPr>
        <w:t xml:space="preserve"> This patient with PPHN due to</w:t>
      </w:r>
      <w:r>
        <w:rPr>
          <w:lang w:eastAsia="ja-JP"/>
        </w:rPr>
        <w:t xml:space="preserve"> </w:t>
      </w:r>
      <w:r w:rsidRPr="0055041E">
        <w:rPr>
          <w:lang w:eastAsia="ja-JP"/>
        </w:rPr>
        <w:t>parenchymal lung disease (neonatal aspiration) had been on iNO therapy for 8 h</w:t>
      </w:r>
      <w:r w:rsidR="009C6335">
        <w:rPr>
          <w:lang w:eastAsia="ja-JP"/>
        </w:rPr>
        <w:t>ours</w:t>
      </w:r>
      <w:r w:rsidRPr="0055041E">
        <w:rPr>
          <w:lang w:eastAsia="ja-JP"/>
        </w:rPr>
        <w:t xml:space="preserve"> at </w:t>
      </w:r>
      <w:r w:rsidR="0066478A">
        <w:rPr>
          <w:lang w:eastAsia="ja-JP"/>
        </w:rPr>
        <w:t>study</w:t>
      </w:r>
      <w:r>
        <w:rPr>
          <w:lang w:eastAsia="ja-JP"/>
        </w:rPr>
        <w:t xml:space="preserve"> </w:t>
      </w:r>
      <w:r w:rsidRPr="0055041E">
        <w:rPr>
          <w:lang w:eastAsia="ja-JP"/>
        </w:rPr>
        <w:t>drug start. During this period, OI</w:t>
      </w:r>
      <w:r>
        <w:rPr>
          <w:lang w:eastAsia="ja-JP"/>
        </w:rPr>
        <w:t xml:space="preserve"> </w:t>
      </w:r>
      <w:r w:rsidRPr="0055041E">
        <w:rPr>
          <w:lang w:eastAsia="ja-JP"/>
        </w:rPr>
        <w:t xml:space="preserve">decreased from 22 to 16 and reached the value of 14 before </w:t>
      </w:r>
      <w:r w:rsidR="0066478A">
        <w:rPr>
          <w:lang w:eastAsia="ja-JP"/>
        </w:rPr>
        <w:t>study</w:t>
      </w:r>
      <w:r w:rsidRPr="0055041E">
        <w:rPr>
          <w:lang w:eastAsia="ja-JP"/>
        </w:rPr>
        <w:t xml:space="preserve"> drug start. Treatment failure was declared 9 h</w:t>
      </w:r>
      <w:r w:rsidR="009C6335">
        <w:rPr>
          <w:lang w:eastAsia="ja-JP"/>
        </w:rPr>
        <w:t>ours</w:t>
      </w:r>
      <w:r>
        <w:rPr>
          <w:lang w:eastAsia="ja-JP"/>
        </w:rPr>
        <w:t xml:space="preserve"> </w:t>
      </w:r>
      <w:r w:rsidRPr="0055041E">
        <w:rPr>
          <w:lang w:eastAsia="ja-JP"/>
        </w:rPr>
        <w:t xml:space="preserve">after the first bosentan dose. The </w:t>
      </w:r>
      <w:r w:rsidR="009C6335">
        <w:rPr>
          <w:lang w:eastAsia="ja-JP"/>
        </w:rPr>
        <w:t xml:space="preserve">patient recovered within the 60 </w:t>
      </w:r>
      <w:r w:rsidRPr="0055041E">
        <w:rPr>
          <w:lang w:eastAsia="ja-JP"/>
        </w:rPr>
        <w:t>day follow-up period.</w:t>
      </w:r>
    </w:p>
    <w:p w14:paraId="5B975D0E" w14:textId="77777777" w:rsidR="007F6EDD" w:rsidRDefault="007F6EDD" w:rsidP="007F6EDD">
      <w:pPr>
        <w:pStyle w:val="Tabletitle"/>
      </w:pPr>
      <w:bookmarkStart w:id="178" w:name="_Ref463536743"/>
      <w:bookmarkStart w:id="179" w:name="_Toc473884067"/>
      <w:r w:rsidRPr="005F754D">
        <w:t xml:space="preserve">Table </w:t>
      </w:r>
      <w:bookmarkEnd w:id="178"/>
      <w:r w:rsidR="005F754D" w:rsidRPr="005F754D">
        <w:t>2</w:t>
      </w:r>
      <w:r w:rsidR="005F754D">
        <w:t>3:</w:t>
      </w:r>
      <w:r>
        <w:t xml:space="preserve"> FUTURE-4 Summary of treatment failure, full analysis set</w:t>
      </w:r>
      <w:bookmarkEnd w:id="179"/>
    </w:p>
    <w:p w14:paraId="58D9BAA6" w14:textId="77777777" w:rsidR="00EE37DE" w:rsidRDefault="007F6EDD" w:rsidP="00C22678">
      <w:pPr>
        <w:rPr>
          <w:lang w:eastAsia="ja-JP"/>
        </w:rPr>
      </w:pPr>
      <w:r>
        <w:rPr>
          <w:noProof/>
          <w:lang w:eastAsia="en-AU"/>
        </w:rPr>
        <w:drawing>
          <wp:inline distT="0" distB="0" distL="0" distR="0" wp14:anchorId="3C70FE8F" wp14:editId="55E28565">
            <wp:extent cx="5619750" cy="2219325"/>
            <wp:effectExtent l="0" t="0" r="0" b="9525"/>
            <wp:docPr id="35" name="Picture 35" descr="Table 23: FUTURE-4 Summary of treatment failure,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19750" cy="2219325"/>
                    </a:xfrm>
                    <a:prstGeom prst="rect">
                      <a:avLst/>
                    </a:prstGeom>
                  </pic:spPr>
                </pic:pic>
              </a:graphicData>
            </a:graphic>
          </wp:inline>
        </w:drawing>
      </w:r>
    </w:p>
    <w:p w14:paraId="33DA66F8" w14:textId="77777777" w:rsidR="007F6EDD" w:rsidRPr="007F6EDD" w:rsidRDefault="007F6EDD" w:rsidP="007F6EDD">
      <w:pPr>
        <w:pStyle w:val="Heading6"/>
      </w:pPr>
      <w:r w:rsidRPr="007F6EDD">
        <w:t>Time to complete weaning from iNO</w:t>
      </w:r>
    </w:p>
    <w:p w14:paraId="5CAD0AD0" w14:textId="77777777" w:rsidR="007F6EDD" w:rsidRDefault="007F6EDD" w:rsidP="007F6EDD">
      <w:pPr>
        <w:rPr>
          <w:lang w:eastAsia="ja-JP"/>
        </w:rPr>
      </w:pPr>
      <w:r w:rsidRPr="0055041E">
        <w:rPr>
          <w:lang w:eastAsia="ja-JP"/>
        </w:rPr>
        <w:t>The median time to complete weaning from iNO was 3.7 days (95% CLs 1.17, 6.95 days)</w:t>
      </w:r>
      <w:r>
        <w:rPr>
          <w:lang w:eastAsia="ja-JP"/>
        </w:rPr>
        <w:t xml:space="preserve"> </w:t>
      </w:r>
      <w:r w:rsidRPr="0055041E">
        <w:rPr>
          <w:lang w:eastAsia="ja-JP"/>
        </w:rPr>
        <w:t xml:space="preserve">on bosentan and 2.9 days (95% </w:t>
      </w:r>
      <w:r>
        <w:rPr>
          <w:lang w:eastAsia="ja-JP"/>
        </w:rPr>
        <w:t xml:space="preserve">CLs 1.26, 4.23 days) on </w:t>
      </w:r>
      <w:r w:rsidRPr="008806DA">
        <w:rPr>
          <w:lang w:eastAsia="ja-JP"/>
        </w:rPr>
        <w:t>placebo (</w:t>
      </w:r>
      <w:r w:rsidR="008806DA" w:rsidRPr="008806DA">
        <w:rPr>
          <w:lang w:eastAsia="ja-JP"/>
        </w:rPr>
        <w:t>Figure 15</w:t>
      </w:r>
      <w:r w:rsidRPr="008806DA">
        <w:rPr>
          <w:lang w:eastAsia="ja-JP"/>
        </w:rPr>
        <w:t>).</w:t>
      </w:r>
    </w:p>
    <w:p w14:paraId="7584BBC7" w14:textId="77777777" w:rsidR="007F6EDD" w:rsidRPr="0055041E" w:rsidRDefault="007F6EDD" w:rsidP="007F6EDD">
      <w:pPr>
        <w:pStyle w:val="FigureTitle"/>
      </w:pPr>
      <w:bookmarkStart w:id="180" w:name="_Ref463536995"/>
      <w:bookmarkStart w:id="181" w:name="_Toc473884166"/>
      <w:r w:rsidRPr="008806DA">
        <w:t xml:space="preserve">Figure </w:t>
      </w:r>
      <w:bookmarkEnd w:id="180"/>
      <w:r w:rsidR="008806DA" w:rsidRPr="008806DA">
        <w:t>15:</w:t>
      </w:r>
      <w:r w:rsidRPr="008806DA">
        <w:t xml:space="preserve"> FUTURE-4 Time to complete weaning from iNO, full analysis set</w:t>
      </w:r>
      <w:bookmarkEnd w:id="181"/>
    </w:p>
    <w:p w14:paraId="0024C8EB" w14:textId="77777777" w:rsidR="00EE37DE" w:rsidRDefault="007F6EDD" w:rsidP="00C22678">
      <w:pPr>
        <w:rPr>
          <w:lang w:eastAsia="ja-JP"/>
        </w:rPr>
      </w:pPr>
      <w:r>
        <w:rPr>
          <w:noProof/>
          <w:lang w:eastAsia="en-AU"/>
        </w:rPr>
        <w:drawing>
          <wp:inline distT="0" distB="0" distL="0" distR="0" wp14:anchorId="6E245E89" wp14:editId="044BAEBA">
            <wp:extent cx="4629150" cy="3295650"/>
            <wp:effectExtent l="0" t="0" r="0" b="0"/>
            <wp:docPr id="36" name="Picture 36" descr="Figure 15: FUTURE-4 Time to complete weaning from iNO,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4629150" cy="3295650"/>
                    </a:xfrm>
                    <a:prstGeom prst="rect">
                      <a:avLst/>
                    </a:prstGeom>
                  </pic:spPr>
                </pic:pic>
              </a:graphicData>
            </a:graphic>
          </wp:inline>
        </w:drawing>
      </w:r>
    </w:p>
    <w:p w14:paraId="1E3C8A28" w14:textId="77777777" w:rsidR="008E37BD" w:rsidRPr="008E37BD" w:rsidRDefault="008E37BD" w:rsidP="008E37BD">
      <w:pPr>
        <w:pStyle w:val="Heading6"/>
      </w:pPr>
      <w:r w:rsidRPr="008E37BD">
        <w:lastRenderedPageBreak/>
        <w:t>Time to weaning from mechanical ventilation</w:t>
      </w:r>
    </w:p>
    <w:p w14:paraId="138CEF83" w14:textId="77777777" w:rsidR="008E37BD" w:rsidRDefault="008E37BD" w:rsidP="008E37BD">
      <w:pPr>
        <w:rPr>
          <w:lang w:eastAsia="ja-JP"/>
        </w:rPr>
      </w:pPr>
      <w:r w:rsidRPr="0055041E">
        <w:rPr>
          <w:lang w:eastAsia="ja-JP"/>
        </w:rPr>
        <w:t>The median time to complete weaning from mechanical ventilation was 10.8 days</w:t>
      </w:r>
      <w:r>
        <w:rPr>
          <w:lang w:eastAsia="ja-JP"/>
        </w:rPr>
        <w:t xml:space="preserve"> </w:t>
      </w:r>
      <w:r w:rsidRPr="0055041E">
        <w:rPr>
          <w:lang w:eastAsia="ja-JP"/>
        </w:rPr>
        <w:t>(95% CLs 3.21, 12.21 days) on bosentan and 8.6 days (95% CLs 3.71, 9.66 days) on</w:t>
      </w:r>
      <w:r>
        <w:rPr>
          <w:lang w:eastAsia="ja-JP"/>
        </w:rPr>
        <w:t xml:space="preserve"> </w:t>
      </w:r>
      <w:r w:rsidRPr="008806DA">
        <w:rPr>
          <w:lang w:eastAsia="ja-JP"/>
        </w:rPr>
        <w:t>placebo (</w:t>
      </w:r>
      <w:r w:rsidR="008806DA" w:rsidRPr="008806DA">
        <w:rPr>
          <w:lang w:eastAsia="ja-JP"/>
        </w:rPr>
        <w:t>Figure</w:t>
      </w:r>
      <w:r w:rsidR="008806DA">
        <w:rPr>
          <w:lang w:eastAsia="ja-JP"/>
        </w:rPr>
        <w:t xml:space="preserve"> 16</w:t>
      </w:r>
      <w:r>
        <w:rPr>
          <w:lang w:eastAsia="ja-JP"/>
        </w:rPr>
        <w:t>)</w:t>
      </w:r>
      <w:r w:rsidRPr="0055041E">
        <w:rPr>
          <w:lang w:eastAsia="ja-JP"/>
        </w:rPr>
        <w:t xml:space="preserve">. One </w:t>
      </w:r>
      <w:r w:rsidR="00A5161C">
        <w:rPr>
          <w:lang w:eastAsia="ja-JP"/>
        </w:rPr>
        <w:t>bosentan treated</w:t>
      </w:r>
      <w:r w:rsidRPr="0055041E">
        <w:rPr>
          <w:lang w:eastAsia="ja-JP"/>
        </w:rPr>
        <w:t xml:space="preserve"> patient was still on mechanical ventilation at EOS.</w:t>
      </w:r>
    </w:p>
    <w:p w14:paraId="20CD2153" w14:textId="77777777" w:rsidR="001F7896" w:rsidRDefault="008806DA" w:rsidP="001F7896">
      <w:pPr>
        <w:pStyle w:val="FigureTitle"/>
        <w:rPr>
          <w:lang w:eastAsia="ja-JP"/>
        </w:rPr>
      </w:pPr>
      <w:bookmarkStart w:id="182" w:name="_Toc473884167"/>
      <w:r>
        <w:t xml:space="preserve">Figure 16: </w:t>
      </w:r>
      <w:r w:rsidR="001F7896">
        <w:t>FUTURE-4 Time to complete weaning from mechanical ventilation, full analysis set</w:t>
      </w:r>
      <w:bookmarkEnd w:id="182"/>
    </w:p>
    <w:p w14:paraId="7884317C" w14:textId="77777777" w:rsidR="00EE37DE" w:rsidRDefault="001F7896" w:rsidP="00C22678">
      <w:pPr>
        <w:rPr>
          <w:lang w:eastAsia="ja-JP"/>
        </w:rPr>
      </w:pPr>
      <w:r>
        <w:rPr>
          <w:noProof/>
          <w:lang w:eastAsia="en-AU"/>
        </w:rPr>
        <w:drawing>
          <wp:inline distT="0" distB="0" distL="0" distR="0" wp14:anchorId="667AB9E9" wp14:editId="0D3AFD29">
            <wp:extent cx="4838700" cy="3409950"/>
            <wp:effectExtent l="0" t="0" r="0" b="0"/>
            <wp:docPr id="37" name="Picture 37" descr="Figure 16: FUTURE-4 Time to complete weaning from mechanical ventilation,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838700" cy="3409950"/>
                    </a:xfrm>
                    <a:prstGeom prst="rect">
                      <a:avLst/>
                    </a:prstGeom>
                  </pic:spPr>
                </pic:pic>
              </a:graphicData>
            </a:graphic>
          </wp:inline>
        </w:drawing>
      </w:r>
    </w:p>
    <w:p w14:paraId="026B5511" w14:textId="77777777" w:rsidR="001F7896" w:rsidRPr="001F7896" w:rsidRDefault="001F7896" w:rsidP="001F7896">
      <w:pPr>
        <w:pStyle w:val="Heading6"/>
      </w:pPr>
      <w:r w:rsidRPr="001F7896">
        <w:t>Post-hoc analyses on weaning related primary endpoints</w:t>
      </w:r>
    </w:p>
    <w:p w14:paraId="6AAB19C1" w14:textId="77777777" w:rsidR="001F7896" w:rsidRDefault="001F7896" w:rsidP="001F7896">
      <w:pPr>
        <w:rPr>
          <w:lang w:eastAsia="ja-JP"/>
        </w:rPr>
      </w:pPr>
      <w:r>
        <w:rPr>
          <w:lang w:eastAsia="ja-JP"/>
        </w:rPr>
        <w:t>Three</w:t>
      </w:r>
      <w:r w:rsidRPr="0055041E">
        <w:rPr>
          <w:lang w:eastAsia="ja-JP"/>
        </w:rPr>
        <w:t xml:space="preserve"> patients randomi</w:t>
      </w:r>
      <w:r>
        <w:rPr>
          <w:lang w:eastAsia="ja-JP"/>
        </w:rPr>
        <w:t>s</w:t>
      </w:r>
      <w:r w:rsidRPr="0055041E">
        <w:rPr>
          <w:lang w:eastAsia="ja-JP"/>
        </w:rPr>
        <w:t>ed to bosentan had</w:t>
      </w:r>
      <w:r>
        <w:rPr>
          <w:lang w:eastAsia="ja-JP"/>
        </w:rPr>
        <w:t xml:space="preserve"> </w:t>
      </w:r>
      <w:r w:rsidRPr="0055041E">
        <w:rPr>
          <w:lang w:eastAsia="ja-JP"/>
        </w:rPr>
        <w:t>longer iNO and mechanical ventilation weaning times than all other patients, resulting in</w:t>
      </w:r>
      <w:r>
        <w:rPr>
          <w:lang w:eastAsia="ja-JP"/>
        </w:rPr>
        <w:t xml:space="preserve"> </w:t>
      </w:r>
      <w:r w:rsidRPr="0055041E">
        <w:rPr>
          <w:lang w:eastAsia="ja-JP"/>
        </w:rPr>
        <w:t xml:space="preserve">longer median times to weaning in the bosentan </w:t>
      </w:r>
      <w:r>
        <w:rPr>
          <w:lang w:eastAsia="ja-JP"/>
        </w:rPr>
        <w:t xml:space="preserve">group. </w:t>
      </w:r>
      <w:r w:rsidRPr="0055041E">
        <w:rPr>
          <w:lang w:eastAsia="ja-JP"/>
        </w:rPr>
        <w:t xml:space="preserve">Additional </w:t>
      </w:r>
      <w:r w:rsidRPr="002F2695">
        <w:rPr>
          <w:iCs/>
          <w:lang w:eastAsia="ja-JP"/>
        </w:rPr>
        <w:t>post-hoc</w:t>
      </w:r>
      <w:r w:rsidRPr="0055041E">
        <w:rPr>
          <w:i/>
          <w:iCs/>
          <w:lang w:eastAsia="ja-JP"/>
        </w:rPr>
        <w:t xml:space="preserve"> </w:t>
      </w:r>
      <w:r w:rsidRPr="0055041E">
        <w:rPr>
          <w:lang w:eastAsia="ja-JP"/>
        </w:rPr>
        <w:t>analyses using Cox proportional hazard models were performed to</w:t>
      </w:r>
      <w:r>
        <w:rPr>
          <w:lang w:eastAsia="ja-JP"/>
        </w:rPr>
        <w:t xml:space="preserve"> </w:t>
      </w:r>
      <w:r w:rsidRPr="0055041E">
        <w:rPr>
          <w:lang w:eastAsia="ja-JP"/>
        </w:rPr>
        <w:t xml:space="preserve">determine whether selected baseline factors influenced the </w:t>
      </w:r>
      <w:r>
        <w:rPr>
          <w:lang w:eastAsia="ja-JP"/>
        </w:rPr>
        <w:t xml:space="preserve">results for </w:t>
      </w:r>
      <w:r w:rsidRPr="0055041E">
        <w:rPr>
          <w:lang w:eastAsia="ja-JP"/>
        </w:rPr>
        <w:t>weaning-related p</w:t>
      </w:r>
      <w:r>
        <w:rPr>
          <w:lang w:eastAsia="ja-JP"/>
        </w:rPr>
        <w:t xml:space="preserve">rimary outcomes. </w:t>
      </w:r>
      <w:r w:rsidRPr="0055041E">
        <w:rPr>
          <w:lang w:eastAsia="ja-JP"/>
        </w:rPr>
        <w:t>Baseline OI was strongly related to the time to weaning from iNO (p</w:t>
      </w:r>
      <w:r w:rsidR="00A5161C">
        <w:rPr>
          <w:lang w:eastAsia="ja-JP"/>
        </w:rPr>
        <w:t xml:space="preserve"> </w:t>
      </w:r>
      <w:r w:rsidR="00E77015">
        <w:rPr>
          <w:lang w:eastAsia="ja-JP"/>
        </w:rPr>
        <w:t>=</w:t>
      </w:r>
      <w:r w:rsidR="00A5161C">
        <w:rPr>
          <w:lang w:eastAsia="ja-JP"/>
        </w:rPr>
        <w:t xml:space="preserve"> </w:t>
      </w:r>
      <w:r w:rsidRPr="0055041E">
        <w:rPr>
          <w:lang w:eastAsia="ja-JP"/>
        </w:rPr>
        <w:t>0.007) and</w:t>
      </w:r>
      <w:r>
        <w:rPr>
          <w:lang w:eastAsia="ja-JP"/>
        </w:rPr>
        <w:t xml:space="preserve"> </w:t>
      </w:r>
      <w:r w:rsidRPr="0055041E">
        <w:rPr>
          <w:lang w:eastAsia="ja-JP"/>
        </w:rPr>
        <w:t xml:space="preserve">influenced the </w:t>
      </w:r>
      <w:r>
        <w:rPr>
          <w:lang w:eastAsia="ja-JP"/>
        </w:rPr>
        <w:t>results</w:t>
      </w:r>
      <w:r w:rsidRPr="0055041E">
        <w:rPr>
          <w:lang w:eastAsia="ja-JP"/>
        </w:rPr>
        <w:t xml:space="preserve"> as shown by the change in the treatment effect hazard</w:t>
      </w:r>
      <w:r>
        <w:rPr>
          <w:lang w:eastAsia="ja-JP"/>
        </w:rPr>
        <w:t xml:space="preserve"> </w:t>
      </w:r>
      <w:r w:rsidRPr="0055041E">
        <w:rPr>
          <w:lang w:eastAsia="ja-JP"/>
        </w:rPr>
        <w:t>ratio</w:t>
      </w:r>
      <w:r>
        <w:rPr>
          <w:lang w:eastAsia="ja-JP"/>
        </w:rPr>
        <w:t xml:space="preserve"> (HR)</w:t>
      </w:r>
      <w:r w:rsidRPr="0055041E">
        <w:rPr>
          <w:lang w:eastAsia="ja-JP"/>
        </w:rPr>
        <w:t xml:space="preserve"> from the treatment only model (</w:t>
      </w:r>
      <w:r>
        <w:rPr>
          <w:lang w:eastAsia="ja-JP"/>
        </w:rPr>
        <w:t>HR</w:t>
      </w:r>
      <w:r w:rsidR="00A5161C">
        <w:rPr>
          <w:lang w:eastAsia="ja-JP"/>
        </w:rPr>
        <w:t xml:space="preserve"> </w:t>
      </w:r>
      <w:r w:rsidR="00E77015">
        <w:rPr>
          <w:lang w:eastAsia="ja-JP"/>
        </w:rPr>
        <w:t>=</w:t>
      </w:r>
      <w:r w:rsidR="00A5161C">
        <w:rPr>
          <w:lang w:eastAsia="ja-JP"/>
        </w:rPr>
        <w:t xml:space="preserve"> </w:t>
      </w:r>
      <w:r w:rsidRPr="0055041E">
        <w:rPr>
          <w:lang w:eastAsia="ja-JP"/>
        </w:rPr>
        <w:t>0.63) to the multivariate model</w:t>
      </w:r>
      <w:r>
        <w:rPr>
          <w:lang w:eastAsia="ja-JP"/>
        </w:rPr>
        <w:t xml:space="preserve"> </w:t>
      </w:r>
      <w:r w:rsidRPr="0055041E">
        <w:rPr>
          <w:lang w:eastAsia="ja-JP"/>
        </w:rPr>
        <w:t>containing treatment and ba</w:t>
      </w:r>
      <w:r>
        <w:rPr>
          <w:lang w:eastAsia="ja-JP"/>
        </w:rPr>
        <w:t>seline OI (HR</w:t>
      </w:r>
      <w:r w:rsidR="00A5161C">
        <w:rPr>
          <w:lang w:eastAsia="ja-JP"/>
        </w:rPr>
        <w:t xml:space="preserve"> </w:t>
      </w:r>
      <w:r w:rsidR="00E77015">
        <w:rPr>
          <w:lang w:eastAsia="ja-JP"/>
        </w:rPr>
        <w:t>=</w:t>
      </w:r>
      <w:r w:rsidR="00A5161C">
        <w:rPr>
          <w:lang w:eastAsia="ja-JP"/>
        </w:rPr>
        <w:t xml:space="preserve"> </w:t>
      </w:r>
      <w:r>
        <w:rPr>
          <w:lang w:eastAsia="ja-JP"/>
        </w:rPr>
        <w:t>1.03)</w:t>
      </w:r>
      <w:r w:rsidRPr="0055041E">
        <w:rPr>
          <w:lang w:eastAsia="ja-JP"/>
        </w:rPr>
        <w:t>. High baseline OI</w:t>
      </w:r>
      <w:r>
        <w:rPr>
          <w:lang w:eastAsia="ja-JP"/>
        </w:rPr>
        <w:t xml:space="preserve"> </w:t>
      </w:r>
      <w:r w:rsidRPr="0055041E">
        <w:rPr>
          <w:lang w:eastAsia="ja-JP"/>
        </w:rPr>
        <w:t>values were more frequent in patients treated with bosentan than placebo. The</w:t>
      </w:r>
      <w:r>
        <w:rPr>
          <w:lang w:eastAsia="ja-JP"/>
        </w:rPr>
        <w:t xml:space="preserve"> </w:t>
      </w:r>
      <w:r w:rsidR="007C6D8D">
        <w:rPr>
          <w:lang w:eastAsia="ja-JP"/>
        </w:rPr>
        <w:t>sponsor</w:t>
      </w:r>
      <w:r>
        <w:rPr>
          <w:lang w:eastAsia="ja-JP"/>
        </w:rPr>
        <w:t xml:space="preserve"> states that the</w:t>
      </w:r>
      <w:r w:rsidRPr="0055041E">
        <w:rPr>
          <w:lang w:eastAsia="ja-JP"/>
        </w:rPr>
        <w:t xml:space="preserve"> results</w:t>
      </w:r>
      <w:r>
        <w:rPr>
          <w:lang w:eastAsia="ja-JP"/>
        </w:rPr>
        <w:t xml:space="preserve"> </w:t>
      </w:r>
      <w:r w:rsidRPr="0055041E">
        <w:rPr>
          <w:lang w:eastAsia="ja-JP"/>
        </w:rPr>
        <w:t>suggest baseline OI had an influence on the comparison for the primary</w:t>
      </w:r>
      <w:r>
        <w:rPr>
          <w:lang w:eastAsia="ja-JP"/>
        </w:rPr>
        <w:t xml:space="preserve"> </w:t>
      </w:r>
      <w:r w:rsidRPr="0055041E">
        <w:rPr>
          <w:lang w:eastAsia="ja-JP"/>
        </w:rPr>
        <w:t>iNO weaning endpoint. No other factors examined were found to influence the treatment</w:t>
      </w:r>
      <w:r>
        <w:rPr>
          <w:lang w:eastAsia="ja-JP"/>
        </w:rPr>
        <w:t xml:space="preserve"> </w:t>
      </w:r>
      <w:r w:rsidRPr="0055041E">
        <w:rPr>
          <w:lang w:eastAsia="ja-JP"/>
        </w:rPr>
        <w:t>comparison.</w:t>
      </w:r>
      <w:r>
        <w:rPr>
          <w:lang w:eastAsia="ja-JP"/>
        </w:rPr>
        <w:t xml:space="preserve"> </w:t>
      </w:r>
      <w:r w:rsidRPr="0055041E">
        <w:rPr>
          <w:lang w:eastAsia="ja-JP"/>
        </w:rPr>
        <w:t>The same analyses were performed on the time to weaning from mechanical ventilation</w:t>
      </w:r>
      <w:r>
        <w:rPr>
          <w:lang w:eastAsia="ja-JP"/>
        </w:rPr>
        <w:t xml:space="preserve"> </w:t>
      </w:r>
      <w:r w:rsidRPr="0055041E">
        <w:rPr>
          <w:lang w:eastAsia="ja-JP"/>
        </w:rPr>
        <w:t>primary endpoint but no influence could be attributed to any of the baseline</w:t>
      </w:r>
      <w:r>
        <w:rPr>
          <w:lang w:eastAsia="ja-JP"/>
        </w:rPr>
        <w:t xml:space="preserve"> </w:t>
      </w:r>
      <w:r w:rsidRPr="0055041E">
        <w:rPr>
          <w:lang w:eastAsia="ja-JP"/>
        </w:rPr>
        <w:t xml:space="preserve">factors </w:t>
      </w:r>
      <w:r w:rsidRPr="005F754D">
        <w:rPr>
          <w:lang w:eastAsia="ja-JP"/>
        </w:rPr>
        <w:t>examined (</w:t>
      </w:r>
      <w:r w:rsidR="005F754D" w:rsidRPr="005F754D">
        <w:rPr>
          <w:lang w:eastAsia="ja-JP"/>
        </w:rPr>
        <w:t>Table</w:t>
      </w:r>
      <w:r w:rsidR="005F754D">
        <w:rPr>
          <w:lang w:eastAsia="ja-JP"/>
        </w:rPr>
        <w:t xml:space="preserve"> 24</w:t>
      </w:r>
      <w:r>
        <w:rPr>
          <w:lang w:eastAsia="ja-JP"/>
        </w:rPr>
        <w:t>)</w:t>
      </w:r>
      <w:r w:rsidRPr="0055041E">
        <w:rPr>
          <w:lang w:eastAsia="ja-JP"/>
        </w:rPr>
        <w:t>.</w:t>
      </w:r>
    </w:p>
    <w:p w14:paraId="4108043E" w14:textId="77777777" w:rsidR="001F7896" w:rsidRDefault="001F7896" w:rsidP="001F7896">
      <w:pPr>
        <w:pStyle w:val="Tabletitle"/>
        <w:rPr>
          <w:lang w:eastAsia="ja-JP"/>
        </w:rPr>
      </w:pPr>
      <w:bookmarkStart w:id="183" w:name="_Ref464214501"/>
      <w:bookmarkStart w:id="184" w:name="_Toc473884068"/>
      <w:r w:rsidRPr="005F754D">
        <w:t xml:space="preserve">Table </w:t>
      </w:r>
      <w:bookmarkEnd w:id="183"/>
      <w:r w:rsidR="005F754D" w:rsidRPr="005F754D">
        <w:t>24:</w:t>
      </w:r>
      <w:r w:rsidRPr="005F754D">
        <w:t xml:space="preserve"> FUTURE</w:t>
      </w:r>
      <w:r>
        <w:t>-4 Univariate and multivariate cox proportional hazard models for time to weaning from iNO</w:t>
      </w:r>
      <w:bookmarkEnd w:id="184"/>
    </w:p>
    <w:p w14:paraId="6B97840E" w14:textId="77777777" w:rsidR="00EE37DE" w:rsidRDefault="00DA5EBB" w:rsidP="00C22678">
      <w:pPr>
        <w:rPr>
          <w:lang w:eastAsia="ja-JP"/>
        </w:rPr>
      </w:pPr>
      <w:r>
        <w:rPr>
          <w:noProof/>
          <w:lang w:eastAsia="en-AU"/>
        </w:rPr>
        <w:drawing>
          <wp:inline distT="0" distB="0" distL="0" distR="0" wp14:anchorId="2B0EB562" wp14:editId="6E513FE0">
            <wp:extent cx="5347411" cy="760407"/>
            <wp:effectExtent l="0" t="0" r="5715" b="1905"/>
            <wp:docPr id="38" name="Picture 38" descr="Table 24: FUTURE-4 Univariate and multivariate cox proportional hazard models for time to weaning from 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367425" cy="763253"/>
                    </a:xfrm>
                    <a:prstGeom prst="rect">
                      <a:avLst/>
                    </a:prstGeom>
                  </pic:spPr>
                </pic:pic>
              </a:graphicData>
            </a:graphic>
          </wp:inline>
        </w:drawing>
      </w:r>
    </w:p>
    <w:p w14:paraId="2EB1FC81" w14:textId="77777777" w:rsidR="00DA5EBB" w:rsidRPr="00DA5EBB" w:rsidRDefault="00DA5EBB" w:rsidP="00153B34">
      <w:pPr>
        <w:pStyle w:val="Heading5"/>
        <w:numPr>
          <w:ilvl w:val="3"/>
          <w:numId w:val="14"/>
        </w:numPr>
      </w:pPr>
      <w:r w:rsidRPr="00DA5EBB">
        <w:lastRenderedPageBreak/>
        <w:t>Results for other efficacy outcomes</w:t>
      </w:r>
    </w:p>
    <w:p w14:paraId="7D30BE98" w14:textId="77777777" w:rsidR="00DA5EBB" w:rsidRPr="00DA5EBB" w:rsidRDefault="00DA5EBB" w:rsidP="00DA5EBB">
      <w:pPr>
        <w:pStyle w:val="Heading6"/>
      </w:pPr>
      <w:r w:rsidRPr="00DA5EBB">
        <w:t>Proportion of patients requiring re-initiation of iNO therapy</w:t>
      </w:r>
    </w:p>
    <w:p w14:paraId="520CD656" w14:textId="77777777" w:rsidR="00DA5EBB" w:rsidRDefault="00DA5EBB" w:rsidP="00DA5EBB">
      <w:pPr>
        <w:rPr>
          <w:lang w:eastAsia="ja-JP"/>
        </w:rPr>
      </w:pPr>
      <w:r w:rsidRPr="0055041E">
        <w:rPr>
          <w:lang w:eastAsia="ja-JP"/>
        </w:rPr>
        <w:t>No patients had iNO re-initiated</w:t>
      </w:r>
      <w:r>
        <w:rPr>
          <w:lang w:eastAsia="ja-JP"/>
        </w:rPr>
        <w:t>.</w:t>
      </w:r>
    </w:p>
    <w:p w14:paraId="51878AAA" w14:textId="77777777" w:rsidR="00DA5EBB" w:rsidRPr="00DA5EBB" w:rsidRDefault="00DA5EBB" w:rsidP="00DA5EBB">
      <w:pPr>
        <w:pStyle w:val="Heading6"/>
      </w:pPr>
      <w:r w:rsidRPr="00DA5EBB">
        <w:t>Change in oxygenation index</w:t>
      </w:r>
    </w:p>
    <w:p w14:paraId="57DF8B66" w14:textId="77777777" w:rsidR="00DA5EBB" w:rsidRDefault="00DA5EBB" w:rsidP="00DA5EBB">
      <w:pPr>
        <w:rPr>
          <w:lang w:eastAsia="ja-JP"/>
        </w:rPr>
      </w:pPr>
      <w:r w:rsidRPr="0055041E">
        <w:rPr>
          <w:lang w:eastAsia="ja-JP"/>
        </w:rPr>
        <w:t>The change in OI over time was similar in the bosentan and placebo groups, with both</w:t>
      </w:r>
      <w:r>
        <w:rPr>
          <w:lang w:eastAsia="ja-JP"/>
        </w:rPr>
        <w:t xml:space="preserve"> </w:t>
      </w:r>
      <w:r w:rsidRPr="0055041E">
        <w:rPr>
          <w:lang w:eastAsia="ja-JP"/>
        </w:rPr>
        <w:t xml:space="preserve">groups decreasing to similar median values by </w:t>
      </w:r>
      <w:r w:rsidR="009C6335">
        <w:rPr>
          <w:lang w:eastAsia="ja-JP"/>
        </w:rPr>
        <w:t xml:space="preserve">72 </w:t>
      </w:r>
      <w:r w:rsidR="009C6335" w:rsidRPr="008806DA">
        <w:rPr>
          <w:lang w:eastAsia="ja-JP"/>
        </w:rPr>
        <w:t xml:space="preserve">hours </w:t>
      </w:r>
      <w:r w:rsidRPr="008806DA">
        <w:rPr>
          <w:lang w:eastAsia="ja-JP"/>
        </w:rPr>
        <w:t>(</w:t>
      </w:r>
      <w:r w:rsidR="008806DA" w:rsidRPr="008806DA">
        <w:rPr>
          <w:lang w:eastAsia="ja-JP"/>
        </w:rPr>
        <w:t>Figure 17</w:t>
      </w:r>
      <w:r w:rsidRPr="008806DA">
        <w:rPr>
          <w:lang w:eastAsia="ja-JP"/>
        </w:rPr>
        <w:t>).</w:t>
      </w:r>
    </w:p>
    <w:p w14:paraId="35F3BA9F" w14:textId="77777777" w:rsidR="00DA5EBB" w:rsidRDefault="00DA5EBB" w:rsidP="00DA5EBB">
      <w:pPr>
        <w:pStyle w:val="FigureTitle"/>
        <w:rPr>
          <w:lang w:eastAsia="ja-JP"/>
        </w:rPr>
      </w:pPr>
      <w:bookmarkStart w:id="185" w:name="_Ref463537593"/>
      <w:bookmarkStart w:id="186" w:name="_Toc473884168"/>
      <w:r w:rsidRPr="008806DA">
        <w:t xml:space="preserve">Figure </w:t>
      </w:r>
      <w:bookmarkEnd w:id="185"/>
      <w:r w:rsidR="008806DA" w:rsidRPr="008806DA">
        <w:t>17:</w:t>
      </w:r>
      <w:r w:rsidRPr="008806DA">
        <w:t xml:space="preserve"> FUTURE-4 Median value and 95% CLs over time in OI up to 72</w:t>
      </w:r>
      <w:r w:rsidR="009C6335" w:rsidRPr="008806DA">
        <w:t xml:space="preserve"> </w:t>
      </w:r>
      <w:r w:rsidRPr="008806DA">
        <w:t>h</w:t>
      </w:r>
      <w:r w:rsidR="009C6335" w:rsidRPr="008806DA">
        <w:t>ours (D</w:t>
      </w:r>
      <w:r w:rsidRPr="008806DA">
        <w:t>ay 4),</w:t>
      </w:r>
      <w:r>
        <w:t xml:space="preserve"> full analysis set</w:t>
      </w:r>
      <w:bookmarkEnd w:id="186"/>
    </w:p>
    <w:p w14:paraId="624B352F" w14:textId="77777777" w:rsidR="00EE37DE" w:rsidRDefault="00DA5EBB" w:rsidP="00C22678">
      <w:pPr>
        <w:rPr>
          <w:lang w:eastAsia="ja-JP"/>
        </w:rPr>
      </w:pPr>
      <w:r>
        <w:rPr>
          <w:noProof/>
          <w:lang w:eastAsia="en-AU"/>
        </w:rPr>
        <w:drawing>
          <wp:inline distT="0" distB="0" distL="0" distR="0" wp14:anchorId="3E0C54F5" wp14:editId="7A241A16">
            <wp:extent cx="4915814" cy="2669295"/>
            <wp:effectExtent l="0" t="0" r="0" b="0"/>
            <wp:docPr id="39" name="Picture 39" descr="Figure 17: FUTURE-4 Median value and 95% CLs over time in OI up to 72 hours (Day 4),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918991" cy="2671020"/>
                    </a:xfrm>
                    <a:prstGeom prst="rect">
                      <a:avLst/>
                    </a:prstGeom>
                  </pic:spPr>
                </pic:pic>
              </a:graphicData>
            </a:graphic>
          </wp:inline>
        </w:drawing>
      </w:r>
    </w:p>
    <w:p w14:paraId="7A443A97" w14:textId="77777777" w:rsidR="00DA5EBB" w:rsidRPr="00DA5EBB" w:rsidRDefault="00DA5EBB" w:rsidP="00DA5EBB">
      <w:pPr>
        <w:pStyle w:val="Heading6"/>
      </w:pPr>
      <w:r w:rsidRPr="00DA5EBB">
        <w:t>Change in arterial blood gas variables</w:t>
      </w:r>
    </w:p>
    <w:p w14:paraId="2688AFFD" w14:textId="77777777" w:rsidR="007C6D8D" w:rsidRDefault="00DA5EBB" w:rsidP="00DA5EBB">
      <w:pPr>
        <w:rPr>
          <w:lang w:eastAsia="ja-JP"/>
        </w:rPr>
      </w:pPr>
      <w:r w:rsidRPr="0055041E">
        <w:rPr>
          <w:lang w:eastAsia="ja-JP"/>
        </w:rPr>
        <w:t>ABG variables showed similar changes in median values from baseline over time in</w:t>
      </w:r>
      <w:r>
        <w:rPr>
          <w:lang w:eastAsia="ja-JP"/>
        </w:rPr>
        <w:t xml:space="preserve"> </w:t>
      </w:r>
      <w:r w:rsidRPr="0055041E">
        <w:rPr>
          <w:lang w:eastAsia="ja-JP"/>
        </w:rPr>
        <w:t>the bosentan and placebo groups</w:t>
      </w:r>
      <w:r>
        <w:rPr>
          <w:lang w:eastAsia="ja-JP"/>
        </w:rPr>
        <w:t>.</w:t>
      </w:r>
      <w:r w:rsidRPr="0055041E">
        <w:rPr>
          <w:lang w:eastAsia="ja-JP"/>
        </w:rPr>
        <w:t xml:space="preserve"> </w:t>
      </w:r>
      <w:r>
        <w:rPr>
          <w:lang w:eastAsia="ja-JP"/>
        </w:rPr>
        <w:t>Both groups plateaued</w:t>
      </w:r>
      <w:r w:rsidRPr="0055041E">
        <w:rPr>
          <w:lang w:eastAsia="ja-JP"/>
        </w:rPr>
        <w:t xml:space="preserve"> at </w:t>
      </w:r>
      <w:r w:rsidR="00A5161C">
        <w:rPr>
          <w:lang w:eastAsia="ja-JP"/>
        </w:rPr>
        <w:t>24 hours</w:t>
      </w:r>
      <w:r w:rsidR="00E97B2B">
        <w:rPr>
          <w:lang w:eastAsia="ja-JP"/>
        </w:rPr>
        <w:t xml:space="preserve"> and retained</w:t>
      </w:r>
      <w:r w:rsidRPr="0055041E">
        <w:rPr>
          <w:lang w:eastAsia="ja-JP"/>
        </w:rPr>
        <w:t xml:space="preserve"> almost</w:t>
      </w:r>
      <w:r>
        <w:rPr>
          <w:lang w:eastAsia="ja-JP"/>
        </w:rPr>
        <w:t xml:space="preserve"> </w:t>
      </w:r>
      <w:r w:rsidRPr="0055041E">
        <w:rPr>
          <w:lang w:eastAsia="ja-JP"/>
        </w:rPr>
        <w:t>identical median values out to 72 h</w:t>
      </w:r>
      <w:r w:rsidR="009C6335">
        <w:rPr>
          <w:lang w:eastAsia="ja-JP"/>
        </w:rPr>
        <w:t>ours</w:t>
      </w:r>
      <w:r w:rsidR="007C6D8D">
        <w:rPr>
          <w:lang w:eastAsia="ja-JP"/>
        </w:rPr>
        <w:t>.</w:t>
      </w:r>
    </w:p>
    <w:p w14:paraId="64D43D92" w14:textId="77777777" w:rsidR="00DA5EBB" w:rsidRPr="00DA5EBB" w:rsidRDefault="00DA5EBB" w:rsidP="00DA5EBB">
      <w:pPr>
        <w:pStyle w:val="Heading6"/>
      </w:pPr>
      <w:r w:rsidRPr="00DA5EBB">
        <w:t xml:space="preserve">Change in Sp02, </w:t>
      </w:r>
      <w:r w:rsidR="00A5161C" w:rsidRPr="00102528">
        <w:t>FiO</w:t>
      </w:r>
      <w:r w:rsidR="00A5161C" w:rsidRPr="00A5161C">
        <w:rPr>
          <w:vertAlign w:val="subscript"/>
        </w:rPr>
        <w:t>2</w:t>
      </w:r>
      <w:r w:rsidRPr="00DA5EBB">
        <w:t xml:space="preserve"> and AaDO2</w:t>
      </w:r>
    </w:p>
    <w:p w14:paraId="3D4B00E0" w14:textId="77777777" w:rsidR="007C6D8D" w:rsidRDefault="00DA5EBB" w:rsidP="00DA5EBB">
      <w:r>
        <w:t>The changes from baseline in SpO</w:t>
      </w:r>
      <w:r>
        <w:rPr>
          <w:sz w:val="16"/>
          <w:szCs w:val="16"/>
        </w:rPr>
        <w:t>2</w:t>
      </w:r>
      <w:r>
        <w:t xml:space="preserve">, </w:t>
      </w:r>
      <w:r w:rsidR="00A5161C" w:rsidRPr="00102528">
        <w:t>FiO</w:t>
      </w:r>
      <w:r w:rsidR="00A5161C" w:rsidRPr="00A5161C">
        <w:rPr>
          <w:vertAlign w:val="subscript"/>
        </w:rPr>
        <w:t>2</w:t>
      </w:r>
      <w:r>
        <w:rPr>
          <w:sz w:val="16"/>
          <w:szCs w:val="16"/>
        </w:rPr>
        <w:t xml:space="preserve"> </w:t>
      </w:r>
      <w:r>
        <w:t>and AaDO</w:t>
      </w:r>
      <w:r>
        <w:rPr>
          <w:sz w:val="16"/>
          <w:szCs w:val="16"/>
        </w:rPr>
        <w:t xml:space="preserve">2 </w:t>
      </w:r>
      <w:r>
        <w:t xml:space="preserve">over time up to </w:t>
      </w:r>
      <w:r w:rsidR="009C6335">
        <w:t xml:space="preserve">72 hours </w:t>
      </w:r>
      <w:r>
        <w:t>(Day 4) were similar in the bosentan and placebo groups</w:t>
      </w:r>
      <w:r w:rsidR="007C6D8D">
        <w:t>.</w:t>
      </w:r>
    </w:p>
    <w:p w14:paraId="016D6E5D" w14:textId="77777777" w:rsidR="00DA5EBB" w:rsidRPr="00DA5EBB" w:rsidRDefault="00DA5EBB" w:rsidP="00DA5EBB">
      <w:pPr>
        <w:pStyle w:val="Heading6"/>
      </w:pPr>
      <w:r w:rsidRPr="00DA5EBB">
        <w:t>Presence of pulmonary hypertension</w:t>
      </w:r>
    </w:p>
    <w:p w14:paraId="5E2FA938" w14:textId="77777777" w:rsidR="007C6D8D" w:rsidRDefault="00DA5EBB" w:rsidP="00DA5EBB">
      <w:pPr>
        <w:rPr>
          <w:highlight w:val="yellow"/>
        </w:rPr>
      </w:pPr>
      <w:r w:rsidRPr="00C724B8">
        <w:t>The</w:t>
      </w:r>
      <w:r>
        <w:t xml:space="preserve"> proportion of patients with PH</w:t>
      </w:r>
      <w:r w:rsidRPr="00C724B8">
        <w:t xml:space="preserve"> at EOT</w:t>
      </w:r>
      <w:r>
        <w:t xml:space="preserve"> </w:t>
      </w:r>
      <w:r w:rsidRPr="00C724B8">
        <w:t>was similar in the bosentan (41.7%) and placebo groups (37.5%)</w:t>
      </w:r>
      <w:r>
        <w:t xml:space="preserve"> </w:t>
      </w:r>
      <w:r w:rsidRPr="005F754D">
        <w:t>(</w:t>
      </w:r>
      <w:r w:rsidR="005F754D" w:rsidRPr="005F754D">
        <w:t>Table 25</w:t>
      </w:r>
      <w:r w:rsidRPr="005F754D">
        <w:t>)</w:t>
      </w:r>
      <w:r w:rsidR="007C6D8D" w:rsidRPr="005F754D">
        <w:t>.</w:t>
      </w:r>
    </w:p>
    <w:p w14:paraId="657BB577" w14:textId="77777777" w:rsidR="00DA5EBB" w:rsidRDefault="00DA5EBB" w:rsidP="00DA5EBB">
      <w:pPr>
        <w:pStyle w:val="Tabletitle"/>
      </w:pPr>
      <w:bookmarkStart w:id="187" w:name="_Ref464215443"/>
      <w:bookmarkStart w:id="188" w:name="_Toc473884069"/>
      <w:r w:rsidRPr="005F754D">
        <w:lastRenderedPageBreak/>
        <w:t xml:space="preserve">Table </w:t>
      </w:r>
      <w:bookmarkEnd w:id="187"/>
      <w:r w:rsidR="005F754D" w:rsidRPr="005F754D">
        <w:t>25:</w:t>
      </w:r>
      <w:r w:rsidR="005F754D">
        <w:t xml:space="preserve"> </w:t>
      </w:r>
      <w:r>
        <w:t>FUTURE-4 Summary of presence of PH at EOT, full analysis set</w:t>
      </w:r>
      <w:bookmarkEnd w:id="188"/>
    </w:p>
    <w:p w14:paraId="55ED7FA7" w14:textId="77777777" w:rsidR="00EE37DE" w:rsidRDefault="00DA5EBB" w:rsidP="00C22678">
      <w:pPr>
        <w:rPr>
          <w:lang w:eastAsia="ja-JP"/>
        </w:rPr>
      </w:pPr>
      <w:r>
        <w:rPr>
          <w:noProof/>
          <w:lang w:eastAsia="en-AU"/>
        </w:rPr>
        <w:drawing>
          <wp:inline distT="0" distB="0" distL="0" distR="0" wp14:anchorId="5609AB16" wp14:editId="4BF556D0">
            <wp:extent cx="5274259" cy="2107925"/>
            <wp:effectExtent l="0" t="0" r="3175" b="6985"/>
            <wp:docPr id="40" name="Picture 40" descr="Table 25: FUTURE-4 Summary of presence of PH at EOT, full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75185" cy="2108295"/>
                    </a:xfrm>
                    <a:prstGeom prst="rect">
                      <a:avLst/>
                    </a:prstGeom>
                  </pic:spPr>
                </pic:pic>
              </a:graphicData>
            </a:graphic>
          </wp:inline>
        </w:drawing>
      </w:r>
    </w:p>
    <w:p w14:paraId="13471950" w14:textId="77777777" w:rsidR="00DA5EBB" w:rsidRPr="00DA5EBB" w:rsidRDefault="00DA5EBB" w:rsidP="00DA5EBB">
      <w:pPr>
        <w:pStyle w:val="Heading5"/>
      </w:pPr>
      <w:r w:rsidRPr="00DA5EBB">
        <w:t>Evaluator commentary</w:t>
      </w:r>
    </w:p>
    <w:p w14:paraId="29A2DE44" w14:textId="77777777" w:rsidR="00DA5EBB" w:rsidRDefault="00DA5EBB" w:rsidP="00DA5EBB">
      <w:bookmarkStart w:id="189" w:name="_Ref271037188"/>
      <w:bookmarkStart w:id="190" w:name="_Ref271037210"/>
      <w:bookmarkStart w:id="191" w:name="_Toc272414655"/>
      <w:bookmarkStart w:id="192" w:name="_Toc290888503"/>
      <w:bookmarkStart w:id="193" w:name="_Toc416353719"/>
      <w:bookmarkStart w:id="194" w:name="_Toc421005270"/>
      <w:bookmarkStart w:id="195" w:name="_Toc432079152"/>
      <w:bookmarkStart w:id="196" w:name="_Toc432080725"/>
      <w:bookmarkStart w:id="197" w:name="_Toc241374311"/>
      <w:bookmarkStart w:id="198" w:name="_Ref243294291"/>
      <w:r w:rsidRPr="001F714A">
        <w:t>Idiopathic PPHN was diagnosed only for</w:t>
      </w:r>
      <w:r>
        <w:t xml:space="preserve"> </w:t>
      </w:r>
      <w:r w:rsidRPr="001F714A">
        <w:t>patients in the placebo group (37.5%).</w:t>
      </w:r>
      <w:r>
        <w:t xml:space="preserve"> It is noted that no patients in the placebo group had a medical history of congenital, familial or genetic disorders compared to 38% in the bosentan group.</w:t>
      </w:r>
    </w:p>
    <w:p w14:paraId="6835A620" w14:textId="77777777" w:rsidR="007C6D8D" w:rsidRDefault="00DA5EBB" w:rsidP="00DA5EBB">
      <w:r>
        <w:t xml:space="preserve">The </w:t>
      </w:r>
      <w:r w:rsidR="0066478A">
        <w:t>study</w:t>
      </w:r>
      <w:r>
        <w:t xml:space="preserve"> did not identify a benefit in adding bosentan to iNO therapy in neonates with PPHN who had not responded adequately to iNO.</w:t>
      </w:r>
      <w:r w:rsidRPr="00EE371B">
        <w:t xml:space="preserve"> </w:t>
      </w:r>
      <w:r>
        <w:t>T</w:t>
      </w:r>
      <w:r w:rsidRPr="00EE371B">
        <w:t xml:space="preserve">he mean time to complete weaning from iNO and from mechanical ventilation </w:t>
      </w:r>
      <w:r>
        <w:t>was</w:t>
      </w:r>
      <w:r w:rsidRPr="00EE371B">
        <w:t xml:space="preserve"> longer in the bosentan group compared to the placebo group</w:t>
      </w:r>
      <w:r w:rsidR="007C6D8D">
        <w:t>.</w:t>
      </w:r>
    </w:p>
    <w:p w14:paraId="6D330824" w14:textId="77777777" w:rsidR="00DA5EBB" w:rsidRDefault="00DA5EBB" w:rsidP="00DA5EBB">
      <w:pPr>
        <w:rPr>
          <w:lang w:eastAsia="ja-JP"/>
        </w:rPr>
      </w:pPr>
      <w:r>
        <w:rPr>
          <w:lang w:eastAsia="ja-JP"/>
        </w:rPr>
        <w:t xml:space="preserve">As the </w:t>
      </w:r>
      <w:r w:rsidR="007C6D8D">
        <w:rPr>
          <w:lang w:eastAsia="ja-JP"/>
        </w:rPr>
        <w:t>sponsor</w:t>
      </w:r>
      <w:r>
        <w:rPr>
          <w:lang w:eastAsia="ja-JP"/>
        </w:rPr>
        <w:t xml:space="preserve"> has not requested an extension of indication in relation to this </w:t>
      </w:r>
      <w:r w:rsidR="0066478A">
        <w:rPr>
          <w:lang w:eastAsia="ja-JP"/>
        </w:rPr>
        <w:t>study</w:t>
      </w:r>
      <w:r>
        <w:rPr>
          <w:lang w:eastAsia="ja-JP"/>
        </w:rPr>
        <w:t xml:space="preserve"> or changes to the dosage and administration instructions to include this age group, the results of this </w:t>
      </w:r>
      <w:r w:rsidR="0066478A">
        <w:rPr>
          <w:lang w:eastAsia="ja-JP"/>
        </w:rPr>
        <w:t>study</w:t>
      </w:r>
      <w:r>
        <w:rPr>
          <w:lang w:eastAsia="ja-JP"/>
        </w:rPr>
        <w:t xml:space="preserve"> will be considered in relation to safety, tolerability and PK.</w:t>
      </w:r>
    </w:p>
    <w:p w14:paraId="59CC4A35" w14:textId="77777777" w:rsidR="00DA5EBB" w:rsidRPr="00300796" w:rsidRDefault="00DA5EBB" w:rsidP="00DA5EBB">
      <w:pPr>
        <w:pStyle w:val="Heading3"/>
      </w:pPr>
      <w:bookmarkStart w:id="199" w:name="_Toc473883998"/>
      <w:bookmarkStart w:id="200" w:name="_Toc519773906"/>
      <w:r w:rsidRPr="00300796">
        <w:t>Other efficacy studies</w:t>
      </w:r>
      <w:bookmarkEnd w:id="189"/>
      <w:bookmarkEnd w:id="190"/>
      <w:bookmarkEnd w:id="191"/>
      <w:bookmarkEnd w:id="192"/>
      <w:bookmarkEnd w:id="193"/>
      <w:bookmarkEnd w:id="194"/>
      <w:bookmarkEnd w:id="195"/>
      <w:bookmarkEnd w:id="196"/>
      <w:bookmarkEnd w:id="199"/>
      <w:bookmarkEnd w:id="200"/>
    </w:p>
    <w:bookmarkEnd w:id="197"/>
    <w:bookmarkEnd w:id="198"/>
    <w:p w14:paraId="0D47BA49" w14:textId="77777777" w:rsidR="00DA5EBB" w:rsidRPr="00DA5EBB" w:rsidRDefault="00DA5EBB" w:rsidP="00DA5EBB">
      <w:pPr>
        <w:pStyle w:val="Heading4"/>
      </w:pPr>
      <w:r w:rsidRPr="00DA5EBB">
        <w:t>AC-052-365 FUTURE-1</w:t>
      </w:r>
    </w:p>
    <w:p w14:paraId="13C22CA2" w14:textId="77777777" w:rsidR="00DA5EBB" w:rsidRPr="00B924E3" w:rsidRDefault="00DA5EBB" w:rsidP="00DA5EBB">
      <w:pPr>
        <w:rPr>
          <w:lang w:eastAsia="ja-JP"/>
        </w:rPr>
      </w:pPr>
      <w:r>
        <w:rPr>
          <w:lang w:eastAsia="ja-JP"/>
        </w:rPr>
        <w:t xml:space="preserve">A summary of FUTURE-1 </w:t>
      </w:r>
      <w:r w:rsidR="009C6335">
        <w:rPr>
          <w:lang w:eastAsia="ja-JP"/>
        </w:rPr>
        <w:t>was</w:t>
      </w:r>
      <w:r>
        <w:rPr>
          <w:lang w:eastAsia="ja-JP"/>
        </w:rPr>
        <w:t xml:space="preserve"> provided. The e</w:t>
      </w:r>
      <w:r w:rsidRPr="00B924E3">
        <w:rPr>
          <w:lang w:eastAsia="ja-JP"/>
        </w:rPr>
        <w:t xml:space="preserve">xploratory efficacy and </w:t>
      </w:r>
      <w:r>
        <w:rPr>
          <w:lang w:eastAsia="ja-JP"/>
        </w:rPr>
        <w:t>QoL</w:t>
      </w:r>
      <w:r w:rsidRPr="00B924E3">
        <w:rPr>
          <w:lang w:eastAsia="ja-JP"/>
        </w:rPr>
        <w:t xml:space="preserve"> endpoints</w:t>
      </w:r>
      <w:r>
        <w:rPr>
          <w:lang w:eastAsia="ja-JP"/>
        </w:rPr>
        <w:t xml:space="preserve"> for the FUTURE-1 </w:t>
      </w:r>
      <w:r w:rsidR="00E77015">
        <w:rPr>
          <w:lang w:eastAsia="ja-JP"/>
        </w:rPr>
        <w:t>Study</w:t>
      </w:r>
      <w:r>
        <w:rPr>
          <w:lang w:eastAsia="ja-JP"/>
        </w:rPr>
        <w:t xml:space="preserve"> </w:t>
      </w:r>
      <w:r w:rsidRPr="00B924E3">
        <w:rPr>
          <w:lang w:eastAsia="ja-JP"/>
        </w:rPr>
        <w:t>were:</w:t>
      </w:r>
    </w:p>
    <w:p w14:paraId="1B36F97A" w14:textId="77777777" w:rsidR="00DA5EBB" w:rsidRDefault="00DA5EBB" w:rsidP="00DA5EBB">
      <w:pPr>
        <w:pStyle w:val="ListBullet"/>
        <w:rPr>
          <w:lang w:eastAsia="ja-JP"/>
        </w:rPr>
      </w:pPr>
      <w:r w:rsidRPr="00B924E3">
        <w:rPr>
          <w:lang w:eastAsia="ja-JP"/>
        </w:rPr>
        <w:t>Change from Baseline to Week 12 in WHO</w:t>
      </w:r>
      <w:r>
        <w:rPr>
          <w:lang w:eastAsia="ja-JP"/>
        </w:rPr>
        <w:t xml:space="preserve"> FC</w:t>
      </w:r>
    </w:p>
    <w:p w14:paraId="270D80C2" w14:textId="77777777" w:rsidR="007C6D8D" w:rsidRDefault="00DA5EBB" w:rsidP="00DA5EBB">
      <w:pPr>
        <w:pStyle w:val="ListBullet"/>
        <w:rPr>
          <w:lang w:eastAsia="ja-JP"/>
        </w:rPr>
      </w:pPr>
      <w:r w:rsidRPr="00B924E3">
        <w:rPr>
          <w:lang w:eastAsia="ja-JP"/>
        </w:rPr>
        <w:t>Change from Baseline to Week 12 in Global</w:t>
      </w:r>
      <w:r>
        <w:rPr>
          <w:lang w:eastAsia="ja-JP"/>
        </w:rPr>
        <w:t xml:space="preserve"> </w:t>
      </w:r>
      <w:r w:rsidRPr="00B924E3">
        <w:rPr>
          <w:lang w:eastAsia="ja-JP"/>
        </w:rPr>
        <w:t xml:space="preserve">Clinical Impression scale </w:t>
      </w:r>
      <w:r>
        <w:rPr>
          <w:lang w:eastAsia="ja-JP"/>
        </w:rPr>
        <w:t xml:space="preserve">(GCIS) </w:t>
      </w:r>
      <w:r w:rsidRPr="00B924E3">
        <w:rPr>
          <w:lang w:eastAsia="ja-JP"/>
        </w:rPr>
        <w:t>assessed by the parents</w:t>
      </w:r>
      <w:r>
        <w:rPr>
          <w:lang w:eastAsia="ja-JP"/>
        </w:rPr>
        <w:t xml:space="preserve"> </w:t>
      </w:r>
      <w:r w:rsidRPr="00B924E3">
        <w:rPr>
          <w:lang w:eastAsia="ja-JP"/>
        </w:rPr>
        <w:t>and the physician</w:t>
      </w:r>
      <w:r w:rsidR="007C6D8D">
        <w:rPr>
          <w:lang w:eastAsia="ja-JP"/>
        </w:rPr>
        <w:t>.</w:t>
      </w:r>
    </w:p>
    <w:p w14:paraId="4C11583C" w14:textId="77777777" w:rsidR="00DA5EBB" w:rsidRDefault="00DA5EBB" w:rsidP="00DA5EBB">
      <w:pPr>
        <w:pStyle w:val="ListBullet"/>
        <w:rPr>
          <w:lang w:eastAsia="ja-JP"/>
        </w:rPr>
      </w:pPr>
      <w:r w:rsidRPr="00B924E3">
        <w:rPr>
          <w:lang w:eastAsia="ja-JP"/>
        </w:rPr>
        <w:t xml:space="preserve">Change from Baseline to Week 12 in </w:t>
      </w:r>
      <w:r>
        <w:rPr>
          <w:lang w:eastAsia="ja-JP"/>
        </w:rPr>
        <w:t>QoL</w:t>
      </w:r>
      <w:r w:rsidRPr="00B924E3">
        <w:rPr>
          <w:lang w:eastAsia="ja-JP"/>
        </w:rPr>
        <w:t xml:space="preserve"> questionnaire (SF-10).</w:t>
      </w:r>
    </w:p>
    <w:p w14:paraId="5072D3C2" w14:textId="77777777" w:rsidR="00DA5EBB" w:rsidRDefault="00DA5EBB" w:rsidP="00DA5EBB">
      <w:pPr>
        <w:rPr>
          <w:lang w:eastAsia="ja-JP"/>
        </w:rPr>
      </w:pPr>
      <w:r>
        <w:rPr>
          <w:lang w:eastAsia="ja-JP"/>
        </w:rPr>
        <w:t xml:space="preserve">At Week 12, out of the 23 patients at baseline who were diagnosed class II, only one worsened to class III and two improved to class I (the remaining 20 patients were stable at class II), and out of the 12 patients at baseline who were diagnosed class III, none worsened, and three improved to class </w:t>
      </w:r>
      <w:r w:rsidRPr="005F754D">
        <w:rPr>
          <w:lang w:eastAsia="ja-JP"/>
        </w:rPr>
        <w:t>II (</w:t>
      </w:r>
      <w:r w:rsidR="005F754D" w:rsidRPr="005F754D">
        <w:rPr>
          <w:lang w:eastAsia="ja-JP"/>
        </w:rPr>
        <w:t>Table 26</w:t>
      </w:r>
      <w:r w:rsidRPr="005F754D">
        <w:rPr>
          <w:lang w:eastAsia="ja-JP"/>
        </w:rPr>
        <w:t>).</w:t>
      </w:r>
    </w:p>
    <w:p w14:paraId="60328AC6" w14:textId="77777777" w:rsidR="00DA5EBB" w:rsidRPr="00B924E3" w:rsidRDefault="00DA5EBB" w:rsidP="00DA5EBB">
      <w:pPr>
        <w:rPr>
          <w:lang w:eastAsia="ja-JP"/>
        </w:rPr>
      </w:pPr>
      <w:r w:rsidRPr="00B924E3">
        <w:rPr>
          <w:lang w:eastAsia="ja-JP"/>
        </w:rPr>
        <w:t>The changes from baseline to Week 12 in the Parents</w:t>
      </w:r>
      <w:r>
        <w:rPr>
          <w:lang w:eastAsia="ja-JP"/>
        </w:rPr>
        <w:t xml:space="preserve"> </w:t>
      </w:r>
      <w:r w:rsidRPr="00B924E3">
        <w:rPr>
          <w:lang w:eastAsia="ja-JP"/>
        </w:rPr>
        <w:t xml:space="preserve">and Physicians </w:t>
      </w:r>
      <w:r>
        <w:rPr>
          <w:lang w:eastAsia="ja-JP"/>
        </w:rPr>
        <w:t>GCIS</w:t>
      </w:r>
      <w:r w:rsidRPr="00B924E3">
        <w:rPr>
          <w:lang w:eastAsia="ja-JP"/>
        </w:rPr>
        <w:t xml:space="preserve"> </w:t>
      </w:r>
      <w:r>
        <w:rPr>
          <w:lang w:eastAsia="ja-JP"/>
        </w:rPr>
        <w:t>found that o</w:t>
      </w:r>
      <w:r w:rsidRPr="00B924E3">
        <w:rPr>
          <w:lang w:eastAsia="ja-JP"/>
        </w:rPr>
        <w:t>ut of the 17 patients whose</w:t>
      </w:r>
      <w:r>
        <w:rPr>
          <w:lang w:eastAsia="ja-JP"/>
        </w:rPr>
        <w:t xml:space="preserve"> </w:t>
      </w:r>
      <w:r w:rsidRPr="00B924E3">
        <w:rPr>
          <w:lang w:eastAsia="ja-JP"/>
        </w:rPr>
        <w:t>condition the parents rated ‘not good or bad’ or ‘bad’ at baseline, 9 patients were</w:t>
      </w:r>
      <w:r>
        <w:rPr>
          <w:lang w:eastAsia="ja-JP"/>
        </w:rPr>
        <w:t xml:space="preserve"> </w:t>
      </w:r>
      <w:r w:rsidRPr="00B924E3">
        <w:rPr>
          <w:lang w:eastAsia="ja-JP"/>
        </w:rPr>
        <w:t xml:space="preserve">considered to be doing ‘better’ or ‘significantly better’ at Week </w:t>
      </w:r>
      <w:r w:rsidRPr="005F754D">
        <w:rPr>
          <w:lang w:eastAsia="ja-JP"/>
        </w:rPr>
        <w:t>12 (</w:t>
      </w:r>
      <w:r w:rsidR="005F754D" w:rsidRPr="005F754D">
        <w:rPr>
          <w:lang w:eastAsia="ja-JP"/>
        </w:rPr>
        <w:t>Table 27</w:t>
      </w:r>
      <w:r w:rsidRPr="005F754D">
        <w:rPr>
          <w:lang w:eastAsia="ja-JP"/>
        </w:rPr>
        <w:t>). Out</w:t>
      </w:r>
      <w:r w:rsidRPr="00B924E3">
        <w:rPr>
          <w:lang w:eastAsia="ja-JP"/>
        </w:rPr>
        <w:t xml:space="preserve"> of the 17 patients</w:t>
      </w:r>
      <w:r>
        <w:rPr>
          <w:lang w:eastAsia="ja-JP"/>
        </w:rPr>
        <w:t xml:space="preserve"> </w:t>
      </w:r>
      <w:r w:rsidRPr="00B924E3">
        <w:rPr>
          <w:lang w:eastAsia="ja-JP"/>
        </w:rPr>
        <w:t xml:space="preserve">whose condition the parents rated ‘good’ or ‘very good’ </w:t>
      </w:r>
      <w:r>
        <w:rPr>
          <w:lang w:eastAsia="ja-JP"/>
        </w:rPr>
        <w:t xml:space="preserve">at baseline, only 1 patient was </w:t>
      </w:r>
      <w:r w:rsidRPr="00B924E3">
        <w:rPr>
          <w:lang w:eastAsia="ja-JP"/>
        </w:rPr>
        <w:t>considered to be doing ‘worse’ or ‘significantly worse’ at Week 12, with 9 patients</w:t>
      </w:r>
      <w:r>
        <w:rPr>
          <w:lang w:eastAsia="ja-JP"/>
        </w:rPr>
        <w:t xml:space="preserve"> </w:t>
      </w:r>
      <w:r w:rsidRPr="00B924E3">
        <w:rPr>
          <w:lang w:eastAsia="ja-JP"/>
        </w:rPr>
        <w:t>considered being either ‘significantly better’ or ‘better’ at Week 12.</w:t>
      </w:r>
    </w:p>
    <w:p w14:paraId="0E02AAD8" w14:textId="77777777" w:rsidR="007C6D8D" w:rsidRDefault="00DA5EBB" w:rsidP="00DA5EBB">
      <w:pPr>
        <w:rPr>
          <w:lang w:eastAsia="ja-JP"/>
        </w:rPr>
      </w:pPr>
      <w:r w:rsidRPr="00B924E3">
        <w:rPr>
          <w:lang w:eastAsia="ja-JP"/>
        </w:rPr>
        <w:t>For the majority of cases, parents’ responses were consistent with, or more positive than,</w:t>
      </w:r>
      <w:r>
        <w:rPr>
          <w:lang w:eastAsia="ja-JP"/>
        </w:rPr>
        <w:t xml:space="preserve"> </w:t>
      </w:r>
      <w:r w:rsidRPr="00B924E3">
        <w:rPr>
          <w:lang w:eastAsia="ja-JP"/>
        </w:rPr>
        <w:t>the physician’s assessment at each time point. Out of 11 patients whose condition the</w:t>
      </w:r>
      <w:r>
        <w:rPr>
          <w:lang w:eastAsia="ja-JP"/>
        </w:rPr>
        <w:t xml:space="preserve"> </w:t>
      </w:r>
      <w:r w:rsidRPr="00B924E3">
        <w:rPr>
          <w:lang w:eastAsia="ja-JP"/>
        </w:rPr>
        <w:t>physician rated ‘not good or bad’ or ‘bad’ at baseline, 6 patients were considered to be</w:t>
      </w:r>
      <w:r>
        <w:rPr>
          <w:lang w:eastAsia="ja-JP"/>
        </w:rPr>
        <w:t xml:space="preserve"> </w:t>
      </w:r>
      <w:r w:rsidRPr="00B924E3">
        <w:rPr>
          <w:lang w:eastAsia="ja-JP"/>
        </w:rPr>
        <w:t xml:space="preserve">doing ‘better’ or </w:t>
      </w:r>
      <w:r w:rsidRPr="00B924E3">
        <w:rPr>
          <w:lang w:eastAsia="ja-JP"/>
        </w:rPr>
        <w:lastRenderedPageBreak/>
        <w:t xml:space="preserve">‘significantly better’ by </w:t>
      </w:r>
      <w:r w:rsidRPr="005F754D">
        <w:rPr>
          <w:lang w:eastAsia="ja-JP"/>
        </w:rPr>
        <w:t>Week 12 (</w:t>
      </w:r>
      <w:r w:rsidR="005F754D" w:rsidRPr="005F754D">
        <w:rPr>
          <w:lang w:eastAsia="ja-JP"/>
        </w:rPr>
        <w:t>Table</w:t>
      </w:r>
      <w:r w:rsidR="005F754D">
        <w:rPr>
          <w:lang w:eastAsia="ja-JP"/>
        </w:rPr>
        <w:t xml:space="preserve"> 28</w:t>
      </w:r>
      <w:r>
        <w:rPr>
          <w:lang w:eastAsia="ja-JP"/>
        </w:rPr>
        <w:t>)</w:t>
      </w:r>
      <w:r w:rsidRPr="00B924E3">
        <w:rPr>
          <w:lang w:eastAsia="ja-JP"/>
        </w:rPr>
        <w:t>. Out of 24 patients whose condition</w:t>
      </w:r>
      <w:r>
        <w:rPr>
          <w:lang w:eastAsia="ja-JP"/>
        </w:rPr>
        <w:t xml:space="preserve"> </w:t>
      </w:r>
      <w:r w:rsidRPr="00B924E3">
        <w:rPr>
          <w:lang w:eastAsia="ja-JP"/>
        </w:rPr>
        <w:t>the physician rated ‘good’ or ‘very good’ at baseline, only 2 patients were considered to</w:t>
      </w:r>
      <w:r>
        <w:rPr>
          <w:lang w:eastAsia="ja-JP"/>
        </w:rPr>
        <w:t xml:space="preserve"> </w:t>
      </w:r>
      <w:r w:rsidRPr="00B924E3">
        <w:rPr>
          <w:lang w:eastAsia="ja-JP"/>
        </w:rPr>
        <w:t>be doing ‘worse’ or ‘significantly worse’, with the majority of responses being ‘no</w:t>
      </w:r>
      <w:r>
        <w:rPr>
          <w:lang w:eastAsia="ja-JP"/>
        </w:rPr>
        <w:t xml:space="preserve"> </w:t>
      </w:r>
      <w:r w:rsidRPr="00B924E3">
        <w:rPr>
          <w:lang w:eastAsia="ja-JP"/>
        </w:rPr>
        <w:t>change’ or ‘better’, at Week 12</w:t>
      </w:r>
      <w:r w:rsidR="007C6D8D">
        <w:rPr>
          <w:lang w:eastAsia="ja-JP"/>
        </w:rPr>
        <w:t>.</w:t>
      </w:r>
    </w:p>
    <w:p w14:paraId="1760DCF0" w14:textId="77777777" w:rsidR="007C6D8D" w:rsidRDefault="00DA5EBB" w:rsidP="00DA5EBB">
      <w:pPr>
        <w:rPr>
          <w:lang w:eastAsia="ja-JP"/>
        </w:rPr>
      </w:pPr>
      <w:r w:rsidRPr="00B924E3">
        <w:rPr>
          <w:lang w:eastAsia="ja-JP"/>
        </w:rPr>
        <w:t>The mean changes from baseline to</w:t>
      </w:r>
      <w:r>
        <w:rPr>
          <w:lang w:eastAsia="ja-JP"/>
        </w:rPr>
        <w:t xml:space="preserve"> Week</w:t>
      </w:r>
      <w:r w:rsidRPr="00B924E3">
        <w:rPr>
          <w:lang w:eastAsia="ja-JP"/>
        </w:rPr>
        <w:t xml:space="preserve"> 12 in the SF-10 Physical summary</w:t>
      </w:r>
      <w:r>
        <w:rPr>
          <w:lang w:eastAsia="ja-JP"/>
        </w:rPr>
        <w:t xml:space="preserve"> </w:t>
      </w:r>
      <w:r w:rsidRPr="00B924E3">
        <w:rPr>
          <w:lang w:eastAsia="ja-JP"/>
        </w:rPr>
        <w:t>(PHS) and Psychological summary (PSS) scores were similar</w:t>
      </w:r>
      <w:r>
        <w:rPr>
          <w:lang w:eastAsia="ja-JP"/>
        </w:rPr>
        <w:t xml:space="preserve"> (</w:t>
      </w:r>
      <w:r w:rsidR="005F754D">
        <w:rPr>
          <w:lang w:eastAsia="ja-JP"/>
        </w:rPr>
        <w:t>Table 29</w:t>
      </w:r>
      <w:r>
        <w:rPr>
          <w:lang w:eastAsia="ja-JP"/>
        </w:rPr>
        <w:t>).</w:t>
      </w:r>
      <w:r w:rsidRPr="00B924E3">
        <w:rPr>
          <w:lang w:eastAsia="ja-JP"/>
        </w:rPr>
        <w:t xml:space="preserve"> Favourable changes were seen in individual patients</w:t>
      </w:r>
      <w:r w:rsidR="007C6D8D">
        <w:rPr>
          <w:lang w:eastAsia="ja-JP"/>
        </w:rPr>
        <w:t>.</w:t>
      </w:r>
    </w:p>
    <w:p w14:paraId="7A08AD10" w14:textId="77777777" w:rsidR="007C6D8D" w:rsidRDefault="00DA5EBB" w:rsidP="00DA5EBB">
      <w:pPr>
        <w:rPr>
          <w:lang w:eastAsia="ja-JP"/>
        </w:rPr>
      </w:pPr>
      <w:r w:rsidRPr="00165705">
        <w:rPr>
          <w:lang w:eastAsia="ja-JP"/>
        </w:rPr>
        <w:t>Subgroup analyses were specified in the statistical analysis plan and performed on the</w:t>
      </w:r>
      <w:r>
        <w:rPr>
          <w:lang w:eastAsia="ja-JP"/>
        </w:rPr>
        <w:t xml:space="preserve"> </w:t>
      </w:r>
      <w:r w:rsidRPr="00165705">
        <w:rPr>
          <w:lang w:eastAsia="ja-JP"/>
        </w:rPr>
        <w:t>exploratory efficacy endpoints and vital signs. Patien</w:t>
      </w:r>
      <w:r>
        <w:rPr>
          <w:lang w:eastAsia="ja-JP"/>
        </w:rPr>
        <w:t>ts were classified as either having had ‘previous bosentan’</w:t>
      </w:r>
      <w:r w:rsidRPr="00165705">
        <w:rPr>
          <w:lang w:eastAsia="ja-JP"/>
        </w:rPr>
        <w:t xml:space="preserve"> </w:t>
      </w:r>
      <w:r>
        <w:rPr>
          <w:lang w:eastAsia="ja-JP"/>
        </w:rPr>
        <w:t xml:space="preserve">intake or as </w:t>
      </w:r>
      <w:r w:rsidR="009C6335">
        <w:rPr>
          <w:lang w:eastAsia="ja-JP"/>
        </w:rPr>
        <w:t xml:space="preserve">‘bosentan </w:t>
      </w:r>
      <w:r w:rsidRPr="00165705">
        <w:rPr>
          <w:lang w:eastAsia="ja-JP"/>
        </w:rPr>
        <w:t>naïve’</w:t>
      </w:r>
      <w:r>
        <w:rPr>
          <w:lang w:eastAsia="ja-JP"/>
        </w:rPr>
        <w:t xml:space="preserve"> </w:t>
      </w:r>
      <w:r w:rsidRPr="00165705">
        <w:rPr>
          <w:lang w:eastAsia="ja-JP"/>
        </w:rPr>
        <w:t xml:space="preserve">prior to </w:t>
      </w:r>
      <w:r w:rsidR="0066478A">
        <w:rPr>
          <w:lang w:eastAsia="ja-JP"/>
        </w:rPr>
        <w:t>study</w:t>
      </w:r>
      <w:r w:rsidR="009C6335">
        <w:rPr>
          <w:lang w:eastAsia="ja-JP"/>
        </w:rPr>
        <w:t xml:space="preserve"> treatment start. A total of 15 </w:t>
      </w:r>
      <w:r w:rsidRPr="00165705">
        <w:rPr>
          <w:lang w:eastAsia="ja-JP"/>
        </w:rPr>
        <w:t xml:space="preserve">patients had </w:t>
      </w:r>
      <w:r>
        <w:rPr>
          <w:lang w:eastAsia="ja-JP"/>
        </w:rPr>
        <w:t xml:space="preserve">had </w:t>
      </w:r>
      <w:r w:rsidRPr="00165705">
        <w:rPr>
          <w:lang w:eastAsia="ja-JP"/>
        </w:rPr>
        <w:t>‘</w:t>
      </w:r>
      <w:r>
        <w:rPr>
          <w:lang w:eastAsia="ja-JP"/>
        </w:rPr>
        <w:t xml:space="preserve">previous bosentan’ intake </w:t>
      </w:r>
      <w:r w:rsidRPr="00165705">
        <w:rPr>
          <w:lang w:eastAsia="ja-JP"/>
        </w:rPr>
        <w:t>and</w:t>
      </w:r>
      <w:r>
        <w:rPr>
          <w:lang w:eastAsia="ja-JP"/>
        </w:rPr>
        <w:t xml:space="preserve"> 21 patients were identified as </w:t>
      </w:r>
      <w:r w:rsidR="009C6335">
        <w:rPr>
          <w:lang w:eastAsia="ja-JP"/>
        </w:rPr>
        <w:t xml:space="preserve">‘bosentan </w:t>
      </w:r>
      <w:r w:rsidRPr="00165705">
        <w:rPr>
          <w:lang w:eastAsia="ja-JP"/>
        </w:rPr>
        <w:t>naïve’</w:t>
      </w:r>
      <w:r w:rsidR="007C6D8D">
        <w:rPr>
          <w:lang w:eastAsia="ja-JP"/>
        </w:rPr>
        <w:t>.</w:t>
      </w:r>
    </w:p>
    <w:p w14:paraId="39E442C3" w14:textId="77777777" w:rsidR="00DA5EBB" w:rsidRDefault="00DA5EBB" w:rsidP="00DA5EBB">
      <w:pPr>
        <w:rPr>
          <w:lang w:eastAsia="ja-JP"/>
        </w:rPr>
      </w:pPr>
      <w:r w:rsidRPr="00E13A62">
        <w:rPr>
          <w:lang w:eastAsia="ja-JP"/>
        </w:rPr>
        <w:t>Greater mean improvements in SF-10 scores were observed by Week 12 in</w:t>
      </w:r>
      <w:r>
        <w:rPr>
          <w:lang w:eastAsia="ja-JP"/>
        </w:rPr>
        <w:t xml:space="preserve"> </w:t>
      </w:r>
      <w:r w:rsidR="009C6335">
        <w:rPr>
          <w:lang w:eastAsia="ja-JP"/>
        </w:rPr>
        <w:t>bosentan naïve</w:t>
      </w:r>
      <w:r>
        <w:rPr>
          <w:lang w:eastAsia="ja-JP"/>
        </w:rPr>
        <w:t xml:space="preserve"> </w:t>
      </w:r>
      <w:r w:rsidRPr="00E13A62">
        <w:rPr>
          <w:lang w:eastAsia="ja-JP"/>
        </w:rPr>
        <w:t xml:space="preserve">patients </w:t>
      </w:r>
      <w:r w:rsidR="007C6D8D">
        <w:rPr>
          <w:lang w:eastAsia="ja-JP"/>
        </w:rPr>
        <w:t>versus</w:t>
      </w:r>
      <w:r w:rsidRPr="00E13A62">
        <w:rPr>
          <w:lang w:eastAsia="ja-JP"/>
        </w:rPr>
        <w:t xml:space="preserve"> patients previously treated with bosentan, primarily in the</w:t>
      </w:r>
      <w:r>
        <w:rPr>
          <w:lang w:eastAsia="ja-JP"/>
        </w:rPr>
        <w:t xml:space="preserve"> PHS. </w:t>
      </w:r>
      <w:r w:rsidRPr="00E13A62">
        <w:rPr>
          <w:lang w:eastAsia="ja-JP"/>
        </w:rPr>
        <w:t>Improvement was observed in</w:t>
      </w:r>
      <w:r>
        <w:rPr>
          <w:lang w:eastAsia="ja-JP"/>
        </w:rPr>
        <w:t xml:space="preserve"> 5</w:t>
      </w:r>
      <w:r w:rsidRPr="00E13A62">
        <w:rPr>
          <w:lang w:eastAsia="ja-JP"/>
        </w:rPr>
        <w:t xml:space="preserve"> </w:t>
      </w:r>
      <w:r w:rsidR="009C6335">
        <w:rPr>
          <w:lang w:eastAsia="ja-JP"/>
        </w:rPr>
        <w:t>bosentan naïve</w:t>
      </w:r>
      <w:r w:rsidRPr="00E13A62">
        <w:rPr>
          <w:lang w:eastAsia="ja-JP"/>
        </w:rPr>
        <w:t xml:space="preserve"> p</w:t>
      </w:r>
      <w:r>
        <w:rPr>
          <w:lang w:eastAsia="ja-JP"/>
        </w:rPr>
        <w:t>atients with respect to the WHO FC at</w:t>
      </w:r>
      <w:r w:rsidRPr="00E13A62">
        <w:rPr>
          <w:lang w:eastAsia="ja-JP"/>
        </w:rPr>
        <w:t xml:space="preserve"> Week 12</w:t>
      </w:r>
      <w:r>
        <w:rPr>
          <w:lang w:eastAsia="ja-JP"/>
        </w:rPr>
        <w:t xml:space="preserve">. </w:t>
      </w:r>
      <w:r w:rsidRPr="00E13A62">
        <w:rPr>
          <w:lang w:eastAsia="ja-JP"/>
        </w:rPr>
        <w:t>In contrast, patients</w:t>
      </w:r>
      <w:r>
        <w:rPr>
          <w:lang w:eastAsia="ja-JP"/>
        </w:rPr>
        <w:t xml:space="preserve"> </w:t>
      </w:r>
      <w:r w:rsidRPr="00E13A62">
        <w:rPr>
          <w:lang w:eastAsia="ja-JP"/>
        </w:rPr>
        <w:t>previously treated with bosentan remained largely stable, with one patient worsening</w:t>
      </w:r>
      <w:r>
        <w:rPr>
          <w:lang w:eastAsia="ja-JP"/>
        </w:rPr>
        <w:t xml:space="preserve"> </w:t>
      </w:r>
      <w:r w:rsidRPr="00E13A62">
        <w:rPr>
          <w:lang w:eastAsia="ja-JP"/>
        </w:rPr>
        <w:t>from class II to class III.</w:t>
      </w:r>
    </w:p>
    <w:p w14:paraId="04E207BD" w14:textId="77777777" w:rsidR="00DA5EBB" w:rsidRPr="00E13A62" w:rsidRDefault="009C6335" w:rsidP="00DA5EBB">
      <w:r>
        <w:rPr>
          <w:lang w:eastAsia="ja-JP"/>
        </w:rPr>
        <w:t xml:space="preserve">Post </w:t>
      </w:r>
      <w:r w:rsidR="00DA5EBB" w:rsidRPr="00E13A62">
        <w:rPr>
          <w:lang w:eastAsia="ja-JP"/>
        </w:rPr>
        <w:t>treatment improvement was observed in Parents’ Global Assessments. At Week 12,</w:t>
      </w:r>
      <w:r w:rsidR="00DA5EBB">
        <w:rPr>
          <w:lang w:eastAsia="ja-JP"/>
        </w:rPr>
        <w:t xml:space="preserve"> </w:t>
      </w:r>
      <w:r w:rsidR="00DA5EBB" w:rsidRPr="00E13A62">
        <w:rPr>
          <w:lang w:eastAsia="ja-JP"/>
        </w:rPr>
        <w:t xml:space="preserve">of 20 </w:t>
      </w:r>
      <w:r>
        <w:rPr>
          <w:lang w:eastAsia="ja-JP"/>
        </w:rPr>
        <w:t>bosentan naïve</w:t>
      </w:r>
      <w:r w:rsidR="00DA5EBB" w:rsidRPr="00E13A62">
        <w:rPr>
          <w:lang w:eastAsia="ja-JP"/>
        </w:rPr>
        <w:t xml:space="preserve"> patients, 12 were judged ‘better’ or ‘significantly better’, and</w:t>
      </w:r>
      <w:r w:rsidR="00DA5EBB">
        <w:rPr>
          <w:lang w:eastAsia="ja-JP"/>
        </w:rPr>
        <w:t xml:space="preserve"> </w:t>
      </w:r>
      <w:r w:rsidR="00DA5EBB" w:rsidRPr="00E13A62">
        <w:rPr>
          <w:lang w:eastAsia="ja-JP"/>
        </w:rPr>
        <w:t>none were considered ‘worse’ or ‘significantly worse’</w:t>
      </w:r>
      <w:r w:rsidR="00DA5EBB">
        <w:rPr>
          <w:lang w:eastAsia="ja-JP"/>
        </w:rPr>
        <w:t xml:space="preserve">. Among the patients previously </w:t>
      </w:r>
      <w:r w:rsidR="00DA5EBB" w:rsidRPr="00E13A62">
        <w:rPr>
          <w:lang w:eastAsia="ja-JP"/>
        </w:rPr>
        <w:t>treated with bosentan, 6 of 14 patients were judged ‘better’ or ‘significantly better’, and</w:t>
      </w:r>
      <w:r w:rsidR="00DA5EBB">
        <w:rPr>
          <w:lang w:eastAsia="ja-JP"/>
        </w:rPr>
        <w:t xml:space="preserve"> </w:t>
      </w:r>
      <w:r w:rsidR="00DA5EBB" w:rsidRPr="00E13A62">
        <w:rPr>
          <w:lang w:eastAsia="ja-JP"/>
        </w:rPr>
        <w:t>3 of 14 patients were considered ‘worse’ or ‘significantly worse’. The Parents’ Global</w:t>
      </w:r>
      <w:r w:rsidR="00DA5EBB">
        <w:rPr>
          <w:lang w:eastAsia="ja-JP"/>
        </w:rPr>
        <w:t xml:space="preserve"> </w:t>
      </w:r>
      <w:r w:rsidR="00DA5EBB" w:rsidRPr="00E13A62">
        <w:rPr>
          <w:lang w:eastAsia="ja-JP"/>
        </w:rPr>
        <w:t>Assessment was</w:t>
      </w:r>
      <w:r w:rsidR="00DA5EBB">
        <w:rPr>
          <w:lang w:eastAsia="ja-JP"/>
        </w:rPr>
        <w:t xml:space="preserve"> not available for one patient. </w:t>
      </w:r>
      <w:r w:rsidR="00DA5EBB">
        <w:t xml:space="preserve">A similar improvement was observed with respect to Physicians’ Global Assessments. At Week 12, of 21 </w:t>
      </w:r>
      <w:r>
        <w:t>bosentan naïve</w:t>
      </w:r>
      <w:r w:rsidR="00DA5EBB">
        <w:t xml:space="preserve"> patients, 12 were judged ‘better’ or ‘significantly better’</w:t>
      </w:r>
      <w:r w:rsidR="00DA5EBB">
        <w:rPr>
          <w:lang w:eastAsia="ja-JP"/>
        </w:rPr>
        <w:t xml:space="preserve"> </w:t>
      </w:r>
      <w:r w:rsidR="00DA5EBB">
        <w:t>and none were considered ‘worse’ or ‘significantly worse’. Among the patients</w:t>
      </w:r>
      <w:r w:rsidR="00DA5EBB">
        <w:rPr>
          <w:lang w:eastAsia="ja-JP"/>
        </w:rPr>
        <w:t xml:space="preserve"> </w:t>
      </w:r>
      <w:r w:rsidR="00DA5EBB">
        <w:t>previously treated with bosentan, 3 of 14 patients were judged ‘better’ or ‘significantly</w:t>
      </w:r>
      <w:r w:rsidR="00DA5EBB">
        <w:rPr>
          <w:lang w:eastAsia="ja-JP"/>
        </w:rPr>
        <w:t xml:space="preserve"> </w:t>
      </w:r>
      <w:r w:rsidR="00DA5EBB">
        <w:t xml:space="preserve">better’, and 2 of 14 were considered ‘worse’ or ‘significantly worse’. </w:t>
      </w:r>
      <w:r w:rsidR="00DA5EBB" w:rsidRPr="00281DC8">
        <w:t>A similar improvement was observed with respect to Physicians’ Global Assessments.</w:t>
      </w:r>
    </w:p>
    <w:p w14:paraId="6E4F896A" w14:textId="327E7840" w:rsidR="00DA5EBB" w:rsidRDefault="005F754D" w:rsidP="00DA5EBB">
      <w:pPr>
        <w:pStyle w:val="Tabletitle"/>
        <w:rPr>
          <w:lang w:eastAsia="ja-JP"/>
        </w:rPr>
      </w:pPr>
      <w:bookmarkStart w:id="201" w:name="_Toc473884070"/>
      <w:r>
        <w:t xml:space="preserve">Table 26: </w:t>
      </w:r>
      <w:r w:rsidR="00DA5EBB">
        <w:t xml:space="preserve">FUTURE-1 </w:t>
      </w:r>
      <w:r w:rsidR="00DA5EBB" w:rsidRPr="009B7525">
        <w:rPr>
          <w:bCs/>
        </w:rPr>
        <w:t xml:space="preserve">WHO </w:t>
      </w:r>
      <w:r w:rsidR="00DA5EBB">
        <w:rPr>
          <w:bCs/>
        </w:rPr>
        <w:t>FC</w:t>
      </w:r>
      <w:r>
        <w:rPr>
          <w:bCs/>
        </w:rPr>
        <w:t>;</w:t>
      </w:r>
      <w:r w:rsidR="00DA5EBB" w:rsidRPr="009B7525">
        <w:rPr>
          <w:bCs/>
        </w:rPr>
        <w:t xml:space="preserve"> changes from baseline to </w:t>
      </w:r>
      <w:r w:rsidR="00CE4BFB">
        <w:rPr>
          <w:bCs/>
        </w:rPr>
        <w:t>W</w:t>
      </w:r>
      <w:r w:rsidR="00CE4BFB" w:rsidRPr="009B7525">
        <w:rPr>
          <w:bCs/>
        </w:rPr>
        <w:t xml:space="preserve">eek </w:t>
      </w:r>
      <w:r w:rsidR="00DA5EBB" w:rsidRPr="009B7525">
        <w:rPr>
          <w:bCs/>
        </w:rPr>
        <w:t>12</w:t>
      </w:r>
      <w:bookmarkEnd w:id="201"/>
    </w:p>
    <w:p w14:paraId="7C57AAB4" w14:textId="77777777" w:rsidR="001F7896" w:rsidRDefault="00DA5EBB" w:rsidP="00C22678">
      <w:pPr>
        <w:rPr>
          <w:lang w:eastAsia="ja-JP"/>
        </w:rPr>
      </w:pPr>
      <w:r>
        <w:rPr>
          <w:noProof/>
          <w:lang w:eastAsia="en-AU"/>
        </w:rPr>
        <w:drawing>
          <wp:inline distT="0" distB="0" distL="0" distR="0" wp14:anchorId="1E105204" wp14:editId="73271EDE">
            <wp:extent cx="5479085" cy="1357478"/>
            <wp:effectExtent l="0" t="0" r="7620" b="0"/>
            <wp:docPr id="41" name="Picture 41" descr="Table 26: FUTURE-1 WHO FC; changes from baseline to we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BEBA8EAE-BF5A-486C-A8C5-ECC9F3942E4B}">
                          <a14:imgProps xmlns:a14="http://schemas.microsoft.com/office/drawing/2010/main">
                            <a14:imgLayer r:embed="rId63">
                              <a14:imgEffect>
                                <a14:brightnessContrast contrast="-40000"/>
                              </a14:imgEffect>
                            </a14:imgLayer>
                          </a14:imgProps>
                        </a:ext>
                      </a:extLst>
                    </a:blip>
                    <a:stretch>
                      <a:fillRect/>
                    </a:stretch>
                  </pic:blipFill>
                  <pic:spPr>
                    <a:xfrm>
                      <a:off x="0" y="0"/>
                      <a:ext cx="5482444" cy="1358310"/>
                    </a:xfrm>
                    <a:prstGeom prst="rect">
                      <a:avLst/>
                    </a:prstGeom>
                  </pic:spPr>
                </pic:pic>
              </a:graphicData>
            </a:graphic>
          </wp:inline>
        </w:drawing>
      </w:r>
    </w:p>
    <w:p w14:paraId="4A3CBDB1" w14:textId="38D7F6E2" w:rsidR="00DA5EBB" w:rsidRDefault="00DA5EBB" w:rsidP="00DA5EBB">
      <w:pPr>
        <w:pStyle w:val="Tabletitle"/>
        <w:rPr>
          <w:lang w:eastAsia="ja-JP"/>
        </w:rPr>
      </w:pPr>
      <w:bookmarkStart w:id="202" w:name="_Ref463862834"/>
      <w:bookmarkStart w:id="203" w:name="_Toc473884071"/>
      <w:r w:rsidRPr="005F754D">
        <w:t xml:space="preserve">Table </w:t>
      </w:r>
      <w:bookmarkEnd w:id="202"/>
      <w:r w:rsidR="005F754D" w:rsidRPr="005F754D">
        <w:t>27:</w:t>
      </w:r>
      <w:r w:rsidRPr="005F754D">
        <w:t xml:space="preserve"> FUTURE-1 </w:t>
      </w:r>
      <w:r w:rsidRPr="005F754D">
        <w:rPr>
          <w:bCs/>
        </w:rPr>
        <w:t>Parents GCIS</w:t>
      </w:r>
      <w:r w:rsidR="005F754D">
        <w:rPr>
          <w:bCs/>
        </w:rPr>
        <w:t>;</w:t>
      </w:r>
      <w:r w:rsidRPr="005F754D">
        <w:rPr>
          <w:bCs/>
        </w:rPr>
        <w:t xml:space="preserve"> shift to </w:t>
      </w:r>
      <w:r w:rsidR="002672D4">
        <w:rPr>
          <w:bCs/>
        </w:rPr>
        <w:t>W</w:t>
      </w:r>
      <w:r w:rsidRPr="005F754D">
        <w:rPr>
          <w:bCs/>
        </w:rPr>
        <w:t>eek 12</w:t>
      </w:r>
      <w:bookmarkEnd w:id="203"/>
    </w:p>
    <w:p w14:paraId="17460459" w14:textId="77777777" w:rsidR="001F7896" w:rsidRDefault="00DA5EBB" w:rsidP="00C22678">
      <w:pPr>
        <w:rPr>
          <w:lang w:eastAsia="ja-JP"/>
        </w:rPr>
      </w:pPr>
      <w:r>
        <w:rPr>
          <w:noProof/>
          <w:lang w:eastAsia="en-AU"/>
        </w:rPr>
        <w:drawing>
          <wp:inline distT="0" distB="0" distL="0" distR="0" wp14:anchorId="3ED82C6D" wp14:editId="062D1C28">
            <wp:extent cx="5494749" cy="1126541"/>
            <wp:effectExtent l="0" t="0" r="0" b="0"/>
            <wp:docPr id="42" name="Picture 42" descr="Table 27: FUTURE-1 Parents GCIS; shift to we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BEBA8EAE-BF5A-486C-A8C5-ECC9F3942E4B}">
                          <a14:imgProps xmlns:a14="http://schemas.microsoft.com/office/drawing/2010/main">
                            <a14:imgLayer r:embed="rId65">
                              <a14:imgEffect>
                                <a14:brightnessContrast contrast="-40000"/>
                              </a14:imgEffect>
                            </a14:imgLayer>
                          </a14:imgProps>
                        </a:ext>
                      </a:extLst>
                    </a:blip>
                    <a:stretch>
                      <a:fillRect/>
                    </a:stretch>
                  </pic:blipFill>
                  <pic:spPr>
                    <a:xfrm>
                      <a:off x="0" y="0"/>
                      <a:ext cx="5516579" cy="1131017"/>
                    </a:xfrm>
                    <a:prstGeom prst="rect">
                      <a:avLst/>
                    </a:prstGeom>
                  </pic:spPr>
                </pic:pic>
              </a:graphicData>
            </a:graphic>
          </wp:inline>
        </w:drawing>
      </w:r>
    </w:p>
    <w:p w14:paraId="74218406" w14:textId="50270874" w:rsidR="00DA5EBB" w:rsidRDefault="00DA5EBB" w:rsidP="00DA5EBB">
      <w:pPr>
        <w:pStyle w:val="Tabletitle"/>
        <w:rPr>
          <w:lang w:eastAsia="ja-JP"/>
        </w:rPr>
      </w:pPr>
      <w:bookmarkStart w:id="204" w:name="_Ref463862608"/>
      <w:bookmarkStart w:id="205" w:name="_Toc473884072"/>
      <w:r w:rsidRPr="005F754D">
        <w:lastRenderedPageBreak/>
        <w:t xml:space="preserve">Table </w:t>
      </w:r>
      <w:bookmarkEnd w:id="204"/>
      <w:r w:rsidR="005F754D" w:rsidRPr="005F754D">
        <w:t>28:</w:t>
      </w:r>
      <w:r w:rsidRPr="005F754D">
        <w:t xml:space="preserve"> FUTURE-1 </w:t>
      </w:r>
      <w:r w:rsidRPr="005F754D">
        <w:rPr>
          <w:bCs/>
        </w:rPr>
        <w:t xml:space="preserve">Physicians </w:t>
      </w:r>
      <w:r w:rsidR="005F754D">
        <w:rPr>
          <w:bCs/>
        </w:rPr>
        <w:t>GCIS;</w:t>
      </w:r>
      <w:r w:rsidRPr="005F754D">
        <w:rPr>
          <w:bCs/>
        </w:rPr>
        <w:t xml:space="preserve"> shift to </w:t>
      </w:r>
      <w:r w:rsidR="002672D4">
        <w:rPr>
          <w:bCs/>
        </w:rPr>
        <w:t>W</w:t>
      </w:r>
      <w:r w:rsidR="002672D4" w:rsidRPr="005F754D">
        <w:rPr>
          <w:bCs/>
        </w:rPr>
        <w:t xml:space="preserve">eek </w:t>
      </w:r>
      <w:r w:rsidRPr="005F754D">
        <w:rPr>
          <w:bCs/>
        </w:rPr>
        <w:t>12</w:t>
      </w:r>
      <w:bookmarkEnd w:id="205"/>
    </w:p>
    <w:p w14:paraId="44D2D523" w14:textId="77777777" w:rsidR="001F7896" w:rsidRDefault="00DA5EBB" w:rsidP="00C22678">
      <w:pPr>
        <w:rPr>
          <w:lang w:eastAsia="ja-JP"/>
        </w:rPr>
      </w:pPr>
      <w:r>
        <w:rPr>
          <w:noProof/>
          <w:lang w:eastAsia="en-AU"/>
        </w:rPr>
        <w:drawing>
          <wp:inline distT="0" distB="0" distL="0" distR="0" wp14:anchorId="0B9DD3BF" wp14:editId="40D0F61E">
            <wp:extent cx="5435194" cy="1095169"/>
            <wp:effectExtent l="0" t="0" r="0" b="0"/>
            <wp:docPr id="43" name="Picture 43" descr="Table 28: FUTURE-1 Physicians GCIS; shift to we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brightnessContrast contrast="-40000"/>
                              </a14:imgEffect>
                            </a14:imgLayer>
                          </a14:imgProps>
                        </a:ext>
                      </a:extLst>
                    </a:blip>
                    <a:stretch>
                      <a:fillRect/>
                    </a:stretch>
                  </pic:blipFill>
                  <pic:spPr>
                    <a:xfrm>
                      <a:off x="0" y="0"/>
                      <a:ext cx="5431776" cy="1094480"/>
                    </a:xfrm>
                    <a:prstGeom prst="rect">
                      <a:avLst/>
                    </a:prstGeom>
                  </pic:spPr>
                </pic:pic>
              </a:graphicData>
            </a:graphic>
          </wp:inline>
        </w:drawing>
      </w:r>
    </w:p>
    <w:p w14:paraId="67477C66" w14:textId="77777777" w:rsidR="00DA5EBB" w:rsidRDefault="00DA5EBB" w:rsidP="00DA5EBB">
      <w:pPr>
        <w:pStyle w:val="Tabletitle"/>
        <w:rPr>
          <w:lang w:eastAsia="ja-JP"/>
        </w:rPr>
      </w:pPr>
      <w:bookmarkStart w:id="206" w:name="_Ref463862999"/>
      <w:bookmarkStart w:id="207" w:name="_Toc473884073"/>
      <w:r w:rsidRPr="005F754D">
        <w:t xml:space="preserve">Table </w:t>
      </w:r>
      <w:bookmarkEnd w:id="206"/>
      <w:r w:rsidR="005F754D" w:rsidRPr="005F754D">
        <w:t>29:</w:t>
      </w:r>
      <w:r w:rsidRPr="005F754D">
        <w:t xml:space="preserve"> FUTURE-1 Change</w:t>
      </w:r>
      <w:r w:rsidRPr="00165705">
        <w:t xml:space="preserve"> from baseline to Week 12 on PHS and PSS (SF-10)</w:t>
      </w:r>
      <w:bookmarkEnd w:id="207"/>
    </w:p>
    <w:p w14:paraId="3C7C4958" w14:textId="77777777" w:rsidR="001F7896" w:rsidRDefault="00DA5EBB" w:rsidP="00C22678">
      <w:pPr>
        <w:rPr>
          <w:lang w:eastAsia="ja-JP"/>
        </w:rPr>
      </w:pPr>
      <w:r>
        <w:rPr>
          <w:noProof/>
          <w:lang w:eastAsia="en-AU"/>
        </w:rPr>
        <w:drawing>
          <wp:inline distT="0" distB="0" distL="0" distR="0" wp14:anchorId="2B7EAB6D" wp14:editId="358335DC">
            <wp:extent cx="2648102" cy="6498410"/>
            <wp:effectExtent l="0" t="0" r="0" b="0"/>
            <wp:docPr id="44" name="Picture 44" descr="Table 29: FUTURE-1 Change from baseline to Week 12 on PHS and PSS (S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BEBA8EAE-BF5A-486C-A8C5-ECC9F3942E4B}">
                          <a14:imgProps xmlns:a14="http://schemas.microsoft.com/office/drawing/2010/main">
                            <a14:imgLayer r:embed="rId69">
                              <a14:imgEffect>
                                <a14:brightnessContrast contrast="-40000"/>
                              </a14:imgEffect>
                            </a14:imgLayer>
                          </a14:imgProps>
                        </a:ext>
                      </a:extLst>
                    </a:blip>
                    <a:stretch>
                      <a:fillRect/>
                    </a:stretch>
                  </pic:blipFill>
                  <pic:spPr>
                    <a:xfrm>
                      <a:off x="0" y="0"/>
                      <a:ext cx="2651094" cy="6505753"/>
                    </a:xfrm>
                    <a:prstGeom prst="rect">
                      <a:avLst/>
                    </a:prstGeom>
                  </pic:spPr>
                </pic:pic>
              </a:graphicData>
            </a:graphic>
          </wp:inline>
        </w:drawing>
      </w:r>
    </w:p>
    <w:p w14:paraId="07168B37" w14:textId="77777777" w:rsidR="00DA5EBB" w:rsidRPr="00DA5EBB" w:rsidRDefault="00DA5EBB" w:rsidP="00153B34">
      <w:pPr>
        <w:pStyle w:val="Heading4"/>
        <w:numPr>
          <w:ilvl w:val="2"/>
          <w:numId w:val="15"/>
        </w:numPr>
      </w:pPr>
      <w:r w:rsidRPr="00DA5EBB">
        <w:lastRenderedPageBreak/>
        <w:t>AC-052-367 FUTURE-2</w:t>
      </w:r>
    </w:p>
    <w:p w14:paraId="06E77315" w14:textId="77777777" w:rsidR="007C6D8D" w:rsidRDefault="00DA5EBB" w:rsidP="00DA5EBB">
      <w:pPr>
        <w:rPr>
          <w:lang w:eastAsia="ja-JP"/>
        </w:rPr>
      </w:pPr>
      <w:r>
        <w:rPr>
          <w:lang w:eastAsia="ja-JP"/>
        </w:rPr>
        <w:t xml:space="preserve">The primary objective of this </w:t>
      </w:r>
      <w:r w:rsidR="0066478A">
        <w:rPr>
          <w:lang w:eastAsia="ja-JP"/>
        </w:rPr>
        <w:t>study</w:t>
      </w:r>
      <w:r>
        <w:rPr>
          <w:lang w:eastAsia="ja-JP"/>
        </w:rPr>
        <w:t xml:space="preserve"> was to assess the </w:t>
      </w:r>
      <w:r w:rsidR="007C6D8D">
        <w:rPr>
          <w:lang w:eastAsia="ja-JP"/>
        </w:rPr>
        <w:t>long term</w:t>
      </w:r>
      <w:r>
        <w:rPr>
          <w:lang w:eastAsia="ja-JP"/>
        </w:rPr>
        <w:t xml:space="preserve"> safety and tolerability of the paediatric formulation of bosentan in children with idiopathic or familial PAH. A summary of </w:t>
      </w:r>
      <w:r w:rsidR="0066478A">
        <w:rPr>
          <w:lang w:eastAsia="ja-JP"/>
        </w:rPr>
        <w:t>study</w:t>
      </w:r>
      <w:r>
        <w:rPr>
          <w:lang w:eastAsia="ja-JP"/>
        </w:rPr>
        <w:t xml:space="preserve"> design is provided in </w:t>
      </w:r>
      <w:r w:rsidR="009C6335">
        <w:rPr>
          <w:lang w:eastAsia="ja-JP"/>
        </w:rPr>
        <w:t>Section 8</w:t>
      </w:r>
      <w:r w:rsidR="007C6D8D">
        <w:rPr>
          <w:lang w:eastAsia="ja-JP"/>
        </w:rPr>
        <w:t>.</w:t>
      </w:r>
    </w:p>
    <w:p w14:paraId="7836A5A5" w14:textId="047C2781" w:rsidR="00DA5EBB" w:rsidRPr="00581884" w:rsidRDefault="00DA5EBB" w:rsidP="00DA5EBB">
      <w:pPr>
        <w:rPr>
          <w:lang w:eastAsia="ja-JP"/>
        </w:rPr>
      </w:pPr>
      <w:r w:rsidRPr="00581884">
        <w:rPr>
          <w:lang w:eastAsia="ja-JP"/>
        </w:rPr>
        <w:t xml:space="preserve">Secondary objectives </w:t>
      </w:r>
      <w:r>
        <w:rPr>
          <w:lang w:eastAsia="ja-JP"/>
        </w:rPr>
        <w:t xml:space="preserve">of the FUTURE-2 </w:t>
      </w:r>
      <w:r w:rsidR="00E77015">
        <w:rPr>
          <w:lang w:eastAsia="ja-JP"/>
        </w:rPr>
        <w:t>Study</w:t>
      </w:r>
      <w:r>
        <w:rPr>
          <w:lang w:eastAsia="ja-JP"/>
        </w:rPr>
        <w:t xml:space="preserve"> </w:t>
      </w:r>
      <w:r w:rsidRPr="00581884">
        <w:rPr>
          <w:lang w:eastAsia="ja-JP"/>
        </w:rPr>
        <w:t>included an exploratory</w:t>
      </w:r>
      <w:r>
        <w:rPr>
          <w:lang w:eastAsia="ja-JP"/>
        </w:rPr>
        <w:t xml:space="preserve"> </w:t>
      </w:r>
      <w:r w:rsidRPr="00581884">
        <w:rPr>
          <w:lang w:eastAsia="ja-JP"/>
        </w:rPr>
        <w:t>evaluation of functional capacity, quality of life (QoL),</w:t>
      </w:r>
      <w:r>
        <w:rPr>
          <w:lang w:eastAsia="ja-JP"/>
        </w:rPr>
        <w:t xml:space="preserve"> </w:t>
      </w:r>
      <w:r w:rsidRPr="00581884">
        <w:rPr>
          <w:lang w:eastAsia="ja-JP"/>
        </w:rPr>
        <w:t>physicians</w:t>
      </w:r>
      <w:r>
        <w:rPr>
          <w:lang w:val="en-US" w:eastAsia="ja-JP"/>
        </w:rPr>
        <w:t>’</w:t>
      </w:r>
      <w:r w:rsidRPr="00581884">
        <w:rPr>
          <w:lang w:eastAsia="ja-JP"/>
        </w:rPr>
        <w:t xml:space="preserve"> and parents</w:t>
      </w:r>
      <w:r>
        <w:rPr>
          <w:lang w:val="en-US" w:eastAsia="ja-JP"/>
        </w:rPr>
        <w:t>’</w:t>
      </w:r>
      <w:r w:rsidRPr="00581884">
        <w:rPr>
          <w:lang w:eastAsia="ja-JP"/>
        </w:rPr>
        <w:t xml:space="preserve"> </w:t>
      </w:r>
      <w:r>
        <w:rPr>
          <w:lang w:eastAsia="ja-JP"/>
        </w:rPr>
        <w:t>GCIS</w:t>
      </w:r>
      <w:r w:rsidRPr="00581884">
        <w:rPr>
          <w:lang w:eastAsia="ja-JP"/>
        </w:rPr>
        <w:t>, time to PAH worsening, time to initiation of new</w:t>
      </w:r>
      <w:r>
        <w:rPr>
          <w:lang w:eastAsia="ja-JP"/>
        </w:rPr>
        <w:t xml:space="preserve"> </w:t>
      </w:r>
      <w:r w:rsidRPr="00581884">
        <w:rPr>
          <w:lang w:eastAsia="ja-JP"/>
        </w:rPr>
        <w:t>therapy for PAH and time to new onset or worsening of</w:t>
      </w:r>
      <w:r>
        <w:rPr>
          <w:lang w:eastAsia="ja-JP"/>
        </w:rPr>
        <w:t xml:space="preserve"> </w:t>
      </w:r>
      <w:r w:rsidRPr="00581884">
        <w:rPr>
          <w:lang w:eastAsia="ja-JP"/>
        </w:rPr>
        <w:t>right heart failure. Another objective was to assess</w:t>
      </w:r>
      <w:r>
        <w:rPr>
          <w:lang w:eastAsia="ja-JP"/>
        </w:rPr>
        <w:t xml:space="preserve"> </w:t>
      </w:r>
      <w:r w:rsidR="007C6D8D">
        <w:rPr>
          <w:lang w:eastAsia="ja-JP"/>
        </w:rPr>
        <w:t>long term</w:t>
      </w:r>
      <w:r w:rsidRPr="00581884">
        <w:rPr>
          <w:lang w:eastAsia="ja-JP"/>
        </w:rPr>
        <w:t xml:space="preserve"> vital status. </w:t>
      </w:r>
      <w:r>
        <w:rPr>
          <w:lang w:eastAsia="ja-JP"/>
        </w:rPr>
        <w:t>All efficacy analyses were exploratory.</w:t>
      </w:r>
    </w:p>
    <w:p w14:paraId="637DB3E9" w14:textId="77777777" w:rsidR="00DA5EBB" w:rsidRPr="00581884" w:rsidRDefault="00DA5EBB" w:rsidP="00DA5EBB">
      <w:pPr>
        <w:rPr>
          <w:lang w:eastAsia="ja-JP"/>
        </w:rPr>
      </w:pPr>
      <w:r w:rsidRPr="00127973">
        <w:rPr>
          <w:lang w:eastAsia="ja-JP"/>
        </w:rPr>
        <w:t xml:space="preserve">Data for WHO </w:t>
      </w:r>
      <w:r>
        <w:rPr>
          <w:lang w:eastAsia="ja-JP"/>
        </w:rPr>
        <w:t>FC</w:t>
      </w:r>
      <w:r w:rsidRPr="00127973">
        <w:rPr>
          <w:lang w:eastAsia="ja-JP"/>
        </w:rPr>
        <w:t xml:space="preserve"> at baseline and end of </w:t>
      </w:r>
      <w:r w:rsidR="0066478A">
        <w:rPr>
          <w:lang w:eastAsia="ja-JP"/>
        </w:rPr>
        <w:t>study</w:t>
      </w:r>
      <w:r w:rsidRPr="00127973">
        <w:rPr>
          <w:lang w:eastAsia="ja-JP"/>
        </w:rPr>
        <w:t xml:space="preserve"> </w:t>
      </w:r>
      <w:r>
        <w:rPr>
          <w:lang w:eastAsia="ja-JP"/>
        </w:rPr>
        <w:t xml:space="preserve">(EOS) </w:t>
      </w:r>
      <w:r w:rsidRPr="00127973">
        <w:rPr>
          <w:lang w:eastAsia="ja-JP"/>
        </w:rPr>
        <w:t>or premature discontinuation</w:t>
      </w:r>
      <w:r>
        <w:rPr>
          <w:lang w:eastAsia="ja-JP"/>
        </w:rPr>
        <w:t xml:space="preserve"> </w:t>
      </w:r>
      <w:r w:rsidRPr="00127973">
        <w:rPr>
          <w:lang w:eastAsia="ja-JP"/>
        </w:rPr>
        <w:t xml:space="preserve">of </w:t>
      </w:r>
      <w:r w:rsidR="0066478A">
        <w:rPr>
          <w:lang w:eastAsia="ja-JP"/>
        </w:rPr>
        <w:t>study</w:t>
      </w:r>
      <w:r w:rsidRPr="00127973">
        <w:rPr>
          <w:lang w:eastAsia="ja-JP"/>
        </w:rPr>
        <w:t xml:space="preserve"> drug (</w:t>
      </w:r>
      <w:r w:rsidR="009C6335">
        <w:rPr>
          <w:lang w:eastAsia="ja-JP"/>
        </w:rPr>
        <w:t>FUTURE-1</w:t>
      </w:r>
      <w:r w:rsidRPr="00127973">
        <w:rPr>
          <w:lang w:eastAsia="ja-JP"/>
        </w:rPr>
        <w:t xml:space="preserve"> or 2) were available for 28 patients</w:t>
      </w:r>
      <w:r>
        <w:rPr>
          <w:lang w:eastAsia="ja-JP"/>
        </w:rPr>
        <w:t xml:space="preserve"> (</w:t>
      </w:r>
      <w:r w:rsidR="002E7063">
        <w:rPr>
          <w:lang w:eastAsia="ja-JP"/>
        </w:rPr>
        <w:t>Table 30</w:t>
      </w:r>
      <w:r>
        <w:rPr>
          <w:lang w:eastAsia="ja-JP"/>
        </w:rPr>
        <w:t>)</w:t>
      </w:r>
      <w:r w:rsidRPr="00127973">
        <w:rPr>
          <w:lang w:eastAsia="ja-JP"/>
        </w:rPr>
        <w:t xml:space="preserve">. </w:t>
      </w:r>
      <w:r>
        <w:rPr>
          <w:lang w:eastAsia="ja-JP"/>
        </w:rPr>
        <w:t xml:space="preserve">From baseline of </w:t>
      </w:r>
      <w:r w:rsidR="009C6335">
        <w:rPr>
          <w:lang w:eastAsia="ja-JP"/>
        </w:rPr>
        <w:t>FUTURE-1</w:t>
      </w:r>
      <w:r w:rsidRPr="00127973">
        <w:rPr>
          <w:lang w:eastAsia="ja-JP"/>
        </w:rPr>
        <w:t xml:space="preserve"> to the </w:t>
      </w:r>
      <w:r>
        <w:rPr>
          <w:lang w:eastAsia="ja-JP"/>
        </w:rPr>
        <w:t>EOS</w:t>
      </w:r>
      <w:r w:rsidRPr="00127973">
        <w:rPr>
          <w:lang w:eastAsia="ja-JP"/>
        </w:rPr>
        <w:t xml:space="preserve"> or premature discontinuation of </w:t>
      </w:r>
      <w:r w:rsidR="0066478A">
        <w:rPr>
          <w:lang w:eastAsia="ja-JP"/>
        </w:rPr>
        <w:t>study</w:t>
      </w:r>
      <w:r w:rsidRPr="00127973">
        <w:rPr>
          <w:lang w:eastAsia="ja-JP"/>
        </w:rPr>
        <w:t xml:space="preserve"> drug, WHO</w:t>
      </w:r>
      <w:r>
        <w:rPr>
          <w:lang w:eastAsia="ja-JP"/>
        </w:rPr>
        <w:t xml:space="preserve"> FC</w:t>
      </w:r>
      <w:r w:rsidRPr="00127973">
        <w:rPr>
          <w:lang w:eastAsia="ja-JP"/>
        </w:rPr>
        <w:t xml:space="preserve"> had improved in 11 patients (39.3%). A worsening was observed in</w:t>
      </w:r>
      <w:r>
        <w:rPr>
          <w:lang w:eastAsia="ja-JP"/>
        </w:rPr>
        <w:t xml:space="preserve"> </w:t>
      </w:r>
      <w:r w:rsidRPr="00127973">
        <w:rPr>
          <w:lang w:eastAsia="ja-JP"/>
        </w:rPr>
        <w:t>2 patients (7.1%)</w:t>
      </w:r>
      <w:r>
        <w:rPr>
          <w:lang w:eastAsia="ja-JP"/>
        </w:rPr>
        <w:t xml:space="preserve">. </w:t>
      </w:r>
      <w:r w:rsidRPr="00127973">
        <w:rPr>
          <w:lang w:eastAsia="ja-JP"/>
        </w:rPr>
        <w:t>Both of these patients discon</w:t>
      </w:r>
      <w:r>
        <w:rPr>
          <w:lang w:eastAsia="ja-JP"/>
        </w:rPr>
        <w:t xml:space="preserve">tinued after less than 6 months </w:t>
      </w:r>
      <w:r w:rsidRPr="00127973">
        <w:rPr>
          <w:lang w:eastAsia="ja-JP"/>
        </w:rPr>
        <w:t xml:space="preserve">in </w:t>
      </w:r>
      <w:r w:rsidR="009C6335">
        <w:rPr>
          <w:lang w:eastAsia="ja-JP"/>
        </w:rPr>
        <w:t>FUTURE-2</w:t>
      </w:r>
      <w:r w:rsidRPr="00127973">
        <w:rPr>
          <w:lang w:eastAsia="ja-JP"/>
        </w:rPr>
        <w:t xml:space="preserve"> due to death </w:t>
      </w:r>
      <w:r>
        <w:rPr>
          <w:lang w:eastAsia="ja-JP"/>
        </w:rPr>
        <w:t xml:space="preserve">and disease progression, </w:t>
      </w:r>
      <w:r w:rsidRPr="00127973">
        <w:rPr>
          <w:lang w:eastAsia="ja-JP"/>
        </w:rPr>
        <w:t>respectively</w:t>
      </w:r>
      <w:r>
        <w:rPr>
          <w:lang w:eastAsia="ja-JP"/>
        </w:rPr>
        <w:t>.</w:t>
      </w:r>
    </w:p>
    <w:p w14:paraId="686BCCFB" w14:textId="77777777" w:rsidR="007C6D8D" w:rsidRPr="002E7063" w:rsidRDefault="00DA5EBB" w:rsidP="00DA5EBB">
      <w:pPr>
        <w:rPr>
          <w:lang w:eastAsia="ja-JP"/>
        </w:rPr>
      </w:pPr>
      <w:r w:rsidRPr="00127973">
        <w:rPr>
          <w:lang w:eastAsia="ja-JP"/>
        </w:rPr>
        <w:t xml:space="preserve">QoL was assessed using the questionnaire SF-10 for </w:t>
      </w:r>
      <w:r>
        <w:rPr>
          <w:lang w:eastAsia="ja-JP"/>
        </w:rPr>
        <w:t>C</w:t>
      </w:r>
      <w:r w:rsidRPr="00127973">
        <w:rPr>
          <w:lang w:eastAsia="ja-JP"/>
        </w:rPr>
        <w:t>hildren</w:t>
      </w:r>
      <w:r>
        <w:rPr>
          <w:lang w:eastAsia="ja-JP"/>
        </w:rPr>
        <w:t xml:space="preserve">. Parents/legal </w:t>
      </w:r>
      <w:r w:rsidRPr="00127973">
        <w:rPr>
          <w:lang w:eastAsia="ja-JP"/>
        </w:rPr>
        <w:t>representatives of patients complete</w:t>
      </w:r>
      <w:r>
        <w:rPr>
          <w:lang w:eastAsia="ja-JP"/>
        </w:rPr>
        <w:t>d</w:t>
      </w:r>
      <w:r w:rsidRPr="00127973">
        <w:rPr>
          <w:lang w:eastAsia="ja-JP"/>
        </w:rPr>
        <w:t xml:space="preserve"> the questionnaire at the baseline visit of</w:t>
      </w:r>
      <w:r>
        <w:rPr>
          <w:lang w:eastAsia="ja-JP"/>
        </w:rPr>
        <w:t xml:space="preserve"> the </w:t>
      </w:r>
      <w:r w:rsidR="009C6335">
        <w:rPr>
          <w:lang w:eastAsia="ja-JP"/>
        </w:rPr>
        <w:t>FUTURE-1</w:t>
      </w:r>
      <w:r>
        <w:rPr>
          <w:lang w:eastAsia="ja-JP"/>
        </w:rPr>
        <w:t xml:space="preserve"> </w:t>
      </w:r>
      <w:r w:rsidR="00E77015">
        <w:rPr>
          <w:lang w:eastAsia="ja-JP"/>
        </w:rPr>
        <w:t>Study</w:t>
      </w:r>
      <w:r>
        <w:rPr>
          <w:lang w:eastAsia="ja-JP"/>
        </w:rPr>
        <w:t xml:space="preserve">, </w:t>
      </w:r>
      <w:r w:rsidR="009C6335">
        <w:rPr>
          <w:lang w:eastAsia="ja-JP"/>
        </w:rPr>
        <w:t>every 6 </w:t>
      </w:r>
      <w:r w:rsidRPr="00127973">
        <w:rPr>
          <w:lang w:eastAsia="ja-JP"/>
        </w:rPr>
        <w:t>months</w:t>
      </w:r>
      <w:r w:rsidRPr="005018F6">
        <w:rPr>
          <w:lang w:eastAsia="ja-JP"/>
        </w:rPr>
        <w:t xml:space="preserve"> </w:t>
      </w:r>
      <w:r w:rsidRPr="00127973">
        <w:rPr>
          <w:lang w:eastAsia="ja-JP"/>
        </w:rPr>
        <w:t>thereafter</w:t>
      </w:r>
      <w:r>
        <w:rPr>
          <w:lang w:eastAsia="ja-JP"/>
        </w:rPr>
        <w:t xml:space="preserve"> and </w:t>
      </w:r>
      <w:r w:rsidRPr="00127973">
        <w:rPr>
          <w:lang w:eastAsia="ja-JP"/>
        </w:rPr>
        <w:t xml:space="preserve">at the </w:t>
      </w:r>
      <w:r>
        <w:rPr>
          <w:lang w:eastAsia="ja-JP"/>
        </w:rPr>
        <w:t>EOS</w:t>
      </w:r>
      <w:r w:rsidRPr="00127973">
        <w:rPr>
          <w:lang w:eastAsia="ja-JP"/>
        </w:rPr>
        <w:t xml:space="preserve"> or</w:t>
      </w:r>
      <w:r>
        <w:rPr>
          <w:lang w:eastAsia="ja-JP"/>
        </w:rPr>
        <w:t xml:space="preserve"> </w:t>
      </w:r>
      <w:r w:rsidRPr="00127973">
        <w:rPr>
          <w:lang w:eastAsia="ja-JP"/>
        </w:rPr>
        <w:t xml:space="preserve">premature discontinuation. </w:t>
      </w:r>
      <w:r>
        <w:rPr>
          <w:lang w:eastAsia="ja-JP"/>
        </w:rPr>
        <w:t>T</w:t>
      </w:r>
      <w:r w:rsidRPr="004B2E0C">
        <w:rPr>
          <w:lang w:eastAsia="ja-JP"/>
        </w:rPr>
        <w:t xml:space="preserve">he mean SF-10 </w:t>
      </w:r>
      <w:r>
        <w:rPr>
          <w:lang w:eastAsia="ja-JP"/>
        </w:rPr>
        <w:t>PHS</w:t>
      </w:r>
      <w:r w:rsidRPr="004B2E0C">
        <w:rPr>
          <w:lang w:eastAsia="ja-JP"/>
        </w:rPr>
        <w:t xml:space="preserve"> improved from baseline to </w:t>
      </w:r>
      <w:r>
        <w:rPr>
          <w:lang w:eastAsia="ja-JP"/>
        </w:rPr>
        <w:t>EOS</w:t>
      </w:r>
      <w:r w:rsidRPr="004B2E0C">
        <w:rPr>
          <w:lang w:eastAsia="ja-JP"/>
        </w:rPr>
        <w:t xml:space="preserve"> or premature discontinuation. The mean SF-10 </w:t>
      </w:r>
      <w:r>
        <w:rPr>
          <w:lang w:eastAsia="ja-JP"/>
        </w:rPr>
        <w:t>PSS</w:t>
      </w:r>
      <w:r w:rsidRPr="004B2E0C">
        <w:rPr>
          <w:lang w:eastAsia="ja-JP"/>
        </w:rPr>
        <w:t xml:space="preserve"> decreased </w:t>
      </w:r>
      <w:r w:rsidRPr="002E7063">
        <w:rPr>
          <w:lang w:eastAsia="ja-JP"/>
        </w:rPr>
        <w:t>slightly (</w:t>
      </w:r>
      <w:r w:rsidR="002E7063" w:rsidRPr="002E7063">
        <w:rPr>
          <w:lang w:eastAsia="ja-JP"/>
        </w:rPr>
        <w:t>Table 31</w:t>
      </w:r>
      <w:r w:rsidRPr="002E7063">
        <w:rPr>
          <w:lang w:eastAsia="ja-JP"/>
        </w:rPr>
        <w:t>)</w:t>
      </w:r>
      <w:r w:rsidR="007C6D8D" w:rsidRPr="002E7063">
        <w:rPr>
          <w:lang w:eastAsia="ja-JP"/>
        </w:rPr>
        <w:t>.</w:t>
      </w:r>
    </w:p>
    <w:p w14:paraId="0AA3A323" w14:textId="77777777" w:rsidR="00DA5EBB" w:rsidRDefault="00DA5EBB" w:rsidP="00DA5EBB">
      <w:pPr>
        <w:rPr>
          <w:lang w:eastAsia="ja-JP"/>
        </w:rPr>
      </w:pPr>
      <w:r w:rsidRPr="00A65FEA">
        <w:rPr>
          <w:lang w:eastAsia="ja-JP"/>
        </w:rPr>
        <w:t>Parents/legal representatives and physicians assess</w:t>
      </w:r>
      <w:r>
        <w:rPr>
          <w:lang w:eastAsia="ja-JP"/>
        </w:rPr>
        <w:t>ed</w:t>
      </w:r>
      <w:r w:rsidRPr="00A65FEA">
        <w:rPr>
          <w:lang w:eastAsia="ja-JP"/>
        </w:rPr>
        <w:t xml:space="preserve"> the overall</w:t>
      </w:r>
      <w:r>
        <w:rPr>
          <w:lang w:eastAsia="ja-JP"/>
        </w:rPr>
        <w:t xml:space="preserve"> GCIS</w:t>
      </w:r>
      <w:r w:rsidRPr="00A65FEA">
        <w:rPr>
          <w:lang w:eastAsia="ja-JP"/>
        </w:rPr>
        <w:t xml:space="preserve"> of patients </w:t>
      </w:r>
      <w:r>
        <w:rPr>
          <w:lang w:eastAsia="ja-JP"/>
        </w:rPr>
        <w:t xml:space="preserve">at baseline, </w:t>
      </w:r>
      <w:r w:rsidRPr="00A65FEA">
        <w:rPr>
          <w:lang w:eastAsia="ja-JP"/>
        </w:rPr>
        <w:t>every 6 months</w:t>
      </w:r>
      <w:r w:rsidRPr="005018F6">
        <w:rPr>
          <w:lang w:eastAsia="ja-JP"/>
        </w:rPr>
        <w:t xml:space="preserve"> </w:t>
      </w:r>
      <w:r w:rsidRPr="00A65FEA">
        <w:rPr>
          <w:lang w:eastAsia="ja-JP"/>
        </w:rPr>
        <w:t>thereafter</w:t>
      </w:r>
      <w:r>
        <w:rPr>
          <w:lang w:eastAsia="ja-JP"/>
        </w:rPr>
        <w:t xml:space="preserve"> and</w:t>
      </w:r>
      <w:r w:rsidRPr="00A65FEA">
        <w:rPr>
          <w:lang w:eastAsia="ja-JP"/>
        </w:rPr>
        <w:t xml:space="preserve"> at </w:t>
      </w:r>
      <w:r>
        <w:rPr>
          <w:lang w:eastAsia="ja-JP"/>
        </w:rPr>
        <w:t>EOS</w:t>
      </w:r>
      <w:r w:rsidRPr="00A65FEA">
        <w:rPr>
          <w:lang w:eastAsia="ja-JP"/>
        </w:rPr>
        <w:t xml:space="preserve"> or premature discontinuation of </w:t>
      </w:r>
      <w:r w:rsidR="0066478A">
        <w:rPr>
          <w:lang w:eastAsia="ja-JP"/>
        </w:rPr>
        <w:t>study</w:t>
      </w:r>
      <w:r w:rsidRPr="00A65FEA">
        <w:rPr>
          <w:lang w:eastAsia="ja-JP"/>
        </w:rPr>
        <w:t xml:space="preserve"> drug. The current condition was rated in comparison with that at the initiation of </w:t>
      </w:r>
      <w:r w:rsidR="009C6335">
        <w:rPr>
          <w:lang w:eastAsia="ja-JP"/>
        </w:rPr>
        <w:t>FUTURE-1</w:t>
      </w:r>
      <w:r w:rsidRPr="00A65FEA">
        <w:rPr>
          <w:lang w:eastAsia="ja-JP"/>
        </w:rPr>
        <w:t xml:space="preserve">. </w:t>
      </w:r>
      <w:r w:rsidRPr="006A7CBF">
        <w:rPr>
          <w:lang w:eastAsia="ja-JP"/>
        </w:rPr>
        <w:t>In 13 (81.3%) patients, GCI</w:t>
      </w:r>
      <w:r>
        <w:rPr>
          <w:lang w:eastAsia="ja-JP"/>
        </w:rPr>
        <w:t>S</w:t>
      </w:r>
      <w:r w:rsidRPr="006A7CBF">
        <w:rPr>
          <w:lang w:eastAsia="ja-JP"/>
        </w:rPr>
        <w:t xml:space="preserve"> as rated by the parents improved from baseline to </w:t>
      </w:r>
      <w:r>
        <w:rPr>
          <w:lang w:eastAsia="ja-JP"/>
        </w:rPr>
        <w:t>EOS</w:t>
      </w:r>
      <w:r w:rsidRPr="006A7CBF">
        <w:rPr>
          <w:lang w:eastAsia="ja-JP"/>
        </w:rPr>
        <w:t xml:space="preserve"> or premature discontinuation of </w:t>
      </w:r>
      <w:r w:rsidR="0066478A">
        <w:rPr>
          <w:lang w:eastAsia="ja-JP"/>
        </w:rPr>
        <w:t>study</w:t>
      </w:r>
      <w:r w:rsidRPr="006A7CBF">
        <w:rPr>
          <w:lang w:eastAsia="ja-JP"/>
        </w:rPr>
        <w:t xml:space="preserve"> drug (</w:t>
      </w:r>
      <w:r w:rsidR="009C6335">
        <w:rPr>
          <w:lang w:eastAsia="ja-JP"/>
        </w:rPr>
        <w:t>FUTURE-1</w:t>
      </w:r>
      <w:r w:rsidRPr="006A7CBF">
        <w:rPr>
          <w:lang w:eastAsia="ja-JP"/>
        </w:rPr>
        <w:t xml:space="preserve"> or 2). It remained unchanged in 2 patients, and worsened in 1 (6.3%) patient</w:t>
      </w:r>
      <w:r>
        <w:rPr>
          <w:lang w:eastAsia="ja-JP"/>
        </w:rPr>
        <w:t xml:space="preserve"> (</w:t>
      </w:r>
      <w:r w:rsidR="002E7063">
        <w:rPr>
          <w:lang w:eastAsia="ja-JP"/>
        </w:rPr>
        <w:t>Table 32</w:t>
      </w:r>
      <w:r>
        <w:rPr>
          <w:lang w:eastAsia="ja-JP"/>
        </w:rPr>
        <w:t>)</w:t>
      </w:r>
      <w:r w:rsidRPr="006A7CBF">
        <w:rPr>
          <w:lang w:eastAsia="ja-JP"/>
        </w:rPr>
        <w:t>.</w:t>
      </w:r>
      <w:r>
        <w:rPr>
          <w:lang w:eastAsia="ja-JP"/>
        </w:rPr>
        <w:t xml:space="preserve"> </w:t>
      </w:r>
      <w:r w:rsidRPr="006A7CBF">
        <w:rPr>
          <w:lang w:eastAsia="ja-JP"/>
        </w:rPr>
        <w:t>In 17 (65.4%) out of 26 patients with available data</w:t>
      </w:r>
      <w:r>
        <w:rPr>
          <w:lang w:eastAsia="ja-JP"/>
        </w:rPr>
        <w:t xml:space="preserve">, GCIS as rated by the physician </w:t>
      </w:r>
      <w:r w:rsidRPr="006A7CBF">
        <w:rPr>
          <w:lang w:eastAsia="ja-JP"/>
        </w:rPr>
        <w:t xml:space="preserve">improved from baseline to </w:t>
      </w:r>
      <w:r>
        <w:rPr>
          <w:lang w:eastAsia="ja-JP"/>
        </w:rPr>
        <w:t>EOS</w:t>
      </w:r>
      <w:r w:rsidRPr="006A7CBF">
        <w:rPr>
          <w:lang w:eastAsia="ja-JP"/>
        </w:rPr>
        <w:t xml:space="preserve"> or premature discontinuation of </w:t>
      </w:r>
      <w:r w:rsidR="0066478A">
        <w:rPr>
          <w:lang w:eastAsia="ja-JP"/>
        </w:rPr>
        <w:t>study</w:t>
      </w:r>
      <w:r w:rsidRPr="006A7CBF">
        <w:rPr>
          <w:lang w:eastAsia="ja-JP"/>
        </w:rPr>
        <w:t xml:space="preserve"> drug</w:t>
      </w:r>
      <w:r>
        <w:rPr>
          <w:lang w:eastAsia="ja-JP"/>
        </w:rPr>
        <w:t xml:space="preserve"> </w:t>
      </w:r>
      <w:r w:rsidRPr="006A7CBF">
        <w:rPr>
          <w:lang w:eastAsia="ja-JP"/>
        </w:rPr>
        <w:t>(</w:t>
      </w:r>
      <w:r w:rsidR="009C6335">
        <w:rPr>
          <w:lang w:eastAsia="ja-JP"/>
        </w:rPr>
        <w:t>FUTURE-1</w:t>
      </w:r>
      <w:r w:rsidRPr="006A7CBF">
        <w:rPr>
          <w:lang w:eastAsia="ja-JP"/>
        </w:rPr>
        <w:t xml:space="preserve"> or 2). GCI</w:t>
      </w:r>
      <w:r>
        <w:rPr>
          <w:lang w:eastAsia="ja-JP"/>
        </w:rPr>
        <w:t>S</w:t>
      </w:r>
      <w:r w:rsidRPr="006A7CBF">
        <w:rPr>
          <w:lang w:eastAsia="ja-JP"/>
        </w:rPr>
        <w:t xml:space="preserve"> as rated by the physician remained unchanged in 7 patients and</w:t>
      </w:r>
      <w:r>
        <w:rPr>
          <w:lang w:eastAsia="ja-JP"/>
        </w:rPr>
        <w:t xml:space="preserve"> </w:t>
      </w:r>
      <w:r w:rsidRPr="006A7CBF">
        <w:rPr>
          <w:lang w:eastAsia="ja-JP"/>
        </w:rPr>
        <w:t>worsened in 2 (7.7</w:t>
      </w:r>
      <w:r w:rsidRPr="002E7063">
        <w:rPr>
          <w:lang w:eastAsia="ja-JP"/>
        </w:rPr>
        <w:t>%) (</w:t>
      </w:r>
      <w:r w:rsidR="002E7063" w:rsidRPr="002E7063">
        <w:rPr>
          <w:lang w:eastAsia="ja-JP"/>
        </w:rPr>
        <w:t>Table 33</w:t>
      </w:r>
      <w:r w:rsidRPr="002E7063">
        <w:rPr>
          <w:lang w:eastAsia="ja-JP"/>
        </w:rPr>
        <w:t>).</w:t>
      </w:r>
    </w:p>
    <w:p w14:paraId="42B6230C" w14:textId="77777777" w:rsidR="00DA5EBB" w:rsidRDefault="00DA5EBB" w:rsidP="00DA5EBB">
      <w:pPr>
        <w:rPr>
          <w:lang w:eastAsia="ja-JP"/>
        </w:rPr>
      </w:pPr>
      <w:r w:rsidRPr="006A7CBF">
        <w:rPr>
          <w:lang w:eastAsia="ja-JP"/>
        </w:rPr>
        <w:t xml:space="preserve">Overall, the </w:t>
      </w:r>
      <w:r>
        <w:rPr>
          <w:lang w:eastAsia="ja-JP"/>
        </w:rPr>
        <w:t>KM</w:t>
      </w:r>
      <w:r w:rsidRPr="006A7CBF">
        <w:rPr>
          <w:lang w:eastAsia="ja-JP"/>
        </w:rPr>
        <w:t xml:space="preserve"> estimate of not having experienced worsening of PAH was 63.1% at 5 years (95% CI 35.3%, 81.6%)</w:t>
      </w:r>
      <w:r>
        <w:rPr>
          <w:lang w:eastAsia="ja-JP"/>
        </w:rPr>
        <w:t xml:space="preserve"> (</w:t>
      </w:r>
      <w:r w:rsidR="002E7063" w:rsidRPr="002E7063">
        <w:rPr>
          <w:lang w:eastAsia="ja-JP"/>
        </w:rPr>
        <w:t xml:space="preserve">Table </w:t>
      </w:r>
      <w:r w:rsidR="002E7063" w:rsidRPr="008806DA">
        <w:rPr>
          <w:lang w:eastAsia="ja-JP"/>
        </w:rPr>
        <w:t>34</w:t>
      </w:r>
      <w:r w:rsidRPr="008806DA">
        <w:rPr>
          <w:lang w:eastAsia="ja-JP"/>
        </w:rPr>
        <w:t>,</w:t>
      </w:r>
      <w:r w:rsidR="008806DA">
        <w:rPr>
          <w:lang w:eastAsia="ja-JP"/>
        </w:rPr>
        <w:t xml:space="preserve"> </w:t>
      </w:r>
      <w:r w:rsidR="008806DA" w:rsidRPr="008806DA">
        <w:rPr>
          <w:lang w:eastAsia="ja-JP"/>
        </w:rPr>
        <w:t>Figure 18</w:t>
      </w:r>
      <w:r w:rsidRPr="008806DA">
        <w:rPr>
          <w:lang w:eastAsia="ja-JP"/>
        </w:rPr>
        <w:t>). The</w:t>
      </w:r>
      <w:r>
        <w:rPr>
          <w:lang w:eastAsia="ja-JP"/>
        </w:rPr>
        <w:t xml:space="preserve"> K</w:t>
      </w:r>
      <w:r w:rsidRPr="006A7CBF">
        <w:rPr>
          <w:lang w:eastAsia="ja-JP"/>
        </w:rPr>
        <w:t>M estimate of not having experienced worsening of PAH, initiation of new therapy for PAH, new right heart failure or worsening of right heart failure at 5 years was 44.5% (95% CI 24.2%, 62.9</w:t>
      </w:r>
      <w:r w:rsidRPr="002E7063">
        <w:rPr>
          <w:lang w:eastAsia="ja-JP"/>
        </w:rPr>
        <w:t>%) (</w:t>
      </w:r>
      <w:r w:rsidR="002E7063" w:rsidRPr="008806DA">
        <w:rPr>
          <w:lang w:eastAsia="ja-JP"/>
        </w:rPr>
        <w:t>Table 35</w:t>
      </w:r>
      <w:r w:rsidRPr="008806DA">
        <w:rPr>
          <w:lang w:eastAsia="ja-JP"/>
        </w:rPr>
        <w:t>,</w:t>
      </w:r>
      <w:r w:rsidR="008806DA" w:rsidRPr="008806DA">
        <w:rPr>
          <w:lang w:eastAsia="ja-JP"/>
        </w:rPr>
        <w:t xml:space="preserve"> Figure 19</w:t>
      </w:r>
      <w:r w:rsidRPr="008806DA">
        <w:rPr>
          <w:lang w:eastAsia="ja-JP"/>
        </w:rPr>
        <w:t>).</w:t>
      </w:r>
    </w:p>
    <w:p w14:paraId="606B5913" w14:textId="2A043FC7" w:rsidR="00DA5EBB" w:rsidRDefault="00DA5EBB" w:rsidP="00DA5EBB">
      <w:pPr>
        <w:pStyle w:val="Tabletitle"/>
        <w:rPr>
          <w:lang w:eastAsia="ja-JP"/>
        </w:rPr>
      </w:pPr>
      <w:bookmarkStart w:id="208" w:name="_Ref463878192"/>
      <w:bookmarkStart w:id="209" w:name="_Toc473884074"/>
      <w:r w:rsidRPr="002E7063">
        <w:t xml:space="preserve">Table </w:t>
      </w:r>
      <w:bookmarkEnd w:id="208"/>
      <w:r w:rsidR="002E7063" w:rsidRPr="002E7063">
        <w:t>30</w:t>
      </w:r>
      <w:r w:rsidR="002E7063">
        <w:t>:</w:t>
      </w:r>
      <w:r>
        <w:t xml:space="preserve"> FUTURE-2 </w:t>
      </w:r>
      <w:r w:rsidRPr="003A7F95">
        <w:t xml:space="preserve">WHO </w:t>
      </w:r>
      <w:r>
        <w:t>FC</w:t>
      </w:r>
      <w:r w:rsidR="002672D4">
        <w:t>;</w:t>
      </w:r>
      <w:r w:rsidRPr="003A7F95">
        <w:t xml:space="preserve"> change from baseline to </w:t>
      </w:r>
      <w:r>
        <w:t>EOS</w:t>
      </w:r>
      <w:r w:rsidR="002E7063">
        <w:t>;</w:t>
      </w:r>
      <w:r w:rsidRPr="003A7F95">
        <w:t xml:space="preserve"> All-treated set</w:t>
      </w:r>
      <w:bookmarkEnd w:id="209"/>
    </w:p>
    <w:p w14:paraId="11452651" w14:textId="77777777" w:rsidR="001F7896" w:rsidRDefault="00452785" w:rsidP="00C22678">
      <w:pPr>
        <w:rPr>
          <w:lang w:eastAsia="ja-JP"/>
        </w:rPr>
      </w:pPr>
      <w:r>
        <w:rPr>
          <w:noProof/>
          <w:lang w:eastAsia="en-AU"/>
        </w:rPr>
        <w:drawing>
          <wp:inline distT="0" distB="0" distL="0" distR="0" wp14:anchorId="05B61AC8" wp14:editId="362E26AD">
            <wp:extent cx="5193792" cy="2297911"/>
            <wp:effectExtent l="0" t="0" r="6985" b="7620"/>
            <wp:docPr id="45" name="Picture 45" descr="Table 30: FUTURE-2 WHO FC: change from baseline to EO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BEBA8EAE-BF5A-486C-A8C5-ECC9F3942E4B}">
                          <a14:imgProps xmlns:a14="http://schemas.microsoft.com/office/drawing/2010/main">
                            <a14:imgLayer r:embed="rId71">
                              <a14:imgEffect>
                                <a14:brightnessContrast contrast="-40000"/>
                              </a14:imgEffect>
                            </a14:imgLayer>
                          </a14:imgProps>
                        </a:ext>
                      </a:extLst>
                    </a:blip>
                    <a:stretch>
                      <a:fillRect/>
                    </a:stretch>
                  </pic:blipFill>
                  <pic:spPr>
                    <a:xfrm>
                      <a:off x="0" y="0"/>
                      <a:ext cx="5190525" cy="2296466"/>
                    </a:xfrm>
                    <a:prstGeom prst="rect">
                      <a:avLst/>
                    </a:prstGeom>
                  </pic:spPr>
                </pic:pic>
              </a:graphicData>
            </a:graphic>
          </wp:inline>
        </w:drawing>
      </w:r>
    </w:p>
    <w:p w14:paraId="24DBA0EF" w14:textId="000F8CD0" w:rsidR="00452785" w:rsidRDefault="00452785" w:rsidP="00452785">
      <w:pPr>
        <w:pStyle w:val="Tabletitle"/>
        <w:rPr>
          <w:lang w:eastAsia="ja-JP"/>
        </w:rPr>
      </w:pPr>
      <w:bookmarkStart w:id="210" w:name="_Ref462738798"/>
      <w:bookmarkStart w:id="211" w:name="_Toc473884075"/>
      <w:r w:rsidRPr="002E7063">
        <w:lastRenderedPageBreak/>
        <w:t xml:space="preserve">Table </w:t>
      </w:r>
      <w:bookmarkEnd w:id="210"/>
      <w:r w:rsidR="002E7063" w:rsidRPr="002E7063">
        <w:t>3</w:t>
      </w:r>
      <w:r w:rsidR="002E7063">
        <w:t>1:</w:t>
      </w:r>
      <w:r>
        <w:t xml:space="preserve"> FUTURE-2 SF-10 scor</w:t>
      </w:r>
      <w:r w:rsidR="002E7063">
        <w:t>e</w:t>
      </w:r>
      <w:r w:rsidR="002672D4">
        <w:t>;</w:t>
      </w:r>
      <w:r w:rsidR="002E7063">
        <w:t xml:space="preserve"> change from baseline to EOS;</w:t>
      </w:r>
      <w:r>
        <w:t xml:space="preserve"> All-treated set</w:t>
      </w:r>
      <w:bookmarkEnd w:id="211"/>
    </w:p>
    <w:p w14:paraId="18B9AA72" w14:textId="77777777" w:rsidR="00DA5EBB" w:rsidRDefault="00452785" w:rsidP="00C22678">
      <w:pPr>
        <w:rPr>
          <w:lang w:eastAsia="ja-JP"/>
        </w:rPr>
      </w:pPr>
      <w:r>
        <w:rPr>
          <w:noProof/>
          <w:lang w:eastAsia="en-AU"/>
        </w:rPr>
        <w:drawing>
          <wp:inline distT="0" distB="0" distL="0" distR="0" wp14:anchorId="238E8148" wp14:editId="2D02771B">
            <wp:extent cx="4543425" cy="7191375"/>
            <wp:effectExtent l="0" t="0" r="9525" b="9525"/>
            <wp:docPr id="46" name="Picture 46" descr="Table 31: FUTURE-2 SF-10 score: change from baseline to EO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543425" cy="7191375"/>
                    </a:xfrm>
                    <a:prstGeom prst="rect">
                      <a:avLst/>
                    </a:prstGeom>
                  </pic:spPr>
                </pic:pic>
              </a:graphicData>
            </a:graphic>
          </wp:inline>
        </w:drawing>
      </w:r>
    </w:p>
    <w:p w14:paraId="25CCA50B" w14:textId="6F99C108" w:rsidR="00452785" w:rsidRDefault="00452785" w:rsidP="00452785">
      <w:pPr>
        <w:pStyle w:val="Tabletitle"/>
        <w:rPr>
          <w:lang w:eastAsia="ja-JP"/>
        </w:rPr>
      </w:pPr>
      <w:bookmarkStart w:id="212" w:name="_Ref462739200"/>
      <w:bookmarkStart w:id="213" w:name="_Toc473884076"/>
      <w:r w:rsidRPr="002E7063">
        <w:lastRenderedPageBreak/>
        <w:t xml:space="preserve">Table </w:t>
      </w:r>
      <w:bookmarkEnd w:id="212"/>
      <w:r w:rsidR="002E7063" w:rsidRPr="002E7063">
        <w:t>32:</w:t>
      </w:r>
      <w:r w:rsidRPr="002E7063">
        <w:t xml:space="preserve"> FUTURE-2 Parents’ GCIS</w:t>
      </w:r>
      <w:r w:rsidR="002672D4">
        <w:t>;</w:t>
      </w:r>
      <w:r w:rsidRPr="002E7063">
        <w:t xml:space="preserve"> change from baseline to EOS</w:t>
      </w:r>
      <w:r w:rsidR="002E7063">
        <w:t xml:space="preserve">; </w:t>
      </w:r>
      <w:r w:rsidRPr="002E7063">
        <w:t>All-treated set</w:t>
      </w:r>
      <w:bookmarkEnd w:id="213"/>
    </w:p>
    <w:p w14:paraId="36E4515E" w14:textId="77777777" w:rsidR="00DA5EBB" w:rsidRDefault="00452785" w:rsidP="00C22678">
      <w:pPr>
        <w:rPr>
          <w:lang w:eastAsia="ja-JP"/>
        </w:rPr>
      </w:pPr>
      <w:r>
        <w:rPr>
          <w:noProof/>
          <w:lang w:eastAsia="en-AU"/>
        </w:rPr>
        <w:drawing>
          <wp:inline distT="0" distB="0" distL="0" distR="0" wp14:anchorId="52A01961" wp14:editId="62FA7E85">
            <wp:extent cx="5179162" cy="1734892"/>
            <wp:effectExtent l="0" t="0" r="2540" b="0"/>
            <wp:docPr id="47" name="Picture 47" descr="Table 32: FUTURE-2 Parents’ GCIS: change from baseline to EO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brightnessContrast contrast="-40000"/>
                              </a14:imgEffect>
                            </a14:imgLayer>
                          </a14:imgProps>
                        </a:ext>
                      </a:extLst>
                    </a:blip>
                    <a:stretch>
                      <a:fillRect/>
                    </a:stretch>
                  </pic:blipFill>
                  <pic:spPr>
                    <a:xfrm>
                      <a:off x="0" y="0"/>
                      <a:ext cx="5188166" cy="1737908"/>
                    </a:xfrm>
                    <a:prstGeom prst="rect">
                      <a:avLst/>
                    </a:prstGeom>
                  </pic:spPr>
                </pic:pic>
              </a:graphicData>
            </a:graphic>
          </wp:inline>
        </w:drawing>
      </w:r>
    </w:p>
    <w:p w14:paraId="701249BA" w14:textId="788F35F5" w:rsidR="00452785" w:rsidRPr="00A65FEA" w:rsidRDefault="00452785" w:rsidP="00452785">
      <w:pPr>
        <w:pStyle w:val="Tabletitle"/>
      </w:pPr>
      <w:bookmarkStart w:id="214" w:name="_Ref462739223"/>
      <w:bookmarkStart w:id="215" w:name="_Toc473884077"/>
      <w:r w:rsidRPr="002E7063">
        <w:t xml:space="preserve">Table </w:t>
      </w:r>
      <w:bookmarkEnd w:id="214"/>
      <w:r w:rsidR="002E7063" w:rsidRPr="002E7063">
        <w:t>33:</w:t>
      </w:r>
      <w:r w:rsidRPr="002E7063">
        <w:t xml:space="preserve"> FUTURE-2 Physicians’ GCIS</w:t>
      </w:r>
      <w:r w:rsidR="002672D4">
        <w:t>;</w:t>
      </w:r>
      <w:r w:rsidRPr="002E7063">
        <w:t xml:space="preserve"> change from baseline to EOS</w:t>
      </w:r>
      <w:r w:rsidR="002E7063">
        <w:t>;</w:t>
      </w:r>
      <w:r w:rsidRPr="002E7063">
        <w:t xml:space="preserve"> All-treated set</w:t>
      </w:r>
      <w:bookmarkEnd w:id="215"/>
    </w:p>
    <w:p w14:paraId="08A368D3" w14:textId="77777777" w:rsidR="00DA5EBB" w:rsidRDefault="00452785" w:rsidP="00C22678">
      <w:pPr>
        <w:rPr>
          <w:lang w:eastAsia="ja-JP"/>
        </w:rPr>
      </w:pPr>
      <w:r>
        <w:rPr>
          <w:noProof/>
          <w:lang w:eastAsia="en-AU"/>
        </w:rPr>
        <w:drawing>
          <wp:inline distT="0" distB="0" distL="0" distR="0" wp14:anchorId="3ED49DD1" wp14:editId="7DB72B2C">
            <wp:extent cx="5237683" cy="1710801"/>
            <wp:effectExtent l="0" t="0" r="1270" b="3810"/>
            <wp:docPr id="48" name="Picture 48" descr="Table 33: FUTURE-2 Physicians’ GCIS: change from baseline to EO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brightnessContrast contrast="-40000"/>
                              </a14:imgEffect>
                            </a14:imgLayer>
                          </a14:imgProps>
                        </a:ext>
                      </a:extLst>
                    </a:blip>
                    <a:stretch>
                      <a:fillRect/>
                    </a:stretch>
                  </pic:blipFill>
                  <pic:spPr>
                    <a:xfrm>
                      <a:off x="0" y="0"/>
                      <a:ext cx="5235750" cy="1710170"/>
                    </a:xfrm>
                    <a:prstGeom prst="rect">
                      <a:avLst/>
                    </a:prstGeom>
                  </pic:spPr>
                </pic:pic>
              </a:graphicData>
            </a:graphic>
          </wp:inline>
        </w:drawing>
      </w:r>
    </w:p>
    <w:p w14:paraId="7FF90AB0" w14:textId="77777777" w:rsidR="00452785" w:rsidRDefault="00452785" w:rsidP="00452785">
      <w:pPr>
        <w:pStyle w:val="Tabletitle"/>
        <w:rPr>
          <w:lang w:eastAsia="ja-JP"/>
        </w:rPr>
      </w:pPr>
      <w:bookmarkStart w:id="216" w:name="_Ref462739566"/>
      <w:bookmarkStart w:id="217" w:name="_Toc473884078"/>
      <w:r w:rsidRPr="002E7063">
        <w:t xml:space="preserve">Table </w:t>
      </w:r>
      <w:bookmarkEnd w:id="216"/>
      <w:r w:rsidR="002E7063" w:rsidRPr="002E7063">
        <w:t>34:</w:t>
      </w:r>
      <w:r w:rsidRPr="002E7063">
        <w:t xml:space="preserve"> FUTURE-2 </w:t>
      </w:r>
      <w:r w:rsidRPr="002E7063">
        <w:rPr>
          <w:bCs/>
        </w:rPr>
        <w:t>Time to worsening of PAH (KM estimates)</w:t>
      </w:r>
      <w:bookmarkEnd w:id="217"/>
    </w:p>
    <w:p w14:paraId="101C104E" w14:textId="77777777" w:rsidR="00DA5EBB" w:rsidRDefault="00452785" w:rsidP="00C22678">
      <w:pPr>
        <w:rPr>
          <w:lang w:eastAsia="ja-JP"/>
        </w:rPr>
      </w:pPr>
      <w:r>
        <w:rPr>
          <w:noProof/>
          <w:lang w:eastAsia="en-AU"/>
        </w:rPr>
        <w:drawing>
          <wp:inline distT="0" distB="0" distL="0" distR="0" wp14:anchorId="7700256D" wp14:editId="5BA8BCE8">
            <wp:extent cx="4743450" cy="4114800"/>
            <wp:effectExtent l="0" t="0" r="0" b="0"/>
            <wp:docPr id="49" name="Picture 49" descr="Table 34: FUTURE-2 Time to worsening of PAH (KM estim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brightnessContrast contrast="-40000"/>
                              </a14:imgEffect>
                            </a14:imgLayer>
                          </a14:imgProps>
                        </a:ext>
                      </a:extLst>
                    </a:blip>
                    <a:stretch>
                      <a:fillRect/>
                    </a:stretch>
                  </pic:blipFill>
                  <pic:spPr>
                    <a:xfrm>
                      <a:off x="0" y="0"/>
                      <a:ext cx="4743450" cy="4114800"/>
                    </a:xfrm>
                    <a:prstGeom prst="rect">
                      <a:avLst/>
                    </a:prstGeom>
                  </pic:spPr>
                </pic:pic>
              </a:graphicData>
            </a:graphic>
          </wp:inline>
        </w:drawing>
      </w:r>
    </w:p>
    <w:p w14:paraId="1FAA384F" w14:textId="77777777" w:rsidR="00452785" w:rsidRPr="006A7CBF" w:rsidRDefault="00452785" w:rsidP="00452785">
      <w:pPr>
        <w:pStyle w:val="FigureTitle"/>
      </w:pPr>
      <w:bookmarkStart w:id="218" w:name="_Ref462739596"/>
      <w:bookmarkStart w:id="219" w:name="_Toc473884169"/>
      <w:r w:rsidRPr="008806DA">
        <w:lastRenderedPageBreak/>
        <w:t xml:space="preserve">Figure </w:t>
      </w:r>
      <w:bookmarkEnd w:id="218"/>
      <w:r w:rsidR="008806DA" w:rsidRPr="008806DA">
        <w:t>18:</w:t>
      </w:r>
      <w:r w:rsidRPr="008806DA">
        <w:t xml:space="preserve"> FUTURE-2 KM estimates for time to worsening of PAH – All-treated set</w:t>
      </w:r>
      <w:bookmarkEnd w:id="219"/>
    </w:p>
    <w:p w14:paraId="603EFC79" w14:textId="77777777" w:rsidR="00DA5EBB" w:rsidRDefault="00452785" w:rsidP="00C22678">
      <w:pPr>
        <w:rPr>
          <w:lang w:eastAsia="ja-JP"/>
        </w:rPr>
      </w:pPr>
      <w:r>
        <w:rPr>
          <w:noProof/>
          <w:lang w:eastAsia="en-AU"/>
        </w:rPr>
        <w:drawing>
          <wp:inline distT="0" distB="0" distL="0" distR="0" wp14:anchorId="7364094A" wp14:editId="5FC54322">
            <wp:extent cx="4667250" cy="3429000"/>
            <wp:effectExtent l="0" t="0" r="0" b="0"/>
            <wp:docPr id="50" name="Picture 50" descr="Figure 18: FUTURE-2 KM estimates for time to worsening of PAH –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667250" cy="3429000"/>
                    </a:xfrm>
                    <a:prstGeom prst="rect">
                      <a:avLst/>
                    </a:prstGeom>
                  </pic:spPr>
                </pic:pic>
              </a:graphicData>
            </a:graphic>
          </wp:inline>
        </w:drawing>
      </w:r>
    </w:p>
    <w:p w14:paraId="6B689CA0" w14:textId="77777777" w:rsidR="00452785" w:rsidRPr="006A7CBF" w:rsidRDefault="00452785" w:rsidP="00452785">
      <w:pPr>
        <w:pStyle w:val="Tabletitle"/>
      </w:pPr>
      <w:bookmarkStart w:id="220" w:name="_Ref462739915"/>
      <w:bookmarkStart w:id="221" w:name="_Toc473884079"/>
      <w:r w:rsidRPr="002E7063">
        <w:t xml:space="preserve">Table </w:t>
      </w:r>
      <w:bookmarkEnd w:id="220"/>
      <w:r w:rsidR="002E7063" w:rsidRPr="002E7063">
        <w:t xml:space="preserve">35: </w:t>
      </w:r>
      <w:r w:rsidRPr="002E7063">
        <w:t>FUTURE-2 Time to worsening of PAH or initiation of new therapy for PAH or new right heart failure</w:t>
      </w:r>
      <w:r w:rsidRPr="006A7CBF">
        <w:t xml:space="preserve"> or worsening of right heart failure (</w:t>
      </w:r>
      <w:r>
        <w:t>KM</w:t>
      </w:r>
      <w:r w:rsidRPr="006A7CBF">
        <w:t xml:space="preserve"> Estimate)</w:t>
      </w:r>
      <w:bookmarkEnd w:id="221"/>
    </w:p>
    <w:p w14:paraId="274D8AD5" w14:textId="77777777" w:rsidR="00DA5EBB" w:rsidRDefault="00452785" w:rsidP="00C22678">
      <w:pPr>
        <w:rPr>
          <w:lang w:eastAsia="ja-JP"/>
        </w:rPr>
      </w:pPr>
      <w:r>
        <w:rPr>
          <w:noProof/>
          <w:lang w:eastAsia="en-AU"/>
        </w:rPr>
        <w:drawing>
          <wp:inline distT="0" distB="0" distL="0" distR="0" wp14:anchorId="2DAD54E1" wp14:editId="6D9E1A4C">
            <wp:extent cx="4733925" cy="4200525"/>
            <wp:effectExtent l="0" t="0" r="9525" b="9525"/>
            <wp:docPr id="51" name="Picture 51" descr="Table 35: FUTURE-2 Time to worsening of PAH or initiation of new therapy for PAH or new right heart failure or worsening of right heart failure (KM Estim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BEBA8EAE-BF5A-486C-A8C5-ECC9F3942E4B}">
                          <a14:imgProps xmlns:a14="http://schemas.microsoft.com/office/drawing/2010/main">
                            <a14:imgLayer r:embed="rId81">
                              <a14:imgEffect>
                                <a14:brightnessContrast contrast="-40000"/>
                              </a14:imgEffect>
                            </a14:imgLayer>
                          </a14:imgProps>
                        </a:ext>
                      </a:extLst>
                    </a:blip>
                    <a:stretch>
                      <a:fillRect/>
                    </a:stretch>
                  </pic:blipFill>
                  <pic:spPr>
                    <a:xfrm>
                      <a:off x="0" y="0"/>
                      <a:ext cx="4733925" cy="4200525"/>
                    </a:xfrm>
                    <a:prstGeom prst="rect">
                      <a:avLst/>
                    </a:prstGeom>
                  </pic:spPr>
                </pic:pic>
              </a:graphicData>
            </a:graphic>
          </wp:inline>
        </w:drawing>
      </w:r>
    </w:p>
    <w:p w14:paraId="64D3C5A6" w14:textId="77777777" w:rsidR="00452785" w:rsidRPr="006A7CBF" w:rsidRDefault="00452785" w:rsidP="00452785">
      <w:pPr>
        <w:pStyle w:val="FigureTitle"/>
      </w:pPr>
      <w:bookmarkStart w:id="222" w:name="_Ref462739891"/>
      <w:bookmarkStart w:id="223" w:name="_Toc473884170"/>
      <w:r w:rsidRPr="008806DA">
        <w:lastRenderedPageBreak/>
        <w:t xml:space="preserve">Figure </w:t>
      </w:r>
      <w:bookmarkEnd w:id="222"/>
      <w:r w:rsidR="008806DA" w:rsidRPr="008806DA">
        <w:t xml:space="preserve">19: </w:t>
      </w:r>
      <w:r w:rsidRPr="008806DA">
        <w:t>FUTURE-2 KM estimates for time to worsening of PAH, initiation of new</w:t>
      </w:r>
      <w:r w:rsidRPr="006A7CBF">
        <w:t xml:space="preserve"> therapy for PAH, new right heart failure or worsening of right</w:t>
      </w:r>
      <w:r>
        <w:t xml:space="preserve"> </w:t>
      </w:r>
      <w:r w:rsidR="009C6335">
        <w:t xml:space="preserve">heart failure; </w:t>
      </w:r>
      <w:r w:rsidRPr="006A7CBF">
        <w:t>All-treated set</w:t>
      </w:r>
      <w:bookmarkEnd w:id="223"/>
    </w:p>
    <w:p w14:paraId="2B525AF5" w14:textId="77777777" w:rsidR="00DA5EBB" w:rsidRDefault="00452785" w:rsidP="00C22678">
      <w:pPr>
        <w:rPr>
          <w:lang w:eastAsia="ja-JP"/>
        </w:rPr>
      </w:pPr>
      <w:r>
        <w:rPr>
          <w:noProof/>
          <w:lang w:eastAsia="en-AU"/>
        </w:rPr>
        <w:drawing>
          <wp:inline distT="0" distB="0" distL="0" distR="0" wp14:anchorId="6563B84A" wp14:editId="3DA1D144">
            <wp:extent cx="4030675" cy="2929175"/>
            <wp:effectExtent l="0" t="0" r="8255" b="5080"/>
            <wp:docPr id="52" name="Picture 52" descr="Figure 19: FUTURE-2 KM estimates for time to worsening of PAH, initiation of new therapy for PAH, new right heart failure or worsening of right heart failure;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032111" cy="2930219"/>
                    </a:xfrm>
                    <a:prstGeom prst="rect">
                      <a:avLst/>
                    </a:prstGeom>
                  </pic:spPr>
                </pic:pic>
              </a:graphicData>
            </a:graphic>
          </wp:inline>
        </w:drawing>
      </w:r>
    </w:p>
    <w:p w14:paraId="117820D4" w14:textId="24FB98F8" w:rsidR="00452785" w:rsidRPr="00452785" w:rsidRDefault="002672D4" w:rsidP="00153B34">
      <w:pPr>
        <w:pStyle w:val="Heading4"/>
        <w:numPr>
          <w:ilvl w:val="2"/>
          <w:numId w:val="16"/>
        </w:numPr>
      </w:pPr>
      <w:r>
        <w:t xml:space="preserve">Study </w:t>
      </w:r>
      <w:r w:rsidR="00452785" w:rsidRPr="00452785">
        <w:t xml:space="preserve">AC-052-373 </w:t>
      </w:r>
      <w:r>
        <w:t>(</w:t>
      </w:r>
      <w:r w:rsidR="00452785" w:rsidRPr="00452785">
        <w:t>FUTURE-3</w:t>
      </w:r>
      <w:r>
        <w:t>)</w:t>
      </w:r>
    </w:p>
    <w:p w14:paraId="489024DB" w14:textId="77777777" w:rsidR="00452785" w:rsidRDefault="00452785" w:rsidP="00452785">
      <w:pPr>
        <w:rPr>
          <w:lang w:eastAsia="ja-JP"/>
        </w:rPr>
      </w:pPr>
      <w:r>
        <w:rPr>
          <w:lang w:eastAsia="ja-JP"/>
        </w:rPr>
        <w:t xml:space="preserve">The primary objective of this </w:t>
      </w:r>
      <w:r w:rsidR="0066478A">
        <w:rPr>
          <w:lang w:eastAsia="ja-JP"/>
        </w:rPr>
        <w:t>study</w:t>
      </w:r>
      <w:r>
        <w:rPr>
          <w:lang w:eastAsia="ja-JP"/>
        </w:rPr>
        <w:t xml:space="preserve"> related to the PK of the dispersible tablet formulation at doses of 2 mg/kg </w:t>
      </w:r>
      <w:r w:rsidR="007C6D8D">
        <w:rPr>
          <w:lang w:eastAsia="ja-JP"/>
        </w:rPr>
        <w:t>BD</w:t>
      </w:r>
      <w:r>
        <w:rPr>
          <w:lang w:eastAsia="ja-JP"/>
        </w:rPr>
        <w:t xml:space="preserve"> or </w:t>
      </w:r>
      <w:r w:rsidR="007C6D8D">
        <w:rPr>
          <w:lang w:eastAsia="ja-JP"/>
        </w:rPr>
        <w:t>TDS</w:t>
      </w:r>
      <w:r>
        <w:rPr>
          <w:lang w:eastAsia="ja-JP"/>
        </w:rPr>
        <w:t xml:space="preserve"> in children with PAH. The </w:t>
      </w:r>
      <w:r w:rsidR="0066478A">
        <w:rPr>
          <w:lang w:eastAsia="ja-JP"/>
        </w:rPr>
        <w:t>study</w:t>
      </w:r>
      <w:r>
        <w:rPr>
          <w:lang w:eastAsia="ja-JP"/>
        </w:rPr>
        <w:t xml:space="preserve"> design and conduct </w:t>
      </w:r>
      <w:r w:rsidR="009C6335">
        <w:rPr>
          <w:lang w:eastAsia="ja-JP"/>
        </w:rPr>
        <w:t>was</w:t>
      </w:r>
      <w:r>
        <w:rPr>
          <w:lang w:eastAsia="ja-JP"/>
        </w:rPr>
        <w:t xml:space="preserve"> discussed. </w:t>
      </w:r>
      <w:r w:rsidRPr="000E0623">
        <w:rPr>
          <w:lang w:eastAsia="ja-JP"/>
        </w:rPr>
        <w:t>Secondary objectives</w:t>
      </w:r>
      <w:r>
        <w:rPr>
          <w:lang w:eastAsia="ja-JP"/>
        </w:rPr>
        <w:t xml:space="preserve"> were to evaluate the efficacy, </w:t>
      </w:r>
      <w:r w:rsidRPr="000E0623">
        <w:rPr>
          <w:lang w:eastAsia="ja-JP"/>
        </w:rPr>
        <w:t>tolerability, and safety o</w:t>
      </w:r>
      <w:r>
        <w:rPr>
          <w:lang w:eastAsia="ja-JP"/>
        </w:rPr>
        <w:t xml:space="preserve">f bosentan in children with PAH </w:t>
      </w:r>
      <w:r w:rsidRPr="000E0623">
        <w:rPr>
          <w:lang w:eastAsia="ja-JP"/>
        </w:rPr>
        <w:t xml:space="preserve">from </w:t>
      </w:r>
      <w:r w:rsidR="007C6D8D">
        <w:rPr>
          <w:lang w:eastAsia="ja-JP"/>
        </w:rPr>
        <w:t>≥</w:t>
      </w:r>
      <w:r w:rsidR="00CF6063">
        <w:rPr>
          <w:lang w:eastAsia="ja-JP"/>
        </w:rPr>
        <w:t xml:space="preserve"> </w:t>
      </w:r>
      <w:r w:rsidRPr="000E0623">
        <w:rPr>
          <w:lang w:eastAsia="ja-JP"/>
        </w:rPr>
        <w:t>3 months to &lt; 2 y</w:t>
      </w:r>
      <w:r>
        <w:rPr>
          <w:lang w:eastAsia="ja-JP"/>
        </w:rPr>
        <w:t xml:space="preserve">ears of age and from 2 years to </w:t>
      </w:r>
      <w:r w:rsidRPr="000E0623">
        <w:rPr>
          <w:lang w:eastAsia="ja-JP"/>
        </w:rPr>
        <w:t>&lt; 12 years of age.</w:t>
      </w:r>
      <w:r>
        <w:rPr>
          <w:lang w:eastAsia="ja-JP"/>
        </w:rPr>
        <w:t xml:space="preserve"> All efficacy endpoints were exploratory. </w:t>
      </w:r>
      <w:r w:rsidRPr="00007F0F">
        <w:rPr>
          <w:lang w:eastAsia="ja-JP"/>
        </w:rPr>
        <w:t xml:space="preserve">The efficacy analyses in this </w:t>
      </w:r>
      <w:r w:rsidR="0066478A">
        <w:rPr>
          <w:lang w:eastAsia="ja-JP"/>
        </w:rPr>
        <w:t>study</w:t>
      </w:r>
      <w:r w:rsidRPr="00007F0F">
        <w:rPr>
          <w:lang w:eastAsia="ja-JP"/>
        </w:rPr>
        <w:t xml:space="preserve"> were </w:t>
      </w:r>
      <w:r>
        <w:rPr>
          <w:lang w:eastAsia="ja-JP"/>
        </w:rPr>
        <w:t xml:space="preserve">not statistically powered to show </w:t>
      </w:r>
      <w:r w:rsidRPr="00007F0F">
        <w:rPr>
          <w:lang w:eastAsia="ja-JP"/>
        </w:rPr>
        <w:t>differences</w:t>
      </w:r>
      <w:r>
        <w:rPr>
          <w:lang w:eastAsia="ja-JP"/>
        </w:rPr>
        <w:t xml:space="preserve"> and were not</w:t>
      </w:r>
      <w:r w:rsidRPr="00007F0F">
        <w:rPr>
          <w:lang w:eastAsia="ja-JP"/>
        </w:rPr>
        <w:t xml:space="preserve"> stratified for </w:t>
      </w:r>
      <w:r>
        <w:rPr>
          <w:lang w:eastAsia="ja-JP"/>
        </w:rPr>
        <w:t>influencing</w:t>
      </w:r>
      <w:r w:rsidRPr="00007F0F">
        <w:rPr>
          <w:lang w:eastAsia="ja-JP"/>
        </w:rPr>
        <w:t xml:space="preserve"> factors</w:t>
      </w:r>
      <w:r>
        <w:rPr>
          <w:lang w:eastAsia="ja-JP"/>
        </w:rPr>
        <w:t>.</w:t>
      </w:r>
    </w:p>
    <w:p w14:paraId="5CE2B61B" w14:textId="77777777" w:rsidR="00452785" w:rsidRPr="00007F0F" w:rsidRDefault="00452785" w:rsidP="00452785">
      <w:pPr>
        <w:rPr>
          <w:lang w:eastAsia="ja-JP"/>
        </w:rPr>
      </w:pPr>
      <w:r w:rsidRPr="00007F0F">
        <w:rPr>
          <w:lang w:eastAsia="ja-JP"/>
        </w:rPr>
        <w:t>The h</w:t>
      </w:r>
      <w:r>
        <w:rPr>
          <w:lang w:eastAsia="ja-JP"/>
        </w:rPr>
        <w:t>aemodynamic</w:t>
      </w:r>
      <w:r w:rsidRPr="00007F0F">
        <w:rPr>
          <w:lang w:eastAsia="ja-JP"/>
        </w:rPr>
        <w:t xml:space="preserve"> subgroup (bosentan patients w</w:t>
      </w:r>
      <w:r>
        <w:rPr>
          <w:lang w:eastAsia="ja-JP"/>
        </w:rPr>
        <w:t>ith</w:t>
      </w:r>
      <w:r w:rsidRPr="00007F0F">
        <w:rPr>
          <w:lang w:eastAsia="ja-JP"/>
        </w:rPr>
        <w:t xml:space="preserve"> repeated</w:t>
      </w:r>
      <w:r>
        <w:rPr>
          <w:lang w:eastAsia="ja-JP"/>
        </w:rPr>
        <w:t xml:space="preserve"> </w:t>
      </w:r>
      <w:r w:rsidRPr="00007F0F">
        <w:rPr>
          <w:lang w:eastAsia="ja-JP"/>
        </w:rPr>
        <w:t>RHC</w:t>
      </w:r>
      <w:r>
        <w:rPr>
          <w:lang w:eastAsia="ja-JP"/>
        </w:rPr>
        <w:t xml:space="preserve">) included 10 </w:t>
      </w:r>
      <w:r w:rsidR="009C6335">
        <w:rPr>
          <w:lang w:eastAsia="ja-JP"/>
        </w:rPr>
        <w:t>patients (2 </w:t>
      </w:r>
      <w:r w:rsidRPr="00007F0F">
        <w:rPr>
          <w:lang w:eastAsia="ja-JP"/>
        </w:rPr>
        <w:t>patients &lt; 2 years,</w:t>
      </w:r>
      <w:r>
        <w:rPr>
          <w:lang w:eastAsia="ja-JP"/>
        </w:rPr>
        <w:t xml:space="preserve"> </w:t>
      </w:r>
      <w:r w:rsidRPr="00007F0F">
        <w:rPr>
          <w:lang w:eastAsia="ja-JP"/>
        </w:rPr>
        <w:t xml:space="preserve">8 patients </w:t>
      </w:r>
      <w:r w:rsidR="007C6D8D">
        <w:rPr>
          <w:lang w:eastAsia="ja-JP"/>
        </w:rPr>
        <w:t>≥</w:t>
      </w:r>
      <w:r w:rsidR="00CF6063">
        <w:rPr>
          <w:lang w:eastAsia="ja-JP"/>
        </w:rPr>
        <w:t xml:space="preserve"> </w:t>
      </w:r>
      <w:r w:rsidRPr="00007F0F">
        <w:rPr>
          <w:lang w:eastAsia="ja-JP"/>
        </w:rPr>
        <w:t xml:space="preserve">2 years, all </w:t>
      </w:r>
      <w:r w:rsidR="009C6335">
        <w:rPr>
          <w:lang w:eastAsia="ja-JP"/>
        </w:rPr>
        <w:t>bosentan naïve</w:t>
      </w:r>
      <w:r w:rsidRPr="00007F0F">
        <w:rPr>
          <w:lang w:eastAsia="ja-JP"/>
        </w:rPr>
        <w:t xml:space="preserve">). </w:t>
      </w:r>
      <w:r>
        <w:rPr>
          <w:lang w:eastAsia="ja-JP"/>
        </w:rPr>
        <w:t xml:space="preserve">The </w:t>
      </w:r>
      <w:r w:rsidR="007C6D8D">
        <w:rPr>
          <w:lang w:eastAsia="ja-JP"/>
        </w:rPr>
        <w:t>sponsor</w:t>
      </w:r>
      <w:r>
        <w:rPr>
          <w:lang w:eastAsia="ja-JP"/>
        </w:rPr>
        <w:t xml:space="preserve"> states that </w:t>
      </w:r>
      <w:r w:rsidRPr="00007F0F">
        <w:rPr>
          <w:lang w:eastAsia="ja-JP"/>
        </w:rPr>
        <w:t>changes in</w:t>
      </w:r>
      <w:r>
        <w:rPr>
          <w:lang w:eastAsia="ja-JP"/>
        </w:rPr>
        <w:t xml:space="preserve"> </w:t>
      </w:r>
      <w:r w:rsidRPr="00007F0F">
        <w:rPr>
          <w:lang w:eastAsia="ja-JP"/>
        </w:rPr>
        <w:t>h</w:t>
      </w:r>
      <w:r>
        <w:rPr>
          <w:lang w:eastAsia="ja-JP"/>
        </w:rPr>
        <w:t>a</w:t>
      </w:r>
      <w:r w:rsidRPr="00007F0F">
        <w:rPr>
          <w:lang w:eastAsia="ja-JP"/>
        </w:rPr>
        <w:t>emodynamic variables known to have</w:t>
      </w:r>
      <w:r>
        <w:rPr>
          <w:lang w:eastAsia="ja-JP"/>
        </w:rPr>
        <w:t xml:space="preserve"> robustness in assessment (</w:t>
      </w:r>
      <w:r w:rsidR="007C6D8D">
        <w:rPr>
          <w:lang w:eastAsia="ja-JP"/>
        </w:rPr>
        <w:t>for example</w:t>
      </w:r>
      <w:r w:rsidRPr="00007F0F">
        <w:rPr>
          <w:lang w:eastAsia="ja-JP"/>
        </w:rPr>
        <w:t xml:space="preserve"> pulmonary artery</w:t>
      </w:r>
      <w:r>
        <w:rPr>
          <w:lang w:eastAsia="ja-JP"/>
        </w:rPr>
        <w:t xml:space="preserve"> </w:t>
      </w:r>
      <w:r w:rsidRPr="00007F0F">
        <w:rPr>
          <w:lang w:eastAsia="ja-JP"/>
        </w:rPr>
        <w:t>pressures</w:t>
      </w:r>
      <w:r>
        <w:rPr>
          <w:lang w:eastAsia="ja-JP"/>
        </w:rPr>
        <w:t>)</w:t>
      </w:r>
      <w:r w:rsidRPr="00007F0F">
        <w:rPr>
          <w:lang w:eastAsia="ja-JP"/>
        </w:rPr>
        <w:t>, were consistent with the known treatment effects of bosentan</w:t>
      </w:r>
      <w:r>
        <w:rPr>
          <w:lang w:eastAsia="ja-JP"/>
        </w:rPr>
        <w:t xml:space="preserve"> (</w:t>
      </w:r>
      <w:r w:rsidR="002E7063">
        <w:rPr>
          <w:lang w:eastAsia="ja-JP"/>
        </w:rPr>
        <w:t>Table 36</w:t>
      </w:r>
      <w:r>
        <w:rPr>
          <w:lang w:eastAsia="ja-JP"/>
        </w:rPr>
        <w:t>)</w:t>
      </w:r>
      <w:r w:rsidRPr="00007F0F">
        <w:rPr>
          <w:lang w:eastAsia="ja-JP"/>
        </w:rPr>
        <w:t>.</w:t>
      </w:r>
    </w:p>
    <w:p w14:paraId="00710DC4" w14:textId="77777777" w:rsidR="00452785" w:rsidRPr="00007F0F" w:rsidRDefault="00452785" w:rsidP="00452785">
      <w:pPr>
        <w:rPr>
          <w:lang w:eastAsia="ja-JP"/>
        </w:rPr>
      </w:pPr>
      <w:r w:rsidRPr="00007F0F">
        <w:rPr>
          <w:lang w:eastAsia="ja-JP"/>
        </w:rPr>
        <w:t xml:space="preserve">The changes from baseline to the last </w:t>
      </w:r>
      <w:r w:rsidR="00A5161C">
        <w:rPr>
          <w:lang w:eastAsia="ja-JP"/>
        </w:rPr>
        <w:t>post baseline</w:t>
      </w:r>
      <w:r w:rsidRPr="00007F0F">
        <w:rPr>
          <w:lang w:eastAsia="ja-JP"/>
        </w:rPr>
        <w:t xml:space="preserve"> value up to EOT </w:t>
      </w:r>
      <w:r w:rsidR="009C6335">
        <w:rPr>
          <w:lang w:eastAsia="ja-JP"/>
        </w:rPr>
        <w:t>+</w:t>
      </w:r>
      <w:r w:rsidRPr="00007F0F">
        <w:rPr>
          <w:lang w:eastAsia="ja-JP"/>
        </w:rPr>
        <w:t xml:space="preserve"> 7 days for the</w:t>
      </w:r>
      <w:r>
        <w:rPr>
          <w:lang w:eastAsia="ja-JP"/>
        </w:rPr>
        <w:t xml:space="preserve"> </w:t>
      </w:r>
      <w:r w:rsidRPr="00007F0F">
        <w:rPr>
          <w:lang w:eastAsia="ja-JP"/>
        </w:rPr>
        <w:t>echocardiography/Doppler variables (</w:t>
      </w:r>
      <w:r>
        <w:rPr>
          <w:lang w:eastAsia="ja-JP"/>
        </w:rPr>
        <w:t>excluding patients with</w:t>
      </w:r>
      <w:r w:rsidRPr="00007F0F">
        <w:rPr>
          <w:lang w:eastAsia="ja-JP"/>
        </w:rPr>
        <w:t xml:space="preserve"> </w:t>
      </w:r>
      <w:r>
        <w:rPr>
          <w:lang w:val="en-US" w:eastAsia="ja-JP"/>
        </w:rPr>
        <w:t>‘</w:t>
      </w:r>
      <w:r w:rsidRPr="00007F0F">
        <w:rPr>
          <w:lang w:eastAsia="ja-JP"/>
        </w:rPr>
        <w:t>PAH-CHD</w:t>
      </w:r>
      <w:r>
        <w:rPr>
          <w:lang w:val="en-US" w:eastAsia="ja-JP"/>
        </w:rPr>
        <w:t>’</w:t>
      </w:r>
      <w:r w:rsidRPr="00007F0F">
        <w:rPr>
          <w:lang w:eastAsia="ja-JP"/>
        </w:rPr>
        <w:t>) wer</w:t>
      </w:r>
      <w:r>
        <w:rPr>
          <w:lang w:eastAsia="ja-JP"/>
        </w:rPr>
        <w:t xml:space="preserve">e small and similar in both </w:t>
      </w:r>
      <w:r w:rsidR="007C6D8D">
        <w:rPr>
          <w:lang w:eastAsia="ja-JP"/>
        </w:rPr>
        <w:t>BD</w:t>
      </w:r>
      <w:r>
        <w:rPr>
          <w:lang w:eastAsia="ja-JP"/>
        </w:rPr>
        <w:t xml:space="preserve"> and </w:t>
      </w:r>
      <w:r w:rsidR="007C6D8D">
        <w:rPr>
          <w:lang w:eastAsia="ja-JP"/>
        </w:rPr>
        <w:t>TDS</w:t>
      </w:r>
      <w:r w:rsidRPr="00007F0F">
        <w:rPr>
          <w:lang w:eastAsia="ja-JP"/>
        </w:rPr>
        <w:t xml:space="preserve"> groups (overall</w:t>
      </w:r>
      <w:r>
        <w:rPr>
          <w:lang w:eastAsia="ja-JP"/>
        </w:rPr>
        <w:t xml:space="preserve"> </w:t>
      </w:r>
      <w:r w:rsidRPr="00007F0F">
        <w:rPr>
          <w:lang w:eastAsia="ja-JP"/>
        </w:rPr>
        <w:t xml:space="preserve">population and in patients &lt; 2 years and </w:t>
      </w:r>
      <w:r w:rsidR="007C6D8D">
        <w:rPr>
          <w:lang w:eastAsia="ja-JP"/>
        </w:rPr>
        <w:t>≥</w:t>
      </w:r>
      <w:r w:rsidR="00CF6063">
        <w:rPr>
          <w:lang w:eastAsia="ja-JP"/>
        </w:rPr>
        <w:t xml:space="preserve"> </w:t>
      </w:r>
      <w:r w:rsidRPr="00007F0F">
        <w:rPr>
          <w:lang w:eastAsia="ja-JP"/>
        </w:rPr>
        <w:t>2 years)</w:t>
      </w:r>
      <w:r>
        <w:rPr>
          <w:lang w:eastAsia="ja-JP"/>
        </w:rPr>
        <w:t xml:space="preserve"> (</w:t>
      </w:r>
      <w:r w:rsidR="002E7063">
        <w:rPr>
          <w:lang w:eastAsia="ja-JP"/>
        </w:rPr>
        <w:t>Table 37</w:t>
      </w:r>
      <w:r>
        <w:rPr>
          <w:lang w:eastAsia="ja-JP"/>
        </w:rPr>
        <w:t>)</w:t>
      </w:r>
      <w:r w:rsidRPr="00007F0F">
        <w:rPr>
          <w:lang w:eastAsia="ja-JP"/>
        </w:rPr>
        <w:t>.</w:t>
      </w:r>
      <w:r>
        <w:rPr>
          <w:lang w:eastAsia="ja-JP"/>
        </w:rPr>
        <w:t xml:space="preserve"> </w:t>
      </w:r>
      <w:r w:rsidRPr="00B82020">
        <w:rPr>
          <w:lang w:eastAsia="ja-JP"/>
        </w:rPr>
        <w:t xml:space="preserve">Pericardial effusion, assessed by categories of severity, remained stable during the </w:t>
      </w:r>
      <w:r w:rsidR="0066478A">
        <w:rPr>
          <w:lang w:eastAsia="ja-JP"/>
        </w:rPr>
        <w:t>study</w:t>
      </w:r>
      <w:r>
        <w:rPr>
          <w:lang w:eastAsia="ja-JP"/>
        </w:rPr>
        <w:t xml:space="preserve"> </w:t>
      </w:r>
      <w:r w:rsidRPr="00B82020">
        <w:rPr>
          <w:lang w:eastAsia="ja-JP"/>
        </w:rPr>
        <w:t>for the majority of patients of the echo/Doppler subgroup (45 patients), worsened in</w:t>
      </w:r>
      <w:r>
        <w:rPr>
          <w:lang w:eastAsia="ja-JP"/>
        </w:rPr>
        <w:t xml:space="preserve"> </w:t>
      </w:r>
      <w:r w:rsidR="009C6335">
        <w:rPr>
          <w:lang w:eastAsia="ja-JP"/>
        </w:rPr>
        <w:t>5 </w:t>
      </w:r>
      <w:r w:rsidRPr="00B82020">
        <w:rPr>
          <w:lang w:eastAsia="ja-JP"/>
        </w:rPr>
        <w:t>patients, and improved in 4 patients</w:t>
      </w:r>
      <w:r>
        <w:rPr>
          <w:lang w:eastAsia="ja-JP"/>
        </w:rPr>
        <w:t>.</w:t>
      </w:r>
    </w:p>
    <w:p w14:paraId="0C29D785" w14:textId="77777777" w:rsidR="00452785" w:rsidRPr="00007F0F" w:rsidRDefault="00452785" w:rsidP="00452785">
      <w:pPr>
        <w:rPr>
          <w:lang w:eastAsia="ja-JP"/>
        </w:rPr>
      </w:pPr>
      <w:r>
        <w:rPr>
          <w:lang w:eastAsia="ja-JP"/>
        </w:rPr>
        <w:t>T</w:t>
      </w:r>
      <w:r w:rsidRPr="00B82020">
        <w:rPr>
          <w:lang w:eastAsia="ja-JP"/>
        </w:rPr>
        <w:t>he disease condition at baseline was more</w:t>
      </w:r>
      <w:r>
        <w:rPr>
          <w:lang w:eastAsia="ja-JP"/>
        </w:rPr>
        <w:t xml:space="preserve"> severe in patients in the </w:t>
      </w:r>
      <w:r w:rsidR="007C6D8D">
        <w:rPr>
          <w:lang w:eastAsia="ja-JP"/>
        </w:rPr>
        <w:t>BD</w:t>
      </w:r>
      <w:r w:rsidRPr="00B82020">
        <w:rPr>
          <w:lang w:eastAsia="ja-JP"/>
        </w:rPr>
        <w:t xml:space="preserve"> group</w:t>
      </w:r>
      <w:r>
        <w:rPr>
          <w:lang w:eastAsia="ja-JP"/>
        </w:rPr>
        <w:t xml:space="preserve"> than in the </w:t>
      </w:r>
      <w:r w:rsidR="007C6D8D">
        <w:rPr>
          <w:lang w:eastAsia="ja-JP"/>
        </w:rPr>
        <w:t>TDS</w:t>
      </w:r>
      <w:r w:rsidRPr="00B82020">
        <w:rPr>
          <w:lang w:eastAsia="ja-JP"/>
        </w:rPr>
        <w:t xml:space="preserve"> group in terms of WHO FC</w:t>
      </w:r>
      <w:r>
        <w:rPr>
          <w:lang w:eastAsia="ja-JP"/>
        </w:rPr>
        <w:t xml:space="preserve">. </w:t>
      </w:r>
      <w:r w:rsidRPr="00007F0F">
        <w:rPr>
          <w:lang w:eastAsia="ja-JP"/>
        </w:rPr>
        <w:t xml:space="preserve">The majority of patients (75.8% </w:t>
      </w:r>
      <w:r w:rsidR="007C6D8D">
        <w:rPr>
          <w:lang w:eastAsia="ja-JP"/>
        </w:rPr>
        <w:t>BD</w:t>
      </w:r>
      <w:r w:rsidRPr="00007F0F">
        <w:rPr>
          <w:lang w:eastAsia="ja-JP"/>
        </w:rPr>
        <w:t xml:space="preserve">, 90.3% </w:t>
      </w:r>
      <w:r w:rsidR="007C6D8D">
        <w:rPr>
          <w:lang w:eastAsia="ja-JP"/>
        </w:rPr>
        <w:t>TDS</w:t>
      </w:r>
      <w:r w:rsidRPr="00007F0F">
        <w:rPr>
          <w:lang w:eastAsia="ja-JP"/>
        </w:rPr>
        <w:t xml:space="preserve">) remained clinically stable in their WHO FC status from baseline to the last </w:t>
      </w:r>
      <w:r w:rsidR="00A5161C">
        <w:rPr>
          <w:lang w:eastAsia="ja-JP"/>
        </w:rPr>
        <w:t>post baseline</w:t>
      </w:r>
      <w:r w:rsidRPr="00007F0F">
        <w:rPr>
          <w:lang w:eastAsia="ja-JP"/>
        </w:rPr>
        <w:t xml:space="preserve"> value up to</w:t>
      </w:r>
      <w:r>
        <w:rPr>
          <w:lang w:eastAsia="ja-JP"/>
        </w:rPr>
        <w:t xml:space="preserve"> </w:t>
      </w:r>
      <w:r w:rsidRPr="00007F0F">
        <w:rPr>
          <w:lang w:eastAsia="ja-JP"/>
        </w:rPr>
        <w:t>EOT + 7 days. A total of 10 patients improved in WHO FC: 5 improved from WHO FC III</w:t>
      </w:r>
      <w:r>
        <w:rPr>
          <w:lang w:eastAsia="ja-JP"/>
        </w:rPr>
        <w:t xml:space="preserve"> </w:t>
      </w:r>
      <w:r w:rsidRPr="00007F0F">
        <w:rPr>
          <w:lang w:eastAsia="ja-JP"/>
        </w:rPr>
        <w:t xml:space="preserve">to II (all </w:t>
      </w:r>
      <w:r w:rsidR="007C6D8D">
        <w:rPr>
          <w:lang w:eastAsia="ja-JP"/>
        </w:rPr>
        <w:t>BD</w:t>
      </w:r>
      <w:r w:rsidRPr="00007F0F">
        <w:rPr>
          <w:lang w:eastAsia="ja-JP"/>
        </w:rPr>
        <w:t xml:space="preserve">), and 5 improved from WHO FC II to I (2 </w:t>
      </w:r>
      <w:r w:rsidR="007C6D8D">
        <w:rPr>
          <w:lang w:eastAsia="ja-JP"/>
        </w:rPr>
        <w:t>BD</w:t>
      </w:r>
      <w:r w:rsidRPr="00007F0F">
        <w:rPr>
          <w:lang w:eastAsia="ja-JP"/>
        </w:rPr>
        <w:t xml:space="preserve">, 3 </w:t>
      </w:r>
      <w:r w:rsidR="007C6D8D">
        <w:rPr>
          <w:lang w:eastAsia="ja-JP"/>
        </w:rPr>
        <w:t>TDS</w:t>
      </w:r>
      <w:r w:rsidRPr="00007F0F">
        <w:rPr>
          <w:lang w:eastAsia="ja-JP"/>
        </w:rPr>
        <w:t xml:space="preserve">). </w:t>
      </w:r>
      <w:r>
        <w:rPr>
          <w:lang w:eastAsia="ja-JP"/>
        </w:rPr>
        <w:t xml:space="preserve">The </w:t>
      </w:r>
      <w:r w:rsidRPr="00007F0F">
        <w:rPr>
          <w:lang w:eastAsia="ja-JP"/>
        </w:rPr>
        <w:t>WHO FC</w:t>
      </w:r>
      <w:r>
        <w:rPr>
          <w:lang w:eastAsia="ja-JP"/>
        </w:rPr>
        <w:t xml:space="preserve"> </w:t>
      </w:r>
      <w:r w:rsidRPr="00007F0F">
        <w:rPr>
          <w:lang w:eastAsia="ja-JP"/>
        </w:rPr>
        <w:t xml:space="preserve">worsened from III to IV in 1 patient in the </w:t>
      </w:r>
      <w:r w:rsidR="007C6D8D">
        <w:rPr>
          <w:lang w:eastAsia="ja-JP"/>
        </w:rPr>
        <w:t>BD</w:t>
      </w:r>
      <w:r w:rsidRPr="00007F0F">
        <w:rPr>
          <w:lang w:eastAsia="ja-JP"/>
        </w:rPr>
        <w:t xml:space="preserve"> group. Of the 10 patients who had</w:t>
      </w:r>
      <w:r>
        <w:rPr>
          <w:lang w:eastAsia="ja-JP"/>
        </w:rPr>
        <w:t xml:space="preserve"> </w:t>
      </w:r>
      <w:r w:rsidRPr="00007F0F">
        <w:rPr>
          <w:lang w:eastAsia="ja-JP"/>
        </w:rPr>
        <w:t>improvement in WHO</w:t>
      </w:r>
      <w:r w:rsidR="009C6335">
        <w:rPr>
          <w:lang w:eastAsia="ja-JP"/>
        </w:rPr>
        <w:t xml:space="preserve"> FC, 4 were &lt; 2 years of age (2 </w:t>
      </w:r>
      <w:r w:rsidR="007C6D8D">
        <w:rPr>
          <w:lang w:eastAsia="ja-JP"/>
        </w:rPr>
        <w:t>BD</w:t>
      </w:r>
      <w:r w:rsidRPr="00007F0F">
        <w:rPr>
          <w:lang w:eastAsia="ja-JP"/>
        </w:rPr>
        <w:t xml:space="preserve">, 2 </w:t>
      </w:r>
      <w:r w:rsidR="007C6D8D">
        <w:rPr>
          <w:lang w:eastAsia="ja-JP"/>
        </w:rPr>
        <w:t>TDS</w:t>
      </w:r>
      <w:r w:rsidRPr="00007F0F">
        <w:rPr>
          <w:lang w:eastAsia="ja-JP"/>
        </w:rPr>
        <w:t xml:space="preserve">) and 6 were </w:t>
      </w:r>
      <w:r w:rsidR="007C6D8D">
        <w:rPr>
          <w:lang w:eastAsia="ja-JP"/>
        </w:rPr>
        <w:t>≥</w:t>
      </w:r>
      <w:r w:rsidR="00CF6063">
        <w:rPr>
          <w:lang w:eastAsia="ja-JP"/>
        </w:rPr>
        <w:t xml:space="preserve"> </w:t>
      </w:r>
      <w:r w:rsidRPr="00007F0F">
        <w:rPr>
          <w:lang w:eastAsia="ja-JP"/>
        </w:rPr>
        <w:t>2 years</w:t>
      </w:r>
      <w:r>
        <w:rPr>
          <w:lang w:eastAsia="ja-JP"/>
        </w:rPr>
        <w:t xml:space="preserve"> </w:t>
      </w:r>
      <w:r w:rsidRPr="00007F0F">
        <w:rPr>
          <w:lang w:eastAsia="ja-JP"/>
        </w:rPr>
        <w:t xml:space="preserve">(5 </w:t>
      </w:r>
      <w:r w:rsidR="007C6D8D">
        <w:rPr>
          <w:lang w:eastAsia="ja-JP"/>
        </w:rPr>
        <w:t>BD</w:t>
      </w:r>
      <w:r w:rsidRPr="00007F0F">
        <w:rPr>
          <w:lang w:eastAsia="ja-JP"/>
        </w:rPr>
        <w:t xml:space="preserve">, 1 </w:t>
      </w:r>
      <w:r w:rsidR="007C6D8D">
        <w:rPr>
          <w:lang w:eastAsia="ja-JP"/>
        </w:rPr>
        <w:t>TDS</w:t>
      </w:r>
      <w:r w:rsidRPr="00007F0F">
        <w:rPr>
          <w:lang w:eastAsia="ja-JP"/>
        </w:rPr>
        <w:t>). Seven of 10 patients who had improvement were bosentan na</w:t>
      </w:r>
      <w:r w:rsidRPr="00007F0F">
        <w:rPr>
          <w:rFonts w:hint="eastAsia"/>
          <w:lang w:eastAsia="ja-JP"/>
        </w:rPr>
        <w:t>ï</w:t>
      </w:r>
      <w:r w:rsidRPr="00007F0F">
        <w:rPr>
          <w:lang w:eastAsia="ja-JP"/>
        </w:rPr>
        <w:t xml:space="preserve">ve (4 </w:t>
      </w:r>
      <w:r w:rsidR="007C6D8D">
        <w:rPr>
          <w:lang w:eastAsia="ja-JP"/>
        </w:rPr>
        <w:t>BD</w:t>
      </w:r>
      <w:r w:rsidRPr="00007F0F">
        <w:rPr>
          <w:lang w:eastAsia="ja-JP"/>
        </w:rPr>
        <w:t>,</w:t>
      </w:r>
      <w:r>
        <w:rPr>
          <w:lang w:eastAsia="ja-JP"/>
        </w:rPr>
        <w:t xml:space="preserve"> </w:t>
      </w:r>
      <w:r w:rsidRPr="00007F0F">
        <w:rPr>
          <w:lang w:eastAsia="ja-JP"/>
        </w:rPr>
        <w:t xml:space="preserve">3 </w:t>
      </w:r>
      <w:r w:rsidR="007C6D8D">
        <w:rPr>
          <w:lang w:eastAsia="ja-JP"/>
        </w:rPr>
        <w:t>TDS</w:t>
      </w:r>
      <w:r w:rsidR="009C6335">
        <w:rPr>
          <w:lang w:eastAsia="ja-JP"/>
        </w:rPr>
        <w:t xml:space="preserve">), and the remaining 3 were non </w:t>
      </w:r>
      <w:r w:rsidRPr="00007F0F">
        <w:rPr>
          <w:lang w:eastAsia="ja-JP"/>
        </w:rPr>
        <w:t>bosentan na</w:t>
      </w:r>
      <w:r w:rsidRPr="00007F0F">
        <w:rPr>
          <w:rFonts w:hint="eastAsia"/>
          <w:lang w:eastAsia="ja-JP"/>
        </w:rPr>
        <w:t>ï</w:t>
      </w:r>
      <w:r w:rsidRPr="00007F0F">
        <w:rPr>
          <w:lang w:eastAsia="ja-JP"/>
        </w:rPr>
        <w:t xml:space="preserve">ve (all </w:t>
      </w:r>
      <w:r w:rsidR="007C6D8D">
        <w:rPr>
          <w:lang w:eastAsia="ja-JP"/>
        </w:rPr>
        <w:t>BD</w:t>
      </w:r>
      <w:r w:rsidRPr="00007F0F">
        <w:rPr>
          <w:lang w:eastAsia="ja-JP"/>
        </w:rPr>
        <w:t>).</w:t>
      </w:r>
    </w:p>
    <w:p w14:paraId="3C3DCF73" w14:textId="77777777" w:rsidR="007C6D8D" w:rsidRDefault="00452785" w:rsidP="00452785">
      <w:pPr>
        <w:rPr>
          <w:bCs/>
          <w:lang w:eastAsia="ja-JP"/>
        </w:rPr>
      </w:pPr>
      <w:r w:rsidRPr="00007F0F">
        <w:rPr>
          <w:lang w:eastAsia="ja-JP"/>
        </w:rPr>
        <w:t xml:space="preserve">Events defined within the </w:t>
      </w:r>
      <w:r>
        <w:rPr>
          <w:lang w:val="en-US" w:eastAsia="ja-JP"/>
        </w:rPr>
        <w:t>‘</w:t>
      </w:r>
      <w:r w:rsidR="009C6335">
        <w:rPr>
          <w:lang w:eastAsia="ja-JP"/>
        </w:rPr>
        <w:t xml:space="preserve">PAH </w:t>
      </w:r>
      <w:r w:rsidRPr="00007F0F">
        <w:rPr>
          <w:lang w:eastAsia="ja-JP"/>
        </w:rPr>
        <w:t xml:space="preserve">worsening </w:t>
      </w:r>
      <w:r>
        <w:rPr>
          <w:lang w:eastAsia="ja-JP"/>
        </w:rPr>
        <w:t xml:space="preserve">cap’ </w:t>
      </w:r>
      <w:r w:rsidRPr="00007F0F">
        <w:rPr>
          <w:bCs/>
          <w:lang w:eastAsia="ja-JP"/>
        </w:rPr>
        <w:t>were reported for a total of 4 patients (6.3%;</w:t>
      </w:r>
      <w:r>
        <w:rPr>
          <w:lang w:eastAsia="ja-JP"/>
        </w:rPr>
        <w:t xml:space="preserve"> </w:t>
      </w:r>
      <w:r w:rsidR="009C6335">
        <w:rPr>
          <w:bCs/>
          <w:lang w:eastAsia="ja-JP"/>
        </w:rPr>
        <w:t>2 </w:t>
      </w:r>
      <w:r w:rsidRPr="00007F0F">
        <w:rPr>
          <w:bCs/>
          <w:lang w:eastAsia="ja-JP"/>
        </w:rPr>
        <w:t xml:space="preserve">patients each, &lt; 2 [9.5%] and </w:t>
      </w:r>
      <w:r w:rsidR="007C6D8D">
        <w:rPr>
          <w:bCs/>
          <w:lang w:eastAsia="ja-JP"/>
        </w:rPr>
        <w:t>≥</w:t>
      </w:r>
      <w:r w:rsidR="00CF6063">
        <w:rPr>
          <w:bCs/>
          <w:lang w:eastAsia="ja-JP"/>
        </w:rPr>
        <w:t xml:space="preserve"> </w:t>
      </w:r>
      <w:r w:rsidRPr="00007F0F">
        <w:rPr>
          <w:bCs/>
          <w:lang w:eastAsia="ja-JP"/>
        </w:rPr>
        <w:t>2 years [4.6</w:t>
      </w:r>
      <w:r w:rsidRPr="002E7063">
        <w:rPr>
          <w:bCs/>
          <w:lang w:eastAsia="ja-JP"/>
        </w:rPr>
        <w:t>%])(</w:t>
      </w:r>
      <w:r w:rsidR="002E7063" w:rsidRPr="002E7063">
        <w:rPr>
          <w:bCs/>
          <w:lang w:eastAsia="ja-JP"/>
        </w:rPr>
        <w:t>T</w:t>
      </w:r>
      <w:r w:rsidR="002E7063">
        <w:rPr>
          <w:bCs/>
          <w:lang w:eastAsia="ja-JP"/>
        </w:rPr>
        <w:t>able 38</w:t>
      </w:r>
      <w:r>
        <w:rPr>
          <w:bCs/>
          <w:lang w:eastAsia="ja-JP"/>
        </w:rPr>
        <w:t>)</w:t>
      </w:r>
      <w:r w:rsidRPr="00007F0F">
        <w:rPr>
          <w:bCs/>
          <w:lang w:eastAsia="ja-JP"/>
        </w:rPr>
        <w:t>. In patients &lt; 2 years, new/worsening</w:t>
      </w:r>
      <w:r>
        <w:rPr>
          <w:lang w:eastAsia="ja-JP"/>
        </w:rPr>
        <w:t xml:space="preserve"> </w:t>
      </w:r>
      <w:r w:rsidRPr="00007F0F">
        <w:rPr>
          <w:bCs/>
          <w:lang w:eastAsia="ja-JP"/>
        </w:rPr>
        <w:t xml:space="preserve">right heart failure was reported for one patient each, in the </w:t>
      </w:r>
      <w:r w:rsidR="007C6D8D">
        <w:rPr>
          <w:bCs/>
          <w:lang w:eastAsia="ja-JP"/>
        </w:rPr>
        <w:t>BD</w:t>
      </w:r>
      <w:r w:rsidRPr="00007F0F">
        <w:rPr>
          <w:bCs/>
          <w:lang w:eastAsia="ja-JP"/>
        </w:rPr>
        <w:t xml:space="preserve"> and </w:t>
      </w:r>
      <w:r w:rsidR="007C6D8D">
        <w:rPr>
          <w:bCs/>
          <w:lang w:eastAsia="ja-JP"/>
        </w:rPr>
        <w:t>TDS</w:t>
      </w:r>
      <w:r w:rsidRPr="00007F0F">
        <w:rPr>
          <w:bCs/>
          <w:lang w:eastAsia="ja-JP"/>
        </w:rPr>
        <w:t xml:space="preserve"> groups, which</w:t>
      </w:r>
      <w:r>
        <w:rPr>
          <w:lang w:eastAsia="ja-JP"/>
        </w:rPr>
        <w:t xml:space="preserve"> </w:t>
      </w:r>
      <w:r w:rsidRPr="00007F0F">
        <w:rPr>
          <w:bCs/>
          <w:lang w:eastAsia="ja-JP"/>
        </w:rPr>
        <w:t>resulted in hospitali</w:t>
      </w:r>
      <w:r>
        <w:rPr>
          <w:bCs/>
          <w:lang w:eastAsia="ja-JP"/>
        </w:rPr>
        <w:t>s</w:t>
      </w:r>
      <w:r w:rsidRPr="00007F0F">
        <w:rPr>
          <w:bCs/>
          <w:lang w:eastAsia="ja-JP"/>
        </w:rPr>
        <w:t>ation and death in one patient (</w:t>
      </w:r>
      <w:r w:rsidR="007C6D8D">
        <w:rPr>
          <w:bCs/>
          <w:lang w:eastAsia="ja-JP"/>
        </w:rPr>
        <w:t>TDS</w:t>
      </w:r>
      <w:r w:rsidRPr="00007F0F">
        <w:rPr>
          <w:bCs/>
          <w:lang w:eastAsia="ja-JP"/>
        </w:rPr>
        <w:t xml:space="preserve">). In </w:t>
      </w:r>
      <w:r w:rsidR="009C6335" w:rsidRPr="00007F0F">
        <w:rPr>
          <w:bCs/>
          <w:lang w:eastAsia="ja-JP"/>
        </w:rPr>
        <w:t>patient’s</w:t>
      </w:r>
      <w:r w:rsidRPr="00007F0F">
        <w:rPr>
          <w:bCs/>
          <w:lang w:eastAsia="ja-JP"/>
        </w:rPr>
        <w:t xml:space="preserve"> </w:t>
      </w:r>
      <w:r w:rsidR="007C6D8D">
        <w:rPr>
          <w:bCs/>
          <w:lang w:eastAsia="ja-JP"/>
        </w:rPr>
        <w:t>≥</w:t>
      </w:r>
      <w:r w:rsidR="00CF6063">
        <w:rPr>
          <w:bCs/>
          <w:lang w:eastAsia="ja-JP"/>
        </w:rPr>
        <w:t xml:space="preserve"> </w:t>
      </w:r>
      <w:r w:rsidRPr="00007F0F">
        <w:rPr>
          <w:bCs/>
          <w:lang w:eastAsia="ja-JP"/>
        </w:rPr>
        <w:t xml:space="preserve">2 years, no </w:t>
      </w:r>
      <w:r w:rsidRPr="00007F0F">
        <w:rPr>
          <w:bCs/>
          <w:lang w:eastAsia="ja-JP"/>
        </w:rPr>
        <w:lastRenderedPageBreak/>
        <w:t>events</w:t>
      </w:r>
      <w:r>
        <w:rPr>
          <w:lang w:eastAsia="ja-JP"/>
        </w:rPr>
        <w:t xml:space="preserve"> </w:t>
      </w:r>
      <w:r w:rsidRPr="00007F0F">
        <w:rPr>
          <w:bCs/>
          <w:lang w:eastAsia="ja-JP"/>
        </w:rPr>
        <w:t xml:space="preserve">were reported in the </w:t>
      </w:r>
      <w:r w:rsidR="007C6D8D">
        <w:rPr>
          <w:bCs/>
          <w:lang w:eastAsia="ja-JP"/>
        </w:rPr>
        <w:t>TDS</w:t>
      </w:r>
      <w:r>
        <w:rPr>
          <w:bCs/>
          <w:lang w:eastAsia="ja-JP"/>
        </w:rPr>
        <w:t xml:space="preserve"> </w:t>
      </w:r>
      <w:r w:rsidRPr="00007F0F">
        <w:rPr>
          <w:bCs/>
          <w:lang w:eastAsia="ja-JP"/>
        </w:rPr>
        <w:t xml:space="preserve">group. Two patients in the </w:t>
      </w:r>
      <w:r w:rsidR="007C6D8D">
        <w:rPr>
          <w:bCs/>
          <w:lang w:eastAsia="ja-JP"/>
        </w:rPr>
        <w:t>BD</w:t>
      </w:r>
      <w:r w:rsidRPr="00007F0F">
        <w:rPr>
          <w:bCs/>
          <w:lang w:eastAsia="ja-JP"/>
        </w:rPr>
        <w:t xml:space="preserve"> group experienced</w:t>
      </w:r>
      <w:r>
        <w:rPr>
          <w:lang w:eastAsia="ja-JP"/>
        </w:rPr>
        <w:t xml:space="preserve"> </w:t>
      </w:r>
      <w:r w:rsidRPr="00007F0F">
        <w:rPr>
          <w:bCs/>
          <w:lang w:eastAsia="ja-JP"/>
        </w:rPr>
        <w:t>new/worsening right heart failure, which led to hospitali</w:t>
      </w:r>
      <w:r>
        <w:rPr>
          <w:bCs/>
          <w:lang w:eastAsia="ja-JP"/>
        </w:rPr>
        <w:t>s</w:t>
      </w:r>
      <w:r w:rsidRPr="00007F0F">
        <w:rPr>
          <w:bCs/>
          <w:lang w:eastAsia="ja-JP"/>
        </w:rPr>
        <w:t>ation and initiation of new</w:t>
      </w:r>
      <w:r>
        <w:rPr>
          <w:lang w:eastAsia="ja-JP"/>
        </w:rPr>
        <w:t xml:space="preserve"> </w:t>
      </w:r>
      <w:r w:rsidR="009C6335">
        <w:rPr>
          <w:bCs/>
          <w:lang w:eastAsia="ja-JP"/>
        </w:rPr>
        <w:t>PAH </w:t>
      </w:r>
      <w:r w:rsidRPr="00007F0F">
        <w:rPr>
          <w:bCs/>
          <w:lang w:eastAsia="ja-JP"/>
        </w:rPr>
        <w:t xml:space="preserve">specific therapy in one case. There were no relevant differences between the </w:t>
      </w:r>
      <w:r w:rsidR="007C6D8D">
        <w:rPr>
          <w:bCs/>
          <w:lang w:eastAsia="ja-JP"/>
        </w:rPr>
        <w:t>BD</w:t>
      </w:r>
      <w:r>
        <w:rPr>
          <w:lang w:eastAsia="ja-JP"/>
        </w:rPr>
        <w:t xml:space="preserve"> </w:t>
      </w:r>
      <w:r w:rsidRPr="00007F0F">
        <w:rPr>
          <w:bCs/>
          <w:lang w:eastAsia="ja-JP"/>
        </w:rPr>
        <w:t xml:space="preserve">and </w:t>
      </w:r>
      <w:r w:rsidR="007C6D8D">
        <w:rPr>
          <w:bCs/>
          <w:lang w:eastAsia="ja-JP"/>
        </w:rPr>
        <w:t>TDS</w:t>
      </w:r>
      <w:r w:rsidRPr="00007F0F">
        <w:rPr>
          <w:bCs/>
          <w:lang w:eastAsia="ja-JP"/>
        </w:rPr>
        <w:t xml:space="preserve"> groups for the time to occurrence of events defined within the </w:t>
      </w:r>
      <w:r>
        <w:rPr>
          <w:bCs/>
          <w:lang w:val="en-US" w:eastAsia="ja-JP"/>
        </w:rPr>
        <w:t>‘</w:t>
      </w:r>
      <w:r w:rsidR="009C6335">
        <w:rPr>
          <w:bCs/>
          <w:lang w:eastAsia="ja-JP"/>
        </w:rPr>
        <w:t xml:space="preserve">PAH </w:t>
      </w:r>
      <w:r w:rsidRPr="00007F0F">
        <w:rPr>
          <w:bCs/>
          <w:lang w:eastAsia="ja-JP"/>
        </w:rPr>
        <w:t>worsening</w:t>
      </w:r>
      <w:r>
        <w:rPr>
          <w:lang w:eastAsia="ja-JP"/>
        </w:rPr>
        <w:t xml:space="preserve"> </w:t>
      </w:r>
      <w:r w:rsidRPr="008806DA">
        <w:rPr>
          <w:bCs/>
          <w:lang w:eastAsia="ja-JP"/>
        </w:rPr>
        <w:t>cap</w:t>
      </w:r>
      <w:r w:rsidRPr="008806DA">
        <w:rPr>
          <w:bCs/>
          <w:lang w:val="en-US" w:eastAsia="ja-JP"/>
        </w:rPr>
        <w:t>’</w:t>
      </w:r>
      <w:r w:rsidR="008806DA" w:rsidRPr="008806DA">
        <w:rPr>
          <w:bCs/>
          <w:lang w:val="en-US" w:eastAsia="ja-JP"/>
        </w:rPr>
        <w:t xml:space="preserve"> </w:t>
      </w:r>
      <w:r w:rsidRPr="008806DA">
        <w:rPr>
          <w:bCs/>
          <w:lang w:val="en-US" w:eastAsia="ja-JP"/>
        </w:rPr>
        <w:t>(</w:t>
      </w:r>
      <w:r w:rsidR="008806DA" w:rsidRPr="008806DA">
        <w:rPr>
          <w:bCs/>
          <w:lang w:val="en-US" w:eastAsia="ja-JP"/>
        </w:rPr>
        <w:t>Figure</w:t>
      </w:r>
      <w:r w:rsidR="008806DA">
        <w:rPr>
          <w:bCs/>
          <w:lang w:val="en-US" w:eastAsia="ja-JP"/>
        </w:rPr>
        <w:t xml:space="preserve"> 20</w:t>
      </w:r>
      <w:r>
        <w:rPr>
          <w:bCs/>
          <w:lang w:val="en-US" w:eastAsia="ja-JP"/>
        </w:rPr>
        <w:t>)</w:t>
      </w:r>
      <w:r w:rsidR="007C6D8D">
        <w:rPr>
          <w:bCs/>
          <w:lang w:eastAsia="ja-JP"/>
        </w:rPr>
        <w:t>.</w:t>
      </w:r>
    </w:p>
    <w:p w14:paraId="2A4C54B8" w14:textId="77777777" w:rsidR="00452785" w:rsidRPr="00007F0F" w:rsidRDefault="00452785" w:rsidP="00452785">
      <w:pPr>
        <w:rPr>
          <w:bCs/>
          <w:lang w:eastAsia="ja-JP"/>
        </w:rPr>
      </w:pPr>
      <w:r w:rsidRPr="00007F0F">
        <w:rPr>
          <w:bCs/>
          <w:lang w:eastAsia="ja-JP"/>
        </w:rPr>
        <w:t>The majority of patients remained stable in physicians</w:t>
      </w:r>
      <w:r>
        <w:rPr>
          <w:bCs/>
          <w:lang w:val="en-US" w:eastAsia="ja-JP"/>
        </w:rPr>
        <w:t>’</w:t>
      </w:r>
      <w:r>
        <w:rPr>
          <w:bCs/>
          <w:lang w:eastAsia="ja-JP"/>
        </w:rPr>
        <w:t xml:space="preserve"> (72.7% </w:t>
      </w:r>
      <w:r w:rsidR="007C6D8D">
        <w:rPr>
          <w:bCs/>
          <w:lang w:eastAsia="ja-JP"/>
        </w:rPr>
        <w:t>BD</w:t>
      </w:r>
      <w:r>
        <w:rPr>
          <w:bCs/>
          <w:lang w:eastAsia="ja-JP"/>
        </w:rPr>
        <w:t xml:space="preserve">, 77.4% </w:t>
      </w:r>
      <w:r w:rsidR="007C6D8D">
        <w:rPr>
          <w:bCs/>
          <w:lang w:eastAsia="ja-JP"/>
        </w:rPr>
        <w:t>TDS</w:t>
      </w:r>
      <w:r>
        <w:rPr>
          <w:bCs/>
          <w:lang w:eastAsia="ja-JP"/>
        </w:rPr>
        <w:t xml:space="preserve"> (</w:t>
      </w:r>
      <w:r w:rsidR="002E7063">
        <w:rPr>
          <w:bCs/>
          <w:lang w:eastAsia="ja-JP"/>
        </w:rPr>
        <w:t>Table 39</w:t>
      </w:r>
      <w:r>
        <w:rPr>
          <w:bCs/>
          <w:lang w:eastAsia="ja-JP"/>
        </w:rPr>
        <w:t>)</w:t>
      </w:r>
      <w:r w:rsidRPr="00007F0F">
        <w:rPr>
          <w:bCs/>
          <w:lang w:eastAsia="ja-JP"/>
        </w:rPr>
        <w:t>)</w:t>
      </w:r>
      <w:r>
        <w:rPr>
          <w:bCs/>
          <w:lang w:eastAsia="ja-JP"/>
        </w:rPr>
        <w:t xml:space="preserve"> </w:t>
      </w:r>
      <w:r w:rsidRPr="00007F0F">
        <w:rPr>
          <w:bCs/>
          <w:lang w:eastAsia="ja-JP"/>
        </w:rPr>
        <w:t>and parents</w:t>
      </w:r>
      <w:r>
        <w:rPr>
          <w:bCs/>
          <w:lang w:val="en-US" w:eastAsia="ja-JP"/>
        </w:rPr>
        <w:t>’</w:t>
      </w:r>
      <w:r>
        <w:rPr>
          <w:bCs/>
          <w:lang w:eastAsia="ja-JP"/>
        </w:rPr>
        <w:t>/</w:t>
      </w:r>
      <w:r w:rsidRPr="00007F0F">
        <w:rPr>
          <w:bCs/>
          <w:lang w:eastAsia="ja-JP"/>
        </w:rPr>
        <w:t>legal representatives</w:t>
      </w:r>
      <w:r>
        <w:rPr>
          <w:bCs/>
          <w:lang w:val="en-US" w:eastAsia="ja-JP"/>
        </w:rPr>
        <w:t>’</w:t>
      </w:r>
      <w:r>
        <w:rPr>
          <w:bCs/>
          <w:lang w:eastAsia="ja-JP"/>
        </w:rPr>
        <w:t xml:space="preserve"> GCIS ratings (57.6% </w:t>
      </w:r>
      <w:r w:rsidR="007C6D8D">
        <w:rPr>
          <w:bCs/>
          <w:lang w:eastAsia="ja-JP"/>
        </w:rPr>
        <w:t>BD</w:t>
      </w:r>
      <w:r>
        <w:rPr>
          <w:bCs/>
          <w:lang w:eastAsia="ja-JP"/>
        </w:rPr>
        <w:t xml:space="preserve">, 61.3% </w:t>
      </w:r>
      <w:r w:rsidR="007C6D8D" w:rsidRPr="002E7063">
        <w:rPr>
          <w:bCs/>
          <w:lang w:eastAsia="ja-JP"/>
        </w:rPr>
        <w:t>TDS</w:t>
      </w:r>
      <w:r w:rsidRPr="002E7063">
        <w:rPr>
          <w:bCs/>
          <w:lang w:eastAsia="ja-JP"/>
        </w:rPr>
        <w:t xml:space="preserve"> (</w:t>
      </w:r>
      <w:r w:rsidR="002E7063" w:rsidRPr="002E7063">
        <w:rPr>
          <w:bCs/>
          <w:lang w:eastAsia="ja-JP"/>
        </w:rPr>
        <w:t>Table 40</w:t>
      </w:r>
      <w:r w:rsidRPr="002E7063">
        <w:rPr>
          <w:bCs/>
          <w:lang w:eastAsia="ja-JP"/>
        </w:rPr>
        <w:t>)). The</w:t>
      </w:r>
      <w:r>
        <w:rPr>
          <w:bCs/>
          <w:lang w:eastAsia="ja-JP"/>
        </w:rPr>
        <w:t xml:space="preserve"> </w:t>
      </w:r>
      <w:r w:rsidRPr="00007F0F">
        <w:rPr>
          <w:bCs/>
          <w:lang w:eastAsia="ja-JP"/>
        </w:rPr>
        <w:t xml:space="preserve">proportions of patients rated as having an </w:t>
      </w:r>
      <w:r>
        <w:rPr>
          <w:bCs/>
          <w:lang w:eastAsia="ja-JP"/>
        </w:rPr>
        <w:t>improvement were 26.9% (</w:t>
      </w:r>
      <w:r w:rsidR="007C6D8D">
        <w:rPr>
          <w:bCs/>
          <w:lang w:eastAsia="ja-JP"/>
        </w:rPr>
        <w:t>BD</w:t>
      </w:r>
      <w:r w:rsidRPr="00007F0F">
        <w:rPr>
          <w:bCs/>
          <w:lang w:eastAsia="ja-JP"/>
        </w:rPr>
        <w:t xml:space="preserve">) </w:t>
      </w:r>
      <w:r w:rsidR="007C6D8D">
        <w:rPr>
          <w:bCs/>
          <w:lang w:eastAsia="ja-JP"/>
        </w:rPr>
        <w:t>versus</w:t>
      </w:r>
      <w:r w:rsidRPr="00007F0F">
        <w:rPr>
          <w:bCs/>
          <w:lang w:eastAsia="ja-JP"/>
        </w:rPr>
        <w:t xml:space="preserve"> 19.2%</w:t>
      </w:r>
      <w:r>
        <w:rPr>
          <w:bCs/>
          <w:lang w:eastAsia="ja-JP"/>
        </w:rPr>
        <w:t xml:space="preserve"> (</w:t>
      </w:r>
      <w:r w:rsidR="007C6D8D">
        <w:rPr>
          <w:bCs/>
          <w:lang w:eastAsia="ja-JP"/>
        </w:rPr>
        <w:t>TDS</w:t>
      </w:r>
      <w:r w:rsidRPr="00007F0F">
        <w:rPr>
          <w:bCs/>
          <w:lang w:eastAsia="ja-JP"/>
        </w:rPr>
        <w:t>) in physicians</w:t>
      </w:r>
      <w:r>
        <w:rPr>
          <w:bCs/>
          <w:lang w:val="en-US" w:eastAsia="ja-JP"/>
        </w:rPr>
        <w:t>’</w:t>
      </w:r>
      <w:r w:rsidRPr="00007F0F">
        <w:rPr>
          <w:bCs/>
          <w:lang w:eastAsia="ja-JP"/>
        </w:rPr>
        <w:t xml:space="preserve"> GCIS, and</w:t>
      </w:r>
      <w:r>
        <w:rPr>
          <w:bCs/>
          <w:lang w:eastAsia="ja-JP"/>
        </w:rPr>
        <w:t xml:space="preserve"> 45.8% (</w:t>
      </w:r>
      <w:r w:rsidR="007C6D8D">
        <w:rPr>
          <w:bCs/>
          <w:lang w:eastAsia="ja-JP"/>
        </w:rPr>
        <w:t>BD</w:t>
      </w:r>
      <w:r>
        <w:rPr>
          <w:bCs/>
          <w:lang w:eastAsia="ja-JP"/>
        </w:rPr>
        <w:t xml:space="preserve">) </w:t>
      </w:r>
      <w:r w:rsidR="007C6D8D">
        <w:rPr>
          <w:bCs/>
          <w:lang w:eastAsia="ja-JP"/>
        </w:rPr>
        <w:t>versus</w:t>
      </w:r>
      <w:r>
        <w:rPr>
          <w:bCs/>
          <w:lang w:eastAsia="ja-JP"/>
        </w:rPr>
        <w:t xml:space="preserve"> 32.0% (</w:t>
      </w:r>
      <w:r w:rsidR="007C6D8D">
        <w:rPr>
          <w:bCs/>
          <w:lang w:eastAsia="ja-JP"/>
        </w:rPr>
        <w:t>TDS</w:t>
      </w:r>
      <w:r w:rsidRPr="00007F0F">
        <w:rPr>
          <w:bCs/>
          <w:lang w:eastAsia="ja-JP"/>
        </w:rPr>
        <w:t>) in parents</w:t>
      </w:r>
      <w:r>
        <w:rPr>
          <w:bCs/>
          <w:lang w:val="en-US" w:eastAsia="ja-JP"/>
        </w:rPr>
        <w:t>’</w:t>
      </w:r>
      <w:r>
        <w:rPr>
          <w:bCs/>
          <w:lang w:eastAsia="ja-JP"/>
        </w:rPr>
        <w:t>/</w:t>
      </w:r>
      <w:r w:rsidRPr="00007F0F">
        <w:rPr>
          <w:bCs/>
          <w:lang w:eastAsia="ja-JP"/>
        </w:rPr>
        <w:t>legal</w:t>
      </w:r>
      <w:r>
        <w:rPr>
          <w:bCs/>
          <w:lang w:eastAsia="ja-JP"/>
        </w:rPr>
        <w:t xml:space="preserve"> </w:t>
      </w:r>
      <w:r w:rsidRPr="00007F0F">
        <w:rPr>
          <w:bCs/>
          <w:lang w:eastAsia="ja-JP"/>
        </w:rPr>
        <w:t>representatives</w:t>
      </w:r>
      <w:r>
        <w:rPr>
          <w:bCs/>
          <w:lang w:val="en-US" w:eastAsia="ja-JP"/>
        </w:rPr>
        <w:t>’</w:t>
      </w:r>
      <w:r w:rsidRPr="00007F0F">
        <w:rPr>
          <w:bCs/>
          <w:lang w:eastAsia="ja-JP"/>
        </w:rPr>
        <w:t xml:space="preserve"> GCIS. Similar proportions of patients were rated as having worsened in</w:t>
      </w:r>
      <w:r>
        <w:rPr>
          <w:bCs/>
          <w:lang w:eastAsia="ja-JP"/>
        </w:rPr>
        <w:t xml:space="preserve"> </w:t>
      </w:r>
      <w:r w:rsidRPr="00007F0F">
        <w:rPr>
          <w:bCs/>
          <w:lang w:eastAsia="ja-JP"/>
        </w:rPr>
        <w:t>both groups in physicians</w:t>
      </w:r>
      <w:r>
        <w:rPr>
          <w:bCs/>
          <w:lang w:val="en-US" w:eastAsia="ja-JP"/>
        </w:rPr>
        <w:t>’</w:t>
      </w:r>
      <w:r>
        <w:rPr>
          <w:bCs/>
          <w:lang w:eastAsia="ja-JP"/>
        </w:rPr>
        <w:t xml:space="preserve"> GCIS (6.5% </w:t>
      </w:r>
      <w:r w:rsidR="007C6D8D">
        <w:rPr>
          <w:bCs/>
          <w:lang w:eastAsia="ja-JP"/>
        </w:rPr>
        <w:t>BD</w:t>
      </w:r>
      <w:r>
        <w:rPr>
          <w:bCs/>
          <w:lang w:eastAsia="ja-JP"/>
        </w:rPr>
        <w:t xml:space="preserve"> and 6.7% </w:t>
      </w:r>
      <w:r w:rsidR="007C6D8D">
        <w:rPr>
          <w:bCs/>
          <w:lang w:eastAsia="ja-JP"/>
        </w:rPr>
        <w:t>TDS</w:t>
      </w:r>
      <w:r w:rsidRPr="00007F0F">
        <w:rPr>
          <w:bCs/>
          <w:lang w:eastAsia="ja-JP"/>
        </w:rPr>
        <w:t>) and parents</w:t>
      </w:r>
      <w:r>
        <w:rPr>
          <w:bCs/>
          <w:lang w:val="en-US" w:eastAsia="ja-JP"/>
        </w:rPr>
        <w:t>’</w:t>
      </w:r>
      <w:r>
        <w:rPr>
          <w:bCs/>
          <w:lang w:eastAsia="ja-JP"/>
        </w:rPr>
        <w:t>/</w:t>
      </w:r>
      <w:r w:rsidRPr="00007F0F">
        <w:rPr>
          <w:bCs/>
          <w:lang w:eastAsia="ja-JP"/>
        </w:rPr>
        <w:t>legal</w:t>
      </w:r>
      <w:r>
        <w:rPr>
          <w:bCs/>
          <w:lang w:eastAsia="ja-JP"/>
        </w:rPr>
        <w:t xml:space="preserve"> </w:t>
      </w:r>
      <w:r w:rsidRPr="00007F0F">
        <w:rPr>
          <w:bCs/>
          <w:lang w:eastAsia="ja-JP"/>
        </w:rPr>
        <w:t>representatives</w:t>
      </w:r>
      <w:r>
        <w:rPr>
          <w:bCs/>
          <w:lang w:val="en-US" w:eastAsia="ja-JP"/>
        </w:rPr>
        <w:t xml:space="preserve">’ </w:t>
      </w:r>
      <w:r>
        <w:rPr>
          <w:bCs/>
          <w:lang w:eastAsia="ja-JP"/>
        </w:rPr>
        <w:t xml:space="preserve">GCIS (10.0% </w:t>
      </w:r>
      <w:r w:rsidR="007C6D8D">
        <w:rPr>
          <w:bCs/>
          <w:lang w:eastAsia="ja-JP"/>
        </w:rPr>
        <w:t>BD</w:t>
      </w:r>
      <w:r>
        <w:rPr>
          <w:bCs/>
          <w:lang w:eastAsia="ja-JP"/>
        </w:rPr>
        <w:t xml:space="preserve"> and 13.3% </w:t>
      </w:r>
      <w:r w:rsidR="007C6D8D">
        <w:rPr>
          <w:bCs/>
          <w:lang w:eastAsia="ja-JP"/>
        </w:rPr>
        <w:t>TDS</w:t>
      </w:r>
      <w:r w:rsidRPr="00007F0F">
        <w:rPr>
          <w:bCs/>
          <w:lang w:eastAsia="ja-JP"/>
        </w:rPr>
        <w:t>). Similar results were observed in</w:t>
      </w:r>
      <w:r>
        <w:rPr>
          <w:bCs/>
          <w:lang w:eastAsia="ja-JP"/>
        </w:rPr>
        <w:t xml:space="preserve"> </w:t>
      </w:r>
      <w:r w:rsidRPr="00007F0F">
        <w:rPr>
          <w:bCs/>
          <w:lang w:eastAsia="ja-JP"/>
        </w:rPr>
        <w:t xml:space="preserve">both age groups (&lt; 2 years and </w:t>
      </w:r>
      <w:r w:rsidR="007C6D8D">
        <w:rPr>
          <w:bCs/>
          <w:lang w:eastAsia="ja-JP"/>
        </w:rPr>
        <w:t>≥</w:t>
      </w:r>
      <w:r w:rsidR="00CF6063">
        <w:rPr>
          <w:bCs/>
          <w:lang w:eastAsia="ja-JP"/>
        </w:rPr>
        <w:t xml:space="preserve"> </w:t>
      </w:r>
      <w:r w:rsidRPr="00007F0F">
        <w:rPr>
          <w:bCs/>
          <w:lang w:eastAsia="ja-JP"/>
        </w:rPr>
        <w:t>2 years).</w:t>
      </w:r>
    </w:p>
    <w:p w14:paraId="4D5AE239" w14:textId="77777777" w:rsidR="00452785" w:rsidRPr="00007F0F" w:rsidRDefault="009C6335" w:rsidP="00452785">
      <w:pPr>
        <w:rPr>
          <w:lang w:eastAsia="ja-JP"/>
        </w:rPr>
      </w:pPr>
      <w:r>
        <w:rPr>
          <w:lang w:eastAsia="ja-JP"/>
        </w:rPr>
        <w:t xml:space="preserve">The NT </w:t>
      </w:r>
      <w:r w:rsidR="00452785">
        <w:rPr>
          <w:lang w:eastAsia="ja-JP"/>
        </w:rPr>
        <w:t>pro</w:t>
      </w:r>
      <w:r w:rsidR="00452785" w:rsidRPr="00007F0F">
        <w:rPr>
          <w:lang w:eastAsia="ja-JP"/>
        </w:rPr>
        <w:t xml:space="preserve">BNP ratio of geometric means of the </w:t>
      </w:r>
      <w:r w:rsidR="00452785">
        <w:rPr>
          <w:lang w:val="en-US" w:eastAsia="ja-JP"/>
        </w:rPr>
        <w:t>‘</w:t>
      </w:r>
      <w:r w:rsidR="00452785" w:rsidRPr="00007F0F">
        <w:rPr>
          <w:lang w:eastAsia="ja-JP"/>
        </w:rPr>
        <w:t xml:space="preserve">last </w:t>
      </w:r>
      <w:r w:rsidR="00A5161C">
        <w:rPr>
          <w:lang w:eastAsia="ja-JP"/>
        </w:rPr>
        <w:t>post baseline</w:t>
      </w:r>
      <w:r w:rsidR="00452785" w:rsidRPr="00007F0F">
        <w:rPr>
          <w:lang w:eastAsia="ja-JP"/>
        </w:rPr>
        <w:t xml:space="preserve"> value up to EOT</w:t>
      </w:r>
      <w:r w:rsidR="00452785">
        <w:rPr>
          <w:lang w:eastAsia="ja-JP"/>
        </w:rPr>
        <w:t xml:space="preserve"> </w:t>
      </w:r>
      <w:r w:rsidR="00452785" w:rsidRPr="00007F0F">
        <w:rPr>
          <w:lang w:eastAsia="ja-JP"/>
        </w:rPr>
        <w:t>+ 7 days</w:t>
      </w:r>
      <w:r w:rsidR="00452785">
        <w:rPr>
          <w:lang w:val="en-US" w:eastAsia="ja-JP"/>
        </w:rPr>
        <w:t>’</w:t>
      </w:r>
      <w:r w:rsidR="00452785">
        <w:rPr>
          <w:lang w:eastAsia="ja-JP"/>
        </w:rPr>
        <w:t xml:space="preserve"> to the baseline was similar in the </w:t>
      </w:r>
      <w:r w:rsidR="007C6D8D">
        <w:rPr>
          <w:lang w:eastAsia="ja-JP"/>
        </w:rPr>
        <w:t>BD</w:t>
      </w:r>
      <w:r w:rsidR="00452785" w:rsidRPr="00007F0F">
        <w:rPr>
          <w:lang w:eastAsia="ja-JP"/>
        </w:rPr>
        <w:t xml:space="preserve"> (88.94%,</w:t>
      </w:r>
      <w:r w:rsidR="00452785">
        <w:rPr>
          <w:lang w:eastAsia="ja-JP"/>
        </w:rPr>
        <w:t xml:space="preserve"> </w:t>
      </w:r>
      <w:r w:rsidR="00452785" w:rsidRPr="00007F0F">
        <w:rPr>
          <w:lang w:eastAsia="ja-JP"/>
        </w:rPr>
        <w:t>95% confidence limits</w:t>
      </w:r>
      <w:r w:rsidR="00452785">
        <w:rPr>
          <w:lang w:eastAsia="ja-JP"/>
        </w:rPr>
        <w:t xml:space="preserve"> [CLs] 62.40, 126.78) and </w:t>
      </w:r>
      <w:r w:rsidR="007C6D8D">
        <w:rPr>
          <w:lang w:eastAsia="ja-JP"/>
        </w:rPr>
        <w:t>TDS</w:t>
      </w:r>
      <w:r w:rsidR="00452785" w:rsidRPr="00007F0F">
        <w:rPr>
          <w:lang w:eastAsia="ja-JP"/>
        </w:rPr>
        <w:t xml:space="preserve"> groups (83.65%, 95% CLs 57.88,</w:t>
      </w:r>
      <w:r w:rsidR="00452785">
        <w:rPr>
          <w:lang w:eastAsia="ja-JP"/>
        </w:rPr>
        <w:t xml:space="preserve"> </w:t>
      </w:r>
      <w:r w:rsidR="00452785" w:rsidRPr="00007F0F">
        <w:rPr>
          <w:lang w:eastAsia="ja-JP"/>
        </w:rPr>
        <w:t>120</w:t>
      </w:r>
      <w:r w:rsidR="00452785" w:rsidRPr="002E7063">
        <w:rPr>
          <w:lang w:eastAsia="ja-JP"/>
        </w:rPr>
        <w:t>.87) (</w:t>
      </w:r>
      <w:r w:rsidR="002E7063" w:rsidRPr="002E7063">
        <w:rPr>
          <w:lang w:eastAsia="ja-JP"/>
        </w:rPr>
        <w:t>Table</w:t>
      </w:r>
      <w:r w:rsidR="002E7063">
        <w:rPr>
          <w:lang w:eastAsia="ja-JP"/>
        </w:rPr>
        <w:t xml:space="preserve"> 41</w:t>
      </w:r>
      <w:r w:rsidR="00452785">
        <w:rPr>
          <w:lang w:eastAsia="ja-JP"/>
        </w:rPr>
        <w:t>)</w:t>
      </w:r>
      <w:r>
        <w:rPr>
          <w:lang w:eastAsia="ja-JP"/>
        </w:rPr>
        <w:t xml:space="preserve">. In terms of mean fold </w:t>
      </w:r>
      <w:r w:rsidR="00452785" w:rsidRPr="00007F0F">
        <w:rPr>
          <w:lang w:eastAsia="ja-JP"/>
        </w:rPr>
        <w:t>change from baseline, this is a 1.12 and 1.20</w:t>
      </w:r>
      <w:r w:rsidR="00E77015">
        <w:rPr>
          <w:lang w:eastAsia="ja-JP"/>
        </w:rPr>
        <w:t xml:space="preserve"> fold</w:t>
      </w:r>
      <w:r w:rsidR="00452785" w:rsidRPr="00007F0F">
        <w:rPr>
          <w:lang w:eastAsia="ja-JP"/>
        </w:rPr>
        <w:t xml:space="preserve"> decrease</w:t>
      </w:r>
      <w:r w:rsidR="00452785">
        <w:rPr>
          <w:lang w:eastAsia="ja-JP"/>
        </w:rPr>
        <w:t xml:space="preserve"> in </w:t>
      </w:r>
      <w:r w:rsidR="007C6D8D">
        <w:rPr>
          <w:lang w:eastAsia="ja-JP"/>
        </w:rPr>
        <w:t>BD</w:t>
      </w:r>
      <w:r w:rsidR="00452785">
        <w:rPr>
          <w:lang w:eastAsia="ja-JP"/>
        </w:rPr>
        <w:t xml:space="preserve"> and </w:t>
      </w:r>
      <w:r w:rsidR="007C6D8D">
        <w:rPr>
          <w:lang w:eastAsia="ja-JP"/>
        </w:rPr>
        <w:t>TDS</w:t>
      </w:r>
      <w:r w:rsidR="00452785" w:rsidRPr="00007F0F">
        <w:rPr>
          <w:lang w:eastAsia="ja-JP"/>
        </w:rPr>
        <w:t xml:space="preserve"> groups, respectively.</w:t>
      </w:r>
    </w:p>
    <w:p w14:paraId="32A57435" w14:textId="77777777" w:rsidR="00452785" w:rsidRPr="00007F0F" w:rsidRDefault="00452785" w:rsidP="00452785">
      <w:pPr>
        <w:rPr>
          <w:lang w:eastAsia="ja-JP"/>
        </w:rPr>
      </w:pPr>
      <w:r w:rsidRPr="00007F0F">
        <w:rPr>
          <w:lang w:eastAsia="ja-JP"/>
        </w:rPr>
        <w:t>The results for changes in echocardiography/Doppler variables, WHO FC and</w:t>
      </w:r>
      <w:r>
        <w:rPr>
          <w:lang w:eastAsia="ja-JP"/>
        </w:rPr>
        <w:t xml:space="preserve"> NT-pro</w:t>
      </w:r>
      <w:r w:rsidRPr="00007F0F">
        <w:rPr>
          <w:lang w:eastAsia="ja-JP"/>
        </w:rPr>
        <w:t>BNP from baseline to Week 12 and to EOS were consistent with those from</w:t>
      </w:r>
      <w:r>
        <w:rPr>
          <w:lang w:eastAsia="ja-JP"/>
        </w:rPr>
        <w:t xml:space="preserve"> </w:t>
      </w:r>
      <w:r w:rsidRPr="00007F0F">
        <w:rPr>
          <w:lang w:eastAsia="ja-JP"/>
        </w:rPr>
        <w:t xml:space="preserve">baseline to the last </w:t>
      </w:r>
      <w:r w:rsidR="00A5161C">
        <w:rPr>
          <w:lang w:eastAsia="ja-JP"/>
        </w:rPr>
        <w:t>post baseline</w:t>
      </w:r>
      <w:r w:rsidRPr="00007F0F">
        <w:rPr>
          <w:lang w:eastAsia="ja-JP"/>
        </w:rPr>
        <w:t xml:space="preserve"> value up to EOT + 7 days (</w:t>
      </w:r>
      <w:r w:rsidR="00CF6063">
        <w:rPr>
          <w:lang w:eastAsia="ja-JP"/>
        </w:rPr>
        <w:t>that is</w:t>
      </w:r>
      <w:r w:rsidRPr="00007F0F">
        <w:rPr>
          <w:lang w:eastAsia="ja-JP"/>
        </w:rPr>
        <w:t>, analysis without a</w:t>
      </w:r>
      <w:r>
        <w:rPr>
          <w:lang w:eastAsia="ja-JP"/>
        </w:rPr>
        <w:t xml:space="preserve"> </w:t>
      </w:r>
      <w:r w:rsidRPr="00007F0F">
        <w:rPr>
          <w:lang w:eastAsia="ja-JP"/>
        </w:rPr>
        <w:t>restriction on the upper limit of the time window of the EOS visit).</w:t>
      </w:r>
    </w:p>
    <w:p w14:paraId="1067E462" w14:textId="77777777" w:rsidR="00452785" w:rsidRDefault="00452785" w:rsidP="00452785">
      <w:pPr>
        <w:rPr>
          <w:lang w:eastAsia="ja-JP"/>
        </w:rPr>
      </w:pPr>
      <w:r w:rsidRPr="00007F0F">
        <w:rPr>
          <w:lang w:eastAsia="ja-JP"/>
        </w:rPr>
        <w:t>The results of all exploratory endpoints in the Per-protocol set were consistent with those</w:t>
      </w:r>
      <w:r>
        <w:rPr>
          <w:lang w:eastAsia="ja-JP"/>
        </w:rPr>
        <w:t xml:space="preserve"> </w:t>
      </w:r>
      <w:r w:rsidRPr="00007F0F">
        <w:rPr>
          <w:lang w:eastAsia="ja-JP"/>
        </w:rPr>
        <w:t>in the All-randomi</w:t>
      </w:r>
      <w:r>
        <w:rPr>
          <w:lang w:eastAsia="ja-JP"/>
        </w:rPr>
        <w:t>s</w:t>
      </w:r>
      <w:r w:rsidRPr="00007F0F">
        <w:rPr>
          <w:lang w:eastAsia="ja-JP"/>
        </w:rPr>
        <w:t>ed set for all endpoints.</w:t>
      </w:r>
    </w:p>
    <w:p w14:paraId="7CB12FE1" w14:textId="77777777" w:rsidR="00452785" w:rsidRPr="00007F0F" w:rsidRDefault="00452785" w:rsidP="00452785">
      <w:pPr>
        <w:pStyle w:val="Tabletitle"/>
      </w:pPr>
      <w:bookmarkStart w:id="224" w:name="_Ref462747638"/>
      <w:bookmarkStart w:id="225" w:name="_Toc473884080"/>
      <w:r w:rsidRPr="002E7063">
        <w:t xml:space="preserve">Table </w:t>
      </w:r>
      <w:bookmarkEnd w:id="224"/>
      <w:r w:rsidR="002E7063" w:rsidRPr="002E7063">
        <w:t>36:</w:t>
      </w:r>
      <w:r>
        <w:t xml:space="preserve"> </w:t>
      </w:r>
      <w:r w:rsidRPr="00007F0F">
        <w:t>FUTURE-3</w:t>
      </w:r>
      <w:r>
        <w:t xml:space="preserve"> </w:t>
      </w:r>
      <w:r w:rsidRPr="00007F0F">
        <w:t>Summary of changes in h</w:t>
      </w:r>
      <w:r>
        <w:t>a</w:t>
      </w:r>
      <w:r w:rsidRPr="00007F0F">
        <w:t>emod</w:t>
      </w:r>
      <w:r>
        <w:t xml:space="preserve">ynamics from baseline to EOS for </w:t>
      </w:r>
      <w:r w:rsidRPr="00007F0F">
        <w:t>variable</w:t>
      </w:r>
      <w:r w:rsidR="009C6335">
        <w:t>s including at least 4 patients;</w:t>
      </w:r>
      <w:r w:rsidRPr="00007F0F">
        <w:t xml:space="preserve"> H</w:t>
      </w:r>
      <w:r>
        <w:t>a</w:t>
      </w:r>
      <w:r w:rsidRPr="00007F0F">
        <w:t>emodynamics subgroup,</w:t>
      </w:r>
      <w:r>
        <w:t xml:space="preserve"> </w:t>
      </w:r>
      <w:r w:rsidRPr="00007F0F">
        <w:t>overall age groups, All-randomi</w:t>
      </w:r>
      <w:r>
        <w:t>s</w:t>
      </w:r>
      <w:r w:rsidRPr="00007F0F">
        <w:t>ed set</w:t>
      </w:r>
      <w:bookmarkEnd w:id="225"/>
    </w:p>
    <w:p w14:paraId="3486D85B" w14:textId="77777777" w:rsidR="00DA5EBB" w:rsidRDefault="00452785" w:rsidP="00C22678">
      <w:pPr>
        <w:rPr>
          <w:lang w:eastAsia="ja-JP"/>
        </w:rPr>
      </w:pPr>
      <w:r>
        <w:rPr>
          <w:noProof/>
          <w:lang w:eastAsia="en-AU"/>
        </w:rPr>
        <w:drawing>
          <wp:inline distT="0" distB="0" distL="0" distR="0" wp14:anchorId="03E5E424" wp14:editId="256DE2AA">
            <wp:extent cx="5410200" cy="2847975"/>
            <wp:effectExtent l="0" t="0" r="0" b="9525"/>
            <wp:docPr id="53" name="Picture 53" descr="Table 36: FUTURE-3 Summary of changes in haemodynamics from baseline to EOS for variables including at least 4 patients; Haemodynamics subgroup, overall age group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410200" cy="2847975"/>
                    </a:xfrm>
                    <a:prstGeom prst="rect">
                      <a:avLst/>
                    </a:prstGeom>
                  </pic:spPr>
                </pic:pic>
              </a:graphicData>
            </a:graphic>
          </wp:inline>
        </w:drawing>
      </w:r>
    </w:p>
    <w:p w14:paraId="3426DA39" w14:textId="77777777" w:rsidR="00452785" w:rsidRDefault="00452785" w:rsidP="00452785">
      <w:pPr>
        <w:pStyle w:val="Tabletitle"/>
      </w:pPr>
      <w:bookmarkStart w:id="226" w:name="_Ref462747668"/>
      <w:bookmarkStart w:id="227" w:name="_Toc473884081"/>
      <w:r w:rsidRPr="002E7063">
        <w:lastRenderedPageBreak/>
        <w:t xml:space="preserve">Table </w:t>
      </w:r>
      <w:bookmarkEnd w:id="226"/>
      <w:r w:rsidR="002E7063" w:rsidRPr="002E7063">
        <w:t>37:</w:t>
      </w:r>
      <w:r w:rsidRPr="002E7063">
        <w:t xml:space="preserve"> FUTURE-3 Summary of changes in echocardiography/Doppler variables from</w:t>
      </w:r>
      <w:r>
        <w:t xml:space="preserve"> </w:t>
      </w:r>
      <w:r w:rsidRPr="00A808A0">
        <w:t xml:space="preserve">baseline to last </w:t>
      </w:r>
      <w:r w:rsidR="00A5161C">
        <w:t>post baseline</w:t>
      </w:r>
      <w:r w:rsidRPr="00A808A0">
        <w:t xml:space="preserve"> value up to EOT + 7 days, echo/Doppler</w:t>
      </w:r>
      <w:r>
        <w:t xml:space="preserve"> </w:t>
      </w:r>
      <w:r w:rsidRPr="00A808A0">
        <w:t>subgroup, overall age groups, All-randomi</w:t>
      </w:r>
      <w:r>
        <w:t>s</w:t>
      </w:r>
      <w:r w:rsidRPr="00A808A0">
        <w:t>ed set</w:t>
      </w:r>
      <w:bookmarkEnd w:id="227"/>
    </w:p>
    <w:p w14:paraId="518E9B44" w14:textId="77777777" w:rsidR="00DA5EBB" w:rsidRDefault="00452785" w:rsidP="00C22678">
      <w:pPr>
        <w:rPr>
          <w:lang w:eastAsia="ja-JP"/>
        </w:rPr>
      </w:pPr>
      <w:r>
        <w:rPr>
          <w:noProof/>
          <w:lang w:eastAsia="en-AU"/>
        </w:rPr>
        <w:drawing>
          <wp:inline distT="0" distB="0" distL="0" distR="0" wp14:anchorId="039D6655" wp14:editId="486B84CC">
            <wp:extent cx="4572000" cy="2800350"/>
            <wp:effectExtent l="0" t="0" r="0" b="0"/>
            <wp:docPr id="54" name="Picture 54" descr="Table 37: FUTURE-3 Summary of changes in echocardiography/Doppler variables from baseline to last post baseline value up to EOT + 7 days, echo/Doppler subgroup, overall age group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2000" cy="2800350"/>
                    </a:xfrm>
                    <a:prstGeom prst="rect">
                      <a:avLst/>
                    </a:prstGeom>
                  </pic:spPr>
                </pic:pic>
              </a:graphicData>
            </a:graphic>
          </wp:inline>
        </w:drawing>
      </w:r>
    </w:p>
    <w:p w14:paraId="66E76262" w14:textId="77777777" w:rsidR="00452785" w:rsidRDefault="00452785" w:rsidP="00452785">
      <w:pPr>
        <w:pStyle w:val="Tabletitle"/>
      </w:pPr>
      <w:bookmarkStart w:id="228" w:name="_Ref462749264"/>
      <w:bookmarkStart w:id="229" w:name="_Toc473884082"/>
      <w:r w:rsidRPr="002E7063">
        <w:t xml:space="preserve">Table </w:t>
      </w:r>
      <w:bookmarkEnd w:id="228"/>
      <w:r w:rsidR="002E7063" w:rsidRPr="002E7063">
        <w:t>38:</w:t>
      </w:r>
      <w:r w:rsidRPr="002E7063">
        <w:t xml:space="preserve"> FUTURE-3 Summary of PAH-worsening: death, lung transplantation,</w:t>
      </w:r>
      <w:r>
        <w:t xml:space="preserve"> </w:t>
      </w:r>
      <w:r w:rsidRPr="008E21D5">
        <w:t>hospitali</w:t>
      </w:r>
      <w:r>
        <w:t>s</w:t>
      </w:r>
      <w:r w:rsidRPr="008E21D5">
        <w:t>ation for PAH-progression, initiation of new therapy for</w:t>
      </w:r>
      <w:r>
        <w:t xml:space="preserve"> </w:t>
      </w:r>
      <w:r w:rsidRPr="008E21D5">
        <w:t xml:space="preserve">PAH or new/worsening right heart failure up to </w:t>
      </w:r>
      <w:r>
        <w:t>EOS</w:t>
      </w:r>
      <w:r w:rsidRPr="008E21D5">
        <w:t>/</w:t>
      </w:r>
      <w:r>
        <w:t xml:space="preserve"> </w:t>
      </w:r>
      <w:r w:rsidRPr="008E21D5">
        <w:t>premature discontinuation + 7 days; overall age groups,</w:t>
      </w:r>
      <w:r>
        <w:t xml:space="preserve"> </w:t>
      </w:r>
      <w:r w:rsidRPr="008E21D5">
        <w:t>All-randomi</w:t>
      </w:r>
      <w:r>
        <w:t>s</w:t>
      </w:r>
      <w:r w:rsidRPr="008E21D5">
        <w:t>ed set</w:t>
      </w:r>
      <w:bookmarkEnd w:id="229"/>
    </w:p>
    <w:p w14:paraId="55B62BE8" w14:textId="77777777" w:rsidR="00DA5EBB" w:rsidRDefault="00452785" w:rsidP="00C22678">
      <w:pPr>
        <w:rPr>
          <w:lang w:eastAsia="ja-JP"/>
        </w:rPr>
      </w:pPr>
      <w:r>
        <w:rPr>
          <w:noProof/>
          <w:lang w:eastAsia="en-AU"/>
        </w:rPr>
        <w:drawing>
          <wp:inline distT="0" distB="0" distL="0" distR="0" wp14:anchorId="5FD26F9B" wp14:editId="271083EC">
            <wp:extent cx="4438650" cy="1190625"/>
            <wp:effectExtent l="0" t="0" r="0" b="9525"/>
            <wp:docPr id="55" name="Picture 55" descr="Table 38: FUTURE-3 Summary of PAH-worsening: death, lung transplantation, hospitalisation for PAH-progression, initiation of new therapy for PAH or new/worsening right heart failure up to EOS/ premature discontinuation + 7 days; overall age group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brightnessContrast contrast="-40000"/>
                              </a14:imgEffect>
                            </a14:imgLayer>
                          </a14:imgProps>
                        </a:ext>
                      </a:extLst>
                    </a:blip>
                    <a:stretch>
                      <a:fillRect/>
                    </a:stretch>
                  </pic:blipFill>
                  <pic:spPr>
                    <a:xfrm>
                      <a:off x="0" y="0"/>
                      <a:ext cx="4438650" cy="1190625"/>
                    </a:xfrm>
                    <a:prstGeom prst="rect">
                      <a:avLst/>
                    </a:prstGeom>
                  </pic:spPr>
                </pic:pic>
              </a:graphicData>
            </a:graphic>
          </wp:inline>
        </w:drawing>
      </w:r>
    </w:p>
    <w:p w14:paraId="48BF491C" w14:textId="77777777" w:rsidR="00452785" w:rsidRDefault="00452785" w:rsidP="00452785">
      <w:pPr>
        <w:pStyle w:val="FigureTitle"/>
      </w:pPr>
      <w:bookmarkStart w:id="230" w:name="_Ref462749612"/>
      <w:bookmarkStart w:id="231" w:name="_Toc473884171"/>
      <w:r w:rsidRPr="008806DA">
        <w:lastRenderedPageBreak/>
        <w:t xml:space="preserve">Figure </w:t>
      </w:r>
      <w:bookmarkEnd w:id="230"/>
      <w:r w:rsidR="008806DA" w:rsidRPr="008806DA">
        <w:t>20:</w:t>
      </w:r>
      <w:r w:rsidRPr="008806DA">
        <w:t xml:space="preserve"> FUTURE</w:t>
      </w:r>
      <w:r w:rsidRPr="00007F0F">
        <w:t>-3</w:t>
      </w:r>
      <w:r>
        <w:t xml:space="preserve"> </w:t>
      </w:r>
      <w:r w:rsidRPr="008E21D5">
        <w:t>Time to first occurrence of death, lung transplantation, hospitali</w:t>
      </w:r>
      <w:r>
        <w:t>s</w:t>
      </w:r>
      <w:r w:rsidRPr="008E21D5">
        <w:t>ation</w:t>
      </w:r>
      <w:r>
        <w:t xml:space="preserve"> </w:t>
      </w:r>
      <w:r w:rsidRPr="008E21D5">
        <w:t>for PAH-progression, initiation of new therapy for PAH or</w:t>
      </w:r>
      <w:r>
        <w:t xml:space="preserve"> </w:t>
      </w:r>
      <w:r w:rsidRPr="008E21D5">
        <w:t xml:space="preserve">new/worsening right heart failure: </w:t>
      </w:r>
      <w:r>
        <w:t>KM</w:t>
      </w:r>
      <w:r w:rsidRPr="008E21D5">
        <w:t xml:space="preserve"> curve,</w:t>
      </w:r>
      <w:r>
        <w:t xml:space="preserve"> </w:t>
      </w:r>
      <w:r w:rsidRPr="008E21D5">
        <w:t>All-randomi</w:t>
      </w:r>
      <w:r>
        <w:t>s</w:t>
      </w:r>
      <w:r w:rsidRPr="008E21D5">
        <w:t>ed set</w:t>
      </w:r>
      <w:bookmarkEnd w:id="231"/>
    </w:p>
    <w:p w14:paraId="6D648B3D" w14:textId="77777777" w:rsidR="00DA5EBB" w:rsidRDefault="008408E4" w:rsidP="00C22678">
      <w:pPr>
        <w:rPr>
          <w:lang w:eastAsia="ja-JP"/>
        </w:rPr>
      </w:pPr>
      <w:r>
        <w:rPr>
          <w:noProof/>
          <w:lang w:eastAsia="en-AU"/>
        </w:rPr>
        <w:drawing>
          <wp:inline distT="0" distB="0" distL="0" distR="0" wp14:anchorId="3FA1BCD1" wp14:editId="3AD56DBA">
            <wp:extent cx="4238625" cy="2990850"/>
            <wp:effectExtent l="0" t="0" r="9525" b="0"/>
            <wp:docPr id="56" name="Picture 56" descr="Figure 20: FUTURE-3 Time to first occurrence of death, lung transplantation, hospitalisation for PAH-progression, initiation of new therapy for PAH or new/worsening right heart failure: KM curve,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238625" cy="2990850"/>
                    </a:xfrm>
                    <a:prstGeom prst="rect">
                      <a:avLst/>
                    </a:prstGeom>
                  </pic:spPr>
                </pic:pic>
              </a:graphicData>
            </a:graphic>
          </wp:inline>
        </w:drawing>
      </w:r>
    </w:p>
    <w:p w14:paraId="453E9BB8" w14:textId="77777777" w:rsidR="008408E4" w:rsidRPr="00007F0F" w:rsidRDefault="008408E4" w:rsidP="008408E4">
      <w:pPr>
        <w:pStyle w:val="Tabletitle"/>
        <w:rPr>
          <w:lang w:eastAsia="ja-JP"/>
        </w:rPr>
      </w:pPr>
      <w:bookmarkStart w:id="232" w:name="_Ref462749786"/>
      <w:bookmarkStart w:id="233" w:name="_Toc473884083"/>
      <w:r w:rsidRPr="002E7063">
        <w:t xml:space="preserve">Table </w:t>
      </w:r>
      <w:bookmarkEnd w:id="232"/>
      <w:r w:rsidR="002E7063" w:rsidRPr="002E7063">
        <w:t>39:</w:t>
      </w:r>
      <w:r w:rsidRPr="002E7063">
        <w:t xml:space="preserve"> FUTURE</w:t>
      </w:r>
      <w:r w:rsidRPr="00007F0F">
        <w:t>-3</w:t>
      </w:r>
      <w:r>
        <w:t xml:space="preserve"> </w:t>
      </w:r>
      <w:r w:rsidRPr="008E21D5">
        <w:t>Summary of shift in physicians</w:t>
      </w:r>
      <w:r>
        <w:t>’</w:t>
      </w:r>
      <w:r w:rsidRPr="008E21D5">
        <w:t xml:space="preserve"> GCIS from baseline to EOS, All-randomi</w:t>
      </w:r>
      <w:r>
        <w:t>s</w:t>
      </w:r>
      <w:r w:rsidRPr="008E21D5">
        <w:t>ed set</w:t>
      </w:r>
      <w:bookmarkEnd w:id="233"/>
    </w:p>
    <w:p w14:paraId="0DE8C5BA" w14:textId="77777777" w:rsidR="00452785" w:rsidRDefault="008408E4" w:rsidP="00C22678">
      <w:pPr>
        <w:rPr>
          <w:lang w:eastAsia="ja-JP"/>
        </w:rPr>
      </w:pPr>
      <w:r>
        <w:rPr>
          <w:noProof/>
          <w:lang w:eastAsia="en-AU"/>
        </w:rPr>
        <w:drawing>
          <wp:inline distT="0" distB="0" distL="0" distR="0" wp14:anchorId="28DF3D35" wp14:editId="173BDC6B">
            <wp:extent cx="5476875" cy="2847975"/>
            <wp:effectExtent l="0" t="0" r="9525" b="9525"/>
            <wp:docPr id="57" name="Picture 57" descr="Table 39: FUTURE-3 Summary of shift in physicians’ GCIS from baseline to EO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BEBA8EAE-BF5A-486C-A8C5-ECC9F3942E4B}">
                          <a14:imgProps xmlns:a14="http://schemas.microsoft.com/office/drawing/2010/main">
                            <a14:imgLayer r:embed="rId89">
                              <a14:imgEffect>
                                <a14:brightnessContrast contrast="-40000"/>
                              </a14:imgEffect>
                            </a14:imgLayer>
                          </a14:imgProps>
                        </a:ext>
                      </a:extLst>
                    </a:blip>
                    <a:stretch>
                      <a:fillRect/>
                    </a:stretch>
                  </pic:blipFill>
                  <pic:spPr>
                    <a:xfrm>
                      <a:off x="0" y="0"/>
                      <a:ext cx="5476875" cy="2847975"/>
                    </a:xfrm>
                    <a:prstGeom prst="rect">
                      <a:avLst/>
                    </a:prstGeom>
                  </pic:spPr>
                </pic:pic>
              </a:graphicData>
            </a:graphic>
          </wp:inline>
        </w:drawing>
      </w:r>
    </w:p>
    <w:p w14:paraId="35F628EB" w14:textId="77777777" w:rsidR="008408E4" w:rsidRPr="00B13B34" w:rsidRDefault="008408E4" w:rsidP="008408E4">
      <w:pPr>
        <w:pStyle w:val="Tabletitle"/>
      </w:pPr>
      <w:bookmarkStart w:id="234" w:name="_Ref462749905"/>
      <w:bookmarkStart w:id="235" w:name="_Toc473884084"/>
      <w:r w:rsidRPr="002E7063">
        <w:lastRenderedPageBreak/>
        <w:t xml:space="preserve">Table </w:t>
      </w:r>
      <w:bookmarkEnd w:id="234"/>
      <w:r w:rsidR="002E7063" w:rsidRPr="002E7063">
        <w:t>40</w:t>
      </w:r>
      <w:r w:rsidR="002E7063">
        <w:t>:</w:t>
      </w:r>
      <w:r>
        <w:t xml:space="preserve"> </w:t>
      </w:r>
      <w:r w:rsidRPr="00007F0F">
        <w:t>FUTURE-3</w:t>
      </w:r>
      <w:r>
        <w:t xml:space="preserve"> </w:t>
      </w:r>
      <w:r w:rsidRPr="00B13B34">
        <w:t>Summary of shift in parents</w:t>
      </w:r>
      <w:r>
        <w:t>’</w:t>
      </w:r>
      <w:r w:rsidRPr="00B13B34">
        <w:t xml:space="preserve"> / legal representatives</w:t>
      </w:r>
      <w:r>
        <w:t>’</w:t>
      </w:r>
      <w:r w:rsidRPr="00B13B34">
        <w:t xml:space="preserve"> GCIS from baseline to EOS, All-randomi</w:t>
      </w:r>
      <w:r>
        <w:t>s</w:t>
      </w:r>
      <w:r w:rsidRPr="00B13B34">
        <w:t>ed</w:t>
      </w:r>
      <w:r>
        <w:t xml:space="preserve"> </w:t>
      </w:r>
      <w:r w:rsidRPr="00B13B34">
        <w:t>set</w:t>
      </w:r>
      <w:bookmarkEnd w:id="235"/>
    </w:p>
    <w:p w14:paraId="3F8C89A0" w14:textId="77777777" w:rsidR="00452785" w:rsidRDefault="008408E4" w:rsidP="00C22678">
      <w:pPr>
        <w:rPr>
          <w:lang w:eastAsia="ja-JP"/>
        </w:rPr>
      </w:pPr>
      <w:r>
        <w:rPr>
          <w:noProof/>
          <w:lang w:eastAsia="en-AU"/>
        </w:rPr>
        <w:drawing>
          <wp:inline distT="0" distB="0" distL="0" distR="0" wp14:anchorId="6E83B741" wp14:editId="4E1A3644">
            <wp:extent cx="5731510" cy="3063069"/>
            <wp:effectExtent l="0" t="0" r="2540" b="4445"/>
            <wp:docPr id="58" name="Picture 58" descr="Table 40: FUTURE-3 Summary of shift in parents’ / legal representatives’ GCIS from baseline to EO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BEBA8EAE-BF5A-486C-A8C5-ECC9F3942E4B}">
                          <a14:imgProps xmlns:a14="http://schemas.microsoft.com/office/drawing/2010/main">
                            <a14:imgLayer r:embed="rId91">
                              <a14:imgEffect>
                                <a14:brightnessContrast contrast="-40000"/>
                              </a14:imgEffect>
                            </a14:imgLayer>
                          </a14:imgProps>
                        </a:ext>
                      </a:extLst>
                    </a:blip>
                    <a:stretch>
                      <a:fillRect/>
                    </a:stretch>
                  </pic:blipFill>
                  <pic:spPr>
                    <a:xfrm>
                      <a:off x="0" y="0"/>
                      <a:ext cx="5731510" cy="3063069"/>
                    </a:xfrm>
                    <a:prstGeom prst="rect">
                      <a:avLst/>
                    </a:prstGeom>
                  </pic:spPr>
                </pic:pic>
              </a:graphicData>
            </a:graphic>
          </wp:inline>
        </w:drawing>
      </w:r>
    </w:p>
    <w:p w14:paraId="0D889931" w14:textId="77777777" w:rsidR="008408E4" w:rsidRPr="000D7502" w:rsidRDefault="002E7063" w:rsidP="008408E4">
      <w:pPr>
        <w:pStyle w:val="Tabletitle"/>
      </w:pPr>
      <w:bookmarkStart w:id="236" w:name="_Toc473884085"/>
      <w:r>
        <w:t xml:space="preserve">Table 41: </w:t>
      </w:r>
      <w:r w:rsidR="008408E4" w:rsidRPr="00007F0F">
        <w:t>FUTURE-3</w:t>
      </w:r>
      <w:r w:rsidR="008408E4">
        <w:t xml:space="preserve"> </w:t>
      </w:r>
      <w:r w:rsidR="008408E4" w:rsidRPr="000D7502">
        <w:t xml:space="preserve">Change in NT-pro-BNP from baseline to last </w:t>
      </w:r>
      <w:r w:rsidR="00A5161C">
        <w:t>post baseline</w:t>
      </w:r>
      <w:r w:rsidR="008408E4" w:rsidRPr="000D7502">
        <w:t xml:space="preserve"> value up to</w:t>
      </w:r>
      <w:r w:rsidR="008408E4">
        <w:t xml:space="preserve"> </w:t>
      </w:r>
      <w:r w:rsidR="008408E4" w:rsidRPr="000D7502">
        <w:t>EOT + 7 days; overall age groups, All-randomi</w:t>
      </w:r>
      <w:r w:rsidR="008408E4">
        <w:t>s</w:t>
      </w:r>
      <w:r w:rsidR="008408E4" w:rsidRPr="000D7502">
        <w:t>ed set</w:t>
      </w:r>
      <w:bookmarkEnd w:id="236"/>
    </w:p>
    <w:p w14:paraId="4C69AD04" w14:textId="77777777" w:rsidR="00452785" w:rsidRDefault="008408E4" w:rsidP="00C22678">
      <w:pPr>
        <w:rPr>
          <w:lang w:eastAsia="ja-JP"/>
        </w:rPr>
      </w:pPr>
      <w:r>
        <w:rPr>
          <w:noProof/>
          <w:lang w:eastAsia="en-AU"/>
        </w:rPr>
        <w:drawing>
          <wp:inline distT="0" distB="0" distL="0" distR="0" wp14:anchorId="5EA0C011" wp14:editId="57F5458F">
            <wp:extent cx="4648200" cy="4248150"/>
            <wp:effectExtent l="0" t="0" r="0" b="0"/>
            <wp:docPr id="59" name="Picture 59" descr="Table 41: FUTURE-3 Change in NT-pro-BNP from baseline to last post baseline value up to EOT + 7 days; overall age groups, All-randomis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648200" cy="4248150"/>
                    </a:xfrm>
                    <a:prstGeom prst="rect">
                      <a:avLst/>
                    </a:prstGeom>
                  </pic:spPr>
                </pic:pic>
              </a:graphicData>
            </a:graphic>
          </wp:inline>
        </w:drawing>
      </w:r>
    </w:p>
    <w:p w14:paraId="0D1F3F7C" w14:textId="77777777" w:rsidR="00153B34" w:rsidRPr="00153B34" w:rsidRDefault="00153B34" w:rsidP="00153B34">
      <w:pPr>
        <w:pStyle w:val="Heading4"/>
        <w:numPr>
          <w:ilvl w:val="2"/>
          <w:numId w:val="17"/>
        </w:numPr>
      </w:pPr>
      <w:r w:rsidRPr="00153B34">
        <w:lastRenderedPageBreak/>
        <w:t>AC-052-374 FUTURE-3 Extension</w:t>
      </w:r>
    </w:p>
    <w:p w14:paraId="02D32109" w14:textId="61EADBA7" w:rsidR="007C6D8D" w:rsidRDefault="00153B34" w:rsidP="00153B34">
      <w:pPr>
        <w:rPr>
          <w:lang w:eastAsia="ja-JP"/>
        </w:rPr>
      </w:pPr>
      <w:r>
        <w:rPr>
          <w:lang w:eastAsia="ja-JP"/>
        </w:rPr>
        <w:t xml:space="preserve">The FUTURE-3 </w:t>
      </w:r>
      <w:r w:rsidR="001C49AB">
        <w:rPr>
          <w:lang w:eastAsia="ja-JP"/>
        </w:rPr>
        <w:t>extension study</w:t>
      </w:r>
      <w:r w:rsidR="009C6335">
        <w:rPr>
          <w:lang w:eastAsia="ja-JP"/>
        </w:rPr>
        <w:t xml:space="preserve"> was </w:t>
      </w:r>
      <w:r w:rsidRPr="009C6335">
        <w:rPr>
          <w:lang w:eastAsia="ja-JP"/>
        </w:rPr>
        <w:t>described.</w:t>
      </w:r>
      <w:r>
        <w:rPr>
          <w:lang w:eastAsia="ja-JP"/>
        </w:rPr>
        <w:t xml:space="preserve"> The objective was t</w:t>
      </w:r>
      <w:r w:rsidRPr="000D7502">
        <w:rPr>
          <w:lang w:eastAsia="ja-JP"/>
        </w:rPr>
        <w:t xml:space="preserve">o evaluate the </w:t>
      </w:r>
      <w:r w:rsidR="007C6D8D">
        <w:rPr>
          <w:lang w:eastAsia="ja-JP"/>
        </w:rPr>
        <w:t>long term</w:t>
      </w:r>
      <w:r w:rsidRPr="000D7502">
        <w:rPr>
          <w:lang w:eastAsia="ja-JP"/>
        </w:rPr>
        <w:t xml:space="preserve"> safety, tolerability and efficacy of the 32 mg dispersible tablet</w:t>
      </w:r>
      <w:r>
        <w:rPr>
          <w:lang w:eastAsia="ja-JP"/>
        </w:rPr>
        <w:t xml:space="preserve"> </w:t>
      </w:r>
      <w:r w:rsidRPr="000D7502">
        <w:rPr>
          <w:lang w:eastAsia="ja-JP"/>
        </w:rPr>
        <w:t xml:space="preserve">formulation of 2 mg/kg bosentan </w:t>
      </w:r>
      <w:r w:rsidR="007C6D8D">
        <w:rPr>
          <w:lang w:eastAsia="ja-JP"/>
        </w:rPr>
        <w:t>BD</w:t>
      </w:r>
      <w:r>
        <w:rPr>
          <w:lang w:eastAsia="ja-JP"/>
        </w:rPr>
        <w:t xml:space="preserve"> </w:t>
      </w:r>
      <w:r w:rsidR="007C6D8D">
        <w:rPr>
          <w:lang w:eastAsia="ja-JP"/>
        </w:rPr>
        <w:t>versus</w:t>
      </w:r>
      <w:r>
        <w:rPr>
          <w:lang w:eastAsia="ja-JP"/>
        </w:rPr>
        <w:t xml:space="preserve"> </w:t>
      </w:r>
      <w:r w:rsidR="007C6D8D">
        <w:rPr>
          <w:lang w:eastAsia="ja-JP"/>
        </w:rPr>
        <w:t>TDS</w:t>
      </w:r>
      <w:r w:rsidRPr="000D7502">
        <w:rPr>
          <w:lang w:eastAsia="ja-JP"/>
        </w:rPr>
        <w:t xml:space="preserve"> in children with</w:t>
      </w:r>
      <w:r>
        <w:rPr>
          <w:lang w:eastAsia="ja-JP"/>
        </w:rPr>
        <w:t xml:space="preserve"> </w:t>
      </w:r>
      <w:r w:rsidRPr="000D7502">
        <w:rPr>
          <w:lang w:eastAsia="ja-JP"/>
        </w:rPr>
        <w:t>PAH.</w:t>
      </w:r>
      <w:r>
        <w:rPr>
          <w:lang w:eastAsia="ja-JP"/>
        </w:rPr>
        <w:t xml:space="preserve"> No </w:t>
      </w:r>
      <w:r w:rsidRPr="000D7502">
        <w:rPr>
          <w:lang w:eastAsia="ja-JP"/>
        </w:rPr>
        <w:t xml:space="preserve">primary endpoint was defined </w:t>
      </w:r>
      <w:r>
        <w:rPr>
          <w:lang w:eastAsia="ja-JP"/>
        </w:rPr>
        <w:t>and a</w:t>
      </w:r>
      <w:r w:rsidRPr="000D7502">
        <w:rPr>
          <w:lang w:eastAsia="ja-JP"/>
        </w:rPr>
        <w:t>ll effica</w:t>
      </w:r>
      <w:r>
        <w:rPr>
          <w:lang w:eastAsia="ja-JP"/>
        </w:rPr>
        <w:t xml:space="preserve">cy endpoints defined were </w:t>
      </w:r>
      <w:r w:rsidRPr="000D7502">
        <w:rPr>
          <w:lang w:eastAsia="ja-JP"/>
        </w:rPr>
        <w:t>exploratory</w:t>
      </w:r>
      <w:r w:rsidR="007C6D8D">
        <w:rPr>
          <w:lang w:eastAsia="ja-JP"/>
        </w:rPr>
        <w:t>.</w:t>
      </w:r>
    </w:p>
    <w:p w14:paraId="78A71774" w14:textId="77777777" w:rsidR="007C6D8D" w:rsidRDefault="00153B34" w:rsidP="00153B34">
      <w:pPr>
        <w:rPr>
          <w:lang w:eastAsia="ja-JP"/>
        </w:rPr>
      </w:pPr>
      <w:r>
        <w:rPr>
          <w:lang w:eastAsia="ja-JP"/>
        </w:rPr>
        <w:t xml:space="preserve">Disease condition at baseline was noted to be more severe in patients in the </w:t>
      </w:r>
      <w:r w:rsidR="007C6D8D">
        <w:rPr>
          <w:lang w:eastAsia="ja-JP"/>
        </w:rPr>
        <w:t>BD</w:t>
      </w:r>
      <w:r>
        <w:rPr>
          <w:lang w:eastAsia="ja-JP"/>
        </w:rPr>
        <w:t xml:space="preserve"> group than the </w:t>
      </w:r>
      <w:r w:rsidR="007C6D8D">
        <w:rPr>
          <w:lang w:eastAsia="ja-JP"/>
        </w:rPr>
        <w:t>TDS</w:t>
      </w:r>
      <w:r>
        <w:rPr>
          <w:lang w:eastAsia="ja-JP"/>
        </w:rPr>
        <w:t xml:space="preserve"> group.</w:t>
      </w:r>
      <w:r w:rsidRPr="00803A14">
        <w:rPr>
          <w:lang w:eastAsia="ja-JP"/>
        </w:rPr>
        <w:t xml:space="preserve"> </w:t>
      </w:r>
      <w:r>
        <w:rPr>
          <w:lang w:eastAsia="ja-JP"/>
        </w:rPr>
        <w:t>T</w:t>
      </w:r>
      <w:r w:rsidRPr="00B733E9">
        <w:rPr>
          <w:lang w:eastAsia="ja-JP"/>
        </w:rPr>
        <w:t>he majority of patients</w:t>
      </w:r>
      <w:r>
        <w:rPr>
          <w:lang w:eastAsia="ja-JP"/>
        </w:rPr>
        <w:t xml:space="preserve"> </w:t>
      </w:r>
      <w:r w:rsidRPr="00B733E9">
        <w:rPr>
          <w:lang w:eastAsia="ja-JP"/>
        </w:rPr>
        <w:t>remained clinically stable</w:t>
      </w:r>
      <w:r>
        <w:rPr>
          <w:lang w:eastAsia="ja-JP"/>
        </w:rPr>
        <w:t xml:space="preserve"> in WHO FC status (no change in WHO FC from baseline at </w:t>
      </w:r>
      <w:r w:rsidRPr="00B733E9">
        <w:rPr>
          <w:lang w:eastAsia="ja-JP"/>
        </w:rPr>
        <w:t>Month 12: 73.4%, Month 18: 78.1%)</w:t>
      </w:r>
      <w:r>
        <w:rPr>
          <w:lang w:eastAsia="ja-JP"/>
        </w:rPr>
        <w:t>.</w:t>
      </w:r>
      <w:r w:rsidRPr="00503D30">
        <w:rPr>
          <w:lang w:eastAsia="ja-JP"/>
        </w:rPr>
        <w:t xml:space="preserve"> </w:t>
      </w:r>
      <w:r w:rsidRPr="00B733E9">
        <w:rPr>
          <w:lang w:eastAsia="ja-JP"/>
        </w:rPr>
        <w:t>WHO FC re</w:t>
      </w:r>
      <w:r>
        <w:rPr>
          <w:lang w:eastAsia="ja-JP"/>
        </w:rPr>
        <w:t>mained unchanged for 66.7% (</w:t>
      </w:r>
      <w:r w:rsidR="007C6D8D">
        <w:rPr>
          <w:lang w:eastAsia="ja-JP"/>
        </w:rPr>
        <w:t>BD</w:t>
      </w:r>
      <w:r>
        <w:rPr>
          <w:lang w:eastAsia="ja-JP"/>
        </w:rPr>
        <w:t xml:space="preserve">) </w:t>
      </w:r>
      <w:r w:rsidR="007C6D8D">
        <w:rPr>
          <w:lang w:eastAsia="ja-JP"/>
        </w:rPr>
        <w:t>versus</w:t>
      </w:r>
      <w:r>
        <w:rPr>
          <w:lang w:eastAsia="ja-JP"/>
        </w:rPr>
        <w:t xml:space="preserve"> 80.6% (</w:t>
      </w:r>
      <w:r w:rsidR="007C6D8D">
        <w:rPr>
          <w:lang w:eastAsia="ja-JP"/>
        </w:rPr>
        <w:t>TDS</w:t>
      </w:r>
      <w:r>
        <w:rPr>
          <w:lang w:eastAsia="ja-JP"/>
        </w:rPr>
        <w:t>) of patients</w:t>
      </w:r>
      <w:r w:rsidR="007B05D8">
        <w:rPr>
          <w:lang w:eastAsia="ja-JP"/>
        </w:rPr>
        <w:t>,</w:t>
      </w:r>
      <w:r>
        <w:rPr>
          <w:lang w:eastAsia="ja-JP"/>
        </w:rPr>
        <w:t xml:space="preserve"> at Month 12, and 75.8% (</w:t>
      </w:r>
      <w:r w:rsidR="007C6D8D">
        <w:rPr>
          <w:lang w:eastAsia="ja-JP"/>
        </w:rPr>
        <w:t>BD</w:t>
      </w:r>
      <w:r w:rsidRPr="00B733E9">
        <w:rPr>
          <w:lang w:eastAsia="ja-JP"/>
        </w:rPr>
        <w:t xml:space="preserve">) </w:t>
      </w:r>
      <w:r w:rsidR="007C6D8D">
        <w:rPr>
          <w:lang w:eastAsia="ja-JP"/>
        </w:rPr>
        <w:t>versus</w:t>
      </w:r>
      <w:r>
        <w:rPr>
          <w:lang w:eastAsia="ja-JP"/>
        </w:rPr>
        <w:t xml:space="preserve"> 80.6% (</w:t>
      </w:r>
      <w:r w:rsidR="007C6D8D">
        <w:rPr>
          <w:lang w:eastAsia="ja-JP"/>
        </w:rPr>
        <w:t>TDS</w:t>
      </w:r>
      <w:r>
        <w:rPr>
          <w:lang w:eastAsia="ja-JP"/>
        </w:rPr>
        <w:t xml:space="preserve">) of patients at </w:t>
      </w:r>
      <w:r w:rsidRPr="00B733E9">
        <w:rPr>
          <w:lang w:eastAsia="ja-JP"/>
        </w:rPr>
        <w:t>Month 18. Improvemen</w:t>
      </w:r>
      <w:r>
        <w:rPr>
          <w:lang w:eastAsia="ja-JP"/>
        </w:rPr>
        <w:t>ts were reported for 21.2% (</w:t>
      </w:r>
      <w:r w:rsidR="007C6D8D">
        <w:rPr>
          <w:lang w:eastAsia="ja-JP"/>
        </w:rPr>
        <w:t>BD</w:t>
      </w:r>
      <w:r>
        <w:rPr>
          <w:lang w:eastAsia="ja-JP"/>
        </w:rPr>
        <w:t xml:space="preserve">) </w:t>
      </w:r>
      <w:r w:rsidR="007C6D8D">
        <w:rPr>
          <w:lang w:eastAsia="ja-JP"/>
        </w:rPr>
        <w:t>versus</w:t>
      </w:r>
      <w:r>
        <w:rPr>
          <w:lang w:eastAsia="ja-JP"/>
        </w:rPr>
        <w:t xml:space="preserve"> 9.7% (</w:t>
      </w:r>
      <w:r w:rsidR="007C6D8D">
        <w:rPr>
          <w:lang w:eastAsia="ja-JP"/>
        </w:rPr>
        <w:t>TDS</w:t>
      </w:r>
      <w:r>
        <w:rPr>
          <w:lang w:eastAsia="ja-JP"/>
        </w:rPr>
        <w:t>) of patients at Month 12, and 9.1% (</w:t>
      </w:r>
      <w:r w:rsidR="007C6D8D">
        <w:rPr>
          <w:lang w:eastAsia="ja-JP"/>
        </w:rPr>
        <w:t>BD</w:t>
      </w:r>
      <w:r>
        <w:rPr>
          <w:lang w:eastAsia="ja-JP"/>
        </w:rPr>
        <w:t xml:space="preserve">) </w:t>
      </w:r>
      <w:r w:rsidR="007C6D8D">
        <w:rPr>
          <w:lang w:eastAsia="ja-JP"/>
        </w:rPr>
        <w:t>versus</w:t>
      </w:r>
      <w:r>
        <w:rPr>
          <w:lang w:eastAsia="ja-JP"/>
        </w:rPr>
        <w:t xml:space="preserve"> 9.7% (</w:t>
      </w:r>
      <w:r w:rsidR="007C6D8D">
        <w:rPr>
          <w:lang w:eastAsia="ja-JP"/>
        </w:rPr>
        <w:t>TDS</w:t>
      </w:r>
      <w:r>
        <w:rPr>
          <w:lang w:eastAsia="ja-JP"/>
        </w:rPr>
        <w:t>) of patients at Month 18. Worsening was reported for 12.1% (</w:t>
      </w:r>
      <w:r w:rsidR="007C6D8D">
        <w:rPr>
          <w:lang w:eastAsia="ja-JP"/>
        </w:rPr>
        <w:t>BD</w:t>
      </w:r>
      <w:r>
        <w:rPr>
          <w:lang w:eastAsia="ja-JP"/>
        </w:rPr>
        <w:t xml:space="preserve">) </w:t>
      </w:r>
      <w:r w:rsidR="007C6D8D">
        <w:rPr>
          <w:lang w:eastAsia="ja-JP"/>
        </w:rPr>
        <w:t>versus</w:t>
      </w:r>
      <w:r>
        <w:rPr>
          <w:lang w:eastAsia="ja-JP"/>
        </w:rPr>
        <w:t xml:space="preserve"> 9.7% (</w:t>
      </w:r>
      <w:r w:rsidR="007C6D8D">
        <w:rPr>
          <w:lang w:eastAsia="ja-JP"/>
        </w:rPr>
        <w:t>TDS</w:t>
      </w:r>
      <w:r>
        <w:rPr>
          <w:lang w:eastAsia="ja-JP"/>
        </w:rPr>
        <w:t>) of patients at Month 12, and 15.2% (</w:t>
      </w:r>
      <w:r w:rsidR="007C6D8D">
        <w:rPr>
          <w:lang w:eastAsia="ja-JP"/>
        </w:rPr>
        <w:t>BD</w:t>
      </w:r>
      <w:r>
        <w:rPr>
          <w:lang w:eastAsia="ja-JP"/>
        </w:rPr>
        <w:t xml:space="preserve">) </w:t>
      </w:r>
      <w:r w:rsidR="007C6D8D">
        <w:rPr>
          <w:lang w:eastAsia="ja-JP"/>
        </w:rPr>
        <w:t>versus</w:t>
      </w:r>
      <w:r>
        <w:rPr>
          <w:lang w:eastAsia="ja-JP"/>
        </w:rPr>
        <w:t xml:space="preserve"> </w:t>
      </w:r>
      <w:r w:rsidRPr="00B733E9">
        <w:rPr>
          <w:lang w:eastAsia="ja-JP"/>
        </w:rPr>
        <w:t>9.7% (</w:t>
      </w:r>
      <w:r w:rsidR="007C6D8D">
        <w:rPr>
          <w:lang w:eastAsia="ja-JP"/>
        </w:rPr>
        <w:t>TDS</w:t>
      </w:r>
      <w:r>
        <w:rPr>
          <w:lang w:eastAsia="ja-JP"/>
        </w:rPr>
        <w:t>) of patients at Month 18</w:t>
      </w:r>
      <w:r w:rsidR="007C6D8D">
        <w:rPr>
          <w:lang w:eastAsia="ja-JP"/>
        </w:rPr>
        <w:t>.</w:t>
      </w:r>
    </w:p>
    <w:p w14:paraId="3D3BBE65" w14:textId="77777777" w:rsidR="00153B34" w:rsidRDefault="00153B34" w:rsidP="00153B34">
      <w:pPr>
        <w:rPr>
          <w:lang w:eastAsia="ja-JP"/>
        </w:rPr>
      </w:pPr>
      <w:r>
        <w:rPr>
          <w:lang w:eastAsia="ja-JP"/>
        </w:rPr>
        <w:t xml:space="preserve">The majority of patients remained stable over time according to the Physician’s GCIS (Month 12: 62.7%, Month 18: 56.8%). </w:t>
      </w:r>
      <w:r w:rsidRPr="00B733E9">
        <w:rPr>
          <w:lang w:eastAsia="ja-JP"/>
        </w:rPr>
        <w:t>At Months 1</w:t>
      </w:r>
      <w:r>
        <w:rPr>
          <w:lang w:eastAsia="ja-JP"/>
        </w:rPr>
        <w:t>2 and 18, Physician’s GCIS (</w:t>
      </w:r>
      <w:r w:rsidR="007C6D8D">
        <w:rPr>
          <w:lang w:eastAsia="ja-JP"/>
        </w:rPr>
        <w:t>BD</w:t>
      </w:r>
      <w:r>
        <w:rPr>
          <w:lang w:eastAsia="ja-JP"/>
        </w:rPr>
        <w:t xml:space="preserve"> </w:t>
      </w:r>
      <w:r w:rsidR="007C6D8D">
        <w:rPr>
          <w:lang w:eastAsia="ja-JP"/>
        </w:rPr>
        <w:t>versus</w:t>
      </w:r>
      <w:r>
        <w:rPr>
          <w:lang w:eastAsia="ja-JP"/>
        </w:rPr>
        <w:t xml:space="preserve"> </w:t>
      </w:r>
      <w:r w:rsidR="007C6D8D">
        <w:rPr>
          <w:lang w:eastAsia="ja-JP"/>
        </w:rPr>
        <w:t>TDS</w:t>
      </w:r>
      <w:r w:rsidRPr="00B733E9">
        <w:rPr>
          <w:lang w:eastAsia="ja-JP"/>
        </w:rPr>
        <w:t xml:space="preserve">) was rated as improved for 35.7% </w:t>
      </w:r>
      <w:r w:rsidR="007C6D8D">
        <w:rPr>
          <w:lang w:eastAsia="ja-JP"/>
        </w:rPr>
        <w:t>versus</w:t>
      </w:r>
      <w:r w:rsidRPr="00B733E9">
        <w:rPr>
          <w:lang w:eastAsia="ja-JP"/>
        </w:rPr>
        <w:t xml:space="preserve"> 26.1%</w:t>
      </w:r>
      <w:r>
        <w:rPr>
          <w:lang w:eastAsia="ja-JP"/>
        </w:rPr>
        <w:t xml:space="preserve"> </w:t>
      </w:r>
      <w:r w:rsidRPr="00B733E9">
        <w:rPr>
          <w:lang w:eastAsia="ja-JP"/>
        </w:rPr>
        <w:t xml:space="preserve">of patients, and 31.6% </w:t>
      </w:r>
      <w:r w:rsidR="007C6D8D">
        <w:rPr>
          <w:lang w:eastAsia="ja-JP"/>
        </w:rPr>
        <w:t>versus</w:t>
      </w:r>
      <w:r w:rsidRPr="00B733E9">
        <w:rPr>
          <w:lang w:eastAsia="ja-JP"/>
        </w:rPr>
        <w:t xml:space="preserve"> 27.8% of patients, respectively. The proportion of patients rated</w:t>
      </w:r>
      <w:r>
        <w:rPr>
          <w:lang w:eastAsia="ja-JP"/>
        </w:rPr>
        <w:t xml:space="preserve"> </w:t>
      </w:r>
      <w:r w:rsidRPr="00B733E9">
        <w:rPr>
          <w:lang w:eastAsia="ja-JP"/>
        </w:rPr>
        <w:t>a</w:t>
      </w:r>
      <w:r>
        <w:rPr>
          <w:lang w:eastAsia="ja-JP"/>
        </w:rPr>
        <w:t>s having worsened was 7.1% (</w:t>
      </w:r>
      <w:r w:rsidR="007C6D8D">
        <w:rPr>
          <w:lang w:eastAsia="ja-JP"/>
        </w:rPr>
        <w:t>BD</w:t>
      </w:r>
      <w:r w:rsidRPr="00B733E9">
        <w:rPr>
          <w:lang w:eastAsia="ja-JP"/>
        </w:rPr>
        <w:t xml:space="preserve">) </w:t>
      </w:r>
      <w:r w:rsidR="007C6D8D">
        <w:rPr>
          <w:lang w:eastAsia="ja-JP"/>
        </w:rPr>
        <w:t>versus</w:t>
      </w:r>
      <w:r w:rsidRPr="00B733E9">
        <w:rPr>
          <w:lang w:eastAsia="ja-JP"/>
        </w:rPr>
        <w:t xml:space="preserve"> 4.3% (</w:t>
      </w:r>
      <w:r w:rsidR="007C6D8D">
        <w:rPr>
          <w:lang w:eastAsia="ja-JP"/>
        </w:rPr>
        <w:t>TDS</w:t>
      </w:r>
      <w:r w:rsidRPr="00B733E9">
        <w:rPr>
          <w:lang w:eastAsia="ja-JP"/>
        </w:rPr>
        <w:t>) of</w:t>
      </w:r>
      <w:r>
        <w:rPr>
          <w:lang w:eastAsia="ja-JP"/>
        </w:rPr>
        <w:t xml:space="preserve"> patients at Month 12 and 21.1% (</w:t>
      </w:r>
      <w:r w:rsidR="007C6D8D">
        <w:rPr>
          <w:lang w:eastAsia="ja-JP"/>
        </w:rPr>
        <w:t>BD</w:t>
      </w:r>
      <w:r>
        <w:rPr>
          <w:lang w:eastAsia="ja-JP"/>
        </w:rPr>
        <w:t xml:space="preserve">) </w:t>
      </w:r>
      <w:r w:rsidR="007C6D8D">
        <w:rPr>
          <w:lang w:eastAsia="ja-JP"/>
        </w:rPr>
        <w:t>versus</w:t>
      </w:r>
      <w:r>
        <w:rPr>
          <w:lang w:eastAsia="ja-JP"/>
        </w:rPr>
        <w:t xml:space="preserve"> 5.6% (</w:t>
      </w:r>
      <w:r w:rsidR="007C6D8D">
        <w:rPr>
          <w:lang w:eastAsia="ja-JP"/>
        </w:rPr>
        <w:t>TDS</w:t>
      </w:r>
      <w:r w:rsidRPr="00B733E9">
        <w:rPr>
          <w:lang w:eastAsia="ja-JP"/>
        </w:rPr>
        <w:t>) of patients at Month 1</w:t>
      </w:r>
      <w:r>
        <w:rPr>
          <w:lang w:eastAsia="ja-JP"/>
        </w:rPr>
        <w:t xml:space="preserve">8. The results for the parents’/legal </w:t>
      </w:r>
      <w:r w:rsidRPr="00B733E9">
        <w:rPr>
          <w:lang w:eastAsia="ja-JP"/>
        </w:rPr>
        <w:t>representatives’ GCIS rating was consistent with those f</w:t>
      </w:r>
      <w:r>
        <w:rPr>
          <w:lang w:eastAsia="ja-JP"/>
        </w:rPr>
        <w:t xml:space="preserve">or the Physician’s GCIS rating. </w:t>
      </w:r>
      <w:r w:rsidRPr="00B733E9">
        <w:rPr>
          <w:lang w:eastAsia="ja-JP"/>
        </w:rPr>
        <w:t xml:space="preserve">Similar results were observed across both age groups (&lt; 2 years and </w:t>
      </w:r>
      <w:r w:rsidR="007C6D8D">
        <w:rPr>
          <w:lang w:eastAsia="ja-JP"/>
        </w:rPr>
        <w:t>≥</w:t>
      </w:r>
      <w:r w:rsidR="00CF6063">
        <w:rPr>
          <w:lang w:eastAsia="ja-JP"/>
        </w:rPr>
        <w:t xml:space="preserve"> </w:t>
      </w:r>
      <w:r w:rsidRPr="00B733E9">
        <w:rPr>
          <w:lang w:eastAsia="ja-JP"/>
        </w:rPr>
        <w:t>2 years).</w:t>
      </w:r>
    </w:p>
    <w:p w14:paraId="3803FFD5" w14:textId="77777777" w:rsidR="00153B34" w:rsidRPr="00F27002" w:rsidRDefault="00153B34" w:rsidP="00153B34">
      <w:pPr>
        <w:rPr>
          <w:lang w:eastAsia="ja-JP"/>
        </w:rPr>
      </w:pPr>
      <w:r w:rsidRPr="00F27002">
        <w:rPr>
          <w:lang w:eastAsia="ja-JP"/>
        </w:rPr>
        <w:t>Death, lung transplant or hospitalization due to PAH-progression was</w:t>
      </w:r>
      <w:r>
        <w:rPr>
          <w:lang w:eastAsia="ja-JP"/>
        </w:rPr>
        <w:t xml:space="preserve"> </w:t>
      </w:r>
      <w:r w:rsidRPr="00F27002">
        <w:rPr>
          <w:lang w:eastAsia="ja-JP"/>
        </w:rPr>
        <w:t>reported for a total of 13 patients</w:t>
      </w:r>
      <w:r>
        <w:rPr>
          <w:lang w:eastAsia="ja-JP"/>
        </w:rPr>
        <w:t xml:space="preserve"> (8 </w:t>
      </w:r>
      <w:r w:rsidR="007C6D8D">
        <w:rPr>
          <w:lang w:eastAsia="ja-JP"/>
        </w:rPr>
        <w:t>BD</w:t>
      </w:r>
      <w:r>
        <w:rPr>
          <w:lang w:eastAsia="ja-JP"/>
        </w:rPr>
        <w:t xml:space="preserve"> </w:t>
      </w:r>
      <w:r w:rsidR="007C6D8D">
        <w:rPr>
          <w:lang w:eastAsia="ja-JP"/>
        </w:rPr>
        <w:t>versus</w:t>
      </w:r>
      <w:r>
        <w:rPr>
          <w:lang w:eastAsia="ja-JP"/>
        </w:rPr>
        <w:t xml:space="preserve"> 5 </w:t>
      </w:r>
      <w:r w:rsidR="007C6D8D">
        <w:rPr>
          <w:lang w:eastAsia="ja-JP"/>
        </w:rPr>
        <w:t>TDS</w:t>
      </w:r>
      <w:r>
        <w:rPr>
          <w:lang w:eastAsia="ja-JP"/>
        </w:rPr>
        <w:t xml:space="preserve">). Four cases were reported during the </w:t>
      </w:r>
      <w:r w:rsidRPr="00F27002">
        <w:rPr>
          <w:lang w:eastAsia="ja-JP"/>
        </w:rPr>
        <w:t xml:space="preserve">core </w:t>
      </w:r>
      <w:r w:rsidR="0066478A">
        <w:rPr>
          <w:lang w:eastAsia="ja-JP"/>
        </w:rPr>
        <w:t>study</w:t>
      </w:r>
      <w:r w:rsidRPr="00F27002">
        <w:rPr>
          <w:lang w:eastAsia="ja-JP"/>
        </w:rPr>
        <w:t xml:space="preserve"> and 9 during the extension </w:t>
      </w:r>
      <w:r w:rsidR="0066478A">
        <w:rPr>
          <w:lang w:eastAsia="ja-JP"/>
        </w:rPr>
        <w:t>study</w:t>
      </w:r>
      <w:r w:rsidRPr="00F27002">
        <w:rPr>
          <w:lang w:eastAsia="ja-JP"/>
        </w:rPr>
        <w:t>.</w:t>
      </w:r>
      <w:r>
        <w:rPr>
          <w:lang w:eastAsia="ja-JP"/>
        </w:rPr>
        <w:t xml:space="preserve"> Overall, </w:t>
      </w:r>
      <w:r w:rsidRPr="00F27002">
        <w:rPr>
          <w:lang w:eastAsia="ja-JP"/>
        </w:rPr>
        <w:t>the KM estimates for survival was 84.7% (95% CLs: 72.6%, 91.7%) at Month 12 and</w:t>
      </w:r>
      <w:r>
        <w:rPr>
          <w:lang w:eastAsia="ja-JP"/>
        </w:rPr>
        <w:t xml:space="preserve"> </w:t>
      </w:r>
      <w:r w:rsidRPr="00F27002">
        <w:rPr>
          <w:lang w:eastAsia="ja-JP"/>
        </w:rPr>
        <w:t>77.4% (95%</w:t>
      </w:r>
      <w:r>
        <w:rPr>
          <w:lang w:eastAsia="ja-JP"/>
        </w:rPr>
        <w:t xml:space="preserve"> CLs: 64.2%, 86.2%) at Month 18.</w:t>
      </w:r>
    </w:p>
    <w:p w14:paraId="0C7A71BD" w14:textId="77777777" w:rsidR="00153B34" w:rsidRDefault="00153B34" w:rsidP="00153B34">
      <w:pPr>
        <w:rPr>
          <w:lang w:eastAsia="ja-JP"/>
        </w:rPr>
      </w:pPr>
      <w:r w:rsidRPr="00B733E9">
        <w:rPr>
          <w:lang w:eastAsia="ja-JP"/>
        </w:rPr>
        <w:t>In the survival analysis for all deaths up to EOS, the o</w:t>
      </w:r>
      <w:r>
        <w:rPr>
          <w:lang w:eastAsia="ja-JP"/>
        </w:rPr>
        <w:t xml:space="preserve">verall KM estimates of survival </w:t>
      </w:r>
      <w:r w:rsidRPr="00B733E9">
        <w:rPr>
          <w:lang w:eastAsia="ja-JP"/>
        </w:rPr>
        <w:t>was 85.7% (95% CLs: 74.3, 92.3) at Month 12 and</w:t>
      </w:r>
      <w:r>
        <w:rPr>
          <w:lang w:eastAsia="ja-JP"/>
        </w:rPr>
        <w:t xml:space="preserve"> 80.9% (95% CLs: 68.7, 88.6) at </w:t>
      </w:r>
      <w:r w:rsidRPr="00B733E9">
        <w:rPr>
          <w:lang w:eastAsia="ja-JP"/>
        </w:rPr>
        <w:t>Month 18. In the analysis for on-treatment deaths, the ov</w:t>
      </w:r>
      <w:r>
        <w:rPr>
          <w:lang w:eastAsia="ja-JP"/>
        </w:rPr>
        <w:t xml:space="preserve">erall KM estimates for survival were 87.9% (95% CLs: 76.2, </w:t>
      </w:r>
      <w:r w:rsidRPr="00B733E9">
        <w:rPr>
          <w:lang w:eastAsia="ja-JP"/>
        </w:rPr>
        <w:t>94.0) at Month 12 and</w:t>
      </w:r>
      <w:r>
        <w:rPr>
          <w:lang w:eastAsia="ja-JP"/>
        </w:rPr>
        <w:t xml:space="preserve"> 82.3% (95% CLs: 69.5, 90.1) at </w:t>
      </w:r>
      <w:r w:rsidRPr="00B733E9">
        <w:rPr>
          <w:lang w:eastAsia="ja-JP"/>
        </w:rPr>
        <w:t>Month 18.</w:t>
      </w:r>
    </w:p>
    <w:p w14:paraId="506A0D97" w14:textId="77777777" w:rsidR="007C6D8D" w:rsidRDefault="00153B34" w:rsidP="00153B34">
      <w:pPr>
        <w:rPr>
          <w:lang w:eastAsia="ja-JP"/>
        </w:rPr>
      </w:pPr>
      <w:r w:rsidRPr="00F27002">
        <w:rPr>
          <w:lang w:eastAsia="ja-JP"/>
        </w:rPr>
        <w:t>Initiation of new therapy for PAH or new/worsening right heart failure was reported for</w:t>
      </w:r>
      <w:r>
        <w:rPr>
          <w:lang w:eastAsia="ja-JP"/>
        </w:rPr>
        <w:t xml:space="preserve"> two</w:t>
      </w:r>
      <w:r w:rsidRPr="00F27002">
        <w:rPr>
          <w:lang w:eastAsia="ja-JP"/>
        </w:rPr>
        <w:t xml:space="preserve"> patients.</w:t>
      </w:r>
      <w:r>
        <w:rPr>
          <w:lang w:eastAsia="ja-JP"/>
        </w:rPr>
        <w:t xml:space="preserve"> </w:t>
      </w:r>
      <w:r w:rsidRPr="00F27002">
        <w:rPr>
          <w:lang w:eastAsia="ja-JP"/>
        </w:rPr>
        <w:t>Inclusion of this additional component to th</w:t>
      </w:r>
      <w:r>
        <w:rPr>
          <w:lang w:eastAsia="ja-JP"/>
        </w:rPr>
        <w:t xml:space="preserve">e PAH-progression </w:t>
      </w:r>
      <w:r w:rsidR="00A5161C">
        <w:rPr>
          <w:lang w:eastAsia="ja-JP"/>
        </w:rPr>
        <w:t>time to event</w:t>
      </w:r>
      <w:r>
        <w:rPr>
          <w:lang w:eastAsia="ja-JP"/>
        </w:rPr>
        <w:t xml:space="preserve"> </w:t>
      </w:r>
      <w:r w:rsidRPr="00F27002">
        <w:rPr>
          <w:lang w:eastAsia="ja-JP"/>
        </w:rPr>
        <w:t xml:space="preserve">endpoint resulted in a total of 15 </w:t>
      </w:r>
      <w:r>
        <w:rPr>
          <w:lang w:eastAsia="ja-JP"/>
        </w:rPr>
        <w:t xml:space="preserve">patients (10 </w:t>
      </w:r>
      <w:r w:rsidR="007C6D8D">
        <w:rPr>
          <w:lang w:eastAsia="ja-JP"/>
        </w:rPr>
        <w:t>BD</w:t>
      </w:r>
      <w:r>
        <w:rPr>
          <w:lang w:eastAsia="ja-JP"/>
        </w:rPr>
        <w:t xml:space="preserve">, 5 </w:t>
      </w:r>
      <w:r w:rsidR="007C6D8D">
        <w:rPr>
          <w:lang w:eastAsia="ja-JP"/>
        </w:rPr>
        <w:t>TDS</w:t>
      </w:r>
      <w:r w:rsidRPr="00F27002">
        <w:rPr>
          <w:lang w:eastAsia="ja-JP"/>
        </w:rPr>
        <w:t xml:space="preserve">) with such </w:t>
      </w:r>
      <w:r w:rsidRPr="002E7063">
        <w:rPr>
          <w:lang w:eastAsia="ja-JP"/>
        </w:rPr>
        <w:t>events (</w:t>
      </w:r>
      <w:r w:rsidR="002E7063" w:rsidRPr="002E7063">
        <w:rPr>
          <w:lang w:eastAsia="ja-JP"/>
        </w:rPr>
        <w:t>Table 42</w:t>
      </w:r>
      <w:r w:rsidRPr="002E7063">
        <w:rPr>
          <w:lang w:eastAsia="ja-JP"/>
        </w:rPr>
        <w:t>). Overall</w:t>
      </w:r>
      <w:r w:rsidRPr="00F27002">
        <w:rPr>
          <w:lang w:eastAsia="ja-JP"/>
        </w:rPr>
        <w:t xml:space="preserve">, for the PAH-progression </w:t>
      </w:r>
      <w:r w:rsidR="00A5161C">
        <w:rPr>
          <w:lang w:eastAsia="ja-JP"/>
        </w:rPr>
        <w:t>time to event</w:t>
      </w:r>
      <w:r>
        <w:rPr>
          <w:lang w:eastAsia="ja-JP"/>
        </w:rPr>
        <w:t xml:space="preserve"> endpoint including the </w:t>
      </w:r>
      <w:r w:rsidRPr="00F27002">
        <w:rPr>
          <w:lang w:eastAsia="ja-JP"/>
        </w:rPr>
        <w:t>additional component, the KM estimates for survival were 81.4% (95% CLs: 69.0%,</w:t>
      </w:r>
      <w:r>
        <w:rPr>
          <w:lang w:eastAsia="ja-JP"/>
        </w:rPr>
        <w:t xml:space="preserve"> </w:t>
      </w:r>
      <w:r w:rsidRPr="00F27002">
        <w:rPr>
          <w:lang w:eastAsia="ja-JP"/>
        </w:rPr>
        <w:t>89.3%) at Month 12 and 74.1% (95% CLs: 60.8%, 83.6%) at Month 18</w:t>
      </w:r>
      <w:r w:rsidR="007C6D8D">
        <w:rPr>
          <w:lang w:eastAsia="ja-JP"/>
        </w:rPr>
        <w:t>.</w:t>
      </w:r>
    </w:p>
    <w:p w14:paraId="0F9840F6" w14:textId="77777777" w:rsidR="00153B34" w:rsidRDefault="00153B34" w:rsidP="00153B34">
      <w:pPr>
        <w:rPr>
          <w:lang w:eastAsia="ja-JP"/>
        </w:rPr>
      </w:pPr>
      <w:r>
        <w:rPr>
          <w:lang w:eastAsia="ja-JP"/>
        </w:rPr>
        <w:t>A</w:t>
      </w:r>
      <w:r w:rsidRPr="00B733E9">
        <w:rPr>
          <w:lang w:eastAsia="ja-JP"/>
        </w:rPr>
        <w:t xml:space="preserve"> </w:t>
      </w:r>
      <w:r w:rsidRPr="00844079">
        <w:rPr>
          <w:iCs/>
          <w:lang w:eastAsia="ja-JP"/>
        </w:rPr>
        <w:t>post-hoc</w:t>
      </w:r>
      <w:r w:rsidRPr="00B733E9">
        <w:rPr>
          <w:i/>
          <w:iCs/>
          <w:lang w:eastAsia="ja-JP"/>
        </w:rPr>
        <w:t xml:space="preserve"> </w:t>
      </w:r>
      <w:r w:rsidRPr="00B733E9">
        <w:rPr>
          <w:lang w:eastAsia="ja-JP"/>
        </w:rPr>
        <w:t>Cox proportional hazards model analyses for the time to PAH</w:t>
      </w:r>
      <w:r>
        <w:rPr>
          <w:lang w:eastAsia="ja-JP"/>
        </w:rPr>
        <w:t xml:space="preserve"> </w:t>
      </w:r>
      <w:r w:rsidRPr="00B733E9">
        <w:rPr>
          <w:lang w:eastAsia="ja-JP"/>
        </w:rPr>
        <w:t>worsening and time to death up to EOT + 7 days showed th</w:t>
      </w:r>
      <w:r>
        <w:rPr>
          <w:lang w:eastAsia="ja-JP"/>
        </w:rPr>
        <w:t xml:space="preserve">at the addition of the baseline </w:t>
      </w:r>
      <w:r w:rsidRPr="00B733E9">
        <w:rPr>
          <w:lang w:eastAsia="ja-JP"/>
        </w:rPr>
        <w:t xml:space="preserve">WHO FC (III </w:t>
      </w:r>
      <w:r w:rsidR="007C6D8D">
        <w:rPr>
          <w:lang w:eastAsia="ja-JP"/>
        </w:rPr>
        <w:t>versus</w:t>
      </w:r>
      <w:r w:rsidRPr="00B733E9">
        <w:rPr>
          <w:lang w:eastAsia="ja-JP"/>
        </w:rPr>
        <w:t xml:space="preserve"> I/II) covariate to the treatment only model resulted in a lower treat</w:t>
      </w:r>
      <w:r>
        <w:rPr>
          <w:lang w:eastAsia="ja-JP"/>
        </w:rPr>
        <w:t xml:space="preserve">ment </w:t>
      </w:r>
      <w:r w:rsidRPr="00B733E9">
        <w:rPr>
          <w:lang w:eastAsia="ja-JP"/>
        </w:rPr>
        <w:t xml:space="preserve">effect </w:t>
      </w:r>
      <w:r>
        <w:rPr>
          <w:lang w:eastAsia="ja-JP"/>
        </w:rPr>
        <w:t>HR</w:t>
      </w:r>
      <w:r w:rsidRPr="00B733E9">
        <w:rPr>
          <w:lang w:eastAsia="ja-JP"/>
        </w:rPr>
        <w:t xml:space="preserve"> for both endpoints. The </w:t>
      </w:r>
      <w:r>
        <w:rPr>
          <w:lang w:eastAsia="ja-JP"/>
        </w:rPr>
        <w:t>HR</w:t>
      </w:r>
      <w:r w:rsidRPr="00B733E9">
        <w:rPr>
          <w:lang w:eastAsia="ja-JP"/>
        </w:rPr>
        <w:t xml:space="preserve"> for </w:t>
      </w:r>
      <w:r>
        <w:rPr>
          <w:lang w:eastAsia="ja-JP"/>
        </w:rPr>
        <w:t>the treatment effect (</w:t>
      </w:r>
      <w:r w:rsidR="007C6D8D">
        <w:rPr>
          <w:lang w:eastAsia="ja-JP"/>
        </w:rPr>
        <w:t>BD</w:t>
      </w:r>
      <w:r>
        <w:rPr>
          <w:lang w:eastAsia="ja-JP"/>
        </w:rPr>
        <w:t xml:space="preserve"> </w:t>
      </w:r>
      <w:r w:rsidR="007C6D8D">
        <w:rPr>
          <w:lang w:eastAsia="ja-JP"/>
        </w:rPr>
        <w:t>versus</w:t>
      </w:r>
      <w:r>
        <w:rPr>
          <w:lang w:eastAsia="ja-JP"/>
        </w:rPr>
        <w:t xml:space="preserve"> </w:t>
      </w:r>
      <w:r w:rsidR="007C6D8D">
        <w:rPr>
          <w:lang w:eastAsia="ja-JP"/>
        </w:rPr>
        <w:t>TDS</w:t>
      </w:r>
      <w:r w:rsidRPr="00B733E9">
        <w:rPr>
          <w:lang w:eastAsia="ja-JP"/>
        </w:rPr>
        <w:t>) for time to PAH worsening in the multivariate mod</w:t>
      </w:r>
      <w:r>
        <w:rPr>
          <w:lang w:eastAsia="ja-JP"/>
        </w:rPr>
        <w:t xml:space="preserve">el was 1.17 compared to 1.44 in </w:t>
      </w:r>
      <w:r w:rsidRPr="00B733E9">
        <w:rPr>
          <w:lang w:eastAsia="ja-JP"/>
        </w:rPr>
        <w:t>the univariate model</w:t>
      </w:r>
      <w:r>
        <w:rPr>
          <w:lang w:eastAsia="ja-JP"/>
        </w:rPr>
        <w:t xml:space="preserve"> (</w:t>
      </w:r>
      <w:r w:rsidR="002E7063">
        <w:rPr>
          <w:lang w:eastAsia="ja-JP"/>
        </w:rPr>
        <w:t>Table 43</w:t>
      </w:r>
      <w:r>
        <w:rPr>
          <w:lang w:eastAsia="ja-JP"/>
        </w:rPr>
        <w:t>)</w:t>
      </w:r>
      <w:r w:rsidRPr="00B733E9">
        <w:rPr>
          <w:lang w:eastAsia="ja-JP"/>
        </w:rPr>
        <w:t xml:space="preserve">. For the time to death endpoint, the respective </w:t>
      </w:r>
      <w:r>
        <w:rPr>
          <w:lang w:eastAsia="ja-JP"/>
        </w:rPr>
        <w:t xml:space="preserve">HRs were </w:t>
      </w:r>
      <w:r w:rsidRPr="00B733E9">
        <w:rPr>
          <w:lang w:eastAsia="ja-JP"/>
        </w:rPr>
        <w:t xml:space="preserve">1.04 </w:t>
      </w:r>
      <w:r w:rsidRPr="002E7063">
        <w:rPr>
          <w:lang w:eastAsia="ja-JP"/>
        </w:rPr>
        <w:t>and 1.33 (</w:t>
      </w:r>
      <w:r w:rsidR="002E7063" w:rsidRPr="002E7063">
        <w:rPr>
          <w:lang w:eastAsia="ja-JP"/>
        </w:rPr>
        <w:t>Table 44</w:t>
      </w:r>
      <w:r w:rsidRPr="002E7063">
        <w:rPr>
          <w:lang w:eastAsia="ja-JP"/>
        </w:rPr>
        <w:t>). For time to death up to EOS, the treatment effect HR was 1.49 in the multivariate</w:t>
      </w:r>
      <w:r w:rsidRPr="00B733E9">
        <w:rPr>
          <w:lang w:eastAsia="ja-JP"/>
        </w:rPr>
        <w:t xml:space="preserve"> model compared to 1.94 in the univariate </w:t>
      </w:r>
      <w:r>
        <w:rPr>
          <w:lang w:eastAsia="ja-JP"/>
        </w:rPr>
        <w:t xml:space="preserve">model and in both cases, was in </w:t>
      </w:r>
      <w:r w:rsidRPr="00B733E9">
        <w:rPr>
          <w:lang w:eastAsia="ja-JP"/>
        </w:rPr>
        <w:t>favour</w:t>
      </w:r>
      <w:r>
        <w:rPr>
          <w:lang w:eastAsia="ja-JP"/>
        </w:rPr>
        <w:t xml:space="preserve"> of the bosentan </w:t>
      </w:r>
      <w:r w:rsidR="007C6D8D">
        <w:rPr>
          <w:lang w:eastAsia="ja-JP"/>
        </w:rPr>
        <w:t>TDS</w:t>
      </w:r>
      <w:r w:rsidRPr="00B733E9">
        <w:rPr>
          <w:lang w:eastAsia="ja-JP"/>
        </w:rPr>
        <w:t xml:space="preserve"> group. With the addition of </w:t>
      </w:r>
      <w:r w:rsidR="009C6335">
        <w:rPr>
          <w:lang w:eastAsia="ja-JP"/>
        </w:rPr>
        <w:t xml:space="preserve">the covariate non death </w:t>
      </w:r>
      <w:r>
        <w:rPr>
          <w:lang w:eastAsia="ja-JP"/>
        </w:rPr>
        <w:t xml:space="preserve">related </w:t>
      </w:r>
      <w:r w:rsidRPr="00B733E9">
        <w:rPr>
          <w:lang w:eastAsia="ja-JP"/>
        </w:rPr>
        <w:t>worsening up to EOT + 7 days to the treatment only model</w:t>
      </w:r>
      <w:r>
        <w:rPr>
          <w:lang w:eastAsia="ja-JP"/>
        </w:rPr>
        <w:t xml:space="preserve">, the HR was lower in </w:t>
      </w:r>
      <w:r w:rsidRPr="00B733E9">
        <w:rPr>
          <w:lang w:eastAsia="ja-JP"/>
        </w:rPr>
        <w:t>the multivariate model at 1.08, compared to 1.94 in the un</w:t>
      </w:r>
      <w:r>
        <w:rPr>
          <w:lang w:eastAsia="ja-JP"/>
        </w:rPr>
        <w:t xml:space="preserve">ivariate model. Taken together, </w:t>
      </w:r>
      <w:r w:rsidRPr="00B733E9">
        <w:rPr>
          <w:lang w:eastAsia="ja-JP"/>
        </w:rPr>
        <w:t>these results indicate that the baseline imbalance in t</w:t>
      </w:r>
      <w:r>
        <w:rPr>
          <w:lang w:eastAsia="ja-JP"/>
        </w:rPr>
        <w:t xml:space="preserve">he WHO FC status influences the </w:t>
      </w:r>
      <w:r w:rsidRPr="00B733E9">
        <w:rPr>
          <w:lang w:eastAsia="ja-JP"/>
        </w:rPr>
        <w:t xml:space="preserve">treatment effect on time to PAH worsening and death. </w:t>
      </w:r>
      <w:r>
        <w:rPr>
          <w:lang w:eastAsia="ja-JP"/>
        </w:rPr>
        <w:t xml:space="preserve">Adjusting for this imbalance in </w:t>
      </w:r>
      <w:r w:rsidRPr="00B733E9">
        <w:rPr>
          <w:lang w:eastAsia="ja-JP"/>
        </w:rPr>
        <w:t>these models led</w:t>
      </w:r>
      <w:r>
        <w:rPr>
          <w:lang w:eastAsia="ja-JP"/>
        </w:rPr>
        <w:t xml:space="preserve"> to a neutral treatment effect.</w:t>
      </w:r>
    </w:p>
    <w:p w14:paraId="5F00CE72" w14:textId="496FEB8E" w:rsidR="00153B34" w:rsidRPr="00844079" w:rsidRDefault="00153B34" w:rsidP="00153B34">
      <w:pPr>
        <w:pStyle w:val="Tabletitle"/>
        <w:rPr>
          <w:lang w:eastAsia="ja-JP"/>
        </w:rPr>
      </w:pPr>
      <w:bookmarkStart w:id="237" w:name="_Ref464131304"/>
      <w:bookmarkStart w:id="238" w:name="_Toc473884086"/>
      <w:r w:rsidRPr="002E7063">
        <w:lastRenderedPageBreak/>
        <w:t xml:space="preserve">Table </w:t>
      </w:r>
      <w:bookmarkEnd w:id="237"/>
      <w:r w:rsidR="002E7063" w:rsidRPr="002E7063">
        <w:t>42:</w:t>
      </w:r>
      <w:r w:rsidRPr="002E7063">
        <w:t xml:space="preserve"> FUTURE-3 Extension </w:t>
      </w:r>
      <w:r w:rsidRPr="002E7063">
        <w:rPr>
          <w:lang w:eastAsia="ja-JP"/>
        </w:rPr>
        <w:t>Summary of PAH-worsening components</w:t>
      </w:r>
      <w:r w:rsidR="009C6335" w:rsidRPr="002E7063">
        <w:rPr>
          <w:lang w:eastAsia="ja-JP"/>
        </w:rPr>
        <w:t>;</w:t>
      </w:r>
      <w:r w:rsidRPr="002E7063">
        <w:rPr>
          <w:lang w:eastAsia="ja-JP"/>
        </w:rPr>
        <w:t xml:space="preserve"> All</w:t>
      </w:r>
      <w:r w:rsidR="00914059">
        <w:rPr>
          <w:lang w:eastAsia="ja-JP"/>
        </w:rPr>
        <w:noBreakHyphen/>
      </w:r>
      <w:r w:rsidRPr="002E7063">
        <w:rPr>
          <w:lang w:eastAsia="ja-JP"/>
        </w:rPr>
        <w:t>treated/random</w:t>
      </w:r>
      <w:r w:rsidR="00296A55">
        <w:rPr>
          <w:lang w:eastAsia="ja-JP"/>
        </w:rPr>
        <w:t>ise</w:t>
      </w:r>
      <w:r w:rsidRPr="002E7063">
        <w:rPr>
          <w:lang w:eastAsia="ja-JP"/>
        </w:rPr>
        <w:t>d set</w:t>
      </w:r>
      <w:bookmarkEnd w:id="238"/>
    </w:p>
    <w:p w14:paraId="3CFCC448" w14:textId="77777777" w:rsidR="00452785" w:rsidRDefault="00153B34" w:rsidP="00C22678">
      <w:pPr>
        <w:rPr>
          <w:lang w:eastAsia="ja-JP"/>
        </w:rPr>
      </w:pPr>
      <w:r>
        <w:rPr>
          <w:noProof/>
          <w:lang w:eastAsia="en-AU"/>
        </w:rPr>
        <w:drawing>
          <wp:inline distT="0" distB="0" distL="0" distR="0" wp14:anchorId="777A62AD" wp14:editId="2D287DFC">
            <wp:extent cx="5486400" cy="1278649"/>
            <wp:effectExtent l="0" t="0" r="0" b="0"/>
            <wp:docPr id="60" name="Picture 60" descr="Table 42: FUTURE-3 Extension Summary of PAH-worsening components; All-treated/randomiz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482949" cy="1277845"/>
                    </a:xfrm>
                    <a:prstGeom prst="rect">
                      <a:avLst/>
                    </a:prstGeom>
                  </pic:spPr>
                </pic:pic>
              </a:graphicData>
            </a:graphic>
          </wp:inline>
        </w:drawing>
      </w:r>
    </w:p>
    <w:p w14:paraId="4802C1F7" w14:textId="65AC7D5A" w:rsidR="00153B34" w:rsidRPr="00B71C10" w:rsidRDefault="00153B34" w:rsidP="00153B34">
      <w:pPr>
        <w:pStyle w:val="Tabletitle"/>
      </w:pPr>
      <w:bookmarkStart w:id="239" w:name="_Ref465015589"/>
      <w:bookmarkStart w:id="240" w:name="_Toc473884087"/>
      <w:r w:rsidRPr="002E7063">
        <w:t xml:space="preserve">Table </w:t>
      </w:r>
      <w:bookmarkEnd w:id="239"/>
      <w:r w:rsidR="002E7063" w:rsidRPr="002E7063">
        <w:t>43:</w:t>
      </w:r>
      <w:r w:rsidRPr="002E7063">
        <w:t xml:space="preserve"> FUTURE-3 Extension Multivariate model for Time to PAH worsening up to EOT</w:t>
      </w:r>
      <w:r w:rsidRPr="00B71C10">
        <w:t xml:space="preserve"> + 7</w:t>
      </w:r>
      <w:r>
        <w:t xml:space="preserve"> </w:t>
      </w:r>
      <w:r w:rsidRPr="00B71C10">
        <w:t xml:space="preserve">including treatment (bid </w:t>
      </w:r>
      <w:r w:rsidR="00E77015">
        <w:t>versus</w:t>
      </w:r>
      <w:r w:rsidRPr="00B71C10">
        <w:t xml:space="preserve"> tid) and WHO FC (III </w:t>
      </w:r>
      <w:r w:rsidR="00E77015">
        <w:t>versus</w:t>
      </w:r>
      <w:r w:rsidR="009C6335">
        <w:t xml:space="preserve"> I/II) factors; </w:t>
      </w:r>
      <w:r w:rsidRPr="00B71C10">
        <w:t>Analysis set:</w:t>
      </w:r>
      <w:r w:rsidR="00E7342C">
        <w:t> </w:t>
      </w:r>
      <w:r w:rsidRPr="00B71C10">
        <w:t>All-treated set</w:t>
      </w:r>
      <w:bookmarkEnd w:id="240"/>
    </w:p>
    <w:p w14:paraId="2CD80955" w14:textId="77777777" w:rsidR="00452785" w:rsidRDefault="00153B34" w:rsidP="00C22678">
      <w:pPr>
        <w:rPr>
          <w:lang w:eastAsia="ja-JP"/>
        </w:rPr>
      </w:pPr>
      <w:r>
        <w:rPr>
          <w:noProof/>
          <w:lang w:eastAsia="en-AU"/>
        </w:rPr>
        <w:drawing>
          <wp:inline distT="0" distB="0" distL="0" distR="0" wp14:anchorId="0575FF32" wp14:editId="1ACBE20E">
            <wp:extent cx="5676900" cy="704850"/>
            <wp:effectExtent l="0" t="0" r="0" b="0"/>
            <wp:docPr id="61" name="Picture 61" descr="Table 43: FUTURE-3 Extension Multivariate model for Time to PAH worsening up to EOT + 7 including treatment (bid versus tid) and WHO FC (III versus I/II) factors; Analysis set: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676900" cy="704850"/>
                    </a:xfrm>
                    <a:prstGeom prst="rect">
                      <a:avLst/>
                    </a:prstGeom>
                  </pic:spPr>
                </pic:pic>
              </a:graphicData>
            </a:graphic>
          </wp:inline>
        </w:drawing>
      </w:r>
    </w:p>
    <w:p w14:paraId="76EACB3B" w14:textId="2C759271" w:rsidR="00153B34" w:rsidRPr="00B71C10" w:rsidRDefault="00153B34" w:rsidP="00153B34">
      <w:pPr>
        <w:pStyle w:val="FigureTitle"/>
      </w:pPr>
      <w:bookmarkStart w:id="241" w:name="_Toc473884172"/>
      <w:r w:rsidRPr="008806DA">
        <w:t xml:space="preserve">Figure </w:t>
      </w:r>
      <w:r w:rsidR="008806DA" w:rsidRPr="008806DA">
        <w:t>21:</w:t>
      </w:r>
      <w:r w:rsidRPr="008806DA">
        <w:t xml:space="preserve"> FUTURE</w:t>
      </w:r>
      <w:r>
        <w:t xml:space="preserve">-3 Extension </w:t>
      </w:r>
      <w:r w:rsidRPr="00B71C10">
        <w:t>Survival (</w:t>
      </w:r>
      <w:r w:rsidR="00914059" w:rsidRPr="00B71C10">
        <w:t>on treatme</w:t>
      </w:r>
      <w:r w:rsidR="00914059">
        <w:t>nt deaths</w:t>
      </w:r>
      <w:r w:rsidR="009C6335">
        <w:t>) Kaplan-Meier curves;</w:t>
      </w:r>
      <w:r w:rsidRPr="00B71C10">
        <w:t xml:space="preserve"> Analysis set:</w:t>
      </w:r>
      <w:r>
        <w:t xml:space="preserve"> </w:t>
      </w:r>
      <w:r w:rsidRPr="00B71C10">
        <w:t>All-treated set</w:t>
      </w:r>
      <w:bookmarkEnd w:id="241"/>
    </w:p>
    <w:p w14:paraId="28838FF8" w14:textId="77777777" w:rsidR="00452785" w:rsidRDefault="00153B34" w:rsidP="00C22678">
      <w:pPr>
        <w:rPr>
          <w:lang w:eastAsia="ja-JP"/>
        </w:rPr>
      </w:pPr>
      <w:r>
        <w:rPr>
          <w:noProof/>
          <w:lang w:eastAsia="en-AU"/>
        </w:rPr>
        <w:drawing>
          <wp:inline distT="0" distB="0" distL="0" distR="0" wp14:anchorId="1AABF21A" wp14:editId="5173A011">
            <wp:extent cx="4467225" cy="3124200"/>
            <wp:effectExtent l="0" t="0" r="9525" b="0"/>
            <wp:docPr id="62" name="Picture 62" descr="Figure 21: FUTURE-3 Extension Survival (On Treatment Deaths) Kaplan-Meier curves; Analysis set: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4467225" cy="3124200"/>
                    </a:xfrm>
                    <a:prstGeom prst="rect">
                      <a:avLst/>
                    </a:prstGeom>
                  </pic:spPr>
                </pic:pic>
              </a:graphicData>
            </a:graphic>
          </wp:inline>
        </w:drawing>
      </w:r>
    </w:p>
    <w:p w14:paraId="5A36E88C" w14:textId="77777777" w:rsidR="00153B34" w:rsidRPr="00B71C10" w:rsidRDefault="00153B34" w:rsidP="00153B34">
      <w:pPr>
        <w:pStyle w:val="Tabletitle"/>
      </w:pPr>
      <w:bookmarkStart w:id="242" w:name="_Ref465015609"/>
      <w:bookmarkStart w:id="243" w:name="_Toc473884088"/>
      <w:r w:rsidRPr="002E7063">
        <w:t xml:space="preserve">Table </w:t>
      </w:r>
      <w:bookmarkEnd w:id="242"/>
      <w:r w:rsidR="002E7063" w:rsidRPr="002E7063">
        <w:t>44:</w:t>
      </w:r>
      <w:r w:rsidRPr="002E7063">
        <w:t xml:space="preserve"> FUTURE-3 Extension Multivariate model for Time to death up to EOT + 7 including</w:t>
      </w:r>
      <w:r>
        <w:t xml:space="preserve"> </w:t>
      </w:r>
      <w:r w:rsidRPr="00B71C10">
        <w:t>treatment (</w:t>
      </w:r>
      <w:r w:rsidR="009C6335">
        <w:t>BD</w:t>
      </w:r>
      <w:r w:rsidRPr="00B71C10">
        <w:t xml:space="preserve"> </w:t>
      </w:r>
      <w:r w:rsidR="00E77015">
        <w:t>versus</w:t>
      </w:r>
      <w:r w:rsidRPr="00B71C10">
        <w:t xml:space="preserve"> </w:t>
      </w:r>
      <w:r w:rsidR="009C6335">
        <w:t>TDS</w:t>
      </w:r>
      <w:r w:rsidRPr="00B71C10">
        <w:t xml:space="preserve">) and WHO FC (III </w:t>
      </w:r>
      <w:r w:rsidR="00E77015">
        <w:t>versus</w:t>
      </w:r>
      <w:r w:rsidR="009C6335">
        <w:t xml:space="preserve"> I/II) factors;</w:t>
      </w:r>
      <w:r w:rsidRPr="00B71C10">
        <w:t xml:space="preserve"> Analysis</w:t>
      </w:r>
      <w:r>
        <w:t xml:space="preserve"> </w:t>
      </w:r>
      <w:r w:rsidRPr="00B71C10">
        <w:t>set: All-treated set</w:t>
      </w:r>
      <w:bookmarkEnd w:id="243"/>
    </w:p>
    <w:p w14:paraId="07841955" w14:textId="77777777" w:rsidR="00452785" w:rsidRDefault="00153B34" w:rsidP="00C22678">
      <w:pPr>
        <w:rPr>
          <w:lang w:eastAsia="ja-JP"/>
        </w:rPr>
      </w:pPr>
      <w:r>
        <w:rPr>
          <w:noProof/>
          <w:lang w:eastAsia="en-AU"/>
        </w:rPr>
        <w:drawing>
          <wp:inline distT="0" distB="0" distL="0" distR="0" wp14:anchorId="5BD09719" wp14:editId="6C417BA3">
            <wp:extent cx="5705475" cy="704850"/>
            <wp:effectExtent l="0" t="0" r="9525" b="0"/>
            <wp:docPr id="63" name="Picture 63" descr="Table 44: FUTURE-3 Extension Multivariate model for Time to death up to EOT + 7 including treatment (BD versus TDS) and WHO FC (III versus I/II) factors; Analysis set: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05475" cy="704850"/>
                    </a:xfrm>
                    <a:prstGeom prst="rect">
                      <a:avLst/>
                    </a:prstGeom>
                  </pic:spPr>
                </pic:pic>
              </a:graphicData>
            </a:graphic>
          </wp:inline>
        </w:drawing>
      </w:r>
    </w:p>
    <w:p w14:paraId="71CC7684" w14:textId="77777777" w:rsidR="00153B34" w:rsidRPr="00153B34" w:rsidRDefault="00153B34" w:rsidP="00153B34">
      <w:pPr>
        <w:pStyle w:val="Heading4"/>
        <w:numPr>
          <w:ilvl w:val="2"/>
          <w:numId w:val="18"/>
        </w:numPr>
      </w:pPr>
      <w:r w:rsidRPr="00153B34">
        <w:t>Evaluator commentary: other efficacy studies</w:t>
      </w:r>
    </w:p>
    <w:p w14:paraId="4BEB9F56" w14:textId="2551CC93" w:rsidR="00153B34" w:rsidRDefault="00153B34" w:rsidP="00153B34">
      <w:pPr>
        <w:rPr>
          <w:lang w:eastAsia="ja-JP"/>
        </w:rPr>
      </w:pPr>
      <w:bookmarkStart w:id="244" w:name="_Toc241374312"/>
      <w:bookmarkStart w:id="245" w:name="_Toc272414656"/>
      <w:bookmarkStart w:id="246" w:name="_Toc290888507"/>
      <w:bookmarkStart w:id="247" w:name="_Toc416353723"/>
      <w:bookmarkStart w:id="248" w:name="_Toc421005271"/>
      <w:bookmarkStart w:id="249" w:name="_Toc432079153"/>
      <w:bookmarkStart w:id="250" w:name="_Toc432080726"/>
      <w:r>
        <w:rPr>
          <w:lang w:eastAsia="ja-JP"/>
        </w:rPr>
        <w:t xml:space="preserve">The results of the </w:t>
      </w:r>
      <w:r w:rsidR="009C6335">
        <w:rPr>
          <w:lang w:eastAsia="ja-JP"/>
        </w:rPr>
        <w:t>FUTURE-1</w:t>
      </w:r>
      <w:r w:rsidR="00914059">
        <w:rPr>
          <w:lang w:eastAsia="ja-JP"/>
        </w:rPr>
        <w:t>/</w:t>
      </w:r>
      <w:r>
        <w:rPr>
          <w:lang w:eastAsia="ja-JP"/>
        </w:rPr>
        <w:t xml:space="preserve">3 studies were generally positive with respect to the efficacy outcomes but the results are limited in given the exploratory nature of the efficacy outcomes. In </w:t>
      </w:r>
      <w:r>
        <w:rPr>
          <w:lang w:eastAsia="ja-JP"/>
        </w:rPr>
        <w:lastRenderedPageBreak/>
        <w:t xml:space="preserve">the FUTURE-1 </w:t>
      </w:r>
      <w:r w:rsidR="00E77015">
        <w:rPr>
          <w:lang w:eastAsia="ja-JP"/>
        </w:rPr>
        <w:t>Study</w:t>
      </w:r>
      <w:r>
        <w:rPr>
          <w:lang w:eastAsia="ja-JP"/>
        </w:rPr>
        <w:t xml:space="preserve"> the majority of patients remained stable with respect to baseline WHO FC. At week 12, one patient is noted to have worsened from WHO FC class II to class II. Two patients improved from class II to class I and three patients improved from class III to class II. In the FUTURE-2 analysis </w:t>
      </w:r>
      <w:r w:rsidRPr="00127973">
        <w:rPr>
          <w:lang w:eastAsia="ja-JP"/>
        </w:rPr>
        <w:t>WHO</w:t>
      </w:r>
      <w:r>
        <w:rPr>
          <w:lang w:eastAsia="ja-JP"/>
        </w:rPr>
        <w:t xml:space="preserve"> FC</w:t>
      </w:r>
      <w:r w:rsidRPr="00127973">
        <w:rPr>
          <w:lang w:eastAsia="ja-JP"/>
        </w:rPr>
        <w:t xml:space="preserve"> had improved in 11 patients (39.3</w:t>
      </w:r>
      <w:r>
        <w:rPr>
          <w:lang w:eastAsia="ja-JP"/>
        </w:rPr>
        <w:t xml:space="preserve"> and</w:t>
      </w:r>
      <w:r w:rsidRPr="00127973">
        <w:rPr>
          <w:lang w:eastAsia="ja-JP"/>
        </w:rPr>
        <w:t xml:space="preserve"> </w:t>
      </w:r>
      <w:r>
        <w:rPr>
          <w:lang w:eastAsia="ja-JP"/>
        </w:rPr>
        <w:t>worsened</w:t>
      </w:r>
      <w:r w:rsidRPr="00127973">
        <w:rPr>
          <w:lang w:eastAsia="ja-JP"/>
        </w:rPr>
        <w:t xml:space="preserve"> in</w:t>
      </w:r>
      <w:r>
        <w:rPr>
          <w:lang w:eastAsia="ja-JP"/>
        </w:rPr>
        <w:t xml:space="preserve"> </w:t>
      </w:r>
      <w:r w:rsidRPr="00127973">
        <w:rPr>
          <w:lang w:eastAsia="ja-JP"/>
        </w:rPr>
        <w:t>2 patients (7.1%)</w:t>
      </w:r>
      <w:r>
        <w:rPr>
          <w:lang w:eastAsia="ja-JP"/>
        </w:rPr>
        <w:t>. T</w:t>
      </w:r>
      <w:r w:rsidRPr="00081D01">
        <w:rPr>
          <w:lang w:eastAsia="ja-JP"/>
        </w:rPr>
        <w:t>he KM estimate of not having experienced worsening of PAH was 63.1% at 5 years (95% CI 35.3%, 81.6%)</w:t>
      </w:r>
      <w:r>
        <w:rPr>
          <w:lang w:eastAsia="ja-JP"/>
        </w:rPr>
        <w:t>.</w:t>
      </w:r>
    </w:p>
    <w:p w14:paraId="294C89F9" w14:textId="7632848E" w:rsidR="00153B34" w:rsidRDefault="00153B34" w:rsidP="00153B34">
      <w:pPr>
        <w:rPr>
          <w:lang w:eastAsia="ja-JP"/>
        </w:rPr>
      </w:pPr>
      <w:r>
        <w:rPr>
          <w:lang w:eastAsia="ja-JP"/>
        </w:rPr>
        <w:t xml:space="preserve">In FUTURE-3, </w:t>
      </w:r>
      <w:r w:rsidRPr="00B82020">
        <w:rPr>
          <w:lang w:eastAsia="ja-JP"/>
        </w:rPr>
        <w:t xml:space="preserve">WHO FC at baseline was </w:t>
      </w:r>
      <w:r>
        <w:rPr>
          <w:lang w:eastAsia="ja-JP"/>
        </w:rPr>
        <w:t xml:space="preserve">noted to be worse in patients in the </w:t>
      </w:r>
      <w:r w:rsidR="007C6D8D">
        <w:rPr>
          <w:lang w:eastAsia="ja-JP"/>
        </w:rPr>
        <w:t>BD</w:t>
      </w:r>
      <w:r w:rsidRPr="00B82020">
        <w:rPr>
          <w:lang w:eastAsia="ja-JP"/>
        </w:rPr>
        <w:t xml:space="preserve"> group</w:t>
      </w:r>
      <w:r>
        <w:rPr>
          <w:lang w:eastAsia="ja-JP"/>
        </w:rPr>
        <w:t xml:space="preserve"> than in the </w:t>
      </w:r>
      <w:r w:rsidR="007C6D8D">
        <w:rPr>
          <w:lang w:eastAsia="ja-JP"/>
        </w:rPr>
        <w:t>TDS</w:t>
      </w:r>
      <w:r>
        <w:rPr>
          <w:lang w:eastAsia="ja-JP"/>
        </w:rPr>
        <w:t xml:space="preserve"> group. </w:t>
      </w:r>
      <w:r w:rsidRPr="00007F0F">
        <w:rPr>
          <w:lang w:eastAsia="ja-JP"/>
        </w:rPr>
        <w:t xml:space="preserve">The majority of patients remained clinically stable in their WHO FC status. </w:t>
      </w:r>
      <w:r>
        <w:rPr>
          <w:lang w:eastAsia="ja-JP"/>
        </w:rPr>
        <w:t>Five patients</w:t>
      </w:r>
      <w:r w:rsidRPr="00007F0F">
        <w:rPr>
          <w:lang w:eastAsia="ja-JP"/>
        </w:rPr>
        <w:t xml:space="preserve"> improved from WHO FC III</w:t>
      </w:r>
      <w:r>
        <w:rPr>
          <w:lang w:eastAsia="ja-JP"/>
        </w:rPr>
        <w:t xml:space="preserve"> </w:t>
      </w:r>
      <w:r w:rsidRPr="00007F0F">
        <w:rPr>
          <w:lang w:eastAsia="ja-JP"/>
        </w:rPr>
        <w:t xml:space="preserve">to II (all </w:t>
      </w:r>
      <w:r w:rsidR="007C6D8D">
        <w:rPr>
          <w:lang w:eastAsia="ja-JP"/>
        </w:rPr>
        <w:t>BD</w:t>
      </w:r>
      <w:r w:rsidRPr="00007F0F">
        <w:rPr>
          <w:lang w:eastAsia="ja-JP"/>
        </w:rPr>
        <w:t xml:space="preserve">), and 5 improved from WHO FC II to I (2 </w:t>
      </w:r>
      <w:r w:rsidR="007C6D8D">
        <w:rPr>
          <w:lang w:eastAsia="ja-JP"/>
        </w:rPr>
        <w:t>BD</w:t>
      </w:r>
      <w:r w:rsidR="009C6335">
        <w:rPr>
          <w:lang w:eastAsia="ja-JP"/>
        </w:rPr>
        <w:t>, 3 </w:t>
      </w:r>
      <w:r w:rsidR="007C6D8D">
        <w:rPr>
          <w:lang w:eastAsia="ja-JP"/>
        </w:rPr>
        <w:t>TDS</w:t>
      </w:r>
      <w:r w:rsidRPr="00007F0F">
        <w:rPr>
          <w:lang w:eastAsia="ja-JP"/>
        </w:rPr>
        <w:t xml:space="preserve">). </w:t>
      </w:r>
      <w:r>
        <w:rPr>
          <w:lang w:eastAsia="ja-JP"/>
        </w:rPr>
        <w:t xml:space="preserve">One patient experienced a worsening in </w:t>
      </w:r>
      <w:r w:rsidRPr="00007F0F">
        <w:rPr>
          <w:lang w:eastAsia="ja-JP"/>
        </w:rPr>
        <w:t>WHO FC</w:t>
      </w:r>
      <w:r>
        <w:rPr>
          <w:lang w:eastAsia="ja-JP"/>
        </w:rPr>
        <w:t xml:space="preserve"> (</w:t>
      </w:r>
      <w:r w:rsidRPr="00007F0F">
        <w:rPr>
          <w:lang w:eastAsia="ja-JP"/>
        </w:rPr>
        <w:t>III to IV</w:t>
      </w:r>
      <w:r>
        <w:rPr>
          <w:lang w:eastAsia="ja-JP"/>
        </w:rPr>
        <w:t>)</w:t>
      </w:r>
      <w:r w:rsidRPr="00007F0F">
        <w:rPr>
          <w:lang w:eastAsia="ja-JP"/>
        </w:rPr>
        <w:t>. Of the 10 patients who had</w:t>
      </w:r>
      <w:r>
        <w:rPr>
          <w:lang w:eastAsia="ja-JP"/>
        </w:rPr>
        <w:t xml:space="preserve"> </w:t>
      </w:r>
      <w:r w:rsidRPr="00007F0F">
        <w:rPr>
          <w:lang w:eastAsia="ja-JP"/>
        </w:rPr>
        <w:t xml:space="preserve">improvement in WHO FC, 4 were &lt; 2 years of age and 6 were </w:t>
      </w:r>
      <w:r w:rsidR="007C6D8D">
        <w:rPr>
          <w:lang w:eastAsia="ja-JP"/>
        </w:rPr>
        <w:t>≥</w:t>
      </w:r>
      <w:r w:rsidR="00CF6063">
        <w:rPr>
          <w:lang w:eastAsia="ja-JP"/>
        </w:rPr>
        <w:t xml:space="preserve"> </w:t>
      </w:r>
      <w:r w:rsidRPr="00007F0F">
        <w:rPr>
          <w:lang w:eastAsia="ja-JP"/>
        </w:rPr>
        <w:t xml:space="preserve">2 years. </w:t>
      </w:r>
      <w:r>
        <w:rPr>
          <w:lang w:eastAsia="ja-JP"/>
        </w:rPr>
        <w:t xml:space="preserve">During the FUTURE-3 Extension </w:t>
      </w:r>
      <w:r w:rsidR="00E77015">
        <w:rPr>
          <w:lang w:eastAsia="ja-JP"/>
        </w:rPr>
        <w:t>Study</w:t>
      </w:r>
      <w:r>
        <w:rPr>
          <w:lang w:eastAsia="ja-JP"/>
        </w:rPr>
        <w:t xml:space="preserve"> t</w:t>
      </w:r>
      <w:r w:rsidRPr="00B733E9">
        <w:rPr>
          <w:lang w:eastAsia="ja-JP"/>
        </w:rPr>
        <w:t>he majority of patients</w:t>
      </w:r>
      <w:r>
        <w:rPr>
          <w:lang w:eastAsia="ja-JP"/>
        </w:rPr>
        <w:t xml:space="preserve"> </w:t>
      </w:r>
      <w:r w:rsidRPr="00B733E9">
        <w:rPr>
          <w:lang w:eastAsia="ja-JP"/>
        </w:rPr>
        <w:t>remained clinically stable</w:t>
      </w:r>
      <w:r>
        <w:rPr>
          <w:lang w:eastAsia="ja-JP"/>
        </w:rPr>
        <w:t xml:space="preserve"> in WHO FC status (no change in WHO FC from baseline at </w:t>
      </w:r>
      <w:r w:rsidRPr="00B733E9">
        <w:rPr>
          <w:lang w:eastAsia="ja-JP"/>
        </w:rPr>
        <w:t>Month 12: 73.4%, Month 18: 78.1%)</w:t>
      </w:r>
      <w:r>
        <w:rPr>
          <w:lang w:eastAsia="ja-JP"/>
        </w:rPr>
        <w:t>. A higher proportion of patients experienced a w</w:t>
      </w:r>
      <w:r w:rsidRPr="00736919">
        <w:rPr>
          <w:lang w:eastAsia="ja-JP"/>
        </w:rPr>
        <w:t xml:space="preserve">orsening </w:t>
      </w:r>
      <w:r>
        <w:rPr>
          <w:lang w:eastAsia="ja-JP"/>
        </w:rPr>
        <w:t xml:space="preserve">in WHO FC, GCIS and PAH in the </w:t>
      </w:r>
      <w:r w:rsidR="007C6D8D">
        <w:rPr>
          <w:lang w:eastAsia="ja-JP"/>
        </w:rPr>
        <w:t>BD</w:t>
      </w:r>
      <w:r>
        <w:rPr>
          <w:lang w:eastAsia="ja-JP"/>
        </w:rPr>
        <w:t xml:space="preserve"> group compared to the </w:t>
      </w:r>
      <w:r w:rsidR="007C6D8D">
        <w:rPr>
          <w:lang w:eastAsia="ja-JP"/>
        </w:rPr>
        <w:t>TDS</w:t>
      </w:r>
      <w:r>
        <w:rPr>
          <w:lang w:eastAsia="ja-JP"/>
        </w:rPr>
        <w:t xml:space="preserve"> group</w:t>
      </w:r>
      <w:r w:rsidRPr="00736919">
        <w:rPr>
          <w:lang w:eastAsia="ja-JP"/>
        </w:rPr>
        <w:t>.</w:t>
      </w:r>
      <w:r>
        <w:rPr>
          <w:lang w:eastAsia="ja-JP"/>
        </w:rPr>
        <w:t xml:space="preserve"> Survival estimates were also lower in the </w:t>
      </w:r>
      <w:r w:rsidR="007C6D8D">
        <w:rPr>
          <w:lang w:eastAsia="ja-JP"/>
        </w:rPr>
        <w:t>BD</w:t>
      </w:r>
      <w:r>
        <w:rPr>
          <w:lang w:eastAsia="ja-JP"/>
        </w:rPr>
        <w:t xml:space="preserve"> group.</w:t>
      </w:r>
      <w:r w:rsidR="00CF6063">
        <w:rPr>
          <w:lang w:eastAsia="ja-JP"/>
        </w:rPr>
        <w:t xml:space="preserve"> </w:t>
      </w:r>
      <w:r>
        <w:rPr>
          <w:lang w:eastAsia="ja-JP"/>
        </w:rPr>
        <w:t xml:space="preserve">This is potentially due to the higher proportion of severely unwell patients in the </w:t>
      </w:r>
      <w:r w:rsidR="007C6D8D">
        <w:rPr>
          <w:lang w:eastAsia="ja-JP"/>
        </w:rPr>
        <w:t>BD</w:t>
      </w:r>
      <w:r>
        <w:rPr>
          <w:lang w:eastAsia="ja-JP"/>
        </w:rPr>
        <w:t xml:space="preserve"> group. It is difficult to determine the contribution of bosentan to these results given the majority of patients were treated with PAH medications at </w:t>
      </w:r>
      <w:r w:rsidR="0066478A">
        <w:rPr>
          <w:lang w:eastAsia="ja-JP"/>
        </w:rPr>
        <w:t>study</w:t>
      </w:r>
      <w:r>
        <w:rPr>
          <w:lang w:eastAsia="ja-JP"/>
        </w:rPr>
        <w:t xml:space="preserve"> enrolment and baseline PAH therapy had to be stable for at least 3 months prior to screening.</w:t>
      </w:r>
      <w:r w:rsidRPr="002174DB">
        <w:rPr>
          <w:lang w:eastAsia="ja-JP"/>
        </w:rPr>
        <w:t xml:space="preserve"> </w:t>
      </w:r>
      <w:r>
        <w:rPr>
          <w:lang w:eastAsia="ja-JP"/>
        </w:rPr>
        <w:t xml:space="preserve">The FUTURE-3 </w:t>
      </w:r>
      <w:r w:rsidR="00914059">
        <w:rPr>
          <w:lang w:eastAsia="ja-JP"/>
        </w:rPr>
        <w:t xml:space="preserve">extension study </w:t>
      </w:r>
      <w:r>
        <w:rPr>
          <w:lang w:eastAsia="ja-JP"/>
        </w:rPr>
        <w:t>included only 18 patients &lt;</w:t>
      </w:r>
      <w:r w:rsidR="009C6335">
        <w:rPr>
          <w:lang w:eastAsia="ja-JP"/>
        </w:rPr>
        <w:t xml:space="preserve"> </w:t>
      </w:r>
      <w:r>
        <w:rPr>
          <w:lang w:eastAsia="ja-JP"/>
        </w:rPr>
        <w:t xml:space="preserve">2 years of age. The </w:t>
      </w:r>
      <w:r w:rsidR="007C6D8D">
        <w:rPr>
          <w:lang w:eastAsia="ja-JP"/>
        </w:rPr>
        <w:t>sponsor</w:t>
      </w:r>
      <w:r>
        <w:rPr>
          <w:lang w:eastAsia="ja-JP"/>
        </w:rPr>
        <w:t>’s rationale for extending the dosage instructions to include patients between one and three years of age is unclear.</w:t>
      </w:r>
    </w:p>
    <w:p w14:paraId="7855E63A" w14:textId="77777777" w:rsidR="00153B34" w:rsidRPr="00153B34" w:rsidRDefault="00153B34" w:rsidP="00153B34">
      <w:pPr>
        <w:pStyle w:val="Heading3"/>
      </w:pPr>
      <w:bookmarkStart w:id="251" w:name="_Toc473883999"/>
      <w:bookmarkStart w:id="252" w:name="_Toc519773907"/>
      <w:r w:rsidRPr="00153B34">
        <w:t>Analyses performed across trials: pooled and meta analyses</w:t>
      </w:r>
      <w:bookmarkEnd w:id="244"/>
      <w:bookmarkEnd w:id="245"/>
      <w:bookmarkEnd w:id="246"/>
      <w:bookmarkEnd w:id="247"/>
      <w:bookmarkEnd w:id="248"/>
      <w:bookmarkEnd w:id="249"/>
      <w:bookmarkEnd w:id="250"/>
      <w:bookmarkEnd w:id="251"/>
      <w:bookmarkEnd w:id="252"/>
    </w:p>
    <w:p w14:paraId="126E37EF" w14:textId="77777777" w:rsidR="00153B34" w:rsidRDefault="00153B34" w:rsidP="00153B34">
      <w:pPr>
        <w:rPr>
          <w:lang w:eastAsia="ja-JP"/>
        </w:rPr>
      </w:pPr>
      <w:bookmarkStart w:id="253" w:name="_Ref271126605"/>
      <w:bookmarkStart w:id="254" w:name="_Toc272414657"/>
      <w:bookmarkStart w:id="255" w:name="_Toc290888508"/>
      <w:bookmarkStart w:id="256" w:name="_Toc416353724"/>
      <w:bookmarkStart w:id="257" w:name="_Toc421005272"/>
      <w:bookmarkStart w:id="258" w:name="_Toc432079154"/>
      <w:bookmarkStart w:id="259" w:name="_Toc432080727"/>
      <w:r>
        <w:rPr>
          <w:lang w:eastAsia="ja-JP"/>
        </w:rPr>
        <w:t>Not applicable.</w:t>
      </w:r>
    </w:p>
    <w:p w14:paraId="29647EDA" w14:textId="77777777" w:rsidR="00153B34" w:rsidRPr="00153B34" w:rsidRDefault="00153B34" w:rsidP="00153B34">
      <w:pPr>
        <w:pStyle w:val="Heading3"/>
      </w:pPr>
      <w:bookmarkStart w:id="260" w:name="_Toc473884000"/>
      <w:bookmarkStart w:id="261" w:name="_Toc519773908"/>
      <w:r w:rsidRPr="00153B34">
        <w:t>Evaluator’s conclusions on clinical efficacy</w:t>
      </w:r>
      <w:bookmarkEnd w:id="253"/>
      <w:bookmarkEnd w:id="254"/>
      <w:bookmarkEnd w:id="255"/>
      <w:bookmarkEnd w:id="256"/>
      <w:bookmarkEnd w:id="257"/>
      <w:bookmarkEnd w:id="258"/>
      <w:bookmarkEnd w:id="259"/>
      <w:bookmarkEnd w:id="260"/>
      <w:bookmarkEnd w:id="261"/>
    </w:p>
    <w:p w14:paraId="0F633F6C" w14:textId="77777777" w:rsidR="007C6D8D" w:rsidRDefault="00153B34" w:rsidP="00153B34">
      <w:pPr>
        <w:rPr>
          <w:lang w:eastAsia="ja-JP"/>
        </w:rPr>
      </w:pPr>
      <w:r>
        <w:t>FUTURE-4 did not identify a benefit in adding bosentan to iNO therapy in neonates with PPHN who had not responded adequately to iNO.</w:t>
      </w:r>
      <w:r w:rsidRPr="00EE371B">
        <w:t xml:space="preserve"> </w:t>
      </w:r>
      <w:r>
        <w:rPr>
          <w:lang w:eastAsia="ja-JP"/>
        </w:rPr>
        <w:t xml:space="preserve">The </w:t>
      </w:r>
      <w:r w:rsidR="007C6D8D">
        <w:rPr>
          <w:lang w:eastAsia="ja-JP"/>
        </w:rPr>
        <w:t>sponsor</w:t>
      </w:r>
      <w:r>
        <w:rPr>
          <w:lang w:eastAsia="ja-JP"/>
        </w:rPr>
        <w:t xml:space="preserve"> has not requested an extension of indication for PPHN or changes to the dosage and administration instructions to include this age group</w:t>
      </w:r>
      <w:r w:rsidR="007C6D8D">
        <w:rPr>
          <w:lang w:eastAsia="ja-JP"/>
        </w:rPr>
        <w:t>.</w:t>
      </w:r>
    </w:p>
    <w:p w14:paraId="6D84DDFC" w14:textId="77777777" w:rsidR="00153B34" w:rsidRDefault="00153B34" w:rsidP="00153B34">
      <w:r>
        <w:t xml:space="preserve">The analyses of efficacy included in this submission were otherwise exploratory. The </w:t>
      </w:r>
      <w:r w:rsidR="007C6D8D">
        <w:t>sponsor</w:t>
      </w:r>
      <w:r>
        <w:t xml:space="preserve"> states that overall the outcomes of the efficacy variables from the paediatric PAH studies were consistent with the known effect of bosentan in adults as:</w:t>
      </w:r>
    </w:p>
    <w:p w14:paraId="1D44FEE4" w14:textId="77777777" w:rsidR="00153B34" w:rsidRPr="00D076F8" w:rsidRDefault="00153B34" w:rsidP="00153B34">
      <w:pPr>
        <w:pStyle w:val="ListBullet"/>
      </w:pPr>
      <w:r w:rsidRPr="00D076F8">
        <w:t>The majority of patients (</w:t>
      </w:r>
      <w:r w:rsidR="00CF6063">
        <w:t xml:space="preserve">&gt; </w:t>
      </w:r>
      <w:r w:rsidRPr="00D076F8">
        <w:t>90%) showed improved or stable clinical</w:t>
      </w:r>
      <w:r>
        <w:t xml:space="preserve"> </w:t>
      </w:r>
      <w:r w:rsidRPr="00D076F8">
        <w:t>condi</w:t>
      </w:r>
      <w:r w:rsidR="009C6335">
        <w:t xml:space="preserve">tion (WHO FC and GCIS) over a 6 </w:t>
      </w:r>
      <w:r w:rsidRPr="00D076F8">
        <w:t>month treatment</w:t>
      </w:r>
      <w:r>
        <w:t xml:space="preserve"> </w:t>
      </w:r>
      <w:r w:rsidRPr="00D076F8">
        <w:t>period. Less than 10% showed deterioration during the same period.</w:t>
      </w:r>
    </w:p>
    <w:p w14:paraId="7AF32B7E" w14:textId="77777777" w:rsidR="00153B34" w:rsidRDefault="00153B34" w:rsidP="00153B34">
      <w:pPr>
        <w:pStyle w:val="ListBullet"/>
      </w:pPr>
      <w:r>
        <w:t>KM</w:t>
      </w:r>
      <w:r w:rsidRPr="00D076F8">
        <w:t xml:space="preserve"> event-free estimates of worsening of PAH (defined as time to</w:t>
      </w:r>
      <w:r>
        <w:t xml:space="preserve"> </w:t>
      </w:r>
      <w:r w:rsidRPr="00D076F8">
        <w:t>first occurrence of death, lung transplantation or hospitalization for PAH</w:t>
      </w:r>
      <w:r>
        <w:t xml:space="preserve"> </w:t>
      </w:r>
      <w:r w:rsidRPr="00D076F8">
        <w:t xml:space="preserve">worsening) </w:t>
      </w:r>
      <w:r w:rsidR="009C6335">
        <w:t>over the short-term period of 6 </w:t>
      </w:r>
      <w:r w:rsidRPr="00D076F8">
        <w:t>months was 88.1% (FUTURE</w:t>
      </w:r>
      <w:r>
        <w:t>-</w:t>
      </w:r>
      <w:r w:rsidRPr="00D076F8">
        <w:t>1 and 2)</w:t>
      </w:r>
      <w:r>
        <w:t xml:space="preserve"> </w:t>
      </w:r>
      <w:r w:rsidR="00E77015">
        <w:t>versus</w:t>
      </w:r>
      <w:r w:rsidRPr="00D076F8">
        <w:t xml:space="preserve"> 96.8% (FUTURE</w:t>
      </w:r>
      <w:r>
        <w:t>-</w:t>
      </w:r>
      <w:r w:rsidRPr="00D076F8">
        <w:t xml:space="preserve">3). Over the </w:t>
      </w:r>
      <w:r w:rsidR="007C6D8D">
        <w:t>long term</w:t>
      </w:r>
      <w:r w:rsidRPr="00D076F8">
        <w:t xml:space="preserve"> treatment period in the FUTURE</w:t>
      </w:r>
      <w:r>
        <w:t>-</w:t>
      </w:r>
      <w:r w:rsidRPr="00D076F8">
        <w:t>1</w:t>
      </w:r>
      <w:r>
        <w:t xml:space="preserve"> </w:t>
      </w:r>
      <w:r w:rsidRPr="00D076F8">
        <w:t xml:space="preserve">and 2 </w:t>
      </w:r>
      <w:r w:rsidR="00E77015">
        <w:t>Study</w:t>
      </w:r>
      <w:r w:rsidRPr="00D076F8">
        <w:t>, the KM event-free estimate of worsening of PAH was 78.9% at</w:t>
      </w:r>
      <w:r>
        <w:t xml:space="preserve"> </w:t>
      </w:r>
      <w:r w:rsidRPr="00D076F8">
        <w:t>2 years and 73.6% at 4 years.</w:t>
      </w:r>
    </w:p>
    <w:p w14:paraId="5DD88997" w14:textId="77777777" w:rsidR="007C6D8D" w:rsidRDefault="00153B34" w:rsidP="00153B34">
      <w:r>
        <w:rPr>
          <w:lang w:eastAsia="ja-JP"/>
        </w:rPr>
        <w:t xml:space="preserve">The </w:t>
      </w:r>
      <w:r w:rsidR="007C6D8D">
        <w:rPr>
          <w:lang w:eastAsia="ja-JP"/>
        </w:rPr>
        <w:t>sponsor</w:t>
      </w:r>
      <w:r>
        <w:rPr>
          <w:lang w:eastAsia="ja-JP"/>
        </w:rPr>
        <w:t xml:space="preserve"> states that f</w:t>
      </w:r>
      <w:r w:rsidRPr="00E32800">
        <w:rPr>
          <w:lang w:eastAsia="ja-JP"/>
        </w:rPr>
        <w:t>avourable efficacy results were found at the bosentan exposures achieved with both the</w:t>
      </w:r>
      <w:r>
        <w:rPr>
          <w:lang w:eastAsia="ja-JP"/>
        </w:rPr>
        <w:t xml:space="preserve"> adult tablet formulation and </w:t>
      </w:r>
      <w:r w:rsidRPr="00E32800">
        <w:rPr>
          <w:lang w:eastAsia="ja-JP"/>
        </w:rPr>
        <w:t>with the paediatric tablet formulation used in studies FUTURE-1 and</w:t>
      </w:r>
      <w:r>
        <w:rPr>
          <w:lang w:eastAsia="ja-JP"/>
        </w:rPr>
        <w:t xml:space="preserve"> </w:t>
      </w:r>
      <w:r w:rsidRPr="00E32800">
        <w:rPr>
          <w:lang w:eastAsia="ja-JP"/>
        </w:rPr>
        <w:t>FUTURE-2.</w:t>
      </w:r>
      <w:r>
        <w:rPr>
          <w:lang w:eastAsia="ja-JP"/>
        </w:rPr>
        <w:t xml:space="preserve"> </w:t>
      </w:r>
      <w:r>
        <w:t xml:space="preserve">In the FUTURE-3 studies those on </w:t>
      </w:r>
      <w:r w:rsidR="007C6D8D">
        <w:t>BD</w:t>
      </w:r>
      <w:r>
        <w:t xml:space="preserve"> dosing tended to have worse outcomes than those on </w:t>
      </w:r>
      <w:r w:rsidR="007C6D8D">
        <w:t>TDS</w:t>
      </w:r>
      <w:r>
        <w:t xml:space="preserve"> dosing. These results may</w:t>
      </w:r>
      <w:r w:rsidRPr="008E025F">
        <w:t xml:space="preserve"> due to the imbalance in disease severity at baseline. </w:t>
      </w:r>
      <w:r>
        <w:rPr>
          <w:lang w:eastAsia="ja-JP"/>
        </w:rPr>
        <w:t xml:space="preserve">The </w:t>
      </w:r>
      <w:r w:rsidR="007C6D8D">
        <w:rPr>
          <w:lang w:eastAsia="ja-JP"/>
        </w:rPr>
        <w:t>sponsor</w:t>
      </w:r>
      <w:r>
        <w:rPr>
          <w:lang w:eastAsia="ja-JP"/>
        </w:rPr>
        <w:t xml:space="preserve"> states that t</w:t>
      </w:r>
      <w:r>
        <w:t>here is</w:t>
      </w:r>
      <w:r w:rsidRPr="00D630D3">
        <w:t xml:space="preserve"> no additional clinical benefit in increasing the frequency of bosentan dosing.</w:t>
      </w:r>
      <w:r>
        <w:t xml:space="preserve"> The rationale for not increasing the dose frequency to </w:t>
      </w:r>
      <w:r w:rsidR="007C6D8D">
        <w:t>TDS</w:t>
      </w:r>
      <w:r>
        <w:t xml:space="preserve"> dosing with respect to these efficacy outcomes should be clarified</w:t>
      </w:r>
      <w:r w:rsidR="007C6D8D">
        <w:t>.</w:t>
      </w:r>
    </w:p>
    <w:p w14:paraId="572359C5" w14:textId="77777777" w:rsidR="007C6D8D" w:rsidRDefault="00153B34" w:rsidP="00153B34">
      <w:pPr>
        <w:rPr>
          <w:lang w:eastAsia="ja-JP"/>
        </w:rPr>
      </w:pPr>
      <w:r w:rsidRPr="00A10CC6">
        <w:rPr>
          <w:lang w:eastAsia="ja-JP"/>
        </w:rPr>
        <w:lastRenderedPageBreak/>
        <w:t xml:space="preserve">The </w:t>
      </w:r>
      <w:r w:rsidR="007C6D8D">
        <w:rPr>
          <w:lang w:eastAsia="ja-JP"/>
        </w:rPr>
        <w:t>sponsor</w:t>
      </w:r>
      <w:r w:rsidRPr="00A10CC6">
        <w:rPr>
          <w:lang w:eastAsia="ja-JP"/>
        </w:rPr>
        <w:t xml:space="preserve"> has proposed changing the dosage and administration instructions to include patients one year of age and over. The current dosage instructions provide advice for patients aged three years and over. The FUTURE series of studies included patients under </w:t>
      </w:r>
      <w:r>
        <w:rPr>
          <w:lang w:eastAsia="ja-JP"/>
        </w:rPr>
        <w:t>three</w:t>
      </w:r>
      <w:r w:rsidRPr="00A10CC6">
        <w:rPr>
          <w:lang w:eastAsia="ja-JP"/>
        </w:rPr>
        <w:t xml:space="preserve"> years of age but the total number of patients in this age group remains small. </w:t>
      </w:r>
      <w:r>
        <w:rPr>
          <w:lang w:eastAsia="ja-JP"/>
        </w:rPr>
        <w:t>It is unclear whether the number of patients aged between one and three years of age is sufficient to recommend a change to the dosage instructions</w:t>
      </w:r>
      <w:r w:rsidR="007C6D8D">
        <w:rPr>
          <w:lang w:eastAsia="ja-JP"/>
        </w:rPr>
        <w:t>.</w:t>
      </w:r>
    </w:p>
    <w:p w14:paraId="0237B456" w14:textId="77777777" w:rsidR="00C22678" w:rsidRDefault="00C22678" w:rsidP="00C22678">
      <w:pPr>
        <w:pStyle w:val="Heading2"/>
      </w:pPr>
      <w:bookmarkStart w:id="262" w:name="_Toc519773909"/>
      <w:r>
        <w:t>Clinical safety</w:t>
      </w:r>
      <w:bookmarkEnd w:id="262"/>
    </w:p>
    <w:p w14:paraId="2E0DEB95" w14:textId="77777777" w:rsidR="00287323" w:rsidRPr="00287323" w:rsidRDefault="00287323" w:rsidP="00287323">
      <w:pPr>
        <w:pStyle w:val="Heading3"/>
      </w:pPr>
      <w:bookmarkStart w:id="263" w:name="_Toc272414659"/>
      <w:bookmarkStart w:id="264" w:name="_Toc290888510"/>
      <w:bookmarkStart w:id="265" w:name="_Toc416353726"/>
      <w:bookmarkStart w:id="266" w:name="_Toc421005274"/>
      <w:bookmarkStart w:id="267" w:name="_Toc432079156"/>
      <w:bookmarkStart w:id="268" w:name="_Toc432080729"/>
      <w:bookmarkStart w:id="269" w:name="_Toc473884002"/>
      <w:bookmarkStart w:id="270" w:name="_Toc519773910"/>
      <w:r w:rsidRPr="00287323">
        <w:t>Studies providing evaluable safety data</w:t>
      </w:r>
      <w:bookmarkEnd w:id="263"/>
      <w:bookmarkEnd w:id="264"/>
      <w:bookmarkEnd w:id="265"/>
      <w:bookmarkEnd w:id="266"/>
      <w:bookmarkEnd w:id="267"/>
      <w:bookmarkEnd w:id="268"/>
      <w:bookmarkEnd w:id="269"/>
      <w:bookmarkEnd w:id="270"/>
    </w:p>
    <w:p w14:paraId="671390A4" w14:textId="77777777" w:rsidR="00287323" w:rsidRPr="00287323" w:rsidRDefault="00287323" w:rsidP="00287323">
      <w:pPr>
        <w:pStyle w:val="Heading4"/>
      </w:pPr>
      <w:bookmarkStart w:id="271" w:name="_Toc421005275"/>
      <w:bookmarkStart w:id="272" w:name="_Toc432079157"/>
      <w:bookmarkStart w:id="273" w:name="_Toc432080730"/>
      <w:r w:rsidRPr="00287323">
        <w:t>Pivotal studies that assessed safety as the sole primary outcome</w:t>
      </w:r>
      <w:bookmarkEnd w:id="271"/>
      <w:bookmarkEnd w:id="272"/>
      <w:bookmarkEnd w:id="273"/>
    </w:p>
    <w:p w14:paraId="74A0C86E" w14:textId="67F19CC8" w:rsidR="00287323" w:rsidRDefault="00214180" w:rsidP="00287323">
      <w:pPr>
        <w:pStyle w:val="ListBullet"/>
        <w:rPr>
          <w:lang w:eastAsia="ja-JP"/>
        </w:rPr>
      </w:pPr>
      <w:bookmarkStart w:id="274" w:name="_Ref268776745"/>
      <w:bookmarkStart w:id="275" w:name="_Toc421005276"/>
      <w:bookmarkStart w:id="276" w:name="_Toc432079158"/>
      <w:bookmarkStart w:id="277" w:name="_Toc432080731"/>
      <w:r>
        <w:rPr>
          <w:lang w:eastAsia="ja-JP"/>
        </w:rPr>
        <w:t xml:space="preserve">Study </w:t>
      </w:r>
      <w:r w:rsidR="00287323">
        <w:rPr>
          <w:lang w:eastAsia="ja-JP"/>
        </w:rPr>
        <w:t xml:space="preserve">AC-052-367 </w:t>
      </w:r>
      <w:r>
        <w:rPr>
          <w:lang w:eastAsia="ja-JP"/>
        </w:rPr>
        <w:t>(</w:t>
      </w:r>
      <w:r w:rsidR="00287323">
        <w:rPr>
          <w:lang w:eastAsia="ja-JP"/>
        </w:rPr>
        <w:t>FUTURE-2</w:t>
      </w:r>
      <w:r>
        <w:rPr>
          <w:lang w:eastAsia="ja-JP"/>
        </w:rPr>
        <w:t>)</w:t>
      </w:r>
    </w:p>
    <w:p w14:paraId="57361088" w14:textId="3B18A263" w:rsidR="00287323" w:rsidRDefault="00214180" w:rsidP="00287323">
      <w:pPr>
        <w:pStyle w:val="ListBullet"/>
        <w:rPr>
          <w:lang w:eastAsia="ja-JP"/>
        </w:rPr>
      </w:pPr>
      <w:r>
        <w:rPr>
          <w:lang w:eastAsia="ja-JP"/>
        </w:rPr>
        <w:t>Study</w:t>
      </w:r>
      <w:r w:rsidRPr="00F03904">
        <w:rPr>
          <w:lang w:eastAsia="ja-JP"/>
        </w:rPr>
        <w:t xml:space="preserve"> </w:t>
      </w:r>
      <w:r w:rsidR="00287323" w:rsidRPr="00F03904">
        <w:rPr>
          <w:lang w:eastAsia="ja-JP"/>
        </w:rPr>
        <w:t xml:space="preserve">AC-052-374 </w:t>
      </w:r>
      <w:r>
        <w:rPr>
          <w:lang w:eastAsia="ja-JP"/>
        </w:rPr>
        <w:t>(</w:t>
      </w:r>
      <w:r w:rsidR="00287323">
        <w:rPr>
          <w:lang w:eastAsia="ja-JP"/>
        </w:rPr>
        <w:t>FUTURE-3</w:t>
      </w:r>
      <w:r>
        <w:rPr>
          <w:lang w:eastAsia="ja-JP"/>
        </w:rPr>
        <w:t>)</w:t>
      </w:r>
      <w:r w:rsidR="00287323">
        <w:rPr>
          <w:lang w:eastAsia="ja-JP"/>
        </w:rPr>
        <w:t xml:space="preserve"> Extension</w:t>
      </w:r>
    </w:p>
    <w:p w14:paraId="502512E3" w14:textId="3B1A81DD" w:rsidR="00287323" w:rsidRDefault="00214180" w:rsidP="00287323">
      <w:pPr>
        <w:pStyle w:val="ListBullet"/>
        <w:rPr>
          <w:lang w:eastAsia="ja-JP"/>
        </w:rPr>
      </w:pPr>
      <w:r>
        <w:rPr>
          <w:lang w:eastAsia="ja-JP"/>
        </w:rPr>
        <w:t>Study</w:t>
      </w:r>
      <w:r w:rsidRPr="00B8056F">
        <w:rPr>
          <w:lang w:eastAsia="ja-JP"/>
        </w:rPr>
        <w:t xml:space="preserve"> </w:t>
      </w:r>
      <w:r w:rsidR="00287323" w:rsidRPr="00B8056F">
        <w:rPr>
          <w:lang w:eastAsia="ja-JP"/>
        </w:rPr>
        <w:t xml:space="preserve">AC-052-392 </w:t>
      </w:r>
      <w:r>
        <w:rPr>
          <w:lang w:eastAsia="ja-JP"/>
        </w:rPr>
        <w:t>(</w:t>
      </w:r>
      <w:r w:rsidR="00287323">
        <w:rPr>
          <w:lang w:eastAsia="ja-JP"/>
        </w:rPr>
        <w:t>FUTURE-4</w:t>
      </w:r>
      <w:r>
        <w:rPr>
          <w:lang w:eastAsia="ja-JP"/>
        </w:rPr>
        <w:t>)</w:t>
      </w:r>
      <w:r w:rsidR="00287323">
        <w:rPr>
          <w:lang w:eastAsia="ja-JP"/>
        </w:rPr>
        <w:t xml:space="preserve"> Extension</w:t>
      </w:r>
      <w:r w:rsidR="00751D84">
        <w:rPr>
          <w:lang w:eastAsia="ja-JP"/>
        </w:rPr>
        <w:t>.</w:t>
      </w:r>
    </w:p>
    <w:p w14:paraId="3952745E" w14:textId="77777777" w:rsidR="00287323" w:rsidRPr="00287323" w:rsidRDefault="00287323" w:rsidP="00287323">
      <w:pPr>
        <w:pStyle w:val="Heading4"/>
      </w:pPr>
      <w:r w:rsidRPr="00287323">
        <w:t>Pivotal and/or main efficacy studies</w:t>
      </w:r>
      <w:bookmarkEnd w:id="274"/>
      <w:bookmarkEnd w:id="275"/>
      <w:bookmarkEnd w:id="276"/>
      <w:bookmarkEnd w:id="277"/>
    </w:p>
    <w:p w14:paraId="2B471530" w14:textId="025D10C8" w:rsidR="00287323" w:rsidRDefault="00214180" w:rsidP="00287323">
      <w:pPr>
        <w:pStyle w:val="ListBullet"/>
        <w:rPr>
          <w:lang w:eastAsia="ja-JP"/>
        </w:rPr>
      </w:pPr>
      <w:bookmarkStart w:id="278" w:name="_Toc421005277"/>
      <w:bookmarkStart w:id="279" w:name="_Toc432079159"/>
      <w:bookmarkStart w:id="280" w:name="_Toc432080732"/>
      <w:r>
        <w:rPr>
          <w:lang w:eastAsia="ja-JP"/>
        </w:rPr>
        <w:t>Study</w:t>
      </w:r>
      <w:r w:rsidRPr="00B8056F">
        <w:rPr>
          <w:lang w:eastAsia="ja-JP"/>
        </w:rPr>
        <w:t xml:space="preserve"> </w:t>
      </w:r>
      <w:r w:rsidR="00287323" w:rsidRPr="00B8056F">
        <w:rPr>
          <w:lang w:eastAsia="ja-JP"/>
        </w:rPr>
        <w:t xml:space="preserve">AC-052-391 </w:t>
      </w:r>
      <w:r>
        <w:rPr>
          <w:lang w:eastAsia="ja-JP"/>
        </w:rPr>
        <w:t>(</w:t>
      </w:r>
      <w:r w:rsidR="00287323">
        <w:rPr>
          <w:lang w:eastAsia="ja-JP"/>
        </w:rPr>
        <w:t>FUTURE-4</w:t>
      </w:r>
      <w:r>
        <w:rPr>
          <w:lang w:eastAsia="ja-JP"/>
        </w:rPr>
        <w:t>)</w:t>
      </w:r>
      <w:r w:rsidR="00751D84">
        <w:rPr>
          <w:lang w:eastAsia="ja-JP"/>
        </w:rPr>
        <w:t>.</w:t>
      </w:r>
    </w:p>
    <w:p w14:paraId="6104A083" w14:textId="77777777" w:rsidR="00287323" w:rsidRPr="00287323" w:rsidRDefault="00287323" w:rsidP="00287323">
      <w:pPr>
        <w:pStyle w:val="Heading4"/>
      </w:pPr>
      <w:r w:rsidRPr="00287323">
        <w:t>Other studies</w:t>
      </w:r>
      <w:bookmarkEnd w:id="278"/>
      <w:bookmarkEnd w:id="279"/>
      <w:bookmarkEnd w:id="280"/>
    </w:p>
    <w:p w14:paraId="098EA5C6" w14:textId="083D5CBD" w:rsidR="00287323" w:rsidRDefault="00214180" w:rsidP="00287323">
      <w:pPr>
        <w:pStyle w:val="ListBullet"/>
        <w:rPr>
          <w:lang w:eastAsia="ja-JP"/>
        </w:rPr>
      </w:pPr>
      <w:r>
        <w:rPr>
          <w:lang w:eastAsia="ja-JP"/>
        </w:rPr>
        <w:t xml:space="preserve">Study </w:t>
      </w:r>
      <w:r w:rsidR="00287323">
        <w:rPr>
          <w:lang w:eastAsia="ja-JP"/>
        </w:rPr>
        <w:t>AC-052-116</w:t>
      </w:r>
    </w:p>
    <w:p w14:paraId="407A4AC9" w14:textId="02F1FD36" w:rsidR="00287323" w:rsidRDefault="00214180" w:rsidP="00287323">
      <w:pPr>
        <w:pStyle w:val="ListBullet"/>
        <w:rPr>
          <w:lang w:eastAsia="ja-JP"/>
        </w:rPr>
      </w:pPr>
      <w:r>
        <w:rPr>
          <w:lang w:eastAsia="ja-JP"/>
        </w:rPr>
        <w:t xml:space="preserve">Study </w:t>
      </w:r>
      <w:r w:rsidR="00287323">
        <w:rPr>
          <w:lang w:eastAsia="ja-JP"/>
        </w:rPr>
        <w:t xml:space="preserve">AC-052-365 </w:t>
      </w:r>
      <w:r>
        <w:rPr>
          <w:lang w:eastAsia="ja-JP"/>
        </w:rPr>
        <w:t>(</w:t>
      </w:r>
      <w:r w:rsidR="00287323">
        <w:rPr>
          <w:lang w:eastAsia="ja-JP"/>
        </w:rPr>
        <w:t>FUTURE-1</w:t>
      </w:r>
      <w:r>
        <w:rPr>
          <w:lang w:eastAsia="ja-JP"/>
        </w:rPr>
        <w:t>)</w:t>
      </w:r>
    </w:p>
    <w:p w14:paraId="2E93E127" w14:textId="40979BC3" w:rsidR="00287323" w:rsidRDefault="00214180" w:rsidP="00287323">
      <w:pPr>
        <w:pStyle w:val="ListBullet"/>
        <w:rPr>
          <w:lang w:eastAsia="ja-JP"/>
        </w:rPr>
      </w:pPr>
      <w:r>
        <w:rPr>
          <w:lang w:eastAsia="ja-JP"/>
        </w:rPr>
        <w:t>Study</w:t>
      </w:r>
      <w:r w:rsidRPr="00B8056F">
        <w:rPr>
          <w:lang w:eastAsia="ja-JP"/>
        </w:rPr>
        <w:t xml:space="preserve"> </w:t>
      </w:r>
      <w:r w:rsidR="00287323" w:rsidRPr="00B8056F">
        <w:rPr>
          <w:lang w:eastAsia="ja-JP"/>
        </w:rPr>
        <w:t xml:space="preserve">AC-052-373 </w:t>
      </w:r>
      <w:r>
        <w:rPr>
          <w:lang w:eastAsia="ja-JP"/>
        </w:rPr>
        <w:t>(</w:t>
      </w:r>
      <w:r w:rsidR="00287323">
        <w:rPr>
          <w:lang w:eastAsia="ja-JP"/>
        </w:rPr>
        <w:t>FUTURE-3</w:t>
      </w:r>
      <w:r>
        <w:rPr>
          <w:lang w:eastAsia="ja-JP"/>
        </w:rPr>
        <w:t>)</w:t>
      </w:r>
      <w:r w:rsidR="00751D84">
        <w:rPr>
          <w:lang w:eastAsia="ja-JP"/>
        </w:rPr>
        <w:t>.</w:t>
      </w:r>
    </w:p>
    <w:p w14:paraId="7A3170BA" w14:textId="77777777" w:rsidR="00287323" w:rsidRPr="00287323" w:rsidRDefault="00287323" w:rsidP="00287323">
      <w:pPr>
        <w:pStyle w:val="Heading3"/>
      </w:pPr>
      <w:bookmarkStart w:id="281" w:name="_Ref269204367"/>
      <w:bookmarkStart w:id="282" w:name="_Ref271195835"/>
      <w:bookmarkStart w:id="283" w:name="_Ref271195841"/>
      <w:bookmarkStart w:id="284" w:name="_Toc272414660"/>
      <w:bookmarkStart w:id="285" w:name="_Toc290888511"/>
      <w:bookmarkStart w:id="286" w:name="_Toc416353727"/>
      <w:bookmarkStart w:id="287" w:name="_Toc421005283"/>
      <w:bookmarkStart w:id="288" w:name="_Toc432079160"/>
      <w:bookmarkStart w:id="289" w:name="_Toc432080733"/>
      <w:bookmarkStart w:id="290" w:name="_Toc473884003"/>
      <w:bookmarkStart w:id="291" w:name="_Toc519773911"/>
      <w:r w:rsidRPr="00287323">
        <w:t>Studies that assessed safety as the sole primary outcome</w:t>
      </w:r>
      <w:bookmarkEnd w:id="281"/>
      <w:bookmarkEnd w:id="282"/>
      <w:bookmarkEnd w:id="283"/>
      <w:bookmarkEnd w:id="284"/>
      <w:bookmarkEnd w:id="285"/>
      <w:bookmarkEnd w:id="286"/>
      <w:bookmarkEnd w:id="287"/>
      <w:bookmarkEnd w:id="288"/>
      <w:bookmarkEnd w:id="289"/>
      <w:bookmarkEnd w:id="290"/>
      <w:bookmarkEnd w:id="291"/>
    </w:p>
    <w:p w14:paraId="55BE8E6C" w14:textId="24F02C61" w:rsidR="00287323" w:rsidRPr="002F2695" w:rsidRDefault="00214180" w:rsidP="00287323">
      <w:pPr>
        <w:pStyle w:val="Heading4"/>
        <w:rPr>
          <w:b w:val="0"/>
        </w:rPr>
      </w:pPr>
      <w:bookmarkStart w:id="292" w:name="_Ref462737688"/>
      <w:r w:rsidRPr="002F2695">
        <w:rPr>
          <w:b w:val="0"/>
        </w:rPr>
        <w:t xml:space="preserve">Study </w:t>
      </w:r>
      <w:r w:rsidR="00287323" w:rsidRPr="002F2695">
        <w:rPr>
          <w:b w:val="0"/>
        </w:rPr>
        <w:t xml:space="preserve">AC-052-367 </w:t>
      </w:r>
      <w:r w:rsidRPr="002F2695">
        <w:rPr>
          <w:b w:val="0"/>
        </w:rPr>
        <w:t>(</w:t>
      </w:r>
      <w:r w:rsidR="00287323" w:rsidRPr="002F2695">
        <w:rPr>
          <w:b w:val="0"/>
        </w:rPr>
        <w:t>FUTURE-2</w:t>
      </w:r>
      <w:bookmarkEnd w:id="292"/>
      <w:r w:rsidRPr="002F2695">
        <w:rPr>
          <w:b w:val="0"/>
        </w:rPr>
        <w:t>)</w:t>
      </w:r>
    </w:p>
    <w:p w14:paraId="0A6AB302" w14:textId="77777777" w:rsidR="00287323" w:rsidRPr="00287323" w:rsidRDefault="00287323" w:rsidP="00287323">
      <w:pPr>
        <w:pStyle w:val="Heading5"/>
      </w:pPr>
      <w:r w:rsidRPr="00287323">
        <w:t>Study design, objectives, locations and dates</w:t>
      </w:r>
    </w:p>
    <w:p w14:paraId="3A620B2D" w14:textId="599EA700" w:rsidR="00287323" w:rsidRDefault="00214180" w:rsidP="00287323">
      <w:pPr>
        <w:rPr>
          <w:lang w:eastAsia="ja-JP"/>
        </w:rPr>
      </w:pPr>
      <w:r>
        <w:rPr>
          <w:lang w:eastAsia="ja-JP"/>
        </w:rPr>
        <w:t xml:space="preserve">Study </w:t>
      </w:r>
      <w:r w:rsidR="00287323">
        <w:rPr>
          <w:lang w:eastAsia="ja-JP"/>
        </w:rPr>
        <w:t xml:space="preserve">AC-053-367 </w:t>
      </w:r>
      <w:r>
        <w:rPr>
          <w:lang w:eastAsia="ja-JP"/>
        </w:rPr>
        <w:t>(</w:t>
      </w:r>
      <w:r w:rsidR="00287323">
        <w:rPr>
          <w:lang w:eastAsia="ja-JP"/>
        </w:rPr>
        <w:t>FUTURE-2</w:t>
      </w:r>
      <w:r>
        <w:rPr>
          <w:lang w:eastAsia="ja-JP"/>
        </w:rPr>
        <w:t>)</w:t>
      </w:r>
      <w:r w:rsidR="00287323">
        <w:rPr>
          <w:lang w:eastAsia="ja-JP"/>
        </w:rPr>
        <w:t xml:space="preserve"> was a m</w:t>
      </w:r>
      <w:r w:rsidR="00287323" w:rsidRPr="00E57FCB">
        <w:rPr>
          <w:lang w:eastAsia="ja-JP"/>
        </w:rPr>
        <w:t xml:space="preserve">ulticentre, multinational, </w:t>
      </w:r>
      <w:r w:rsidR="009C6335">
        <w:rPr>
          <w:lang w:eastAsia="ja-JP"/>
        </w:rPr>
        <w:t>open label</w:t>
      </w:r>
      <w:r w:rsidR="00287323" w:rsidRPr="00E57FCB">
        <w:rPr>
          <w:lang w:eastAsia="ja-JP"/>
        </w:rPr>
        <w:t>, non</w:t>
      </w:r>
      <w:r w:rsidR="009C6335">
        <w:rPr>
          <w:lang w:eastAsia="ja-JP"/>
        </w:rPr>
        <w:t xml:space="preserve"> </w:t>
      </w:r>
      <w:r w:rsidR="00287323" w:rsidRPr="00E57FCB">
        <w:rPr>
          <w:lang w:eastAsia="ja-JP"/>
        </w:rPr>
        <w:t>comparative,</w:t>
      </w:r>
      <w:r w:rsidR="00287323">
        <w:rPr>
          <w:lang w:eastAsia="ja-JP"/>
        </w:rPr>
        <w:t xml:space="preserve"> </w:t>
      </w:r>
      <w:r w:rsidR="00CF6063">
        <w:rPr>
          <w:lang w:eastAsia="ja-JP"/>
        </w:rPr>
        <w:t>Phase III</w:t>
      </w:r>
      <w:r w:rsidR="00287323">
        <w:rPr>
          <w:lang w:eastAsia="ja-JP"/>
        </w:rPr>
        <w:t xml:space="preserve"> extension </w:t>
      </w:r>
      <w:r w:rsidR="0066478A">
        <w:rPr>
          <w:lang w:eastAsia="ja-JP"/>
        </w:rPr>
        <w:t>study</w:t>
      </w:r>
      <w:r w:rsidR="00287323" w:rsidRPr="00E57FCB">
        <w:rPr>
          <w:lang w:eastAsia="ja-JP"/>
        </w:rPr>
        <w:t xml:space="preserve"> of a</w:t>
      </w:r>
      <w:r w:rsidR="00287323">
        <w:rPr>
          <w:lang w:eastAsia="ja-JP"/>
        </w:rPr>
        <w:t xml:space="preserve"> </w:t>
      </w:r>
      <w:r w:rsidR="009C6335">
        <w:rPr>
          <w:lang w:eastAsia="ja-JP"/>
        </w:rPr>
        <w:t xml:space="preserve">12 </w:t>
      </w:r>
      <w:r w:rsidR="00287323" w:rsidRPr="00E57FCB">
        <w:rPr>
          <w:lang w:eastAsia="ja-JP"/>
        </w:rPr>
        <w:t xml:space="preserve">week </w:t>
      </w:r>
      <w:r w:rsidR="009C6335">
        <w:rPr>
          <w:lang w:eastAsia="ja-JP"/>
        </w:rPr>
        <w:t xml:space="preserve">open label, single </w:t>
      </w:r>
      <w:r w:rsidR="00287323" w:rsidRPr="00E57FCB">
        <w:rPr>
          <w:lang w:eastAsia="ja-JP"/>
        </w:rPr>
        <w:t xml:space="preserve">arm </w:t>
      </w:r>
      <w:r w:rsidR="0066478A">
        <w:rPr>
          <w:lang w:eastAsia="ja-JP"/>
        </w:rPr>
        <w:t>study</w:t>
      </w:r>
      <w:r w:rsidR="00287323" w:rsidRPr="00E57FCB">
        <w:rPr>
          <w:lang w:eastAsia="ja-JP"/>
        </w:rPr>
        <w:t xml:space="preserve"> (</w:t>
      </w:r>
      <w:r w:rsidR="009C6335">
        <w:rPr>
          <w:lang w:eastAsia="ja-JP"/>
        </w:rPr>
        <w:t>FUTURE-1</w:t>
      </w:r>
      <w:r w:rsidR="00287323" w:rsidRPr="00E57FCB">
        <w:rPr>
          <w:lang w:eastAsia="ja-JP"/>
        </w:rPr>
        <w:t>).</w:t>
      </w:r>
    </w:p>
    <w:p w14:paraId="5E5380B5" w14:textId="77777777" w:rsidR="00287323" w:rsidRPr="00E57FCB" w:rsidRDefault="00287323" w:rsidP="00287323">
      <w:pPr>
        <w:rPr>
          <w:lang w:eastAsia="ja-JP"/>
        </w:rPr>
      </w:pPr>
      <w:r w:rsidRPr="00E57FCB">
        <w:rPr>
          <w:lang w:eastAsia="ja-JP"/>
        </w:rPr>
        <w:t xml:space="preserve">The primary objective was to assess the </w:t>
      </w:r>
      <w:r w:rsidR="007C6D8D">
        <w:rPr>
          <w:lang w:eastAsia="ja-JP"/>
        </w:rPr>
        <w:t>long term</w:t>
      </w:r>
      <w:r>
        <w:rPr>
          <w:lang w:eastAsia="ja-JP"/>
        </w:rPr>
        <w:t xml:space="preserve"> </w:t>
      </w:r>
      <w:r w:rsidRPr="00E57FCB">
        <w:rPr>
          <w:lang w:eastAsia="ja-JP"/>
        </w:rPr>
        <w:t>safety and tolerability of the paediatric formulation of</w:t>
      </w:r>
      <w:r>
        <w:rPr>
          <w:lang w:eastAsia="ja-JP"/>
        </w:rPr>
        <w:t xml:space="preserve"> </w:t>
      </w:r>
      <w:r w:rsidRPr="00E57FCB">
        <w:rPr>
          <w:lang w:eastAsia="ja-JP"/>
        </w:rPr>
        <w:t>bosentan in children with idiopathic or familial PAH.</w:t>
      </w:r>
    </w:p>
    <w:p w14:paraId="447D84E8" w14:textId="77777777" w:rsidR="00287323" w:rsidRDefault="00287323" w:rsidP="00287323">
      <w:pPr>
        <w:rPr>
          <w:lang w:eastAsia="ja-JP"/>
        </w:rPr>
      </w:pPr>
      <w:r w:rsidRPr="00E57FCB">
        <w:rPr>
          <w:lang w:eastAsia="ja-JP"/>
        </w:rPr>
        <w:t>Secondary objectives included an exploratory</w:t>
      </w:r>
      <w:r>
        <w:rPr>
          <w:lang w:eastAsia="ja-JP"/>
        </w:rPr>
        <w:t xml:space="preserve"> </w:t>
      </w:r>
      <w:r w:rsidRPr="00E57FCB">
        <w:rPr>
          <w:lang w:eastAsia="ja-JP"/>
        </w:rPr>
        <w:t xml:space="preserve">evaluation of functional capacity, </w:t>
      </w:r>
      <w:r>
        <w:rPr>
          <w:lang w:eastAsia="ja-JP"/>
        </w:rPr>
        <w:t>QoL</w:t>
      </w:r>
      <w:r w:rsidRPr="00E57FCB">
        <w:rPr>
          <w:lang w:eastAsia="ja-JP"/>
        </w:rPr>
        <w:t>,</w:t>
      </w:r>
      <w:r>
        <w:rPr>
          <w:lang w:eastAsia="ja-JP"/>
        </w:rPr>
        <w:t xml:space="preserve"> </w:t>
      </w:r>
      <w:r w:rsidRPr="00E57FCB">
        <w:rPr>
          <w:lang w:eastAsia="ja-JP"/>
        </w:rPr>
        <w:t>physicians</w:t>
      </w:r>
      <w:r>
        <w:rPr>
          <w:lang w:val="en-US" w:eastAsia="ja-JP"/>
        </w:rPr>
        <w:t>’</w:t>
      </w:r>
      <w:r w:rsidRPr="00E57FCB">
        <w:rPr>
          <w:lang w:eastAsia="ja-JP"/>
        </w:rPr>
        <w:t xml:space="preserve"> and parents</w:t>
      </w:r>
      <w:r>
        <w:rPr>
          <w:lang w:val="en-US" w:eastAsia="ja-JP"/>
        </w:rPr>
        <w:t>’</w:t>
      </w:r>
      <w:r w:rsidRPr="00E57FCB">
        <w:rPr>
          <w:lang w:eastAsia="ja-JP"/>
        </w:rPr>
        <w:t xml:space="preserve"> </w:t>
      </w:r>
      <w:r>
        <w:rPr>
          <w:lang w:eastAsia="ja-JP"/>
        </w:rPr>
        <w:t>GCIS</w:t>
      </w:r>
      <w:r w:rsidRPr="00E57FCB">
        <w:rPr>
          <w:lang w:eastAsia="ja-JP"/>
        </w:rPr>
        <w:t>, time to PAH worsening, time to initiation of new</w:t>
      </w:r>
      <w:r>
        <w:rPr>
          <w:lang w:eastAsia="ja-JP"/>
        </w:rPr>
        <w:t xml:space="preserve"> </w:t>
      </w:r>
      <w:r w:rsidRPr="00E57FCB">
        <w:rPr>
          <w:lang w:eastAsia="ja-JP"/>
        </w:rPr>
        <w:t>therapy for PAH and time to new onset or worsening of</w:t>
      </w:r>
      <w:r>
        <w:rPr>
          <w:lang w:eastAsia="ja-JP"/>
        </w:rPr>
        <w:t xml:space="preserve"> </w:t>
      </w:r>
      <w:r w:rsidRPr="00E57FCB">
        <w:rPr>
          <w:lang w:eastAsia="ja-JP"/>
        </w:rPr>
        <w:t>right heart failure. Another objective was to assess</w:t>
      </w:r>
      <w:r>
        <w:rPr>
          <w:lang w:eastAsia="ja-JP"/>
        </w:rPr>
        <w:t xml:space="preserve"> </w:t>
      </w:r>
      <w:r w:rsidR="007C6D8D">
        <w:rPr>
          <w:lang w:eastAsia="ja-JP"/>
        </w:rPr>
        <w:t>long term</w:t>
      </w:r>
      <w:r w:rsidRPr="00E57FCB">
        <w:rPr>
          <w:lang w:eastAsia="ja-JP"/>
        </w:rPr>
        <w:t xml:space="preserve"> vital status.</w:t>
      </w:r>
    </w:p>
    <w:p w14:paraId="1E609A5D" w14:textId="735C4A90" w:rsidR="00287323" w:rsidRDefault="00287323" w:rsidP="00287323">
      <w:pPr>
        <w:pStyle w:val="FigureTitle"/>
        <w:rPr>
          <w:lang w:eastAsia="ja-JP"/>
        </w:rPr>
      </w:pPr>
      <w:bookmarkStart w:id="293" w:name="_Toc473884173"/>
      <w:r w:rsidRPr="008806DA">
        <w:lastRenderedPageBreak/>
        <w:t xml:space="preserve">Figure </w:t>
      </w:r>
      <w:r w:rsidR="008806DA" w:rsidRPr="008806DA">
        <w:t>22</w:t>
      </w:r>
      <w:r w:rsidR="008806DA">
        <w:t>:</w:t>
      </w:r>
      <w:r>
        <w:t xml:space="preserve"> </w:t>
      </w:r>
      <w:r w:rsidR="00FD349C">
        <w:t xml:space="preserve">Study </w:t>
      </w:r>
      <w:r w:rsidRPr="000A69BE">
        <w:t>AC-</w:t>
      </w:r>
      <w:r>
        <w:t xml:space="preserve">053-367 </w:t>
      </w:r>
      <w:r w:rsidR="00FD349C">
        <w:t>(</w:t>
      </w:r>
      <w:r>
        <w:t>FUTURE-2</w:t>
      </w:r>
      <w:r w:rsidR="00FD349C">
        <w:t>)</w:t>
      </w:r>
      <w:r>
        <w:t xml:space="preserve"> design</w:t>
      </w:r>
      <w:bookmarkEnd w:id="293"/>
    </w:p>
    <w:p w14:paraId="7B0EB2B4" w14:textId="77777777" w:rsidR="00C22678" w:rsidRDefault="00287323" w:rsidP="00287323">
      <w:pPr>
        <w:rPr>
          <w:lang w:eastAsia="ja-JP"/>
        </w:rPr>
      </w:pPr>
      <w:r>
        <w:rPr>
          <w:noProof/>
          <w:lang w:eastAsia="en-AU"/>
        </w:rPr>
        <w:drawing>
          <wp:inline distT="0" distB="0" distL="0" distR="0" wp14:anchorId="27310916" wp14:editId="1F3667FC">
            <wp:extent cx="5181600" cy="2362200"/>
            <wp:effectExtent l="0" t="0" r="0" b="0"/>
            <wp:docPr id="64" name="Picture 64" descr="Figure 22: AC-053-367 FUTURE-2 Study design&#10;those in Study AC-052-365/ FUTURE 1 on a maintenance dose of  4 mg/kg bosentan were shifted onto a down tritration dose of 2 mg/kg bosentan after treatemnt end after 28 days there was a follow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181600" cy="2362200"/>
                    </a:xfrm>
                    <a:prstGeom prst="rect">
                      <a:avLst/>
                    </a:prstGeom>
                  </pic:spPr>
                </pic:pic>
              </a:graphicData>
            </a:graphic>
          </wp:inline>
        </w:drawing>
      </w:r>
    </w:p>
    <w:p w14:paraId="7DEAAA2F" w14:textId="77777777" w:rsidR="00287323" w:rsidRPr="00287323" w:rsidRDefault="00287323" w:rsidP="00287323">
      <w:pPr>
        <w:pStyle w:val="Heading5"/>
      </w:pPr>
      <w:r w:rsidRPr="00287323">
        <w:t>Inclusion and exclusion criteria</w:t>
      </w:r>
    </w:p>
    <w:p w14:paraId="2E8FC496" w14:textId="1512CB5C" w:rsidR="00287323" w:rsidRDefault="00287323" w:rsidP="00287323">
      <w:pPr>
        <w:rPr>
          <w:lang w:eastAsia="ja-JP"/>
        </w:rPr>
      </w:pPr>
      <w:r>
        <w:rPr>
          <w:lang w:eastAsia="ja-JP"/>
        </w:rPr>
        <w:t xml:space="preserve">The inclusion and exclusion criteria for the FUTURE-1 </w:t>
      </w:r>
      <w:r w:rsidR="00E77015">
        <w:rPr>
          <w:lang w:eastAsia="ja-JP"/>
        </w:rPr>
        <w:t>Study</w:t>
      </w:r>
      <w:r>
        <w:rPr>
          <w:lang w:eastAsia="ja-JP"/>
        </w:rPr>
        <w:t xml:space="preserve"> </w:t>
      </w:r>
      <w:r w:rsidR="009C6335">
        <w:rPr>
          <w:lang w:eastAsia="ja-JP"/>
        </w:rPr>
        <w:t>were provided</w:t>
      </w:r>
      <w:r>
        <w:rPr>
          <w:lang w:eastAsia="ja-JP"/>
        </w:rPr>
        <w:t>.</w:t>
      </w:r>
    </w:p>
    <w:p w14:paraId="5C757D8A" w14:textId="77777777" w:rsidR="00287323" w:rsidRPr="00287323" w:rsidRDefault="00287323" w:rsidP="00287323">
      <w:pPr>
        <w:pStyle w:val="Heading5"/>
      </w:pPr>
      <w:r w:rsidRPr="00287323">
        <w:t>Study treatments</w:t>
      </w:r>
    </w:p>
    <w:p w14:paraId="225E092D" w14:textId="77777777" w:rsidR="007C6D8D" w:rsidRDefault="00287323" w:rsidP="00287323">
      <w:pPr>
        <w:rPr>
          <w:lang w:eastAsia="ja-JP"/>
        </w:rPr>
      </w:pPr>
      <w:r>
        <w:rPr>
          <w:lang w:eastAsia="ja-JP"/>
        </w:rPr>
        <w:t xml:space="preserve">All patients received a paediatric oral formulation of bosentan. The </w:t>
      </w:r>
      <w:r w:rsidR="0066478A">
        <w:rPr>
          <w:lang w:eastAsia="ja-JP"/>
        </w:rPr>
        <w:t>study</w:t>
      </w:r>
      <w:r>
        <w:rPr>
          <w:lang w:eastAsia="ja-JP"/>
        </w:rPr>
        <w:t xml:space="preserve"> drug was to be administered orally, irrespective of meals, and dispersed in a teaspoon of water before being administered (not mixed with food). It was to be taken in t</w:t>
      </w:r>
      <w:r w:rsidR="009C6335">
        <w:rPr>
          <w:lang w:eastAsia="ja-JP"/>
        </w:rPr>
        <w:t>he morning and approximately 12 </w:t>
      </w:r>
      <w:r>
        <w:rPr>
          <w:lang w:eastAsia="ja-JP"/>
        </w:rPr>
        <w:t>hours later in the evening</w:t>
      </w:r>
      <w:r w:rsidR="007C6D8D">
        <w:rPr>
          <w:lang w:eastAsia="ja-JP"/>
        </w:rPr>
        <w:t>.</w:t>
      </w:r>
    </w:p>
    <w:p w14:paraId="0C92C85C" w14:textId="77777777" w:rsidR="00287323" w:rsidRDefault="00287323" w:rsidP="00287323">
      <w:pPr>
        <w:rPr>
          <w:lang w:eastAsia="ja-JP"/>
        </w:rPr>
      </w:pPr>
      <w:r w:rsidRPr="00486629">
        <w:rPr>
          <w:lang w:eastAsia="ja-JP"/>
        </w:rPr>
        <w:t>The treat</w:t>
      </w:r>
      <w:r>
        <w:rPr>
          <w:lang w:eastAsia="ja-JP"/>
        </w:rPr>
        <w:t>ment dose of bosentan in FUTURE-</w:t>
      </w:r>
      <w:r w:rsidRPr="00486629">
        <w:rPr>
          <w:lang w:eastAsia="ja-JP"/>
        </w:rPr>
        <w:t xml:space="preserve">2 was to be 4 mg/kg </w:t>
      </w:r>
      <w:r w:rsidR="007C6D8D">
        <w:rPr>
          <w:lang w:eastAsia="ja-JP"/>
        </w:rPr>
        <w:t>BD</w:t>
      </w:r>
      <w:r w:rsidRPr="00486629">
        <w:rPr>
          <w:lang w:eastAsia="ja-JP"/>
        </w:rPr>
        <w:t xml:space="preserve"> until the end of the</w:t>
      </w:r>
      <w:r>
        <w:rPr>
          <w:lang w:eastAsia="ja-JP"/>
        </w:rPr>
        <w:t xml:space="preserve"> </w:t>
      </w:r>
      <w:r w:rsidR="0066478A">
        <w:rPr>
          <w:lang w:eastAsia="ja-JP"/>
        </w:rPr>
        <w:t>study</w:t>
      </w:r>
      <w:r w:rsidRPr="00486629">
        <w:rPr>
          <w:lang w:eastAsia="ja-JP"/>
        </w:rPr>
        <w:t>. If this dose was not well tolerated, it could be</w:t>
      </w:r>
      <w:r>
        <w:rPr>
          <w:lang w:eastAsia="ja-JP"/>
        </w:rPr>
        <w:t xml:space="preserve"> down-titrated to 2 mg/kg </w:t>
      </w:r>
      <w:r w:rsidR="007C6D8D">
        <w:rPr>
          <w:lang w:eastAsia="ja-JP"/>
        </w:rPr>
        <w:t>BD</w:t>
      </w:r>
      <w:r>
        <w:rPr>
          <w:lang w:eastAsia="ja-JP"/>
        </w:rPr>
        <w:t xml:space="preserve">. </w:t>
      </w:r>
      <w:r w:rsidR="009C6335">
        <w:rPr>
          <w:lang w:eastAsia="ja-JP"/>
        </w:rPr>
        <w:t>Patients weighing 30 </w:t>
      </w:r>
      <w:r w:rsidRPr="00486629">
        <w:rPr>
          <w:lang w:eastAsia="ja-JP"/>
        </w:rPr>
        <w:t xml:space="preserve">kg or over were to receive a maximum dose of 120 mg </w:t>
      </w:r>
      <w:r w:rsidR="007C6D8D">
        <w:rPr>
          <w:lang w:eastAsia="ja-JP"/>
        </w:rPr>
        <w:t>BD</w:t>
      </w:r>
      <w:r w:rsidRPr="00486629">
        <w:rPr>
          <w:lang w:eastAsia="ja-JP"/>
        </w:rPr>
        <w:t xml:space="preserve"> and a</w:t>
      </w:r>
      <w:r>
        <w:rPr>
          <w:lang w:eastAsia="ja-JP"/>
        </w:rPr>
        <w:t xml:space="preserve"> </w:t>
      </w:r>
      <w:r w:rsidRPr="00486629">
        <w:rPr>
          <w:lang w:eastAsia="ja-JP"/>
        </w:rPr>
        <w:t xml:space="preserve">maximum of 64 mg </w:t>
      </w:r>
      <w:r w:rsidR="007C6D8D">
        <w:rPr>
          <w:lang w:eastAsia="ja-JP"/>
        </w:rPr>
        <w:t>BD</w:t>
      </w:r>
      <w:r w:rsidR="009C6335">
        <w:rPr>
          <w:lang w:eastAsia="ja-JP"/>
        </w:rPr>
        <w:t xml:space="preserve"> if down </w:t>
      </w:r>
      <w:r w:rsidRPr="00486629">
        <w:rPr>
          <w:lang w:eastAsia="ja-JP"/>
        </w:rPr>
        <w:t>titration was necessary.</w:t>
      </w:r>
    </w:p>
    <w:p w14:paraId="761D300F" w14:textId="77777777" w:rsidR="00287323" w:rsidRPr="00287323" w:rsidRDefault="00287323" w:rsidP="00287323">
      <w:pPr>
        <w:pStyle w:val="Heading5"/>
      </w:pPr>
      <w:r w:rsidRPr="00287323">
        <w:t>Safety variables and outcomes</w:t>
      </w:r>
    </w:p>
    <w:p w14:paraId="58C9A9F5" w14:textId="77777777" w:rsidR="00287323" w:rsidRDefault="00287323" w:rsidP="00287323">
      <w:pPr>
        <w:rPr>
          <w:lang w:eastAsia="ja-JP"/>
        </w:rPr>
      </w:pPr>
      <w:r>
        <w:rPr>
          <w:lang w:eastAsia="ja-JP"/>
        </w:rPr>
        <w:t>The tolerability and safety endpoints were:</w:t>
      </w:r>
    </w:p>
    <w:p w14:paraId="4B89F53E" w14:textId="77777777" w:rsidR="00287323" w:rsidRDefault="00287323" w:rsidP="00287323">
      <w:pPr>
        <w:pStyle w:val="ListBullet"/>
        <w:rPr>
          <w:lang w:eastAsia="ja-JP"/>
        </w:rPr>
      </w:pPr>
      <w:r>
        <w:rPr>
          <w:lang w:eastAsia="ja-JP"/>
        </w:rPr>
        <w:t xml:space="preserve">TEAEs up to 1 day after permanent discontinuation of </w:t>
      </w:r>
      <w:r w:rsidR="0066478A">
        <w:rPr>
          <w:lang w:eastAsia="ja-JP"/>
        </w:rPr>
        <w:t>study</w:t>
      </w:r>
      <w:r>
        <w:rPr>
          <w:lang w:eastAsia="ja-JP"/>
        </w:rPr>
        <w:t xml:space="preserve"> drug</w:t>
      </w:r>
    </w:p>
    <w:p w14:paraId="0692322E" w14:textId="77777777" w:rsidR="00287323" w:rsidRDefault="00287323" w:rsidP="00287323">
      <w:pPr>
        <w:pStyle w:val="ListBullet"/>
        <w:rPr>
          <w:lang w:eastAsia="ja-JP"/>
        </w:rPr>
      </w:pPr>
      <w:r>
        <w:rPr>
          <w:lang w:eastAsia="ja-JP"/>
        </w:rPr>
        <w:t xml:space="preserve">AEs leading to premature discontinuation of </w:t>
      </w:r>
      <w:r w:rsidR="0066478A">
        <w:rPr>
          <w:lang w:eastAsia="ja-JP"/>
        </w:rPr>
        <w:t>study</w:t>
      </w:r>
      <w:r>
        <w:rPr>
          <w:lang w:eastAsia="ja-JP"/>
        </w:rPr>
        <w:t xml:space="preserve"> drug</w:t>
      </w:r>
    </w:p>
    <w:p w14:paraId="319BBC58" w14:textId="77777777" w:rsidR="00287323" w:rsidRDefault="00287323" w:rsidP="00287323">
      <w:pPr>
        <w:pStyle w:val="ListBullet"/>
        <w:rPr>
          <w:lang w:eastAsia="ja-JP"/>
        </w:rPr>
      </w:pPr>
      <w:r>
        <w:rPr>
          <w:lang w:eastAsia="ja-JP"/>
        </w:rPr>
        <w:t xml:space="preserve">SAEs up to 28 days after permanent discontinuation of </w:t>
      </w:r>
      <w:r w:rsidR="0066478A">
        <w:rPr>
          <w:lang w:eastAsia="ja-JP"/>
        </w:rPr>
        <w:t>study</w:t>
      </w:r>
      <w:r>
        <w:rPr>
          <w:lang w:eastAsia="ja-JP"/>
        </w:rPr>
        <w:t xml:space="preserve"> drug</w:t>
      </w:r>
    </w:p>
    <w:p w14:paraId="3E954732" w14:textId="77777777" w:rsidR="00287323" w:rsidRDefault="00287323" w:rsidP="00287323">
      <w:pPr>
        <w:pStyle w:val="ListBullet"/>
        <w:rPr>
          <w:lang w:eastAsia="ja-JP"/>
        </w:rPr>
      </w:pPr>
      <w:r>
        <w:rPr>
          <w:lang w:eastAsia="ja-JP"/>
        </w:rPr>
        <w:t xml:space="preserve">Changes from baseline to </w:t>
      </w:r>
      <w:r w:rsidR="0066478A">
        <w:rPr>
          <w:lang w:eastAsia="ja-JP"/>
        </w:rPr>
        <w:t>study</w:t>
      </w:r>
      <w:r>
        <w:rPr>
          <w:lang w:eastAsia="ja-JP"/>
        </w:rPr>
        <w:t xml:space="preserve"> end in vital signs, body weight, and height</w:t>
      </w:r>
    </w:p>
    <w:p w14:paraId="7FD93116" w14:textId="77777777" w:rsidR="00287323" w:rsidRDefault="00A5161C" w:rsidP="00287323">
      <w:pPr>
        <w:pStyle w:val="ListBullet"/>
        <w:rPr>
          <w:lang w:eastAsia="ja-JP"/>
        </w:rPr>
      </w:pPr>
      <w:r>
        <w:rPr>
          <w:lang w:eastAsia="ja-JP"/>
        </w:rPr>
        <w:t>Treatment emergent</w:t>
      </w:r>
      <w:r w:rsidR="00287323">
        <w:rPr>
          <w:lang w:eastAsia="ja-JP"/>
        </w:rPr>
        <w:t xml:space="preserve"> marked laboratory abnormalities</w:t>
      </w:r>
    </w:p>
    <w:p w14:paraId="4A3D16B9" w14:textId="77777777" w:rsidR="00287323" w:rsidRDefault="00287323" w:rsidP="00287323">
      <w:r>
        <w:t>All efficacy analyses were exploratory.</w:t>
      </w:r>
    </w:p>
    <w:p w14:paraId="249D8941" w14:textId="77777777" w:rsidR="00287323" w:rsidRDefault="00287323" w:rsidP="00287323">
      <w:pPr>
        <w:pStyle w:val="ListBullet"/>
      </w:pPr>
      <w:r>
        <w:t xml:space="preserve">Change from baseline in </w:t>
      </w:r>
      <w:r w:rsidR="009C6335">
        <w:t>FUTURE-1</w:t>
      </w:r>
      <w:r>
        <w:t xml:space="preserve"> to </w:t>
      </w:r>
      <w:r w:rsidR="0066478A">
        <w:t>study</w:t>
      </w:r>
      <w:r>
        <w:t xml:space="preserve"> end or premature </w:t>
      </w:r>
      <w:r w:rsidR="0066478A">
        <w:t>study</w:t>
      </w:r>
      <w:r>
        <w:t xml:space="preserve"> drug discontinuation (</w:t>
      </w:r>
      <w:r w:rsidR="009C6335">
        <w:t>FUTURE-1</w:t>
      </w:r>
      <w:r>
        <w:t xml:space="preserve"> or </w:t>
      </w:r>
      <w:r w:rsidR="009C6335">
        <w:t>FUTURE-2</w:t>
      </w:r>
      <w:r>
        <w:t>) in:</w:t>
      </w:r>
    </w:p>
    <w:p w14:paraId="4AA7587B" w14:textId="77777777" w:rsidR="00287323" w:rsidRDefault="00287323" w:rsidP="00287323">
      <w:pPr>
        <w:pStyle w:val="ListBullet2"/>
      </w:pPr>
      <w:r>
        <w:t>WHO FC</w:t>
      </w:r>
    </w:p>
    <w:p w14:paraId="10FA46AC" w14:textId="77777777" w:rsidR="00287323" w:rsidRDefault="00287323" w:rsidP="00287323">
      <w:pPr>
        <w:pStyle w:val="ListBullet2"/>
      </w:pPr>
      <w:r>
        <w:t>QoL questionnaire score (SF-10 for children)</w:t>
      </w:r>
    </w:p>
    <w:p w14:paraId="6C75DBBF" w14:textId="77777777" w:rsidR="00287323" w:rsidRDefault="00287323" w:rsidP="00287323">
      <w:pPr>
        <w:pStyle w:val="ListBullet2"/>
      </w:pPr>
      <w:r>
        <w:t>GCIS according to the parents/legal representatives</w:t>
      </w:r>
    </w:p>
    <w:p w14:paraId="007C0F20" w14:textId="77777777" w:rsidR="00287323" w:rsidRDefault="00287323" w:rsidP="00287323">
      <w:pPr>
        <w:pStyle w:val="ListBullet2"/>
      </w:pPr>
      <w:r>
        <w:t>GCIS according to the physician</w:t>
      </w:r>
    </w:p>
    <w:p w14:paraId="325CDEEC" w14:textId="77777777" w:rsidR="00287323" w:rsidRDefault="00287323" w:rsidP="00287323">
      <w:pPr>
        <w:pStyle w:val="ListBullet"/>
      </w:pPr>
      <w:r>
        <w:t xml:space="preserve">Time to worsening of PAH, defined as the first occurrence of death, transplantation, or hospitalisation for PAH worsening (from baseline in </w:t>
      </w:r>
      <w:r w:rsidR="009C6335">
        <w:t>FUTURE-1</w:t>
      </w:r>
      <w:r>
        <w:t>).</w:t>
      </w:r>
    </w:p>
    <w:p w14:paraId="2FE0C23A" w14:textId="77777777" w:rsidR="007C6D8D" w:rsidRDefault="00287323" w:rsidP="00287323">
      <w:pPr>
        <w:pStyle w:val="ListBullet"/>
      </w:pPr>
      <w:r>
        <w:lastRenderedPageBreak/>
        <w:t xml:space="preserve">Time to first occurrence of worsening of PAH, or initiation of new therapy for PAH, or new right heart failure, or worsening of right heart failure (from baseline in </w:t>
      </w:r>
      <w:r w:rsidR="009C6335">
        <w:t>FUTURE-1</w:t>
      </w:r>
      <w:r>
        <w:t>)</w:t>
      </w:r>
      <w:r w:rsidR="007C6D8D">
        <w:t>.</w:t>
      </w:r>
    </w:p>
    <w:p w14:paraId="5C87FCC7" w14:textId="77777777" w:rsidR="00287323" w:rsidRPr="00287323" w:rsidRDefault="00287323" w:rsidP="00287323">
      <w:pPr>
        <w:pStyle w:val="Heading5"/>
      </w:pPr>
      <w:r w:rsidRPr="00287323">
        <w:t>Randomisation and blinding methods</w:t>
      </w:r>
    </w:p>
    <w:p w14:paraId="67F94E59" w14:textId="0D103635" w:rsidR="00287323" w:rsidRDefault="00287323" w:rsidP="00287323">
      <w:pPr>
        <w:rPr>
          <w:lang w:eastAsia="ja-JP"/>
        </w:rPr>
      </w:pPr>
      <w:r>
        <w:rPr>
          <w:lang w:eastAsia="ja-JP"/>
        </w:rPr>
        <w:t xml:space="preserve">The </w:t>
      </w:r>
      <w:r w:rsidR="0066478A">
        <w:rPr>
          <w:lang w:eastAsia="ja-JP"/>
        </w:rPr>
        <w:t>study</w:t>
      </w:r>
      <w:r>
        <w:rPr>
          <w:lang w:eastAsia="ja-JP"/>
        </w:rPr>
        <w:t xml:space="preserve"> was an extension of the FUTURE-1 </w:t>
      </w:r>
      <w:r w:rsidR="00E77015">
        <w:rPr>
          <w:lang w:eastAsia="ja-JP"/>
        </w:rPr>
        <w:t>Study</w:t>
      </w:r>
      <w:r>
        <w:rPr>
          <w:lang w:eastAsia="ja-JP"/>
        </w:rPr>
        <w:t xml:space="preserve"> and had an </w:t>
      </w:r>
      <w:r w:rsidR="009C6335">
        <w:rPr>
          <w:lang w:eastAsia="ja-JP"/>
        </w:rPr>
        <w:t>open label</w:t>
      </w:r>
      <w:r>
        <w:rPr>
          <w:lang w:eastAsia="ja-JP"/>
        </w:rPr>
        <w:t xml:space="preserve"> design. All patients received the </w:t>
      </w:r>
      <w:r w:rsidR="0066478A">
        <w:rPr>
          <w:lang w:eastAsia="ja-JP"/>
        </w:rPr>
        <w:t>study</w:t>
      </w:r>
      <w:r>
        <w:rPr>
          <w:lang w:eastAsia="ja-JP"/>
        </w:rPr>
        <w:t xml:space="preserve"> drug bosentan.</w:t>
      </w:r>
    </w:p>
    <w:p w14:paraId="623F8BA4" w14:textId="77777777" w:rsidR="00287323" w:rsidRPr="00287323" w:rsidRDefault="00287323" w:rsidP="00287323">
      <w:pPr>
        <w:pStyle w:val="Heading5"/>
      </w:pPr>
      <w:r w:rsidRPr="00287323">
        <w:t>Analysis populations</w:t>
      </w:r>
    </w:p>
    <w:p w14:paraId="3ADCEE37" w14:textId="2F256E81" w:rsidR="007C6D8D" w:rsidRDefault="00287323" w:rsidP="00287323">
      <w:pPr>
        <w:rPr>
          <w:lang w:eastAsia="ja-JP"/>
        </w:rPr>
      </w:pPr>
      <w:r>
        <w:rPr>
          <w:lang w:eastAsia="ja-JP"/>
        </w:rPr>
        <w:t>The statistical plan included an</w:t>
      </w:r>
      <w:r w:rsidR="009C6335">
        <w:rPr>
          <w:lang w:eastAsia="ja-JP"/>
        </w:rPr>
        <w:t xml:space="preserve"> ‘All enrolled’ set and an ‘All </w:t>
      </w:r>
      <w:r>
        <w:rPr>
          <w:lang w:eastAsia="ja-JP"/>
        </w:rPr>
        <w:t xml:space="preserve">treated’ set comprised of all subjects included in the equivalent sets from FUTURE-1. Patients were also classified according to the presence or absence of bosentan intake prior to the date the </w:t>
      </w:r>
      <w:r w:rsidR="0066478A">
        <w:rPr>
          <w:lang w:eastAsia="ja-JP"/>
        </w:rPr>
        <w:t>study</w:t>
      </w:r>
      <w:r>
        <w:rPr>
          <w:lang w:eastAsia="ja-JP"/>
        </w:rPr>
        <w:t xml:space="preserve"> drug was started in FUTURE</w:t>
      </w:r>
      <w:r w:rsidR="00F35FCD">
        <w:rPr>
          <w:lang w:eastAsia="ja-JP"/>
        </w:rPr>
        <w:noBreakHyphen/>
      </w:r>
      <w:r>
        <w:rPr>
          <w:lang w:eastAsia="ja-JP"/>
        </w:rPr>
        <w:t>1 (‘previous bosentan’ and ‘bosentan naïve’ respectively)</w:t>
      </w:r>
      <w:r w:rsidR="007C6D8D">
        <w:rPr>
          <w:lang w:eastAsia="ja-JP"/>
        </w:rPr>
        <w:t>.</w:t>
      </w:r>
    </w:p>
    <w:p w14:paraId="48AB9370" w14:textId="77777777" w:rsidR="00287323" w:rsidRPr="00287323" w:rsidRDefault="00287323" w:rsidP="00287323">
      <w:pPr>
        <w:pStyle w:val="Heading5"/>
      </w:pPr>
      <w:r w:rsidRPr="00287323" w:rsidDel="0081373E">
        <w:t>Sample size</w:t>
      </w:r>
    </w:p>
    <w:p w14:paraId="79441942" w14:textId="73A511D0" w:rsidR="00287323" w:rsidRDefault="00287323" w:rsidP="00287323">
      <w:pPr>
        <w:rPr>
          <w:lang w:eastAsia="ja-JP"/>
        </w:rPr>
      </w:pPr>
      <w:r w:rsidRPr="00081B85">
        <w:rPr>
          <w:lang w:eastAsia="ja-JP"/>
        </w:rPr>
        <w:t>No formal sample size calculation was performed. As this was an extension of the</w:t>
      </w:r>
      <w:r>
        <w:rPr>
          <w:lang w:eastAsia="ja-JP"/>
        </w:rPr>
        <w:t xml:space="preserve"> </w:t>
      </w:r>
      <w:r w:rsidR="009C6335">
        <w:rPr>
          <w:lang w:eastAsia="ja-JP"/>
        </w:rPr>
        <w:t>FUTURE-</w:t>
      </w:r>
      <w:r w:rsidRPr="00081B85">
        <w:rPr>
          <w:lang w:eastAsia="ja-JP"/>
        </w:rPr>
        <w:t xml:space="preserve">1 </w:t>
      </w:r>
      <w:r w:rsidR="00E77015">
        <w:rPr>
          <w:lang w:eastAsia="ja-JP"/>
        </w:rPr>
        <w:t>Study</w:t>
      </w:r>
      <w:r w:rsidRPr="00081B85">
        <w:rPr>
          <w:lang w:eastAsia="ja-JP"/>
        </w:rPr>
        <w:t>, sample size coul</w:t>
      </w:r>
      <w:r w:rsidR="009C6335">
        <w:rPr>
          <w:lang w:eastAsia="ja-JP"/>
        </w:rPr>
        <w:t>d not exceed that of the FUTURE-</w:t>
      </w:r>
      <w:r w:rsidRPr="00081B85">
        <w:rPr>
          <w:lang w:eastAsia="ja-JP"/>
        </w:rPr>
        <w:t xml:space="preserve">1 </w:t>
      </w:r>
      <w:r w:rsidR="00E77015">
        <w:rPr>
          <w:lang w:eastAsia="ja-JP"/>
        </w:rPr>
        <w:t>Study</w:t>
      </w:r>
      <w:r w:rsidRPr="00081B85">
        <w:rPr>
          <w:lang w:eastAsia="ja-JP"/>
        </w:rPr>
        <w:t>.</w:t>
      </w:r>
      <w:r>
        <w:rPr>
          <w:lang w:eastAsia="ja-JP"/>
        </w:rPr>
        <w:t xml:space="preserve"> Out of the</w:t>
      </w:r>
      <w:r w:rsidR="009C6335">
        <w:rPr>
          <w:lang w:eastAsia="ja-JP"/>
        </w:rPr>
        <w:t xml:space="preserve"> 36 patients enrolled in FUTURE-</w:t>
      </w:r>
      <w:r>
        <w:rPr>
          <w:lang w:eastAsia="ja-JP"/>
        </w:rPr>
        <w:t xml:space="preserve">1 (15 with previous bosentan exposure, 21 </w:t>
      </w:r>
      <w:r w:rsidR="009C6335">
        <w:rPr>
          <w:lang w:eastAsia="ja-JP"/>
        </w:rPr>
        <w:t>bosentan naïve</w:t>
      </w:r>
      <w:r>
        <w:rPr>
          <w:lang w:eastAsia="ja-JP"/>
        </w:rPr>
        <w:t xml:space="preserve">), 34 completed the </w:t>
      </w:r>
      <w:r w:rsidR="0066478A">
        <w:rPr>
          <w:lang w:eastAsia="ja-JP"/>
        </w:rPr>
        <w:t>study</w:t>
      </w:r>
      <w:r>
        <w:rPr>
          <w:lang w:eastAsia="ja-JP"/>
        </w:rPr>
        <w:t xml:space="preserve"> and 33 were enrolled in </w:t>
      </w:r>
      <w:r w:rsidR="009C6335">
        <w:rPr>
          <w:lang w:eastAsia="ja-JP"/>
        </w:rPr>
        <w:t>FUTURE-2</w:t>
      </w:r>
      <w:r>
        <w:rPr>
          <w:lang w:eastAsia="ja-JP"/>
        </w:rPr>
        <w:t>.</w:t>
      </w:r>
    </w:p>
    <w:p w14:paraId="4489F68E" w14:textId="77777777" w:rsidR="00287323" w:rsidRPr="00287323" w:rsidRDefault="00287323" w:rsidP="00287323">
      <w:pPr>
        <w:pStyle w:val="Heading5"/>
      </w:pPr>
      <w:r w:rsidRPr="00287323">
        <w:t>Statistical methods</w:t>
      </w:r>
    </w:p>
    <w:p w14:paraId="7BC48FE8" w14:textId="32ECAD49" w:rsidR="007C6D8D" w:rsidRDefault="00287323" w:rsidP="00287323">
      <w:pPr>
        <w:rPr>
          <w:lang w:eastAsia="ja-JP"/>
        </w:rPr>
      </w:pPr>
      <w:r>
        <w:rPr>
          <w:lang w:eastAsia="ja-JP"/>
        </w:rPr>
        <w:t xml:space="preserve">All the analyses were done considering the pooled data of </w:t>
      </w:r>
      <w:r w:rsidR="009C6335">
        <w:rPr>
          <w:lang w:eastAsia="ja-JP"/>
        </w:rPr>
        <w:t>FUTURE-</w:t>
      </w:r>
      <w:r>
        <w:rPr>
          <w:lang w:eastAsia="ja-JP"/>
        </w:rPr>
        <w:t xml:space="preserve">1 and </w:t>
      </w:r>
      <w:r w:rsidR="009C6335">
        <w:rPr>
          <w:lang w:eastAsia="ja-JP"/>
        </w:rPr>
        <w:t>FUTURE-2</w:t>
      </w:r>
      <w:r>
        <w:rPr>
          <w:lang w:eastAsia="ja-JP"/>
        </w:rPr>
        <w:t xml:space="preserve">. No formal hypothesis was set for this </w:t>
      </w:r>
      <w:r w:rsidR="009C6335">
        <w:rPr>
          <w:lang w:eastAsia="ja-JP"/>
        </w:rPr>
        <w:t>open label</w:t>
      </w:r>
      <w:r>
        <w:rPr>
          <w:lang w:eastAsia="ja-JP"/>
        </w:rPr>
        <w:t xml:space="preserve">, single arm extension </w:t>
      </w:r>
      <w:r w:rsidR="0066478A">
        <w:rPr>
          <w:lang w:eastAsia="ja-JP"/>
        </w:rPr>
        <w:t>study</w:t>
      </w:r>
      <w:r>
        <w:rPr>
          <w:lang w:eastAsia="ja-JP"/>
        </w:rPr>
        <w:t>. Summary statistics are displayed for the safety and exploratory efficacy parameters</w:t>
      </w:r>
      <w:r w:rsidR="007C6D8D">
        <w:rPr>
          <w:lang w:eastAsia="ja-JP"/>
        </w:rPr>
        <w:t>.</w:t>
      </w:r>
    </w:p>
    <w:p w14:paraId="3ED1ADD1" w14:textId="77777777" w:rsidR="00287323" w:rsidRPr="00287323" w:rsidRDefault="00287323" w:rsidP="00287323">
      <w:pPr>
        <w:pStyle w:val="Heading5"/>
      </w:pPr>
      <w:r w:rsidRPr="00287323">
        <w:t>Participant flow</w:t>
      </w:r>
    </w:p>
    <w:p w14:paraId="0D06128E" w14:textId="5F3E25B7" w:rsidR="00287323" w:rsidRDefault="00287323" w:rsidP="00287323">
      <w:pPr>
        <w:rPr>
          <w:lang w:eastAsia="ja-JP"/>
        </w:rPr>
      </w:pPr>
      <w:r>
        <w:rPr>
          <w:lang w:eastAsia="ja-JP"/>
        </w:rPr>
        <w:t xml:space="preserve">A total of 36 patients were enrolled in </w:t>
      </w:r>
      <w:r w:rsidR="009C6335">
        <w:rPr>
          <w:lang w:eastAsia="ja-JP"/>
        </w:rPr>
        <w:t>FUTURE-1</w:t>
      </w:r>
      <w:r>
        <w:rPr>
          <w:lang w:eastAsia="ja-JP"/>
        </w:rPr>
        <w:t xml:space="preserve">, 15 of whom were receiving bosentan prior to </w:t>
      </w:r>
      <w:r w:rsidR="0066478A">
        <w:rPr>
          <w:lang w:eastAsia="ja-JP"/>
        </w:rPr>
        <w:t>study</w:t>
      </w:r>
      <w:r>
        <w:rPr>
          <w:lang w:eastAsia="ja-JP"/>
        </w:rPr>
        <w:t xml:space="preserve"> drug start and 21 of whom were </w:t>
      </w:r>
      <w:r w:rsidR="009C6335">
        <w:rPr>
          <w:lang w:eastAsia="ja-JP"/>
        </w:rPr>
        <w:t>bosentan naïve</w:t>
      </w:r>
      <w:r>
        <w:rPr>
          <w:lang w:eastAsia="ja-JP"/>
        </w:rPr>
        <w:t xml:space="preserve">. These patients formed the ‘All-enrolled’ analysis set. As all received at least one dose of </w:t>
      </w:r>
      <w:r w:rsidR="0066478A">
        <w:rPr>
          <w:lang w:eastAsia="ja-JP"/>
        </w:rPr>
        <w:t>study</w:t>
      </w:r>
      <w:r>
        <w:rPr>
          <w:lang w:eastAsia="ja-JP"/>
        </w:rPr>
        <w:t xml:space="preserve"> drug, all were also included in the </w:t>
      </w:r>
      <w:r w:rsidR="00B56A0E">
        <w:rPr>
          <w:lang w:eastAsia="ja-JP"/>
        </w:rPr>
        <w:t>‘</w:t>
      </w:r>
      <w:r>
        <w:rPr>
          <w:lang w:eastAsia="ja-JP"/>
        </w:rPr>
        <w:t>All-treated</w:t>
      </w:r>
      <w:r w:rsidR="00B56A0E">
        <w:rPr>
          <w:lang w:eastAsia="ja-JP"/>
        </w:rPr>
        <w:t>’</w:t>
      </w:r>
      <w:r>
        <w:rPr>
          <w:lang w:eastAsia="ja-JP"/>
        </w:rPr>
        <w:t xml:space="preserve"> analysis set. The same two analysis sets were used for the evaluation of </w:t>
      </w:r>
      <w:r w:rsidR="009C6335">
        <w:rPr>
          <w:lang w:eastAsia="ja-JP"/>
        </w:rPr>
        <w:t>FUTURE-2</w:t>
      </w:r>
      <w:r>
        <w:rPr>
          <w:lang w:eastAsia="ja-JP"/>
        </w:rPr>
        <w:t>.</w:t>
      </w:r>
    </w:p>
    <w:p w14:paraId="3D028D14" w14:textId="77777777" w:rsidR="00287323" w:rsidRDefault="00287323" w:rsidP="00287323">
      <w:pPr>
        <w:rPr>
          <w:lang w:eastAsia="ja-JP"/>
        </w:rPr>
      </w:pPr>
      <w:r>
        <w:rPr>
          <w:lang w:eastAsia="ja-JP"/>
        </w:rPr>
        <w:t xml:space="preserve">A total of 19 (52.8%) patients prematurely discontinued the </w:t>
      </w:r>
      <w:r w:rsidR="0066478A">
        <w:rPr>
          <w:lang w:eastAsia="ja-JP"/>
        </w:rPr>
        <w:t>study</w:t>
      </w:r>
      <w:r>
        <w:rPr>
          <w:lang w:eastAsia="ja-JP"/>
        </w:rPr>
        <w:t xml:space="preserve"> (</w:t>
      </w:r>
      <w:r w:rsidR="009C6335">
        <w:rPr>
          <w:lang w:eastAsia="ja-JP"/>
        </w:rPr>
        <w:t>FUTURE-1</w:t>
      </w:r>
      <w:r>
        <w:rPr>
          <w:lang w:eastAsia="ja-JP"/>
        </w:rPr>
        <w:t xml:space="preserve"> or 2). Five patients discontinued due to disease progression, AEs, transplant or treatment failure and four patients discontinued due to death, caused by PAH or infection. This is to be expected in this population of PAH patients. The remaining ten patients prematurely discontinued due to either administrative/other reasons or withdrawal of consent, as expected for a </w:t>
      </w:r>
      <w:r w:rsidR="0066478A">
        <w:rPr>
          <w:lang w:eastAsia="ja-JP"/>
        </w:rPr>
        <w:t>study</w:t>
      </w:r>
      <w:r>
        <w:rPr>
          <w:lang w:eastAsia="ja-JP"/>
        </w:rPr>
        <w:t xml:space="preserve"> of this duration. One patient who prematurely discontinued due to administrative/other reasons reached an adult weight and was switched to the adult formulation of bosentan.</w:t>
      </w:r>
    </w:p>
    <w:p w14:paraId="25EB1AA6" w14:textId="77777777" w:rsidR="00287323" w:rsidRDefault="00287323" w:rsidP="00287323">
      <w:pPr>
        <w:rPr>
          <w:lang w:eastAsia="ja-JP"/>
        </w:rPr>
      </w:pPr>
      <w:r>
        <w:rPr>
          <w:lang w:eastAsia="ja-JP"/>
        </w:rPr>
        <w:t xml:space="preserve">Two patients did not complete </w:t>
      </w:r>
      <w:r w:rsidR="009C6335">
        <w:rPr>
          <w:lang w:eastAsia="ja-JP"/>
        </w:rPr>
        <w:t>FUTURE-1</w:t>
      </w:r>
      <w:r>
        <w:rPr>
          <w:lang w:eastAsia="ja-JP"/>
        </w:rPr>
        <w:t xml:space="preserve"> and therefore they did not take part in </w:t>
      </w:r>
      <w:r w:rsidR="009C6335">
        <w:rPr>
          <w:lang w:eastAsia="ja-JP"/>
        </w:rPr>
        <w:t>FUTURE-2</w:t>
      </w:r>
      <w:r>
        <w:rPr>
          <w:lang w:eastAsia="ja-JP"/>
        </w:rPr>
        <w:t xml:space="preserve">. One additional patient completed </w:t>
      </w:r>
      <w:r w:rsidR="009C6335">
        <w:rPr>
          <w:lang w:eastAsia="ja-JP"/>
        </w:rPr>
        <w:t>FUTURE-1</w:t>
      </w:r>
      <w:r>
        <w:rPr>
          <w:lang w:eastAsia="ja-JP"/>
        </w:rPr>
        <w:t xml:space="preserve"> but did not enrol in </w:t>
      </w:r>
      <w:r w:rsidR="009C6335">
        <w:rPr>
          <w:lang w:eastAsia="ja-JP"/>
        </w:rPr>
        <w:t>FUTURE-2</w:t>
      </w:r>
      <w:r w:rsidRPr="00486629">
        <w:rPr>
          <w:lang w:eastAsia="ja-JP"/>
        </w:rPr>
        <w:t xml:space="preserve">. Overall, a total of 16 patients completed the </w:t>
      </w:r>
      <w:r w:rsidR="009C6335">
        <w:rPr>
          <w:lang w:eastAsia="ja-JP"/>
        </w:rPr>
        <w:t>FUTURE-2</w:t>
      </w:r>
      <w:r w:rsidRPr="00486629">
        <w:rPr>
          <w:lang w:eastAsia="ja-JP"/>
        </w:rPr>
        <w:t xml:space="preserve"> </w:t>
      </w:r>
      <w:r w:rsidR="00E77015">
        <w:rPr>
          <w:lang w:eastAsia="ja-JP"/>
        </w:rPr>
        <w:t>Study</w:t>
      </w:r>
      <w:r w:rsidRPr="00486629">
        <w:rPr>
          <w:lang w:eastAsia="ja-JP"/>
        </w:rPr>
        <w:t>.</w:t>
      </w:r>
    </w:p>
    <w:p w14:paraId="476A18BD" w14:textId="77777777" w:rsidR="00287323" w:rsidRDefault="00287323" w:rsidP="00287323">
      <w:pPr>
        <w:pStyle w:val="FigureTitle"/>
        <w:rPr>
          <w:lang w:eastAsia="ja-JP"/>
        </w:rPr>
      </w:pPr>
      <w:bookmarkStart w:id="294" w:name="_Toc473884174"/>
      <w:r w:rsidRPr="008806DA">
        <w:lastRenderedPageBreak/>
        <w:t xml:space="preserve">Figure </w:t>
      </w:r>
      <w:r w:rsidR="008806DA" w:rsidRPr="008806DA">
        <w:t>23:</w:t>
      </w:r>
      <w:r w:rsidRPr="008806DA">
        <w:t xml:space="preserve"> FUTURE-2 Disposition of patients</w:t>
      </w:r>
      <w:bookmarkEnd w:id="294"/>
    </w:p>
    <w:p w14:paraId="4C43DA9C" w14:textId="77777777" w:rsidR="00287323" w:rsidRDefault="00287323" w:rsidP="00287323">
      <w:pPr>
        <w:rPr>
          <w:lang w:eastAsia="ja-JP"/>
        </w:rPr>
      </w:pPr>
      <w:r>
        <w:rPr>
          <w:noProof/>
          <w:lang w:eastAsia="en-AU"/>
        </w:rPr>
        <w:drawing>
          <wp:inline distT="0" distB="0" distL="0" distR="0" wp14:anchorId="054003F8" wp14:editId="03E4F745">
            <wp:extent cx="4953000" cy="3228975"/>
            <wp:effectExtent l="0" t="0" r="0" b="9525"/>
            <wp:docPr id="65" name="Picture 65" descr="Figure 23: FUTURE-2 Disposition of patients&#10;&#10;A total of 36 patients were enrolled in FUTURE-1, 15 of whom were receiving bosentan prior to study drug start and 21 of whom were bosentan naïve. These patients formed the ‘All-enrolled’ analysis set. As all received at least one dose of study drug, all were also included in the &quot;All-treated&quot; analysis set. The same two analysis sets were used for the evaluation of FUTURE-2.&#10;A total of 19 (52.8%) patients prematurely discontinued the study (FUTURE-1 or 2). Five patients discontinued due to disease progression, AEs, transplant or treatment failure and four patients discontinued due to death, caused by PAH or infection. This is to be expected in this population of PAH patients. The remaining ten patients prematurely discontinued due to either administrative/other reasons or withdrawal of consent, as expected for a study of this duration. One patient who prematurely discontinued due to administrative/other reasons reached an adult weight and was switched to the adult formulation of bosentan.&#10;Two patients did not complete FUTURE-1 and therefore they did not take part in FUTURE-2. One additional patient completed FUTURE-1 but did not enrol in FUTURE-2. Overall, a total of 16 patients completed the FUTURE-2 Stud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953000" cy="3228975"/>
                    </a:xfrm>
                    <a:prstGeom prst="rect">
                      <a:avLst/>
                    </a:prstGeom>
                  </pic:spPr>
                </pic:pic>
              </a:graphicData>
            </a:graphic>
          </wp:inline>
        </w:drawing>
      </w:r>
    </w:p>
    <w:p w14:paraId="6226653E" w14:textId="77777777" w:rsidR="00287323" w:rsidRPr="0023381B" w:rsidRDefault="00287323" w:rsidP="004E5DCA">
      <w:pPr>
        <w:pStyle w:val="Heading5"/>
        <w:numPr>
          <w:ilvl w:val="3"/>
          <w:numId w:val="19"/>
        </w:numPr>
      </w:pPr>
      <w:r w:rsidRPr="0023381B">
        <w:t>Major protocol violations/deviations</w:t>
      </w:r>
    </w:p>
    <w:p w14:paraId="7606DBCE" w14:textId="36E73A36" w:rsidR="007C6D8D" w:rsidRDefault="00287323" w:rsidP="0023381B">
      <w:pPr>
        <w:rPr>
          <w:lang w:eastAsia="ja-JP"/>
        </w:rPr>
      </w:pPr>
      <w:r>
        <w:rPr>
          <w:lang w:eastAsia="ja-JP"/>
        </w:rPr>
        <w:t xml:space="preserve">Six patients reached the age of 12 during the </w:t>
      </w:r>
      <w:r w:rsidR="009C6335">
        <w:rPr>
          <w:lang w:eastAsia="ja-JP"/>
        </w:rPr>
        <w:t>FUTURE-2</w:t>
      </w:r>
      <w:r>
        <w:rPr>
          <w:lang w:eastAsia="ja-JP"/>
        </w:rPr>
        <w:t xml:space="preserve"> </w:t>
      </w:r>
      <w:r w:rsidR="00E77015">
        <w:rPr>
          <w:lang w:eastAsia="ja-JP"/>
        </w:rPr>
        <w:t>Study</w:t>
      </w:r>
      <w:r>
        <w:rPr>
          <w:lang w:eastAsia="ja-JP"/>
        </w:rPr>
        <w:t xml:space="preserve"> and remained in the </w:t>
      </w:r>
      <w:r w:rsidR="0066478A">
        <w:rPr>
          <w:lang w:eastAsia="ja-JP"/>
        </w:rPr>
        <w:t>study</w:t>
      </w:r>
      <w:r>
        <w:rPr>
          <w:lang w:eastAsia="ja-JP"/>
        </w:rPr>
        <w:t xml:space="preserve"> for a further 23 to 489 days after reaching this age. This was not unexpected due to the logistics of switching from the </w:t>
      </w:r>
      <w:r w:rsidR="0066478A">
        <w:rPr>
          <w:lang w:eastAsia="ja-JP"/>
        </w:rPr>
        <w:t>study</w:t>
      </w:r>
      <w:r>
        <w:rPr>
          <w:lang w:eastAsia="ja-JP"/>
        </w:rPr>
        <w:t xml:space="preserve"> drug to a commercially available PAH treatment and given there is no safety concern related to this violation. Three patients re</w:t>
      </w:r>
      <w:r w:rsidR="009C6335">
        <w:rPr>
          <w:lang w:eastAsia="ja-JP"/>
        </w:rPr>
        <w:t>ceived an incorrect dose; in 10 </w:t>
      </w:r>
      <w:r>
        <w:rPr>
          <w:lang w:eastAsia="ja-JP"/>
        </w:rPr>
        <w:t xml:space="preserve">patients, </w:t>
      </w:r>
      <w:r w:rsidR="0066478A">
        <w:rPr>
          <w:lang w:eastAsia="ja-JP"/>
        </w:rPr>
        <w:t>study</w:t>
      </w:r>
      <w:r>
        <w:rPr>
          <w:lang w:eastAsia="ja-JP"/>
        </w:rPr>
        <w:t xml:space="preserve"> drug was not handled according to protocol requirements. Two patients took sildenafil or other PAH-specific drugs in the absence of PAH worsening as defined in the protocol, and one patient had taken or was taking forbidden medications (fluconazole) during the </w:t>
      </w:r>
      <w:r w:rsidR="009C6335">
        <w:rPr>
          <w:lang w:eastAsia="ja-JP"/>
        </w:rPr>
        <w:t>FUTURE-2</w:t>
      </w:r>
      <w:r>
        <w:rPr>
          <w:lang w:eastAsia="ja-JP"/>
        </w:rPr>
        <w:t xml:space="preserve"> </w:t>
      </w:r>
      <w:r w:rsidR="00E77015">
        <w:rPr>
          <w:lang w:eastAsia="ja-JP"/>
        </w:rPr>
        <w:t>Study</w:t>
      </w:r>
      <w:r w:rsidR="007C6D8D">
        <w:rPr>
          <w:lang w:eastAsia="ja-JP"/>
        </w:rPr>
        <w:t>.</w:t>
      </w:r>
    </w:p>
    <w:p w14:paraId="002B5757" w14:textId="77777777" w:rsidR="00287323" w:rsidRDefault="00287323" w:rsidP="0023381B">
      <w:pPr>
        <w:rPr>
          <w:lang w:eastAsia="ja-JP"/>
        </w:rPr>
      </w:pPr>
      <w:r w:rsidRPr="00D23B4C">
        <w:rPr>
          <w:lang w:eastAsia="ja-JP"/>
        </w:rPr>
        <w:t xml:space="preserve">The protocol violations were not considered to affect patient safety or the </w:t>
      </w:r>
      <w:r w:rsidR="0066478A">
        <w:rPr>
          <w:lang w:eastAsia="ja-JP"/>
        </w:rPr>
        <w:t>study</w:t>
      </w:r>
      <w:r w:rsidRPr="00D23B4C">
        <w:rPr>
          <w:lang w:eastAsia="ja-JP"/>
        </w:rPr>
        <w:t xml:space="preserve"> </w:t>
      </w:r>
      <w:r>
        <w:rPr>
          <w:lang w:eastAsia="ja-JP"/>
        </w:rPr>
        <w:t xml:space="preserve">results. </w:t>
      </w:r>
      <w:r w:rsidRPr="00D23B4C">
        <w:rPr>
          <w:lang w:eastAsia="ja-JP"/>
        </w:rPr>
        <w:t>It was decided to include all patients in all analyses, as all efficacy analyses performed in</w:t>
      </w:r>
      <w:r>
        <w:rPr>
          <w:lang w:eastAsia="ja-JP"/>
        </w:rPr>
        <w:t xml:space="preserve"> </w:t>
      </w:r>
      <w:r w:rsidRPr="00D23B4C">
        <w:rPr>
          <w:lang w:eastAsia="ja-JP"/>
        </w:rPr>
        <w:t xml:space="preserve">the context of this </w:t>
      </w:r>
      <w:r w:rsidR="0066478A">
        <w:rPr>
          <w:lang w:eastAsia="ja-JP"/>
        </w:rPr>
        <w:t>study</w:t>
      </w:r>
      <w:r w:rsidRPr="00D23B4C">
        <w:rPr>
          <w:lang w:eastAsia="ja-JP"/>
        </w:rPr>
        <w:t xml:space="preserve"> were exploratory in nature and there was no comparator</w:t>
      </w:r>
      <w:r>
        <w:rPr>
          <w:lang w:eastAsia="ja-JP"/>
        </w:rPr>
        <w:t>.</w:t>
      </w:r>
    </w:p>
    <w:p w14:paraId="19C24E7E" w14:textId="77777777" w:rsidR="00287323" w:rsidRPr="00287323" w:rsidRDefault="00287323" w:rsidP="00287323">
      <w:pPr>
        <w:pStyle w:val="Heading5"/>
      </w:pPr>
      <w:r w:rsidRPr="00287323">
        <w:t>Baseline data</w:t>
      </w:r>
    </w:p>
    <w:p w14:paraId="4E49FFDB" w14:textId="77777777" w:rsidR="007C6D8D" w:rsidRDefault="00287323" w:rsidP="00287323">
      <w:pPr>
        <w:rPr>
          <w:lang w:eastAsia="ja-JP"/>
        </w:rPr>
      </w:pPr>
      <w:r w:rsidRPr="00D81B0F">
        <w:rPr>
          <w:lang w:eastAsia="ja-JP"/>
        </w:rPr>
        <w:t xml:space="preserve">More males than females were enrolled in the </w:t>
      </w:r>
      <w:r w:rsidR="0066478A">
        <w:rPr>
          <w:lang w:eastAsia="ja-JP"/>
        </w:rPr>
        <w:t>study</w:t>
      </w:r>
      <w:r w:rsidRPr="00D81B0F">
        <w:rPr>
          <w:lang w:eastAsia="ja-JP"/>
        </w:rPr>
        <w:t xml:space="preserve"> (58.3% </w:t>
      </w:r>
      <w:r w:rsidR="007C6D8D">
        <w:rPr>
          <w:lang w:eastAsia="ja-JP"/>
        </w:rPr>
        <w:t>versus</w:t>
      </w:r>
      <w:r w:rsidRPr="00D81B0F">
        <w:rPr>
          <w:lang w:eastAsia="ja-JP"/>
        </w:rPr>
        <w:t xml:space="preserve"> 41.7%); the median age</w:t>
      </w:r>
      <w:r>
        <w:rPr>
          <w:lang w:eastAsia="ja-JP"/>
        </w:rPr>
        <w:t xml:space="preserve"> </w:t>
      </w:r>
      <w:r w:rsidRPr="00D81B0F">
        <w:rPr>
          <w:lang w:eastAsia="ja-JP"/>
        </w:rPr>
        <w:t>was 7 years. Almost 90% of patients were Caucasian, and the majority (86.1%) had</w:t>
      </w:r>
      <w:r>
        <w:rPr>
          <w:lang w:eastAsia="ja-JP"/>
        </w:rPr>
        <w:t xml:space="preserve"> </w:t>
      </w:r>
      <w:r w:rsidRPr="00D81B0F">
        <w:rPr>
          <w:lang w:eastAsia="ja-JP"/>
        </w:rPr>
        <w:t>idiopathic PAH.</w:t>
      </w:r>
      <w:r>
        <w:rPr>
          <w:lang w:eastAsia="ja-JP"/>
        </w:rPr>
        <w:t xml:space="preserve"> </w:t>
      </w:r>
      <w:r w:rsidRPr="00D81B0F">
        <w:rPr>
          <w:lang w:eastAsia="ja-JP"/>
        </w:rPr>
        <w:t>Of the 36 patients, 24 (66.7%) had at least one previous o</w:t>
      </w:r>
      <w:r>
        <w:rPr>
          <w:lang w:eastAsia="ja-JP"/>
        </w:rPr>
        <w:t xml:space="preserve">r concomitant disease. The most </w:t>
      </w:r>
      <w:r w:rsidRPr="00D81B0F">
        <w:rPr>
          <w:lang w:eastAsia="ja-JP"/>
        </w:rPr>
        <w:t>frequent types were Congenital, familial and genetic disorders; Respiratory, thoracic and</w:t>
      </w:r>
      <w:r>
        <w:rPr>
          <w:lang w:eastAsia="ja-JP"/>
        </w:rPr>
        <w:t xml:space="preserve"> </w:t>
      </w:r>
      <w:r w:rsidRPr="00D81B0F">
        <w:rPr>
          <w:lang w:eastAsia="ja-JP"/>
        </w:rPr>
        <w:t>mediastinal disorders; and Surgical and medical procedures. Overall, the most frequently</w:t>
      </w:r>
      <w:r>
        <w:rPr>
          <w:lang w:eastAsia="ja-JP"/>
        </w:rPr>
        <w:t xml:space="preserve"> </w:t>
      </w:r>
      <w:r w:rsidRPr="00D81B0F">
        <w:rPr>
          <w:lang w:eastAsia="ja-JP"/>
        </w:rPr>
        <w:t>reported diseases were ventricular or atrial septal defects and ear tube insertions (13.9%,</w:t>
      </w:r>
      <w:r>
        <w:rPr>
          <w:lang w:eastAsia="ja-JP"/>
        </w:rPr>
        <w:t xml:space="preserve"> </w:t>
      </w:r>
      <w:r w:rsidRPr="00D81B0F">
        <w:rPr>
          <w:lang w:eastAsia="ja-JP"/>
        </w:rPr>
        <w:t>11.1% and 11.1%, respectively</w:t>
      </w:r>
      <w:r>
        <w:rPr>
          <w:lang w:eastAsia="ja-JP"/>
        </w:rPr>
        <w:t>)</w:t>
      </w:r>
      <w:r w:rsidR="007C6D8D">
        <w:rPr>
          <w:lang w:eastAsia="ja-JP"/>
        </w:rPr>
        <w:t>.</w:t>
      </w:r>
    </w:p>
    <w:p w14:paraId="07E952BA" w14:textId="77777777" w:rsidR="007C6D8D" w:rsidRDefault="00287323" w:rsidP="00287323">
      <w:pPr>
        <w:rPr>
          <w:lang w:eastAsia="ja-JP"/>
        </w:rPr>
      </w:pPr>
      <w:r>
        <w:rPr>
          <w:lang w:eastAsia="ja-JP"/>
        </w:rPr>
        <w:t xml:space="preserve">The overall median duration of exposure to bosentan was 119.9 weeks. The </w:t>
      </w:r>
      <w:r w:rsidRPr="006F2957">
        <w:rPr>
          <w:lang w:eastAsia="ja-JP"/>
        </w:rPr>
        <w:t xml:space="preserve">proportion of patients with at least one concomitant medication during the </w:t>
      </w:r>
      <w:r w:rsidR="0066478A">
        <w:rPr>
          <w:lang w:eastAsia="ja-JP"/>
        </w:rPr>
        <w:t>study</w:t>
      </w:r>
      <w:r w:rsidRPr="006F2957">
        <w:rPr>
          <w:lang w:eastAsia="ja-JP"/>
        </w:rPr>
        <w:t xml:space="preserve"> was</w:t>
      </w:r>
      <w:r>
        <w:rPr>
          <w:lang w:eastAsia="ja-JP"/>
        </w:rPr>
        <w:t xml:space="preserve"> </w:t>
      </w:r>
      <w:r w:rsidRPr="006F2957">
        <w:rPr>
          <w:lang w:eastAsia="ja-JP"/>
        </w:rPr>
        <w:t>91.7%. The most frequently used agents were paracetamol (38.9%), amoxicillin (33.3%)</w:t>
      </w:r>
      <w:r>
        <w:rPr>
          <w:lang w:eastAsia="ja-JP"/>
        </w:rPr>
        <w:t xml:space="preserve"> </w:t>
      </w:r>
      <w:r w:rsidRPr="006F2957">
        <w:rPr>
          <w:lang w:eastAsia="ja-JP"/>
        </w:rPr>
        <w:t>and epoprostenol (33.3%)</w:t>
      </w:r>
      <w:r w:rsidR="007C6D8D">
        <w:rPr>
          <w:lang w:eastAsia="ja-JP"/>
        </w:rPr>
        <w:t>.</w:t>
      </w:r>
    </w:p>
    <w:p w14:paraId="1D177147" w14:textId="77777777" w:rsidR="00287323" w:rsidRDefault="00287323" w:rsidP="00287323">
      <w:pPr>
        <w:rPr>
          <w:lang w:eastAsia="ja-JP"/>
        </w:rPr>
      </w:pPr>
      <w:r>
        <w:rPr>
          <w:lang w:eastAsia="ja-JP"/>
        </w:rPr>
        <w:t xml:space="preserve">Two patients, </w:t>
      </w:r>
      <w:r w:rsidRPr="006F2957">
        <w:rPr>
          <w:lang w:eastAsia="ja-JP"/>
        </w:rPr>
        <w:t xml:space="preserve">both in the </w:t>
      </w:r>
      <w:r w:rsidR="009C6335">
        <w:rPr>
          <w:lang w:eastAsia="ja-JP"/>
        </w:rPr>
        <w:t>bosentan naïve</w:t>
      </w:r>
      <w:r>
        <w:rPr>
          <w:lang w:eastAsia="ja-JP"/>
        </w:rPr>
        <w:t xml:space="preserve"> subgroup, were switched </w:t>
      </w:r>
      <w:r w:rsidRPr="006F2957">
        <w:rPr>
          <w:lang w:eastAsia="ja-JP"/>
        </w:rPr>
        <w:t xml:space="preserve">from bosentan to ambrisentan on the day of </w:t>
      </w:r>
      <w:r w:rsidR="0066478A">
        <w:rPr>
          <w:lang w:eastAsia="ja-JP"/>
        </w:rPr>
        <w:t>study</w:t>
      </w:r>
      <w:r w:rsidRPr="006F2957">
        <w:rPr>
          <w:lang w:eastAsia="ja-JP"/>
        </w:rPr>
        <w:t xml:space="preserve"> drug discontinuation. The </w:t>
      </w:r>
      <w:r w:rsidR="0066478A">
        <w:rPr>
          <w:lang w:eastAsia="ja-JP"/>
        </w:rPr>
        <w:t>study</w:t>
      </w:r>
      <w:r w:rsidRPr="006F2957">
        <w:rPr>
          <w:lang w:eastAsia="ja-JP"/>
        </w:rPr>
        <w:t xml:space="preserve"> had been stopped but the paediatric formulation of bosentan</w:t>
      </w:r>
      <w:r>
        <w:rPr>
          <w:lang w:eastAsia="ja-JP"/>
        </w:rPr>
        <w:t xml:space="preserve"> </w:t>
      </w:r>
      <w:r w:rsidRPr="006F2957">
        <w:rPr>
          <w:lang w:eastAsia="ja-JP"/>
        </w:rPr>
        <w:t xml:space="preserve">was not approved in the </w:t>
      </w:r>
      <w:r>
        <w:rPr>
          <w:lang w:eastAsia="ja-JP"/>
        </w:rPr>
        <w:t>US so the patients</w:t>
      </w:r>
      <w:r w:rsidRPr="006F2957">
        <w:rPr>
          <w:lang w:eastAsia="ja-JP"/>
        </w:rPr>
        <w:t xml:space="preserve"> were</w:t>
      </w:r>
      <w:r>
        <w:rPr>
          <w:lang w:eastAsia="ja-JP"/>
        </w:rPr>
        <w:t xml:space="preserve"> </w:t>
      </w:r>
      <w:r w:rsidRPr="006F2957">
        <w:rPr>
          <w:lang w:eastAsia="ja-JP"/>
        </w:rPr>
        <w:t>switched to ambrisentan.</w:t>
      </w:r>
    </w:p>
    <w:p w14:paraId="2761841D" w14:textId="77777777" w:rsidR="00287323" w:rsidRDefault="00287323" w:rsidP="00287323">
      <w:pPr>
        <w:pStyle w:val="Tabletitle"/>
        <w:rPr>
          <w:lang w:eastAsia="ja-JP"/>
        </w:rPr>
      </w:pPr>
      <w:bookmarkStart w:id="295" w:name="_Toc473884089"/>
      <w:r w:rsidRPr="002E7063">
        <w:lastRenderedPageBreak/>
        <w:t xml:space="preserve">Table </w:t>
      </w:r>
      <w:r w:rsidR="002E7063" w:rsidRPr="002E7063">
        <w:t>45:</w:t>
      </w:r>
      <w:r w:rsidRPr="002E7063">
        <w:t xml:space="preserve"> FUTURE-2 Summary of patient demographics</w:t>
      </w:r>
      <w:bookmarkEnd w:id="295"/>
    </w:p>
    <w:p w14:paraId="631625C6" w14:textId="77777777" w:rsidR="00287323" w:rsidRDefault="0023381B" w:rsidP="00287323">
      <w:pPr>
        <w:rPr>
          <w:lang w:eastAsia="ja-JP"/>
        </w:rPr>
      </w:pPr>
      <w:r>
        <w:rPr>
          <w:noProof/>
          <w:lang w:eastAsia="en-AU"/>
        </w:rPr>
        <w:drawing>
          <wp:inline distT="0" distB="0" distL="0" distR="0" wp14:anchorId="01EED20F" wp14:editId="41FD4192">
            <wp:extent cx="4810125" cy="6057900"/>
            <wp:effectExtent l="0" t="0" r="9525" b="0"/>
            <wp:docPr id="66" name="Picture 66" descr="Table 45: FUTURE-2 Summary of patient demo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4810125" cy="6057900"/>
                    </a:xfrm>
                    <a:prstGeom prst="rect">
                      <a:avLst/>
                    </a:prstGeom>
                  </pic:spPr>
                </pic:pic>
              </a:graphicData>
            </a:graphic>
          </wp:inline>
        </w:drawing>
      </w:r>
    </w:p>
    <w:p w14:paraId="63B40394" w14:textId="77777777" w:rsidR="0023381B" w:rsidRDefault="0023381B" w:rsidP="0023381B">
      <w:pPr>
        <w:pStyle w:val="Tabletitle"/>
      </w:pPr>
      <w:bookmarkStart w:id="296" w:name="_Toc473884090"/>
      <w:r w:rsidRPr="002E7063">
        <w:lastRenderedPageBreak/>
        <w:t xml:space="preserve">Table </w:t>
      </w:r>
      <w:r w:rsidR="002E7063" w:rsidRPr="002E7063">
        <w:t xml:space="preserve">46: </w:t>
      </w:r>
      <w:r w:rsidRPr="002E7063">
        <w:t>FUTURE-2 Summary of previous and concomitant diseases at baseline by</w:t>
      </w:r>
      <w:r>
        <w:t xml:space="preserve"> frequency</w:t>
      </w:r>
      <w:bookmarkEnd w:id="296"/>
    </w:p>
    <w:p w14:paraId="0BFA3F21" w14:textId="77777777" w:rsidR="00287323" w:rsidRDefault="0023381B" w:rsidP="00287323">
      <w:pPr>
        <w:rPr>
          <w:lang w:eastAsia="ja-JP"/>
        </w:rPr>
      </w:pPr>
      <w:r>
        <w:rPr>
          <w:noProof/>
          <w:lang w:eastAsia="en-AU"/>
        </w:rPr>
        <w:drawing>
          <wp:inline distT="0" distB="0" distL="0" distR="0" wp14:anchorId="2BC959C1" wp14:editId="6685182E">
            <wp:extent cx="4010025" cy="8077200"/>
            <wp:effectExtent l="0" t="0" r="9525" b="0"/>
            <wp:docPr id="67" name="Picture 67" descr="Table 46: FUTURE-2 Summary of previous and concomitant diseases at baseline by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4010025" cy="8077200"/>
                    </a:xfrm>
                    <a:prstGeom prst="rect">
                      <a:avLst/>
                    </a:prstGeom>
                  </pic:spPr>
                </pic:pic>
              </a:graphicData>
            </a:graphic>
          </wp:inline>
        </w:drawing>
      </w:r>
    </w:p>
    <w:p w14:paraId="1A5479DB" w14:textId="77777777" w:rsidR="0023381B" w:rsidRDefault="0023381B" w:rsidP="0023381B">
      <w:pPr>
        <w:pStyle w:val="Tabletitle"/>
        <w:rPr>
          <w:lang w:eastAsia="ja-JP"/>
        </w:rPr>
      </w:pPr>
      <w:bookmarkStart w:id="297" w:name="_Toc473884091"/>
      <w:r w:rsidRPr="002E7063">
        <w:lastRenderedPageBreak/>
        <w:t xml:space="preserve">Table </w:t>
      </w:r>
      <w:r w:rsidR="002E7063" w:rsidRPr="002E7063">
        <w:t>47:</w:t>
      </w:r>
      <w:r>
        <w:t xml:space="preserve"> FUTURE-2 Summary of du</w:t>
      </w:r>
      <w:r w:rsidR="009C6335">
        <w:t>ration of exposure to bosentan;</w:t>
      </w:r>
      <w:r>
        <w:t xml:space="preserve"> all treated set</w:t>
      </w:r>
      <w:bookmarkEnd w:id="297"/>
    </w:p>
    <w:p w14:paraId="35D3881F" w14:textId="77777777" w:rsidR="00287323" w:rsidRDefault="0023381B" w:rsidP="00287323">
      <w:pPr>
        <w:rPr>
          <w:lang w:eastAsia="ja-JP"/>
        </w:rPr>
      </w:pPr>
      <w:r>
        <w:rPr>
          <w:noProof/>
          <w:lang w:eastAsia="en-AU"/>
        </w:rPr>
        <w:drawing>
          <wp:inline distT="0" distB="0" distL="0" distR="0" wp14:anchorId="1AFD791A" wp14:editId="091B8C80">
            <wp:extent cx="4524375" cy="2743200"/>
            <wp:effectExtent l="0" t="0" r="9525" b="0"/>
            <wp:docPr id="68" name="Picture 68" descr="Table 47: FUTURE-2 Summary of duration of exposure to bosentan; all 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4524375" cy="2743200"/>
                    </a:xfrm>
                    <a:prstGeom prst="rect">
                      <a:avLst/>
                    </a:prstGeom>
                  </pic:spPr>
                </pic:pic>
              </a:graphicData>
            </a:graphic>
          </wp:inline>
        </w:drawing>
      </w:r>
    </w:p>
    <w:p w14:paraId="0F19E4A2" w14:textId="77777777" w:rsidR="0023381B" w:rsidRPr="0023381B" w:rsidRDefault="0023381B" w:rsidP="004E5DCA">
      <w:pPr>
        <w:pStyle w:val="Heading5"/>
        <w:numPr>
          <w:ilvl w:val="3"/>
          <w:numId w:val="20"/>
        </w:numPr>
      </w:pPr>
      <w:r w:rsidRPr="0023381B">
        <w:t>Results for the primary safety outcome</w:t>
      </w:r>
    </w:p>
    <w:p w14:paraId="6F64C662" w14:textId="77777777" w:rsidR="0023381B" w:rsidRDefault="0023381B" w:rsidP="0023381B">
      <w:pPr>
        <w:rPr>
          <w:lang w:eastAsia="ja-JP"/>
        </w:rPr>
      </w:pPr>
      <w:r>
        <w:rPr>
          <w:lang w:eastAsia="ja-JP"/>
        </w:rPr>
        <w:t>The median duration of exposure was 119.9 weeks. TEAEs occurred in 32 patients (88.9%). TE</w:t>
      </w:r>
      <w:r w:rsidRPr="00200C2C">
        <w:rPr>
          <w:lang w:eastAsia="ja-JP"/>
        </w:rPr>
        <w:t xml:space="preserve">AEs were recorded as severe in </w:t>
      </w:r>
      <w:r>
        <w:rPr>
          <w:lang w:eastAsia="ja-JP"/>
        </w:rPr>
        <w:t xml:space="preserve">14 (38.9%) patients. Severe AEs </w:t>
      </w:r>
      <w:r w:rsidRPr="00200C2C">
        <w:rPr>
          <w:lang w:eastAsia="ja-JP"/>
        </w:rPr>
        <w:t>were most frequently classified as Infections and infestations and Respiratory, thoracic and</w:t>
      </w:r>
      <w:r>
        <w:rPr>
          <w:lang w:eastAsia="ja-JP"/>
        </w:rPr>
        <w:t xml:space="preserve"> </w:t>
      </w:r>
      <w:r w:rsidRPr="00200C2C">
        <w:rPr>
          <w:lang w:eastAsia="ja-JP"/>
        </w:rPr>
        <w:t>mediastinal disorders, with 6 (16.7%)</w:t>
      </w:r>
      <w:r>
        <w:rPr>
          <w:lang w:eastAsia="ja-JP"/>
        </w:rPr>
        <w:t xml:space="preserve"> patients in each class.</w:t>
      </w:r>
    </w:p>
    <w:p w14:paraId="081B8BE6" w14:textId="77777777" w:rsidR="0023381B" w:rsidRDefault="009C6335" w:rsidP="0023381B">
      <w:pPr>
        <w:rPr>
          <w:lang w:eastAsia="ja-JP"/>
        </w:rPr>
      </w:pPr>
      <w:r>
        <w:rPr>
          <w:lang w:eastAsia="ja-JP"/>
        </w:rPr>
        <w:t>Bosentan related</w:t>
      </w:r>
      <w:r w:rsidR="0023381B">
        <w:rPr>
          <w:lang w:eastAsia="ja-JP"/>
        </w:rPr>
        <w:t xml:space="preserve"> TEAEs occurred in 15 patients (41.7%), most frequently reported as </w:t>
      </w:r>
      <w:r>
        <w:rPr>
          <w:lang w:eastAsia="ja-JP"/>
        </w:rPr>
        <w:t>gastrointestinal</w:t>
      </w:r>
      <w:r w:rsidR="0023381B">
        <w:rPr>
          <w:lang w:eastAsia="ja-JP"/>
        </w:rPr>
        <w:t xml:space="preserve"> disorders (22.2%) and General disorders (16.7%). </w:t>
      </w:r>
      <w:r w:rsidR="0023381B" w:rsidRPr="00D62F63">
        <w:rPr>
          <w:lang w:eastAsia="ja-JP"/>
        </w:rPr>
        <w:t xml:space="preserve">The most frequent </w:t>
      </w:r>
      <w:r w:rsidR="0023381B">
        <w:rPr>
          <w:lang w:eastAsia="ja-JP"/>
        </w:rPr>
        <w:t>TE</w:t>
      </w:r>
      <w:r w:rsidR="0023381B" w:rsidRPr="00D62F63">
        <w:rPr>
          <w:lang w:eastAsia="ja-JP"/>
        </w:rPr>
        <w:t xml:space="preserve">AEs deemed </w:t>
      </w:r>
      <w:r w:rsidR="0023381B">
        <w:rPr>
          <w:lang w:eastAsia="ja-JP"/>
        </w:rPr>
        <w:t xml:space="preserve">to be related to </w:t>
      </w:r>
      <w:r w:rsidR="0066478A">
        <w:rPr>
          <w:lang w:eastAsia="ja-JP"/>
        </w:rPr>
        <w:t>study</w:t>
      </w:r>
      <w:r w:rsidR="0023381B">
        <w:rPr>
          <w:lang w:eastAsia="ja-JP"/>
        </w:rPr>
        <w:t xml:space="preserve"> drug and </w:t>
      </w:r>
      <w:r w:rsidR="0023381B" w:rsidRPr="00D62F63">
        <w:rPr>
          <w:lang w:eastAsia="ja-JP"/>
        </w:rPr>
        <w:t xml:space="preserve">occurring in more than 2 patients were </w:t>
      </w:r>
      <w:r w:rsidR="007C6D8D">
        <w:rPr>
          <w:lang w:eastAsia="ja-JP"/>
        </w:rPr>
        <w:t>abd</w:t>
      </w:r>
      <w:r w:rsidR="0023381B" w:rsidRPr="00D62F63">
        <w:rPr>
          <w:lang w:eastAsia="ja-JP"/>
        </w:rPr>
        <w:t>ominal pain (4 patients; 11.1%), chest pain,</w:t>
      </w:r>
      <w:r w:rsidR="0023381B">
        <w:rPr>
          <w:lang w:eastAsia="ja-JP"/>
        </w:rPr>
        <w:t xml:space="preserve"> </w:t>
      </w:r>
      <w:r w:rsidR="0023381B" w:rsidRPr="00D62F63">
        <w:rPr>
          <w:lang w:eastAsia="ja-JP"/>
        </w:rPr>
        <w:t>headache and nasal congestion (all in 3 patients each; 8.3%)</w:t>
      </w:r>
      <w:r w:rsidR="0023381B">
        <w:rPr>
          <w:lang w:eastAsia="ja-JP"/>
        </w:rPr>
        <w:t xml:space="preserve">. </w:t>
      </w:r>
      <w:r w:rsidR="0023381B" w:rsidRPr="00D62F63">
        <w:rPr>
          <w:lang w:eastAsia="ja-JP"/>
        </w:rPr>
        <w:t>One patient had a prolongation of the QRS complex</w:t>
      </w:r>
      <w:r w:rsidR="0023381B">
        <w:rPr>
          <w:lang w:eastAsia="ja-JP"/>
        </w:rPr>
        <w:t xml:space="preserve">. One </w:t>
      </w:r>
      <w:r>
        <w:rPr>
          <w:lang w:eastAsia="ja-JP"/>
        </w:rPr>
        <w:t>bosentan related</w:t>
      </w:r>
      <w:r w:rsidR="0023381B" w:rsidRPr="00D62F63">
        <w:rPr>
          <w:lang w:eastAsia="ja-JP"/>
        </w:rPr>
        <w:t xml:space="preserve"> AE of autoimmune hepatitis was reported as both serious and severe</w:t>
      </w:r>
      <w:r w:rsidR="0023381B">
        <w:rPr>
          <w:lang w:eastAsia="ja-JP"/>
        </w:rPr>
        <w:t>.</w:t>
      </w:r>
    </w:p>
    <w:p w14:paraId="23D2B86B" w14:textId="77777777" w:rsidR="0023381B" w:rsidRPr="00846EC1" w:rsidRDefault="0023381B" w:rsidP="0023381B">
      <w:pPr>
        <w:rPr>
          <w:lang w:eastAsia="ja-JP"/>
        </w:rPr>
      </w:pPr>
      <w:r>
        <w:rPr>
          <w:lang w:eastAsia="ja-JP"/>
        </w:rPr>
        <w:t xml:space="preserve">Six deaths were recorded during the </w:t>
      </w:r>
      <w:r w:rsidR="0066478A" w:rsidRPr="002E7063">
        <w:rPr>
          <w:lang w:eastAsia="ja-JP"/>
        </w:rPr>
        <w:t>study</w:t>
      </w:r>
      <w:r w:rsidRPr="002E7063">
        <w:rPr>
          <w:lang w:eastAsia="ja-JP"/>
        </w:rPr>
        <w:t xml:space="preserve"> (</w:t>
      </w:r>
      <w:r w:rsidR="002E7063" w:rsidRPr="002E7063">
        <w:rPr>
          <w:lang w:eastAsia="ja-JP"/>
        </w:rPr>
        <w:t>Table 48</w:t>
      </w:r>
      <w:r w:rsidRPr="002E7063">
        <w:rPr>
          <w:lang w:eastAsia="ja-JP"/>
        </w:rPr>
        <w:t>). Four deaths</w:t>
      </w:r>
      <w:r>
        <w:rPr>
          <w:lang w:eastAsia="ja-JP"/>
        </w:rPr>
        <w:t xml:space="preserve"> occurred during treatment or up to 28 days after </w:t>
      </w:r>
      <w:r w:rsidR="0066478A">
        <w:rPr>
          <w:lang w:eastAsia="ja-JP"/>
        </w:rPr>
        <w:t>study</w:t>
      </w:r>
      <w:r>
        <w:rPr>
          <w:lang w:eastAsia="ja-JP"/>
        </w:rPr>
        <w:t xml:space="preserve"> drug discontinuation: one due to PAH and subsequent cardiac complications, one due to cardiac failure, one due to right ventricular failure related to suspected otitis and one due to respiratory failure following pneumonia, all reported as unrelated to the </w:t>
      </w:r>
      <w:r w:rsidR="0066478A">
        <w:rPr>
          <w:lang w:eastAsia="ja-JP"/>
        </w:rPr>
        <w:t>study</w:t>
      </w:r>
      <w:r>
        <w:rPr>
          <w:lang w:eastAsia="ja-JP"/>
        </w:rPr>
        <w:t xml:space="preserve"> drug. Two deaths occurred more than 28 days after </w:t>
      </w:r>
      <w:r w:rsidR="0066478A">
        <w:rPr>
          <w:lang w:eastAsia="ja-JP"/>
        </w:rPr>
        <w:t>study</w:t>
      </w:r>
      <w:r>
        <w:rPr>
          <w:lang w:eastAsia="ja-JP"/>
        </w:rPr>
        <w:t xml:space="preserve"> drug discontinuation: one patient died due to PAH and subsequent cardiac complications 38 days after </w:t>
      </w:r>
      <w:r w:rsidR="0066478A">
        <w:rPr>
          <w:lang w:eastAsia="ja-JP"/>
        </w:rPr>
        <w:t>study</w:t>
      </w:r>
      <w:r>
        <w:rPr>
          <w:lang w:eastAsia="ja-JP"/>
        </w:rPr>
        <w:t xml:space="preserve"> drug discontinuation (considered by the investigator as unrelated to the </w:t>
      </w:r>
      <w:r w:rsidR="0066478A">
        <w:rPr>
          <w:lang w:eastAsia="ja-JP"/>
        </w:rPr>
        <w:t>study</w:t>
      </w:r>
      <w:r>
        <w:rPr>
          <w:lang w:eastAsia="ja-JP"/>
        </w:rPr>
        <w:t xml:space="preserve"> drug); one patient died during cardiac catheterisation almost 11 months after </w:t>
      </w:r>
      <w:r w:rsidR="0066478A">
        <w:rPr>
          <w:lang w:eastAsia="ja-JP"/>
        </w:rPr>
        <w:t>study</w:t>
      </w:r>
      <w:r w:rsidRPr="00846EC1">
        <w:rPr>
          <w:lang w:eastAsia="ja-JP"/>
        </w:rPr>
        <w:t xml:space="preserve"> drug discontinuation without prior PAH worsening.</w:t>
      </w:r>
    </w:p>
    <w:p w14:paraId="65F9ADBF" w14:textId="77777777" w:rsidR="0023381B" w:rsidRDefault="0023381B" w:rsidP="0023381B">
      <w:pPr>
        <w:rPr>
          <w:lang w:eastAsia="ja-JP"/>
        </w:rPr>
      </w:pPr>
      <w:r>
        <w:rPr>
          <w:lang w:eastAsia="ja-JP"/>
        </w:rPr>
        <w:t>SAEs occurred in 18 patients (50.</w:t>
      </w:r>
      <w:r w:rsidRPr="002E7063">
        <w:rPr>
          <w:lang w:eastAsia="ja-JP"/>
        </w:rPr>
        <w:t>0%,</w:t>
      </w:r>
      <w:r w:rsidR="002E7063">
        <w:rPr>
          <w:lang w:eastAsia="ja-JP"/>
        </w:rPr>
        <w:t xml:space="preserve"> </w:t>
      </w:r>
      <w:r w:rsidR="002E7063" w:rsidRPr="002E7063">
        <w:rPr>
          <w:lang w:eastAsia="ja-JP"/>
        </w:rPr>
        <w:t>Table 49</w:t>
      </w:r>
      <w:r w:rsidRPr="002E7063">
        <w:rPr>
          <w:lang w:eastAsia="ja-JP"/>
        </w:rPr>
        <w:t>). The most</w:t>
      </w:r>
      <w:r w:rsidRPr="00D62F63">
        <w:rPr>
          <w:lang w:eastAsia="ja-JP"/>
        </w:rPr>
        <w:t xml:space="preserve"> frequent SAEs</w:t>
      </w:r>
      <w:r>
        <w:rPr>
          <w:lang w:eastAsia="ja-JP"/>
        </w:rPr>
        <w:t xml:space="preserve"> were </w:t>
      </w:r>
      <w:r w:rsidR="009C6335">
        <w:rPr>
          <w:lang w:eastAsia="ja-JP"/>
        </w:rPr>
        <w:t>device related</w:t>
      </w:r>
      <w:r>
        <w:rPr>
          <w:lang w:eastAsia="ja-JP"/>
        </w:rPr>
        <w:t xml:space="preserve"> infection, </w:t>
      </w:r>
      <w:r w:rsidRPr="00D62F63">
        <w:rPr>
          <w:lang w:eastAsia="ja-JP"/>
        </w:rPr>
        <w:t xml:space="preserve">PAH and pulmonary hypertension, all of which occurred in 3 patients. </w:t>
      </w:r>
      <w:r>
        <w:rPr>
          <w:lang w:eastAsia="ja-JP"/>
        </w:rPr>
        <w:t>As mentioned above, there was one</w:t>
      </w:r>
      <w:r w:rsidRPr="00D62F63">
        <w:rPr>
          <w:lang w:eastAsia="ja-JP"/>
        </w:rPr>
        <w:t xml:space="preserve"> SAE of</w:t>
      </w:r>
      <w:r>
        <w:rPr>
          <w:lang w:eastAsia="ja-JP"/>
        </w:rPr>
        <w:t xml:space="preserve"> </w:t>
      </w:r>
      <w:r w:rsidRPr="00D62F63">
        <w:rPr>
          <w:lang w:eastAsia="ja-JP"/>
        </w:rPr>
        <w:t>autoimmune hepatitis</w:t>
      </w:r>
      <w:r>
        <w:rPr>
          <w:lang w:eastAsia="ja-JP"/>
        </w:rPr>
        <w:t xml:space="preserve"> which</w:t>
      </w:r>
      <w:r w:rsidRPr="00D62F63">
        <w:rPr>
          <w:lang w:eastAsia="ja-JP"/>
        </w:rPr>
        <w:t xml:space="preserve"> was deemed to be </w:t>
      </w:r>
      <w:r w:rsidR="009C6335">
        <w:rPr>
          <w:lang w:eastAsia="ja-JP"/>
        </w:rPr>
        <w:t>treatment related</w:t>
      </w:r>
      <w:r>
        <w:rPr>
          <w:lang w:eastAsia="ja-JP"/>
        </w:rPr>
        <w:t>.</w:t>
      </w:r>
    </w:p>
    <w:p w14:paraId="368B602A" w14:textId="77777777" w:rsidR="0023381B" w:rsidRDefault="0023381B" w:rsidP="0023381B">
      <w:pPr>
        <w:rPr>
          <w:lang w:eastAsia="ja-JP"/>
        </w:rPr>
      </w:pPr>
      <w:r>
        <w:rPr>
          <w:lang w:eastAsia="ja-JP"/>
        </w:rPr>
        <w:t xml:space="preserve">Nine TEAEs which led to premature discontinuation of </w:t>
      </w:r>
      <w:r w:rsidR="0066478A">
        <w:rPr>
          <w:lang w:eastAsia="ja-JP"/>
        </w:rPr>
        <w:t>study</w:t>
      </w:r>
      <w:r>
        <w:rPr>
          <w:lang w:eastAsia="ja-JP"/>
        </w:rPr>
        <w:t xml:space="preserve"> drug occurred in 6 (16.7%) </w:t>
      </w:r>
      <w:r w:rsidRPr="002E7063">
        <w:rPr>
          <w:lang w:eastAsia="ja-JP"/>
        </w:rPr>
        <w:t>patients (</w:t>
      </w:r>
      <w:r w:rsidR="002E7063" w:rsidRPr="002E7063">
        <w:rPr>
          <w:lang w:eastAsia="ja-JP"/>
        </w:rPr>
        <w:t>Table</w:t>
      </w:r>
      <w:r w:rsidR="002E7063">
        <w:rPr>
          <w:lang w:eastAsia="ja-JP"/>
        </w:rPr>
        <w:t xml:space="preserve"> 50</w:t>
      </w:r>
      <w:r>
        <w:rPr>
          <w:lang w:eastAsia="ja-JP"/>
        </w:rPr>
        <w:t xml:space="preserve">). Six of these AEs were classified as </w:t>
      </w:r>
      <w:r w:rsidR="009C6335">
        <w:rPr>
          <w:lang w:eastAsia="ja-JP"/>
        </w:rPr>
        <w:t>c</w:t>
      </w:r>
      <w:r>
        <w:rPr>
          <w:lang w:eastAsia="ja-JP"/>
        </w:rPr>
        <w:t xml:space="preserve">ardiac disorders or </w:t>
      </w:r>
      <w:r w:rsidR="009C6335">
        <w:rPr>
          <w:lang w:eastAsia="ja-JP"/>
        </w:rPr>
        <w:t>r</w:t>
      </w:r>
      <w:r>
        <w:rPr>
          <w:lang w:eastAsia="ja-JP"/>
        </w:rPr>
        <w:t xml:space="preserve">espiratory, thoracic and mediastinal disorders. Two of these AEs occurring in 2 patients were deemed to be </w:t>
      </w:r>
      <w:r w:rsidR="009C6335">
        <w:rPr>
          <w:lang w:eastAsia="ja-JP"/>
        </w:rPr>
        <w:t>treatment related</w:t>
      </w:r>
      <w:r>
        <w:rPr>
          <w:lang w:eastAsia="ja-JP"/>
        </w:rPr>
        <w:t xml:space="preserve">. In 4 out of the </w:t>
      </w:r>
      <w:r w:rsidRPr="00EB4B7A">
        <w:rPr>
          <w:lang w:eastAsia="ja-JP"/>
        </w:rPr>
        <w:t xml:space="preserve">6 patients, the AEs leading to discontinuation of </w:t>
      </w:r>
      <w:r w:rsidR="0066478A">
        <w:rPr>
          <w:lang w:eastAsia="ja-JP"/>
        </w:rPr>
        <w:t>study</w:t>
      </w:r>
      <w:r w:rsidRPr="00EB4B7A">
        <w:rPr>
          <w:lang w:eastAsia="ja-JP"/>
        </w:rPr>
        <w:t xml:space="preserve"> drug were deemed to be related to</w:t>
      </w:r>
      <w:r>
        <w:rPr>
          <w:lang w:eastAsia="ja-JP"/>
        </w:rPr>
        <w:t xml:space="preserve"> </w:t>
      </w:r>
      <w:r w:rsidRPr="00EB4B7A">
        <w:rPr>
          <w:lang w:eastAsia="ja-JP"/>
        </w:rPr>
        <w:t>PAH. For one patient, the AE was deemed to be related to both bosentan and to PAH.</w:t>
      </w:r>
      <w:r>
        <w:rPr>
          <w:lang w:eastAsia="ja-JP"/>
        </w:rPr>
        <w:t xml:space="preserve"> </w:t>
      </w:r>
      <w:r w:rsidRPr="00EB4B7A">
        <w:rPr>
          <w:lang w:eastAsia="ja-JP"/>
        </w:rPr>
        <w:t xml:space="preserve">In 2 patients, the AEs leading to discontinuation of </w:t>
      </w:r>
      <w:r w:rsidR="0066478A">
        <w:rPr>
          <w:lang w:eastAsia="ja-JP"/>
        </w:rPr>
        <w:t>study</w:t>
      </w:r>
      <w:r>
        <w:rPr>
          <w:lang w:eastAsia="ja-JP"/>
        </w:rPr>
        <w:t xml:space="preserve"> drug resolved without clinical </w:t>
      </w:r>
      <w:r w:rsidRPr="00EB4B7A">
        <w:rPr>
          <w:lang w:eastAsia="ja-JP"/>
        </w:rPr>
        <w:t>sequelae. In one patient the event was reported as</w:t>
      </w:r>
      <w:r>
        <w:rPr>
          <w:lang w:eastAsia="ja-JP"/>
        </w:rPr>
        <w:t xml:space="preserve"> </w:t>
      </w:r>
      <w:r w:rsidRPr="00EB4B7A">
        <w:rPr>
          <w:lang w:eastAsia="ja-JP"/>
        </w:rPr>
        <w:t xml:space="preserve">unresolved at the </w:t>
      </w:r>
      <w:r>
        <w:rPr>
          <w:lang w:eastAsia="ja-JP"/>
        </w:rPr>
        <w:t>EOS</w:t>
      </w:r>
      <w:r w:rsidRPr="00EB4B7A">
        <w:rPr>
          <w:lang w:eastAsia="ja-JP"/>
        </w:rPr>
        <w:t xml:space="preserve"> visit on the day of </w:t>
      </w:r>
      <w:r w:rsidR="0066478A">
        <w:rPr>
          <w:lang w:eastAsia="ja-JP"/>
        </w:rPr>
        <w:t>study</w:t>
      </w:r>
      <w:r w:rsidRPr="00EB4B7A">
        <w:rPr>
          <w:lang w:eastAsia="ja-JP"/>
        </w:rPr>
        <w:t xml:space="preserve"> drug discontinuation. In 3 patients the events were fatal. For all 3 patients, </w:t>
      </w:r>
      <w:r w:rsidRPr="00EB4B7A">
        <w:rPr>
          <w:lang w:eastAsia="ja-JP"/>
        </w:rPr>
        <w:lastRenderedPageBreak/>
        <w:t>the AEs leading to</w:t>
      </w:r>
      <w:r>
        <w:rPr>
          <w:lang w:eastAsia="ja-JP"/>
        </w:rPr>
        <w:t xml:space="preserve"> </w:t>
      </w:r>
      <w:r w:rsidRPr="00EB4B7A">
        <w:rPr>
          <w:lang w:eastAsia="ja-JP"/>
        </w:rPr>
        <w:t>discontinuation and resulting in death were deemed to be related to PAH, but unrelated to</w:t>
      </w:r>
      <w:r>
        <w:rPr>
          <w:lang w:eastAsia="ja-JP"/>
        </w:rPr>
        <w:t xml:space="preserve"> </w:t>
      </w:r>
      <w:r w:rsidRPr="00EB4B7A">
        <w:rPr>
          <w:lang w:eastAsia="ja-JP"/>
        </w:rPr>
        <w:t>treatment</w:t>
      </w:r>
      <w:r>
        <w:rPr>
          <w:lang w:eastAsia="ja-JP"/>
        </w:rPr>
        <w:t>.</w:t>
      </w:r>
    </w:p>
    <w:p w14:paraId="1BF4F4B1" w14:textId="77777777" w:rsidR="0023381B" w:rsidRPr="00846EC1" w:rsidRDefault="0023381B" w:rsidP="0023381B">
      <w:pPr>
        <w:rPr>
          <w:lang w:eastAsia="ja-JP"/>
        </w:rPr>
      </w:pPr>
      <w:r w:rsidRPr="00846EC1">
        <w:rPr>
          <w:lang w:eastAsia="ja-JP"/>
        </w:rPr>
        <w:t>For haematological and clinical chemistry parameters, no clinically significant mean</w:t>
      </w:r>
      <w:r>
        <w:rPr>
          <w:lang w:eastAsia="ja-JP"/>
        </w:rPr>
        <w:t xml:space="preserve"> </w:t>
      </w:r>
      <w:r w:rsidRPr="00846EC1">
        <w:rPr>
          <w:lang w:eastAsia="ja-JP"/>
        </w:rPr>
        <w:t>changes from baseline were observed, apart from</w:t>
      </w:r>
      <w:r>
        <w:rPr>
          <w:lang w:eastAsia="ja-JP"/>
        </w:rPr>
        <w:t xml:space="preserve"> </w:t>
      </w:r>
      <w:r w:rsidRPr="00846EC1">
        <w:rPr>
          <w:lang w:eastAsia="ja-JP"/>
        </w:rPr>
        <w:t>laboratory abnormalities that would be expected based on the known safety profile of</w:t>
      </w:r>
      <w:r>
        <w:rPr>
          <w:lang w:eastAsia="ja-JP"/>
        </w:rPr>
        <w:t xml:space="preserve"> </w:t>
      </w:r>
      <w:r w:rsidRPr="00846EC1">
        <w:rPr>
          <w:lang w:eastAsia="ja-JP"/>
        </w:rPr>
        <w:t>bosentan (</w:t>
      </w:r>
      <w:r w:rsidR="00CF6063">
        <w:rPr>
          <w:lang w:eastAsia="ja-JP"/>
        </w:rPr>
        <w:t>that is</w:t>
      </w:r>
      <w:r w:rsidRPr="00846EC1">
        <w:rPr>
          <w:lang w:eastAsia="ja-JP"/>
        </w:rPr>
        <w:t>, increases in liver enzymes, decreases in haemoglobin, haematocrit, white</w:t>
      </w:r>
      <w:r>
        <w:rPr>
          <w:lang w:eastAsia="ja-JP"/>
        </w:rPr>
        <w:t xml:space="preserve"> </w:t>
      </w:r>
      <w:r w:rsidRPr="00846EC1">
        <w:rPr>
          <w:lang w:eastAsia="ja-JP"/>
        </w:rPr>
        <w:t>blood cell count and platelet count) or due to relevant comorbid conditions.</w:t>
      </w:r>
      <w:r>
        <w:rPr>
          <w:lang w:eastAsia="ja-JP"/>
        </w:rPr>
        <w:t xml:space="preserve"> </w:t>
      </w:r>
      <w:r w:rsidRPr="008E7CD9">
        <w:rPr>
          <w:lang w:eastAsia="ja-JP"/>
        </w:rPr>
        <w:t>The most frequent marked laboratory abnormality was low haemoglobin</w:t>
      </w:r>
      <w:r>
        <w:rPr>
          <w:lang w:eastAsia="ja-JP"/>
        </w:rPr>
        <w:t xml:space="preserve">, which was </w:t>
      </w:r>
      <w:r w:rsidRPr="008E7CD9">
        <w:rPr>
          <w:lang w:eastAsia="ja-JP"/>
        </w:rPr>
        <w:t>observed in 4 patients (11.1%) overall. Three patients (8.3%) had a markedly abnormal</w:t>
      </w:r>
      <w:r>
        <w:rPr>
          <w:lang w:eastAsia="ja-JP"/>
        </w:rPr>
        <w:t xml:space="preserve"> </w:t>
      </w:r>
      <w:r w:rsidRPr="008E7CD9">
        <w:rPr>
          <w:lang w:eastAsia="ja-JP"/>
        </w:rPr>
        <w:t>low platelet count and 2 (5.6%) had a markedly abnormal low haematocrit. Marked</w:t>
      </w:r>
      <w:r>
        <w:rPr>
          <w:lang w:eastAsia="ja-JP"/>
        </w:rPr>
        <w:t xml:space="preserve"> </w:t>
      </w:r>
      <w:r w:rsidRPr="008E7CD9">
        <w:rPr>
          <w:lang w:eastAsia="ja-JP"/>
        </w:rPr>
        <w:t>abnormalities related to ALT and AST increases were seen in 1 (2.8%) and 2 (5.6%)</w:t>
      </w:r>
      <w:r>
        <w:rPr>
          <w:lang w:eastAsia="ja-JP"/>
        </w:rPr>
        <w:t xml:space="preserve"> </w:t>
      </w:r>
      <w:r w:rsidRPr="008E7CD9">
        <w:rPr>
          <w:lang w:eastAsia="ja-JP"/>
        </w:rPr>
        <w:t>patients, respectively. Three (8.3%) patients had a marked laboratory abnormality of</w:t>
      </w:r>
      <w:r>
        <w:rPr>
          <w:lang w:eastAsia="ja-JP"/>
        </w:rPr>
        <w:t xml:space="preserve"> </w:t>
      </w:r>
      <w:r w:rsidRPr="008E7CD9">
        <w:rPr>
          <w:lang w:eastAsia="ja-JP"/>
        </w:rPr>
        <w:t xml:space="preserve">increased alkaline </w:t>
      </w:r>
      <w:r w:rsidRPr="002E7063">
        <w:rPr>
          <w:lang w:eastAsia="ja-JP"/>
        </w:rPr>
        <w:t>phosphatase (</w:t>
      </w:r>
      <w:r w:rsidR="002E7063" w:rsidRPr="002E7063">
        <w:rPr>
          <w:lang w:eastAsia="ja-JP"/>
        </w:rPr>
        <w:t>Table 51</w:t>
      </w:r>
      <w:r w:rsidRPr="002E7063">
        <w:rPr>
          <w:lang w:eastAsia="ja-JP"/>
        </w:rPr>
        <w:t>).</w:t>
      </w:r>
    </w:p>
    <w:p w14:paraId="1F5BDE14" w14:textId="77777777" w:rsidR="0023381B" w:rsidRPr="00846EC1" w:rsidRDefault="0023381B" w:rsidP="0023381B">
      <w:pPr>
        <w:rPr>
          <w:lang w:eastAsia="ja-JP"/>
        </w:rPr>
      </w:pPr>
      <w:r w:rsidRPr="00846EC1">
        <w:rPr>
          <w:lang w:eastAsia="ja-JP"/>
        </w:rPr>
        <w:t>No abnormalities were observed regarding vital signs or growth in this paediatric</w:t>
      </w:r>
      <w:r>
        <w:rPr>
          <w:lang w:eastAsia="ja-JP"/>
        </w:rPr>
        <w:t xml:space="preserve"> </w:t>
      </w:r>
      <w:r w:rsidRPr="00846EC1">
        <w:rPr>
          <w:lang w:eastAsia="ja-JP"/>
        </w:rPr>
        <w:t>population.</w:t>
      </w:r>
      <w:r>
        <w:rPr>
          <w:lang w:eastAsia="ja-JP"/>
        </w:rPr>
        <w:t xml:space="preserve"> B</w:t>
      </w:r>
      <w:r w:rsidRPr="005E07D5">
        <w:rPr>
          <w:lang w:eastAsia="ja-JP"/>
        </w:rPr>
        <w:t>oth average weight and height increase</w:t>
      </w:r>
      <w:r>
        <w:rPr>
          <w:lang w:eastAsia="ja-JP"/>
        </w:rPr>
        <w:t xml:space="preserve">d over the course of the </w:t>
      </w:r>
      <w:r w:rsidR="0066478A">
        <w:rPr>
          <w:lang w:eastAsia="ja-JP"/>
        </w:rPr>
        <w:t>study</w:t>
      </w:r>
      <w:r>
        <w:rPr>
          <w:lang w:eastAsia="ja-JP"/>
        </w:rPr>
        <w:t xml:space="preserve">, </w:t>
      </w:r>
      <w:r w:rsidRPr="005E07D5">
        <w:rPr>
          <w:lang w:eastAsia="ja-JP"/>
        </w:rPr>
        <w:t>reflecting growth. The mean Z-score of he</w:t>
      </w:r>
      <w:r w:rsidR="009C6335">
        <w:rPr>
          <w:lang w:eastAsia="ja-JP"/>
        </w:rPr>
        <w:t xml:space="preserve">ight for </w:t>
      </w:r>
      <w:r w:rsidRPr="005E07D5">
        <w:rPr>
          <w:lang w:eastAsia="ja-JP"/>
        </w:rPr>
        <w:t>age remained constant and slightly</w:t>
      </w:r>
      <w:r>
        <w:rPr>
          <w:lang w:eastAsia="ja-JP"/>
        </w:rPr>
        <w:t xml:space="preserve"> </w:t>
      </w:r>
      <w:r w:rsidRPr="005E07D5">
        <w:rPr>
          <w:lang w:eastAsia="ja-JP"/>
        </w:rPr>
        <w:t>below zero.</w:t>
      </w:r>
    </w:p>
    <w:p w14:paraId="22636C73" w14:textId="77777777" w:rsidR="0023381B" w:rsidRDefault="0023381B" w:rsidP="0023381B">
      <w:pPr>
        <w:rPr>
          <w:lang w:eastAsia="ja-JP"/>
        </w:rPr>
      </w:pPr>
      <w:r w:rsidRPr="00846EC1">
        <w:rPr>
          <w:lang w:eastAsia="ja-JP"/>
        </w:rPr>
        <w:t xml:space="preserve">The estimated </w:t>
      </w:r>
      <w:r w:rsidR="009C6335">
        <w:rPr>
          <w:lang w:eastAsia="ja-JP"/>
        </w:rPr>
        <w:t>5 year</w:t>
      </w:r>
      <w:r w:rsidRPr="00846EC1">
        <w:rPr>
          <w:lang w:eastAsia="ja-JP"/>
        </w:rPr>
        <w:t xml:space="preserve"> survival was 78.0% (95% CI 55.8%, 90.0%).</w:t>
      </w:r>
    </w:p>
    <w:p w14:paraId="5B4440AE" w14:textId="77777777" w:rsidR="0023381B" w:rsidRDefault="0023381B" w:rsidP="0023381B">
      <w:pPr>
        <w:pStyle w:val="Tabletitle"/>
        <w:rPr>
          <w:lang w:eastAsia="ja-JP"/>
        </w:rPr>
      </w:pPr>
      <w:bookmarkStart w:id="298" w:name="_Ref463945725"/>
      <w:bookmarkStart w:id="299" w:name="_Toc473884092"/>
      <w:r w:rsidRPr="002E7063">
        <w:t xml:space="preserve">Table </w:t>
      </w:r>
      <w:bookmarkEnd w:id="298"/>
      <w:r w:rsidR="002E7063" w:rsidRPr="002E7063">
        <w:t>48</w:t>
      </w:r>
      <w:r w:rsidR="002E7063">
        <w:t>:</w:t>
      </w:r>
      <w:r>
        <w:t xml:space="preserve"> FUTURE-2 </w:t>
      </w:r>
      <w:r w:rsidRPr="008E7CD9">
        <w:t>Summary of all reported death cases by frequency</w:t>
      </w:r>
      <w:bookmarkEnd w:id="299"/>
    </w:p>
    <w:p w14:paraId="6472494C" w14:textId="77777777" w:rsidR="00287323" w:rsidRDefault="0023381B" w:rsidP="00287323">
      <w:pPr>
        <w:rPr>
          <w:lang w:eastAsia="ja-JP"/>
        </w:rPr>
      </w:pPr>
      <w:r>
        <w:rPr>
          <w:noProof/>
          <w:lang w:eastAsia="en-AU"/>
        </w:rPr>
        <w:drawing>
          <wp:inline distT="0" distB="0" distL="0" distR="0" wp14:anchorId="00E9CADE" wp14:editId="24185B40">
            <wp:extent cx="4638675" cy="2171700"/>
            <wp:effectExtent l="0" t="0" r="9525" b="0"/>
            <wp:docPr id="69" name="Picture 69" descr="Table 48: FUTURE-2 Summary of all reported death cases by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638675" cy="2171700"/>
                    </a:xfrm>
                    <a:prstGeom prst="rect">
                      <a:avLst/>
                    </a:prstGeom>
                  </pic:spPr>
                </pic:pic>
              </a:graphicData>
            </a:graphic>
          </wp:inline>
        </w:drawing>
      </w:r>
    </w:p>
    <w:p w14:paraId="0F72CCA4" w14:textId="5FB10780" w:rsidR="0023381B" w:rsidRDefault="0023381B" w:rsidP="0023381B">
      <w:pPr>
        <w:pStyle w:val="Tabletitle"/>
        <w:rPr>
          <w:lang w:eastAsia="ja-JP"/>
        </w:rPr>
      </w:pPr>
      <w:bookmarkStart w:id="300" w:name="_Ref463942058"/>
      <w:bookmarkStart w:id="301" w:name="_Toc473884093"/>
      <w:r w:rsidRPr="002E7063">
        <w:t xml:space="preserve">Table </w:t>
      </w:r>
      <w:bookmarkEnd w:id="300"/>
      <w:r w:rsidR="002E7063" w:rsidRPr="002E7063">
        <w:t>49:</w:t>
      </w:r>
      <w:r w:rsidRPr="002E7063">
        <w:t xml:space="preserve"> FUTURE</w:t>
      </w:r>
      <w:r>
        <w:t xml:space="preserve">-2 </w:t>
      </w:r>
      <w:r w:rsidRPr="00BE6AC6">
        <w:t xml:space="preserve">Overall summary of </w:t>
      </w:r>
      <w:r>
        <w:t>TE</w:t>
      </w:r>
      <w:r w:rsidRPr="00BE6AC6">
        <w:t>AEs/SAEs</w:t>
      </w:r>
      <w:r w:rsidR="002F6811">
        <w:t xml:space="preserve">, </w:t>
      </w:r>
      <w:r w:rsidRPr="00BE6AC6">
        <w:t>All-treated set</w:t>
      </w:r>
      <w:bookmarkEnd w:id="301"/>
    </w:p>
    <w:p w14:paraId="422175DC" w14:textId="77777777" w:rsidR="00287323" w:rsidRDefault="0023381B" w:rsidP="00287323">
      <w:pPr>
        <w:rPr>
          <w:lang w:eastAsia="ja-JP"/>
        </w:rPr>
      </w:pPr>
      <w:r>
        <w:rPr>
          <w:noProof/>
          <w:lang w:eastAsia="en-AU"/>
        </w:rPr>
        <w:drawing>
          <wp:inline distT="0" distB="0" distL="0" distR="0" wp14:anchorId="55716D5B" wp14:editId="7B7D2FDB">
            <wp:extent cx="4842662" cy="1681592"/>
            <wp:effectExtent l="0" t="0" r="0" b="0"/>
            <wp:docPr id="70" name="Picture 70" descr="Table 49: FUTURE-2 Overall summary of TEAEs/SAEs –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4842339" cy="1681480"/>
                    </a:xfrm>
                    <a:prstGeom prst="rect">
                      <a:avLst/>
                    </a:prstGeom>
                  </pic:spPr>
                </pic:pic>
              </a:graphicData>
            </a:graphic>
          </wp:inline>
        </w:drawing>
      </w:r>
    </w:p>
    <w:p w14:paraId="18B3614D" w14:textId="2579AA32" w:rsidR="0023381B" w:rsidRPr="00EB4B7A" w:rsidRDefault="0023381B" w:rsidP="0023381B">
      <w:pPr>
        <w:pStyle w:val="Tabletitle"/>
      </w:pPr>
      <w:bookmarkStart w:id="302" w:name="_Ref463944745"/>
      <w:bookmarkStart w:id="303" w:name="_Toc473884094"/>
      <w:r w:rsidRPr="002E7063">
        <w:lastRenderedPageBreak/>
        <w:t xml:space="preserve">Table </w:t>
      </w:r>
      <w:bookmarkEnd w:id="302"/>
      <w:r w:rsidR="002E7063" w:rsidRPr="002E7063">
        <w:t>50:</w:t>
      </w:r>
      <w:r w:rsidRPr="002E7063">
        <w:t xml:space="preserve"> FUTURE-2 Summary of TEAEs leading to premature d</w:t>
      </w:r>
      <w:r w:rsidR="002E7063">
        <w:t>iscontinuation by SOC;</w:t>
      </w:r>
      <w:r w:rsidRPr="00EB4B7A">
        <w:t xml:space="preserve"> All</w:t>
      </w:r>
      <w:r w:rsidR="00745627">
        <w:noBreakHyphen/>
      </w:r>
      <w:r w:rsidRPr="00EB4B7A">
        <w:t>treated set</w:t>
      </w:r>
      <w:bookmarkEnd w:id="303"/>
    </w:p>
    <w:p w14:paraId="34A87B6C" w14:textId="77777777" w:rsidR="00287323" w:rsidRDefault="0023381B" w:rsidP="00287323">
      <w:pPr>
        <w:rPr>
          <w:lang w:eastAsia="ja-JP"/>
        </w:rPr>
      </w:pPr>
      <w:r>
        <w:rPr>
          <w:noProof/>
          <w:lang w:eastAsia="en-AU"/>
        </w:rPr>
        <w:drawing>
          <wp:inline distT="0" distB="0" distL="0" distR="0" wp14:anchorId="0CA1ED62" wp14:editId="3B1C6FCA">
            <wp:extent cx="4543425" cy="5095875"/>
            <wp:effectExtent l="0" t="0" r="9525" b="9525"/>
            <wp:docPr id="71" name="Picture 71" descr="Table 50: FUTURE-2 Summary of TEAEs leading to premature discontinuation by SOC;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4543425" cy="5095875"/>
                    </a:xfrm>
                    <a:prstGeom prst="rect">
                      <a:avLst/>
                    </a:prstGeom>
                  </pic:spPr>
                </pic:pic>
              </a:graphicData>
            </a:graphic>
          </wp:inline>
        </w:drawing>
      </w:r>
    </w:p>
    <w:p w14:paraId="3E93BDC5" w14:textId="06DD9FD7" w:rsidR="0023381B" w:rsidRPr="008E7CD9" w:rsidRDefault="0023381B" w:rsidP="0023381B">
      <w:pPr>
        <w:pStyle w:val="Tabletitle"/>
      </w:pPr>
      <w:bookmarkStart w:id="304" w:name="_Ref463946187"/>
      <w:bookmarkStart w:id="305" w:name="_Toc473884095"/>
      <w:r w:rsidRPr="002E7063">
        <w:lastRenderedPageBreak/>
        <w:t xml:space="preserve">Table </w:t>
      </w:r>
      <w:bookmarkEnd w:id="304"/>
      <w:r w:rsidR="002E7063" w:rsidRPr="002E7063">
        <w:t>51:</w:t>
      </w:r>
      <w:r w:rsidRPr="002E7063">
        <w:t xml:space="preserve"> FUTURE-2 </w:t>
      </w:r>
      <w:r w:rsidR="00A5161C" w:rsidRPr="002E7063">
        <w:t>Treatment emergent</w:t>
      </w:r>
      <w:r w:rsidRPr="002E7063">
        <w:t xml:space="preserve"> ma</w:t>
      </w:r>
      <w:r w:rsidR="002E7063">
        <w:t xml:space="preserve">rked laboratory abnormalities; </w:t>
      </w:r>
      <w:r w:rsidRPr="002E7063">
        <w:t>All</w:t>
      </w:r>
      <w:r w:rsidR="00745627">
        <w:noBreakHyphen/>
      </w:r>
      <w:r w:rsidRPr="002E7063">
        <w:t>treated</w:t>
      </w:r>
      <w:r w:rsidR="00745627">
        <w:t> </w:t>
      </w:r>
      <w:r w:rsidRPr="008E7CD9">
        <w:t>set</w:t>
      </w:r>
      <w:bookmarkEnd w:id="305"/>
    </w:p>
    <w:p w14:paraId="44E3F8BF" w14:textId="77777777" w:rsidR="00287323" w:rsidRDefault="0023381B" w:rsidP="00287323">
      <w:pPr>
        <w:rPr>
          <w:lang w:eastAsia="ja-JP"/>
        </w:rPr>
      </w:pPr>
      <w:r>
        <w:rPr>
          <w:noProof/>
          <w:lang w:eastAsia="en-AU"/>
        </w:rPr>
        <w:drawing>
          <wp:inline distT="0" distB="0" distL="0" distR="0" wp14:anchorId="4CF97225" wp14:editId="189CE683">
            <wp:extent cx="5067300" cy="4410075"/>
            <wp:effectExtent l="0" t="0" r="0" b="9525"/>
            <wp:docPr id="72" name="Picture 72" descr="Table 51: FUTURE-2 Treatment emergent marked laboratory abnormalitie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067300" cy="4410075"/>
                    </a:xfrm>
                    <a:prstGeom prst="rect">
                      <a:avLst/>
                    </a:prstGeom>
                  </pic:spPr>
                </pic:pic>
              </a:graphicData>
            </a:graphic>
          </wp:inline>
        </w:drawing>
      </w:r>
    </w:p>
    <w:p w14:paraId="78CA8A7B" w14:textId="77777777" w:rsidR="0023381B" w:rsidRDefault="0023381B" w:rsidP="0023381B">
      <w:pPr>
        <w:pStyle w:val="FigureTitle"/>
        <w:rPr>
          <w:lang w:eastAsia="ja-JP"/>
        </w:rPr>
      </w:pPr>
      <w:bookmarkStart w:id="306" w:name="_Toc473884175"/>
      <w:r w:rsidRPr="008806DA">
        <w:t xml:space="preserve">Figure </w:t>
      </w:r>
      <w:r w:rsidR="008806DA" w:rsidRPr="008806DA">
        <w:t>24:</w:t>
      </w:r>
      <w:r>
        <w:t xml:space="preserve"> FUTURE-2 KM </w:t>
      </w:r>
      <w:r w:rsidR="007C6D8D">
        <w:t>long term</w:t>
      </w:r>
      <w:r w:rsidR="008806DA">
        <w:t xml:space="preserve"> survival estimates;</w:t>
      </w:r>
      <w:r w:rsidRPr="00693EF1">
        <w:t xml:space="preserve"> All-treated set</w:t>
      </w:r>
      <w:bookmarkEnd w:id="306"/>
    </w:p>
    <w:p w14:paraId="0D2F7B63" w14:textId="77777777" w:rsidR="00287323" w:rsidRDefault="0023381B" w:rsidP="00287323">
      <w:pPr>
        <w:rPr>
          <w:lang w:eastAsia="ja-JP"/>
        </w:rPr>
      </w:pPr>
      <w:r>
        <w:rPr>
          <w:noProof/>
          <w:lang w:eastAsia="en-AU"/>
        </w:rPr>
        <w:drawing>
          <wp:inline distT="0" distB="0" distL="0" distR="0" wp14:anchorId="5643E6BC" wp14:editId="05F7AE84">
            <wp:extent cx="4591050" cy="3343275"/>
            <wp:effectExtent l="0" t="0" r="0" b="9525"/>
            <wp:docPr id="73" name="Picture 73" descr="Figure 24: FUTURE-2 KM long term survival estimate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591050" cy="3343275"/>
                    </a:xfrm>
                    <a:prstGeom prst="rect">
                      <a:avLst/>
                    </a:prstGeom>
                  </pic:spPr>
                </pic:pic>
              </a:graphicData>
            </a:graphic>
          </wp:inline>
        </w:drawing>
      </w:r>
    </w:p>
    <w:p w14:paraId="719D2B40" w14:textId="77777777" w:rsidR="0023381B" w:rsidRPr="0023381B" w:rsidRDefault="0023381B" w:rsidP="004E5DCA">
      <w:pPr>
        <w:pStyle w:val="Heading5"/>
        <w:numPr>
          <w:ilvl w:val="3"/>
          <w:numId w:val="21"/>
        </w:numPr>
      </w:pPr>
      <w:r w:rsidRPr="0023381B">
        <w:lastRenderedPageBreak/>
        <w:t>Evaluator commentary</w:t>
      </w:r>
    </w:p>
    <w:p w14:paraId="35912F7C" w14:textId="77777777" w:rsidR="0023381B" w:rsidRDefault="0023381B" w:rsidP="0023381B">
      <w:pPr>
        <w:rPr>
          <w:lang w:eastAsia="ja-JP"/>
        </w:rPr>
      </w:pPr>
      <w:r>
        <w:rPr>
          <w:lang w:eastAsia="ja-JP"/>
        </w:rPr>
        <w:t xml:space="preserve">TEAEs occurred in the majority of patients (88.9%) but </w:t>
      </w:r>
      <w:r w:rsidR="009C6335">
        <w:rPr>
          <w:lang w:eastAsia="ja-JP"/>
        </w:rPr>
        <w:t>bosentan related</w:t>
      </w:r>
      <w:r>
        <w:rPr>
          <w:lang w:eastAsia="ja-JP"/>
        </w:rPr>
        <w:t xml:space="preserve"> TEAEs occurred in a smaller proportion of the </w:t>
      </w:r>
      <w:r w:rsidR="0066478A">
        <w:rPr>
          <w:lang w:eastAsia="ja-JP"/>
        </w:rPr>
        <w:t>study</w:t>
      </w:r>
      <w:r>
        <w:rPr>
          <w:lang w:eastAsia="ja-JP"/>
        </w:rPr>
        <w:t xml:space="preserve"> population (41.7%). </w:t>
      </w:r>
      <w:r w:rsidRPr="00D62F63">
        <w:rPr>
          <w:lang w:eastAsia="ja-JP"/>
        </w:rPr>
        <w:t xml:space="preserve">The </w:t>
      </w:r>
      <w:r>
        <w:rPr>
          <w:lang w:eastAsia="ja-JP"/>
        </w:rPr>
        <w:t>AEs abdominal pain,</w:t>
      </w:r>
      <w:r w:rsidRPr="00D62F63">
        <w:rPr>
          <w:lang w:eastAsia="ja-JP"/>
        </w:rPr>
        <w:t xml:space="preserve"> chest pain,</w:t>
      </w:r>
      <w:r>
        <w:rPr>
          <w:lang w:eastAsia="ja-JP"/>
        </w:rPr>
        <w:t xml:space="preserve"> and </w:t>
      </w:r>
      <w:r w:rsidRPr="00D62F63">
        <w:rPr>
          <w:lang w:eastAsia="ja-JP"/>
        </w:rPr>
        <w:t xml:space="preserve">headache </w:t>
      </w:r>
      <w:r>
        <w:rPr>
          <w:lang w:eastAsia="ja-JP"/>
        </w:rPr>
        <w:t xml:space="preserve">are all described in the current Tracleer PI and the </w:t>
      </w:r>
      <w:r w:rsidR="007C6D8D">
        <w:rPr>
          <w:lang w:eastAsia="ja-JP"/>
        </w:rPr>
        <w:t>sponsor</w:t>
      </w:r>
      <w:r>
        <w:rPr>
          <w:lang w:eastAsia="ja-JP"/>
        </w:rPr>
        <w:t xml:space="preserve"> has proposed adding </w:t>
      </w:r>
      <w:r w:rsidRPr="00D62F63">
        <w:rPr>
          <w:lang w:eastAsia="ja-JP"/>
        </w:rPr>
        <w:t xml:space="preserve">nasal congestion </w:t>
      </w:r>
      <w:r w:rsidR="009C6335">
        <w:rPr>
          <w:lang w:eastAsia="ja-JP"/>
        </w:rPr>
        <w:t xml:space="preserve">to the table of post </w:t>
      </w:r>
      <w:r>
        <w:rPr>
          <w:lang w:eastAsia="ja-JP"/>
        </w:rPr>
        <w:t xml:space="preserve">marketing AEs. It is noted that one patient experienced </w:t>
      </w:r>
      <w:r w:rsidRPr="00D62F63">
        <w:rPr>
          <w:lang w:eastAsia="ja-JP"/>
        </w:rPr>
        <w:t>autoimmune hepatitis</w:t>
      </w:r>
      <w:r>
        <w:rPr>
          <w:lang w:eastAsia="ja-JP"/>
        </w:rPr>
        <w:t xml:space="preserve">. This AE is discussed in </w:t>
      </w:r>
      <w:r w:rsidRPr="009C6335">
        <w:rPr>
          <w:lang w:eastAsia="ja-JP"/>
        </w:rPr>
        <w:t xml:space="preserve">more detail in </w:t>
      </w:r>
      <w:r w:rsidR="009C6335" w:rsidRPr="009C6335">
        <w:rPr>
          <w:lang w:eastAsia="ja-JP"/>
        </w:rPr>
        <w:t>Section 8</w:t>
      </w:r>
      <w:r w:rsidRPr="009C6335">
        <w:rPr>
          <w:lang w:eastAsia="ja-JP"/>
        </w:rPr>
        <w:t>.</w:t>
      </w:r>
    </w:p>
    <w:p w14:paraId="1DD77DFE" w14:textId="77777777" w:rsidR="0023381B" w:rsidRPr="0023381B" w:rsidRDefault="0023381B" w:rsidP="0023381B">
      <w:pPr>
        <w:pStyle w:val="Heading4"/>
      </w:pPr>
      <w:bookmarkStart w:id="307" w:name="_Ref465003287"/>
      <w:r w:rsidRPr="0023381B">
        <w:t>AC-052-374 FUTURE-3 Extension</w:t>
      </w:r>
      <w:bookmarkEnd w:id="307"/>
    </w:p>
    <w:p w14:paraId="6F0939DC" w14:textId="77777777" w:rsidR="0023381B" w:rsidRPr="0023381B" w:rsidRDefault="0023381B" w:rsidP="0023381B">
      <w:pPr>
        <w:pStyle w:val="Heading5"/>
      </w:pPr>
      <w:r w:rsidRPr="0023381B">
        <w:t>Study design, objectives, locations and dates</w:t>
      </w:r>
    </w:p>
    <w:p w14:paraId="4FFD9CCA" w14:textId="77777777" w:rsidR="0023381B" w:rsidRDefault="0023381B" w:rsidP="0023381B">
      <w:r>
        <w:t xml:space="preserve">The FUTURE-3 Extension </w:t>
      </w:r>
      <w:r w:rsidR="00E77015">
        <w:t>Study</w:t>
      </w:r>
      <w:r>
        <w:t xml:space="preserve"> was a p</w:t>
      </w:r>
      <w:r w:rsidRPr="00BB473D">
        <w:t xml:space="preserve">rospective, multicentre, multinational, </w:t>
      </w:r>
      <w:r w:rsidR="009C6335">
        <w:t>open label</w:t>
      </w:r>
      <w:r w:rsidRPr="00BB473D">
        <w:t xml:space="preserve">, double-arm, exploratory </w:t>
      </w:r>
      <w:r w:rsidR="00CF6063">
        <w:t>Phase III</w:t>
      </w:r>
      <w:r>
        <w:t xml:space="preserve"> </w:t>
      </w:r>
      <w:r w:rsidRPr="00BB473D">
        <w:t>one-year extensio</w:t>
      </w:r>
      <w:r>
        <w:t xml:space="preserve">n to </w:t>
      </w:r>
      <w:r w:rsidR="009C6335">
        <w:t>FUTURE-3 Core Study</w:t>
      </w:r>
      <w:r w:rsidRPr="00BB473D">
        <w:t>.</w:t>
      </w:r>
    </w:p>
    <w:p w14:paraId="4F74D290" w14:textId="798E2216" w:rsidR="0023381B" w:rsidRPr="00BB473D" w:rsidRDefault="0023381B" w:rsidP="0023381B">
      <w:r w:rsidRPr="00BB473D">
        <w:t xml:space="preserve">The patient population in this extension </w:t>
      </w:r>
      <w:r w:rsidR="0066478A">
        <w:t>study</w:t>
      </w:r>
      <w:r w:rsidRPr="00BB473D">
        <w:t xml:space="preserve"> included male and female paediatric patients</w:t>
      </w:r>
      <w:r>
        <w:t xml:space="preserve"> </w:t>
      </w:r>
      <w:r w:rsidRPr="00BB473D">
        <w:t xml:space="preserve">who completed the </w:t>
      </w:r>
      <w:r w:rsidR="009C6335">
        <w:t xml:space="preserve">FUTURE-3 </w:t>
      </w:r>
      <w:r w:rsidR="00745627">
        <w:t>core study</w:t>
      </w:r>
      <w:r w:rsidRPr="00BB473D">
        <w:t>, either per protocol or who prematurely</w:t>
      </w:r>
      <w:r>
        <w:t xml:space="preserve"> </w:t>
      </w:r>
      <w:r w:rsidRPr="00BB473D">
        <w:t xml:space="preserve">discontinued </w:t>
      </w:r>
      <w:r w:rsidR="0066478A">
        <w:t>study</w:t>
      </w:r>
      <w:r w:rsidRPr="00BB473D">
        <w:t xml:space="preserve"> treatment due to PAH progression, and had performed relevant </w:t>
      </w:r>
      <w:r>
        <w:t>EOS</w:t>
      </w:r>
      <w:r w:rsidRPr="00BB473D">
        <w:t xml:space="preserve"> assessments. In addition, patients were required to have tolerated treatment</w:t>
      </w:r>
      <w:r>
        <w:t xml:space="preserve"> </w:t>
      </w:r>
      <w:r w:rsidRPr="00BB473D">
        <w:t xml:space="preserve">with the bosentan dispersible tablet formulation during the </w:t>
      </w:r>
      <w:r w:rsidR="009C6335">
        <w:t xml:space="preserve">FUTURE-3 </w:t>
      </w:r>
      <w:r w:rsidR="00745627">
        <w:t>core study</w:t>
      </w:r>
      <w:r w:rsidR="00745627" w:rsidRPr="00BB473D">
        <w:t xml:space="preserve"> </w:t>
      </w:r>
      <w:r w:rsidRPr="00BB473D">
        <w:t>and</w:t>
      </w:r>
      <w:r>
        <w:t xml:space="preserve"> </w:t>
      </w:r>
      <w:r w:rsidRPr="00BB473D">
        <w:t>were considered by the investigator to benefit from continued bosentan treatment.</w:t>
      </w:r>
    </w:p>
    <w:p w14:paraId="4FBECEB4" w14:textId="42BFB4EF" w:rsidR="0023381B" w:rsidRPr="00BB473D" w:rsidRDefault="0023381B" w:rsidP="0023381B">
      <w:r w:rsidRPr="00BB473D">
        <w:t>Treatment groups assigned at randomi</w:t>
      </w:r>
      <w:r>
        <w:t>s</w:t>
      </w:r>
      <w:r w:rsidRPr="00BB473D">
        <w:t xml:space="preserve">ation of </w:t>
      </w:r>
      <w:r w:rsidR="009C6335">
        <w:t xml:space="preserve">FUTURE-3 </w:t>
      </w:r>
      <w:r w:rsidR="00622CD3">
        <w:t>core study</w:t>
      </w:r>
      <w:r w:rsidR="00622CD3" w:rsidRPr="00BB473D">
        <w:t xml:space="preserve"> </w:t>
      </w:r>
      <w:r w:rsidRPr="00BB473D">
        <w:t>were continued in</w:t>
      </w:r>
      <w:r>
        <w:t xml:space="preserve"> </w:t>
      </w:r>
      <w:r w:rsidRPr="00BB473D">
        <w:t xml:space="preserve">the extension </w:t>
      </w:r>
      <w:r w:rsidR="0066478A">
        <w:t>study</w:t>
      </w:r>
      <w:r w:rsidRPr="00BB473D">
        <w:t>. Patients received 32 mg dispersible tablet formulation of bosentan,</w:t>
      </w:r>
      <w:r>
        <w:t xml:space="preserve"> </w:t>
      </w:r>
      <w:r w:rsidRPr="00BB473D">
        <w:t>adjusted to their body weight at each visit (if required), according to the same dosing</w:t>
      </w:r>
      <w:r>
        <w:t xml:space="preserve"> </w:t>
      </w:r>
      <w:r w:rsidRPr="00BB473D">
        <w:t xml:space="preserve">regimen as in the </w:t>
      </w:r>
      <w:r w:rsidR="009C6335">
        <w:t xml:space="preserve">FUTURE-3 </w:t>
      </w:r>
      <w:r w:rsidR="00622CD3">
        <w:t>core study</w:t>
      </w:r>
      <w:r w:rsidR="00622CD3" w:rsidRPr="00BB473D">
        <w:t xml:space="preserve"> </w:t>
      </w:r>
      <w:r w:rsidRPr="00BB473D">
        <w:t>(</w:t>
      </w:r>
      <w:r w:rsidR="00CF6063">
        <w:t>that is</w:t>
      </w:r>
      <w:r w:rsidRPr="00BB473D">
        <w:t xml:space="preserve">, 2 mg/kg either </w:t>
      </w:r>
      <w:r w:rsidR="007C6D8D">
        <w:t>BD</w:t>
      </w:r>
      <w:r w:rsidRPr="00BB473D">
        <w:t xml:space="preserve"> or </w:t>
      </w:r>
      <w:r w:rsidR="007C6D8D">
        <w:t>TDS</w:t>
      </w:r>
      <w:r w:rsidRPr="00BB473D">
        <w:t>).</w:t>
      </w:r>
    </w:p>
    <w:p w14:paraId="660CBAE9" w14:textId="48C2D035" w:rsidR="0023381B" w:rsidRPr="00BB473D" w:rsidRDefault="0023381B" w:rsidP="0023381B">
      <w:r w:rsidRPr="00BB473D">
        <w:t>The sequence of the assessment of efficacy (except h</w:t>
      </w:r>
      <w:r>
        <w:t>a</w:t>
      </w:r>
      <w:r w:rsidRPr="00BB473D">
        <w:t>emodynamics, echocardiography</w:t>
      </w:r>
      <w:r>
        <w:t xml:space="preserve"> </w:t>
      </w:r>
      <w:r w:rsidRPr="00BB473D">
        <w:t xml:space="preserve">and n-terminal prohormone brain natriuretic peptide </w:t>
      </w:r>
      <w:r w:rsidR="00622CD3">
        <w:t>(</w:t>
      </w:r>
      <w:r w:rsidRPr="00BB473D">
        <w:t>NT-proBNP</w:t>
      </w:r>
      <w:r w:rsidR="00622CD3">
        <w:t>)</w:t>
      </w:r>
      <w:r w:rsidRPr="00BB473D">
        <w:t>) and safety variables</w:t>
      </w:r>
      <w:r>
        <w:t xml:space="preserve"> </w:t>
      </w:r>
      <w:r w:rsidRPr="00BB473D">
        <w:t xml:space="preserve">was applied uniformly throughout the </w:t>
      </w:r>
      <w:r w:rsidR="009C6335">
        <w:t xml:space="preserve">FUTURE-3 </w:t>
      </w:r>
      <w:r w:rsidR="00622CD3">
        <w:t>c</w:t>
      </w:r>
      <w:r w:rsidR="00622CD3" w:rsidRPr="00BB473D">
        <w:t xml:space="preserve">ore </w:t>
      </w:r>
      <w:r w:rsidRPr="00BB473D">
        <w:t xml:space="preserve">and </w:t>
      </w:r>
      <w:r w:rsidR="009C6335">
        <w:t xml:space="preserve">FUTURE-3 </w:t>
      </w:r>
      <w:r w:rsidR="00622CD3">
        <w:t>e</w:t>
      </w:r>
      <w:r w:rsidR="00622CD3" w:rsidRPr="00BB473D">
        <w:t xml:space="preserve">xtension </w:t>
      </w:r>
      <w:r w:rsidRPr="00BB473D">
        <w:t>studies.</w:t>
      </w:r>
    </w:p>
    <w:p w14:paraId="116B6F96" w14:textId="5A8981BD" w:rsidR="0023381B" w:rsidRPr="00BB473D" w:rsidRDefault="0023381B" w:rsidP="0023381B">
      <w:r w:rsidRPr="00BB473D">
        <w:t xml:space="preserve">Assessments at visits were performed at 3-monthly intervals consistently in the </w:t>
      </w:r>
      <w:r w:rsidR="009C6335">
        <w:t xml:space="preserve">FUTURE-3 </w:t>
      </w:r>
      <w:r w:rsidR="00622CD3">
        <w:t>c</w:t>
      </w:r>
      <w:r w:rsidR="00622CD3" w:rsidRPr="00BB473D">
        <w:t xml:space="preserve">ore </w:t>
      </w:r>
      <w:r w:rsidRPr="00BB473D">
        <w:t xml:space="preserve">and </w:t>
      </w:r>
      <w:r w:rsidR="009C6335">
        <w:t xml:space="preserve">FUTURE-3 </w:t>
      </w:r>
      <w:r w:rsidR="00622CD3">
        <w:t>e</w:t>
      </w:r>
      <w:r w:rsidR="00622CD3" w:rsidRPr="00BB473D">
        <w:t xml:space="preserve">xtension </w:t>
      </w:r>
      <w:r w:rsidRPr="00BB473D">
        <w:t>studies.</w:t>
      </w:r>
    </w:p>
    <w:p w14:paraId="61A49965" w14:textId="77777777" w:rsidR="0023381B" w:rsidRPr="00BB473D" w:rsidRDefault="0023381B" w:rsidP="0023381B">
      <w:r w:rsidRPr="00BB473D">
        <w:t xml:space="preserve">The extension </w:t>
      </w:r>
      <w:r w:rsidR="0066478A">
        <w:t>study</w:t>
      </w:r>
      <w:r w:rsidRPr="00BB473D">
        <w:t xml:space="preserve"> was planned to continue bosentan treatment for a further 12 months</w:t>
      </w:r>
      <w:r>
        <w:t xml:space="preserve"> </w:t>
      </w:r>
      <w:r w:rsidR="009C6335">
        <w:t>(48 </w:t>
      </w:r>
      <w:r w:rsidRPr="00BB473D">
        <w:t xml:space="preserve">weeks) in addition to the core </w:t>
      </w:r>
      <w:r w:rsidR="0066478A">
        <w:t>study</w:t>
      </w:r>
      <w:r w:rsidRPr="00BB473D">
        <w:t xml:space="preserve"> and was dependant on when the investigator</w:t>
      </w:r>
      <w:r>
        <w:t xml:space="preserve"> </w:t>
      </w:r>
      <w:r w:rsidRPr="00BB473D">
        <w:t xml:space="preserve">decided to permanently discontinue a patient’s </w:t>
      </w:r>
      <w:r w:rsidR="0066478A">
        <w:t>study</w:t>
      </w:r>
      <w:r w:rsidRPr="00BB473D">
        <w:t xml:space="preserve"> treatment.</w:t>
      </w:r>
    </w:p>
    <w:p w14:paraId="029D919C" w14:textId="77777777" w:rsidR="0023381B" w:rsidRDefault="0023381B" w:rsidP="0023381B">
      <w:r w:rsidRPr="00BB473D">
        <w:t xml:space="preserve">Following the </w:t>
      </w:r>
      <w:r>
        <w:t>EOT</w:t>
      </w:r>
      <w:r w:rsidR="009C6335">
        <w:t xml:space="preserve">, there was a 60 day post </w:t>
      </w:r>
      <w:r w:rsidRPr="00BB473D">
        <w:t>treatment follow-up period for</w:t>
      </w:r>
      <w:r>
        <w:t xml:space="preserve"> </w:t>
      </w:r>
      <w:r w:rsidRPr="00BB473D">
        <w:t>each patient.</w:t>
      </w:r>
    </w:p>
    <w:p w14:paraId="71E7BFF2" w14:textId="738D4E98" w:rsidR="0023381B" w:rsidRDefault="0023381B" w:rsidP="0023381B">
      <w:pPr>
        <w:pStyle w:val="FigureTitle"/>
      </w:pPr>
      <w:bookmarkStart w:id="308" w:name="_Toc473884176"/>
      <w:r w:rsidRPr="008806DA">
        <w:t xml:space="preserve">Figure </w:t>
      </w:r>
      <w:r w:rsidR="008806DA" w:rsidRPr="008806DA">
        <w:t>25</w:t>
      </w:r>
      <w:r w:rsidR="008806DA">
        <w:t>:</w:t>
      </w:r>
      <w:r>
        <w:t xml:space="preserve"> FUTURE-3 Extension </w:t>
      </w:r>
      <w:r w:rsidR="00622CD3">
        <w:t xml:space="preserve">study </w:t>
      </w:r>
      <w:bookmarkEnd w:id="308"/>
      <w:r w:rsidR="00622CD3">
        <w:t>design</w:t>
      </w:r>
    </w:p>
    <w:p w14:paraId="62BBA28C" w14:textId="77777777" w:rsidR="00287323" w:rsidRDefault="0023381B" w:rsidP="00287323">
      <w:pPr>
        <w:rPr>
          <w:lang w:eastAsia="ja-JP"/>
        </w:rPr>
      </w:pPr>
      <w:r>
        <w:rPr>
          <w:noProof/>
          <w:lang w:eastAsia="en-AU"/>
        </w:rPr>
        <w:drawing>
          <wp:inline distT="0" distB="0" distL="0" distR="0" wp14:anchorId="09EEA6DE" wp14:editId="23844CDF">
            <wp:extent cx="5238750" cy="1971675"/>
            <wp:effectExtent l="0" t="0" r="0" b="9525"/>
            <wp:docPr id="74" name="Picture 74" descr="Figure 25: FUTURE-3 Extension Study design&#10;Treatment groups assigned at randomisation of FUTURE-3 Core Study were continued in the extension study. Patients received 32 mg dispersible tablet formulation of bosentan, adjusted to their body weight at each visit (if required), according to the same dosing regimen as in the FUTURE-3 Core Study (that is, 2 mg/kg either BD or T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5238750" cy="1971675"/>
                    </a:xfrm>
                    <a:prstGeom prst="rect">
                      <a:avLst/>
                    </a:prstGeom>
                  </pic:spPr>
                </pic:pic>
              </a:graphicData>
            </a:graphic>
          </wp:inline>
        </w:drawing>
      </w:r>
    </w:p>
    <w:p w14:paraId="5357BA89" w14:textId="77777777" w:rsidR="0023381B" w:rsidRPr="00A41EB6" w:rsidRDefault="0023381B" w:rsidP="00A41EB6">
      <w:pPr>
        <w:pStyle w:val="Heading5"/>
        <w:numPr>
          <w:ilvl w:val="3"/>
          <w:numId w:val="8"/>
        </w:numPr>
      </w:pPr>
      <w:r w:rsidRPr="00A41EB6">
        <w:t>Inclusion and exclusion criteria</w:t>
      </w:r>
    </w:p>
    <w:p w14:paraId="679C0643" w14:textId="77777777" w:rsidR="0023381B" w:rsidRDefault="0023381B" w:rsidP="00A41EB6">
      <w:r>
        <w:t>The following inclusion criteria were applied:</w:t>
      </w:r>
    </w:p>
    <w:p w14:paraId="67A93924" w14:textId="0334A0BF" w:rsidR="0023381B" w:rsidRDefault="0023381B" w:rsidP="00A41EB6">
      <w:pPr>
        <w:pStyle w:val="ListBullet"/>
      </w:pPr>
      <w:r>
        <w:t xml:space="preserve">Completed the </w:t>
      </w:r>
      <w:r w:rsidR="009C6335">
        <w:t>FUTURE-3</w:t>
      </w:r>
      <w:r>
        <w:t xml:space="preserve"> </w:t>
      </w:r>
      <w:r w:rsidR="00E77015">
        <w:t>Study</w:t>
      </w:r>
      <w:r>
        <w:t xml:space="preserve"> or prematurely discontinued due to PAH-progression, if bosentan was not permanently discontinued.</w:t>
      </w:r>
    </w:p>
    <w:p w14:paraId="6201FD22" w14:textId="150775CA" w:rsidR="0023381B" w:rsidRDefault="0023381B" w:rsidP="00A41EB6">
      <w:pPr>
        <w:pStyle w:val="ListBullet"/>
      </w:pPr>
      <w:r>
        <w:lastRenderedPageBreak/>
        <w:t xml:space="preserve">Tolerated bosentan 32 mg dispersible tablet formulation and for whom bosentan was considered beneficial at the end of the </w:t>
      </w:r>
      <w:r w:rsidR="009C6335">
        <w:t>FUTURE-3</w:t>
      </w:r>
      <w:r>
        <w:t xml:space="preserve"> </w:t>
      </w:r>
      <w:r w:rsidR="00E77015">
        <w:t>Study</w:t>
      </w:r>
      <w:r>
        <w:t>.</w:t>
      </w:r>
    </w:p>
    <w:p w14:paraId="0158E024" w14:textId="77777777" w:rsidR="0023381B" w:rsidRDefault="0023381B" w:rsidP="00A41EB6">
      <w:pPr>
        <w:pStyle w:val="ListBullet"/>
      </w:pPr>
      <w:r>
        <w:t xml:space="preserve">Informed consent by the parents or representatives prior to any </w:t>
      </w:r>
      <w:r w:rsidR="0066478A">
        <w:t>study</w:t>
      </w:r>
      <w:r>
        <w:t>-mandated procedure.</w:t>
      </w:r>
    </w:p>
    <w:p w14:paraId="499B6FF0" w14:textId="77777777" w:rsidR="0023381B" w:rsidRDefault="0023381B" w:rsidP="00A41EB6">
      <w:r>
        <w:t>Eligible patients were to have met none of the following exclusion criteria:</w:t>
      </w:r>
    </w:p>
    <w:p w14:paraId="6B222021" w14:textId="77777777" w:rsidR="0023381B" w:rsidRDefault="0023381B" w:rsidP="00A41EB6">
      <w:pPr>
        <w:pStyle w:val="ListBullet"/>
      </w:pPr>
      <w:r>
        <w:t>Known intolerance or hypersensitivity to bosentan or any of the excipients of the dispersible bosentan tablet.</w:t>
      </w:r>
    </w:p>
    <w:p w14:paraId="17378468" w14:textId="77777777" w:rsidR="0023381B" w:rsidRDefault="0023381B" w:rsidP="00A41EB6">
      <w:pPr>
        <w:pStyle w:val="ListBullet"/>
      </w:pPr>
      <w:r>
        <w:t>Any clinically significant laboratory abnormality that precluded continuation of bosentan therapy.</w:t>
      </w:r>
    </w:p>
    <w:p w14:paraId="47DF4B58" w14:textId="77777777" w:rsidR="0023381B" w:rsidRDefault="0023381B" w:rsidP="00A41EB6">
      <w:pPr>
        <w:pStyle w:val="ListBullet"/>
      </w:pPr>
      <w:r>
        <w:t>Pregnancy.</w:t>
      </w:r>
    </w:p>
    <w:p w14:paraId="5C5A4655" w14:textId="77777777" w:rsidR="0023381B" w:rsidRDefault="0023381B" w:rsidP="00A41EB6">
      <w:pPr>
        <w:pStyle w:val="ListBullet"/>
      </w:pPr>
      <w:r>
        <w:t xml:space="preserve">AST and/or ALT values </w:t>
      </w:r>
      <w:r w:rsidR="00CF6063">
        <w:t xml:space="preserve">&gt; </w:t>
      </w:r>
      <w:r>
        <w:t>3</w:t>
      </w:r>
      <w:r w:rsidR="00CF6063">
        <w:t xml:space="preserve"> x </w:t>
      </w:r>
      <w:r>
        <w:t>the upper limit of normal (ULN) range.</w:t>
      </w:r>
    </w:p>
    <w:p w14:paraId="0E492324" w14:textId="77777777" w:rsidR="0023381B" w:rsidRDefault="0023381B" w:rsidP="00A41EB6">
      <w:pPr>
        <w:pStyle w:val="ListBullet"/>
      </w:pPr>
      <w:r>
        <w:t>Moderate to severe hepatic impairment.</w:t>
      </w:r>
    </w:p>
    <w:p w14:paraId="26D5E403" w14:textId="29181E22" w:rsidR="0023381B" w:rsidRDefault="0023381B" w:rsidP="00A41EB6">
      <w:pPr>
        <w:pStyle w:val="ListBullet"/>
      </w:pPr>
      <w:r>
        <w:t xml:space="preserve">Premature and permanent </w:t>
      </w:r>
      <w:r w:rsidR="0066478A">
        <w:t>study</w:t>
      </w:r>
      <w:r>
        <w:t xml:space="preserve"> drug discontinuation during the </w:t>
      </w:r>
      <w:r w:rsidR="009C6335">
        <w:t xml:space="preserve">FUTURE-3 </w:t>
      </w:r>
      <w:r w:rsidR="00622CD3">
        <w:t>core study</w:t>
      </w:r>
      <w:r>
        <w:t>.</w:t>
      </w:r>
    </w:p>
    <w:p w14:paraId="769908F3" w14:textId="78E9F733" w:rsidR="0023381B" w:rsidRPr="00844079" w:rsidRDefault="0023381B" w:rsidP="00A41EB6">
      <w:pPr>
        <w:pStyle w:val="ListBullet"/>
      </w:pPr>
      <w:r>
        <w:t xml:space="preserve">Any major violation of the </w:t>
      </w:r>
      <w:r w:rsidR="009C6335">
        <w:t xml:space="preserve">FUTURE-3 </w:t>
      </w:r>
      <w:r w:rsidR="00622CD3">
        <w:t xml:space="preserve">core study </w:t>
      </w:r>
      <w:r>
        <w:t>protocol.</w:t>
      </w:r>
    </w:p>
    <w:p w14:paraId="67F94584" w14:textId="77777777" w:rsidR="0023381B" w:rsidRPr="00A41EB6" w:rsidRDefault="0023381B" w:rsidP="00A41EB6">
      <w:pPr>
        <w:pStyle w:val="Heading5"/>
      </w:pPr>
      <w:r w:rsidRPr="00A41EB6">
        <w:t>Study treatments</w:t>
      </w:r>
    </w:p>
    <w:p w14:paraId="60ECC0E1" w14:textId="77777777" w:rsidR="0023381B" w:rsidRPr="00234873" w:rsidRDefault="0023381B" w:rsidP="00A41EB6">
      <w:r w:rsidRPr="00234873">
        <w:t xml:space="preserve">Study drug was bosentan at doses of 2 mg/kg </w:t>
      </w:r>
      <w:r w:rsidR="007C6D8D">
        <w:t>BD</w:t>
      </w:r>
      <w:r w:rsidRPr="00234873">
        <w:t xml:space="preserve"> and 2 mg/kg </w:t>
      </w:r>
      <w:r w:rsidR="007C6D8D">
        <w:t>TDS</w:t>
      </w:r>
      <w:r w:rsidRPr="00234873">
        <w:t>, provided as a</w:t>
      </w:r>
      <w:r>
        <w:t xml:space="preserve"> </w:t>
      </w:r>
      <w:r w:rsidRPr="00234873">
        <w:t xml:space="preserve">32 mg dispersible </w:t>
      </w:r>
      <w:r>
        <w:t>tablet for oral administration.</w:t>
      </w:r>
    </w:p>
    <w:p w14:paraId="75B04F1A" w14:textId="77777777" w:rsidR="0023381B" w:rsidRPr="00A41EB6" w:rsidRDefault="0023381B" w:rsidP="00A41EB6">
      <w:pPr>
        <w:pStyle w:val="Heading5"/>
      </w:pPr>
      <w:r w:rsidRPr="00A41EB6">
        <w:t>Safety variables and outcomes</w:t>
      </w:r>
    </w:p>
    <w:p w14:paraId="07D790B5" w14:textId="77777777" w:rsidR="0023381B" w:rsidRDefault="0023381B" w:rsidP="00A41EB6">
      <w:r>
        <w:t xml:space="preserve">The following safety and tolerability endpoints were defined for this extension </w:t>
      </w:r>
      <w:r w:rsidR="0066478A">
        <w:t>study</w:t>
      </w:r>
      <w:r>
        <w:t>:</w:t>
      </w:r>
    </w:p>
    <w:p w14:paraId="73D737C2" w14:textId="77777777" w:rsidR="0023381B" w:rsidRDefault="0023381B" w:rsidP="00A41EB6">
      <w:pPr>
        <w:pStyle w:val="ListBullet"/>
      </w:pPr>
      <w:r>
        <w:t xml:space="preserve">TEAEs and SAEs up to 7 days after permanent discontinuation of </w:t>
      </w:r>
      <w:r w:rsidR="0066478A">
        <w:t>study</w:t>
      </w:r>
      <w:r>
        <w:t xml:space="preserve"> drug.</w:t>
      </w:r>
    </w:p>
    <w:p w14:paraId="2282FCAC" w14:textId="77777777" w:rsidR="0023381B" w:rsidRDefault="0023381B" w:rsidP="00A41EB6">
      <w:pPr>
        <w:pStyle w:val="ListBullet"/>
      </w:pPr>
      <w:r>
        <w:t xml:space="preserve">AEs leading to premature discontinuation of </w:t>
      </w:r>
      <w:r w:rsidR="0066478A">
        <w:t>study</w:t>
      </w:r>
      <w:r>
        <w:t xml:space="preserve"> drug.</w:t>
      </w:r>
    </w:p>
    <w:p w14:paraId="16241B3E" w14:textId="77777777" w:rsidR="0023381B" w:rsidRDefault="0023381B" w:rsidP="00A41EB6">
      <w:pPr>
        <w:pStyle w:val="ListBullet"/>
      </w:pPr>
      <w:r>
        <w:t>AEs denoting liver abnormality, enema, and anaemia/haemoglobin decrease.</w:t>
      </w:r>
    </w:p>
    <w:p w14:paraId="0235DB51" w14:textId="77777777" w:rsidR="0023381B" w:rsidRDefault="0023381B" w:rsidP="00A41EB6">
      <w:pPr>
        <w:pStyle w:val="ListBullet"/>
      </w:pPr>
      <w:r>
        <w:t xml:space="preserve">SAEs from 7 up to 60 days after permanent discontinuation of </w:t>
      </w:r>
      <w:r w:rsidR="0066478A">
        <w:t>study</w:t>
      </w:r>
      <w:r>
        <w:t xml:space="preserve"> drug.</w:t>
      </w:r>
    </w:p>
    <w:p w14:paraId="672B51F8" w14:textId="77777777" w:rsidR="0023381B" w:rsidRDefault="0023381B" w:rsidP="00A41EB6">
      <w:pPr>
        <w:pStyle w:val="ListBullet"/>
      </w:pPr>
      <w:r>
        <w:t xml:space="preserve">Changes from baseline to all assessed time points up to 7 days after permanent discontinuation of </w:t>
      </w:r>
      <w:r w:rsidR="0066478A">
        <w:t>study</w:t>
      </w:r>
      <w:r>
        <w:t xml:space="preserve"> drug in vital signs, body weight, body mass index (BMI) and height/length.</w:t>
      </w:r>
    </w:p>
    <w:p w14:paraId="03F482FF" w14:textId="77777777" w:rsidR="0023381B" w:rsidRDefault="0023381B" w:rsidP="00A41EB6">
      <w:pPr>
        <w:pStyle w:val="ListBullet"/>
      </w:pPr>
      <w:r>
        <w:t xml:space="preserve">Marked laboratory abnormalities up to 7 days after permanent discontinuation of </w:t>
      </w:r>
      <w:r w:rsidR="0066478A">
        <w:t>study</w:t>
      </w:r>
      <w:r>
        <w:t xml:space="preserve"> drug.</w:t>
      </w:r>
    </w:p>
    <w:p w14:paraId="56522A55" w14:textId="77777777" w:rsidR="0023381B" w:rsidRPr="00234873" w:rsidRDefault="0023381B" w:rsidP="00A41EB6">
      <w:pPr>
        <w:pStyle w:val="ListBullet"/>
      </w:pPr>
      <w:r>
        <w:t>Treatment emergent liver function abnormalities up to EOT +7.</w:t>
      </w:r>
    </w:p>
    <w:p w14:paraId="292ED37A" w14:textId="77777777" w:rsidR="0023381B" w:rsidRPr="00A41EB6" w:rsidRDefault="0023381B" w:rsidP="00A41EB6">
      <w:pPr>
        <w:pStyle w:val="Heading5"/>
      </w:pPr>
      <w:r w:rsidRPr="00A41EB6">
        <w:t>Randomisation and blinding methods</w:t>
      </w:r>
    </w:p>
    <w:p w14:paraId="0473A593" w14:textId="758460E3" w:rsidR="0023381B" w:rsidRPr="00341FD7" w:rsidRDefault="0023381B" w:rsidP="00A41EB6">
      <w:r>
        <w:t xml:space="preserve">Patients continued to receive </w:t>
      </w:r>
      <w:r w:rsidR="0066478A">
        <w:t>study</w:t>
      </w:r>
      <w:r>
        <w:t xml:space="preserve"> drug as per the treatment assignment in the </w:t>
      </w:r>
      <w:r w:rsidR="009C6335">
        <w:t xml:space="preserve">FUTURE-3 </w:t>
      </w:r>
      <w:r w:rsidR="00622CD3">
        <w:t>core study</w:t>
      </w:r>
      <w:r>
        <w:t xml:space="preserve">. The </w:t>
      </w:r>
      <w:r w:rsidR="0066478A">
        <w:t>study</w:t>
      </w:r>
      <w:r>
        <w:t xml:space="preserve"> was </w:t>
      </w:r>
      <w:r w:rsidR="009C6335">
        <w:t>open label</w:t>
      </w:r>
      <w:r>
        <w:t xml:space="preserve"> and no blinding was performed.</w:t>
      </w:r>
    </w:p>
    <w:p w14:paraId="63A398FF" w14:textId="77777777" w:rsidR="0023381B" w:rsidRPr="00A41EB6" w:rsidRDefault="0023381B" w:rsidP="00A41EB6">
      <w:pPr>
        <w:pStyle w:val="Heading5"/>
      </w:pPr>
      <w:r w:rsidRPr="00A41EB6">
        <w:t>Analysis populations</w:t>
      </w:r>
    </w:p>
    <w:p w14:paraId="16314901" w14:textId="7077A1EE" w:rsidR="0023381B" w:rsidRPr="00341FD7" w:rsidRDefault="0023381B" w:rsidP="00A41EB6">
      <w:r>
        <w:t xml:space="preserve">The Screened analysis set included all patients who were screened and received a patient number in </w:t>
      </w:r>
      <w:r w:rsidR="009C6335">
        <w:t>FUTURE-3</w:t>
      </w:r>
      <w:r>
        <w:t xml:space="preserve">. </w:t>
      </w:r>
      <w:r w:rsidRPr="00B662D3">
        <w:t xml:space="preserve">The </w:t>
      </w:r>
      <w:r>
        <w:t>All-Randomis</w:t>
      </w:r>
      <w:r w:rsidRPr="00B662D3">
        <w:t>ed analysis set includes all patients a</w:t>
      </w:r>
      <w:r>
        <w:t xml:space="preserve">ssigned to a </w:t>
      </w:r>
      <w:r w:rsidR="0066478A">
        <w:t>study</w:t>
      </w:r>
      <w:r>
        <w:t xml:space="preserve"> treatment in </w:t>
      </w:r>
      <w:r w:rsidR="009C6335">
        <w:t>FUTURE-3</w:t>
      </w:r>
      <w:r w:rsidRPr="00B662D3">
        <w:t xml:space="preserve">. The </w:t>
      </w:r>
      <w:r>
        <w:t>All-</w:t>
      </w:r>
      <w:r w:rsidRPr="00B662D3">
        <w:t>Treated analysis set comprised all patients</w:t>
      </w:r>
      <w:r>
        <w:t xml:space="preserve"> in the </w:t>
      </w:r>
      <w:r w:rsidR="009C6335">
        <w:t>FUTURE</w:t>
      </w:r>
      <w:r w:rsidR="009C6335">
        <w:noBreakHyphen/>
        <w:t>3 </w:t>
      </w:r>
      <w:r w:rsidR="00622CD3">
        <w:t xml:space="preserve">core study </w:t>
      </w:r>
      <w:r>
        <w:t xml:space="preserve">who </w:t>
      </w:r>
      <w:r w:rsidRPr="00B662D3">
        <w:t xml:space="preserve">received at least one dose of the </w:t>
      </w:r>
      <w:r w:rsidR="0066478A">
        <w:t>study</w:t>
      </w:r>
      <w:r w:rsidRPr="00B662D3">
        <w:t xml:space="preserve"> drug. </w:t>
      </w:r>
      <w:r>
        <w:t xml:space="preserve">The same patients were </w:t>
      </w:r>
      <w:r w:rsidRPr="00B662D3">
        <w:t xml:space="preserve">included in the </w:t>
      </w:r>
      <w:r>
        <w:t>All-Randomised and the All-</w:t>
      </w:r>
      <w:r w:rsidRPr="00B662D3">
        <w:t>Treated analysis set,</w:t>
      </w:r>
      <w:r>
        <w:t xml:space="preserve"> </w:t>
      </w:r>
      <w:r w:rsidRPr="00B662D3">
        <w:t xml:space="preserve">therefore only the </w:t>
      </w:r>
      <w:r>
        <w:t>All-</w:t>
      </w:r>
      <w:r w:rsidRPr="00B662D3">
        <w:t>Treated analysis set was used.</w:t>
      </w:r>
      <w:r>
        <w:t xml:space="preserve"> </w:t>
      </w:r>
      <w:r w:rsidRPr="00B662D3">
        <w:t xml:space="preserve">The Safety set includes all patients who received at least one dose of </w:t>
      </w:r>
      <w:r w:rsidR="0066478A">
        <w:t>study</w:t>
      </w:r>
      <w:r>
        <w:t xml:space="preserve"> </w:t>
      </w:r>
      <w:r w:rsidRPr="00B662D3">
        <w:t xml:space="preserve">treatment. Patients were evaluated according to the </w:t>
      </w:r>
      <w:r w:rsidR="0066478A">
        <w:t>study</w:t>
      </w:r>
      <w:r w:rsidRPr="00B662D3">
        <w:t xml:space="preserve"> treatment that they received.</w:t>
      </w:r>
    </w:p>
    <w:p w14:paraId="7BCA6115" w14:textId="77777777" w:rsidR="0023381B" w:rsidRPr="00A41EB6" w:rsidRDefault="0023381B" w:rsidP="00A41EB6">
      <w:pPr>
        <w:pStyle w:val="Heading5"/>
      </w:pPr>
      <w:r w:rsidRPr="00A41EB6" w:rsidDel="0081373E">
        <w:lastRenderedPageBreak/>
        <w:t>Sample size</w:t>
      </w:r>
    </w:p>
    <w:p w14:paraId="1DFB6BE6" w14:textId="77777777" w:rsidR="0023381B" w:rsidRPr="00B662D3" w:rsidRDefault="0023381B" w:rsidP="00A41EB6">
      <w:r w:rsidRPr="00B662D3">
        <w:t xml:space="preserve">There was no sample size calculation </w:t>
      </w:r>
      <w:r>
        <w:t>f</w:t>
      </w:r>
      <w:r w:rsidRPr="00B662D3">
        <w:t xml:space="preserve">or the extension </w:t>
      </w:r>
      <w:r w:rsidR="0066478A">
        <w:t>study</w:t>
      </w:r>
      <w:r w:rsidRPr="00B662D3">
        <w:t>.</w:t>
      </w:r>
    </w:p>
    <w:p w14:paraId="51672767" w14:textId="77777777" w:rsidR="0023381B" w:rsidRPr="00A41EB6" w:rsidRDefault="0023381B" w:rsidP="00A41EB6">
      <w:pPr>
        <w:pStyle w:val="Heading5"/>
      </w:pPr>
      <w:r w:rsidRPr="00A41EB6">
        <w:t>Statistical methods</w:t>
      </w:r>
    </w:p>
    <w:p w14:paraId="7D5F73E1" w14:textId="77777777" w:rsidR="0023381B" w:rsidRDefault="0023381B" w:rsidP="00A41EB6">
      <w:r>
        <w:t xml:space="preserve">All analyses were performed on the pooled data of the </w:t>
      </w:r>
      <w:r w:rsidR="009C6335">
        <w:t>FUTURE-3</w:t>
      </w:r>
      <w:r>
        <w:t xml:space="preserve"> and the extension </w:t>
      </w:r>
      <w:r w:rsidR="0066478A">
        <w:t>study</w:t>
      </w:r>
      <w:r>
        <w:t xml:space="preserve">. No hypothesis test was performed. Comparisons between the treatment groups were descriptive and point estimates were accompanied by 95% </w:t>
      </w:r>
      <w:r w:rsidR="00A5161C">
        <w:t>2 sided</w:t>
      </w:r>
      <w:r>
        <w:t xml:space="preserve"> confidence limits (CLs).</w:t>
      </w:r>
    </w:p>
    <w:p w14:paraId="51ED7A4B" w14:textId="77777777" w:rsidR="0023381B" w:rsidRPr="00234873" w:rsidRDefault="0023381B" w:rsidP="00A41EB6">
      <w:r>
        <w:t xml:space="preserve">All analyses were performed for the overall population and by age groups (&lt; 2 years and </w:t>
      </w:r>
      <w:r w:rsidR="007C6D8D">
        <w:t>≥</w:t>
      </w:r>
      <w:r w:rsidR="00CF6063">
        <w:t xml:space="preserve"> </w:t>
      </w:r>
      <w:r>
        <w:t xml:space="preserve">2 years). All efficacy analyses were performed descriptively using the ‘All Treated’ analysis set. For categorical data, the number and percentage of patients in each category </w:t>
      </w:r>
      <w:r w:rsidRPr="00234873">
        <w:t>were tabulated by visit for each treatment group a</w:t>
      </w:r>
      <w:r>
        <w:t xml:space="preserve">nd additionally, for WHO FC and </w:t>
      </w:r>
      <w:r w:rsidRPr="00234873">
        <w:t>GCIS, the number of patients who improved, did not have</w:t>
      </w:r>
      <w:r>
        <w:t xml:space="preserve"> a change in status or worsened </w:t>
      </w:r>
      <w:r w:rsidRPr="00234873">
        <w:t>from baseline were tabulated by visit for ea</w:t>
      </w:r>
      <w:r>
        <w:t xml:space="preserve">ch treatment group and overall. </w:t>
      </w:r>
      <w:r w:rsidRPr="00234873">
        <w:t xml:space="preserve">For time to event endpoints, </w:t>
      </w:r>
      <w:r>
        <w:t>KM</w:t>
      </w:r>
      <w:r w:rsidRPr="00234873">
        <w:t xml:space="preserve"> estima</w:t>
      </w:r>
      <w:r>
        <w:t xml:space="preserve">tes were presented with </w:t>
      </w:r>
      <w:r w:rsidR="00A5161C">
        <w:t>2 sided</w:t>
      </w:r>
      <w:r>
        <w:t xml:space="preserve"> </w:t>
      </w:r>
      <w:r w:rsidRPr="00234873">
        <w:t>95% CLs. For PAH-worsening endpoints, the numb</w:t>
      </w:r>
      <w:r>
        <w:t xml:space="preserve">er (and percentage) of patients </w:t>
      </w:r>
      <w:r w:rsidRPr="00234873">
        <w:t>reporting each type of event was tabulated by treatment gro</w:t>
      </w:r>
      <w:r>
        <w:t xml:space="preserve">up and overall, for first event </w:t>
      </w:r>
      <w:r w:rsidRPr="00234873">
        <w:t>and for all events.</w:t>
      </w:r>
    </w:p>
    <w:p w14:paraId="1E797D51" w14:textId="77777777" w:rsidR="0023381B" w:rsidRPr="00234873" w:rsidRDefault="0023381B" w:rsidP="00A41EB6">
      <w:r w:rsidRPr="00234873">
        <w:t xml:space="preserve">A </w:t>
      </w:r>
      <w:r w:rsidRPr="00B662D3">
        <w:rPr>
          <w:iCs/>
        </w:rPr>
        <w:t>post-hoc</w:t>
      </w:r>
      <w:r w:rsidRPr="00234873">
        <w:rPr>
          <w:i/>
          <w:iCs/>
        </w:rPr>
        <w:t xml:space="preserve"> </w:t>
      </w:r>
      <w:r w:rsidRPr="00234873">
        <w:t>analysis using Cox proportional hazards</w:t>
      </w:r>
      <w:r>
        <w:t xml:space="preserve"> model analyses </w:t>
      </w:r>
      <w:r w:rsidRPr="00234873">
        <w:t>was conducted to examine the potential in</w:t>
      </w:r>
      <w:r>
        <w:t xml:space="preserve">fluence of baseline demographic </w:t>
      </w:r>
      <w:r w:rsidR="00360E60">
        <w:t xml:space="preserve">and other disease </w:t>
      </w:r>
      <w:r w:rsidRPr="00234873">
        <w:t>related factors on bosentan treatment comparison (</w:t>
      </w:r>
      <w:r w:rsidR="007C6D8D">
        <w:t>BD</w:t>
      </w:r>
      <w:r w:rsidRPr="00234873">
        <w:t xml:space="preserve"> </w:t>
      </w:r>
      <w:r w:rsidR="007C6D8D">
        <w:t>versus</w:t>
      </w:r>
      <w:r w:rsidRPr="00234873">
        <w:t xml:space="preserve"> </w:t>
      </w:r>
      <w:r w:rsidR="007C6D8D">
        <w:t>TDS</w:t>
      </w:r>
      <w:r w:rsidRPr="00234873">
        <w:t>) for the</w:t>
      </w:r>
      <w:r>
        <w:t xml:space="preserve"> </w:t>
      </w:r>
      <w:r w:rsidRPr="00234873">
        <w:t>time to event endpoints of worsening up to EOT + 7 days, death up t</w:t>
      </w:r>
      <w:r>
        <w:t xml:space="preserve">o EOT + 7 days, and death up to </w:t>
      </w:r>
      <w:r w:rsidRPr="00234873">
        <w:t>EOS.</w:t>
      </w:r>
    </w:p>
    <w:p w14:paraId="35C95FBF" w14:textId="77777777" w:rsidR="0023381B" w:rsidRPr="00234873" w:rsidRDefault="0023381B" w:rsidP="00A41EB6">
      <w:r w:rsidRPr="00234873">
        <w:t>Safety data were analy</w:t>
      </w:r>
      <w:r>
        <w:t>s</w:t>
      </w:r>
      <w:r w:rsidRPr="00234873">
        <w:t>ed descriptively using the Safety analysis set, which i</w:t>
      </w:r>
      <w:r>
        <w:t xml:space="preserve">ncluded all </w:t>
      </w:r>
      <w:r w:rsidRPr="00234873">
        <w:t>randomi</w:t>
      </w:r>
      <w:r>
        <w:t>s</w:t>
      </w:r>
      <w:r w:rsidRPr="00234873">
        <w:t>ed patients who received a</w:t>
      </w:r>
      <w:r>
        <w:t xml:space="preserve">t least one dose of </w:t>
      </w:r>
      <w:r w:rsidR="0066478A">
        <w:t>study</w:t>
      </w:r>
      <w:r>
        <w:t xml:space="preserve"> drug.</w:t>
      </w:r>
    </w:p>
    <w:p w14:paraId="096AFBA1" w14:textId="77777777" w:rsidR="0023381B" w:rsidRPr="00A41EB6" w:rsidRDefault="0023381B" w:rsidP="00A41EB6">
      <w:pPr>
        <w:pStyle w:val="Heading5"/>
      </w:pPr>
      <w:r w:rsidRPr="00A41EB6">
        <w:t>Participant flow</w:t>
      </w:r>
    </w:p>
    <w:p w14:paraId="68440FC6" w14:textId="77777777" w:rsidR="0023381B" w:rsidRDefault="0023381B" w:rsidP="00A41EB6">
      <w:r>
        <w:t xml:space="preserve">Of the 64 patients (33 </w:t>
      </w:r>
      <w:r w:rsidR="007C6D8D">
        <w:t>BD</w:t>
      </w:r>
      <w:r>
        <w:t xml:space="preserve">, 31 </w:t>
      </w:r>
      <w:r w:rsidR="007C6D8D">
        <w:t>TDS</w:t>
      </w:r>
      <w:r>
        <w:t xml:space="preserve">) randomised in the </w:t>
      </w:r>
      <w:r w:rsidR="009C6335">
        <w:t>FUTURE-3 Core Study</w:t>
      </w:r>
      <w:r>
        <w:t xml:space="preserve">, 58 patients (31 </w:t>
      </w:r>
      <w:r w:rsidR="007C6D8D">
        <w:t>BD</w:t>
      </w:r>
      <w:r>
        <w:t xml:space="preserve">, 27 </w:t>
      </w:r>
      <w:r w:rsidR="007C6D8D">
        <w:t>TDS</w:t>
      </w:r>
      <w:r>
        <w:t xml:space="preserve">) entered this extension </w:t>
      </w:r>
      <w:r w:rsidR="0066478A">
        <w:t>study</w:t>
      </w:r>
      <w:r>
        <w:t xml:space="preserve">, 18 of whom were &lt; 2 years of age (9 each, </w:t>
      </w:r>
      <w:r w:rsidR="007C6D8D">
        <w:t>BD</w:t>
      </w:r>
      <w:r>
        <w:t xml:space="preserve"> and </w:t>
      </w:r>
      <w:r w:rsidR="007C6D8D">
        <w:t>TDS</w:t>
      </w:r>
      <w:r>
        <w:t xml:space="preserve">) and 40 </w:t>
      </w:r>
      <w:r w:rsidR="007C6D8D">
        <w:t>≥</w:t>
      </w:r>
      <w:r w:rsidR="00CF6063">
        <w:t xml:space="preserve"> </w:t>
      </w:r>
      <w:r>
        <w:t xml:space="preserve">2 years of age (22 </w:t>
      </w:r>
      <w:r w:rsidR="007C6D8D">
        <w:t>BD</w:t>
      </w:r>
      <w:r>
        <w:t xml:space="preserve">, 18 </w:t>
      </w:r>
      <w:r w:rsidR="007C6D8D">
        <w:t>TDS</w:t>
      </w:r>
      <w:r>
        <w:t xml:space="preserve">). Of the 58 patients who entered the </w:t>
      </w:r>
      <w:r w:rsidR="009C6335">
        <w:t>FUTURE-3 E</w:t>
      </w:r>
      <w:r>
        <w:t xml:space="preserve">xtension </w:t>
      </w:r>
      <w:r w:rsidR="0066478A">
        <w:t>Study</w:t>
      </w:r>
      <w:r>
        <w:t xml:space="preserve">, 13 patients prematurely discontinued </w:t>
      </w:r>
      <w:r w:rsidR="0066478A">
        <w:t>study</w:t>
      </w:r>
      <w:r>
        <w:t xml:space="preserve"> treatment, due to AEs (6 </w:t>
      </w:r>
      <w:r w:rsidR="007C6D8D">
        <w:t>BD</w:t>
      </w:r>
      <w:r>
        <w:t xml:space="preserve"> and 5 </w:t>
      </w:r>
      <w:r w:rsidR="007C6D8D">
        <w:t>TDS</w:t>
      </w:r>
      <w:r>
        <w:t xml:space="preserve">), administrative reasons and withdrawal of consent (1 patient each, </w:t>
      </w:r>
      <w:r w:rsidR="007C6D8D">
        <w:t>BD</w:t>
      </w:r>
      <w:r>
        <w:t xml:space="preserve">). A total of 45 patients (23 </w:t>
      </w:r>
      <w:r w:rsidR="007C6D8D">
        <w:t>BD</w:t>
      </w:r>
      <w:r>
        <w:t xml:space="preserve"> and 22 </w:t>
      </w:r>
      <w:r w:rsidR="007C6D8D">
        <w:t>TDS</w:t>
      </w:r>
      <w:r>
        <w:t>) completed the treatment period.</w:t>
      </w:r>
    </w:p>
    <w:p w14:paraId="161E194A" w14:textId="77777777" w:rsidR="0023381B" w:rsidRDefault="0023381B" w:rsidP="00A41EB6">
      <w:r>
        <w:t xml:space="preserve">All 64 patients who were randomised in the </w:t>
      </w:r>
      <w:r w:rsidR="009C6335">
        <w:t>FUTURE-3 Core Study</w:t>
      </w:r>
      <w:r>
        <w:t xml:space="preserve"> received at least one dose of the </w:t>
      </w:r>
      <w:r w:rsidR="0066478A">
        <w:t>study</w:t>
      </w:r>
      <w:r>
        <w:t xml:space="preserve"> drug and were included in the All-Treated and safety analysis sets.</w:t>
      </w:r>
    </w:p>
    <w:p w14:paraId="1BBCF71D" w14:textId="7108F6E3" w:rsidR="0023381B" w:rsidRDefault="0023381B" w:rsidP="00A41EB6">
      <w:pPr>
        <w:pStyle w:val="FigureTitle"/>
      </w:pPr>
      <w:bookmarkStart w:id="309" w:name="_Toc473884177"/>
      <w:r w:rsidRPr="008806DA">
        <w:t xml:space="preserve">Figure </w:t>
      </w:r>
      <w:r w:rsidR="008806DA" w:rsidRPr="008806DA">
        <w:t>26:</w:t>
      </w:r>
      <w:r w:rsidRPr="008806DA">
        <w:t xml:space="preserve"> FUTURE</w:t>
      </w:r>
      <w:r>
        <w:t xml:space="preserve">-3 </w:t>
      </w:r>
      <w:r w:rsidR="00622CD3">
        <w:t xml:space="preserve">extension disposition </w:t>
      </w:r>
      <w:r>
        <w:t>of patients</w:t>
      </w:r>
      <w:bookmarkEnd w:id="309"/>
    </w:p>
    <w:p w14:paraId="3B60D519" w14:textId="77777777" w:rsidR="00287323" w:rsidRDefault="00A41EB6" w:rsidP="00287323">
      <w:pPr>
        <w:rPr>
          <w:lang w:eastAsia="ja-JP"/>
        </w:rPr>
      </w:pPr>
      <w:r>
        <w:rPr>
          <w:noProof/>
          <w:lang w:eastAsia="en-AU"/>
        </w:rPr>
        <w:drawing>
          <wp:inline distT="0" distB="0" distL="0" distR="0" wp14:anchorId="2585BFA9" wp14:editId="17167629">
            <wp:extent cx="5686425" cy="2562225"/>
            <wp:effectExtent l="0" t="0" r="9525" b="9525"/>
            <wp:docPr id="75" name="Picture 75" descr="Figure 26: FUTURE-3 Extension Disposition of patients&#10;Of the 64 patients (33 BD, 31 TDS) randomised in the FUTURE-3 Core Study, 58 patients (31 BD, 27 TDS) entered this extension study, 18 of whom were &lt; 2 years of age (9 each, BD and TDS) and 40 ≥ 2 years of age (22 BD, 18 TDS). Of the 58 patients who entered the FUTURE-3 Extension Study, 13 patients prematurely discontinued study treatment, due to AEs (6 BD and 5 TDS), administrative reasons and withdrawal of consent (1 patient each, BD). A total of 45 patients (23 BD and 22 TDS) completed the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BEBA8EAE-BF5A-486C-A8C5-ECC9F3942E4B}">
                          <a14:imgProps xmlns:a14="http://schemas.microsoft.com/office/drawing/2010/main">
                            <a14:imgLayer r:embed="rId109">
                              <a14:imgEffect>
                                <a14:brightnessContrast contrast="-40000"/>
                              </a14:imgEffect>
                            </a14:imgLayer>
                          </a14:imgProps>
                        </a:ext>
                      </a:extLst>
                    </a:blip>
                    <a:stretch>
                      <a:fillRect/>
                    </a:stretch>
                  </pic:blipFill>
                  <pic:spPr>
                    <a:xfrm>
                      <a:off x="0" y="0"/>
                      <a:ext cx="5686425" cy="2562225"/>
                    </a:xfrm>
                    <a:prstGeom prst="rect">
                      <a:avLst/>
                    </a:prstGeom>
                  </pic:spPr>
                </pic:pic>
              </a:graphicData>
            </a:graphic>
          </wp:inline>
        </w:drawing>
      </w:r>
    </w:p>
    <w:p w14:paraId="0CDBF774" w14:textId="77777777" w:rsidR="00A41EB6" w:rsidRPr="00A41EB6" w:rsidRDefault="00A41EB6" w:rsidP="004E5DCA">
      <w:pPr>
        <w:pStyle w:val="Heading5"/>
        <w:numPr>
          <w:ilvl w:val="3"/>
          <w:numId w:val="23"/>
        </w:numPr>
      </w:pPr>
      <w:r w:rsidRPr="00A41EB6">
        <w:lastRenderedPageBreak/>
        <w:t>Major protocol violations/deviations</w:t>
      </w:r>
    </w:p>
    <w:p w14:paraId="6DB0C8AC" w14:textId="77777777" w:rsidR="00A41EB6" w:rsidRPr="00B662D3" w:rsidRDefault="00A41EB6" w:rsidP="00A41EB6">
      <w:r w:rsidRPr="00E922D2">
        <w:t>In a total of 8 patients, protocol deviations including lack of</w:t>
      </w:r>
      <w:r>
        <w:t xml:space="preserve"> </w:t>
      </w:r>
      <w:r w:rsidRPr="00E922D2">
        <w:t xml:space="preserve">stable previous PAH therapy and lack of </w:t>
      </w:r>
      <w:r>
        <w:t>RHC</w:t>
      </w:r>
      <w:r w:rsidRPr="00E922D2">
        <w:t>-based PAH</w:t>
      </w:r>
      <w:r>
        <w:t xml:space="preserve"> </w:t>
      </w:r>
      <w:r w:rsidRPr="00E922D2">
        <w:t>diagnosis</w:t>
      </w:r>
      <w:r>
        <w:t>, presence of a ‘</w:t>
      </w:r>
      <w:r w:rsidRPr="00E922D2">
        <w:t>disease or condition that might interfere</w:t>
      </w:r>
      <w:r>
        <w:t xml:space="preserve"> </w:t>
      </w:r>
      <w:r w:rsidRPr="00E922D2">
        <w:t xml:space="preserve">with the </w:t>
      </w:r>
      <w:r w:rsidR="0066478A">
        <w:t>study</w:t>
      </w:r>
      <w:r w:rsidRPr="00E922D2">
        <w:t xml:space="preserve"> condu</w:t>
      </w:r>
      <w:r>
        <w:t>ct or interpretation of results’</w:t>
      </w:r>
      <w:r w:rsidRPr="00E922D2">
        <w:t xml:space="preserve"> and receipt of incorrect </w:t>
      </w:r>
      <w:r w:rsidR="0066478A">
        <w:t>study</w:t>
      </w:r>
      <w:r w:rsidRPr="00E922D2">
        <w:t xml:space="preserve"> medication</w:t>
      </w:r>
      <w:r>
        <w:t xml:space="preserve"> were reported</w:t>
      </w:r>
      <w:r w:rsidRPr="00E922D2">
        <w:t>.</w:t>
      </w:r>
      <w:r>
        <w:t xml:space="preserve"> </w:t>
      </w:r>
      <w:r w:rsidRPr="00E922D2">
        <w:t>None of the protocol deviations led to the exclusion of patients from any of the analyses.</w:t>
      </w:r>
    </w:p>
    <w:p w14:paraId="320F5CC8" w14:textId="77777777" w:rsidR="00A41EB6" w:rsidRPr="00A41EB6" w:rsidRDefault="00A41EB6" w:rsidP="00A41EB6">
      <w:pPr>
        <w:pStyle w:val="Heading5"/>
      </w:pPr>
      <w:r w:rsidRPr="00A41EB6">
        <w:t>Baseline data</w:t>
      </w:r>
    </w:p>
    <w:p w14:paraId="12672685" w14:textId="77777777" w:rsidR="00A41EB6" w:rsidRDefault="00A41EB6" w:rsidP="00A41EB6">
      <w:r>
        <w:t xml:space="preserve">In the </w:t>
      </w:r>
      <w:r w:rsidR="007C6D8D">
        <w:t>BD</w:t>
      </w:r>
      <w:r>
        <w:t xml:space="preserve"> group, the majority of patients were female (54.5%); however, the majority of patients in the </w:t>
      </w:r>
      <w:r w:rsidR="007C6D8D">
        <w:t>TDS</w:t>
      </w:r>
      <w:r>
        <w:t xml:space="preserve"> group were male (67.7%). Mean age was balanced between the two treatment groups (4.5 years ± 0.58 </w:t>
      </w:r>
      <w:r w:rsidR="007C6D8D">
        <w:t>BD</w:t>
      </w:r>
      <w:r>
        <w:t xml:space="preserve">, 5.2 years ± 0.68 </w:t>
      </w:r>
      <w:r w:rsidR="007C6D8D">
        <w:t>TDS</w:t>
      </w:r>
      <w:r>
        <w:t xml:space="preserve">) and the majority of patients in each group were Caucasian (75.8% </w:t>
      </w:r>
      <w:r w:rsidR="007C6D8D">
        <w:t>BD</w:t>
      </w:r>
      <w:r>
        <w:t xml:space="preserve">, 74.2% </w:t>
      </w:r>
      <w:r w:rsidR="007C6D8D">
        <w:t>TDS</w:t>
      </w:r>
      <w:r>
        <w:t>). Mean BMI was similar across the groups.</w:t>
      </w:r>
    </w:p>
    <w:p w14:paraId="1A3D8932" w14:textId="5D322F06" w:rsidR="00A41EB6" w:rsidRDefault="00A41EB6" w:rsidP="00A41EB6">
      <w:r>
        <w:t xml:space="preserve">The aetiology of PAH was mainly idiopathic PAH (46.0%) and associated PAH (38.1%). </w:t>
      </w:r>
      <w:r w:rsidRPr="00234873">
        <w:t>The mean time since d</w:t>
      </w:r>
      <w:r>
        <w:t>iagnosis of PAH by RHC</w:t>
      </w:r>
      <w:r w:rsidRPr="00234873">
        <w:t xml:space="preserve"> in the overall population was 470.4 </w:t>
      </w:r>
      <w:r>
        <w:t xml:space="preserve">days </w:t>
      </w:r>
      <w:r w:rsidRPr="00234873">
        <w:t xml:space="preserve">± 888.74 in the </w:t>
      </w:r>
      <w:r w:rsidR="007C6D8D">
        <w:t>BD</w:t>
      </w:r>
      <w:r>
        <w:t xml:space="preserve"> group and </w:t>
      </w:r>
      <w:r w:rsidRPr="00234873">
        <w:t xml:space="preserve">622.1 </w:t>
      </w:r>
      <w:r>
        <w:t>days ±</w:t>
      </w:r>
      <w:r w:rsidRPr="00234873">
        <w:t xml:space="preserve"> 910.02 in the </w:t>
      </w:r>
      <w:r w:rsidR="007C6D8D">
        <w:t>TDS</w:t>
      </w:r>
      <w:r w:rsidRPr="00234873">
        <w:t xml:space="preserve"> group. On average, the disease</w:t>
      </w:r>
      <w:r>
        <w:t xml:space="preserve"> condition at baseline was more </w:t>
      </w:r>
      <w:r w:rsidRPr="00234873">
        <w:t xml:space="preserve">severe in patients in the </w:t>
      </w:r>
      <w:r w:rsidR="007C6D8D">
        <w:t>BD</w:t>
      </w:r>
      <w:r w:rsidRPr="00234873">
        <w:t xml:space="preserve"> group (WHO FC I/II: 63.6%, III: 36.4%) than in the </w:t>
      </w:r>
      <w:r w:rsidR="007C6D8D">
        <w:t>TDS</w:t>
      </w:r>
      <w:r>
        <w:t xml:space="preserve"> </w:t>
      </w:r>
      <w:r w:rsidRPr="00234873">
        <w:t>group (WHO FC I/II: 80.6%, III: 19.4%). These find</w:t>
      </w:r>
      <w:r>
        <w:t xml:space="preserve">ings were consistent across the </w:t>
      </w:r>
      <w:r w:rsidRPr="00234873">
        <w:t>&lt;</w:t>
      </w:r>
      <w:r w:rsidR="005F0912">
        <w:t> </w:t>
      </w:r>
      <w:r w:rsidRPr="00234873">
        <w:t>2</w:t>
      </w:r>
      <w:r w:rsidR="005F0912">
        <w:t> </w:t>
      </w:r>
      <w:r w:rsidRPr="00234873">
        <w:t xml:space="preserve">years and </w:t>
      </w:r>
      <w:r w:rsidR="007C6D8D">
        <w:t>≥</w:t>
      </w:r>
      <w:r w:rsidR="00CF6063">
        <w:t xml:space="preserve"> </w:t>
      </w:r>
      <w:r w:rsidRPr="00234873">
        <w:t>2 years age groups.</w:t>
      </w:r>
      <w:r>
        <w:t xml:space="preserve"> </w:t>
      </w:r>
      <w:r w:rsidRPr="002174DB">
        <w:t>Overall, 42 p</w:t>
      </w:r>
      <w:r>
        <w:t xml:space="preserve">atients (65.6%) were reported </w:t>
      </w:r>
      <w:r w:rsidRPr="002174DB">
        <w:t>to be taking at least one PAH-specific medication at baseline.</w:t>
      </w:r>
    </w:p>
    <w:p w14:paraId="45C50494" w14:textId="77777777" w:rsidR="00A41EB6" w:rsidRPr="00E37CCF" w:rsidRDefault="00A41EB6" w:rsidP="00A41EB6">
      <w:pPr>
        <w:pStyle w:val="Tabletitle"/>
      </w:pPr>
      <w:bookmarkStart w:id="310" w:name="_Toc473884096"/>
      <w:r w:rsidRPr="002E7063">
        <w:lastRenderedPageBreak/>
        <w:t xml:space="preserve">Table </w:t>
      </w:r>
      <w:r w:rsidR="002E7063" w:rsidRPr="002E7063">
        <w:t xml:space="preserve">52: </w:t>
      </w:r>
      <w:r w:rsidRPr="002E7063">
        <w:t xml:space="preserve">FUTURE-3 Extension Summary </w:t>
      </w:r>
      <w:r w:rsidR="002E7063" w:rsidRPr="002E7063">
        <w:t>of demographic characteristics;</w:t>
      </w:r>
      <w:r w:rsidRPr="002E7063">
        <w:t xml:space="preserve"> All-treated set</w:t>
      </w:r>
      <w:bookmarkEnd w:id="310"/>
    </w:p>
    <w:p w14:paraId="324D6B32" w14:textId="77777777" w:rsidR="00287323" w:rsidRDefault="00A41EB6" w:rsidP="00287323">
      <w:pPr>
        <w:rPr>
          <w:lang w:eastAsia="ja-JP"/>
        </w:rPr>
      </w:pPr>
      <w:r>
        <w:rPr>
          <w:noProof/>
          <w:lang w:eastAsia="en-AU"/>
        </w:rPr>
        <w:drawing>
          <wp:inline distT="0" distB="0" distL="0" distR="0" wp14:anchorId="53BFCC79" wp14:editId="00142609">
            <wp:extent cx="4762500" cy="5505450"/>
            <wp:effectExtent l="0" t="0" r="0" b="0"/>
            <wp:docPr id="76" name="Picture 76" descr="Table 52: FUTURE-3 Extension Summary of demographic characteristic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BEBA8EAE-BF5A-486C-A8C5-ECC9F3942E4B}">
                          <a14:imgProps xmlns:a14="http://schemas.microsoft.com/office/drawing/2010/main">
                            <a14:imgLayer r:embed="rId111">
                              <a14:imgEffect>
                                <a14:brightnessContrast contrast="-40000"/>
                              </a14:imgEffect>
                            </a14:imgLayer>
                          </a14:imgProps>
                        </a:ext>
                      </a:extLst>
                    </a:blip>
                    <a:stretch>
                      <a:fillRect/>
                    </a:stretch>
                  </pic:blipFill>
                  <pic:spPr>
                    <a:xfrm>
                      <a:off x="0" y="0"/>
                      <a:ext cx="4762500" cy="5505450"/>
                    </a:xfrm>
                    <a:prstGeom prst="rect">
                      <a:avLst/>
                    </a:prstGeom>
                  </pic:spPr>
                </pic:pic>
              </a:graphicData>
            </a:graphic>
          </wp:inline>
        </w:drawing>
      </w:r>
    </w:p>
    <w:p w14:paraId="5F16374D" w14:textId="77777777" w:rsidR="00A41EB6" w:rsidRPr="00E37CCF" w:rsidRDefault="00A41EB6" w:rsidP="00A41EB6">
      <w:pPr>
        <w:pStyle w:val="Tabletitle"/>
      </w:pPr>
      <w:bookmarkStart w:id="311" w:name="_Toc473884097"/>
      <w:r w:rsidRPr="002E7063">
        <w:lastRenderedPageBreak/>
        <w:t xml:space="preserve">Table </w:t>
      </w:r>
      <w:r w:rsidR="002E7063" w:rsidRPr="002E7063">
        <w:t>53:</w:t>
      </w:r>
      <w:r w:rsidRPr="002E7063">
        <w:t xml:space="preserve"> FUTURE-3 Extension Summary of baseline</w:t>
      </w:r>
      <w:r w:rsidR="002E7063" w:rsidRPr="002E7063">
        <w:t xml:space="preserve"> characteristics;</w:t>
      </w:r>
      <w:r w:rsidRPr="002E7063">
        <w:t xml:space="preserve"> All-treated set</w:t>
      </w:r>
      <w:bookmarkEnd w:id="311"/>
    </w:p>
    <w:p w14:paraId="72547284" w14:textId="77777777" w:rsidR="00287323" w:rsidRDefault="00A41EB6" w:rsidP="00287323">
      <w:pPr>
        <w:rPr>
          <w:lang w:eastAsia="ja-JP"/>
        </w:rPr>
      </w:pPr>
      <w:r>
        <w:rPr>
          <w:noProof/>
          <w:lang w:eastAsia="en-AU"/>
        </w:rPr>
        <w:drawing>
          <wp:inline distT="0" distB="0" distL="0" distR="0" wp14:anchorId="2003E636" wp14:editId="50A36F46">
            <wp:extent cx="4781550" cy="7029450"/>
            <wp:effectExtent l="0" t="0" r="0" b="0"/>
            <wp:docPr id="77" name="Picture 77" descr="Table 53: FUTURE-3 Extension Summary of baseline characteristic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4781550" cy="7029450"/>
                    </a:xfrm>
                    <a:prstGeom prst="rect">
                      <a:avLst/>
                    </a:prstGeom>
                  </pic:spPr>
                </pic:pic>
              </a:graphicData>
            </a:graphic>
          </wp:inline>
        </w:drawing>
      </w:r>
    </w:p>
    <w:p w14:paraId="2CBA2139" w14:textId="77777777" w:rsidR="00A41EB6" w:rsidRPr="00A41EB6" w:rsidRDefault="00A41EB6" w:rsidP="00A41EB6">
      <w:pPr>
        <w:pStyle w:val="Heading5"/>
      </w:pPr>
      <w:r w:rsidRPr="00A41EB6">
        <w:t>Results for the primary safety outcome</w:t>
      </w:r>
    </w:p>
    <w:p w14:paraId="7B995781" w14:textId="77777777" w:rsidR="007C6D8D" w:rsidRDefault="00A41EB6" w:rsidP="00A41EB6">
      <w:r>
        <w:t xml:space="preserve">No primary efficacy or safety endpoint was defined for this </w:t>
      </w:r>
      <w:r w:rsidR="0066478A">
        <w:t>study</w:t>
      </w:r>
      <w:r>
        <w:t>. The safety outcomes are summarised below</w:t>
      </w:r>
      <w:r w:rsidR="007C6D8D">
        <w:t>.</w:t>
      </w:r>
    </w:p>
    <w:p w14:paraId="44BEDADC" w14:textId="4788CBBE" w:rsidR="00A41EB6" w:rsidRDefault="00A41EB6" w:rsidP="00A41EB6">
      <w:r>
        <w:t xml:space="preserve">The majority of patients (57.6% </w:t>
      </w:r>
      <w:r w:rsidR="007C6D8D">
        <w:t>BD</w:t>
      </w:r>
      <w:r>
        <w:t xml:space="preserve">, 54.8% </w:t>
      </w:r>
      <w:r w:rsidR="007C6D8D">
        <w:t>TDS</w:t>
      </w:r>
      <w:r>
        <w:t xml:space="preserve">) had at least 72 weeks of exposure to bosentan. The cumulative mean (± SD) exposure duration to bosentan was 64.1 ± 3.38 weeks in the </w:t>
      </w:r>
      <w:r w:rsidR="007C6D8D">
        <w:t>BD</w:t>
      </w:r>
      <w:r w:rsidR="009C6335">
        <w:t> </w:t>
      </w:r>
      <w:r>
        <w:t xml:space="preserve">group and 60.4 ± 4.20 weeks in the </w:t>
      </w:r>
      <w:r w:rsidR="007C6D8D">
        <w:t>TDS</w:t>
      </w:r>
      <w:r>
        <w:t xml:space="preserve"> group. The mean (± SD) exposure duration to </w:t>
      </w:r>
      <w:r>
        <w:lastRenderedPageBreak/>
        <w:t xml:space="preserve">bosentan only during the </w:t>
      </w:r>
      <w:r w:rsidR="009C6335">
        <w:t>FUTURE-3</w:t>
      </w:r>
      <w:r>
        <w:t xml:space="preserve"> extension </w:t>
      </w:r>
      <w:r w:rsidR="00AC1FBD">
        <w:t xml:space="preserve">study </w:t>
      </w:r>
      <w:r>
        <w:t xml:space="preserve">was 43.2 ± 2.55 weeks in the </w:t>
      </w:r>
      <w:r w:rsidR="007C6D8D">
        <w:t>BD</w:t>
      </w:r>
      <w:r>
        <w:t xml:space="preserve"> group and 43.1 ± 3.11 weeks in the </w:t>
      </w:r>
      <w:r w:rsidR="007C6D8D">
        <w:t>TDS</w:t>
      </w:r>
      <w:r>
        <w:t xml:space="preserve"> group.</w:t>
      </w:r>
    </w:p>
    <w:p w14:paraId="68DF1272" w14:textId="77777777" w:rsidR="00A41EB6" w:rsidRDefault="00A41EB6" w:rsidP="00A41EB6">
      <w:r>
        <w:t xml:space="preserve">The proportion of patients in the overall population who experienced at least one TEAE were 87.9% in the </w:t>
      </w:r>
      <w:r w:rsidR="007C6D8D">
        <w:t>BD</w:t>
      </w:r>
      <w:r>
        <w:t xml:space="preserve"> group and 83.9% in the </w:t>
      </w:r>
      <w:r w:rsidR="007C6D8D">
        <w:t>TDS</w:t>
      </w:r>
      <w:r>
        <w:t xml:space="preserve"> group. The majority of AEs were mild or moderate intensity. The proportions were 80.0% (</w:t>
      </w:r>
      <w:r w:rsidR="007C6D8D">
        <w:t>BD</w:t>
      </w:r>
      <w:r>
        <w:t>), 81.8% (</w:t>
      </w:r>
      <w:r w:rsidR="007C6D8D">
        <w:t>TDS</w:t>
      </w:r>
      <w:r>
        <w:t>) in patients &lt; 2 years of age, and 91.3% (</w:t>
      </w:r>
      <w:r w:rsidR="007C6D8D">
        <w:t>BD</w:t>
      </w:r>
      <w:r>
        <w:t>), 85.0% (</w:t>
      </w:r>
      <w:r w:rsidR="007C6D8D">
        <w:t>TDS</w:t>
      </w:r>
      <w:r>
        <w:t xml:space="preserve">) in patients </w:t>
      </w:r>
      <w:r w:rsidR="007C6D8D">
        <w:t>≥</w:t>
      </w:r>
      <w:r w:rsidR="00CF6063">
        <w:t xml:space="preserve"> </w:t>
      </w:r>
      <w:r>
        <w:t>2 years of age.</w:t>
      </w:r>
    </w:p>
    <w:p w14:paraId="50D3882A" w14:textId="5E39BF48" w:rsidR="00A41EB6" w:rsidRDefault="00A41EB6" w:rsidP="00A41EB6">
      <w:r>
        <w:t xml:space="preserve">The nature of AEs reported during the </w:t>
      </w:r>
      <w:r w:rsidR="009C6335">
        <w:t>FUTURE-3</w:t>
      </w:r>
      <w:r>
        <w:t xml:space="preserve"> extension </w:t>
      </w:r>
      <w:r w:rsidR="00AC1FBD">
        <w:t xml:space="preserve">study </w:t>
      </w:r>
      <w:r>
        <w:t xml:space="preserve">were consistent with those reported during the </w:t>
      </w:r>
      <w:r w:rsidR="009C6335">
        <w:t xml:space="preserve">FUTURE-3 </w:t>
      </w:r>
      <w:r w:rsidR="00AC1FBD">
        <w:t>core study</w:t>
      </w:r>
      <w:r>
        <w:t xml:space="preserve">. Upper respiratory tract infection was the most frequently reported AE (9 patients </w:t>
      </w:r>
      <w:r w:rsidR="00AC1FBD">
        <w:t>(</w:t>
      </w:r>
      <w:r>
        <w:t>27.3%</w:t>
      </w:r>
      <w:r w:rsidR="00AC1FBD">
        <w:t>)</w:t>
      </w:r>
      <w:r>
        <w:t xml:space="preserve"> </w:t>
      </w:r>
      <w:r w:rsidR="007C6D8D">
        <w:t>BD</w:t>
      </w:r>
      <w:r>
        <w:t xml:space="preserve">, 13 patients </w:t>
      </w:r>
      <w:r w:rsidR="00AC1FBD">
        <w:t>(</w:t>
      </w:r>
      <w:r>
        <w:t>41.9%</w:t>
      </w:r>
      <w:r w:rsidR="00AC1FBD">
        <w:t>)</w:t>
      </w:r>
      <w:r>
        <w:t xml:space="preserve"> </w:t>
      </w:r>
      <w:r w:rsidR="007C6D8D">
        <w:t>TDS</w:t>
      </w:r>
      <w:r>
        <w:t xml:space="preserve"> group). Worsening of PAH was reported for a total of 8 patients (12.5%).</w:t>
      </w:r>
    </w:p>
    <w:p w14:paraId="5E1B8A8C" w14:textId="593F5989" w:rsidR="00A41EB6" w:rsidRPr="00234873" w:rsidRDefault="00A41EB6" w:rsidP="00A41EB6">
      <w:r>
        <w:t xml:space="preserve">The increased </w:t>
      </w:r>
      <w:r w:rsidRPr="00234873">
        <w:t>incidences of AEs reported cumulatively over both st</w:t>
      </w:r>
      <w:r>
        <w:t xml:space="preserve">udies compared to </w:t>
      </w:r>
      <w:r w:rsidR="009C6335">
        <w:t>FUTURE</w:t>
      </w:r>
      <w:r w:rsidR="009C6335">
        <w:noBreakHyphen/>
        <w:t xml:space="preserve">3 </w:t>
      </w:r>
      <w:r w:rsidR="00AC1FBD">
        <w:t>core study</w:t>
      </w:r>
      <w:r w:rsidRPr="00234873">
        <w:t xml:space="preserve"> alone, are </w:t>
      </w:r>
      <w:r>
        <w:t xml:space="preserve">reported to reflect </w:t>
      </w:r>
      <w:r w:rsidRPr="00234873">
        <w:t xml:space="preserve">the longer observation period during the extension </w:t>
      </w:r>
      <w:r w:rsidR="0066478A">
        <w:t>study</w:t>
      </w:r>
      <w:r>
        <w:t>.</w:t>
      </w:r>
    </w:p>
    <w:p w14:paraId="619F0E26" w14:textId="77B756F1" w:rsidR="00A41EB6" w:rsidRPr="00234873" w:rsidRDefault="00A41EB6" w:rsidP="00A41EB6">
      <w:r>
        <w:t xml:space="preserve">A total of 12 deaths </w:t>
      </w:r>
      <w:r w:rsidRPr="00234873">
        <w:t>(18.8%) were reported (10 within and 2 beyond EOT</w:t>
      </w:r>
      <w:r>
        <w:t xml:space="preserve"> + 7 days), 3 of which occurred </w:t>
      </w:r>
      <w:r w:rsidRPr="00234873">
        <w:t xml:space="preserve">during the </w:t>
      </w:r>
      <w:r w:rsidR="009C6335">
        <w:t xml:space="preserve">FUTURE-3 </w:t>
      </w:r>
      <w:r w:rsidR="00AC1FBD">
        <w:t>core study</w:t>
      </w:r>
      <w:r w:rsidR="00AC1FBD" w:rsidRPr="00234873">
        <w:t xml:space="preserve"> </w:t>
      </w:r>
      <w:r w:rsidRPr="00234873">
        <w:t xml:space="preserve">and 9 occurred </w:t>
      </w:r>
      <w:r>
        <w:t xml:space="preserve">during the extension </w:t>
      </w:r>
      <w:r w:rsidR="0066478A">
        <w:t>study</w:t>
      </w:r>
      <w:r>
        <w:t xml:space="preserve">. The </w:t>
      </w:r>
      <w:r w:rsidRPr="00234873">
        <w:t xml:space="preserve">numerical difference in deaths in the </w:t>
      </w:r>
      <w:r w:rsidR="007C6D8D">
        <w:t>BD</w:t>
      </w:r>
      <w:r w:rsidRPr="00234873">
        <w:t xml:space="preserve"> (8 patients 24.2%) and </w:t>
      </w:r>
      <w:r w:rsidR="007C6D8D">
        <w:t>TDS</w:t>
      </w:r>
      <w:r>
        <w:t xml:space="preserve"> groups (4 patients, </w:t>
      </w:r>
      <w:r w:rsidRPr="00234873">
        <w:t xml:space="preserve">12.9%) reflected the difference </w:t>
      </w:r>
      <w:r>
        <w:t>in disease severity at baseline</w:t>
      </w:r>
      <w:r w:rsidRPr="00234873">
        <w:t>.</w:t>
      </w:r>
      <w:r>
        <w:t xml:space="preserve"> Of the 12 patients who died, 4 </w:t>
      </w:r>
      <w:r w:rsidRPr="00234873">
        <w:t xml:space="preserve">patients were &lt; 2 years of age and 8 patients were </w:t>
      </w:r>
      <w:r w:rsidR="007C6D8D">
        <w:t>≥</w:t>
      </w:r>
      <w:r w:rsidR="00CF6063">
        <w:t xml:space="preserve"> </w:t>
      </w:r>
      <w:r w:rsidRPr="00234873">
        <w:t>2 years</w:t>
      </w:r>
      <w:r>
        <w:t xml:space="preserve"> of age. All deaths occurred in </w:t>
      </w:r>
      <w:r w:rsidRPr="00234873">
        <w:t>the context of underlying disease worsening, cardiopulm</w:t>
      </w:r>
      <w:r>
        <w:t xml:space="preserve">onary disorders, and infections </w:t>
      </w:r>
      <w:r w:rsidRPr="00234873">
        <w:t>and none were a consequence of hepatobiliary events,</w:t>
      </w:r>
      <w:r>
        <w:t xml:space="preserve"> anaemia or oedema. Cumulatively, </w:t>
      </w:r>
      <w:r w:rsidRPr="00234873">
        <w:t>28 patients (43.8%) experienced SAEs, 4 of whom e</w:t>
      </w:r>
      <w:r>
        <w:t xml:space="preserve">xperienced SAEs during both the </w:t>
      </w:r>
      <w:r w:rsidR="009C6335">
        <w:t>FUTURE-3</w:t>
      </w:r>
      <w:r w:rsidRPr="00234873">
        <w:t xml:space="preserve"> core and the extension </w:t>
      </w:r>
      <w:r w:rsidR="0066478A">
        <w:t>study</w:t>
      </w:r>
      <w:r w:rsidRPr="00234873">
        <w:t>. Of the 28 p</w:t>
      </w:r>
      <w:r>
        <w:t xml:space="preserve">atients with SAEs, 12 (57.1%, 4 </w:t>
      </w:r>
      <w:r w:rsidR="007C6D8D">
        <w:t>BD</w:t>
      </w:r>
      <w:r w:rsidRPr="00234873">
        <w:t xml:space="preserve">, 8 </w:t>
      </w:r>
      <w:r w:rsidR="007C6D8D">
        <w:t>TDS</w:t>
      </w:r>
      <w:r w:rsidRPr="00234873">
        <w:t xml:space="preserve">) were &lt; 2 years of age and 16 (37.2%, 11 </w:t>
      </w:r>
      <w:r w:rsidR="007C6D8D">
        <w:t>BD</w:t>
      </w:r>
      <w:r>
        <w:t xml:space="preserve">, 5 </w:t>
      </w:r>
      <w:r w:rsidR="007C6D8D">
        <w:t>TDS</w:t>
      </w:r>
      <w:r w:rsidRPr="00234873">
        <w:t xml:space="preserve">) were </w:t>
      </w:r>
      <w:r w:rsidR="007C6D8D">
        <w:t>≥</w:t>
      </w:r>
      <w:r w:rsidR="00CF6063">
        <w:t xml:space="preserve"> </w:t>
      </w:r>
      <w:r>
        <w:t xml:space="preserve">2 years of </w:t>
      </w:r>
      <w:r w:rsidRPr="00234873">
        <w:t>age. The vast majority of SAEs were associated wit</w:t>
      </w:r>
      <w:r>
        <w:t xml:space="preserve">h cardiopulmonary disorders and </w:t>
      </w:r>
      <w:r w:rsidRPr="00234873">
        <w:t>infections.</w:t>
      </w:r>
    </w:p>
    <w:p w14:paraId="2DEEBA39" w14:textId="77777777" w:rsidR="00A41EB6" w:rsidRPr="00234873" w:rsidRDefault="00A41EB6" w:rsidP="00A41EB6">
      <w:r w:rsidRPr="00234873">
        <w:t xml:space="preserve">AEs led to premature discontinuation of </w:t>
      </w:r>
      <w:r w:rsidR="0066478A">
        <w:t>study</w:t>
      </w:r>
      <w:r w:rsidRPr="00234873">
        <w:t xml:space="preserve"> treatment in </w:t>
      </w:r>
      <w:r>
        <w:t xml:space="preserve">a total of 12 patients (18.8%). Patients </w:t>
      </w:r>
      <w:r w:rsidRPr="00234873">
        <w:t xml:space="preserve">prematurely discontinued </w:t>
      </w:r>
      <w:r w:rsidR="0066478A">
        <w:t>study</w:t>
      </w:r>
      <w:r w:rsidRPr="00234873">
        <w:t xml:space="preserve"> treatment mostly due to</w:t>
      </w:r>
      <w:r>
        <w:t xml:space="preserve"> worsening of PAH (n</w:t>
      </w:r>
      <w:r w:rsidR="00A5161C">
        <w:t xml:space="preserve"> </w:t>
      </w:r>
      <w:r w:rsidR="00E77015">
        <w:t>=</w:t>
      </w:r>
      <w:r w:rsidR="00A5161C">
        <w:t xml:space="preserve"> </w:t>
      </w:r>
      <w:r>
        <w:t xml:space="preserve">4), with </w:t>
      </w:r>
      <w:r w:rsidRPr="00234873">
        <w:t>other reasons being cardiopulmonary failure, liv</w:t>
      </w:r>
      <w:r>
        <w:t xml:space="preserve">er abnormalities, and pneumonia </w:t>
      </w:r>
      <w:r w:rsidR="009C6335">
        <w:t>(2 </w:t>
      </w:r>
      <w:r w:rsidRPr="00234873">
        <w:t>patients each).</w:t>
      </w:r>
    </w:p>
    <w:p w14:paraId="3A6ADE32" w14:textId="77777777" w:rsidR="00A41EB6" w:rsidRPr="00234873" w:rsidRDefault="00A41EB6" w:rsidP="00A41EB6">
      <w:r>
        <w:t>Six</w:t>
      </w:r>
      <w:r w:rsidRPr="00234873">
        <w:t xml:space="preserve"> patients experienced marked decreases</w:t>
      </w:r>
      <w:r>
        <w:t xml:space="preserve"> in haemoglobin values to </w:t>
      </w:r>
      <w:r w:rsidRPr="00234873">
        <w:t xml:space="preserve">&lt; 100 g/L (all </w:t>
      </w:r>
      <w:r w:rsidR="007C6D8D">
        <w:t>≥</w:t>
      </w:r>
      <w:r w:rsidR="00CF6063">
        <w:t xml:space="preserve"> </w:t>
      </w:r>
      <w:r w:rsidRPr="00234873">
        <w:t>2 years), which in 4 cases were re</w:t>
      </w:r>
      <w:r>
        <w:t xml:space="preserve">ported during the </w:t>
      </w:r>
      <w:r w:rsidR="009C6335">
        <w:t>FUTURE-3 Core Study</w:t>
      </w:r>
      <w:r w:rsidRPr="00234873">
        <w:t xml:space="preserve"> and in 2 cases, during the extension </w:t>
      </w:r>
      <w:r w:rsidR="0066478A">
        <w:t>study</w:t>
      </w:r>
      <w:r w:rsidRPr="00234873">
        <w:t>. No patie</w:t>
      </w:r>
      <w:r>
        <w:t xml:space="preserve">nts had decreases in haemoglobin </w:t>
      </w:r>
      <w:r w:rsidRPr="00234873">
        <w:t>to values &lt; 80 g/L. There were no new cases in the num</w:t>
      </w:r>
      <w:r>
        <w:t xml:space="preserve">ber of patients who experienced </w:t>
      </w:r>
      <w:r w:rsidRPr="00234873">
        <w:t xml:space="preserve">marked decrease in Platelets (LLL, </w:t>
      </w:r>
      <w:r w:rsidR="00CF6063">
        <w:t>that is</w:t>
      </w:r>
      <w:r w:rsidRPr="00234873">
        <w:t>, &lt; 50</w:t>
      </w:r>
      <w:r w:rsidR="00CF6063">
        <w:t xml:space="preserve"> x </w:t>
      </w:r>
      <w:r w:rsidR="009C6335" w:rsidRPr="00234873">
        <w:t>10</w:t>
      </w:r>
      <w:r w:rsidR="009C6335" w:rsidRPr="009C6335">
        <w:rPr>
          <w:vertAlign w:val="superscript"/>
        </w:rPr>
        <w:t>9</w:t>
      </w:r>
      <w:r w:rsidRPr="00234873">
        <w:t>/L)</w:t>
      </w:r>
      <w:r>
        <w:t xml:space="preserve"> and no new cases of ALT and/or </w:t>
      </w:r>
      <w:r w:rsidRPr="00234873">
        <w:t xml:space="preserve">AST </w:t>
      </w:r>
      <w:r w:rsidR="00CF6063">
        <w:t xml:space="preserve">&gt; </w:t>
      </w:r>
      <w:r w:rsidRPr="00234873">
        <w:t>3</w:t>
      </w:r>
      <w:r w:rsidR="00CF6063">
        <w:t xml:space="preserve"> x </w:t>
      </w:r>
      <w:r w:rsidRPr="00234873">
        <w:t xml:space="preserve">ULN during the </w:t>
      </w:r>
      <w:r w:rsidR="009C6335">
        <w:t>FUTURE-3</w:t>
      </w:r>
      <w:r w:rsidRPr="00234873">
        <w:t xml:space="preserve"> extensio</w:t>
      </w:r>
      <w:r>
        <w:t xml:space="preserve">n </w:t>
      </w:r>
      <w:r w:rsidR="00E77015">
        <w:t>Study</w:t>
      </w:r>
      <w:r>
        <w:t xml:space="preserve">. Altogether, 2 patients </w:t>
      </w:r>
      <w:r w:rsidRPr="00234873">
        <w:t>experienced marked decrease in platelets and one pa</w:t>
      </w:r>
      <w:r>
        <w:t xml:space="preserve">tient experienced ALT </w:t>
      </w:r>
      <w:r w:rsidR="00CF6063">
        <w:t xml:space="preserve">&gt; </w:t>
      </w:r>
      <w:r>
        <w:t>5</w:t>
      </w:r>
      <w:r w:rsidR="00CF6063">
        <w:t xml:space="preserve"> x </w:t>
      </w:r>
      <w:r>
        <w:t xml:space="preserve">ULN </w:t>
      </w:r>
      <w:r w:rsidRPr="00234873">
        <w:t xml:space="preserve">(204 U/L, Day 169) concomitant with AST </w:t>
      </w:r>
      <w:r w:rsidR="00CF6063">
        <w:t xml:space="preserve">&gt; </w:t>
      </w:r>
      <w:r w:rsidRPr="00234873">
        <w:t>3</w:t>
      </w:r>
      <w:r w:rsidR="00CF6063">
        <w:t xml:space="preserve"> x </w:t>
      </w:r>
      <w:r w:rsidRPr="00234873">
        <w:t>UL</w:t>
      </w:r>
      <w:r>
        <w:t xml:space="preserve">N (112 U/L) that resolved after </w:t>
      </w:r>
      <w:r w:rsidR="0066478A">
        <w:t>study</w:t>
      </w:r>
      <w:r w:rsidRPr="00234873">
        <w:t xml:space="preserve"> treatment discontinuation as reported in </w:t>
      </w:r>
      <w:r>
        <w:t xml:space="preserve">the </w:t>
      </w:r>
      <w:r w:rsidR="009C6335">
        <w:t>FUTURE-3 Core Study</w:t>
      </w:r>
      <w:r>
        <w:t xml:space="preserve">. Marked </w:t>
      </w:r>
      <w:r w:rsidRPr="00234873">
        <w:t xml:space="preserve">increases (HH, </w:t>
      </w:r>
      <w:r w:rsidR="00CF6063">
        <w:t>that is</w:t>
      </w:r>
      <w:r w:rsidRPr="00234873">
        <w:t xml:space="preserve">, </w:t>
      </w:r>
      <w:r w:rsidR="00CF6063">
        <w:t xml:space="preserve">&gt; </w:t>
      </w:r>
      <w:r w:rsidRPr="00234873">
        <w:t>2</w:t>
      </w:r>
      <w:r w:rsidR="00CF6063">
        <w:t xml:space="preserve"> x </w:t>
      </w:r>
      <w:r w:rsidRPr="00234873">
        <w:t>ULN) in TBIL were experien</w:t>
      </w:r>
      <w:r>
        <w:t xml:space="preserve">ced by one patient each, during </w:t>
      </w:r>
      <w:r w:rsidRPr="00234873">
        <w:t xml:space="preserve">the </w:t>
      </w:r>
      <w:r w:rsidR="009C6335">
        <w:t>FUTURE-3</w:t>
      </w:r>
      <w:r w:rsidRPr="00234873">
        <w:t xml:space="preserve"> core and the extension </w:t>
      </w:r>
      <w:r w:rsidR="0066478A">
        <w:t>study</w:t>
      </w:r>
      <w:r w:rsidRPr="00234873">
        <w:t>. Th</w:t>
      </w:r>
      <w:r>
        <w:t xml:space="preserve">ere were no cases of ALT or AST </w:t>
      </w:r>
      <w:r w:rsidRPr="00234873">
        <w:t xml:space="preserve">elevations </w:t>
      </w:r>
      <w:r w:rsidR="009C6335">
        <w:t>&gt; </w:t>
      </w:r>
      <w:r w:rsidRPr="00234873">
        <w:t>3</w:t>
      </w:r>
      <w:r w:rsidR="009C6335">
        <w:t> </w:t>
      </w:r>
      <w:r w:rsidR="009C6335">
        <w:rPr>
          <w:rFonts w:hint="eastAsia"/>
        </w:rPr>
        <w:t>x</w:t>
      </w:r>
      <w:r w:rsidR="009C6335">
        <w:t> </w:t>
      </w:r>
      <w:r w:rsidRPr="00234873">
        <w:t xml:space="preserve">ULN with total bilirubin </w:t>
      </w:r>
      <w:r w:rsidR="00CF6063">
        <w:t xml:space="preserve">&gt; </w:t>
      </w:r>
      <w:r w:rsidRPr="00234873">
        <w:t>2</w:t>
      </w:r>
      <w:r w:rsidR="00CF6063">
        <w:t xml:space="preserve"> </w:t>
      </w:r>
      <w:r w:rsidR="00CF6063">
        <w:rPr>
          <w:rFonts w:hint="eastAsia"/>
        </w:rPr>
        <w:t xml:space="preserve">x </w:t>
      </w:r>
      <w:r w:rsidRPr="00234873">
        <w:t>U</w:t>
      </w:r>
      <w:r>
        <w:t xml:space="preserve">LN altogether in the cumulative </w:t>
      </w:r>
      <w:r w:rsidRPr="00234873">
        <w:t>reporting period. These changes in laboratory variabl</w:t>
      </w:r>
      <w:r>
        <w:t xml:space="preserve">es and incidences of peripheral </w:t>
      </w:r>
      <w:r w:rsidRPr="00234873">
        <w:t xml:space="preserve">oedema were reported as AEs of special interest in a total </w:t>
      </w:r>
      <w:r>
        <w:t xml:space="preserve">of 8 patients, which in 4 cases </w:t>
      </w:r>
      <w:r w:rsidRPr="00234873">
        <w:t xml:space="preserve">occurred during the </w:t>
      </w:r>
      <w:r w:rsidR="009C6335">
        <w:t>FUTURE-3 Core Study</w:t>
      </w:r>
      <w:r w:rsidRPr="00234873">
        <w:t>.</w:t>
      </w:r>
    </w:p>
    <w:p w14:paraId="30DAF490" w14:textId="77777777" w:rsidR="00A41EB6" w:rsidRPr="00234873" w:rsidRDefault="00A41EB6" w:rsidP="00A41EB6">
      <w:r w:rsidRPr="00234873">
        <w:t>There were no notable differences between growth curves for height/length and BMI, for</w:t>
      </w:r>
      <w:r>
        <w:t xml:space="preserve"> </w:t>
      </w:r>
      <w:r w:rsidRPr="00234873">
        <w:t>males and females, or in patients with Down s</w:t>
      </w:r>
      <w:r>
        <w:t xml:space="preserve">yndrome. The growth profile was </w:t>
      </w:r>
      <w:r w:rsidRPr="00234873">
        <w:t>consistent with the underlying disease condition.</w:t>
      </w:r>
    </w:p>
    <w:p w14:paraId="5AE50E54" w14:textId="77777777" w:rsidR="00A41EB6" w:rsidRPr="00A41EB6" w:rsidRDefault="00A41EB6" w:rsidP="00A41EB6">
      <w:pPr>
        <w:pStyle w:val="Heading5"/>
      </w:pPr>
      <w:r w:rsidRPr="00A41EB6">
        <w:t>Evaluator commentary</w:t>
      </w:r>
    </w:p>
    <w:p w14:paraId="20639A70" w14:textId="686C287C" w:rsidR="00A41EB6" w:rsidRDefault="00A41EB6" w:rsidP="00A41EB6">
      <w:r>
        <w:t xml:space="preserve">A similar proportion of patients experienced a TEAE in the FUTURE-3 and FUTURE-2 studies. With a slightly higher proportion of patients experiencing a TEAE in the </w:t>
      </w:r>
      <w:r w:rsidR="007C6D8D">
        <w:t>BD</w:t>
      </w:r>
      <w:r>
        <w:t xml:space="preserve"> group compared to the </w:t>
      </w:r>
      <w:r w:rsidR="007C6D8D">
        <w:t>TDS</w:t>
      </w:r>
      <w:r>
        <w:t xml:space="preserve"> group. A higher proportion of deaths were also observed in the </w:t>
      </w:r>
      <w:r w:rsidR="007C6D8D">
        <w:t>BD</w:t>
      </w:r>
      <w:r>
        <w:t xml:space="preserve"> group. These results </w:t>
      </w:r>
      <w:r>
        <w:lastRenderedPageBreak/>
        <w:t xml:space="preserve">may reflect </w:t>
      </w:r>
      <w:r w:rsidRPr="00234873">
        <w:t xml:space="preserve">the difference </w:t>
      </w:r>
      <w:r>
        <w:t xml:space="preserve">in disease severity at baseline seen in the </w:t>
      </w:r>
      <w:r w:rsidR="007C6D8D">
        <w:t>BD</w:t>
      </w:r>
      <w:r>
        <w:t xml:space="preserve"> group. Th</w:t>
      </w:r>
      <w:r w:rsidR="009C6335">
        <w:t xml:space="preserve">e AEs reported in the FUTURE-3 </w:t>
      </w:r>
      <w:r w:rsidR="00AC1FBD">
        <w:t xml:space="preserve">extension study </w:t>
      </w:r>
      <w:r>
        <w:t xml:space="preserve">were consistent with those reported for the FUTURE-3 </w:t>
      </w:r>
      <w:r w:rsidR="00E77015">
        <w:t>Study</w:t>
      </w:r>
      <w:r>
        <w:t>.</w:t>
      </w:r>
    </w:p>
    <w:p w14:paraId="28288013" w14:textId="77777777" w:rsidR="00A41EB6" w:rsidRPr="00BB473D" w:rsidRDefault="00A41EB6" w:rsidP="00A41EB6">
      <w:r>
        <w:t>Upper respiratory tract infection was the most frequently reported AE and is described in the current Tracleer PI.</w:t>
      </w:r>
    </w:p>
    <w:p w14:paraId="34C61406" w14:textId="1C95A4EB" w:rsidR="00A41EB6" w:rsidRPr="00A41EB6" w:rsidRDefault="00AC1FBD" w:rsidP="00A41EB6">
      <w:pPr>
        <w:pStyle w:val="Heading4"/>
      </w:pPr>
      <w:bookmarkStart w:id="312" w:name="_Ref464223304"/>
      <w:r>
        <w:t xml:space="preserve">Study </w:t>
      </w:r>
      <w:r w:rsidR="00A41EB6" w:rsidRPr="00A41EB6">
        <w:t xml:space="preserve">AC-052-392 </w:t>
      </w:r>
      <w:r>
        <w:t>(</w:t>
      </w:r>
      <w:r w:rsidR="00A41EB6" w:rsidRPr="00A41EB6">
        <w:t>FUTURE-4</w:t>
      </w:r>
      <w:r>
        <w:t>)</w:t>
      </w:r>
      <w:r w:rsidR="00A41EB6" w:rsidRPr="00A41EB6">
        <w:t xml:space="preserve"> Extension</w:t>
      </w:r>
      <w:bookmarkEnd w:id="312"/>
    </w:p>
    <w:p w14:paraId="2DFAE9B8" w14:textId="77777777" w:rsidR="00A41EB6" w:rsidRPr="00A41EB6" w:rsidRDefault="00A41EB6" w:rsidP="00A41EB6">
      <w:pPr>
        <w:pStyle w:val="Heading5"/>
      </w:pPr>
      <w:bookmarkStart w:id="313" w:name="_Toc290888513"/>
      <w:bookmarkStart w:id="314" w:name="_Toc416353729"/>
      <w:r w:rsidRPr="00A41EB6">
        <w:t>Study design, objectives, locations and dates</w:t>
      </w:r>
      <w:bookmarkEnd w:id="313"/>
      <w:bookmarkEnd w:id="314"/>
    </w:p>
    <w:p w14:paraId="0DE512E3" w14:textId="1EEDABDB" w:rsidR="00A41EB6" w:rsidRDefault="009C6335" w:rsidP="00A41EB6">
      <w:bookmarkStart w:id="315" w:name="_Toc290888514"/>
      <w:bookmarkStart w:id="316" w:name="_Toc416353730"/>
      <w:r>
        <w:t xml:space="preserve">The </w:t>
      </w:r>
      <w:r w:rsidR="00AC1FBD">
        <w:t xml:space="preserve">Study </w:t>
      </w:r>
      <w:r>
        <w:t xml:space="preserve">AC-052-392 </w:t>
      </w:r>
      <w:r w:rsidR="00AC1FBD">
        <w:t>(</w:t>
      </w:r>
      <w:r>
        <w:t>FUTURE-4</w:t>
      </w:r>
      <w:r w:rsidR="00AC1FBD">
        <w:t>)</w:t>
      </w:r>
      <w:r>
        <w:t xml:space="preserve"> </w:t>
      </w:r>
      <w:r w:rsidR="00AC1FBD">
        <w:t>e</w:t>
      </w:r>
      <w:r w:rsidR="00A41EB6">
        <w:t xml:space="preserve">xtension </w:t>
      </w:r>
      <w:r>
        <w:rPr>
          <w:lang w:eastAsia="ja-JP"/>
        </w:rPr>
        <w:t xml:space="preserve">was a multi-centre, non drug </w:t>
      </w:r>
      <w:r w:rsidR="00A41EB6" w:rsidRPr="00445E81">
        <w:rPr>
          <w:lang w:eastAsia="ja-JP"/>
        </w:rPr>
        <w:t xml:space="preserve">interventional, exploratory, </w:t>
      </w:r>
      <w:r w:rsidR="00CF6063">
        <w:rPr>
          <w:lang w:eastAsia="ja-JP"/>
        </w:rPr>
        <w:t>Phase III</w:t>
      </w:r>
      <w:r w:rsidR="00A41EB6" w:rsidRPr="00445E81">
        <w:rPr>
          <w:lang w:eastAsia="ja-JP"/>
        </w:rPr>
        <w:t xml:space="preserve">, extension </w:t>
      </w:r>
      <w:r w:rsidR="0066478A">
        <w:rPr>
          <w:lang w:eastAsia="ja-JP"/>
        </w:rPr>
        <w:t>study</w:t>
      </w:r>
      <w:r w:rsidR="00A41EB6" w:rsidRPr="00445E81">
        <w:rPr>
          <w:lang w:eastAsia="ja-JP"/>
        </w:rPr>
        <w:t>,</w:t>
      </w:r>
      <w:r w:rsidR="00A41EB6">
        <w:rPr>
          <w:lang w:eastAsia="ja-JP"/>
        </w:rPr>
        <w:t xml:space="preserve"> </w:t>
      </w:r>
      <w:r w:rsidR="00A41EB6" w:rsidRPr="00445E81">
        <w:rPr>
          <w:lang w:eastAsia="ja-JP"/>
        </w:rPr>
        <w:t xml:space="preserve">which enrolled subjects from the </w:t>
      </w:r>
      <w:r>
        <w:rPr>
          <w:lang w:eastAsia="ja-JP"/>
        </w:rPr>
        <w:t>FUTURE-4</w:t>
      </w:r>
      <w:r w:rsidR="00A41EB6" w:rsidRPr="00445E81">
        <w:rPr>
          <w:lang w:eastAsia="ja-JP"/>
        </w:rPr>
        <w:t xml:space="preserve"> </w:t>
      </w:r>
      <w:r w:rsidR="00E77015">
        <w:rPr>
          <w:lang w:eastAsia="ja-JP"/>
        </w:rPr>
        <w:t>Study</w:t>
      </w:r>
      <w:r w:rsidR="00A41EB6" w:rsidRPr="00445E81">
        <w:rPr>
          <w:lang w:eastAsia="ja-JP"/>
        </w:rPr>
        <w:t xml:space="preserve"> who had received at least one</w:t>
      </w:r>
      <w:r w:rsidR="00A41EB6">
        <w:rPr>
          <w:lang w:eastAsia="ja-JP"/>
        </w:rPr>
        <w:t xml:space="preserve"> </w:t>
      </w:r>
      <w:r w:rsidR="00A41EB6" w:rsidRPr="00445E81">
        <w:rPr>
          <w:lang w:eastAsia="ja-JP"/>
        </w:rPr>
        <w:t xml:space="preserve">dose of </w:t>
      </w:r>
      <w:r w:rsidR="0066478A">
        <w:rPr>
          <w:lang w:eastAsia="ja-JP"/>
        </w:rPr>
        <w:t>study</w:t>
      </w:r>
      <w:r w:rsidR="00A41EB6" w:rsidRPr="00445E81">
        <w:rPr>
          <w:lang w:eastAsia="ja-JP"/>
        </w:rPr>
        <w:t xml:space="preserve"> drug (bosentan 2 mg/kg twice a day dispersible tablet formulation or</w:t>
      </w:r>
      <w:r w:rsidR="00A41EB6">
        <w:rPr>
          <w:lang w:eastAsia="ja-JP"/>
        </w:rPr>
        <w:t xml:space="preserve"> </w:t>
      </w:r>
      <w:r w:rsidR="00A41EB6" w:rsidRPr="00445E81">
        <w:rPr>
          <w:lang w:eastAsia="ja-JP"/>
        </w:rPr>
        <w:t>matching placebo).</w:t>
      </w:r>
    </w:p>
    <w:p w14:paraId="2812362E" w14:textId="63C56C30" w:rsidR="00A41EB6" w:rsidRDefault="009C6335" w:rsidP="00A41EB6">
      <w:pPr>
        <w:rPr>
          <w:lang w:eastAsia="ja-JP"/>
        </w:rPr>
      </w:pPr>
      <w:r>
        <w:rPr>
          <w:lang w:eastAsia="ja-JP"/>
        </w:rPr>
        <w:t xml:space="preserve">The enrolment in FUTURE-4 </w:t>
      </w:r>
      <w:r w:rsidR="00AC1FBD">
        <w:rPr>
          <w:lang w:eastAsia="ja-JP"/>
        </w:rPr>
        <w:t>e</w:t>
      </w:r>
      <w:r w:rsidR="00AC1FBD" w:rsidRPr="00445E81">
        <w:rPr>
          <w:lang w:eastAsia="ja-JP"/>
        </w:rPr>
        <w:t xml:space="preserve">xtension </w:t>
      </w:r>
      <w:r w:rsidR="00AC1FBD">
        <w:rPr>
          <w:lang w:eastAsia="ja-JP"/>
        </w:rPr>
        <w:t>study</w:t>
      </w:r>
      <w:r w:rsidR="00AC1FBD" w:rsidRPr="00445E81">
        <w:rPr>
          <w:lang w:eastAsia="ja-JP"/>
        </w:rPr>
        <w:t xml:space="preserve"> </w:t>
      </w:r>
      <w:r w:rsidR="00A41EB6" w:rsidRPr="00445E81">
        <w:rPr>
          <w:lang w:eastAsia="ja-JP"/>
        </w:rPr>
        <w:t xml:space="preserve">was performed after the </w:t>
      </w:r>
      <w:r>
        <w:rPr>
          <w:lang w:eastAsia="ja-JP"/>
        </w:rPr>
        <w:t>FUTURE-4</w:t>
      </w:r>
      <w:r w:rsidR="00A41EB6" w:rsidRPr="00445E81">
        <w:rPr>
          <w:lang w:eastAsia="ja-JP"/>
        </w:rPr>
        <w:t xml:space="preserve"> </w:t>
      </w:r>
      <w:r w:rsidR="00A41EB6">
        <w:rPr>
          <w:lang w:eastAsia="ja-JP"/>
        </w:rPr>
        <w:t>EOS</w:t>
      </w:r>
      <w:r w:rsidR="00A41EB6" w:rsidRPr="00445E81">
        <w:rPr>
          <w:lang w:eastAsia="ja-JP"/>
        </w:rPr>
        <w:t xml:space="preserve"> visit and within 6 months after approval of the </w:t>
      </w:r>
      <w:r>
        <w:rPr>
          <w:lang w:eastAsia="ja-JP"/>
        </w:rPr>
        <w:t>FUTURE-4</w:t>
      </w:r>
      <w:r w:rsidR="00A41EB6" w:rsidRPr="00445E81">
        <w:rPr>
          <w:lang w:eastAsia="ja-JP"/>
        </w:rPr>
        <w:t xml:space="preserve"> </w:t>
      </w:r>
      <w:r w:rsidR="00E77015">
        <w:rPr>
          <w:lang w:eastAsia="ja-JP"/>
        </w:rPr>
        <w:t>Study</w:t>
      </w:r>
      <w:r w:rsidR="00A41EB6">
        <w:rPr>
          <w:lang w:eastAsia="ja-JP"/>
        </w:rPr>
        <w:t xml:space="preserve"> </w:t>
      </w:r>
      <w:r w:rsidR="00A41EB6" w:rsidRPr="00445E81">
        <w:rPr>
          <w:lang w:eastAsia="ja-JP"/>
        </w:rPr>
        <w:t xml:space="preserve">extension protocol at the respective </w:t>
      </w:r>
      <w:r w:rsidR="0066478A">
        <w:rPr>
          <w:lang w:eastAsia="ja-JP"/>
        </w:rPr>
        <w:t>study</w:t>
      </w:r>
      <w:r w:rsidR="00A41EB6" w:rsidRPr="00445E81">
        <w:rPr>
          <w:lang w:eastAsia="ja-JP"/>
        </w:rPr>
        <w:t xml:space="preserve"> site. The obse</w:t>
      </w:r>
      <w:r w:rsidR="00A41EB6">
        <w:rPr>
          <w:lang w:eastAsia="ja-JP"/>
        </w:rPr>
        <w:t xml:space="preserve">rvation period for all subjects </w:t>
      </w:r>
      <w:r w:rsidR="00A41EB6" w:rsidRPr="00445E81">
        <w:rPr>
          <w:lang w:eastAsia="ja-JP"/>
        </w:rPr>
        <w:t xml:space="preserve">enrolled into the </w:t>
      </w:r>
      <w:r>
        <w:rPr>
          <w:lang w:eastAsia="ja-JP"/>
        </w:rPr>
        <w:t>FUTURE-4</w:t>
      </w:r>
      <w:r w:rsidR="00A41EB6" w:rsidRPr="00445E81">
        <w:rPr>
          <w:lang w:eastAsia="ja-JP"/>
        </w:rPr>
        <w:t xml:space="preserve"> extension </w:t>
      </w:r>
      <w:r w:rsidR="00E77015">
        <w:rPr>
          <w:lang w:eastAsia="ja-JP"/>
        </w:rPr>
        <w:t>Study</w:t>
      </w:r>
      <w:r w:rsidR="00A41EB6" w:rsidRPr="00445E81">
        <w:rPr>
          <w:lang w:eastAsia="ja-JP"/>
        </w:rPr>
        <w:t xml:space="preserve"> started from the </w:t>
      </w:r>
      <w:r>
        <w:rPr>
          <w:lang w:eastAsia="ja-JP"/>
        </w:rPr>
        <w:t xml:space="preserve">FUTURE-4 Core </w:t>
      </w:r>
      <w:r w:rsidR="00A41EB6" w:rsidRPr="00445E81">
        <w:rPr>
          <w:lang w:eastAsia="ja-JP"/>
        </w:rPr>
        <w:t>EOS and</w:t>
      </w:r>
      <w:r w:rsidR="00A41EB6">
        <w:rPr>
          <w:lang w:eastAsia="ja-JP"/>
        </w:rPr>
        <w:t xml:space="preserve"> </w:t>
      </w:r>
      <w:r w:rsidR="00A41EB6" w:rsidRPr="00445E81">
        <w:rPr>
          <w:lang w:eastAsia="ja-JP"/>
        </w:rPr>
        <w:t>lasted up to 12 months (+ 2 months</w:t>
      </w:r>
      <w:r w:rsidR="00A41EB6">
        <w:rPr>
          <w:lang w:val="en-US" w:eastAsia="ja-JP"/>
        </w:rPr>
        <w:t>’</w:t>
      </w:r>
      <w:r w:rsidR="00A41EB6" w:rsidRPr="00445E81">
        <w:rPr>
          <w:lang w:eastAsia="ja-JP"/>
        </w:rPr>
        <w:t xml:space="preserve"> time window) thereafter. The observation period</w:t>
      </w:r>
      <w:r w:rsidR="00A41EB6">
        <w:rPr>
          <w:lang w:eastAsia="ja-JP"/>
        </w:rPr>
        <w:t xml:space="preserve"> </w:t>
      </w:r>
      <w:r w:rsidR="00A41EB6" w:rsidRPr="00445E81">
        <w:rPr>
          <w:lang w:eastAsia="ja-JP"/>
        </w:rPr>
        <w:t>concluded with an End-of-observation period (EoOP) assessment visit, which included</w:t>
      </w:r>
      <w:r w:rsidR="00A41EB6">
        <w:rPr>
          <w:lang w:eastAsia="ja-JP"/>
        </w:rPr>
        <w:t xml:space="preserve"> </w:t>
      </w:r>
      <w:r w:rsidR="00A41EB6" w:rsidRPr="00445E81">
        <w:rPr>
          <w:lang w:eastAsia="ja-JP"/>
        </w:rPr>
        <w:t>collection of growth variables.</w:t>
      </w:r>
    </w:p>
    <w:p w14:paraId="5DB54086" w14:textId="27D461F4" w:rsidR="00A41EB6" w:rsidRDefault="00A41EB6" w:rsidP="00A41EB6">
      <w:pPr>
        <w:rPr>
          <w:lang w:eastAsia="ja-JP"/>
        </w:rPr>
      </w:pPr>
      <w:r>
        <w:rPr>
          <w:lang w:eastAsia="ja-JP"/>
        </w:rPr>
        <w:t xml:space="preserve">The objective of this </w:t>
      </w:r>
      <w:r w:rsidR="0066478A">
        <w:rPr>
          <w:lang w:eastAsia="ja-JP"/>
        </w:rPr>
        <w:t>study</w:t>
      </w:r>
      <w:r>
        <w:rPr>
          <w:lang w:eastAsia="ja-JP"/>
        </w:rPr>
        <w:t xml:space="preserve"> was t</w:t>
      </w:r>
      <w:r w:rsidRPr="00445E81">
        <w:rPr>
          <w:lang w:eastAsia="ja-JP"/>
        </w:rPr>
        <w:t xml:space="preserve">o assess </w:t>
      </w:r>
      <w:r w:rsidR="007C6D8D">
        <w:rPr>
          <w:lang w:eastAsia="ja-JP"/>
        </w:rPr>
        <w:t>long term</w:t>
      </w:r>
      <w:r w:rsidRPr="00445E81">
        <w:rPr>
          <w:lang w:eastAsia="ja-JP"/>
        </w:rPr>
        <w:t xml:space="preserve"> safety and effects on growth in subjects who received bosentan or</w:t>
      </w:r>
      <w:r>
        <w:rPr>
          <w:lang w:eastAsia="ja-JP"/>
        </w:rPr>
        <w:t xml:space="preserve"> </w:t>
      </w:r>
      <w:r w:rsidRPr="00445E81">
        <w:rPr>
          <w:lang w:eastAsia="ja-JP"/>
        </w:rPr>
        <w:t xml:space="preserve">placebo in the </w:t>
      </w:r>
      <w:r w:rsidR="009C6335">
        <w:rPr>
          <w:lang w:eastAsia="ja-JP"/>
        </w:rPr>
        <w:t>FUTURE-4</w:t>
      </w:r>
      <w:r w:rsidRPr="00445E81">
        <w:rPr>
          <w:lang w:eastAsia="ja-JP"/>
        </w:rPr>
        <w:t xml:space="preserve"> </w:t>
      </w:r>
      <w:r w:rsidR="00E77015">
        <w:rPr>
          <w:lang w:eastAsia="ja-JP"/>
        </w:rPr>
        <w:t>Study</w:t>
      </w:r>
      <w:r w:rsidRPr="00445E81">
        <w:rPr>
          <w:lang w:eastAsia="ja-JP"/>
        </w:rPr>
        <w:t>.</w:t>
      </w:r>
    </w:p>
    <w:p w14:paraId="0D794F44" w14:textId="19BE926D" w:rsidR="007C6D8D" w:rsidRDefault="00A41EB6" w:rsidP="00A41EB6">
      <w:pPr>
        <w:rPr>
          <w:lang w:eastAsia="ja-JP"/>
        </w:rPr>
      </w:pPr>
      <w:r>
        <w:rPr>
          <w:lang w:eastAsia="ja-JP"/>
        </w:rPr>
        <w:t xml:space="preserve">The </w:t>
      </w:r>
      <w:r w:rsidR="0066478A">
        <w:rPr>
          <w:lang w:eastAsia="ja-JP"/>
        </w:rPr>
        <w:t>study</w:t>
      </w:r>
      <w:r>
        <w:rPr>
          <w:lang w:eastAsia="ja-JP"/>
        </w:rPr>
        <w:t xml:space="preserve"> was conducted at all 9 centres across 6 countries in which subjects were randomised in the </w:t>
      </w:r>
      <w:r w:rsidR="009C6335">
        <w:rPr>
          <w:lang w:eastAsia="ja-JP"/>
        </w:rPr>
        <w:t>FUTURE-4</w:t>
      </w:r>
      <w:r>
        <w:rPr>
          <w:lang w:eastAsia="ja-JP"/>
        </w:rPr>
        <w:t xml:space="preserve"> </w:t>
      </w:r>
      <w:r w:rsidR="00E77015">
        <w:rPr>
          <w:lang w:eastAsia="ja-JP"/>
        </w:rPr>
        <w:t>Study</w:t>
      </w:r>
      <w:r>
        <w:rPr>
          <w:lang w:eastAsia="ja-JP"/>
        </w:rPr>
        <w:t xml:space="preserve">. The </w:t>
      </w:r>
      <w:r w:rsidR="0066478A">
        <w:rPr>
          <w:lang w:eastAsia="ja-JP"/>
        </w:rPr>
        <w:t>study</w:t>
      </w:r>
      <w:r>
        <w:rPr>
          <w:lang w:eastAsia="ja-JP"/>
        </w:rPr>
        <w:t xml:space="preserve"> ran from 14 December 2013 to 5 December 2014</w:t>
      </w:r>
      <w:r w:rsidR="007C6D8D">
        <w:rPr>
          <w:lang w:eastAsia="ja-JP"/>
        </w:rPr>
        <w:t>.</w:t>
      </w:r>
    </w:p>
    <w:p w14:paraId="01E29D7A" w14:textId="77777777" w:rsidR="00A41EB6" w:rsidRPr="00A41EB6" w:rsidRDefault="00A41EB6" w:rsidP="00A41EB6">
      <w:pPr>
        <w:pStyle w:val="Heading5"/>
      </w:pPr>
      <w:r w:rsidRPr="00A41EB6">
        <w:t>Inclusion and exclusion criteria</w:t>
      </w:r>
      <w:bookmarkEnd w:id="315"/>
      <w:bookmarkEnd w:id="316"/>
    </w:p>
    <w:p w14:paraId="6DC00684" w14:textId="3F042FB2" w:rsidR="00A41EB6" w:rsidRDefault="00A41EB6" w:rsidP="00A41EB6">
      <w:pPr>
        <w:rPr>
          <w:lang w:eastAsia="ja-JP"/>
        </w:rPr>
      </w:pPr>
      <w:bookmarkStart w:id="317" w:name="_Toc290888515"/>
      <w:bookmarkStart w:id="318" w:name="_Toc416353731"/>
      <w:r w:rsidRPr="00445E81">
        <w:rPr>
          <w:lang w:eastAsia="ja-JP"/>
        </w:rPr>
        <w:t xml:space="preserve">The </w:t>
      </w:r>
      <w:r w:rsidR="0066478A">
        <w:rPr>
          <w:lang w:eastAsia="ja-JP"/>
        </w:rPr>
        <w:t>study</w:t>
      </w:r>
      <w:r w:rsidRPr="00445E81">
        <w:rPr>
          <w:lang w:eastAsia="ja-JP"/>
        </w:rPr>
        <w:t xml:space="preserve"> included male and female subjects who had received at least one dose of </w:t>
      </w:r>
      <w:r w:rsidR="0066478A">
        <w:rPr>
          <w:lang w:eastAsia="ja-JP"/>
        </w:rPr>
        <w:t>study</w:t>
      </w:r>
      <w:r>
        <w:rPr>
          <w:lang w:eastAsia="ja-JP"/>
        </w:rPr>
        <w:t xml:space="preserve"> </w:t>
      </w:r>
      <w:r w:rsidRPr="00445E81">
        <w:rPr>
          <w:lang w:eastAsia="ja-JP"/>
        </w:rPr>
        <w:t xml:space="preserve">drug (bosentan 2 mg/kg </w:t>
      </w:r>
      <w:r w:rsidR="007C6D8D">
        <w:rPr>
          <w:lang w:eastAsia="ja-JP"/>
        </w:rPr>
        <w:t>BD</w:t>
      </w:r>
      <w:r w:rsidRPr="00445E81">
        <w:rPr>
          <w:lang w:eastAsia="ja-JP"/>
        </w:rPr>
        <w:t xml:space="preserve"> dispersible tablet formulation or matching placebo) in the</w:t>
      </w:r>
      <w:r>
        <w:rPr>
          <w:lang w:eastAsia="ja-JP"/>
        </w:rPr>
        <w:t xml:space="preserve"> </w:t>
      </w:r>
      <w:r w:rsidR="009C6335">
        <w:rPr>
          <w:lang w:eastAsia="ja-JP"/>
        </w:rPr>
        <w:t>FUTURE</w:t>
      </w:r>
      <w:r w:rsidR="009C6335">
        <w:rPr>
          <w:lang w:eastAsia="ja-JP"/>
        </w:rPr>
        <w:noBreakHyphen/>
        <w:t>4 </w:t>
      </w:r>
      <w:r w:rsidR="00F467FE">
        <w:rPr>
          <w:lang w:eastAsia="ja-JP"/>
        </w:rPr>
        <w:t>c</w:t>
      </w:r>
      <w:r w:rsidR="00F467FE" w:rsidRPr="00445E81">
        <w:rPr>
          <w:lang w:eastAsia="ja-JP"/>
        </w:rPr>
        <w:t xml:space="preserve">ore </w:t>
      </w:r>
      <w:r w:rsidR="00F467FE">
        <w:rPr>
          <w:lang w:eastAsia="ja-JP"/>
        </w:rPr>
        <w:t xml:space="preserve">study </w:t>
      </w:r>
      <w:r>
        <w:rPr>
          <w:lang w:eastAsia="ja-JP"/>
        </w:rPr>
        <w:t xml:space="preserve">(see </w:t>
      </w:r>
      <w:r w:rsidR="00F467FE">
        <w:rPr>
          <w:lang w:eastAsia="ja-JP"/>
        </w:rPr>
        <w:t xml:space="preserve">Section </w:t>
      </w:r>
      <w:r w:rsidR="009C6335">
        <w:rPr>
          <w:lang w:eastAsia="ja-JP"/>
        </w:rPr>
        <w:t>7.2.1.2</w:t>
      </w:r>
      <w:r w:rsidR="000A1DC3">
        <w:rPr>
          <w:lang w:eastAsia="ja-JP"/>
        </w:rPr>
        <w:t xml:space="preserve"> (above)</w:t>
      </w:r>
      <w:r>
        <w:rPr>
          <w:lang w:eastAsia="ja-JP"/>
        </w:rPr>
        <w:t xml:space="preserve"> for the list of inclusion and exclusion criteria)</w:t>
      </w:r>
      <w:r w:rsidRPr="00445E81">
        <w:rPr>
          <w:lang w:eastAsia="ja-JP"/>
        </w:rPr>
        <w:t>.</w:t>
      </w:r>
      <w:r>
        <w:rPr>
          <w:lang w:eastAsia="ja-JP"/>
        </w:rPr>
        <w:t xml:space="preserve"> </w:t>
      </w:r>
      <w:r w:rsidRPr="00445E81">
        <w:rPr>
          <w:lang w:eastAsia="ja-JP"/>
        </w:rPr>
        <w:t xml:space="preserve">Subjects treated in the </w:t>
      </w:r>
      <w:r w:rsidR="009C6335">
        <w:rPr>
          <w:lang w:eastAsia="ja-JP"/>
        </w:rPr>
        <w:t xml:space="preserve">FUTURE-4 Core </w:t>
      </w:r>
      <w:r w:rsidR="00E77015">
        <w:rPr>
          <w:lang w:eastAsia="ja-JP"/>
        </w:rPr>
        <w:t>Study</w:t>
      </w:r>
      <w:r>
        <w:rPr>
          <w:lang w:eastAsia="ja-JP"/>
        </w:rPr>
        <w:t xml:space="preserve"> were term or </w:t>
      </w:r>
      <w:r w:rsidR="007C6D8D">
        <w:rPr>
          <w:lang w:eastAsia="ja-JP"/>
        </w:rPr>
        <w:t>near term</w:t>
      </w:r>
      <w:r w:rsidRPr="00445E81">
        <w:rPr>
          <w:lang w:eastAsia="ja-JP"/>
        </w:rPr>
        <w:t xml:space="preserve"> newborns (gestational age </w:t>
      </w:r>
      <w:r w:rsidR="00CF6063">
        <w:rPr>
          <w:lang w:eastAsia="ja-JP"/>
        </w:rPr>
        <w:t xml:space="preserve">&gt; </w:t>
      </w:r>
      <w:r w:rsidRPr="00445E81">
        <w:rPr>
          <w:lang w:eastAsia="ja-JP"/>
        </w:rPr>
        <w:t xml:space="preserve">34 weeks) between </w:t>
      </w:r>
      <w:r w:rsidR="007C6D8D">
        <w:rPr>
          <w:lang w:eastAsia="ja-JP"/>
        </w:rPr>
        <w:t>≥</w:t>
      </w:r>
      <w:r w:rsidR="00CF6063">
        <w:rPr>
          <w:lang w:eastAsia="ja-JP"/>
        </w:rPr>
        <w:t xml:space="preserve"> </w:t>
      </w:r>
      <w:r w:rsidR="00A5161C">
        <w:rPr>
          <w:lang w:eastAsia="ja-JP"/>
        </w:rPr>
        <w:t>12 hours</w:t>
      </w:r>
      <w:r w:rsidRPr="00445E81">
        <w:rPr>
          <w:lang w:eastAsia="ja-JP"/>
        </w:rPr>
        <w:t xml:space="preserve"> and &lt; 7 days of age</w:t>
      </w:r>
      <w:r>
        <w:rPr>
          <w:lang w:eastAsia="ja-JP"/>
        </w:rPr>
        <w:t xml:space="preserve"> </w:t>
      </w:r>
      <w:r w:rsidRPr="00445E81">
        <w:rPr>
          <w:lang w:eastAsia="ja-JP"/>
        </w:rPr>
        <w:t>with idiopathic PPHN or PPHN secondary to parenchymal lung diseases with no or</w:t>
      </w:r>
      <w:r>
        <w:rPr>
          <w:lang w:eastAsia="ja-JP"/>
        </w:rPr>
        <w:t xml:space="preserve"> </w:t>
      </w:r>
      <w:r w:rsidRPr="00445E81">
        <w:rPr>
          <w:lang w:eastAsia="ja-JP"/>
        </w:rPr>
        <w:t xml:space="preserve">insufficient response to </w:t>
      </w:r>
      <w:r>
        <w:rPr>
          <w:lang w:eastAsia="ja-JP"/>
        </w:rPr>
        <w:t>iNO</w:t>
      </w:r>
      <w:r w:rsidRPr="00445E81">
        <w:rPr>
          <w:lang w:eastAsia="ja-JP"/>
        </w:rPr>
        <w:t xml:space="preserve"> therapy.</w:t>
      </w:r>
    </w:p>
    <w:p w14:paraId="7AC6F4CE" w14:textId="77777777" w:rsidR="00A41EB6" w:rsidRPr="00A41EB6" w:rsidRDefault="00A41EB6" w:rsidP="00A41EB6">
      <w:pPr>
        <w:pStyle w:val="Heading5"/>
      </w:pPr>
      <w:r w:rsidRPr="00A41EB6">
        <w:t>Study treatments</w:t>
      </w:r>
      <w:bookmarkEnd w:id="317"/>
      <w:bookmarkEnd w:id="318"/>
    </w:p>
    <w:p w14:paraId="3DAA8789" w14:textId="77777777" w:rsidR="00A41EB6" w:rsidRDefault="00A41EB6" w:rsidP="00A41EB6">
      <w:pPr>
        <w:rPr>
          <w:lang w:eastAsia="ja-JP"/>
        </w:rPr>
      </w:pPr>
      <w:bookmarkStart w:id="319" w:name="_Toc290888516"/>
      <w:bookmarkStart w:id="320" w:name="_Toc416353732"/>
      <w:r w:rsidRPr="00445E81">
        <w:rPr>
          <w:lang w:eastAsia="ja-JP"/>
        </w:rPr>
        <w:t xml:space="preserve">No </w:t>
      </w:r>
      <w:r w:rsidR="0066478A">
        <w:rPr>
          <w:lang w:eastAsia="ja-JP"/>
        </w:rPr>
        <w:t>study</w:t>
      </w:r>
      <w:r w:rsidRPr="00445E81">
        <w:rPr>
          <w:lang w:eastAsia="ja-JP"/>
        </w:rPr>
        <w:t xml:space="preserve"> drug was administered.</w:t>
      </w:r>
    </w:p>
    <w:p w14:paraId="521E609F" w14:textId="77777777" w:rsidR="00A41EB6" w:rsidRPr="00A41EB6" w:rsidRDefault="00A41EB6" w:rsidP="00A41EB6">
      <w:pPr>
        <w:pStyle w:val="Heading5"/>
      </w:pPr>
      <w:r w:rsidRPr="00A41EB6">
        <w:t>Safety variables and outcomes</w:t>
      </w:r>
      <w:bookmarkEnd w:id="319"/>
      <w:bookmarkEnd w:id="320"/>
    </w:p>
    <w:p w14:paraId="726D8308" w14:textId="77777777" w:rsidR="00A41EB6" w:rsidRPr="00445E81" w:rsidRDefault="00A41EB6" w:rsidP="00A41EB6">
      <w:pPr>
        <w:rPr>
          <w:lang w:eastAsia="ja-JP"/>
        </w:rPr>
      </w:pPr>
      <w:bookmarkStart w:id="321" w:name="_Toc290888517"/>
      <w:bookmarkStart w:id="322" w:name="_Toc416353733"/>
      <w:r w:rsidRPr="00445E81">
        <w:rPr>
          <w:lang w:eastAsia="ja-JP"/>
        </w:rPr>
        <w:t xml:space="preserve">The safety endpoints of the </w:t>
      </w:r>
      <w:r w:rsidR="0066478A">
        <w:rPr>
          <w:lang w:eastAsia="ja-JP"/>
        </w:rPr>
        <w:t>study</w:t>
      </w:r>
      <w:r w:rsidRPr="00445E81">
        <w:rPr>
          <w:lang w:eastAsia="ja-JP"/>
        </w:rPr>
        <w:t xml:space="preserve"> were the following:</w:t>
      </w:r>
    </w:p>
    <w:p w14:paraId="6E48D0D9" w14:textId="14FCD516" w:rsidR="00A41EB6" w:rsidRPr="00A41EB6" w:rsidRDefault="00A41EB6" w:rsidP="00A41EB6">
      <w:pPr>
        <w:pStyle w:val="ListBullet"/>
      </w:pPr>
      <w:r w:rsidRPr="00A41EB6">
        <w:t xml:space="preserve">SAEs occurring more than 60 days after the End-of-Treatment (EOT) in the </w:t>
      </w:r>
      <w:r w:rsidR="009C6335">
        <w:t xml:space="preserve">FUTURE-4 </w:t>
      </w:r>
      <w:r w:rsidR="000A1DC3">
        <w:t>core study</w:t>
      </w:r>
      <w:r w:rsidRPr="00A41EB6">
        <w:t xml:space="preserve"> and up to EoOP.</w:t>
      </w:r>
    </w:p>
    <w:p w14:paraId="7A811A47" w14:textId="1E54EAE9" w:rsidR="00A41EB6" w:rsidRPr="00A41EB6" w:rsidRDefault="00A41EB6" w:rsidP="00A41EB6">
      <w:pPr>
        <w:pStyle w:val="ListBullet"/>
      </w:pPr>
      <w:r w:rsidRPr="00A41EB6">
        <w:t>Non-serious adverse events (AEs) occurring during the observation period (</w:t>
      </w:r>
      <w:r w:rsidR="00CF6063">
        <w:t>that is</w:t>
      </w:r>
      <w:r w:rsidRPr="00A41EB6">
        <w:t xml:space="preserve">, from EOS of </w:t>
      </w:r>
      <w:r w:rsidR="009C6335">
        <w:t xml:space="preserve">FUTURE-4 </w:t>
      </w:r>
      <w:r w:rsidR="000A1DC3">
        <w:t>core study</w:t>
      </w:r>
      <w:r w:rsidR="000A1DC3" w:rsidRPr="00A41EB6">
        <w:t xml:space="preserve"> </w:t>
      </w:r>
      <w:r w:rsidRPr="00A41EB6">
        <w:t>and up to EoOP).</w:t>
      </w:r>
    </w:p>
    <w:p w14:paraId="45DA02F7" w14:textId="77777777" w:rsidR="00A41EB6" w:rsidRPr="00A41EB6" w:rsidRDefault="00A41EB6" w:rsidP="00A41EB6">
      <w:pPr>
        <w:pStyle w:val="ListBullet"/>
      </w:pPr>
      <w:r w:rsidRPr="00A41EB6">
        <w:t>Change from baseline (birth weight and length) to EoOP in growth variables (</w:t>
      </w:r>
      <w:r w:rsidR="00CF6063">
        <w:t>that is</w:t>
      </w:r>
      <w:r w:rsidRPr="00A41EB6">
        <w:t>, weight and length).</w:t>
      </w:r>
    </w:p>
    <w:p w14:paraId="57B08A3B" w14:textId="77777777" w:rsidR="00A41EB6" w:rsidRPr="00A41EB6" w:rsidRDefault="00A41EB6" w:rsidP="00A41EB6">
      <w:pPr>
        <w:pStyle w:val="Heading5"/>
      </w:pPr>
      <w:r w:rsidRPr="00A41EB6">
        <w:t>Randomisation and blinding methods</w:t>
      </w:r>
      <w:bookmarkEnd w:id="321"/>
      <w:bookmarkEnd w:id="322"/>
    </w:p>
    <w:p w14:paraId="2AB3E4BC" w14:textId="588E101A" w:rsidR="00A41EB6" w:rsidRDefault="00A41EB6" w:rsidP="00A41EB6">
      <w:pPr>
        <w:rPr>
          <w:lang w:eastAsia="ja-JP"/>
        </w:rPr>
      </w:pPr>
      <w:bookmarkStart w:id="323" w:name="_Toc290888518"/>
      <w:bookmarkStart w:id="324" w:name="_Toc416353734"/>
      <w:r>
        <w:rPr>
          <w:lang w:eastAsia="ja-JP"/>
        </w:rPr>
        <w:t xml:space="preserve">The randomisation and blinding methods for the FUTURE-4 </w:t>
      </w:r>
      <w:r w:rsidR="00E77015">
        <w:rPr>
          <w:lang w:eastAsia="ja-JP"/>
        </w:rPr>
        <w:t>Study</w:t>
      </w:r>
      <w:r>
        <w:rPr>
          <w:lang w:eastAsia="ja-JP"/>
        </w:rPr>
        <w:t xml:space="preserve"> are described </w:t>
      </w:r>
      <w:r w:rsidR="000A1DC3">
        <w:rPr>
          <w:lang w:eastAsia="ja-JP"/>
        </w:rPr>
        <w:t xml:space="preserve">above </w:t>
      </w:r>
      <w:r>
        <w:rPr>
          <w:lang w:eastAsia="ja-JP"/>
        </w:rPr>
        <w:t xml:space="preserve">in </w:t>
      </w:r>
      <w:r w:rsidRPr="002F2695">
        <w:rPr>
          <w:lang w:eastAsia="ja-JP"/>
        </w:rPr>
        <w:t>Section</w:t>
      </w:r>
      <w:r w:rsidR="009C6335" w:rsidRPr="002F2695">
        <w:rPr>
          <w:lang w:eastAsia="ja-JP"/>
        </w:rPr>
        <w:t xml:space="preserve"> 7.2.</w:t>
      </w:r>
      <w:r w:rsidR="009C6335" w:rsidRPr="009C6335">
        <w:rPr>
          <w:lang w:eastAsia="ja-JP"/>
        </w:rPr>
        <w:t>1.5</w:t>
      </w:r>
      <w:r w:rsidRPr="009C6335">
        <w:rPr>
          <w:lang w:eastAsia="ja-JP"/>
        </w:rPr>
        <w:t>.</w:t>
      </w:r>
    </w:p>
    <w:p w14:paraId="525AB7F8" w14:textId="77777777" w:rsidR="00A41EB6" w:rsidRPr="00A41EB6" w:rsidRDefault="00A41EB6" w:rsidP="00A41EB6">
      <w:pPr>
        <w:pStyle w:val="Heading5"/>
      </w:pPr>
      <w:r w:rsidRPr="00A41EB6">
        <w:t>Analysis populations</w:t>
      </w:r>
      <w:bookmarkEnd w:id="323"/>
      <w:bookmarkEnd w:id="324"/>
    </w:p>
    <w:p w14:paraId="7D507D5B" w14:textId="4C150B3B" w:rsidR="00A41EB6" w:rsidRDefault="00A41EB6" w:rsidP="00A41EB6">
      <w:pPr>
        <w:rPr>
          <w:lang w:eastAsia="ja-JP"/>
        </w:rPr>
      </w:pPr>
      <w:bookmarkStart w:id="325" w:name="_Toc290888519"/>
      <w:bookmarkStart w:id="326" w:name="_Toc416353735"/>
      <w:r w:rsidRPr="000B3431">
        <w:rPr>
          <w:lang w:eastAsia="ja-JP"/>
        </w:rPr>
        <w:t>The All-random</w:t>
      </w:r>
      <w:r w:rsidR="00296A55">
        <w:rPr>
          <w:lang w:eastAsia="ja-JP"/>
        </w:rPr>
        <w:t>ise</w:t>
      </w:r>
      <w:r w:rsidRPr="000B3431">
        <w:rPr>
          <w:lang w:eastAsia="ja-JP"/>
        </w:rPr>
        <w:t>d set comprised all subjects random</w:t>
      </w:r>
      <w:r w:rsidR="00296A55">
        <w:rPr>
          <w:lang w:eastAsia="ja-JP"/>
        </w:rPr>
        <w:t>ise</w:t>
      </w:r>
      <w:r w:rsidRPr="000B3431">
        <w:rPr>
          <w:lang w:eastAsia="ja-JP"/>
        </w:rPr>
        <w:t xml:space="preserve">d into the </w:t>
      </w:r>
      <w:r w:rsidR="009C6335">
        <w:rPr>
          <w:lang w:eastAsia="ja-JP"/>
        </w:rPr>
        <w:t xml:space="preserve">FUTURE-4 Core </w:t>
      </w:r>
      <w:r w:rsidR="00E77015">
        <w:rPr>
          <w:lang w:eastAsia="ja-JP"/>
        </w:rPr>
        <w:t>Study</w:t>
      </w:r>
      <w:r w:rsidRPr="000B3431">
        <w:rPr>
          <w:lang w:eastAsia="ja-JP"/>
        </w:rPr>
        <w:t xml:space="preserve"> regardless of treatment status.</w:t>
      </w:r>
      <w:r>
        <w:rPr>
          <w:lang w:eastAsia="ja-JP"/>
        </w:rPr>
        <w:t xml:space="preserve"> </w:t>
      </w:r>
      <w:r w:rsidRPr="000B3431">
        <w:rPr>
          <w:lang w:eastAsia="ja-JP"/>
        </w:rPr>
        <w:t>The All-enrolled set included all subjects of the All-t</w:t>
      </w:r>
      <w:r>
        <w:rPr>
          <w:lang w:eastAsia="ja-JP"/>
        </w:rPr>
        <w:t xml:space="preserve">reated set of the </w:t>
      </w:r>
      <w:r w:rsidR="009C6335">
        <w:rPr>
          <w:lang w:eastAsia="ja-JP"/>
        </w:rPr>
        <w:t xml:space="preserve">FUTURE-4 </w:t>
      </w:r>
      <w:r w:rsidR="000A1DC3">
        <w:rPr>
          <w:lang w:eastAsia="ja-JP"/>
        </w:rPr>
        <w:t>core study</w:t>
      </w:r>
      <w:r>
        <w:rPr>
          <w:lang w:eastAsia="ja-JP"/>
        </w:rPr>
        <w:t>.</w:t>
      </w:r>
    </w:p>
    <w:p w14:paraId="13E60B37" w14:textId="77777777" w:rsidR="00A41EB6" w:rsidRPr="00A41EB6" w:rsidRDefault="00A41EB6" w:rsidP="00A41EB6">
      <w:pPr>
        <w:pStyle w:val="Heading5"/>
      </w:pPr>
      <w:r w:rsidRPr="00A41EB6" w:rsidDel="0081373E">
        <w:lastRenderedPageBreak/>
        <w:t>Sample size</w:t>
      </w:r>
      <w:bookmarkEnd w:id="325"/>
      <w:bookmarkEnd w:id="326"/>
    </w:p>
    <w:p w14:paraId="7B48F9E5" w14:textId="77777777" w:rsidR="00A41EB6" w:rsidRDefault="00A41EB6" w:rsidP="00A41EB6">
      <w:pPr>
        <w:rPr>
          <w:lang w:eastAsia="ja-JP"/>
        </w:rPr>
      </w:pPr>
      <w:bookmarkStart w:id="327" w:name="_Toc290888520"/>
      <w:bookmarkStart w:id="328" w:name="_Toc416353736"/>
      <w:r w:rsidRPr="000B3431">
        <w:rPr>
          <w:lang w:eastAsia="ja-JP"/>
        </w:rPr>
        <w:t xml:space="preserve">No sample size was estimated for the extension </w:t>
      </w:r>
      <w:r w:rsidR="0066478A">
        <w:rPr>
          <w:lang w:eastAsia="ja-JP"/>
        </w:rPr>
        <w:t>study</w:t>
      </w:r>
      <w:r w:rsidRPr="000B3431">
        <w:rPr>
          <w:lang w:eastAsia="ja-JP"/>
        </w:rPr>
        <w:t>.</w:t>
      </w:r>
    </w:p>
    <w:p w14:paraId="39A7B9E2" w14:textId="77777777" w:rsidR="00A41EB6" w:rsidRPr="00A41EB6" w:rsidRDefault="00A41EB6" w:rsidP="00A41EB6">
      <w:pPr>
        <w:pStyle w:val="Heading5"/>
      </w:pPr>
      <w:r w:rsidRPr="00A41EB6">
        <w:t>Statistical methods</w:t>
      </w:r>
      <w:bookmarkEnd w:id="327"/>
      <w:bookmarkEnd w:id="328"/>
    </w:p>
    <w:p w14:paraId="7292D7F5" w14:textId="77777777" w:rsidR="00A41EB6" w:rsidRDefault="00A41EB6" w:rsidP="00A41EB6">
      <w:pPr>
        <w:rPr>
          <w:lang w:eastAsia="ja-JP"/>
        </w:rPr>
      </w:pPr>
      <w:bookmarkStart w:id="329" w:name="_Toc290888521"/>
      <w:bookmarkStart w:id="330" w:name="_Toc416353737"/>
      <w:r w:rsidRPr="00445E81">
        <w:rPr>
          <w:lang w:eastAsia="ja-JP"/>
        </w:rPr>
        <w:t>There was no hypothesis testing and all statistical analyses were descriptive in nature.</w:t>
      </w:r>
    </w:p>
    <w:p w14:paraId="0673CF70" w14:textId="77777777" w:rsidR="00A41EB6" w:rsidRPr="00A41EB6" w:rsidRDefault="00A41EB6" w:rsidP="00A41EB6">
      <w:pPr>
        <w:pStyle w:val="Heading5"/>
      </w:pPr>
      <w:r w:rsidRPr="00A41EB6">
        <w:t>Participant flow</w:t>
      </w:r>
      <w:bookmarkEnd w:id="329"/>
      <w:bookmarkEnd w:id="330"/>
    </w:p>
    <w:p w14:paraId="23E9B1DD" w14:textId="6BE01B84" w:rsidR="00A41EB6" w:rsidRDefault="00A41EB6" w:rsidP="00A41EB6">
      <w:pPr>
        <w:rPr>
          <w:lang w:eastAsia="ja-JP"/>
        </w:rPr>
      </w:pPr>
      <w:r w:rsidRPr="00445E81">
        <w:rPr>
          <w:lang w:eastAsia="ja-JP"/>
        </w:rPr>
        <w:t xml:space="preserve">In total, 15 of the 21 subjects treated in the </w:t>
      </w:r>
      <w:r w:rsidR="009C6335">
        <w:rPr>
          <w:lang w:eastAsia="ja-JP"/>
        </w:rPr>
        <w:t xml:space="preserve">FUTURE-4 </w:t>
      </w:r>
      <w:r w:rsidR="000A1DC3">
        <w:rPr>
          <w:lang w:eastAsia="ja-JP"/>
        </w:rPr>
        <w:t>core study</w:t>
      </w:r>
      <w:r w:rsidR="000A1DC3" w:rsidRPr="00445E81">
        <w:rPr>
          <w:lang w:eastAsia="ja-JP"/>
        </w:rPr>
        <w:t xml:space="preserve"> </w:t>
      </w:r>
      <w:r>
        <w:rPr>
          <w:lang w:eastAsia="ja-JP"/>
        </w:rPr>
        <w:t>entered</w:t>
      </w:r>
      <w:r w:rsidRPr="00445E81">
        <w:rPr>
          <w:lang w:eastAsia="ja-JP"/>
        </w:rPr>
        <w:t xml:space="preserve"> the</w:t>
      </w:r>
      <w:r>
        <w:rPr>
          <w:lang w:eastAsia="ja-JP"/>
        </w:rPr>
        <w:t xml:space="preserve"> </w:t>
      </w:r>
      <w:r w:rsidR="009C6335">
        <w:rPr>
          <w:lang w:eastAsia="ja-JP"/>
        </w:rPr>
        <w:t>FUTURE-4</w:t>
      </w:r>
      <w:r>
        <w:rPr>
          <w:lang w:eastAsia="ja-JP"/>
        </w:rPr>
        <w:t xml:space="preserve"> extension </w:t>
      </w:r>
      <w:r w:rsidR="0066478A">
        <w:rPr>
          <w:lang w:eastAsia="ja-JP"/>
        </w:rPr>
        <w:t>study</w:t>
      </w:r>
      <w:r>
        <w:rPr>
          <w:lang w:eastAsia="ja-JP"/>
        </w:rPr>
        <w:t>. Six</w:t>
      </w:r>
      <w:r w:rsidRPr="00445E81">
        <w:rPr>
          <w:lang w:eastAsia="ja-JP"/>
        </w:rPr>
        <w:t xml:space="preserve"> were not enrolled due to refusal or inability to participate</w:t>
      </w:r>
      <w:r>
        <w:rPr>
          <w:lang w:eastAsia="ja-JP"/>
        </w:rPr>
        <w:t xml:space="preserve"> </w:t>
      </w:r>
      <w:r w:rsidRPr="00445E81">
        <w:rPr>
          <w:lang w:eastAsia="ja-JP"/>
        </w:rPr>
        <w:t>(n</w:t>
      </w:r>
      <w:r w:rsidR="00A5161C">
        <w:rPr>
          <w:lang w:eastAsia="ja-JP"/>
        </w:rPr>
        <w:t xml:space="preserve"> </w:t>
      </w:r>
      <w:r w:rsidR="00E77015">
        <w:rPr>
          <w:lang w:eastAsia="ja-JP"/>
        </w:rPr>
        <w:t>=</w:t>
      </w:r>
      <w:r w:rsidR="00A5161C">
        <w:rPr>
          <w:lang w:eastAsia="ja-JP"/>
        </w:rPr>
        <w:t xml:space="preserve"> </w:t>
      </w:r>
      <w:r w:rsidRPr="00445E81">
        <w:rPr>
          <w:lang w:eastAsia="ja-JP"/>
        </w:rPr>
        <w:t>5) or lost contact (n</w:t>
      </w:r>
      <w:r w:rsidR="00A5161C">
        <w:rPr>
          <w:lang w:eastAsia="ja-JP"/>
        </w:rPr>
        <w:t xml:space="preserve"> </w:t>
      </w:r>
      <w:r w:rsidR="00E77015">
        <w:rPr>
          <w:lang w:eastAsia="ja-JP"/>
        </w:rPr>
        <w:t>=</w:t>
      </w:r>
      <w:r w:rsidR="00A5161C">
        <w:rPr>
          <w:lang w:eastAsia="ja-JP"/>
        </w:rPr>
        <w:t xml:space="preserve"> </w:t>
      </w:r>
      <w:r w:rsidRPr="00445E81">
        <w:rPr>
          <w:lang w:eastAsia="ja-JP"/>
        </w:rPr>
        <w:t>1).</w:t>
      </w:r>
      <w:r>
        <w:rPr>
          <w:lang w:eastAsia="ja-JP"/>
        </w:rPr>
        <w:t xml:space="preserve"> </w:t>
      </w:r>
      <w:r w:rsidRPr="00445E81">
        <w:rPr>
          <w:lang w:eastAsia="ja-JP"/>
        </w:rPr>
        <w:t xml:space="preserve">All 15 subjects enrolled into the </w:t>
      </w:r>
      <w:r w:rsidR="009C6335">
        <w:rPr>
          <w:lang w:eastAsia="ja-JP"/>
        </w:rPr>
        <w:t>FUTURE-4</w:t>
      </w:r>
      <w:r w:rsidRPr="00445E81">
        <w:rPr>
          <w:lang w:eastAsia="ja-JP"/>
        </w:rPr>
        <w:t xml:space="preserve"> extension </w:t>
      </w:r>
      <w:r w:rsidR="00E77015">
        <w:rPr>
          <w:lang w:eastAsia="ja-JP"/>
        </w:rPr>
        <w:t>Study</w:t>
      </w:r>
      <w:r w:rsidRPr="00445E81">
        <w:rPr>
          <w:lang w:eastAsia="ja-JP"/>
        </w:rPr>
        <w:t xml:space="preserve"> completed the</w:t>
      </w:r>
      <w:r w:rsidR="009C6335">
        <w:rPr>
          <w:lang w:eastAsia="ja-JP"/>
        </w:rPr>
        <w:t xml:space="preserve"> 12 </w:t>
      </w:r>
      <w:r>
        <w:rPr>
          <w:lang w:eastAsia="ja-JP"/>
        </w:rPr>
        <w:t xml:space="preserve">month </w:t>
      </w:r>
      <w:r w:rsidRPr="00445E81">
        <w:rPr>
          <w:lang w:eastAsia="ja-JP"/>
        </w:rPr>
        <w:t>observation period.</w:t>
      </w:r>
    </w:p>
    <w:p w14:paraId="57592B46" w14:textId="77777777" w:rsidR="00A41EB6" w:rsidRDefault="00A41EB6" w:rsidP="00A41EB6">
      <w:pPr>
        <w:pStyle w:val="FigureTitle"/>
        <w:rPr>
          <w:lang w:eastAsia="ja-JP"/>
        </w:rPr>
      </w:pPr>
      <w:bookmarkStart w:id="331" w:name="_Toc473884178"/>
      <w:r w:rsidRPr="008806DA">
        <w:t xml:space="preserve">Figure </w:t>
      </w:r>
      <w:r w:rsidR="008806DA" w:rsidRPr="008806DA">
        <w:t>27:</w:t>
      </w:r>
      <w:r w:rsidRPr="008806DA">
        <w:t xml:space="preserve"> FUTURE-4 Extension Disposition of patients</w:t>
      </w:r>
      <w:bookmarkEnd w:id="331"/>
    </w:p>
    <w:p w14:paraId="12DDFAEB" w14:textId="77777777" w:rsidR="00A41EB6" w:rsidRDefault="00A41EB6" w:rsidP="00287323">
      <w:pPr>
        <w:rPr>
          <w:lang w:eastAsia="ja-JP"/>
        </w:rPr>
      </w:pPr>
      <w:r>
        <w:rPr>
          <w:noProof/>
          <w:lang w:eastAsia="en-AU"/>
        </w:rPr>
        <w:drawing>
          <wp:inline distT="0" distB="0" distL="0" distR="0" wp14:anchorId="28F0A6C0" wp14:editId="3339D0D1">
            <wp:extent cx="5731510" cy="3314267"/>
            <wp:effectExtent l="0" t="0" r="2540" b="635"/>
            <wp:docPr id="78" name="Picture 78" descr="Figure 27: FUTURE-4 Extension Disposition of patients&#10;In total, 15 of the 21 subjects treated in the FUTURE-4 Core Study entered the FUTURE-4 extension study. Six were not enrolled due to refusal or inability to participate (n = 5) or lost contact (n = 1). All 15 subjects enrolled into the FUTURE-4 extension Study completed the 12 month observation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731510" cy="3314267"/>
                    </a:xfrm>
                    <a:prstGeom prst="rect">
                      <a:avLst/>
                    </a:prstGeom>
                  </pic:spPr>
                </pic:pic>
              </a:graphicData>
            </a:graphic>
          </wp:inline>
        </w:drawing>
      </w:r>
    </w:p>
    <w:p w14:paraId="68EFBEB8" w14:textId="77777777" w:rsidR="00A41EB6" w:rsidRPr="007124B8" w:rsidRDefault="00A41EB6" w:rsidP="004E5DCA">
      <w:pPr>
        <w:pStyle w:val="Heading5"/>
        <w:numPr>
          <w:ilvl w:val="3"/>
          <w:numId w:val="24"/>
        </w:numPr>
      </w:pPr>
      <w:r w:rsidRPr="007124B8">
        <w:t>Major protocol violations/deviations</w:t>
      </w:r>
    </w:p>
    <w:p w14:paraId="50747F45" w14:textId="77777777" w:rsidR="00A41EB6" w:rsidRDefault="00A41EB6" w:rsidP="007124B8">
      <w:pPr>
        <w:rPr>
          <w:lang w:eastAsia="ja-JP"/>
        </w:rPr>
      </w:pPr>
      <w:bookmarkStart w:id="332" w:name="_Toc290888523"/>
      <w:bookmarkStart w:id="333" w:name="_Toc416353739"/>
      <w:r w:rsidRPr="000B3431">
        <w:rPr>
          <w:lang w:eastAsia="ja-JP"/>
        </w:rPr>
        <w:t>Deviations from informed consent procedure were identified for a total of 2 subjects</w:t>
      </w:r>
      <w:r>
        <w:rPr>
          <w:lang w:eastAsia="ja-JP"/>
        </w:rPr>
        <w:t xml:space="preserve">. In one case informed consent was obtained but </w:t>
      </w:r>
      <w:r w:rsidRPr="000B3431">
        <w:rPr>
          <w:lang w:eastAsia="ja-JP"/>
        </w:rPr>
        <w:t>not documented by the investigator. In</w:t>
      </w:r>
      <w:r>
        <w:rPr>
          <w:lang w:eastAsia="ja-JP"/>
        </w:rPr>
        <w:t xml:space="preserve"> </w:t>
      </w:r>
      <w:r w:rsidRPr="000B3431">
        <w:rPr>
          <w:lang w:eastAsia="ja-JP"/>
        </w:rPr>
        <w:t xml:space="preserve">the other </w:t>
      </w:r>
      <w:r>
        <w:rPr>
          <w:lang w:eastAsia="ja-JP"/>
        </w:rPr>
        <w:t xml:space="preserve">case an erroneous </w:t>
      </w:r>
      <w:r w:rsidRPr="000B3431">
        <w:rPr>
          <w:lang w:eastAsia="ja-JP"/>
        </w:rPr>
        <w:t>date</w:t>
      </w:r>
      <w:r>
        <w:rPr>
          <w:lang w:eastAsia="ja-JP"/>
        </w:rPr>
        <w:t xml:space="preserve"> </w:t>
      </w:r>
      <w:r w:rsidRPr="000B3431">
        <w:rPr>
          <w:lang w:eastAsia="ja-JP"/>
        </w:rPr>
        <w:t>and time</w:t>
      </w:r>
      <w:r>
        <w:rPr>
          <w:lang w:eastAsia="ja-JP"/>
        </w:rPr>
        <w:t xml:space="preserve"> was entered. At a</w:t>
      </w:r>
      <w:r w:rsidRPr="000B3431">
        <w:rPr>
          <w:lang w:eastAsia="ja-JP"/>
        </w:rPr>
        <w:t xml:space="preserve"> subsequent visit the </w:t>
      </w:r>
      <w:r>
        <w:rPr>
          <w:lang w:eastAsia="ja-JP"/>
        </w:rPr>
        <w:t>correct</w:t>
      </w:r>
      <w:r w:rsidRPr="000B3431">
        <w:rPr>
          <w:lang w:eastAsia="ja-JP"/>
        </w:rPr>
        <w:t xml:space="preserve"> of the date and time of informed consent</w:t>
      </w:r>
      <w:r>
        <w:rPr>
          <w:lang w:eastAsia="ja-JP"/>
        </w:rPr>
        <w:t xml:space="preserve"> was confirmed</w:t>
      </w:r>
      <w:r w:rsidRPr="000B3431">
        <w:rPr>
          <w:lang w:eastAsia="ja-JP"/>
        </w:rPr>
        <w:t>.</w:t>
      </w:r>
    </w:p>
    <w:p w14:paraId="20435F86" w14:textId="77777777" w:rsidR="00A41EB6" w:rsidRPr="007124B8" w:rsidRDefault="00A41EB6" w:rsidP="007124B8">
      <w:pPr>
        <w:pStyle w:val="Heading5"/>
      </w:pPr>
      <w:r w:rsidRPr="007124B8">
        <w:t>Baseline data</w:t>
      </w:r>
      <w:bookmarkEnd w:id="332"/>
      <w:bookmarkEnd w:id="333"/>
    </w:p>
    <w:p w14:paraId="53B448E8" w14:textId="4B2D8C22" w:rsidR="00A41EB6" w:rsidRDefault="00A41EB6" w:rsidP="007124B8">
      <w:pPr>
        <w:rPr>
          <w:lang w:eastAsia="ja-JP"/>
        </w:rPr>
      </w:pPr>
      <w:r>
        <w:rPr>
          <w:lang w:eastAsia="ja-JP"/>
        </w:rPr>
        <w:t xml:space="preserve">Of the 21 subjects treated in the </w:t>
      </w:r>
      <w:r w:rsidR="009C6335">
        <w:rPr>
          <w:lang w:eastAsia="ja-JP"/>
        </w:rPr>
        <w:t xml:space="preserve">FUTURE-4 </w:t>
      </w:r>
      <w:r w:rsidR="000A1DC3">
        <w:rPr>
          <w:lang w:eastAsia="ja-JP"/>
        </w:rPr>
        <w:t>core study</w:t>
      </w:r>
      <w:r>
        <w:rPr>
          <w:lang w:eastAsia="ja-JP"/>
        </w:rPr>
        <w:t xml:space="preserve">, 20 were successfully weaned from iNO at EOS. One subject was on ECMO but recovered within 60 days. Fifteen subjects entered the extension </w:t>
      </w:r>
      <w:r w:rsidR="0066478A">
        <w:rPr>
          <w:lang w:eastAsia="ja-JP"/>
        </w:rPr>
        <w:t>study</w:t>
      </w:r>
      <w:r>
        <w:rPr>
          <w:lang w:eastAsia="ja-JP"/>
        </w:rPr>
        <w:t>. In these 15 subjects (7 ex-bosentan, 8 ex-placebo), median ges</w:t>
      </w:r>
      <w:r w:rsidR="009C6335">
        <w:rPr>
          <w:lang w:eastAsia="ja-JP"/>
        </w:rPr>
        <w:t xml:space="preserve">tational age was 41 weeks (37.0 to </w:t>
      </w:r>
      <w:r>
        <w:rPr>
          <w:lang w:eastAsia="ja-JP"/>
        </w:rPr>
        <w:t>41.0 weeks) in the ex-bosentan</w:t>
      </w:r>
      <w:r w:rsidR="009C6335">
        <w:rPr>
          <w:lang w:eastAsia="ja-JP"/>
        </w:rPr>
        <w:t xml:space="preserve"> group and 38.5 weeks (36.0 to </w:t>
      </w:r>
      <w:r>
        <w:rPr>
          <w:lang w:eastAsia="ja-JP"/>
        </w:rPr>
        <w:t xml:space="preserve">42.0 weeks) in the ex-placebo group. The median age at first dosing with the </w:t>
      </w:r>
      <w:r w:rsidR="0066478A">
        <w:rPr>
          <w:lang w:eastAsia="ja-JP"/>
        </w:rPr>
        <w:t>study</w:t>
      </w:r>
      <w:r w:rsidR="009C6335">
        <w:rPr>
          <w:lang w:eastAsia="ja-JP"/>
        </w:rPr>
        <w:t xml:space="preserve"> treatment was 1.1 days (0.6 to </w:t>
      </w:r>
      <w:r>
        <w:rPr>
          <w:lang w:eastAsia="ja-JP"/>
        </w:rPr>
        <w:t>2.6 days) in the ex-b</w:t>
      </w:r>
      <w:r w:rsidR="009C6335">
        <w:rPr>
          <w:lang w:eastAsia="ja-JP"/>
        </w:rPr>
        <w:t xml:space="preserve">osentan group and 1.7 days (0.6 to </w:t>
      </w:r>
      <w:r>
        <w:rPr>
          <w:lang w:eastAsia="ja-JP"/>
        </w:rPr>
        <w:t>5.9 days) in the ex-placebo group.</w:t>
      </w:r>
    </w:p>
    <w:p w14:paraId="465DD315" w14:textId="77777777" w:rsidR="00A41EB6" w:rsidRDefault="00A41EB6" w:rsidP="007124B8">
      <w:pPr>
        <w:rPr>
          <w:lang w:eastAsia="ja-JP"/>
        </w:rPr>
      </w:pPr>
      <w:r>
        <w:rPr>
          <w:lang w:eastAsia="ja-JP"/>
        </w:rPr>
        <w:t>The majority of subjects in both groups were female (57.1% ex-bosentan, 75.0% ex-placebo) and Caucasian (71.4% ex-bosentan, 75.0% ex-placebo).</w:t>
      </w:r>
    </w:p>
    <w:p w14:paraId="1877AE90" w14:textId="77777777" w:rsidR="00A41EB6" w:rsidRDefault="00A41EB6" w:rsidP="007124B8">
      <w:pPr>
        <w:rPr>
          <w:lang w:eastAsia="ja-JP"/>
        </w:rPr>
      </w:pPr>
      <w:r>
        <w:rPr>
          <w:lang w:eastAsia="ja-JP"/>
        </w:rPr>
        <w:t>The aetiology of PPHN was characterised predominantly by parenchymal lung disease in both groups (100% ex-bosentan, 62.5% ex-placebo). Idiopathic PPHN was diagnosed in 3 (37.5%) ex-placebo subjects.</w:t>
      </w:r>
    </w:p>
    <w:p w14:paraId="42708D4C" w14:textId="494A3E77" w:rsidR="00A41EB6" w:rsidRDefault="00A41EB6" w:rsidP="007124B8">
      <w:pPr>
        <w:rPr>
          <w:lang w:eastAsia="ja-JP"/>
        </w:rPr>
      </w:pPr>
      <w:r>
        <w:rPr>
          <w:lang w:eastAsia="ja-JP"/>
        </w:rPr>
        <w:lastRenderedPageBreak/>
        <w:t xml:space="preserve">Median baseline OI for the 21 subjects of the </w:t>
      </w:r>
      <w:r w:rsidR="009C6335">
        <w:rPr>
          <w:lang w:eastAsia="ja-JP"/>
        </w:rPr>
        <w:t xml:space="preserve">FUTURE-4 Core </w:t>
      </w:r>
      <w:r w:rsidR="00E77015">
        <w:rPr>
          <w:lang w:eastAsia="ja-JP"/>
        </w:rPr>
        <w:t>Study</w:t>
      </w:r>
      <w:r>
        <w:rPr>
          <w:lang w:eastAsia="ja-JP"/>
        </w:rPr>
        <w:t xml:space="preserve"> indicated that the disease condition was more severe in the bosentan group (18.3 </w:t>
      </w:r>
      <w:r w:rsidR="000A1DC3">
        <w:rPr>
          <w:lang w:eastAsia="ja-JP"/>
        </w:rPr>
        <w:t>(</w:t>
      </w:r>
      <w:r>
        <w:rPr>
          <w:lang w:eastAsia="ja-JP"/>
        </w:rPr>
        <w:t>5.9</w:t>
      </w:r>
      <w:r w:rsidR="000A1DC3">
        <w:rPr>
          <w:lang w:eastAsia="ja-JP"/>
        </w:rPr>
        <w:t xml:space="preserve"> to </w:t>
      </w:r>
      <w:r>
        <w:rPr>
          <w:lang w:eastAsia="ja-JP"/>
        </w:rPr>
        <w:t>44.3</w:t>
      </w:r>
      <w:r w:rsidR="000A1DC3">
        <w:rPr>
          <w:lang w:eastAsia="ja-JP"/>
        </w:rPr>
        <w:t>)</w:t>
      </w:r>
      <w:r>
        <w:rPr>
          <w:lang w:eastAsia="ja-JP"/>
        </w:rPr>
        <w:t xml:space="preserve">) than in the placebo group (13.2 </w:t>
      </w:r>
      <w:r w:rsidR="000A1DC3">
        <w:rPr>
          <w:lang w:eastAsia="ja-JP"/>
        </w:rPr>
        <w:t>(</w:t>
      </w:r>
      <w:r>
        <w:rPr>
          <w:lang w:eastAsia="ja-JP"/>
        </w:rPr>
        <w:t>7.1–39.4</w:t>
      </w:r>
      <w:r w:rsidR="000A1DC3">
        <w:rPr>
          <w:lang w:eastAsia="ja-JP"/>
        </w:rPr>
        <w:t>)</w:t>
      </w:r>
      <w:r>
        <w:rPr>
          <w:lang w:eastAsia="ja-JP"/>
        </w:rPr>
        <w:t xml:space="preserve">). In the 15 subjects who entered the extension </w:t>
      </w:r>
      <w:r w:rsidR="0066478A">
        <w:rPr>
          <w:lang w:eastAsia="ja-JP"/>
        </w:rPr>
        <w:t>study</w:t>
      </w:r>
      <w:r>
        <w:rPr>
          <w:lang w:eastAsia="ja-JP"/>
        </w:rPr>
        <w:t xml:space="preserve">, median baseline OI values were similar in the ex-bosentan (14.0 </w:t>
      </w:r>
      <w:r w:rsidR="000A1DC3">
        <w:rPr>
          <w:lang w:eastAsia="ja-JP"/>
        </w:rPr>
        <w:t>(</w:t>
      </w:r>
      <w:r>
        <w:rPr>
          <w:lang w:eastAsia="ja-JP"/>
        </w:rPr>
        <w:t>7.6, 37.8</w:t>
      </w:r>
      <w:r w:rsidR="000A1DC3">
        <w:rPr>
          <w:lang w:eastAsia="ja-JP"/>
        </w:rPr>
        <w:t>)</w:t>
      </w:r>
      <w:r>
        <w:rPr>
          <w:lang w:eastAsia="ja-JP"/>
        </w:rPr>
        <w:t xml:space="preserve">) and ex-placebo groups (13.2 </w:t>
      </w:r>
      <w:r w:rsidR="000A1DC3">
        <w:rPr>
          <w:lang w:eastAsia="ja-JP"/>
        </w:rPr>
        <w:t>(</w:t>
      </w:r>
      <w:r>
        <w:rPr>
          <w:lang w:eastAsia="ja-JP"/>
        </w:rPr>
        <w:t>7.1, 39.4</w:t>
      </w:r>
      <w:r w:rsidR="000A1DC3">
        <w:rPr>
          <w:lang w:eastAsia="ja-JP"/>
        </w:rPr>
        <w:t>)</w:t>
      </w:r>
      <w:r>
        <w:rPr>
          <w:lang w:eastAsia="ja-JP"/>
        </w:rPr>
        <w:t>).</w:t>
      </w:r>
    </w:p>
    <w:p w14:paraId="72E98548" w14:textId="77777777" w:rsidR="00A41EB6" w:rsidRPr="005573C9" w:rsidRDefault="00A41EB6" w:rsidP="00A41EB6">
      <w:pPr>
        <w:pStyle w:val="Tabletitle"/>
      </w:pPr>
      <w:bookmarkStart w:id="334" w:name="_Toc473884098"/>
      <w:r w:rsidRPr="002E7063">
        <w:t xml:space="preserve">Table </w:t>
      </w:r>
      <w:r w:rsidR="002E7063" w:rsidRPr="002E7063">
        <w:t xml:space="preserve">54: </w:t>
      </w:r>
      <w:r w:rsidRPr="002E7063">
        <w:t>FUTURE-4 Extension Summary of demographic and baseline disease</w:t>
      </w:r>
      <w:r w:rsidRPr="005573C9">
        <w:t xml:space="preserve"> characteristics,</w:t>
      </w:r>
      <w:r>
        <w:t xml:space="preserve"> </w:t>
      </w:r>
      <w:r w:rsidRPr="005573C9">
        <w:t>All-enrolled set</w:t>
      </w:r>
      <w:bookmarkEnd w:id="334"/>
    </w:p>
    <w:p w14:paraId="03AB11D9" w14:textId="77777777" w:rsidR="00A41EB6" w:rsidRDefault="007124B8" w:rsidP="00287323">
      <w:pPr>
        <w:rPr>
          <w:lang w:eastAsia="ja-JP"/>
        </w:rPr>
      </w:pPr>
      <w:r>
        <w:rPr>
          <w:noProof/>
          <w:lang w:eastAsia="en-AU"/>
        </w:rPr>
        <w:drawing>
          <wp:inline distT="0" distB="0" distL="0" distR="0" wp14:anchorId="4C0CBD30" wp14:editId="1FC2BD6C">
            <wp:extent cx="4419600" cy="5457825"/>
            <wp:effectExtent l="0" t="0" r="0" b="9525"/>
            <wp:docPr id="79" name="Picture 79" descr="Table 54: FUTURE-4 Extension Summary of demographic and baseline disease characteristics, All-enroll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4419600" cy="5457825"/>
                    </a:xfrm>
                    <a:prstGeom prst="rect">
                      <a:avLst/>
                    </a:prstGeom>
                  </pic:spPr>
                </pic:pic>
              </a:graphicData>
            </a:graphic>
          </wp:inline>
        </w:drawing>
      </w:r>
    </w:p>
    <w:p w14:paraId="54D85A84" w14:textId="77777777" w:rsidR="007124B8" w:rsidRPr="007124B8" w:rsidRDefault="007124B8" w:rsidP="004E5DCA">
      <w:pPr>
        <w:pStyle w:val="Heading5"/>
        <w:numPr>
          <w:ilvl w:val="3"/>
          <w:numId w:val="25"/>
        </w:numPr>
      </w:pPr>
      <w:r w:rsidRPr="007124B8">
        <w:t>Results for the primary safety outcome</w:t>
      </w:r>
    </w:p>
    <w:p w14:paraId="0B156BFF" w14:textId="77777777" w:rsidR="007C6D8D" w:rsidRDefault="007124B8" w:rsidP="007124B8">
      <w:pPr>
        <w:rPr>
          <w:lang w:eastAsia="ja-JP"/>
        </w:rPr>
      </w:pPr>
      <w:bookmarkStart w:id="335" w:name="_Toc290888525"/>
      <w:bookmarkStart w:id="336" w:name="_Toc416353741"/>
      <w:r>
        <w:rPr>
          <w:lang w:eastAsia="ja-JP"/>
        </w:rPr>
        <w:t xml:space="preserve">As per </w:t>
      </w:r>
      <w:r w:rsidR="009C6335">
        <w:rPr>
          <w:lang w:eastAsia="ja-JP"/>
        </w:rPr>
        <w:t>FUTURE-4</w:t>
      </w:r>
      <w:r w:rsidR="00A2508E">
        <w:rPr>
          <w:lang w:eastAsia="ja-JP"/>
        </w:rPr>
        <w:t xml:space="preserve"> E</w:t>
      </w:r>
      <w:r>
        <w:rPr>
          <w:lang w:eastAsia="ja-JP"/>
        </w:rPr>
        <w:t xml:space="preserve">xtension </w:t>
      </w:r>
      <w:r w:rsidR="00E77015">
        <w:rPr>
          <w:lang w:eastAsia="ja-JP"/>
        </w:rPr>
        <w:t>Study</w:t>
      </w:r>
      <w:r>
        <w:rPr>
          <w:lang w:eastAsia="ja-JP"/>
        </w:rPr>
        <w:t xml:space="preserve"> protocol, 7 subjects were enrolled within the Observation Period and had both prospective and retrospective data. In 8 subjects, enrolment was after the end of the observation period and data obtained were entirely retrospective</w:t>
      </w:r>
      <w:r w:rsidR="007C6D8D">
        <w:rPr>
          <w:lang w:eastAsia="ja-JP"/>
        </w:rPr>
        <w:t>.</w:t>
      </w:r>
    </w:p>
    <w:p w14:paraId="4FDCDAA5" w14:textId="77777777" w:rsidR="007124B8" w:rsidRDefault="007124B8" w:rsidP="007124B8">
      <w:pPr>
        <w:rPr>
          <w:lang w:eastAsia="ja-JP"/>
        </w:rPr>
      </w:pPr>
      <w:r w:rsidRPr="00A5008F">
        <w:rPr>
          <w:lang w:eastAsia="ja-JP"/>
        </w:rPr>
        <w:t xml:space="preserve">There were no deaths or SAEs in the </w:t>
      </w:r>
      <w:r w:rsidR="0066478A">
        <w:rPr>
          <w:lang w:eastAsia="ja-JP"/>
        </w:rPr>
        <w:t>study</w:t>
      </w:r>
      <w:r w:rsidRPr="00A5008F">
        <w:rPr>
          <w:lang w:eastAsia="ja-JP"/>
        </w:rPr>
        <w:t>.</w:t>
      </w:r>
    </w:p>
    <w:p w14:paraId="66BCD0F1" w14:textId="77777777" w:rsidR="007C6D8D" w:rsidRDefault="007124B8" w:rsidP="007124B8">
      <w:pPr>
        <w:rPr>
          <w:lang w:eastAsia="ja-JP"/>
        </w:rPr>
      </w:pPr>
      <w:r w:rsidRPr="00995F1C">
        <w:rPr>
          <w:lang w:eastAsia="ja-JP"/>
        </w:rPr>
        <w:t>A total of 8 subjects (4 each, ex-bosentan and ex-placebo) experienced AEs during the</w:t>
      </w:r>
      <w:r>
        <w:rPr>
          <w:lang w:eastAsia="ja-JP"/>
        </w:rPr>
        <w:t xml:space="preserve"> </w:t>
      </w:r>
      <w:r w:rsidR="00A2508E">
        <w:rPr>
          <w:lang w:eastAsia="ja-JP"/>
        </w:rPr>
        <w:t>12 month</w:t>
      </w:r>
      <w:r w:rsidRPr="00995F1C">
        <w:rPr>
          <w:lang w:eastAsia="ja-JP"/>
        </w:rPr>
        <w:t xml:space="preserve"> (+ 2 months) observation period. </w:t>
      </w:r>
      <w:r>
        <w:rPr>
          <w:lang w:eastAsia="ja-JP"/>
        </w:rPr>
        <w:t xml:space="preserve">In two of the four subjects in the ex-bosentan group, AE data was retrospective. </w:t>
      </w:r>
      <w:r w:rsidRPr="00995F1C">
        <w:rPr>
          <w:lang w:eastAsia="ja-JP"/>
        </w:rPr>
        <w:t>In the ex-bosentan group</w:t>
      </w:r>
      <w:r>
        <w:rPr>
          <w:lang w:eastAsia="ja-JP"/>
        </w:rPr>
        <w:t xml:space="preserve"> u</w:t>
      </w:r>
      <w:r w:rsidRPr="00995F1C">
        <w:rPr>
          <w:lang w:eastAsia="ja-JP"/>
        </w:rPr>
        <w:t>pper respiratory tract infection</w:t>
      </w:r>
      <w:r>
        <w:rPr>
          <w:lang w:eastAsia="ja-JP"/>
        </w:rPr>
        <w:t xml:space="preserve"> </w:t>
      </w:r>
      <w:r w:rsidRPr="00995F1C">
        <w:rPr>
          <w:lang w:eastAsia="ja-JP"/>
        </w:rPr>
        <w:t xml:space="preserve">was reported in </w:t>
      </w:r>
      <w:r>
        <w:rPr>
          <w:lang w:eastAsia="ja-JP"/>
        </w:rPr>
        <w:t>two</w:t>
      </w:r>
      <w:r w:rsidRPr="00995F1C">
        <w:rPr>
          <w:lang w:eastAsia="ja-JP"/>
        </w:rPr>
        <w:t xml:space="preserve"> subjects. </w:t>
      </w:r>
      <w:r>
        <w:rPr>
          <w:lang w:eastAsia="ja-JP"/>
        </w:rPr>
        <w:t>One</w:t>
      </w:r>
      <w:r w:rsidRPr="00995F1C">
        <w:rPr>
          <w:lang w:eastAsia="ja-JP"/>
        </w:rPr>
        <w:t xml:space="preserve"> of these subjects also experien</w:t>
      </w:r>
      <w:r>
        <w:rPr>
          <w:lang w:eastAsia="ja-JP"/>
        </w:rPr>
        <w:t xml:space="preserve">ced urinary tract infection and </w:t>
      </w:r>
      <w:r w:rsidRPr="00995F1C">
        <w:rPr>
          <w:lang w:eastAsia="ja-JP"/>
        </w:rPr>
        <w:t>anaemia. Bronchitis and ear infection w</w:t>
      </w:r>
      <w:r>
        <w:rPr>
          <w:lang w:eastAsia="ja-JP"/>
        </w:rPr>
        <w:t>ere</w:t>
      </w:r>
      <w:r w:rsidRPr="00995F1C">
        <w:rPr>
          <w:lang w:eastAsia="ja-JP"/>
        </w:rPr>
        <w:t xml:space="preserve"> reported in </w:t>
      </w:r>
      <w:r>
        <w:rPr>
          <w:lang w:eastAsia="ja-JP"/>
        </w:rPr>
        <w:t>one</w:t>
      </w:r>
      <w:r w:rsidRPr="00995F1C">
        <w:rPr>
          <w:lang w:eastAsia="ja-JP"/>
        </w:rPr>
        <w:t xml:space="preserve"> subject</w:t>
      </w:r>
      <w:r w:rsidR="007C6D8D">
        <w:rPr>
          <w:lang w:eastAsia="ja-JP"/>
        </w:rPr>
        <w:t>.</w:t>
      </w:r>
    </w:p>
    <w:p w14:paraId="74A8A80E" w14:textId="77777777" w:rsidR="007124B8" w:rsidRPr="00995F1C" w:rsidRDefault="007124B8" w:rsidP="007124B8">
      <w:pPr>
        <w:rPr>
          <w:lang w:eastAsia="ja-JP"/>
        </w:rPr>
      </w:pPr>
      <w:r>
        <w:rPr>
          <w:lang w:eastAsia="ja-JP"/>
        </w:rPr>
        <w:lastRenderedPageBreak/>
        <w:t>Four subjects in the ex-placebo group experienced AEs. In one of the four subjects in the ex-placebo group, AE data was retrospective. One</w:t>
      </w:r>
      <w:r w:rsidRPr="00995F1C">
        <w:rPr>
          <w:lang w:eastAsia="ja-JP"/>
        </w:rPr>
        <w:t xml:space="preserve"> subject experienced respiratory tract infection and wheezing </w:t>
      </w:r>
      <w:r>
        <w:rPr>
          <w:lang w:eastAsia="ja-JP"/>
        </w:rPr>
        <w:t>and also vomiting and</w:t>
      </w:r>
      <w:r w:rsidRPr="00995F1C">
        <w:rPr>
          <w:lang w:eastAsia="ja-JP"/>
        </w:rPr>
        <w:t xml:space="preserve"> rash</w:t>
      </w:r>
      <w:r>
        <w:rPr>
          <w:lang w:eastAsia="ja-JP"/>
        </w:rPr>
        <w:t>. V</w:t>
      </w:r>
      <w:r w:rsidRPr="00995F1C">
        <w:rPr>
          <w:lang w:eastAsia="ja-JP"/>
        </w:rPr>
        <w:t xml:space="preserve">iral gastroenteritis and tonsillitis </w:t>
      </w:r>
      <w:r>
        <w:rPr>
          <w:lang w:eastAsia="ja-JP"/>
        </w:rPr>
        <w:t xml:space="preserve">were reported </w:t>
      </w:r>
      <w:r w:rsidRPr="00995F1C">
        <w:rPr>
          <w:lang w:eastAsia="ja-JP"/>
        </w:rPr>
        <w:t>without any temporal</w:t>
      </w:r>
      <w:r>
        <w:rPr>
          <w:lang w:eastAsia="ja-JP"/>
        </w:rPr>
        <w:t xml:space="preserve"> </w:t>
      </w:r>
      <w:r w:rsidRPr="00995F1C">
        <w:rPr>
          <w:lang w:eastAsia="ja-JP"/>
        </w:rPr>
        <w:t xml:space="preserve">association to the earlier infections. </w:t>
      </w:r>
      <w:r>
        <w:rPr>
          <w:lang w:eastAsia="ja-JP"/>
        </w:rPr>
        <w:t>One</w:t>
      </w:r>
      <w:r w:rsidRPr="00995F1C">
        <w:rPr>
          <w:lang w:eastAsia="ja-JP"/>
        </w:rPr>
        <w:t xml:space="preserve"> subject experienced bronchitis </w:t>
      </w:r>
      <w:r>
        <w:rPr>
          <w:lang w:eastAsia="ja-JP"/>
        </w:rPr>
        <w:t xml:space="preserve">and was </w:t>
      </w:r>
      <w:r w:rsidRPr="00995F1C">
        <w:rPr>
          <w:lang w:eastAsia="ja-JP"/>
        </w:rPr>
        <w:t>reported to have constipation, seborrhoea, alopecia, bronchitis, gastro</w:t>
      </w:r>
      <w:r>
        <w:rPr>
          <w:lang w:eastAsia="ja-JP"/>
        </w:rPr>
        <w:t>-o</w:t>
      </w:r>
      <w:r w:rsidRPr="00995F1C">
        <w:rPr>
          <w:lang w:eastAsia="ja-JP"/>
        </w:rPr>
        <w:t>esophageal reflux</w:t>
      </w:r>
      <w:r>
        <w:rPr>
          <w:lang w:eastAsia="ja-JP"/>
        </w:rPr>
        <w:t xml:space="preserve"> </w:t>
      </w:r>
      <w:r w:rsidRPr="00995F1C">
        <w:rPr>
          <w:lang w:eastAsia="ja-JP"/>
        </w:rPr>
        <w:t xml:space="preserve">disease and diaper dermatitis. </w:t>
      </w:r>
      <w:r>
        <w:rPr>
          <w:lang w:eastAsia="ja-JP"/>
        </w:rPr>
        <w:t>Another</w:t>
      </w:r>
      <w:r w:rsidRPr="00995F1C">
        <w:rPr>
          <w:lang w:eastAsia="ja-JP"/>
        </w:rPr>
        <w:t xml:space="preserve"> subject experienced croup infection and had a scar on the</w:t>
      </w:r>
      <w:r>
        <w:rPr>
          <w:lang w:eastAsia="ja-JP"/>
        </w:rPr>
        <w:t xml:space="preserve"> </w:t>
      </w:r>
      <w:r w:rsidRPr="00995F1C">
        <w:rPr>
          <w:lang w:eastAsia="ja-JP"/>
        </w:rPr>
        <w:t xml:space="preserve">right heel. </w:t>
      </w:r>
      <w:r>
        <w:rPr>
          <w:lang w:eastAsia="ja-JP"/>
        </w:rPr>
        <w:t>One</w:t>
      </w:r>
      <w:r w:rsidRPr="00995F1C">
        <w:rPr>
          <w:lang w:eastAsia="ja-JP"/>
        </w:rPr>
        <w:t xml:space="preserve"> subject experienced positional plagiocephaly.</w:t>
      </w:r>
    </w:p>
    <w:p w14:paraId="0544209E" w14:textId="77777777" w:rsidR="007124B8" w:rsidRPr="00995F1C" w:rsidRDefault="007124B8" w:rsidP="007124B8">
      <w:pPr>
        <w:rPr>
          <w:lang w:eastAsia="ja-JP"/>
        </w:rPr>
      </w:pPr>
      <w:r>
        <w:rPr>
          <w:lang w:eastAsia="ja-JP"/>
        </w:rPr>
        <w:t>The a</w:t>
      </w:r>
      <w:r w:rsidRPr="00995F1C">
        <w:rPr>
          <w:lang w:eastAsia="ja-JP"/>
        </w:rPr>
        <w:t xml:space="preserve">naemia in </w:t>
      </w:r>
      <w:r>
        <w:rPr>
          <w:lang w:eastAsia="ja-JP"/>
        </w:rPr>
        <w:t>one</w:t>
      </w:r>
      <w:r w:rsidRPr="00995F1C">
        <w:rPr>
          <w:lang w:eastAsia="ja-JP"/>
        </w:rPr>
        <w:t xml:space="preserve"> subject that was assessed by the investigator as mild and unrelated to</w:t>
      </w:r>
      <w:r>
        <w:rPr>
          <w:lang w:eastAsia="ja-JP"/>
        </w:rPr>
        <w:t xml:space="preserve"> </w:t>
      </w:r>
      <w:r w:rsidRPr="00995F1C">
        <w:rPr>
          <w:lang w:eastAsia="ja-JP"/>
        </w:rPr>
        <w:t>previous bosentan administration was reported 7 months after discontinuation of bosentan</w:t>
      </w:r>
      <w:r>
        <w:rPr>
          <w:lang w:eastAsia="ja-JP"/>
        </w:rPr>
        <w:t xml:space="preserve"> </w:t>
      </w:r>
      <w:r w:rsidRPr="00995F1C">
        <w:rPr>
          <w:lang w:eastAsia="ja-JP"/>
        </w:rPr>
        <w:t>treatment, following repetitive infections. All AEs resolved except anaemia, scar and</w:t>
      </w:r>
      <w:r>
        <w:rPr>
          <w:lang w:eastAsia="ja-JP"/>
        </w:rPr>
        <w:t xml:space="preserve"> </w:t>
      </w:r>
      <w:r w:rsidRPr="00995F1C">
        <w:rPr>
          <w:lang w:eastAsia="ja-JP"/>
        </w:rPr>
        <w:t>positional plagiocephaly.</w:t>
      </w:r>
    </w:p>
    <w:p w14:paraId="21A406DF" w14:textId="77777777" w:rsidR="007124B8" w:rsidRDefault="007124B8" w:rsidP="007124B8">
      <w:pPr>
        <w:rPr>
          <w:lang w:eastAsia="ja-JP"/>
        </w:rPr>
      </w:pPr>
      <w:r w:rsidRPr="00995F1C">
        <w:rPr>
          <w:lang w:eastAsia="ja-JP"/>
        </w:rPr>
        <w:t xml:space="preserve">The </w:t>
      </w:r>
      <w:r w:rsidR="007C6D8D">
        <w:rPr>
          <w:lang w:eastAsia="ja-JP"/>
        </w:rPr>
        <w:t>long term</w:t>
      </w:r>
      <w:r w:rsidRPr="00995F1C">
        <w:rPr>
          <w:lang w:eastAsia="ja-JP"/>
        </w:rPr>
        <w:t xml:space="preserve"> follow-up of the 15 subjects identified no safety concerns. Overall,</w:t>
      </w:r>
      <w:r>
        <w:rPr>
          <w:lang w:eastAsia="ja-JP"/>
        </w:rPr>
        <w:t xml:space="preserve"> </w:t>
      </w:r>
      <w:r w:rsidRPr="00995F1C">
        <w:rPr>
          <w:lang w:eastAsia="ja-JP"/>
        </w:rPr>
        <w:t>reported AEs were of the nature that was expected in infants. No deaths or SAEs were</w:t>
      </w:r>
      <w:r>
        <w:rPr>
          <w:lang w:eastAsia="ja-JP"/>
        </w:rPr>
        <w:t xml:space="preserve"> </w:t>
      </w:r>
      <w:r w:rsidRPr="00995F1C">
        <w:rPr>
          <w:lang w:eastAsia="ja-JP"/>
        </w:rPr>
        <w:t>reported. Subjects</w:t>
      </w:r>
      <w:r>
        <w:rPr>
          <w:lang w:val="en-US" w:eastAsia="ja-JP"/>
        </w:rPr>
        <w:t xml:space="preserve">’ </w:t>
      </w:r>
      <w:r w:rsidRPr="00995F1C">
        <w:rPr>
          <w:lang w:eastAsia="ja-JP"/>
        </w:rPr>
        <w:t>growth was sustained and within the expected range.</w:t>
      </w:r>
    </w:p>
    <w:p w14:paraId="2CA858B4" w14:textId="77777777" w:rsidR="007124B8" w:rsidRDefault="007124B8" w:rsidP="007124B8">
      <w:pPr>
        <w:rPr>
          <w:lang w:eastAsia="ja-JP"/>
        </w:rPr>
      </w:pPr>
      <w:r w:rsidRPr="00A5008F">
        <w:rPr>
          <w:lang w:eastAsia="ja-JP"/>
        </w:rPr>
        <w:t>The change from baseline to</w:t>
      </w:r>
      <w:r>
        <w:rPr>
          <w:lang w:eastAsia="ja-JP"/>
        </w:rPr>
        <w:t xml:space="preserve"> end of observation </w:t>
      </w:r>
      <w:r w:rsidRPr="00A5008F">
        <w:rPr>
          <w:lang w:eastAsia="ja-JP"/>
        </w:rPr>
        <w:t>in growth variables did not indicate any apparent</w:t>
      </w:r>
      <w:r>
        <w:rPr>
          <w:lang w:eastAsia="ja-JP"/>
        </w:rPr>
        <w:t xml:space="preserve"> </w:t>
      </w:r>
      <w:r w:rsidRPr="00A5008F">
        <w:rPr>
          <w:lang w:eastAsia="ja-JP"/>
        </w:rPr>
        <w:t>difference between ex-bosentan and ex-placebo subjects</w:t>
      </w:r>
      <w:r>
        <w:rPr>
          <w:lang w:eastAsia="ja-JP"/>
        </w:rPr>
        <w:t xml:space="preserve">. </w:t>
      </w:r>
      <w:r w:rsidRPr="00A5008F">
        <w:rPr>
          <w:lang w:eastAsia="ja-JP"/>
        </w:rPr>
        <w:t>Overall, subjects</w:t>
      </w:r>
      <w:r>
        <w:rPr>
          <w:lang w:val="en-US" w:eastAsia="ja-JP"/>
        </w:rPr>
        <w:t>’</w:t>
      </w:r>
      <w:r>
        <w:rPr>
          <w:lang w:eastAsia="ja-JP"/>
        </w:rPr>
        <w:t xml:space="preserve"> growth </w:t>
      </w:r>
      <w:r w:rsidRPr="00A5008F">
        <w:rPr>
          <w:lang w:eastAsia="ja-JP"/>
        </w:rPr>
        <w:t xml:space="preserve">curves remained within 5th to 95th </w:t>
      </w:r>
      <w:r>
        <w:rPr>
          <w:lang w:eastAsia="ja-JP"/>
        </w:rPr>
        <w:t xml:space="preserve">WHO </w:t>
      </w:r>
      <w:r w:rsidRPr="00A5008F">
        <w:rPr>
          <w:lang w:eastAsia="ja-JP"/>
        </w:rPr>
        <w:t>growth percentiles, which indicated sustained growth.</w:t>
      </w:r>
      <w:bookmarkEnd w:id="335"/>
      <w:bookmarkEnd w:id="336"/>
    </w:p>
    <w:p w14:paraId="515FB400" w14:textId="77777777" w:rsidR="007124B8" w:rsidRPr="007124B8" w:rsidRDefault="007124B8" w:rsidP="007124B8">
      <w:pPr>
        <w:pStyle w:val="Heading5"/>
      </w:pPr>
      <w:r w:rsidRPr="007124B8">
        <w:t>Evaluator commentary</w:t>
      </w:r>
    </w:p>
    <w:p w14:paraId="5F895032" w14:textId="77777777" w:rsidR="007124B8" w:rsidRDefault="007124B8" w:rsidP="007124B8">
      <w:pPr>
        <w:rPr>
          <w:lang w:eastAsia="ja-JP"/>
        </w:rPr>
      </w:pPr>
      <w:bookmarkStart w:id="337" w:name="_Toc241374318"/>
      <w:bookmarkStart w:id="338" w:name="_Ref271196630"/>
      <w:bookmarkStart w:id="339" w:name="_Toc272414662"/>
      <w:bookmarkStart w:id="340" w:name="_Toc290888526"/>
      <w:bookmarkStart w:id="341" w:name="_Toc416353742"/>
      <w:bookmarkStart w:id="342" w:name="_Toc421005285"/>
      <w:bookmarkStart w:id="343" w:name="_Toc432079162"/>
      <w:bookmarkStart w:id="344" w:name="_Toc432080735"/>
      <w:r>
        <w:rPr>
          <w:lang w:eastAsia="ja-JP"/>
        </w:rPr>
        <w:t xml:space="preserve">Exposure to bosentan was of short duration but it is noted that no </w:t>
      </w:r>
      <w:r w:rsidRPr="00A5008F">
        <w:rPr>
          <w:lang w:eastAsia="ja-JP"/>
        </w:rPr>
        <w:t xml:space="preserve">difference </w:t>
      </w:r>
      <w:r>
        <w:rPr>
          <w:lang w:eastAsia="ja-JP"/>
        </w:rPr>
        <w:t xml:space="preserve">in growth were detected </w:t>
      </w:r>
      <w:r w:rsidRPr="00A5008F">
        <w:rPr>
          <w:lang w:eastAsia="ja-JP"/>
        </w:rPr>
        <w:t>between ex-bosentan and ex-placebo subjects.</w:t>
      </w:r>
    </w:p>
    <w:p w14:paraId="31D67318" w14:textId="77777777" w:rsidR="007124B8" w:rsidRPr="007124B8" w:rsidRDefault="007124B8" w:rsidP="007124B8">
      <w:pPr>
        <w:pStyle w:val="Heading3"/>
      </w:pPr>
      <w:bookmarkStart w:id="345" w:name="_Toc473884004"/>
      <w:bookmarkStart w:id="346" w:name="_Toc519773912"/>
      <w:r w:rsidRPr="007124B8">
        <w:t>Patient exposure</w:t>
      </w:r>
      <w:bookmarkEnd w:id="337"/>
      <w:bookmarkEnd w:id="338"/>
      <w:bookmarkEnd w:id="339"/>
      <w:bookmarkEnd w:id="340"/>
      <w:bookmarkEnd w:id="341"/>
      <w:bookmarkEnd w:id="342"/>
      <w:bookmarkEnd w:id="343"/>
      <w:bookmarkEnd w:id="344"/>
      <w:bookmarkEnd w:id="345"/>
      <w:bookmarkEnd w:id="346"/>
    </w:p>
    <w:p w14:paraId="0B0A2CE6" w14:textId="404B42C8" w:rsidR="007C6D8D" w:rsidRPr="002E7063" w:rsidRDefault="007124B8" w:rsidP="007124B8">
      <w:pPr>
        <w:rPr>
          <w:lang w:eastAsia="ja-JP"/>
        </w:rPr>
      </w:pPr>
      <w:r>
        <w:rPr>
          <w:lang w:eastAsia="ja-JP"/>
        </w:rPr>
        <w:t>The following summaries of patient exposure were provided. Patient exposure in the BREATHE</w:t>
      </w:r>
      <w:r w:rsidR="004E7A99">
        <w:rPr>
          <w:lang w:eastAsia="ja-JP"/>
        </w:rPr>
        <w:noBreakHyphen/>
      </w:r>
      <w:r>
        <w:rPr>
          <w:lang w:eastAsia="ja-JP"/>
        </w:rPr>
        <w:t xml:space="preserve">3, FUTURE-1 and FUTURE-2 studies are </w:t>
      </w:r>
      <w:r w:rsidRPr="002E7063">
        <w:rPr>
          <w:lang w:eastAsia="ja-JP"/>
        </w:rPr>
        <w:t>summarised in</w:t>
      </w:r>
      <w:r w:rsidR="002E7063" w:rsidRPr="002E7063">
        <w:rPr>
          <w:lang w:eastAsia="ja-JP"/>
        </w:rPr>
        <w:t xml:space="preserve"> Table 55</w:t>
      </w:r>
      <w:r w:rsidR="007C6D8D" w:rsidRPr="002E7063">
        <w:rPr>
          <w:lang w:eastAsia="ja-JP"/>
        </w:rPr>
        <w:t>.</w:t>
      </w:r>
    </w:p>
    <w:p w14:paraId="20692A7B" w14:textId="224DCD8C" w:rsidR="007124B8" w:rsidRDefault="007124B8" w:rsidP="007124B8">
      <w:pPr>
        <w:rPr>
          <w:lang w:eastAsia="ja-JP"/>
        </w:rPr>
      </w:pPr>
      <w:r>
        <w:rPr>
          <w:lang w:eastAsia="ja-JP"/>
        </w:rPr>
        <w:t xml:space="preserve">In the FUTURE-3 </w:t>
      </w:r>
      <w:r w:rsidR="00E77015">
        <w:rPr>
          <w:lang w:eastAsia="ja-JP"/>
        </w:rPr>
        <w:t>Study</w:t>
      </w:r>
      <w:r>
        <w:rPr>
          <w:lang w:eastAsia="ja-JP"/>
        </w:rPr>
        <w:t xml:space="preserve"> t</w:t>
      </w:r>
      <w:r w:rsidRPr="00BD4636">
        <w:rPr>
          <w:lang w:eastAsia="ja-JP"/>
        </w:rPr>
        <w:t>he mean (</w:t>
      </w:r>
      <w:r>
        <w:t>±</w:t>
      </w:r>
      <w:r w:rsidRPr="00BD4636">
        <w:rPr>
          <w:lang w:eastAsia="ja-JP"/>
        </w:rPr>
        <w:t xml:space="preserve"> SD) exposure duration to bosentan was si</w:t>
      </w:r>
      <w:r>
        <w:rPr>
          <w:lang w:eastAsia="ja-JP"/>
        </w:rPr>
        <w:t xml:space="preserve">milar in the </w:t>
      </w:r>
      <w:r w:rsidR="007C6D8D">
        <w:rPr>
          <w:lang w:eastAsia="ja-JP"/>
        </w:rPr>
        <w:t>BD</w:t>
      </w:r>
      <w:r>
        <w:rPr>
          <w:lang w:eastAsia="ja-JP"/>
        </w:rPr>
        <w:t xml:space="preserve"> group </w:t>
      </w:r>
      <w:r w:rsidRPr="00BD4636">
        <w:rPr>
          <w:lang w:eastAsia="ja-JP"/>
        </w:rPr>
        <w:t xml:space="preserve">(23.6 </w:t>
      </w:r>
      <w:r>
        <w:t>±</w:t>
      </w:r>
      <w:r>
        <w:rPr>
          <w:lang w:eastAsia="ja-JP"/>
        </w:rPr>
        <w:t xml:space="preserve"> 3.71 weeks) and </w:t>
      </w:r>
      <w:r w:rsidR="007C6D8D">
        <w:rPr>
          <w:lang w:eastAsia="ja-JP"/>
        </w:rPr>
        <w:t>TDS</w:t>
      </w:r>
      <w:r w:rsidRPr="00BD4636">
        <w:rPr>
          <w:lang w:eastAsia="ja-JP"/>
        </w:rPr>
        <w:t xml:space="preserve"> group (23.3 </w:t>
      </w:r>
      <w:r>
        <w:t>±</w:t>
      </w:r>
      <w:r w:rsidRPr="00BD4636">
        <w:rPr>
          <w:lang w:eastAsia="ja-JP"/>
        </w:rPr>
        <w:t xml:space="preserve"> 5.02 weeks)</w:t>
      </w:r>
      <w:r>
        <w:rPr>
          <w:lang w:eastAsia="ja-JP"/>
        </w:rPr>
        <w:t>. T</w:t>
      </w:r>
      <w:r w:rsidRPr="00AD175D">
        <w:rPr>
          <w:lang w:eastAsia="ja-JP"/>
        </w:rPr>
        <w:t>he mean daily dose (</w:t>
      </w:r>
      <w:r>
        <w:t>±</w:t>
      </w:r>
      <w:r w:rsidRPr="00AD175D">
        <w:rPr>
          <w:lang w:eastAsia="ja-JP"/>
        </w:rPr>
        <w:t xml:space="preserve"> SD) was 3.6 </w:t>
      </w:r>
      <w:r>
        <w:t>±</w:t>
      </w:r>
      <w:r w:rsidRPr="00AD175D">
        <w:rPr>
          <w:lang w:eastAsia="ja-JP"/>
        </w:rPr>
        <w:t xml:space="preserve"> 0.42 mg/kg</w:t>
      </w:r>
      <w:r>
        <w:rPr>
          <w:lang w:eastAsia="ja-JP"/>
        </w:rPr>
        <w:t xml:space="preserve">/day in the </w:t>
      </w:r>
      <w:r w:rsidR="007C6D8D">
        <w:rPr>
          <w:lang w:eastAsia="ja-JP"/>
        </w:rPr>
        <w:t>BD</w:t>
      </w:r>
      <w:r>
        <w:rPr>
          <w:lang w:eastAsia="ja-JP"/>
        </w:rPr>
        <w:t xml:space="preserve"> group and </w:t>
      </w:r>
      <w:r w:rsidRPr="00AD175D">
        <w:rPr>
          <w:lang w:eastAsia="ja-JP"/>
        </w:rPr>
        <w:t xml:space="preserve">6.0 </w:t>
      </w:r>
      <w:r>
        <w:t>±</w:t>
      </w:r>
      <w:r>
        <w:rPr>
          <w:lang w:eastAsia="ja-JP"/>
        </w:rPr>
        <w:t xml:space="preserve"> 3.78 mg/kg/day in the </w:t>
      </w:r>
      <w:r w:rsidR="007C6D8D">
        <w:rPr>
          <w:lang w:eastAsia="ja-JP"/>
        </w:rPr>
        <w:t>TDS</w:t>
      </w:r>
      <w:r w:rsidRPr="00AD175D">
        <w:rPr>
          <w:lang w:eastAsia="ja-JP"/>
        </w:rPr>
        <w:t xml:space="preserve"> group.</w:t>
      </w:r>
    </w:p>
    <w:p w14:paraId="7D8F69A0" w14:textId="77777777" w:rsidR="007124B8" w:rsidRDefault="007124B8" w:rsidP="007124B8">
      <w:r w:rsidRPr="00CF1946">
        <w:rPr>
          <w:lang w:eastAsia="ja-JP"/>
        </w:rPr>
        <w:t xml:space="preserve">In the FUTURE-3 extension </w:t>
      </w:r>
      <w:r w:rsidR="00E77015">
        <w:rPr>
          <w:lang w:eastAsia="ja-JP"/>
        </w:rPr>
        <w:t>Study</w:t>
      </w:r>
      <w:r w:rsidRPr="00CF1946">
        <w:rPr>
          <w:lang w:eastAsia="ja-JP"/>
        </w:rPr>
        <w:t xml:space="preserve"> the majority of patients (57.6% </w:t>
      </w:r>
      <w:r w:rsidR="007C6D8D">
        <w:rPr>
          <w:lang w:eastAsia="ja-JP"/>
        </w:rPr>
        <w:t>BD</w:t>
      </w:r>
      <w:r w:rsidRPr="00CF1946">
        <w:rPr>
          <w:lang w:eastAsia="ja-JP"/>
        </w:rPr>
        <w:t xml:space="preserve">, 54.8% </w:t>
      </w:r>
      <w:r w:rsidR="007C6D8D">
        <w:rPr>
          <w:lang w:eastAsia="ja-JP"/>
        </w:rPr>
        <w:t>TDS</w:t>
      </w:r>
      <w:r w:rsidRPr="00CF1946">
        <w:rPr>
          <w:lang w:eastAsia="ja-JP"/>
        </w:rPr>
        <w:t xml:space="preserve">) had at least 72 weeks of exposure to bosentan. </w:t>
      </w:r>
      <w:r>
        <w:t>T</w:t>
      </w:r>
      <w:r w:rsidRPr="00CF1946">
        <w:t>he cumulative mean (</w:t>
      </w:r>
      <w:r>
        <w:t>±</w:t>
      </w:r>
      <w:r w:rsidRPr="00CF1946">
        <w:t xml:space="preserve"> SD) ex</w:t>
      </w:r>
      <w:r>
        <w:t xml:space="preserve">posure duration to bosentan was 64.1 ± 3.38 weeks in the </w:t>
      </w:r>
      <w:r w:rsidR="007C6D8D">
        <w:t>BD</w:t>
      </w:r>
      <w:r w:rsidRPr="00CF1946">
        <w:t xml:space="preserve"> group a</w:t>
      </w:r>
      <w:r>
        <w:t xml:space="preserve">nd 60.4 ± 4.20 weeks in the </w:t>
      </w:r>
      <w:r w:rsidR="007C6D8D">
        <w:t>TDS</w:t>
      </w:r>
      <w:r>
        <w:t xml:space="preserve"> group.</w:t>
      </w:r>
    </w:p>
    <w:p w14:paraId="01D42121" w14:textId="1DD33400" w:rsidR="007124B8" w:rsidRDefault="007124B8" w:rsidP="007124B8">
      <w:r>
        <w:t xml:space="preserve">In the FUTURE-4 </w:t>
      </w:r>
      <w:r w:rsidR="00E77015">
        <w:t>Study</w:t>
      </w:r>
      <w:r>
        <w:t xml:space="preserve"> t</w:t>
      </w:r>
      <w:r w:rsidRPr="00CF1946">
        <w:t>he median exposure (days, min–max) was sim</w:t>
      </w:r>
      <w:r>
        <w:t>ilar in the bosentan (4.5</w:t>
      </w:r>
      <w:r w:rsidR="004E7A99">
        <w:t> </w:t>
      </w:r>
      <w:r>
        <w:t xml:space="preserve">days, </w:t>
      </w:r>
      <w:r w:rsidR="00A2508E">
        <w:t xml:space="preserve">0.5 to </w:t>
      </w:r>
      <w:r w:rsidRPr="00CF1946">
        <w:t>10.0 days) and placebo groups (4.0 days, 2.5</w:t>
      </w:r>
      <w:r w:rsidR="00A2508E">
        <w:t xml:space="preserve"> to</w:t>
      </w:r>
      <w:r w:rsidR="004E7A99">
        <w:t xml:space="preserve"> </w:t>
      </w:r>
      <w:r w:rsidRPr="00CF1946">
        <w:t>6.5 days). Approximately</w:t>
      </w:r>
      <w:r>
        <w:t xml:space="preserve"> </w:t>
      </w:r>
      <w:r w:rsidRPr="00CF1946">
        <w:t xml:space="preserve">60.0% of patients in both groups had at least 4 days of exposure to the </w:t>
      </w:r>
      <w:r w:rsidR="0066478A">
        <w:t>study</w:t>
      </w:r>
      <w:r w:rsidRPr="00CF1946">
        <w:t xml:space="preserve"> </w:t>
      </w:r>
      <w:r w:rsidRPr="002E7063">
        <w:t>drug (</w:t>
      </w:r>
      <w:r w:rsidR="002E7063" w:rsidRPr="002E7063">
        <w:t>Table 5</w:t>
      </w:r>
      <w:r w:rsidR="002E7063">
        <w:t>7</w:t>
      </w:r>
      <w:r w:rsidRPr="002E7063">
        <w:t>).</w:t>
      </w:r>
    </w:p>
    <w:p w14:paraId="4207A829" w14:textId="784ED4EB" w:rsidR="007124B8" w:rsidRPr="00CF1946" w:rsidRDefault="007124B8" w:rsidP="007124B8">
      <w:r>
        <w:t xml:space="preserve">No treatment was administered as part of the FUTURE-4 </w:t>
      </w:r>
      <w:r w:rsidR="004E7A99">
        <w:t>extension study</w:t>
      </w:r>
      <w:r>
        <w:t>.</w:t>
      </w:r>
    </w:p>
    <w:p w14:paraId="3ACAF714" w14:textId="74793357" w:rsidR="007124B8" w:rsidRPr="00EE47C5" w:rsidRDefault="007124B8" w:rsidP="007124B8">
      <w:pPr>
        <w:pStyle w:val="Tabletitle"/>
        <w:rPr>
          <w:lang w:eastAsia="ja-JP"/>
        </w:rPr>
      </w:pPr>
      <w:bookmarkStart w:id="347" w:name="_Ref464050202"/>
      <w:bookmarkStart w:id="348" w:name="_Toc473884099"/>
      <w:r w:rsidRPr="002E7063">
        <w:lastRenderedPageBreak/>
        <w:t xml:space="preserve">Table </w:t>
      </w:r>
      <w:bookmarkEnd w:id="347"/>
      <w:r w:rsidR="002E7063" w:rsidRPr="002E7063">
        <w:t>55:</w:t>
      </w:r>
      <w:r w:rsidRPr="002E7063">
        <w:t xml:space="preserve"> Summary to support EMEA </w:t>
      </w:r>
      <w:r w:rsidR="004E7A99">
        <w:t>V</w:t>
      </w:r>
      <w:r w:rsidR="004E7A99" w:rsidRPr="002E7063">
        <w:t>ariation</w:t>
      </w:r>
      <w:r w:rsidR="004E7A99">
        <w:t xml:space="preserve"> </w:t>
      </w:r>
      <w:r w:rsidR="002E7063">
        <w:t>39;</w:t>
      </w:r>
      <w:r w:rsidRPr="002E7063">
        <w:t xml:space="preserve"> Summary of overall bosentan</w:t>
      </w:r>
      <w:r>
        <w:t xml:space="preserve"> exposure for paediatric studies</w:t>
      </w:r>
      <w:bookmarkEnd w:id="348"/>
    </w:p>
    <w:p w14:paraId="17757E01" w14:textId="77777777" w:rsidR="00A41EB6" w:rsidRDefault="007124B8" w:rsidP="00287323">
      <w:pPr>
        <w:rPr>
          <w:lang w:eastAsia="ja-JP"/>
        </w:rPr>
      </w:pPr>
      <w:r>
        <w:rPr>
          <w:noProof/>
          <w:lang w:eastAsia="en-AU"/>
        </w:rPr>
        <w:drawing>
          <wp:inline distT="0" distB="0" distL="0" distR="0" wp14:anchorId="0CE989B1" wp14:editId="7653FA47">
            <wp:extent cx="5449824" cy="5449824"/>
            <wp:effectExtent l="0" t="0" r="0" b="0"/>
            <wp:docPr id="80" name="Picture 80" descr="Table 55: Summary to support EMEA variation 39; Summary of overall bosentan exposure for paediatric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5446396" cy="5446396"/>
                    </a:xfrm>
                    <a:prstGeom prst="rect">
                      <a:avLst/>
                    </a:prstGeom>
                  </pic:spPr>
                </pic:pic>
              </a:graphicData>
            </a:graphic>
          </wp:inline>
        </w:drawing>
      </w:r>
    </w:p>
    <w:p w14:paraId="116FA7A2" w14:textId="77777777" w:rsidR="007124B8" w:rsidRDefault="007124B8" w:rsidP="007124B8">
      <w:pPr>
        <w:pStyle w:val="Tabletitle"/>
        <w:rPr>
          <w:lang w:eastAsia="ja-JP"/>
        </w:rPr>
      </w:pPr>
      <w:bookmarkStart w:id="349" w:name="_Toc473884100"/>
      <w:r w:rsidRPr="002E7063">
        <w:lastRenderedPageBreak/>
        <w:t xml:space="preserve">Table </w:t>
      </w:r>
      <w:r w:rsidR="002E7063" w:rsidRPr="002E7063">
        <w:t>56:</w:t>
      </w:r>
      <w:r w:rsidRPr="002E7063">
        <w:t xml:space="preserve"> Summar</w:t>
      </w:r>
      <w:r w:rsidR="002E7063">
        <w:t>y to support EMEA Variation 66;</w:t>
      </w:r>
      <w:r w:rsidRPr="002E7063">
        <w:t xml:space="preserve"> Duration of treatment exposure from</w:t>
      </w:r>
      <w:r>
        <w:t xml:space="preserve"> treatment start in the pooled safety analysis set</w:t>
      </w:r>
      <w:bookmarkEnd w:id="349"/>
    </w:p>
    <w:p w14:paraId="037EBF55" w14:textId="77777777" w:rsidR="00A41EB6" w:rsidRDefault="007124B8" w:rsidP="00287323">
      <w:pPr>
        <w:rPr>
          <w:lang w:eastAsia="ja-JP"/>
        </w:rPr>
      </w:pPr>
      <w:r>
        <w:rPr>
          <w:noProof/>
          <w:lang w:eastAsia="en-AU"/>
        </w:rPr>
        <w:drawing>
          <wp:inline distT="0" distB="0" distL="0" distR="0" wp14:anchorId="0EB571BA" wp14:editId="61D8B0D4">
            <wp:extent cx="4953000" cy="4657725"/>
            <wp:effectExtent l="0" t="0" r="0" b="9525"/>
            <wp:docPr id="81" name="Picture 81" descr="Table 56: Summary to support EMEA Variation 66; Duration of treatment exposure from treatment start in the pooled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BEBA8EAE-BF5A-486C-A8C5-ECC9F3942E4B}">
                          <a14:imgProps xmlns:a14="http://schemas.microsoft.com/office/drawing/2010/main">
                            <a14:imgLayer r:embed="rId117">
                              <a14:imgEffect>
                                <a14:brightnessContrast contrast="-40000"/>
                              </a14:imgEffect>
                            </a14:imgLayer>
                          </a14:imgProps>
                        </a:ext>
                      </a:extLst>
                    </a:blip>
                    <a:stretch>
                      <a:fillRect/>
                    </a:stretch>
                  </pic:blipFill>
                  <pic:spPr>
                    <a:xfrm>
                      <a:off x="0" y="0"/>
                      <a:ext cx="4953000" cy="4657725"/>
                    </a:xfrm>
                    <a:prstGeom prst="rect">
                      <a:avLst/>
                    </a:prstGeom>
                  </pic:spPr>
                </pic:pic>
              </a:graphicData>
            </a:graphic>
          </wp:inline>
        </w:drawing>
      </w:r>
    </w:p>
    <w:p w14:paraId="307ECC50" w14:textId="77777777" w:rsidR="007124B8" w:rsidRDefault="007124B8" w:rsidP="007124B8">
      <w:pPr>
        <w:pStyle w:val="Tabletitle"/>
        <w:rPr>
          <w:lang w:eastAsia="ja-JP"/>
        </w:rPr>
      </w:pPr>
      <w:bookmarkStart w:id="350" w:name="_Ref464215763"/>
      <w:bookmarkStart w:id="351" w:name="_Toc473884101"/>
      <w:r w:rsidRPr="002E7063">
        <w:lastRenderedPageBreak/>
        <w:t xml:space="preserve">Table </w:t>
      </w:r>
      <w:bookmarkEnd w:id="350"/>
      <w:r w:rsidR="002E7063" w:rsidRPr="002E7063">
        <w:t>57:</w:t>
      </w:r>
      <w:r w:rsidRPr="002E7063">
        <w:t xml:space="preserve"> Summar</w:t>
      </w:r>
      <w:r w:rsidR="002E7063" w:rsidRPr="002E7063">
        <w:t>y to support EMEA Variation 66;</w:t>
      </w:r>
      <w:r w:rsidRPr="002E7063">
        <w:t xml:space="preserve"> Summary of </w:t>
      </w:r>
      <w:r w:rsidR="0066478A" w:rsidRPr="002E7063">
        <w:t>study</w:t>
      </w:r>
      <w:r w:rsidRPr="002E7063">
        <w:t xml:space="preserve"> treatment</w:t>
      </w:r>
      <w:r>
        <w:t xml:space="preserve"> exposure, </w:t>
      </w:r>
      <w:r w:rsidR="009C6335">
        <w:t>FUTURE-4</w:t>
      </w:r>
      <w:r>
        <w:t xml:space="preserve"> PPHN safety analysis set</w:t>
      </w:r>
      <w:bookmarkEnd w:id="351"/>
    </w:p>
    <w:p w14:paraId="0B70E7E4" w14:textId="77777777" w:rsidR="00A41EB6" w:rsidRDefault="007124B8" w:rsidP="00287323">
      <w:pPr>
        <w:rPr>
          <w:lang w:eastAsia="ja-JP"/>
        </w:rPr>
      </w:pPr>
      <w:r>
        <w:rPr>
          <w:noProof/>
          <w:lang w:eastAsia="en-AU"/>
        </w:rPr>
        <w:drawing>
          <wp:inline distT="0" distB="0" distL="0" distR="0" wp14:anchorId="5104A110" wp14:editId="39A3B9CE">
            <wp:extent cx="3524250" cy="3295650"/>
            <wp:effectExtent l="0" t="0" r="0" b="0"/>
            <wp:docPr id="82" name="Picture 82" descr="Table 57: Summary to support EMEA Variation 66; Summary of study treatment exposure, FUTURE-4 PPHN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524250" cy="3295650"/>
                    </a:xfrm>
                    <a:prstGeom prst="rect">
                      <a:avLst/>
                    </a:prstGeom>
                  </pic:spPr>
                </pic:pic>
              </a:graphicData>
            </a:graphic>
          </wp:inline>
        </w:drawing>
      </w:r>
    </w:p>
    <w:p w14:paraId="057CCC9B" w14:textId="77777777" w:rsidR="007124B8" w:rsidRDefault="007124B8" w:rsidP="007124B8">
      <w:pPr>
        <w:pStyle w:val="Tabletitle"/>
      </w:pPr>
      <w:bookmarkStart w:id="352" w:name="_Toc473884102"/>
      <w:r w:rsidRPr="00F27B3B">
        <w:t xml:space="preserve">Table </w:t>
      </w:r>
      <w:r w:rsidR="00F27B3B" w:rsidRPr="00F27B3B">
        <w:t>5</w:t>
      </w:r>
      <w:r w:rsidR="00F27B3B">
        <w:t>8</w:t>
      </w:r>
      <w:r>
        <w:t xml:space="preserve"> Summary addendum to support EMEA Variation 51 Duration of exposure to </w:t>
      </w:r>
      <w:r w:rsidR="0066478A">
        <w:t>study</w:t>
      </w:r>
      <w:r>
        <w:t xml:space="preserve"> treatment in the overall pool and for the approved indications, safety set</w:t>
      </w:r>
      <w:bookmarkEnd w:id="352"/>
    </w:p>
    <w:p w14:paraId="1FC20152" w14:textId="77777777" w:rsidR="00A41EB6" w:rsidRDefault="007124B8" w:rsidP="00287323">
      <w:pPr>
        <w:rPr>
          <w:lang w:eastAsia="ja-JP"/>
        </w:rPr>
      </w:pPr>
      <w:r>
        <w:rPr>
          <w:noProof/>
          <w:lang w:eastAsia="en-AU"/>
        </w:rPr>
        <w:drawing>
          <wp:inline distT="0" distB="0" distL="0" distR="0" wp14:anchorId="591BE941" wp14:editId="1ED03F27">
            <wp:extent cx="5277605" cy="3050438"/>
            <wp:effectExtent l="0" t="0" r="0" b="0"/>
            <wp:docPr id="83" name="Picture 83" descr="Table 58 Summary addendum to support EMEA Variation 51 Duration of exposure to study treatment in the overall pool and for the approved indication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BEBA8EAE-BF5A-486C-A8C5-ECC9F3942E4B}">
                          <a14:imgProps xmlns:a14="http://schemas.microsoft.com/office/drawing/2010/main">
                            <a14:imgLayer r:embed="rId120">
                              <a14:imgEffect>
                                <a14:brightnessContrast contrast="-40000"/>
                              </a14:imgEffect>
                            </a14:imgLayer>
                          </a14:imgProps>
                        </a:ext>
                      </a:extLst>
                    </a:blip>
                    <a:stretch>
                      <a:fillRect/>
                    </a:stretch>
                  </pic:blipFill>
                  <pic:spPr>
                    <a:xfrm>
                      <a:off x="0" y="0"/>
                      <a:ext cx="5280197" cy="3051936"/>
                    </a:xfrm>
                    <a:prstGeom prst="rect">
                      <a:avLst/>
                    </a:prstGeom>
                  </pic:spPr>
                </pic:pic>
              </a:graphicData>
            </a:graphic>
          </wp:inline>
        </w:drawing>
      </w:r>
    </w:p>
    <w:p w14:paraId="70B9644D" w14:textId="77777777" w:rsidR="00F27B3B" w:rsidRDefault="00F27B3B" w:rsidP="00F27B3B">
      <w:pPr>
        <w:pStyle w:val="Tabletitle"/>
      </w:pPr>
      <w:r w:rsidRPr="00F27B3B">
        <w:lastRenderedPageBreak/>
        <w:t>Table 5</w:t>
      </w:r>
      <w:r>
        <w:t>8 Summary addendum to support EMEA Variation 51 Duration of exposure to study treatment in the overall pool and for the approved indications, safety set</w:t>
      </w:r>
    </w:p>
    <w:p w14:paraId="1349E30C" w14:textId="77777777" w:rsidR="00EA7ACF" w:rsidRPr="00EA7ACF" w:rsidRDefault="00EA7ACF" w:rsidP="00EA7ACF">
      <w:r>
        <w:rPr>
          <w:noProof/>
          <w:lang w:eastAsia="en-AU"/>
        </w:rPr>
        <w:drawing>
          <wp:inline distT="0" distB="0" distL="0" distR="0" wp14:anchorId="36137B28" wp14:editId="24688C05">
            <wp:extent cx="5484804" cy="4915814"/>
            <wp:effectExtent l="0" t="0" r="1905" b="0"/>
            <wp:docPr id="86" name="Picture 86" descr="Table 58 Summary addendum to support EMEA Variation 51 Duration of exposure to study treatment in the overall pool and for the approved indication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5486574" cy="4917400"/>
                    </a:xfrm>
                    <a:prstGeom prst="rect">
                      <a:avLst/>
                    </a:prstGeom>
                  </pic:spPr>
                </pic:pic>
              </a:graphicData>
            </a:graphic>
          </wp:inline>
        </w:drawing>
      </w:r>
    </w:p>
    <w:p w14:paraId="14980D9E" w14:textId="77777777" w:rsidR="00EA7ACF" w:rsidRPr="00093207" w:rsidRDefault="00EA7ACF" w:rsidP="00093207">
      <w:pPr>
        <w:pStyle w:val="Heading3"/>
      </w:pPr>
      <w:bookmarkStart w:id="353" w:name="_Toc241374319"/>
      <w:bookmarkStart w:id="354" w:name="_Ref271044764"/>
      <w:bookmarkStart w:id="355" w:name="_Toc272414663"/>
      <w:bookmarkStart w:id="356" w:name="_Toc290888527"/>
      <w:bookmarkStart w:id="357" w:name="_Toc416353743"/>
      <w:bookmarkStart w:id="358" w:name="_Toc421005286"/>
      <w:bookmarkStart w:id="359" w:name="_Toc432079163"/>
      <w:bookmarkStart w:id="360" w:name="_Toc432080736"/>
      <w:bookmarkStart w:id="361" w:name="_Ref465021496"/>
      <w:bookmarkStart w:id="362" w:name="_Toc473884005"/>
      <w:bookmarkStart w:id="363" w:name="_Toc519773913"/>
      <w:r w:rsidRPr="00093207">
        <w:t>Adverse events</w:t>
      </w:r>
      <w:bookmarkEnd w:id="353"/>
      <w:bookmarkEnd w:id="354"/>
      <w:bookmarkEnd w:id="355"/>
      <w:bookmarkEnd w:id="356"/>
      <w:bookmarkEnd w:id="357"/>
      <w:bookmarkEnd w:id="358"/>
      <w:bookmarkEnd w:id="359"/>
      <w:bookmarkEnd w:id="360"/>
      <w:bookmarkEnd w:id="361"/>
      <w:bookmarkEnd w:id="362"/>
      <w:bookmarkEnd w:id="363"/>
    </w:p>
    <w:p w14:paraId="284F1A1A" w14:textId="77777777" w:rsidR="00EA7ACF" w:rsidRPr="00EA7ACF" w:rsidRDefault="00EA7ACF" w:rsidP="00093207">
      <w:pPr>
        <w:pStyle w:val="Heading4"/>
      </w:pPr>
      <w:bookmarkStart w:id="364" w:name="_Ref272317284"/>
      <w:bookmarkStart w:id="365" w:name="_Ref272333565"/>
      <w:bookmarkStart w:id="366" w:name="_Toc272414664"/>
      <w:bookmarkStart w:id="367" w:name="_Toc290888528"/>
      <w:bookmarkStart w:id="368" w:name="_Toc416353744"/>
      <w:bookmarkStart w:id="369" w:name="_Toc421005287"/>
      <w:bookmarkStart w:id="370" w:name="_Toc432079164"/>
      <w:bookmarkStart w:id="371" w:name="_Toc432080737"/>
      <w:r w:rsidRPr="00EA7ACF">
        <w:t xml:space="preserve">All adverse events (irrespective of relationship to </w:t>
      </w:r>
      <w:r w:rsidR="0066478A">
        <w:t>study</w:t>
      </w:r>
      <w:r w:rsidRPr="00EA7ACF">
        <w:t xml:space="preserve"> treatment)</w:t>
      </w:r>
      <w:bookmarkEnd w:id="364"/>
      <w:bookmarkEnd w:id="365"/>
      <w:bookmarkEnd w:id="366"/>
      <w:bookmarkEnd w:id="367"/>
      <w:bookmarkEnd w:id="368"/>
      <w:bookmarkEnd w:id="369"/>
      <w:bookmarkEnd w:id="370"/>
      <w:bookmarkEnd w:id="371"/>
    </w:p>
    <w:p w14:paraId="7DA917A8" w14:textId="77777777" w:rsidR="00EA7ACF" w:rsidRPr="00EA7ACF" w:rsidRDefault="00EA7ACF" w:rsidP="00EA7ACF">
      <w:pPr>
        <w:pStyle w:val="Heading5"/>
      </w:pPr>
      <w:r w:rsidRPr="00EA7ACF">
        <w:t>Integrated safety analyses</w:t>
      </w:r>
    </w:p>
    <w:p w14:paraId="5AFD7B6B" w14:textId="68B392AE" w:rsidR="00EA7ACF" w:rsidRDefault="00EA7ACF" w:rsidP="00EA7ACF">
      <w:pPr>
        <w:rPr>
          <w:lang w:eastAsia="ja-JP"/>
        </w:rPr>
      </w:pPr>
      <w:r>
        <w:rPr>
          <w:lang w:eastAsia="ja-JP"/>
        </w:rPr>
        <w:t xml:space="preserve">A statistical analysis of the FUTURE-1, FUTURE-2, FUTURE-3 and FUTURE-3 </w:t>
      </w:r>
      <w:r w:rsidR="004E7A99">
        <w:rPr>
          <w:lang w:eastAsia="ja-JP"/>
        </w:rPr>
        <w:t xml:space="preserve">extension </w:t>
      </w:r>
      <w:r>
        <w:rPr>
          <w:lang w:eastAsia="ja-JP"/>
        </w:rPr>
        <w:t xml:space="preserve">studies has been included in the submission. The results of the analysis were provided as a series of appendices of tables, figure and case narratives. A description or summary of the results is not included. </w:t>
      </w:r>
      <w:r w:rsidR="00F27B3B">
        <w:rPr>
          <w:lang w:eastAsia="ja-JP"/>
        </w:rPr>
        <w:t xml:space="preserve">Table 60 </w:t>
      </w:r>
      <w:r>
        <w:rPr>
          <w:lang w:eastAsia="ja-JP"/>
        </w:rPr>
        <w:t>summarises the number of patients with TEAEs, SAEs, AEs leading to discontinuation, fatal outcome AEs and related TEAEs.</w:t>
      </w:r>
    </w:p>
    <w:p w14:paraId="4974AD95" w14:textId="77777777" w:rsidR="00EA7ACF" w:rsidRPr="00DB575B" w:rsidRDefault="00EA7ACF" w:rsidP="00EA7ACF">
      <w:pPr>
        <w:pStyle w:val="Tabletitle"/>
        <w:rPr>
          <w:bCs/>
        </w:rPr>
      </w:pPr>
      <w:bookmarkStart w:id="372" w:name="_Ref464475602"/>
      <w:bookmarkStart w:id="373" w:name="_Toc473884104"/>
      <w:r w:rsidRPr="00F27B3B">
        <w:lastRenderedPageBreak/>
        <w:t xml:space="preserve">Table </w:t>
      </w:r>
      <w:bookmarkEnd w:id="372"/>
      <w:r w:rsidR="00F27B3B" w:rsidRPr="00F27B3B">
        <w:t>60:</w:t>
      </w:r>
      <w:r w:rsidRPr="00F27B3B">
        <w:t xml:space="preserve"> Integrated safety analysis </w:t>
      </w:r>
      <w:r w:rsidRPr="00F27B3B">
        <w:rPr>
          <w:bCs/>
        </w:rPr>
        <w:t>summary of AEs analysis set: Safety</w:t>
      </w:r>
      <w:bookmarkEnd w:id="373"/>
    </w:p>
    <w:p w14:paraId="1C3414AF" w14:textId="77777777" w:rsidR="00EA7ACF" w:rsidRDefault="00EA7ACF" w:rsidP="00287323">
      <w:pPr>
        <w:rPr>
          <w:noProof/>
          <w:lang w:eastAsia="en-AU"/>
        </w:rPr>
      </w:pPr>
      <w:r>
        <w:rPr>
          <w:noProof/>
          <w:lang w:eastAsia="en-AU"/>
        </w:rPr>
        <w:drawing>
          <wp:inline distT="0" distB="0" distL="0" distR="0" wp14:anchorId="59D0512A" wp14:editId="27C69EB0">
            <wp:extent cx="4454957" cy="1347053"/>
            <wp:effectExtent l="0" t="0" r="3175" b="5715"/>
            <wp:docPr id="87" name="Picture 87" descr="Table 60: Integrated safety analysis summary of AEs analysis set: Saf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4453971" cy="1346755"/>
                    </a:xfrm>
                    <a:prstGeom prst="rect">
                      <a:avLst/>
                    </a:prstGeom>
                  </pic:spPr>
                </pic:pic>
              </a:graphicData>
            </a:graphic>
          </wp:inline>
        </w:drawing>
      </w:r>
    </w:p>
    <w:p w14:paraId="150A321A" w14:textId="77777777" w:rsidR="00EA7ACF" w:rsidRPr="00093207" w:rsidRDefault="00EA7ACF" w:rsidP="00093207">
      <w:pPr>
        <w:pStyle w:val="Heading5"/>
      </w:pPr>
      <w:r w:rsidRPr="00093207">
        <w:t>Main/pivotal studies that assessed safety as the sole primary outcome</w:t>
      </w:r>
    </w:p>
    <w:p w14:paraId="4330CF96" w14:textId="4C0F1A91" w:rsidR="00EA7ACF" w:rsidRPr="00EA7ACF" w:rsidRDefault="00093207" w:rsidP="00EA7ACF">
      <w:pPr>
        <w:pStyle w:val="Heading6"/>
      </w:pPr>
      <w:r>
        <w:t xml:space="preserve">Study </w:t>
      </w:r>
      <w:r w:rsidR="00EA7ACF" w:rsidRPr="00EA7ACF">
        <w:t>FUTURE-2</w:t>
      </w:r>
    </w:p>
    <w:p w14:paraId="4298738D" w14:textId="5C0C2F41" w:rsidR="007C6D8D" w:rsidRDefault="00EA7ACF" w:rsidP="00EA7ACF">
      <w:r w:rsidRPr="00434C0C">
        <w:t xml:space="preserve">Over both FUTURE-1 and FUTURE-2 </w:t>
      </w:r>
      <w:r w:rsidR="0066478A">
        <w:t>Study</w:t>
      </w:r>
      <w:r w:rsidRPr="00434C0C">
        <w:t xml:space="preserve"> periods (N</w:t>
      </w:r>
      <w:r w:rsidR="00A5161C">
        <w:t xml:space="preserve"> </w:t>
      </w:r>
      <w:r w:rsidR="00E77015">
        <w:t>=</w:t>
      </w:r>
      <w:r w:rsidR="00A5161C">
        <w:t xml:space="preserve"> </w:t>
      </w:r>
      <w:r w:rsidRPr="00434C0C">
        <w:t>36), 170 AEs were</w:t>
      </w:r>
      <w:r>
        <w:t xml:space="preserve"> </w:t>
      </w:r>
      <w:r w:rsidR="00A2508E">
        <w:t>experienced by 29 </w:t>
      </w:r>
      <w:r w:rsidRPr="00434C0C">
        <w:t>(80.6%) patients; there were also 38 SAEs experienced by 15 (41.7%)</w:t>
      </w:r>
      <w:r>
        <w:t xml:space="preserve"> </w:t>
      </w:r>
      <w:r w:rsidRPr="00434C0C">
        <w:t>patients. Most AEs were experienced by no more than a single patient, and were of mild</w:t>
      </w:r>
      <w:r>
        <w:t xml:space="preserve"> </w:t>
      </w:r>
      <w:r w:rsidRPr="00434C0C">
        <w:t>or moderate intensity</w:t>
      </w:r>
      <w:r w:rsidR="007C6D8D">
        <w:t>.</w:t>
      </w:r>
    </w:p>
    <w:p w14:paraId="6D95BBB1" w14:textId="77777777" w:rsidR="007C6D8D" w:rsidRDefault="00EA7ACF" w:rsidP="00EA7ACF">
      <w:r w:rsidRPr="006F2957">
        <w:t>Most AEs were observed in one patient only. Many of the AEs would be</w:t>
      </w:r>
      <w:r>
        <w:t xml:space="preserve"> </w:t>
      </w:r>
      <w:r w:rsidRPr="006F2957">
        <w:t>expected in any paediatric population followed over time (upper respiratory tract infection,</w:t>
      </w:r>
      <w:r>
        <w:t xml:space="preserve"> </w:t>
      </w:r>
      <w:r w:rsidRPr="006F2957">
        <w:t>nasopharyngitis, bronchitis, otitis, vomiting, and diarrhoea) or were likely related to the</w:t>
      </w:r>
      <w:r>
        <w:t xml:space="preserve"> </w:t>
      </w:r>
      <w:r w:rsidRPr="006F2957">
        <w:t>underlying disease (chest pain, fatigue, syncope)</w:t>
      </w:r>
      <w:r w:rsidR="007C6D8D">
        <w:t>.</w:t>
      </w:r>
    </w:p>
    <w:p w14:paraId="244E5C7B" w14:textId="77777777" w:rsidR="00EA7ACF" w:rsidRDefault="00EA7ACF" w:rsidP="00EA7ACF">
      <w:pPr>
        <w:rPr>
          <w:lang w:eastAsia="ja-JP"/>
        </w:rPr>
      </w:pPr>
      <w:r>
        <w:rPr>
          <w:lang w:eastAsia="ja-JP"/>
        </w:rPr>
        <w:t>TE</w:t>
      </w:r>
      <w:r w:rsidRPr="006F2957">
        <w:rPr>
          <w:lang w:eastAsia="ja-JP"/>
        </w:rPr>
        <w:t>AEs were recorded as severe in 14 (38.9%) patients. Severe AEs</w:t>
      </w:r>
      <w:r>
        <w:rPr>
          <w:lang w:eastAsia="ja-JP"/>
        </w:rPr>
        <w:t xml:space="preserve"> </w:t>
      </w:r>
      <w:r w:rsidRPr="006F2957">
        <w:rPr>
          <w:lang w:eastAsia="ja-JP"/>
        </w:rPr>
        <w:t>were most frequently classified as Infections and infestations and Respiratory, thoracic and</w:t>
      </w:r>
      <w:r>
        <w:rPr>
          <w:lang w:eastAsia="ja-JP"/>
        </w:rPr>
        <w:t xml:space="preserve"> </w:t>
      </w:r>
      <w:r w:rsidRPr="006F2957">
        <w:rPr>
          <w:lang w:eastAsia="ja-JP"/>
        </w:rPr>
        <w:t>mediastinal disorders, with 6 (16.7%) patients in each of these classes experiencing at least</w:t>
      </w:r>
      <w:r>
        <w:rPr>
          <w:lang w:eastAsia="ja-JP"/>
        </w:rPr>
        <w:t xml:space="preserve"> </w:t>
      </w:r>
      <w:r w:rsidRPr="006F2957">
        <w:rPr>
          <w:lang w:eastAsia="ja-JP"/>
        </w:rPr>
        <w:t>one severe AE belonging to the corresponding class. The next most frequent SOCs were</w:t>
      </w:r>
      <w:r>
        <w:rPr>
          <w:lang w:eastAsia="ja-JP"/>
        </w:rPr>
        <w:t xml:space="preserve"> </w:t>
      </w:r>
      <w:r w:rsidRPr="006F2957">
        <w:rPr>
          <w:lang w:eastAsia="ja-JP"/>
        </w:rPr>
        <w:t>Nervous system disorders and Cardiac disorders, with 3 (8.3%) patients in each of these</w:t>
      </w:r>
      <w:r>
        <w:rPr>
          <w:lang w:eastAsia="ja-JP"/>
        </w:rPr>
        <w:t xml:space="preserve"> </w:t>
      </w:r>
      <w:r w:rsidRPr="006F2957">
        <w:rPr>
          <w:lang w:eastAsia="ja-JP"/>
        </w:rPr>
        <w:t>classes experiencing at least one severe AE belonging to the corresponding class</w:t>
      </w:r>
      <w:r>
        <w:rPr>
          <w:lang w:eastAsia="ja-JP"/>
        </w:rPr>
        <w:t xml:space="preserve">. </w:t>
      </w:r>
      <w:r w:rsidRPr="006F2957">
        <w:rPr>
          <w:lang w:eastAsia="ja-JP"/>
        </w:rPr>
        <w:t xml:space="preserve">The most frequent </w:t>
      </w:r>
      <w:r w:rsidR="00A5161C">
        <w:rPr>
          <w:lang w:eastAsia="ja-JP"/>
        </w:rPr>
        <w:t>treatment emergent</w:t>
      </w:r>
      <w:r w:rsidRPr="006F2957">
        <w:rPr>
          <w:lang w:eastAsia="ja-JP"/>
        </w:rPr>
        <w:t xml:space="preserve"> severe AEs, occurr</w:t>
      </w:r>
      <w:r>
        <w:rPr>
          <w:lang w:eastAsia="ja-JP"/>
        </w:rPr>
        <w:t xml:space="preserve">ing in 2 or more patients, were </w:t>
      </w:r>
      <w:r w:rsidRPr="006F2957">
        <w:rPr>
          <w:lang w:eastAsia="ja-JP"/>
        </w:rPr>
        <w:t>PH (3 patients; 8.3%) and PAH and device related infection (both in 2 patients each; 5.6%)</w:t>
      </w:r>
      <w:r>
        <w:rPr>
          <w:lang w:eastAsia="ja-JP"/>
        </w:rPr>
        <w:t>.</w:t>
      </w:r>
    </w:p>
    <w:p w14:paraId="6D3E92CD" w14:textId="23E3E016" w:rsidR="00EA7ACF" w:rsidRPr="00EA7ACF" w:rsidRDefault="00EA7ACF" w:rsidP="00EA7ACF">
      <w:pPr>
        <w:pStyle w:val="Heading6"/>
      </w:pPr>
      <w:r w:rsidRPr="00EA7ACF">
        <w:t xml:space="preserve">FUTURE-4 </w:t>
      </w:r>
      <w:r w:rsidR="004E7A99">
        <w:t>e</w:t>
      </w:r>
      <w:r w:rsidR="004E7A99" w:rsidRPr="00EA7ACF">
        <w:t>xtension</w:t>
      </w:r>
      <w:r w:rsidR="004E7A99">
        <w:t xml:space="preserve"> study</w:t>
      </w:r>
    </w:p>
    <w:p w14:paraId="1492C48D" w14:textId="77777777" w:rsidR="00EA7ACF" w:rsidRPr="00A9100B" w:rsidRDefault="00EA7ACF" w:rsidP="00EA7ACF">
      <w:pPr>
        <w:rPr>
          <w:lang w:eastAsia="ja-JP"/>
        </w:rPr>
      </w:pPr>
      <w:r>
        <w:rPr>
          <w:lang w:eastAsia="ja-JP"/>
        </w:rPr>
        <w:t xml:space="preserve">As described </w:t>
      </w:r>
      <w:r w:rsidRPr="00A2508E">
        <w:rPr>
          <w:lang w:eastAsia="ja-JP"/>
        </w:rPr>
        <w:t>above,</w:t>
      </w:r>
      <w:r>
        <w:rPr>
          <w:lang w:eastAsia="ja-JP"/>
        </w:rPr>
        <w:t xml:space="preserve"> a</w:t>
      </w:r>
      <w:r w:rsidRPr="008E3071">
        <w:rPr>
          <w:lang w:eastAsia="ja-JP"/>
        </w:rPr>
        <w:t xml:space="preserve"> total of 8 subjects (4</w:t>
      </w:r>
      <w:r>
        <w:rPr>
          <w:lang w:eastAsia="ja-JP"/>
        </w:rPr>
        <w:t xml:space="preserve"> in the </w:t>
      </w:r>
      <w:r w:rsidRPr="008E3071">
        <w:rPr>
          <w:lang w:eastAsia="ja-JP"/>
        </w:rPr>
        <w:t>ex-bosentan and ex-plac</w:t>
      </w:r>
      <w:r>
        <w:rPr>
          <w:lang w:eastAsia="ja-JP"/>
        </w:rPr>
        <w:t xml:space="preserve">ebo) experienced AEs during the </w:t>
      </w:r>
      <w:r w:rsidR="00A2508E">
        <w:rPr>
          <w:lang w:eastAsia="ja-JP"/>
        </w:rPr>
        <w:t>12 month</w:t>
      </w:r>
      <w:r w:rsidRPr="008E3071">
        <w:rPr>
          <w:lang w:eastAsia="ja-JP"/>
        </w:rPr>
        <w:t xml:space="preserve"> (+ 2 months) observation period</w:t>
      </w:r>
      <w:r>
        <w:rPr>
          <w:lang w:eastAsia="ja-JP"/>
        </w:rPr>
        <w:t xml:space="preserve">. </w:t>
      </w:r>
      <w:r w:rsidRPr="008E3071">
        <w:rPr>
          <w:lang w:eastAsia="ja-JP"/>
        </w:rPr>
        <w:t>Upper respiratory tract infection</w:t>
      </w:r>
      <w:r>
        <w:rPr>
          <w:lang w:eastAsia="ja-JP"/>
        </w:rPr>
        <w:t xml:space="preserve"> </w:t>
      </w:r>
      <w:r w:rsidRPr="008E3071">
        <w:rPr>
          <w:lang w:eastAsia="ja-JP"/>
        </w:rPr>
        <w:t xml:space="preserve">was reported in </w:t>
      </w:r>
      <w:r>
        <w:rPr>
          <w:lang w:eastAsia="ja-JP"/>
        </w:rPr>
        <w:t>two</w:t>
      </w:r>
      <w:r w:rsidRPr="008E3071">
        <w:rPr>
          <w:lang w:eastAsia="ja-JP"/>
        </w:rPr>
        <w:t xml:space="preserve"> subjects. </w:t>
      </w:r>
      <w:r>
        <w:rPr>
          <w:lang w:eastAsia="ja-JP"/>
        </w:rPr>
        <w:t>One</w:t>
      </w:r>
      <w:r w:rsidRPr="008E3071">
        <w:rPr>
          <w:lang w:eastAsia="ja-JP"/>
        </w:rPr>
        <w:t xml:space="preserve"> of these subjects also experien</w:t>
      </w:r>
      <w:r>
        <w:rPr>
          <w:lang w:eastAsia="ja-JP"/>
        </w:rPr>
        <w:t xml:space="preserve">ced urinary tract infection and </w:t>
      </w:r>
      <w:r w:rsidRPr="008E3071">
        <w:rPr>
          <w:lang w:eastAsia="ja-JP"/>
        </w:rPr>
        <w:t>an</w:t>
      </w:r>
      <w:r>
        <w:rPr>
          <w:lang w:eastAsia="ja-JP"/>
        </w:rPr>
        <w:t>a</w:t>
      </w:r>
      <w:r w:rsidRPr="008E3071">
        <w:rPr>
          <w:lang w:eastAsia="ja-JP"/>
        </w:rPr>
        <w:t>emia. Bronchitis and ear infection was reported</w:t>
      </w:r>
      <w:r>
        <w:rPr>
          <w:lang w:eastAsia="ja-JP"/>
        </w:rPr>
        <w:t xml:space="preserve"> in one subject</w:t>
      </w:r>
      <w:r w:rsidRPr="008E3071">
        <w:rPr>
          <w:lang w:eastAsia="ja-JP"/>
        </w:rPr>
        <w:t xml:space="preserve"> each.</w:t>
      </w:r>
    </w:p>
    <w:p w14:paraId="5D8B1549" w14:textId="77777777" w:rsidR="00EA7ACF" w:rsidRPr="00EA7ACF" w:rsidRDefault="00EA7ACF" w:rsidP="00EA7ACF">
      <w:pPr>
        <w:pStyle w:val="Heading5"/>
      </w:pPr>
      <w:r w:rsidRPr="00EA7ACF">
        <w:t>Other studies</w:t>
      </w:r>
    </w:p>
    <w:p w14:paraId="3BBC76F9" w14:textId="77777777" w:rsidR="00EA7ACF" w:rsidRPr="00EA7ACF" w:rsidRDefault="00A2508E" w:rsidP="00EA7ACF">
      <w:pPr>
        <w:pStyle w:val="Heading6"/>
      </w:pPr>
      <w:r>
        <w:t xml:space="preserve">Study </w:t>
      </w:r>
      <w:r w:rsidR="00EA7ACF" w:rsidRPr="00EA7ACF">
        <w:t>AC-052-116</w:t>
      </w:r>
    </w:p>
    <w:p w14:paraId="482D060C" w14:textId="77777777" w:rsidR="007C6D8D" w:rsidRDefault="00EA7ACF" w:rsidP="00EA7ACF">
      <w:pPr>
        <w:rPr>
          <w:lang w:eastAsia="ja-JP"/>
        </w:rPr>
      </w:pPr>
      <w:r>
        <w:rPr>
          <w:lang w:eastAsia="ja-JP"/>
        </w:rPr>
        <w:t xml:space="preserve">During this </w:t>
      </w:r>
      <w:r w:rsidR="0066478A">
        <w:rPr>
          <w:lang w:eastAsia="ja-JP"/>
        </w:rPr>
        <w:t>study</w:t>
      </w:r>
      <w:r>
        <w:rPr>
          <w:lang w:eastAsia="ja-JP"/>
        </w:rPr>
        <w:t xml:space="preserve"> in healthy adult subjects, each subject received a single oral dose of 62.</w:t>
      </w:r>
      <w:r w:rsidR="007C6D8D">
        <w:rPr>
          <w:lang w:eastAsia="ja-JP"/>
        </w:rPr>
        <w:t>5 mg</w:t>
      </w:r>
      <w:r>
        <w:rPr>
          <w:lang w:eastAsia="ja-JP"/>
        </w:rPr>
        <w:t xml:space="preserve"> bosentan or a single oral dose of 64 mg bosentan. During the </w:t>
      </w:r>
      <w:r w:rsidR="0066478A">
        <w:rPr>
          <w:lang w:eastAsia="ja-JP"/>
        </w:rPr>
        <w:t>study</w:t>
      </w:r>
      <w:r>
        <w:rPr>
          <w:lang w:eastAsia="ja-JP"/>
        </w:rPr>
        <w:t xml:space="preserve"> two subjects reported a total of three adverse events and all were reported after treatment with the paediatric formulation</w:t>
      </w:r>
      <w:r w:rsidR="007C6D8D">
        <w:rPr>
          <w:lang w:eastAsia="ja-JP"/>
        </w:rPr>
        <w:t>.</w:t>
      </w:r>
    </w:p>
    <w:p w14:paraId="024DE12A" w14:textId="1B6D17D6" w:rsidR="00EA7ACF" w:rsidRPr="00EA7ACF" w:rsidRDefault="00A2508E" w:rsidP="00EA7ACF">
      <w:pPr>
        <w:pStyle w:val="Heading6"/>
      </w:pPr>
      <w:r>
        <w:t xml:space="preserve">Study </w:t>
      </w:r>
      <w:r w:rsidR="00EA7ACF" w:rsidRPr="00EA7ACF">
        <w:t xml:space="preserve">AC-052-365 </w:t>
      </w:r>
      <w:r w:rsidR="004E7A99">
        <w:t>(</w:t>
      </w:r>
      <w:r w:rsidR="00EA7ACF" w:rsidRPr="00EA7ACF">
        <w:t>FUTURE-1</w:t>
      </w:r>
      <w:r w:rsidR="004E7A99">
        <w:t>)</w:t>
      </w:r>
    </w:p>
    <w:p w14:paraId="00C3C3D4" w14:textId="77777777" w:rsidR="007C6D8D" w:rsidRDefault="00EA7ACF" w:rsidP="00EA7ACF">
      <w:pPr>
        <w:rPr>
          <w:lang w:eastAsia="ja-JP"/>
        </w:rPr>
      </w:pPr>
      <w:r w:rsidRPr="00F465D3">
        <w:rPr>
          <w:lang w:eastAsia="ja-JP"/>
        </w:rPr>
        <w:t xml:space="preserve">Twenty-two patients (61.1%) experienced at least one </w:t>
      </w:r>
      <w:r w:rsidRPr="00F27B3B">
        <w:rPr>
          <w:lang w:eastAsia="ja-JP"/>
        </w:rPr>
        <w:t>AE (</w:t>
      </w:r>
      <w:r w:rsidR="00F27B3B" w:rsidRPr="00F27B3B">
        <w:rPr>
          <w:lang w:eastAsia="ja-JP"/>
        </w:rPr>
        <w:t>Table 61</w:t>
      </w:r>
      <w:r w:rsidRPr="00F27B3B">
        <w:rPr>
          <w:lang w:eastAsia="ja-JP"/>
        </w:rPr>
        <w:t>). The most</w:t>
      </w:r>
      <w:r w:rsidRPr="00CE5808">
        <w:rPr>
          <w:lang w:eastAsia="ja-JP"/>
        </w:rPr>
        <w:t xml:space="preserve"> frequent AEs were abdominal pain (</w:t>
      </w:r>
      <w:r>
        <w:rPr>
          <w:lang w:eastAsia="ja-JP"/>
        </w:rPr>
        <w:t xml:space="preserve">11%) and vomiting </w:t>
      </w:r>
      <w:r w:rsidRPr="00CE5808">
        <w:rPr>
          <w:lang w:eastAsia="ja-JP"/>
        </w:rPr>
        <w:t>(8.3%). Most AEs were of mild or moderate intensity. Thirty-one AEs in</w:t>
      </w:r>
      <w:r>
        <w:rPr>
          <w:lang w:eastAsia="ja-JP"/>
        </w:rPr>
        <w:t xml:space="preserve"> </w:t>
      </w:r>
      <w:r w:rsidRPr="00CE5808">
        <w:rPr>
          <w:lang w:eastAsia="ja-JP"/>
        </w:rPr>
        <w:t>13 patients were considered possibly related to bosentan</w:t>
      </w:r>
      <w:r w:rsidR="007C6D8D">
        <w:rPr>
          <w:lang w:eastAsia="ja-JP"/>
        </w:rPr>
        <w:t>.</w:t>
      </w:r>
    </w:p>
    <w:p w14:paraId="713C5F00" w14:textId="77777777" w:rsidR="00EA7ACF" w:rsidRDefault="00EA7ACF" w:rsidP="00EA7ACF">
      <w:pPr>
        <w:pStyle w:val="Tabletitle"/>
        <w:rPr>
          <w:lang w:eastAsia="ja-JP"/>
        </w:rPr>
      </w:pPr>
      <w:bookmarkStart w:id="374" w:name="_Ref464821160"/>
      <w:bookmarkStart w:id="375" w:name="_Toc473884105"/>
      <w:r w:rsidRPr="00F27B3B">
        <w:lastRenderedPageBreak/>
        <w:t xml:space="preserve">Table </w:t>
      </w:r>
      <w:bookmarkEnd w:id="374"/>
      <w:r w:rsidR="00F27B3B" w:rsidRPr="00F27B3B">
        <w:t>61</w:t>
      </w:r>
      <w:r w:rsidR="00F27B3B">
        <w:t>:</w:t>
      </w:r>
      <w:r w:rsidRPr="00F27B3B">
        <w:t xml:space="preserve"> FUTURE</w:t>
      </w:r>
      <w:r>
        <w:t>-1 AE summary</w:t>
      </w:r>
      <w:bookmarkEnd w:id="375"/>
    </w:p>
    <w:p w14:paraId="341582AC" w14:textId="77777777" w:rsidR="00EA7ACF" w:rsidRDefault="00EA7ACF" w:rsidP="00287323">
      <w:pPr>
        <w:rPr>
          <w:noProof/>
          <w:lang w:eastAsia="en-AU"/>
        </w:rPr>
      </w:pPr>
      <w:r>
        <w:rPr>
          <w:noProof/>
          <w:lang w:eastAsia="en-AU"/>
        </w:rPr>
        <w:drawing>
          <wp:inline distT="0" distB="0" distL="0" distR="0" wp14:anchorId="09C28508" wp14:editId="06763523">
            <wp:extent cx="4871923" cy="1192606"/>
            <wp:effectExtent l="0" t="0" r="5080" b="7620"/>
            <wp:docPr id="88" name="Picture 88" descr="Table 61: FUTURE-1 AE sum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4871923" cy="1192606"/>
                    </a:xfrm>
                    <a:prstGeom prst="rect">
                      <a:avLst/>
                    </a:prstGeom>
                  </pic:spPr>
                </pic:pic>
              </a:graphicData>
            </a:graphic>
          </wp:inline>
        </w:drawing>
      </w:r>
    </w:p>
    <w:p w14:paraId="3842DB13" w14:textId="77777777" w:rsidR="00EA7ACF" w:rsidRPr="00093207" w:rsidRDefault="00EA7ACF" w:rsidP="00093207">
      <w:pPr>
        <w:pStyle w:val="Heading4"/>
      </w:pPr>
      <w:r w:rsidRPr="00093207">
        <w:t>Treatment related adverse events (adverse drug reactions)</w:t>
      </w:r>
    </w:p>
    <w:p w14:paraId="77DB3287" w14:textId="77777777" w:rsidR="00EA7ACF" w:rsidRPr="00EA7ACF" w:rsidRDefault="00EA7ACF" w:rsidP="00EA7ACF">
      <w:pPr>
        <w:pStyle w:val="Heading5"/>
      </w:pPr>
      <w:r w:rsidRPr="00EA7ACF">
        <w:t>Integrated safety analyses</w:t>
      </w:r>
    </w:p>
    <w:p w14:paraId="2F2E61F3" w14:textId="77777777" w:rsidR="00EA7ACF" w:rsidRDefault="00F27B3B" w:rsidP="00EA7ACF">
      <w:pPr>
        <w:rPr>
          <w:lang w:eastAsia="ja-JP"/>
        </w:rPr>
      </w:pPr>
      <w:r w:rsidRPr="00F27B3B">
        <w:rPr>
          <w:lang w:eastAsia="ja-JP"/>
        </w:rPr>
        <w:t xml:space="preserve">Table 60 </w:t>
      </w:r>
      <w:r w:rsidR="00EA7ACF" w:rsidRPr="00F27B3B">
        <w:rPr>
          <w:lang w:eastAsia="ja-JP"/>
        </w:rPr>
        <w:t>shows</w:t>
      </w:r>
      <w:r w:rsidR="00EA7ACF">
        <w:rPr>
          <w:lang w:eastAsia="ja-JP"/>
        </w:rPr>
        <w:t xml:space="preserve"> 87% of patients in the integrated analysis experienced a TEAE. The analysis included a total of 491 AEs. The most commonly reported TEAEs by system organ class were infections and infestations (69%), respiratory, thoracic and mediastinal disorder (43%) and gastrointestinal disorders. The most commonly reported TEAEs were upper respiratory tract infection (25%), nasopharyngitis (17%) and pyrexia (14%).</w:t>
      </w:r>
    </w:p>
    <w:p w14:paraId="21707953" w14:textId="77777777" w:rsidR="00EA7ACF" w:rsidRPr="00A2508E" w:rsidRDefault="00EA7ACF" w:rsidP="00A2508E">
      <w:pPr>
        <w:pStyle w:val="Heading5"/>
      </w:pPr>
      <w:r w:rsidRPr="00A2508E">
        <w:t>Main/pivotal studies that assessed safety as the sole primary outcome</w:t>
      </w:r>
    </w:p>
    <w:p w14:paraId="72EB3B04" w14:textId="77777777" w:rsidR="00EA7ACF" w:rsidRDefault="00093207" w:rsidP="00EA7ACF">
      <w:pPr>
        <w:pStyle w:val="Heading6"/>
        <w:rPr>
          <w:lang w:eastAsia="ja-JP"/>
        </w:rPr>
      </w:pPr>
      <w:r>
        <w:t xml:space="preserve">Study </w:t>
      </w:r>
      <w:r w:rsidR="00EA7ACF">
        <w:rPr>
          <w:lang w:eastAsia="ja-JP"/>
        </w:rPr>
        <w:t>FUTURE-2</w:t>
      </w:r>
    </w:p>
    <w:p w14:paraId="45440ECD" w14:textId="77777777" w:rsidR="00EA7ACF" w:rsidRDefault="00EA7ACF" w:rsidP="00EA7ACF">
      <w:r>
        <w:t>TE</w:t>
      </w:r>
      <w:r w:rsidRPr="006F2957">
        <w:t>AEs and SAEs occurred in 32 patients (88.9%) and 18 patients</w:t>
      </w:r>
      <w:r>
        <w:t xml:space="preserve"> </w:t>
      </w:r>
      <w:r w:rsidRPr="006F2957">
        <w:t>(50.0%), respectively.</w:t>
      </w:r>
      <w:r>
        <w:t xml:space="preserve"> </w:t>
      </w:r>
      <w:r w:rsidRPr="006F2957">
        <w:t>Overall, the most frequently reported AEs were abdo</w:t>
      </w:r>
      <w:r>
        <w:t xml:space="preserve">minal pain and nasopharyngitis, </w:t>
      </w:r>
      <w:r w:rsidRPr="006F2957">
        <w:t>which were observed in 19.4% of patients each, followed by PAH and pulmonary</w:t>
      </w:r>
      <w:r>
        <w:t xml:space="preserve"> </w:t>
      </w:r>
      <w:r w:rsidRPr="006F2957">
        <w:t xml:space="preserve">hypertension in 16.7% of patients </w:t>
      </w:r>
      <w:r w:rsidRPr="00F27B3B">
        <w:t>each (</w:t>
      </w:r>
      <w:r w:rsidR="00F27B3B" w:rsidRPr="00F27B3B">
        <w:t>Table</w:t>
      </w:r>
      <w:r w:rsidR="00F27B3B">
        <w:t xml:space="preserve"> 62</w:t>
      </w:r>
      <w:r>
        <w:t>)</w:t>
      </w:r>
      <w:r w:rsidRPr="006F2957">
        <w:t>. AEs were most frequently classified as</w:t>
      </w:r>
      <w:r>
        <w:t xml:space="preserve"> </w:t>
      </w:r>
      <w:r w:rsidRPr="006F2957">
        <w:t>Infections and infestations, which occurred in almost two thirds of patients (63.9%), and</w:t>
      </w:r>
      <w:r>
        <w:t xml:space="preserve"> </w:t>
      </w:r>
      <w:r w:rsidRPr="006F2957">
        <w:t>Respiratory, thoracic and mediastinal disorders, which occurred in 58.3% of patients.</w:t>
      </w:r>
    </w:p>
    <w:p w14:paraId="5EF89C2C" w14:textId="77777777" w:rsidR="00EA7ACF" w:rsidRPr="006F2957" w:rsidRDefault="009C6335" w:rsidP="00EA7ACF">
      <w:pPr>
        <w:rPr>
          <w:lang w:eastAsia="ja-JP"/>
        </w:rPr>
      </w:pPr>
      <w:r>
        <w:rPr>
          <w:lang w:eastAsia="ja-JP"/>
        </w:rPr>
        <w:t>Bosentan related</w:t>
      </w:r>
      <w:r w:rsidR="00EA7ACF" w:rsidRPr="006F2957">
        <w:rPr>
          <w:lang w:eastAsia="ja-JP"/>
        </w:rPr>
        <w:t xml:space="preserve"> </w:t>
      </w:r>
      <w:r w:rsidR="00EA7ACF">
        <w:rPr>
          <w:lang w:eastAsia="ja-JP"/>
        </w:rPr>
        <w:t>TE</w:t>
      </w:r>
      <w:r w:rsidR="00EA7ACF" w:rsidRPr="006F2957">
        <w:rPr>
          <w:lang w:eastAsia="ja-JP"/>
        </w:rPr>
        <w:t>AEs occurred in 15 (41.7%) patients.</w:t>
      </w:r>
      <w:r w:rsidR="00EA7ACF">
        <w:rPr>
          <w:lang w:eastAsia="ja-JP"/>
        </w:rPr>
        <w:t xml:space="preserve"> </w:t>
      </w:r>
      <w:r>
        <w:rPr>
          <w:lang w:eastAsia="ja-JP"/>
        </w:rPr>
        <w:t>Bosentan related</w:t>
      </w:r>
      <w:r w:rsidR="00EA7ACF" w:rsidRPr="006F2957">
        <w:rPr>
          <w:lang w:eastAsia="ja-JP"/>
        </w:rPr>
        <w:t xml:space="preserve"> AEs were most frequently classified as </w:t>
      </w:r>
      <w:r w:rsidR="00A2508E" w:rsidRPr="006F2957">
        <w:rPr>
          <w:lang w:eastAsia="ja-JP"/>
        </w:rPr>
        <w:t>gastrointestinal</w:t>
      </w:r>
      <w:r w:rsidR="00EA7ACF" w:rsidRPr="006F2957">
        <w:rPr>
          <w:lang w:eastAsia="ja-JP"/>
        </w:rPr>
        <w:t xml:space="preserve"> disorders, with</w:t>
      </w:r>
      <w:r w:rsidR="00EA7ACF">
        <w:rPr>
          <w:lang w:eastAsia="ja-JP"/>
        </w:rPr>
        <w:t xml:space="preserve"> </w:t>
      </w:r>
      <w:r w:rsidR="00EA7ACF" w:rsidRPr="006F2957">
        <w:rPr>
          <w:lang w:eastAsia="ja-JP"/>
        </w:rPr>
        <w:t>8 (22.2%) patients experiencing at least one AE belonging to this class. The next most</w:t>
      </w:r>
      <w:r w:rsidR="00EA7ACF">
        <w:rPr>
          <w:lang w:eastAsia="ja-JP"/>
        </w:rPr>
        <w:t xml:space="preserve"> </w:t>
      </w:r>
      <w:r w:rsidR="00EA7ACF" w:rsidRPr="006F2957">
        <w:rPr>
          <w:lang w:eastAsia="ja-JP"/>
        </w:rPr>
        <w:t>frequent SOC was General disorders, with 6 (16.7%) patients experiencing at least one AE</w:t>
      </w:r>
      <w:r w:rsidR="00EA7ACF">
        <w:rPr>
          <w:lang w:eastAsia="ja-JP"/>
        </w:rPr>
        <w:t xml:space="preserve"> </w:t>
      </w:r>
      <w:r w:rsidR="00EA7ACF" w:rsidRPr="006F2957">
        <w:rPr>
          <w:lang w:eastAsia="ja-JP"/>
        </w:rPr>
        <w:t>belonging to this class.</w:t>
      </w:r>
    </w:p>
    <w:p w14:paraId="028C2BB0" w14:textId="77777777" w:rsidR="00EA7ACF" w:rsidRDefault="00EA7ACF" w:rsidP="00EA7ACF">
      <w:pPr>
        <w:rPr>
          <w:lang w:eastAsia="ja-JP"/>
        </w:rPr>
      </w:pPr>
      <w:r w:rsidRPr="006F2957">
        <w:rPr>
          <w:lang w:eastAsia="ja-JP"/>
        </w:rPr>
        <w:t xml:space="preserve">The most frequent </w:t>
      </w:r>
      <w:r>
        <w:rPr>
          <w:lang w:eastAsia="ja-JP"/>
        </w:rPr>
        <w:t>TE</w:t>
      </w:r>
      <w:r w:rsidRPr="006F2957">
        <w:rPr>
          <w:lang w:eastAsia="ja-JP"/>
        </w:rPr>
        <w:t xml:space="preserve">AEs deemed to be related to </w:t>
      </w:r>
      <w:r w:rsidR="0066478A">
        <w:rPr>
          <w:lang w:eastAsia="ja-JP"/>
        </w:rPr>
        <w:t>study</w:t>
      </w:r>
      <w:r w:rsidRPr="006F2957">
        <w:rPr>
          <w:lang w:eastAsia="ja-JP"/>
        </w:rPr>
        <w:t xml:space="preserve"> drug and</w:t>
      </w:r>
      <w:r>
        <w:rPr>
          <w:lang w:eastAsia="ja-JP"/>
        </w:rPr>
        <w:t xml:space="preserve"> </w:t>
      </w:r>
      <w:r w:rsidR="00A2508E">
        <w:rPr>
          <w:lang w:eastAsia="ja-JP"/>
        </w:rPr>
        <w:t>occurring in more than 2 </w:t>
      </w:r>
      <w:r w:rsidRPr="006F2957">
        <w:rPr>
          <w:lang w:eastAsia="ja-JP"/>
        </w:rPr>
        <w:t>patients were abdominal pain (4 patients; 11.1%), chest pain,</w:t>
      </w:r>
      <w:r>
        <w:rPr>
          <w:lang w:eastAsia="ja-JP"/>
        </w:rPr>
        <w:t xml:space="preserve"> </w:t>
      </w:r>
      <w:r w:rsidRPr="006F2957">
        <w:rPr>
          <w:lang w:eastAsia="ja-JP"/>
        </w:rPr>
        <w:t>headache and nasal congestion (all in 3 patients each; 8.3%)</w:t>
      </w:r>
      <w:r>
        <w:rPr>
          <w:lang w:eastAsia="ja-JP"/>
        </w:rPr>
        <w:t xml:space="preserve">. Many of the </w:t>
      </w:r>
      <w:r w:rsidR="009C6335">
        <w:rPr>
          <w:lang w:eastAsia="ja-JP"/>
        </w:rPr>
        <w:t>treatment related</w:t>
      </w:r>
      <w:r w:rsidRPr="006F2957">
        <w:rPr>
          <w:lang w:eastAsia="ja-JP"/>
        </w:rPr>
        <w:t xml:space="preserve"> AEs have been previously observed with bosentan treatment in children,</w:t>
      </w:r>
      <w:r>
        <w:rPr>
          <w:lang w:eastAsia="ja-JP"/>
        </w:rPr>
        <w:t xml:space="preserve"> </w:t>
      </w:r>
      <w:r w:rsidR="007C6D8D">
        <w:rPr>
          <w:lang w:eastAsia="ja-JP"/>
        </w:rPr>
        <w:t>for example</w:t>
      </w:r>
      <w:r w:rsidRPr="006F2957">
        <w:rPr>
          <w:lang w:eastAsia="ja-JP"/>
        </w:rPr>
        <w:t xml:space="preserve"> headache (in 3 patients; 8.3%), flushing (in 2 patients; 5.6%), ALT or AST increases,</w:t>
      </w:r>
      <w:r>
        <w:rPr>
          <w:lang w:eastAsia="ja-JP"/>
        </w:rPr>
        <w:t xml:space="preserve"> </w:t>
      </w:r>
      <w:r w:rsidRPr="006F2957">
        <w:rPr>
          <w:lang w:eastAsia="ja-JP"/>
        </w:rPr>
        <w:t>face oedema and decreased haemoglobin or haematocrit (</w:t>
      </w:r>
      <w:r>
        <w:rPr>
          <w:lang w:eastAsia="ja-JP"/>
        </w:rPr>
        <w:t>all in one patient each; 2.8%)</w:t>
      </w:r>
      <w:r w:rsidRPr="006F2957">
        <w:rPr>
          <w:lang w:eastAsia="ja-JP"/>
        </w:rPr>
        <w:t>. One patient had a prolongation of the QRS complex in the ECG. One</w:t>
      </w:r>
      <w:r>
        <w:rPr>
          <w:lang w:eastAsia="ja-JP"/>
        </w:rPr>
        <w:t xml:space="preserve"> </w:t>
      </w:r>
      <w:r w:rsidR="009C6335">
        <w:rPr>
          <w:lang w:eastAsia="ja-JP"/>
        </w:rPr>
        <w:t>bosentan related</w:t>
      </w:r>
      <w:r w:rsidRPr="006F2957">
        <w:rPr>
          <w:lang w:eastAsia="ja-JP"/>
        </w:rPr>
        <w:t xml:space="preserve"> AE of autoimmune hepatitis was reported as both serious and severe.</w:t>
      </w:r>
    </w:p>
    <w:p w14:paraId="5674C166" w14:textId="77777777" w:rsidR="00EA7ACF" w:rsidRDefault="00F27B3B" w:rsidP="00EA7ACF">
      <w:pPr>
        <w:pStyle w:val="Tabletitle"/>
      </w:pPr>
      <w:bookmarkStart w:id="376" w:name="_Toc473884106"/>
      <w:r>
        <w:lastRenderedPageBreak/>
        <w:t xml:space="preserve">Table 62: </w:t>
      </w:r>
      <w:r w:rsidR="00EA7ACF">
        <w:t xml:space="preserve">FUTURE-2 Summary of TEAEs occurring in more than one patient up to 1 day after permanent discontinuation of </w:t>
      </w:r>
      <w:r w:rsidR="0066478A">
        <w:t>study</w:t>
      </w:r>
      <w:r w:rsidR="00A2508E">
        <w:t xml:space="preserve"> by frequency;</w:t>
      </w:r>
      <w:r w:rsidR="00EA7ACF">
        <w:t xml:space="preserve"> all treated set</w:t>
      </w:r>
      <w:bookmarkEnd w:id="376"/>
    </w:p>
    <w:p w14:paraId="582C4451" w14:textId="77777777" w:rsidR="00EA7ACF" w:rsidRDefault="00143A39" w:rsidP="00287323">
      <w:pPr>
        <w:rPr>
          <w:noProof/>
          <w:lang w:eastAsia="en-AU"/>
        </w:rPr>
      </w:pPr>
      <w:r>
        <w:rPr>
          <w:noProof/>
          <w:lang w:eastAsia="en-AU"/>
        </w:rPr>
        <w:drawing>
          <wp:inline distT="0" distB="0" distL="0" distR="0" wp14:anchorId="7FE14026" wp14:editId="7F66FA19">
            <wp:extent cx="5095875" cy="7181850"/>
            <wp:effectExtent l="0" t="0" r="9525" b="0"/>
            <wp:docPr id="89" name="Picture 89" descr="Table 62: FUTURE-2 Summary of TEAEs occurring in more than one patient up to 1 day after permanent discontinuation of study by frequency; all 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095875" cy="7181850"/>
                    </a:xfrm>
                    <a:prstGeom prst="rect">
                      <a:avLst/>
                    </a:prstGeom>
                  </pic:spPr>
                </pic:pic>
              </a:graphicData>
            </a:graphic>
          </wp:inline>
        </w:drawing>
      </w:r>
    </w:p>
    <w:p w14:paraId="3545B53D" w14:textId="77777777" w:rsidR="00143A39" w:rsidRPr="00143A39" w:rsidRDefault="00143A39" w:rsidP="004E5DCA">
      <w:pPr>
        <w:pStyle w:val="Heading5"/>
        <w:numPr>
          <w:ilvl w:val="3"/>
          <w:numId w:val="29"/>
        </w:numPr>
      </w:pPr>
      <w:r w:rsidRPr="00143A39">
        <w:t>Pivotal and/or main efficacy studies</w:t>
      </w:r>
    </w:p>
    <w:p w14:paraId="4E46A885" w14:textId="78188395" w:rsidR="00143A39" w:rsidRPr="00143A39" w:rsidRDefault="00143A39" w:rsidP="00143A39">
      <w:pPr>
        <w:pStyle w:val="Heading6"/>
      </w:pPr>
      <w:r w:rsidRPr="00143A39">
        <w:t>FUTURE-4</w:t>
      </w:r>
      <w:r w:rsidR="004E7A99">
        <w:t xml:space="preserve"> study</w:t>
      </w:r>
    </w:p>
    <w:p w14:paraId="07BBDB79" w14:textId="77777777" w:rsidR="00143A39" w:rsidRDefault="00143A39" w:rsidP="00143A39">
      <w:pPr>
        <w:rPr>
          <w:lang w:eastAsia="ja-JP"/>
        </w:rPr>
      </w:pPr>
      <w:r>
        <w:rPr>
          <w:lang w:eastAsia="ja-JP"/>
        </w:rPr>
        <w:t>TE</w:t>
      </w:r>
      <w:r w:rsidRPr="00A9100B">
        <w:rPr>
          <w:lang w:eastAsia="ja-JP"/>
        </w:rPr>
        <w:t>AEs were reported for 10 (76.9%) patients on bosentan compared to</w:t>
      </w:r>
      <w:r>
        <w:rPr>
          <w:lang w:eastAsia="ja-JP"/>
        </w:rPr>
        <w:t xml:space="preserve"> </w:t>
      </w:r>
      <w:r w:rsidRPr="00A9100B">
        <w:rPr>
          <w:lang w:eastAsia="ja-JP"/>
        </w:rPr>
        <w:t>4 (50.0%) patients on placebo</w:t>
      </w:r>
      <w:r>
        <w:rPr>
          <w:lang w:eastAsia="ja-JP"/>
        </w:rPr>
        <w:t xml:space="preserve">. </w:t>
      </w:r>
      <w:r w:rsidRPr="00A9100B">
        <w:rPr>
          <w:lang w:eastAsia="ja-JP"/>
        </w:rPr>
        <w:t>Anaemia (3 patients bosentan 23.1%, 1 patient placebo</w:t>
      </w:r>
      <w:r>
        <w:rPr>
          <w:lang w:eastAsia="ja-JP"/>
        </w:rPr>
        <w:t xml:space="preserve"> 12.5%) was the most frequently </w:t>
      </w:r>
      <w:r w:rsidRPr="00A9100B">
        <w:rPr>
          <w:lang w:eastAsia="ja-JP"/>
        </w:rPr>
        <w:t>reported AE.</w:t>
      </w:r>
      <w:r>
        <w:rPr>
          <w:lang w:eastAsia="ja-JP"/>
        </w:rPr>
        <w:t xml:space="preserve"> Unspecified reactive hepatitis</w:t>
      </w:r>
      <w:r w:rsidRPr="00A9100B">
        <w:rPr>
          <w:lang w:eastAsia="ja-JP"/>
        </w:rPr>
        <w:t xml:space="preserve"> was reported in one </w:t>
      </w:r>
      <w:r w:rsidR="00A5161C">
        <w:rPr>
          <w:lang w:eastAsia="ja-JP"/>
        </w:rPr>
        <w:t>bosentan treated</w:t>
      </w:r>
      <w:r w:rsidRPr="00A9100B">
        <w:rPr>
          <w:lang w:eastAsia="ja-JP"/>
        </w:rPr>
        <w:t xml:space="preserve"> </w:t>
      </w:r>
      <w:r w:rsidRPr="00A9100B">
        <w:rPr>
          <w:lang w:eastAsia="ja-JP"/>
        </w:rPr>
        <w:lastRenderedPageBreak/>
        <w:t>patient 3 days after EOT; (ALT and AST</w:t>
      </w:r>
      <w:r>
        <w:rPr>
          <w:lang w:eastAsia="ja-JP"/>
        </w:rPr>
        <w:t xml:space="preserve"> </w:t>
      </w:r>
      <w:r w:rsidRPr="00A9100B">
        <w:rPr>
          <w:lang w:eastAsia="ja-JP"/>
        </w:rPr>
        <w:t>remained &lt; 2</w:t>
      </w:r>
      <w:r w:rsidR="00CF6063">
        <w:rPr>
          <w:lang w:eastAsia="ja-JP"/>
        </w:rPr>
        <w:t xml:space="preserve"> x </w:t>
      </w:r>
      <w:r w:rsidRPr="00A9100B">
        <w:rPr>
          <w:lang w:eastAsia="ja-JP"/>
        </w:rPr>
        <w:t xml:space="preserve">ULN). A second case of neonatal hepatitis in a </w:t>
      </w:r>
      <w:r w:rsidR="00A5161C">
        <w:rPr>
          <w:lang w:eastAsia="ja-JP"/>
        </w:rPr>
        <w:t>bosentan treated</w:t>
      </w:r>
      <w:r w:rsidRPr="00A9100B">
        <w:rPr>
          <w:lang w:eastAsia="ja-JP"/>
        </w:rPr>
        <w:t xml:space="preserve"> patient</w:t>
      </w:r>
      <w:r>
        <w:rPr>
          <w:lang w:eastAsia="ja-JP"/>
        </w:rPr>
        <w:t xml:space="preserve"> </w:t>
      </w:r>
      <w:r w:rsidRPr="00A9100B">
        <w:rPr>
          <w:lang w:eastAsia="ja-JP"/>
        </w:rPr>
        <w:t>was reported during the follow-up period, 8 days after EOT</w:t>
      </w:r>
      <w:r>
        <w:rPr>
          <w:lang w:eastAsia="ja-JP"/>
        </w:rPr>
        <w:t xml:space="preserve">. </w:t>
      </w:r>
      <w:r w:rsidRPr="00A9100B">
        <w:rPr>
          <w:lang w:eastAsia="ja-JP"/>
        </w:rPr>
        <w:t>Generalised oedema was reported in 3 patients on bos</w:t>
      </w:r>
      <w:r>
        <w:rPr>
          <w:lang w:eastAsia="ja-JP"/>
        </w:rPr>
        <w:t xml:space="preserve">entan, all of whom had received </w:t>
      </w:r>
      <w:r w:rsidRPr="00A9100B">
        <w:rPr>
          <w:lang w:eastAsia="ja-JP"/>
        </w:rPr>
        <w:t>mult</w:t>
      </w:r>
      <w:r>
        <w:rPr>
          <w:lang w:eastAsia="ja-JP"/>
        </w:rPr>
        <w:t>iple plasma expanders/</w:t>
      </w:r>
      <w:r w:rsidR="00A5161C">
        <w:rPr>
          <w:lang w:eastAsia="ja-JP"/>
        </w:rPr>
        <w:t>IV</w:t>
      </w:r>
      <w:r w:rsidR="00A2508E">
        <w:rPr>
          <w:lang w:eastAsia="ja-JP"/>
        </w:rPr>
        <w:t xml:space="preserve"> </w:t>
      </w:r>
      <w:r w:rsidRPr="00A9100B">
        <w:rPr>
          <w:lang w:eastAsia="ja-JP"/>
        </w:rPr>
        <w:t>fluid supplementation on days preceding the event onset.</w:t>
      </w:r>
      <w:r>
        <w:rPr>
          <w:lang w:eastAsia="ja-JP"/>
        </w:rPr>
        <w:t xml:space="preserve"> </w:t>
      </w:r>
      <w:r w:rsidRPr="00A9100B">
        <w:rPr>
          <w:lang w:eastAsia="ja-JP"/>
        </w:rPr>
        <w:t>The majority of AEs were of mild or moderate intensity</w:t>
      </w:r>
      <w:r>
        <w:rPr>
          <w:lang w:eastAsia="ja-JP"/>
        </w:rPr>
        <w:t>.</w:t>
      </w:r>
    </w:p>
    <w:p w14:paraId="4CDF6CAD" w14:textId="77777777" w:rsidR="00143A39" w:rsidRPr="00A9100B" w:rsidRDefault="00F27B3B" w:rsidP="00143A39">
      <w:pPr>
        <w:pStyle w:val="Tabletitle"/>
      </w:pPr>
      <w:bookmarkStart w:id="377" w:name="_Toc473884107"/>
      <w:r>
        <w:t xml:space="preserve">Table 63: </w:t>
      </w:r>
      <w:r w:rsidR="00143A39">
        <w:t xml:space="preserve">FUTURE-4 </w:t>
      </w:r>
      <w:r w:rsidR="00143A39" w:rsidRPr="00A9100B">
        <w:t xml:space="preserve">Summary of </w:t>
      </w:r>
      <w:r w:rsidR="00143A39">
        <w:t>TEAEs</w:t>
      </w:r>
      <w:r w:rsidR="00143A39" w:rsidRPr="00A9100B">
        <w:t xml:space="preserve"> by preferred term,</w:t>
      </w:r>
      <w:r w:rsidR="00143A39">
        <w:t xml:space="preserve"> </w:t>
      </w:r>
      <w:r w:rsidR="00143A39" w:rsidRPr="00A9100B">
        <w:t>Safety analysis set</w:t>
      </w:r>
      <w:bookmarkEnd w:id="377"/>
    </w:p>
    <w:p w14:paraId="3258F9C5" w14:textId="77777777" w:rsidR="00EA7ACF" w:rsidRDefault="00143A39" w:rsidP="00287323">
      <w:pPr>
        <w:rPr>
          <w:noProof/>
          <w:lang w:eastAsia="en-AU"/>
        </w:rPr>
      </w:pPr>
      <w:r>
        <w:rPr>
          <w:noProof/>
          <w:lang w:eastAsia="en-AU"/>
        </w:rPr>
        <w:drawing>
          <wp:inline distT="0" distB="0" distL="0" distR="0" wp14:anchorId="2C957A82" wp14:editId="7D899694">
            <wp:extent cx="3467100" cy="3171825"/>
            <wp:effectExtent l="0" t="0" r="0" b="9525"/>
            <wp:docPr id="90" name="Picture 90" descr="Table 63: FUTURE-4 Summary of TEAEs by preferred term,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467100" cy="3171825"/>
                    </a:xfrm>
                    <a:prstGeom prst="rect">
                      <a:avLst/>
                    </a:prstGeom>
                  </pic:spPr>
                </pic:pic>
              </a:graphicData>
            </a:graphic>
          </wp:inline>
        </w:drawing>
      </w:r>
    </w:p>
    <w:p w14:paraId="1A72DB00" w14:textId="77777777" w:rsidR="00143A39" w:rsidRPr="00093207" w:rsidRDefault="00143A39" w:rsidP="00093207">
      <w:pPr>
        <w:pStyle w:val="Heading5"/>
      </w:pPr>
      <w:r w:rsidRPr="00093207">
        <w:t>Other studies</w:t>
      </w:r>
    </w:p>
    <w:p w14:paraId="43486013" w14:textId="77777777" w:rsidR="00143A39" w:rsidRPr="00143A39" w:rsidRDefault="00A2508E" w:rsidP="00143A39">
      <w:pPr>
        <w:pStyle w:val="Heading6"/>
      </w:pPr>
      <w:r>
        <w:t xml:space="preserve">Study </w:t>
      </w:r>
      <w:r w:rsidR="00143A39" w:rsidRPr="00143A39">
        <w:t>AC-052-116</w:t>
      </w:r>
    </w:p>
    <w:p w14:paraId="4A9A80E8" w14:textId="77777777" w:rsidR="007C6D8D" w:rsidRDefault="00143A39" w:rsidP="00143A39">
      <w:pPr>
        <w:rPr>
          <w:lang w:eastAsia="ja-JP"/>
        </w:rPr>
      </w:pPr>
      <w:r>
        <w:rPr>
          <w:lang w:eastAsia="ja-JP"/>
        </w:rPr>
        <w:t>All TEAEs were considered as ‘unrelated’</w:t>
      </w:r>
      <w:r w:rsidRPr="00DF3B8A">
        <w:rPr>
          <w:lang w:eastAsia="ja-JP"/>
        </w:rPr>
        <w:t xml:space="preserve"> to the </w:t>
      </w:r>
      <w:r w:rsidR="0066478A">
        <w:rPr>
          <w:lang w:eastAsia="ja-JP"/>
        </w:rPr>
        <w:t>study</w:t>
      </w:r>
      <w:r>
        <w:rPr>
          <w:lang w:eastAsia="ja-JP"/>
        </w:rPr>
        <w:t xml:space="preserve"> drug by the investigator. All </w:t>
      </w:r>
      <w:r w:rsidRPr="00DF3B8A">
        <w:rPr>
          <w:lang w:eastAsia="ja-JP"/>
        </w:rPr>
        <w:t>were mild</w:t>
      </w:r>
      <w:r>
        <w:rPr>
          <w:lang w:eastAsia="ja-JP"/>
        </w:rPr>
        <w:t xml:space="preserve"> (one episode of diarrhoea</w:t>
      </w:r>
      <w:r w:rsidRPr="00DF3B8A">
        <w:rPr>
          <w:lang w:eastAsia="ja-JP"/>
        </w:rPr>
        <w:t>) or moderate (two episodes of</w:t>
      </w:r>
      <w:r>
        <w:rPr>
          <w:lang w:eastAsia="ja-JP"/>
        </w:rPr>
        <w:t xml:space="preserve"> </w:t>
      </w:r>
      <w:r w:rsidRPr="00DF3B8A">
        <w:rPr>
          <w:lang w:eastAsia="ja-JP"/>
        </w:rPr>
        <w:t xml:space="preserve">headache) in intensity and resolved before the end of the </w:t>
      </w:r>
      <w:r w:rsidR="0066478A">
        <w:rPr>
          <w:lang w:eastAsia="ja-JP"/>
        </w:rPr>
        <w:t>study</w:t>
      </w:r>
      <w:r w:rsidR="007C6D8D">
        <w:rPr>
          <w:lang w:eastAsia="ja-JP"/>
        </w:rPr>
        <w:t>.</w:t>
      </w:r>
    </w:p>
    <w:p w14:paraId="2450337A" w14:textId="77777777" w:rsidR="00143A39" w:rsidRPr="00143A39" w:rsidRDefault="00A2508E" w:rsidP="00143A39">
      <w:pPr>
        <w:pStyle w:val="Heading6"/>
      </w:pPr>
      <w:r>
        <w:t xml:space="preserve">Study </w:t>
      </w:r>
      <w:r w:rsidR="00143A39" w:rsidRPr="00143A39">
        <w:t>AC-052-365 FUTURE-1</w:t>
      </w:r>
    </w:p>
    <w:p w14:paraId="33D39814" w14:textId="77777777" w:rsidR="00143A39" w:rsidRPr="00F465D3" w:rsidRDefault="00143A39" w:rsidP="00143A39">
      <w:pPr>
        <w:rPr>
          <w:lang w:eastAsia="ja-JP"/>
        </w:rPr>
      </w:pPr>
      <w:r w:rsidRPr="00F465D3">
        <w:rPr>
          <w:lang w:eastAsia="ja-JP"/>
        </w:rPr>
        <w:t xml:space="preserve">A total of 22 patients (61.1%) experienced AEs, including those unrelated to </w:t>
      </w:r>
      <w:r w:rsidR="0066478A">
        <w:rPr>
          <w:lang w:eastAsia="ja-JP"/>
        </w:rPr>
        <w:t>study</w:t>
      </w:r>
      <w:r w:rsidRPr="00F465D3">
        <w:rPr>
          <w:lang w:eastAsia="ja-JP"/>
        </w:rPr>
        <w:t xml:space="preserve"> drug.</w:t>
      </w:r>
      <w:r>
        <w:rPr>
          <w:lang w:eastAsia="ja-JP"/>
        </w:rPr>
        <w:t xml:space="preserve"> </w:t>
      </w:r>
      <w:r w:rsidRPr="00F465D3">
        <w:rPr>
          <w:lang w:eastAsia="ja-JP"/>
        </w:rPr>
        <w:t>The SOCs most frequently involved were infections and gastrointestinal disorders</w:t>
      </w:r>
      <w:r>
        <w:rPr>
          <w:lang w:eastAsia="ja-JP"/>
        </w:rPr>
        <w:t xml:space="preserve"> </w:t>
      </w:r>
      <w:r w:rsidR="00A2508E">
        <w:rPr>
          <w:lang w:eastAsia="ja-JP"/>
        </w:rPr>
        <w:t>(respectively 12 </w:t>
      </w:r>
      <w:r w:rsidRPr="00F465D3">
        <w:rPr>
          <w:lang w:eastAsia="ja-JP"/>
        </w:rPr>
        <w:t>patients, 33.3%, and 9 patients, 25%). The most common</w:t>
      </w:r>
      <w:r>
        <w:rPr>
          <w:lang w:eastAsia="ja-JP"/>
        </w:rPr>
        <w:t xml:space="preserve"> </w:t>
      </w:r>
      <w:r w:rsidR="00A2508E">
        <w:rPr>
          <w:lang w:eastAsia="ja-JP"/>
        </w:rPr>
        <w:t xml:space="preserve">individually </w:t>
      </w:r>
      <w:r w:rsidRPr="00F465D3">
        <w:rPr>
          <w:lang w:eastAsia="ja-JP"/>
        </w:rPr>
        <w:t>reported AEs overall were abdominal pain (4 patients, 11.1%) and vomiting</w:t>
      </w:r>
      <w:r>
        <w:rPr>
          <w:lang w:eastAsia="ja-JP"/>
        </w:rPr>
        <w:t xml:space="preserve"> </w:t>
      </w:r>
      <w:r w:rsidRPr="00F465D3">
        <w:rPr>
          <w:lang w:eastAsia="ja-JP"/>
        </w:rPr>
        <w:t xml:space="preserve">(3 patients, 8.3%). </w:t>
      </w:r>
      <w:r>
        <w:rPr>
          <w:lang w:eastAsia="ja-JP"/>
        </w:rPr>
        <w:t>Respiratory i</w:t>
      </w:r>
      <w:r w:rsidRPr="00F465D3">
        <w:rPr>
          <w:lang w:eastAsia="ja-JP"/>
        </w:rPr>
        <w:t>nfections were the most common</w:t>
      </w:r>
      <w:r>
        <w:rPr>
          <w:lang w:eastAsia="ja-JP"/>
        </w:rPr>
        <w:t xml:space="preserve"> </w:t>
      </w:r>
      <w:r w:rsidRPr="00F465D3">
        <w:rPr>
          <w:lang w:eastAsia="ja-JP"/>
        </w:rPr>
        <w:t>clinical diagnoses, reported in 9 patients (25.0%, of which upper respiratory infections in</w:t>
      </w:r>
      <w:r>
        <w:rPr>
          <w:lang w:eastAsia="ja-JP"/>
        </w:rPr>
        <w:t xml:space="preserve"> </w:t>
      </w:r>
      <w:r w:rsidRPr="00F465D3">
        <w:rPr>
          <w:lang w:eastAsia="ja-JP"/>
        </w:rPr>
        <w:t>7 patients, 19.4%, and lower respiratory infections, in 3 patients, 8.3%). Abdominal</w:t>
      </w:r>
      <w:r>
        <w:rPr>
          <w:lang w:eastAsia="ja-JP"/>
        </w:rPr>
        <w:t xml:space="preserve"> </w:t>
      </w:r>
      <w:r w:rsidRPr="00F465D3">
        <w:rPr>
          <w:lang w:eastAsia="ja-JP"/>
        </w:rPr>
        <w:t>pain/discomfort, nausea/vomiting, and diarrhoea occurred in 7 patients (19.4%), 3 patients</w:t>
      </w:r>
      <w:r>
        <w:rPr>
          <w:lang w:eastAsia="ja-JP"/>
        </w:rPr>
        <w:t xml:space="preserve"> </w:t>
      </w:r>
      <w:r w:rsidRPr="00F465D3">
        <w:rPr>
          <w:lang w:eastAsia="ja-JP"/>
        </w:rPr>
        <w:t>(8.3%), and 1 patient (2.8%) respectively. One patient was reported to</w:t>
      </w:r>
      <w:r>
        <w:rPr>
          <w:lang w:eastAsia="ja-JP"/>
        </w:rPr>
        <w:t xml:space="preserve"> </w:t>
      </w:r>
      <w:r w:rsidRPr="00F465D3">
        <w:rPr>
          <w:lang w:eastAsia="ja-JP"/>
        </w:rPr>
        <w:t xml:space="preserve">have an AE of aggressive behaviour, but it was considered unrelated to </w:t>
      </w:r>
      <w:r w:rsidR="0066478A">
        <w:rPr>
          <w:lang w:eastAsia="ja-JP"/>
        </w:rPr>
        <w:t>study</w:t>
      </w:r>
      <w:r w:rsidRPr="00F465D3">
        <w:rPr>
          <w:lang w:eastAsia="ja-JP"/>
        </w:rPr>
        <w:t xml:space="preserve"> treatment.</w:t>
      </w:r>
    </w:p>
    <w:p w14:paraId="577DF90D" w14:textId="77777777" w:rsidR="00143A39" w:rsidRDefault="00143A39" w:rsidP="00143A39">
      <w:pPr>
        <w:rPr>
          <w:lang w:eastAsia="ja-JP"/>
        </w:rPr>
      </w:pPr>
      <w:r w:rsidRPr="00F465D3">
        <w:rPr>
          <w:lang w:eastAsia="ja-JP"/>
        </w:rPr>
        <w:t xml:space="preserve">A total of 13 patients (36.1%) experienced </w:t>
      </w:r>
      <w:r>
        <w:rPr>
          <w:lang w:eastAsia="ja-JP"/>
        </w:rPr>
        <w:t>TE</w:t>
      </w:r>
      <w:r w:rsidRPr="00F465D3">
        <w:rPr>
          <w:lang w:eastAsia="ja-JP"/>
        </w:rPr>
        <w:t xml:space="preserve">AEs </w:t>
      </w:r>
      <w:r>
        <w:rPr>
          <w:lang w:eastAsia="ja-JP"/>
        </w:rPr>
        <w:t xml:space="preserve">related to the </w:t>
      </w:r>
      <w:r w:rsidR="0066478A">
        <w:rPr>
          <w:lang w:eastAsia="ja-JP"/>
        </w:rPr>
        <w:t>study</w:t>
      </w:r>
      <w:r w:rsidRPr="00F465D3">
        <w:rPr>
          <w:lang w:eastAsia="ja-JP"/>
        </w:rPr>
        <w:t xml:space="preserve"> drug.</w:t>
      </w:r>
      <w:r>
        <w:rPr>
          <w:lang w:eastAsia="ja-JP"/>
        </w:rPr>
        <w:t xml:space="preserve"> </w:t>
      </w:r>
      <w:r w:rsidRPr="00F465D3">
        <w:rPr>
          <w:lang w:eastAsia="ja-JP"/>
        </w:rPr>
        <w:t>The most common were gastrointestinal disorders, including abdominal pain</w:t>
      </w:r>
      <w:r>
        <w:rPr>
          <w:lang w:eastAsia="ja-JP"/>
        </w:rPr>
        <w:t xml:space="preserve"> </w:t>
      </w:r>
      <w:r w:rsidRPr="00F465D3">
        <w:rPr>
          <w:lang w:eastAsia="ja-JP"/>
        </w:rPr>
        <w:t xml:space="preserve">(4 patients, 11.1%) and upper abdominal pain (2 patients, 5.6%). Several </w:t>
      </w:r>
      <w:r w:rsidR="0066478A">
        <w:rPr>
          <w:lang w:eastAsia="ja-JP"/>
        </w:rPr>
        <w:t>study</w:t>
      </w:r>
      <w:r w:rsidRPr="00F465D3">
        <w:rPr>
          <w:lang w:eastAsia="ja-JP"/>
        </w:rPr>
        <w:t xml:space="preserve"> drug</w:t>
      </w:r>
      <w:r>
        <w:rPr>
          <w:lang w:eastAsia="ja-JP"/>
        </w:rPr>
        <w:t xml:space="preserve"> </w:t>
      </w:r>
      <w:r w:rsidRPr="00F465D3">
        <w:rPr>
          <w:lang w:eastAsia="ja-JP"/>
        </w:rPr>
        <w:t xml:space="preserve">related </w:t>
      </w:r>
      <w:r>
        <w:rPr>
          <w:lang w:eastAsia="ja-JP"/>
        </w:rPr>
        <w:t>TE</w:t>
      </w:r>
      <w:r w:rsidRPr="00F465D3">
        <w:rPr>
          <w:lang w:eastAsia="ja-JP"/>
        </w:rPr>
        <w:t>AEs were reported at a frequency of 5.6% (2 patients</w:t>
      </w:r>
      <w:r>
        <w:rPr>
          <w:lang w:eastAsia="ja-JP"/>
        </w:rPr>
        <w:t xml:space="preserve"> </w:t>
      </w:r>
      <w:r w:rsidRPr="00F465D3">
        <w:rPr>
          <w:lang w:eastAsia="ja-JP"/>
        </w:rPr>
        <w:t>each): asthenia, chest pain, flushing, headache, nasal congestion, and vomiting. In one</w:t>
      </w:r>
      <w:r>
        <w:rPr>
          <w:lang w:eastAsia="ja-JP"/>
        </w:rPr>
        <w:t xml:space="preserve"> </w:t>
      </w:r>
      <w:r w:rsidRPr="00F465D3">
        <w:rPr>
          <w:lang w:eastAsia="ja-JP"/>
        </w:rPr>
        <w:t>patient, an AE of aggressive behaviour was reported that</w:t>
      </w:r>
      <w:r>
        <w:rPr>
          <w:lang w:eastAsia="ja-JP"/>
        </w:rPr>
        <w:t xml:space="preserve"> </w:t>
      </w:r>
      <w:r w:rsidRPr="00F465D3">
        <w:rPr>
          <w:lang w:eastAsia="ja-JP"/>
        </w:rPr>
        <w:t xml:space="preserve">was considered </w:t>
      </w:r>
      <w:r w:rsidR="009C6335">
        <w:rPr>
          <w:lang w:eastAsia="ja-JP"/>
        </w:rPr>
        <w:t>treatment related</w:t>
      </w:r>
      <w:r w:rsidRPr="00F465D3">
        <w:rPr>
          <w:lang w:eastAsia="ja-JP"/>
        </w:rPr>
        <w:t>.</w:t>
      </w:r>
    </w:p>
    <w:p w14:paraId="16C853FF" w14:textId="494F754C" w:rsidR="00143A39" w:rsidRPr="00143A39" w:rsidRDefault="00A2508E" w:rsidP="00143A39">
      <w:pPr>
        <w:pStyle w:val="Heading6"/>
      </w:pPr>
      <w:r>
        <w:lastRenderedPageBreak/>
        <w:t xml:space="preserve">Study </w:t>
      </w:r>
      <w:r w:rsidR="00143A39" w:rsidRPr="00143A39">
        <w:t xml:space="preserve">AC-052-373 </w:t>
      </w:r>
      <w:r w:rsidR="00291728">
        <w:t>(</w:t>
      </w:r>
      <w:r w:rsidR="00143A39" w:rsidRPr="00143A39">
        <w:t>FUTURE-3</w:t>
      </w:r>
      <w:r w:rsidR="00291728">
        <w:t>)</w:t>
      </w:r>
    </w:p>
    <w:p w14:paraId="1E4B232C" w14:textId="77777777" w:rsidR="00143A39" w:rsidRPr="00BD4636" w:rsidRDefault="00143A39" w:rsidP="00143A39">
      <w:pPr>
        <w:rPr>
          <w:lang w:eastAsia="ja-JP"/>
        </w:rPr>
      </w:pPr>
      <w:r w:rsidRPr="00BD4636">
        <w:rPr>
          <w:lang w:eastAsia="ja-JP"/>
        </w:rPr>
        <w:t>In the overall population, the proportions of patients who experienced at least one</w:t>
      </w:r>
      <w:r>
        <w:rPr>
          <w:lang w:eastAsia="ja-JP"/>
        </w:rPr>
        <w:t xml:space="preserve"> TEAE were similar in the </w:t>
      </w:r>
      <w:r w:rsidR="007C6D8D">
        <w:rPr>
          <w:lang w:eastAsia="ja-JP"/>
        </w:rPr>
        <w:t>BD</w:t>
      </w:r>
      <w:r>
        <w:rPr>
          <w:lang w:eastAsia="ja-JP"/>
        </w:rPr>
        <w:t xml:space="preserve"> group (66.7%) and in the </w:t>
      </w:r>
      <w:r w:rsidR="007C6D8D">
        <w:rPr>
          <w:lang w:eastAsia="ja-JP"/>
        </w:rPr>
        <w:t>TDS</w:t>
      </w:r>
      <w:r w:rsidRPr="00BD4636">
        <w:rPr>
          <w:lang w:eastAsia="ja-JP"/>
        </w:rPr>
        <w:t xml:space="preserve"> group</w:t>
      </w:r>
      <w:r>
        <w:rPr>
          <w:lang w:eastAsia="ja-JP"/>
        </w:rPr>
        <w:t xml:space="preserve"> </w:t>
      </w:r>
      <w:r w:rsidRPr="00BD4636">
        <w:rPr>
          <w:lang w:eastAsia="ja-JP"/>
        </w:rPr>
        <w:t xml:space="preserve">(67.7%). The proportions were 60% and 72.7% in the </w:t>
      </w:r>
      <w:r w:rsidR="007C6D8D">
        <w:rPr>
          <w:lang w:eastAsia="ja-JP"/>
        </w:rPr>
        <w:t>BD</w:t>
      </w:r>
      <w:r>
        <w:rPr>
          <w:lang w:eastAsia="ja-JP"/>
        </w:rPr>
        <w:t xml:space="preserve"> and </w:t>
      </w:r>
      <w:r w:rsidR="007C6D8D">
        <w:rPr>
          <w:lang w:eastAsia="ja-JP"/>
        </w:rPr>
        <w:t>TDS</w:t>
      </w:r>
      <w:r>
        <w:rPr>
          <w:lang w:eastAsia="ja-JP"/>
        </w:rPr>
        <w:t xml:space="preserve"> groups, </w:t>
      </w:r>
      <w:r w:rsidRPr="00BD4636">
        <w:rPr>
          <w:lang w:eastAsia="ja-JP"/>
        </w:rPr>
        <w:t>respectively, in patients &lt; 2 years of age;</w:t>
      </w:r>
      <w:r>
        <w:rPr>
          <w:lang w:eastAsia="ja-JP"/>
        </w:rPr>
        <w:t xml:space="preserve"> and 69.6% and 65.0% </w:t>
      </w:r>
      <w:r w:rsidRPr="00BD4636">
        <w:rPr>
          <w:lang w:eastAsia="ja-JP"/>
        </w:rPr>
        <w:t xml:space="preserve">respectively, in </w:t>
      </w:r>
      <w:r w:rsidR="007B05D8" w:rsidRPr="00BD4636">
        <w:rPr>
          <w:lang w:eastAsia="ja-JP"/>
        </w:rPr>
        <w:t>patient’s</w:t>
      </w:r>
      <w:r w:rsidRPr="00BD4636">
        <w:rPr>
          <w:lang w:eastAsia="ja-JP"/>
        </w:rPr>
        <w:t xml:space="preserve"> </w:t>
      </w:r>
      <w:r w:rsidR="007C6D8D">
        <w:rPr>
          <w:lang w:eastAsia="ja-JP"/>
        </w:rPr>
        <w:t>≥</w:t>
      </w:r>
      <w:r w:rsidR="00CF6063">
        <w:rPr>
          <w:lang w:eastAsia="ja-JP"/>
        </w:rPr>
        <w:t xml:space="preserve"> </w:t>
      </w:r>
      <w:r w:rsidRPr="00BD4636">
        <w:rPr>
          <w:lang w:eastAsia="ja-JP"/>
        </w:rPr>
        <w:t>2 years of age.</w:t>
      </w:r>
    </w:p>
    <w:p w14:paraId="4391180A" w14:textId="77777777" w:rsidR="00143A39" w:rsidRPr="00BD4636" w:rsidRDefault="00143A39" w:rsidP="00143A39">
      <w:pPr>
        <w:rPr>
          <w:lang w:eastAsia="ja-JP"/>
        </w:rPr>
      </w:pPr>
      <w:r w:rsidRPr="00BD4636">
        <w:rPr>
          <w:lang w:eastAsia="ja-JP"/>
        </w:rPr>
        <w:t>In the overall population, upper respiratory tract infection w</w:t>
      </w:r>
      <w:r>
        <w:rPr>
          <w:lang w:eastAsia="ja-JP"/>
        </w:rPr>
        <w:t xml:space="preserve">as the most frequently reported AE (18.2% </w:t>
      </w:r>
      <w:r w:rsidR="007C6D8D">
        <w:rPr>
          <w:lang w:eastAsia="ja-JP"/>
        </w:rPr>
        <w:t>BD</w:t>
      </w:r>
      <w:r>
        <w:rPr>
          <w:lang w:eastAsia="ja-JP"/>
        </w:rPr>
        <w:t xml:space="preserve">, 35.5% </w:t>
      </w:r>
      <w:r w:rsidR="007C6D8D">
        <w:rPr>
          <w:lang w:eastAsia="ja-JP"/>
        </w:rPr>
        <w:t>TDS</w:t>
      </w:r>
      <w:r w:rsidRPr="00F27B3B">
        <w:rPr>
          <w:lang w:eastAsia="ja-JP"/>
        </w:rPr>
        <w:t>)</w:t>
      </w:r>
      <w:r w:rsidR="007B05D8">
        <w:rPr>
          <w:lang w:eastAsia="ja-JP"/>
        </w:rPr>
        <w:t xml:space="preserve"> </w:t>
      </w:r>
      <w:r w:rsidRPr="00F27B3B">
        <w:rPr>
          <w:lang w:eastAsia="ja-JP"/>
        </w:rPr>
        <w:t>(</w:t>
      </w:r>
      <w:r w:rsidR="00F27B3B" w:rsidRPr="00F27B3B">
        <w:rPr>
          <w:lang w:eastAsia="ja-JP"/>
        </w:rPr>
        <w:t>Table 64</w:t>
      </w:r>
      <w:r w:rsidRPr="00F27B3B">
        <w:rPr>
          <w:lang w:eastAsia="ja-JP"/>
        </w:rPr>
        <w:t xml:space="preserve">). The </w:t>
      </w:r>
      <w:r w:rsidR="007C6D8D" w:rsidRPr="00F27B3B">
        <w:rPr>
          <w:lang w:eastAsia="ja-JP"/>
        </w:rPr>
        <w:t>sponsor</w:t>
      </w:r>
      <w:r w:rsidRPr="00F27B3B">
        <w:rPr>
          <w:lang w:eastAsia="ja-JP"/>
        </w:rPr>
        <w:t>’s</w:t>
      </w:r>
      <w:r>
        <w:rPr>
          <w:lang w:eastAsia="ja-JP"/>
        </w:rPr>
        <w:t xml:space="preserve"> analysis </w:t>
      </w:r>
      <w:r w:rsidRPr="00BD4636">
        <w:rPr>
          <w:lang w:eastAsia="ja-JP"/>
        </w:rPr>
        <w:t>grouping the PT of upper respiratory tract infection w</w:t>
      </w:r>
      <w:r>
        <w:rPr>
          <w:lang w:eastAsia="ja-JP"/>
        </w:rPr>
        <w:t xml:space="preserve">ith other PTs denoting the same </w:t>
      </w:r>
      <w:r w:rsidRPr="00BD4636">
        <w:rPr>
          <w:lang w:eastAsia="ja-JP"/>
        </w:rPr>
        <w:t xml:space="preserve">medical concept, </w:t>
      </w:r>
      <w:r>
        <w:rPr>
          <w:lang w:eastAsia="ja-JP"/>
        </w:rPr>
        <w:t xml:space="preserve">showed that, overall, patients </w:t>
      </w:r>
      <w:r w:rsidRPr="00BD4636">
        <w:rPr>
          <w:lang w:eastAsia="ja-JP"/>
        </w:rPr>
        <w:t>experienced upper respiratory tract infections at si</w:t>
      </w:r>
      <w:r>
        <w:rPr>
          <w:lang w:eastAsia="ja-JP"/>
        </w:rPr>
        <w:t xml:space="preserve">milar frequencies in the </w:t>
      </w:r>
      <w:r w:rsidR="007C6D8D">
        <w:rPr>
          <w:lang w:eastAsia="ja-JP"/>
        </w:rPr>
        <w:t>BD</w:t>
      </w:r>
      <w:r>
        <w:rPr>
          <w:lang w:eastAsia="ja-JP"/>
        </w:rPr>
        <w:t xml:space="preserve"> (12 patients, 36.4%,) and </w:t>
      </w:r>
      <w:r w:rsidR="007C6D8D">
        <w:rPr>
          <w:lang w:eastAsia="ja-JP"/>
        </w:rPr>
        <w:t>TDS</w:t>
      </w:r>
      <w:r w:rsidRPr="00BD4636">
        <w:rPr>
          <w:lang w:eastAsia="ja-JP"/>
        </w:rPr>
        <w:t xml:space="preserve"> groups (14 patients, 45.2%). Frequencies for all respiratory tract infections (including u</w:t>
      </w:r>
      <w:r>
        <w:rPr>
          <w:lang w:eastAsia="ja-JP"/>
        </w:rPr>
        <w:t xml:space="preserve">pper and lower) were similar in </w:t>
      </w:r>
      <w:r w:rsidRPr="00BD4636">
        <w:rPr>
          <w:lang w:eastAsia="ja-JP"/>
        </w:rPr>
        <w:t xml:space="preserve">the </w:t>
      </w:r>
      <w:r w:rsidR="007C6D8D">
        <w:rPr>
          <w:lang w:eastAsia="ja-JP"/>
        </w:rPr>
        <w:t>BD</w:t>
      </w:r>
      <w:r>
        <w:rPr>
          <w:lang w:eastAsia="ja-JP"/>
        </w:rPr>
        <w:t xml:space="preserve"> (15 patients, 45.5%) and </w:t>
      </w:r>
      <w:r w:rsidR="007C6D8D">
        <w:rPr>
          <w:lang w:eastAsia="ja-JP"/>
        </w:rPr>
        <w:t>TDS</w:t>
      </w:r>
      <w:r w:rsidRPr="00BD4636">
        <w:rPr>
          <w:lang w:eastAsia="ja-JP"/>
        </w:rPr>
        <w:t xml:space="preserve"> groups (6 patien</w:t>
      </w:r>
      <w:r>
        <w:rPr>
          <w:lang w:eastAsia="ja-JP"/>
        </w:rPr>
        <w:t xml:space="preserve">ts, 51.6%). AEs associated with </w:t>
      </w:r>
      <w:r w:rsidRPr="00BD4636">
        <w:rPr>
          <w:lang w:eastAsia="ja-JP"/>
        </w:rPr>
        <w:t>upper respiratory tract infections were reported in 4 (40.0%</w:t>
      </w:r>
      <w:r>
        <w:rPr>
          <w:lang w:eastAsia="ja-JP"/>
        </w:rPr>
        <w:t xml:space="preserve">) and 6 patients (54.5%) in the </w:t>
      </w:r>
      <w:r w:rsidR="007C6D8D">
        <w:rPr>
          <w:lang w:eastAsia="ja-JP"/>
        </w:rPr>
        <w:t>BD</w:t>
      </w:r>
      <w:r>
        <w:rPr>
          <w:lang w:eastAsia="ja-JP"/>
        </w:rPr>
        <w:t xml:space="preserve"> and </w:t>
      </w:r>
      <w:r w:rsidR="007C6D8D">
        <w:rPr>
          <w:lang w:eastAsia="ja-JP"/>
        </w:rPr>
        <w:t>TDS</w:t>
      </w:r>
      <w:r w:rsidRPr="00BD4636">
        <w:rPr>
          <w:lang w:eastAsia="ja-JP"/>
        </w:rPr>
        <w:t xml:space="preserve"> groups, respectively, in patients &lt; 2 years;</w:t>
      </w:r>
      <w:r>
        <w:rPr>
          <w:lang w:eastAsia="ja-JP"/>
        </w:rPr>
        <w:t xml:space="preserve"> and in 8 patients each, in the </w:t>
      </w:r>
      <w:r w:rsidR="007C6D8D">
        <w:rPr>
          <w:lang w:eastAsia="ja-JP"/>
        </w:rPr>
        <w:t>BD</w:t>
      </w:r>
      <w:r>
        <w:rPr>
          <w:lang w:eastAsia="ja-JP"/>
        </w:rPr>
        <w:t xml:space="preserve"> (34.8%) and </w:t>
      </w:r>
      <w:r w:rsidR="007C6D8D">
        <w:rPr>
          <w:lang w:eastAsia="ja-JP"/>
        </w:rPr>
        <w:t>TDS</w:t>
      </w:r>
      <w:r w:rsidRPr="00BD4636">
        <w:rPr>
          <w:lang w:eastAsia="ja-JP"/>
        </w:rPr>
        <w:t xml:space="preserve"> (40.0%) groups, respectively, in patients </w:t>
      </w:r>
      <w:r w:rsidR="007C6D8D">
        <w:rPr>
          <w:lang w:eastAsia="ja-JP"/>
        </w:rPr>
        <w:t>≥</w:t>
      </w:r>
      <w:r w:rsidR="00CF6063">
        <w:rPr>
          <w:lang w:eastAsia="ja-JP"/>
        </w:rPr>
        <w:t xml:space="preserve"> </w:t>
      </w:r>
      <w:r w:rsidRPr="00BD4636">
        <w:rPr>
          <w:lang w:eastAsia="ja-JP"/>
        </w:rPr>
        <w:t>2 years.</w:t>
      </w:r>
    </w:p>
    <w:p w14:paraId="3054154B" w14:textId="77777777" w:rsidR="00143A39" w:rsidRPr="00374BB6" w:rsidRDefault="00143A39" w:rsidP="00143A39">
      <w:pPr>
        <w:rPr>
          <w:lang w:eastAsia="ja-JP"/>
        </w:rPr>
      </w:pPr>
      <w:r w:rsidRPr="00BD4636">
        <w:rPr>
          <w:lang w:eastAsia="ja-JP"/>
        </w:rPr>
        <w:t xml:space="preserve">The incidence of GI disorders </w:t>
      </w:r>
      <w:r>
        <w:rPr>
          <w:lang w:eastAsia="ja-JP"/>
        </w:rPr>
        <w:t xml:space="preserve">was 12.1% </w:t>
      </w:r>
      <w:r w:rsidRPr="00BD4636">
        <w:rPr>
          <w:lang w:eastAsia="ja-JP"/>
        </w:rPr>
        <w:t xml:space="preserve">in the </w:t>
      </w:r>
      <w:r w:rsidR="007C6D8D">
        <w:rPr>
          <w:lang w:eastAsia="ja-JP"/>
        </w:rPr>
        <w:t>BD</w:t>
      </w:r>
      <w:r>
        <w:rPr>
          <w:lang w:eastAsia="ja-JP"/>
        </w:rPr>
        <w:t xml:space="preserve"> group (4 patients) and </w:t>
      </w:r>
      <w:r w:rsidRPr="00BD4636">
        <w:rPr>
          <w:lang w:eastAsia="ja-JP"/>
        </w:rPr>
        <w:t>25.8%</w:t>
      </w:r>
      <w:r>
        <w:rPr>
          <w:lang w:eastAsia="ja-JP"/>
        </w:rPr>
        <w:t>in the</w:t>
      </w:r>
      <w:r w:rsidRPr="00BD4636">
        <w:rPr>
          <w:lang w:eastAsia="ja-JP"/>
        </w:rPr>
        <w:t xml:space="preserve"> </w:t>
      </w:r>
      <w:r w:rsidR="007C6D8D">
        <w:rPr>
          <w:lang w:eastAsia="ja-JP"/>
        </w:rPr>
        <w:t>TDS</w:t>
      </w:r>
      <w:r w:rsidR="00A2508E">
        <w:rPr>
          <w:lang w:eastAsia="ja-JP"/>
        </w:rPr>
        <w:t> </w:t>
      </w:r>
      <w:r>
        <w:rPr>
          <w:lang w:eastAsia="ja-JP"/>
        </w:rPr>
        <w:t>group (8 patients</w:t>
      </w:r>
      <w:r w:rsidRPr="00F27B3B">
        <w:rPr>
          <w:lang w:eastAsia="ja-JP"/>
        </w:rPr>
        <w:t>) (</w:t>
      </w:r>
      <w:r w:rsidR="00F27B3B" w:rsidRPr="00F27B3B">
        <w:rPr>
          <w:lang w:eastAsia="ja-JP"/>
        </w:rPr>
        <w:t>Table 64</w:t>
      </w:r>
      <w:r w:rsidRPr="00F27B3B">
        <w:rPr>
          <w:lang w:eastAsia="ja-JP"/>
        </w:rPr>
        <w:t>). GI disorders</w:t>
      </w:r>
      <w:r w:rsidRPr="00BD4636">
        <w:rPr>
          <w:lang w:eastAsia="ja-JP"/>
        </w:rPr>
        <w:t xml:space="preserve"> were reported for 2 and 3 patients in the </w:t>
      </w:r>
      <w:r w:rsidR="007C6D8D">
        <w:rPr>
          <w:lang w:eastAsia="ja-JP"/>
        </w:rPr>
        <w:t>BD</w:t>
      </w:r>
      <w:r w:rsidRPr="00BD4636">
        <w:rPr>
          <w:lang w:eastAsia="ja-JP"/>
        </w:rPr>
        <w:t xml:space="preserve"> and </w:t>
      </w:r>
      <w:r w:rsidR="007C6D8D">
        <w:rPr>
          <w:lang w:eastAsia="ja-JP"/>
        </w:rPr>
        <w:t>TDS</w:t>
      </w:r>
      <w:r w:rsidRPr="00BD4636">
        <w:rPr>
          <w:lang w:eastAsia="ja-JP"/>
        </w:rPr>
        <w:t xml:space="preserve"> groups, respectively, in</w:t>
      </w:r>
      <w:r>
        <w:rPr>
          <w:lang w:eastAsia="ja-JP"/>
        </w:rPr>
        <w:t xml:space="preserve"> </w:t>
      </w:r>
      <w:r w:rsidRPr="00374BB6">
        <w:rPr>
          <w:lang w:eastAsia="ja-JP"/>
        </w:rPr>
        <w:t xml:space="preserve">patients &lt; 2 years, and in 2 and 5 </w:t>
      </w:r>
      <w:r>
        <w:rPr>
          <w:lang w:eastAsia="ja-JP"/>
        </w:rPr>
        <w:t xml:space="preserve">patients in the </w:t>
      </w:r>
      <w:r w:rsidR="007C6D8D">
        <w:rPr>
          <w:lang w:eastAsia="ja-JP"/>
        </w:rPr>
        <w:t>BD</w:t>
      </w:r>
      <w:r w:rsidRPr="00374BB6">
        <w:rPr>
          <w:lang w:eastAsia="ja-JP"/>
        </w:rPr>
        <w:t xml:space="preserve"> and </w:t>
      </w:r>
      <w:r w:rsidR="007C6D8D">
        <w:rPr>
          <w:lang w:eastAsia="ja-JP"/>
        </w:rPr>
        <w:t>TDS</w:t>
      </w:r>
      <w:r>
        <w:rPr>
          <w:lang w:eastAsia="ja-JP"/>
        </w:rPr>
        <w:t xml:space="preserve"> groups, respectively, in </w:t>
      </w:r>
      <w:r w:rsidRPr="00374BB6">
        <w:rPr>
          <w:lang w:eastAsia="ja-JP"/>
        </w:rPr>
        <w:t xml:space="preserve">patients </w:t>
      </w:r>
      <w:r w:rsidR="007C6D8D">
        <w:rPr>
          <w:lang w:eastAsia="ja-JP"/>
        </w:rPr>
        <w:t>≥</w:t>
      </w:r>
      <w:r w:rsidR="00CF6063">
        <w:rPr>
          <w:lang w:eastAsia="ja-JP"/>
        </w:rPr>
        <w:t xml:space="preserve"> </w:t>
      </w:r>
      <w:r>
        <w:rPr>
          <w:lang w:eastAsia="ja-JP"/>
        </w:rPr>
        <w:t>2 years of age</w:t>
      </w:r>
      <w:r w:rsidRPr="00374BB6">
        <w:rPr>
          <w:lang w:eastAsia="ja-JP"/>
        </w:rPr>
        <w:t>.</w:t>
      </w:r>
    </w:p>
    <w:p w14:paraId="24C1BA09" w14:textId="77777777" w:rsidR="007C6D8D" w:rsidRDefault="00143A39" w:rsidP="00143A39">
      <w:pPr>
        <w:rPr>
          <w:lang w:eastAsia="ja-JP"/>
        </w:rPr>
      </w:pPr>
      <w:r>
        <w:rPr>
          <w:lang w:eastAsia="ja-JP"/>
        </w:rPr>
        <w:t>Pyrexia/</w:t>
      </w:r>
      <w:r w:rsidRPr="00374BB6">
        <w:rPr>
          <w:lang w:eastAsia="ja-JP"/>
        </w:rPr>
        <w:t xml:space="preserve">increased body temperature was reported for 4 patients (12.1%) in the </w:t>
      </w:r>
      <w:r w:rsidR="007C6D8D">
        <w:rPr>
          <w:lang w:eastAsia="ja-JP"/>
        </w:rPr>
        <w:t>BD</w:t>
      </w:r>
      <w:r>
        <w:rPr>
          <w:lang w:eastAsia="ja-JP"/>
        </w:rPr>
        <w:t xml:space="preserve"> </w:t>
      </w:r>
      <w:r w:rsidRPr="00374BB6">
        <w:rPr>
          <w:lang w:eastAsia="ja-JP"/>
        </w:rPr>
        <w:t>group and fo</w:t>
      </w:r>
      <w:r>
        <w:rPr>
          <w:lang w:eastAsia="ja-JP"/>
        </w:rPr>
        <w:t xml:space="preserve">r 7 patients (22.6%) in the </w:t>
      </w:r>
      <w:r w:rsidR="007C6D8D">
        <w:rPr>
          <w:lang w:eastAsia="ja-JP"/>
        </w:rPr>
        <w:t>TDS</w:t>
      </w:r>
      <w:r w:rsidRPr="00374BB6">
        <w:rPr>
          <w:lang w:eastAsia="ja-JP"/>
        </w:rPr>
        <w:t xml:space="preserve"> group. </w:t>
      </w:r>
      <w:r>
        <w:rPr>
          <w:lang w:eastAsia="ja-JP"/>
        </w:rPr>
        <w:t>S</w:t>
      </w:r>
      <w:r w:rsidRPr="00374BB6">
        <w:rPr>
          <w:lang w:eastAsia="ja-JP"/>
        </w:rPr>
        <w:t>kin and subcutaneous tissue disorders AEs were reported for</w:t>
      </w:r>
      <w:r>
        <w:rPr>
          <w:lang w:eastAsia="ja-JP"/>
        </w:rPr>
        <w:t xml:space="preserve"> </w:t>
      </w:r>
      <w:r w:rsidRPr="00374BB6">
        <w:rPr>
          <w:lang w:eastAsia="ja-JP"/>
        </w:rPr>
        <w:t xml:space="preserve">2 patients in the </w:t>
      </w:r>
      <w:r w:rsidR="007C6D8D">
        <w:rPr>
          <w:lang w:eastAsia="ja-JP"/>
        </w:rPr>
        <w:t>BD</w:t>
      </w:r>
      <w:r w:rsidRPr="00374BB6">
        <w:rPr>
          <w:lang w:eastAsia="ja-JP"/>
        </w:rPr>
        <w:t xml:space="preserve"> group and 5 patients in the </w:t>
      </w:r>
      <w:r w:rsidR="007C6D8D">
        <w:rPr>
          <w:lang w:eastAsia="ja-JP"/>
        </w:rPr>
        <w:t>TDS</w:t>
      </w:r>
      <w:r w:rsidRPr="00374BB6">
        <w:rPr>
          <w:lang w:eastAsia="ja-JP"/>
        </w:rPr>
        <w:t xml:space="preserve"> group</w:t>
      </w:r>
      <w:r w:rsidR="007C6D8D">
        <w:rPr>
          <w:lang w:eastAsia="ja-JP"/>
        </w:rPr>
        <w:t>.</w:t>
      </w:r>
    </w:p>
    <w:p w14:paraId="370AB24D" w14:textId="5F7CD1EE" w:rsidR="00143A39" w:rsidRPr="00374BB6" w:rsidRDefault="00143A39" w:rsidP="00143A39">
      <w:pPr>
        <w:rPr>
          <w:lang w:eastAsia="ja-JP"/>
        </w:rPr>
      </w:pPr>
      <w:r>
        <w:rPr>
          <w:lang w:eastAsia="ja-JP"/>
        </w:rPr>
        <w:t xml:space="preserve">A total of 3 patients (all </w:t>
      </w:r>
      <w:r w:rsidR="007C6D8D">
        <w:rPr>
          <w:lang w:eastAsia="ja-JP"/>
        </w:rPr>
        <w:t>BD</w:t>
      </w:r>
      <w:r w:rsidRPr="00374BB6">
        <w:rPr>
          <w:lang w:eastAsia="ja-JP"/>
        </w:rPr>
        <w:t>) experienced AEs related to platelet counts.</w:t>
      </w:r>
      <w:r>
        <w:rPr>
          <w:lang w:eastAsia="ja-JP"/>
        </w:rPr>
        <w:t xml:space="preserve"> </w:t>
      </w:r>
      <w:r w:rsidRPr="00374BB6">
        <w:rPr>
          <w:lang w:eastAsia="ja-JP"/>
        </w:rPr>
        <w:t xml:space="preserve">Thrombocytopenia (2 patients) was reported only for patients </w:t>
      </w:r>
      <w:r w:rsidR="007C6D8D">
        <w:rPr>
          <w:lang w:eastAsia="ja-JP"/>
        </w:rPr>
        <w:t>≥</w:t>
      </w:r>
      <w:r w:rsidR="00CF6063">
        <w:rPr>
          <w:lang w:eastAsia="ja-JP"/>
        </w:rPr>
        <w:t xml:space="preserve"> </w:t>
      </w:r>
      <w:r w:rsidRPr="00374BB6">
        <w:rPr>
          <w:lang w:eastAsia="ja-JP"/>
        </w:rPr>
        <w:t>2 years, whereas decreased</w:t>
      </w:r>
      <w:r>
        <w:rPr>
          <w:lang w:eastAsia="ja-JP"/>
        </w:rPr>
        <w:t xml:space="preserve"> </w:t>
      </w:r>
      <w:r w:rsidRPr="00374BB6">
        <w:rPr>
          <w:lang w:eastAsia="ja-JP"/>
        </w:rPr>
        <w:t>platelet count was reported in one patient &lt; 2 years. In 2 of the 3 patients,</w:t>
      </w:r>
      <w:r>
        <w:rPr>
          <w:lang w:eastAsia="ja-JP"/>
        </w:rPr>
        <w:t xml:space="preserve"> </w:t>
      </w:r>
      <w:r w:rsidRPr="00374BB6">
        <w:rPr>
          <w:lang w:eastAsia="ja-JP"/>
        </w:rPr>
        <w:t>platelet count improved or normal</w:t>
      </w:r>
      <w:r w:rsidR="00296A55">
        <w:rPr>
          <w:lang w:eastAsia="ja-JP"/>
        </w:rPr>
        <w:t>ise</w:t>
      </w:r>
      <w:r w:rsidRPr="00374BB6">
        <w:rPr>
          <w:lang w:eastAsia="ja-JP"/>
        </w:rPr>
        <w:t>d on continued bosentan treatment. The third patient</w:t>
      </w:r>
      <w:r>
        <w:rPr>
          <w:lang w:eastAsia="ja-JP"/>
        </w:rPr>
        <w:t xml:space="preserve"> </w:t>
      </w:r>
      <w:r w:rsidRPr="00374BB6">
        <w:rPr>
          <w:lang w:eastAsia="ja-JP"/>
        </w:rPr>
        <w:t>experienced decreased platelet count after more than 2.5 years of bosentan use (including</w:t>
      </w:r>
      <w:r>
        <w:rPr>
          <w:lang w:eastAsia="ja-JP"/>
        </w:rPr>
        <w:t xml:space="preserve"> </w:t>
      </w:r>
      <w:r w:rsidRPr="00374BB6">
        <w:rPr>
          <w:lang w:eastAsia="ja-JP"/>
        </w:rPr>
        <w:t xml:space="preserve">use prior to </w:t>
      </w:r>
      <w:r w:rsidR="0066478A">
        <w:rPr>
          <w:lang w:eastAsia="ja-JP"/>
        </w:rPr>
        <w:t>study</w:t>
      </w:r>
      <w:r w:rsidRPr="00374BB6">
        <w:rPr>
          <w:lang w:eastAsia="ja-JP"/>
        </w:rPr>
        <w:t xml:space="preserve"> enrolment) and discontinued </w:t>
      </w:r>
      <w:r w:rsidR="0066478A">
        <w:rPr>
          <w:lang w:eastAsia="ja-JP"/>
        </w:rPr>
        <w:t>study</w:t>
      </w:r>
      <w:r w:rsidRPr="00374BB6">
        <w:rPr>
          <w:lang w:eastAsia="ja-JP"/>
        </w:rPr>
        <w:t xml:space="preserve"> drug the same day due to PAH</w:t>
      </w:r>
      <w:r>
        <w:rPr>
          <w:lang w:eastAsia="ja-JP"/>
        </w:rPr>
        <w:t xml:space="preserve"> </w:t>
      </w:r>
      <w:r w:rsidRPr="00374BB6">
        <w:rPr>
          <w:lang w:eastAsia="ja-JP"/>
        </w:rPr>
        <w:t>progression. The patient had platelet transfusion, but no follow-up values could be</w:t>
      </w:r>
      <w:r>
        <w:rPr>
          <w:lang w:eastAsia="ja-JP"/>
        </w:rPr>
        <w:t xml:space="preserve"> </w:t>
      </w:r>
      <w:r w:rsidRPr="00374BB6">
        <w:rPr>
          <w:lang w:eastAsia="ja-JP"/>
        </w:rPr>
        <w:t>obtained.</w:t>
      </w:r>
    </w:p>
    <w:p w14:paraId="3067154E" w14:textId="77777777" w:rsidR="00143A39" w:rsidRPr="00374BB6" w:rsidRDefault="00143A39" w:rsidP="00143A39">
      <w:pPr>
        <w:rPr>
          <w:lang w:eastAsia="ja-JP"/>
        </w:rPr>
      </w:pPr>
      <w:r w:rsidRPr="00374BB6">
        <w:rPr>
          <w:lang w:eastAsia="ja-JP"/>
        </w:rPr>
        <w:t xml:space="preserve">Individual patients were reported with decreased haematocrit, peripheral oedema (all </w:t>
      </w:r>
      <w:r w:rsidR="007C6D8D">
        <w:rPr>
          <w:lang w:eastAsia="ja-JP"/>
        </w:rPr>
        <w:t>BD</w:t>
      </w:r>
      <w:r w:rsidRPr="00374BB6">
        <w:rPr>
          <w:lang w:eastAsia="ja-JP"/>
        </w:rPr>
        <w:t>),</w:t>
      </w:r>
      <w:r>
        <w:rPr>
          <w:lang w:eastAsia="ja-JP"/>
        </w:rPr>
        <w:t xml:space="preserve"> </w:t>
      </w:r>
      <w:r w:rsidRPr="00374BB6">
        <w:rPr>
          <w:lang w:eastAsia="ja-JP"/>
        </w:rPr>
        <w:t xml:space="preserve">increased blood bilirubin, decreased haemoglobin and abnormal liver function (all </w:t>
      </w:r>
      <w:r w:rsidR="007C6D8D">
        <w:rPr>
          <w:lang w:eastAsia="ja-JP"/>
        </w:rPr>
        <w:t>TDS</w:t>
      </w:r>
      <w:r w:rsidRPr="00374BB6">
        <w:rPr>
          <w:lang w:eastAsia="ja-JP"/>
        </w:rPr>
        <w:t>).</w:t>
      </w:r>
      <w:r>
        <w:rPr>
          <w:lang w:eastAsia="ja-JP"/>
        </w:rPr>
        <w:t xml:space="preserve"> </w:t>
      </w:r>
      <w:r w:rsidRPr="00374BB6">
        <w:rPr>
          <w:lang w:eastAsia="ja-JP"/>
        </w:rPr>
        <w:t>These AEs are of interest due to the known safety profile of bosentan.</w:t>
      </w:r>
    </w:p>
    <w:p w14:paraId="7DA9294C" w14:textId="77777777" w:rsidR="007C6D8D" w:rsidRDefault="00143A39" w:rsidP="00143A39">
      <w:pPr>
        <w:rPr>
          <w:lang w:eastAsia="ja-JP"/>
        </w:rPr>
      </w:pPr>
      <w:r w:rsidRPr="00374BB6">
        <w:rPr>
          <w:lang w:eastAsia="ja-JP"/>
        </w:rPr>
        <w:t xml:space="preserve">The isolated occurrence of </w:t>
      </w:r>
      <w:r>
        <w:rPr>
          <w:lang w:eastAsia="ja-JP"/>
        </w:rPr>
        <w:t>peripheral oedema</w:t>
      </w:r>
      <w:r w:rsidRPr="00374BB6">
        <w:rPr>
          <w:lang w:eastAsia="ja-JP"/>
        </w:rPr>
        <w:t xml:space="preserve"> in one patient</w:t>
      </w:r>
      <w:r>
        <w:rPr>
          <w:lang w:eastAsia="ja-JP"/>
        </w:rPr>
        <w:t xml:space="preserve"> </w:t>
      </w:r>
      <w:r w:rsidRPr="00374BB6">
        <w:rPr>
          <w:lang w:eastAsia="ja-JP"/>
        </w:rPr>
        <w:t>who had dyspnoea and elevated NT-proBNP at baseline was resolved one month after</w:t>
      </w:r>
      <w:r>
        <w:rPr>
          <w:lang w:eastAsia="ja-JP"/>
        </w:rPr>
        <w:t xml:space="preserve"> </w:t>
      </w:r>
      <w:r w:rsidRPr="00374BB6">
        <w:rPr>
          <w:lang w:eastAsia="ja-JP"/>
        </w:rPr>
        <w:t>spironolactone was initiated</w:t>
      </w:r>
      <w:r w:rsidR="007C6D8D">
        <w:rPr>
          <w:lang w:eastAsia="ja-JP"/>
        </w:rPr>
        <w:t>.</w:t>
      </w:r>
    </w:p>
    <w:p w14:paraId="5DA25240" w14:textId="77777777" w:rsidR="00143A39" w:rsidRDefault="00143A39" w:rsidP="00143A39">
      <w:pPr>
        <w:rPr>
          <w:lang w:eastAsia="ja-JP"/>
        </w:rPr>
      </w:pPr>
      <w:r w:rsidRPr="00E42989">
        <w:rPr>
          <w:lang w:eastAsia="ja-JP"/>
        </w:rPr>
        <w:t>The majority of AEs were of mild or moderate intensity.</w:t>
      </w:r>
      <w:r>
        <w:rPr>
          <w:lang w:eastAsia="ja-JP"/>
        </w:rPr>
        <w:t xml:space="preserve"> </w:t>
      </w:r>
      <w:r w:rsidRPr="00E42989">
        <w:rPr>
          <w:lang w:eastAsia="ja-JP"/>
        </w:rPr>
        <w:t>Severe-intensity AEs were reported for a total of 5 patients, which were associated with</w:t>
      </w:r>
      <w:r>
        <w:rPr>
          <w:lang w:eastAsia="ja-JP"/>
        </w:rPr>
        <w:t xml:space="preserve"> </w:t>
      </w:r>
      <w:r w:rsidRPr="00E42989">
        <w:rPr>
          <w:lang w:eastAsia="ja-JP"/>
        </w:rPr>
        <w:t>worsening of the under</w:t>
      </w:r>
      <w:r>
        <w:rPr>
          <w:lang w:eastAsia="ja-JP"/>
        </w:rPr>
        <w:t xml:space="preserve">lying disease in 3 cases (2 </w:t>
      </w:r>
      <w:r w:rsidR="007C6D8D">
        <w:rPr>
          <w:lang w:eastAsia="ja-JP"/>
        </w:rPr>
        <w:t>BD</w:t>
      </w:r>
      <w:r>
        <w:rPr>
          <w:lang w:eastAsia="ja-JP"/>
        </w:rPr>
        <w:t xml:space="preserve">, 1 </w:t>
      </w:r>
      <w:r w:rsidR="007C6D8D">
        <w:rPr>
          <w:lang w:eastAsia="ja-JP"/>
        </w:rPr>
        <w:t>TDS</w:t>
      </w:r>
      <w:r w:rsidRPr="00E42989">
        <w:rPr>
          <w:lang w:eastAsia="ja-JP"/>
        </w:rPr>
        <w:t>). Pyrexia and viral</w:t>
      </w:r>
      <w:r>
        <w:rPr>
          <w:lang w:eastAsia="ja-JP"/>
        </w:rPr>
        <w:t xml:space="preserve"> </w:t>
      </w:r>
      <w:r w:rsidRPr="00E42989">
        <w:rPr>
          <w:lang w:eastAsia="ja-JP"/>
        </w:rPr>
        <w:t>respiratory tract infection of severe intensity was reported f</w:t>
      </w:r>
      <w:r>
        <w:rPr>
          <w:lang w:eastAsia="ja-JP"/>
        </w:rPr>
        <w:t xml:space="preserve">or one patient each (both </w:t>
      </w:r>
      <w:r w:rsidR="007C6D8D">
        <w:rPr>
          <w:lang w:eastAsia="ja-JP"/>
        </w:rPr>
        <w:t>TDS</w:t>
      </w:r>
      <w:r w:rsidRPr="00E42989">
        <w:rPr>
          <w:lang w:eastAsia="ja-JP"/>
        </w:rPr>
        <w:t>).</w:t>
      </w:r>
    </w:p>
    <w:p w14:paraId="373A5504" w14:textId="77777777" w:rsidR="00143A39" w:rsidRPr="000E7E94" w:rsidRDefault="00143A39" w:rsidP="00143A39">
      <w:pPr>
        <w:pStyle w:val="Tabletitle"/>
      </w:pPr>
      <w:bookmarkStart w:id="378" w:name="_Ref464051176"/>
      <w:bookmarkStart w:id="379" w:name="_Toc473884108"/>
      <w:r w:rsidRPr="00F27B3B">
        <w:lastRenderedPageBreak/>
        <w:t xml:space="preserve">Table </w:t>
      </w:r>
      <w:bookmarkEnd w:id="378"/>
      <w:r w:rsidR="00F27B3B" w:rsidRPr="00F27B3B">
        <w:t>64:</w:t>
      </w:r>
      <w:r w:rsidRPr="00F27B3B">
        <w:t xml:space="preserve"> FUTURE-3 Summary of TEAEs reported for at least one patient in both groups</w:t>
      </w:r>
      <w:r w:rsidR="00F27B3B">
        <w:t xml:space="preserve"> by frequency;</w:t>
      </w:r>
      <w:r w:rsidRPr="000E7E94">
        <w:t xml:space="preserve"> overall age groups,</w:t>
      </w:r>
      <w:r>
        <w:t xml:space="preserve"> </w:t>
      </w:r>
      <w:r w:rsidRPr="000E7E94">
        <w:t>All-treated set</w:t>
      </w:r>
      <w:bookmarkEnd w:id="379"/>
    </w:p>
    <w:p w14:paraId="53DC4648" w14:textId="77777777" w:rsidR="00EA7ACF" w:rsidRDefault="00143A39" w:rsidP="00287323">
      <w:pPr>
        <w:rPr>
          <w:noProof/>
          <w:lang w:eastAsia="en-AU"/>
        </w:rPr>
      </w:pPr>
      <w:r>
        <w:rPr>
          <w:noProof/>
          <w:lang w:eastAsia="en-AU"/>
        </w:rPr>
        <w:drawing>
          <wp:inline distT="0" distB="0" distL="0" distR="0" wp14:anchorId="2262A54D" wp14:editId="3D6C466D">
            <wp:extent cx="4648200" cy="2809875"/>
            <wp:effectExtent l="0" t="0" r="0" b="9525"/>
            <wp:docPr id="91" name="Picture 91" descr="Table 64: FUTURE-3 Summary of TEAEs reported for at least one patient in both groups by frequency; overall age group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4648200" cy="2809875"/>
                    </a:xfrm>
                    <a:prstGeom prst="rect">
                      <a:avLst/>
                    </a:prstGeom>
                  </pic:spPr>
                </pic:pic>
              </a:graphicData>
            </a:graphic>
          </wp:inline>
        </w:drawing>
      </w:r>
    </w:p>
    <w:p w14:paraId="44810B1A" w14:textId="77777777" w:rsidR="00143A39" w:rsidRPr="00093207" w:rsidRDefault="00143A39" w:rsidP="00093207">
      <w:pPr>
        <w:pStyle w:val="Heading4"/>
      </w:pPr>
      <w:r w:rsidRPr="00093207">
        <w:t>Deaths and other serious adverse events</w:t>
      </w:r>
    </w:p>
    <w:p w14:paraId="2593C135" w14:textId="77777777" w:rsidR="00143A39" w:rsidRPr="00143A39" w:rsidRDefault="00143A39" w:rsidP="00143A39">
      <w:pPr>
        <w:pStyle w:val="Heading5"/>
      </w:pPr>
      <w:r w:rsidRPr="00143A39">
        <w:t>Integrated safety analyses</w:t>
      </w:r>
    </w:p>
    <w:p w14:paraId="3067E326" w14:textId="77777777" w:rsidR="00143A39" w:rsidRDefault="00143A39" w:rsidP="00143A39">
      <w:r>
        <w:t>There were a total of 17 deaths amongst patients included in the safety analysis (</w:t>
      </w:r>
      <w:r w:rsidR="00F27B3B">
        <w:t>Table 65</w:t>
      </w:r>
      <w:r>
        <w:t>). The majority of TEAEs were classified as moderate (35%) or severe (31%) (</w:t>
      </w:r>
      <w:r w:rsidR="00F27B3B">
        <w:t>Table 66</w:t>
      </w:r>
      <w:r>
        <w:t>). There were 92 AEs classified as SAEs experienced by a total of 44 patients. The most commonly reports SAEs belonged to the Infection and infestations (20%), respiratory, thoracic and mediastinal disorders (19%), cardiac disorders (8%) and general disorders and administration site conditions system organ classes. PAH (9%), pneumonia (4%), device related infection (3%) and PH (3%) were the most commonly reported SAEs.</w:t>
      </w:r>
    </w:p>
    <w:p w14:paraId="1C81FAEE" w14:textId="77777777" w:rsidR="00143A39" w:rsidRDefault="00143A39" w:rsidP="00143A39">
      <w:pPr>
        <w:pStyle w:val="Tabletitle"/>
      </w:pPr>
      <w:bookmarkStart w:id="380" w:name="_Ref464476920"/>
      <w:bookmarkStart w:id="381" w:name="_Toc473884109"/>
      <w:r w:rsidRPr="00F27B3B">
        <w:t xml:space="preserve">Table </w:t>
      </w:r>
      <w:bookmarkEnd w:id="380"/>
      <w:r w:rsidR="00F27B3B" w:rsidRPr="00F27B3B">
        <w:t>65:</w:t>
      </w:r>
      <w:r w:rsidRPr="00F27B3B">
        <w:t xml:space="preserve"> Integrated safety analysis deaths by cause: Safety set</w:t>
      </w:r>
      <w:bookmarkEnd w:id="381"/>
    </w:p>
    <w:p w14:paraId="418432EF" w14:textId="77777777" w:rsidR="00EA7ACF" w:rsidRDefault="00143A39" w:rsidP="00287323">
      <w:pPr>
        <w:rPr>
          <w:lang w:eastAsia="ja-JP"/>
        </w:rPr>
      </w:pPr>
      <w:r>
        <w:rPr>
          <w:noProof/>
          <w:lang w:eastAsia="en-AU"/>
        </w:rPr>
        <w:drawing>
          <wp:inline distT="0" distB="0" distL="0" distR="0" wp14:anchorId="7DD69A10" wp14:editId="2CE1492E">
            <wp:extent cx="4781550" cy="2857500"/>
            <wp:effectExtent l="0" t="0" r="0" b="0"/>
            <wp:docPr id="92" name="Picture 92" descr="Table 65: Integrated safety analysis deaths by cause: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BEBA8EAE-BF5A-486C-A8C5-ECC9F3942E4B}">
                          <a14:imgProps xmlns:a14="http://schemas.microsoft.com/office/drawing/2010/main">
                            <a14:imgLayer r:embed="rId128">
                              <a14:imgEffect>
                                <a14:brightnessContrast contrast="-40000"/>
                              </a14:imgEffect>
                            </a14:imgLayer>
                          </a14:imgProps>
                        </a:ext>
                      </a:extLst>
                    </a:blip>
                    <a:stretch>
                      <a:fillRect/>
                    </a:stretch>
                  </pic:blipFill>
                  <pic:spPr>
                    <a:xfrm>
                      <a:off x="0" y="0"/>
                      <a:ext cx="4781550" cy="2857500"/>
                    </a:xfrm>
                    <a:prstGeom prst="rect">
                      <a:avLst/>
                    </a:prstGeom>
                  </pic:spPr>
                </pic:pic>
              </a:graphicData>
            </a:graphic>
          </wp:inline>
        </w:drawing>
      </w:r>
    </w:p>
    <w:p w14:paraId="07A2D6B1" w14:textId="77777777" w:rsidR="00143A39" w:rsidRPr="00B848A3" w:rsidRDefault="00143A39" w:rsidP="00143A39">
      <w:pPr>
        <w:pStyle w:val="Tabletitle"/>
      </w:pPr>
      <w:bookmarkStart w:id="382" w:name="_Ref464476221"/>
      <w:bookmarkStart w:id="383" w:name="_Toc473884110"/>
      <w:r w:rsidRPr="00F27B3B">
        <w:lastRenderedPageBreak/>
        <w:t xml:space="preserve">Table </w:t>
      </w:r>
      <w:bookmarkEnd w:id="382"/>
      <w:r w:rsidR="00F27B3B" w:rsidRPr="00F27B3B">
        <w:t>66:</w:t>
      </w:r>
      <w:r w:rsidRPr="00F27B3B">
        <w:t xml:space="preserve"> Integrated safety analysis TEAEs by maximum severity</w:t>
      </w:r>
      <w:bookmarkEnd w:id="383"/>
    </w:p>
    <w:p w14:paraId="0D12EBF1" w14:textId="77777777" w:rsidR="00A41EB6" w:rsidRDefault="00143A39" w:rsidP="00287323">
      <w:pPr>
        <w:rPr>
          <w:lang w:eastAsia="ja-JP"/>
        </w:rPr>
      </w:pPr>
      <w:r>
        <w:rPr>
          <w:noProof/>
          <w:lang w:eastAsia="en-AU"/>
        </w:rPr>
        <w:drawing>
          <wp:inline distT="0" distB="0" distL="0" distR="0" wp14:anchorId="59C13CCE" wp14:editId="65469588">
            <wp:extent cx="5127955" cy="878834"/>
            <wp:effectExtent l="0" t="0" r="0" b="0"/>
            <wp:docPr id="93" name="Picture 93" descr="Table 66: Integrated safety analysis TEAEs by maximum seve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BEBA8EAE-BF5A-486C-A8C5-ECC9F3942E4B}">
                          <a14:imgProps xmlns:a14="http://schemas.microsoft.com/office/drawing/2010/main">
                            <a14:imgLayer r:embed="rId130">
                              <a14:imgEffect>
                                <a14:brightnessContrast contrast="-40000"/>
                              </a14:imgEffect>
                            </a14:imgLayer>
                          </a14:imgProps>
                        </a:ext>
                      </a:extLst>
                    </a:blip>
                    <a:stretch>
                      <a:fillRect/>
                    </a:stretch>
                  </pic:blipFill>
                  <pic:spPr>
                    <a:xfrm>
                      <a:off x="0" y="0"/>
                      <a:ext cx="5132339" cy="879585"/>
                    </a:xfrm>
                    <a:prstGeom prst="rect">
                      <a:avLst/>
                    </a:prstGeom>
                  </pic:spPr>
                </pic:pic>
              </a:graphicData>
            </a:graphic>
          </wp:inline>
        </w:drawing>
      </w:r>
    </w:p>
    <w:p w14:paraId="29F23366" w14:textId="77777777" w:rsidR="00143A39" w:rsidRPr="00143A39" w:rsidRDefault="00143A39" w:rsidP="00143A39">
      <w:pPr>
        <w:pStyle w:val="Heading5"/>
      </w:pPr>
      <w:bookmarkStart w:id="384" w:name="_Ref461549338"/>
      <w:r w:rsidRPr="00143A39">
        <w:t>Main/pivotal studies that assessed safety as the sole primary outcome</w:t>
      </w:r>
      <w:bookmarkEnd w:id="384"/>
    </w:p>
    <w:p w14:paraId="4BAAA865" w14:textId="528E7964" w:rsidR="00143A39" w:rsidRPr="00143A39" w:rsidRDefault="00143A39" w:rsidP="00143A39">
      <w:pPr>
        <w:pStyle w:val="Heading6"/>
      </w:pPr>
      <w:r w:rsidRPr="00143A39">
        <w:t>FUTURE-2</w:t>
      </w:r>
      <w:r w:rsidR="00291728">
        <w:t xml:space="preserve"> study</w:t>
      </w:r>
    </w:p>
    <w:p w14:paraId="6D0B0A73" w14:textId="77777777" w:rsidR="00143A39" w:rsidRDefault="00143A39" w:rsidP="00143A39">
      <w:pPr>
        <w:rPr>
          <w:lang w:eastAsia="ja-JP"/>
        </w:rPr>
      </w:pPr>
      <w:r w:rsidRPr="0061609A">
        <w:rPr>
          <w:lang w:eastAsia="ja-JP"/>
        </w:rPr>
        <w:t xml:space="preserve">Six deaths (16.7% of patients) occurred during the </w:t>
      </w:r>
      <w:r w:rsidR="0066478A">
        <w:rPr>
          <w:lang w:eastAsia="ja-JP"/>
        </w:rPr>
        <w:t>study</w:t>
      </w:r>
      <w:r w:rsidRPr="0061609A">
        <w:rPr>
          <w:lang w:eastAsia="ja-JP"/>
        </w:rPr>
        <w:t>. Four deaths occurred during</w:t>
      </w:r>
      <w:r>
        <w:rPr>
          <w:lang w:eastAsia="ja-JP"/>
        </w:rPr>
        <w:t xml:space="preserve"> </w:t>
      </w:r>
      <w:r w:rsidRPr="0061609A">
        <w:rPr>
          <w:lang w:eastAsia="ja-JP"/>
        </w:rPr>
        <w:t xml:space="preserve">treatment or up to 28 days after </w:t>
      </w:r>
      <w:r w:rsidR="0066478A">
        <w:rPr>
          <w:lang w:eastAsia="ja-JP"/>
        </w:rPr>
        <w:t>study</w:t>
      </w:r>
      <w:r w:rsidRPr="0061609A">
        <w:rPr>
          <w:lang w:eastAsia="ja-JP"/>
        </w:rPr>
        <w:t xml:space="preserve"> dru</w:t>
      </w:r>
      <w:r>
        <w:rPr>
          <w:lang w:eastAsia="ja-JP"/>
        </w:rPr>
        <w:t>g discontinuation: one due to PA</w:t>
      </w:r>
      <w:r w:rsidRPr="0061609A">
        <w:rPr>
          <w:lang w:eastAsia="ja-JP"/>
        </w:rPr>
        <w:t>H and</w:t>
      </w:r>
      <w:r>
        <w:rPr>
          <w:lang w:eastAsia="ja-JP"/>
        </w:rPr>
        <w:t xml:space="preserve"> </w:t>
      </w:r>
      <w:r w:rsidRPr="0061609A">
        <w:rPr>
          <w:lang w:eastAsia="ja-JP"/>
        </w:rPr>
        <w:t>subsequent cardiac complications, one due to cardiac failure, one due to right ventricular</w:t>
      </w:r>
      <w:r>
        <w:rPr>
          <w:lang w:eastAsia="ja-JP"/>
        </w:rPr>
        <w:t xml:space="preserve"> </w:t>
      </w:r>
      <w:r w:rsidRPr="0061609A">
        <w:rPr>
          <w:lang w:eastAsia="ja-JP"/>
        </w:rPr>
        <w:t>failure related to suspected otitis, and one due to respiratory failure following pneumonia,</w:t>
      </w:r>
      <w:r>
        <w:rPr>
          <w:lang w:eastAsia="ja-JP"/>
        </w:rPr>
        <w:t xml:space="preserve"> </w:t>
      </w:r>
      <w:r w:rsidRPr="0061609A">
        <w:rPr>
          <w:lang w:eastAsia="ja-JP"/>
        </w:rPr>
        <w:t xml:space="preserve">all reported as unrelated to the </w:t>
      </w:r>
      <w:r w:rsidR="0066478A">
        <w:rPr>
          <w:lang w:eastAsia="ja-JP"/>
        </w:rPr>
        <w:t>study</w:t>
      </w:r>
      <w:r w:rsidRPr="0061609A">
        <w:rPr>
          <w:lang w:eastAsia="ja-JP"/>
        </w:rPr>
        <w:t xml:space="preserve"> drug. Two deaths occurred more than 28 days after</w:t>
      </w:r>
      <w:r>
        <w:rPr>
          <w:lang w:eastAsia="ja-JP"/>
        </w:rPr>
        <w:t xml:space="preserve"> </w:t>
      </w:r>
      <w:r w:rsidR="0066478A">
        <w:rPr>
          <w:lang w:eastAsia="ja-JP"/>
        </w:rPr>
        <w:t>study</w:t>
      </w:r>
      <w:r w:rsidRPr="0061609A">
        <w:rPr>
          <w:lang w:eastAsia="ja-JP"/>
        </w:rPr>
        <w:t xml:space="preserve"> drug discontinuation:</w:t>
      </w:r>
      <w:r>
        <w:rPr>
          <w:lang w:eastAsia="ja-JP"/>
        </w:rPr>
        <w:t xml:space="preserve"> one patient died due to PA</w:t>
      </w:r>
      <w:r w:rsidRPr="0061609A">
        <w:rPr>
          <w:lang w:eastAsia="ja-JP"/>
        </w:rPr>
        <w:t xml:space="preserve">H and subsequent cardiac complications 38 days after </w:t>
      </w:r>
      <w:r w:rsidR="0066478A">
        <w:rPr>
          <w:lang w:eastAsia="ja-JP"/>
        </w:rPr>
        <w:t>study</w:t>
      </w:r>
      <w:r>
        <w:rPr>
          <w:lang w:eastAsia="ja-JP"/>
        </w:rPr>
        <w:t xml:space="preserve"> drug discontinuation and</w:t>
      </w:r>
      <w:r w:rsidRPr="0061609A">
        <w:rPr>
          <w:lang w:eastAsia="ja-JP"/>
        </w:rPr>
        <w:t xml:space="preserve"> one patient died during cardiac catheteri</w:t>
      </w:r>
      <w:r>
        <w:rPr>
          <w:lang w:eastAsia="ja-JP"/>
        </w:rPr>
        <w:t>s</w:t>
      </w:r>
      <w:r w:rsidR="00A2508E">
        <w:rPr>
          <w:lang w:eastAsia="ja-JP"/>
        </w:rPr>
        <w:t>ation almost 11 </w:t>
      </w:r>
      <w:r w:rsidRPr="0061609A">
        <w:rPr>
          <w:lang w:eastAsia="ja-JP"/>
        </w:rPr>
        <w:t>months</w:t>
      </w:r>
      <w:r>
        <w:rPr>
          <w:lang w:eastAsia="ja-JP"/>
        </w:rPr>
        <w:t xml:space="preserve"> </w:t>
      </w:r>
      <w:r w:rsidRPr="0061609A">
        <w:rPr>
          <w:lang w:eastAsia="ja-JP"/>
        </w:rPr>
        <w:t xml:space="preserve">after </w:t>
      </w:r>
      <w:r w:rsidR="0066478A">
        <w:rPr>
          <w:lang w:eastAsia="ja-JP"/>
        </w:rPr>
        <w:t>study</w:t>
      </w:r>
      <w:r w:rsidRPr="0061609A">
        <w:rPr>
          <w:lang w:eastAsia="ja-JP"/>
        </w:rPr>
        <w:t xml:space="preserve"> drug discontinuation without prior PAH worsening</w:t>
      </w:r>
      <w:r>
        <w:rPr>
          <w:lang w:eastAsia="ja-JP"/>
        </w:rPr>
        <w:t>. The case narratives for the cases of death are described below:</w:t>
      </w:r>
    </w:p>
    <w:p w14:paraId="5B9CBCDC" w14:textId="3AB32F6B" w:rsidR="00143A39" w:rsidRDefault="00143A39" w:rsidP="00143A39">
      <w:pPr>
        <w:pStyle w:val="ListBullet"/>
        <w:rPr>
          <w:lang w:eastAsia="ja-JP"/>
        </w:rPr>
      </w:pPr>
      <w:r>
        <w:rPr>
          <w:lang w:eastAsia="ja-JP"/>
        </w:rPr>
        <w:t>An</w:t>
      </w:r>
      <w:r w:rsidR="00A2508E">
        <w:rPr>
          <w:lang w:eastAsia="ja-JP"/>
        </w:rPr>
        <w:t xml:space="preserve"> 8 year </w:t>
      </w:r>
      <w:r w:rsidRPr="00A21B82">
        <w:rPr>
          <w:lang w:eastAsia="ja-JP"/>
        </w:rPr>
        <w:t xml:space="preserve">old female patient with idiopathic </w:t>
      </w:r>
      <w:r>
        <w:rPr>
          <w:lang w:eastAsia="ja-JP"/>
        </w:rPr>
        <w:t xml:space="preserve">PH and a medical history of Noonan syndrome </w:t>
      </w:r>
      <w:r w:rsidRPr="00A21B82">
        <w:rPr>
          <w:lang w:eastAsia="ja-JP"/>
        </w:rPr>
        <w:t>was tr</w:t>
      </w:r>
      <w:r w:rsidR="00360E60">
        <w:rPr>
          <w:lang w:eastAsia="ja-JP"/>
        </w:rPr>
        <w:t>eated with bosentan for 85 days</w:t>
      </w:r>
      <w:r w:rsidRPr="00A21B82">
        <w:rPr>
          <w:lang w:eastAsia="ja-JP"/>
        </w:rPr>
        <w:t xml:space="preserve"> completed the </w:t>
      </w:r>
      <w:r w:rsidR="009C6335">
        <w:rPr>
          <w:lang w:eastAsia="ja-JP"/>
        </w:rPr>
        <w:t>FUTURE-1</w:t>
      </w:r>
      <w:r w:rsidRPr="00A21B82">
        <w:rPr>
          <w:lang w:eastAsia="ja-JP"/>
        </w:rPr>
        <w:t xml:space="preserve"> </w:t>
      </w:r>
      <w:r w:rsidR="00E77015">
        <w:rPr>
          <w:lang w:eastAsia="ja-JP"/>
        </w:rPr>
        <w:t>Study</w:t>
      </w:r>
      <w:r w:rsidRPr="00A21B82">
        <w:rPr>
          <w:lang w:eastAsia="ja-JP"/>
        </w:rPr>
        <w:t xml:space="preserve"> and</w:t>
      </w:r>
      <w:r>
        <w:rPr>
          <w:lang w:eastAsia="ja-JP"/>
        </w:rPr>
        <w:t xml:space="preserve"> </w:t>
      </w:r>
      <w:r w:rsidRPr="00A21B82">
        <w:rPr>
          <w:lang w:eastAsia="ja-JP"/>
        </w:rPr>
        <w:t xml:space="preserve">then entered </w:t>
      </w:r>
      <w:r w:rsidR="009C6335">
        <w:rPr>
          <w:lang w:eastAsia="ja-JP"/>
        </w:rPr>
        <w:t>FUTURE-2</w:t>
      </w:r>
      <w:r w:rsidRPr="00A21B82">
        <w:rPr>
          <w:lang w:eastAsia="ja-JP"/>
        </w:rPr>
        <w:t>. Ongoing concomitant</w:t>
      </w:r>
      <w:r>
        <w:rPr>
          <w:lang w:eastAsia="ja-JP"/>
        </w:rPr>
        <w:t xml:space="preserve"> </w:t>
      </w:r>
      <w:r w:rsidRPr="00A21B82">
        <w:rPr>
          <w:lang w:eastAsia="ja-JP"/>
        </w:rPr>
        <w:t>medication included acenocoumarol.</w:t>
      </w:r>
      <w:r>
        <w:rPr>
          <w:lang w:eastAsia="ja-JP"/>
        </w:rPr>
        <w:t xml:space="preserve"> </w:t>
      </w:r>
      <w:r w:rsidRPr="00A21B82">
        <w:rPr>
          <w:lang w:eastAsia="ja-JP"/>
        </w:rPr>
        <w:t>On Day 894, the patient experienced respiratory insufficiency due to</w:t>
      </w:r>
      <w:r>
        <w:rPr>
          <w:lang w:eastAsia="ja-JP"/>
        </w:rPr>
        <w:t xml:space="preserve"> </w:t>
      </w:r>
      <w:r w:rsidRPr="00A21B82">
        <w:rPr>
          <w:lang w:eastAsia="ja-JP"/>
        </w:rPr>
        <w:t>pneumonia and was hospitali</w:t>
      </w:r>
      <w:r>
        <w:rPr>
          <w:lang w:eastAsia="ja-JP"/>
        </w:rPr>
        <w:t>s</w:t>
      </w:r>
      <w:r w:rsidRPr="00A21B82">
        <w:rPr>
          <w:lang w:eastAsia="ja-JP"/>
        </w:rPr>
        <w:t>ed. She presented with dyspnoea, tachypnoea and epistaxis.</w:t>
      </w:r>
      <w:r>
        <w:rPr>
          <w:lang w:eastAsia="ja-JP"/>
        </w:rPr>
        <w:t xml:space="preserve"> </w:t>
      </w:r>
      <w:r w:rsidRPr="00A21B82">
        <w:rPr>
          <w:lang w:eastAsia="ja-JP"/>
        </w:rPr>
        <w:t xml:space="preserve">Acenocoumarol was stopped. The patient was treated with antibiotics. The </w:t>
      </w:r>
      <w:r w:rsidR="0066478A">
        <w:rPr>
          <w:lang w:eastAsia="ja-JP"/>
        </w:rPr>
        <w:t>study</w:t>
      </w:r>
      <w:r w:rsidRPr="00A21B82">
        <w:rPr>
          <w:lang w:eastAsia="ja-JP"/>
        </w:rPr>
        <w:t xml:space="preserve"> drug was</w:t>
      </w:r>
      <w:r>
        <w:rPr>
          <w:lang w:eastAsia="ja-JP"/>
        </w:rPr>
        <w:t xml:space="preserve"> </w:t>
      </w:r>
      <w:r w:rsidRPr="00A21B82">
        <w:rPr>
          <w:lang w:eastAsia="ja-JP"/>
        </w:rPr>
        <w:t>ongoing. This event was judged unrelated to the</w:t>
      </w:r>
      <w:r>
        <w:rPr>
          <w:lang w:eastAsia="ja-JP"/>
        </w:rPr>
        <w:t xml:space="preserve"> </w:t>
      </w:r>
      <w:r w:rsidR="0066478A">
        <w:rPr>
          <w:lang w:eastAsia="ja-JP"/>
        </w:rPr>
        <w:t>study</w:t>
      </w:r>
      <w:r w:rsidRPr="00A21B82">
        <w:rPr>
          <w:lang w:eastAsia="ja-JP"/>
        </w:rPr>
        <w:t xml:space="preserve"> drug. On Day 912, while still hospitali</w:t>
      </w:r>
      <w:r>
        <w:rPr>
          <w:lang w:eastAsia="ja-JP"/>
        </w:rPr>
        <w:t>s</w:t>
      </w:r>
      <w:r w:rsidRPr="00A21B82">
        <w:rPr>
          <w:lang w:eastAsia="ja-JP"/>
        </w:rPr>
        <w:t>ed, the patient experienced</w:t>
      </w:r>
      <w:r>
        <w:rPr>
          <w:lang w:eastAsia="ja-JP"/>
        </w:rPr>
        <w:t xml:space="preserve"> </w:t>
      </w:r>
      <w:r w:rsidRPr="00A21B82">
        <w:rPr>
          <w:lang w:eastAsia="ja-JP"/>
        </w:rPr>
        <w:t>severe haemoptysis and decreased oxygen levels. Resuscitation was performed but the</w:t>
      </w:r>
      <w:r>
        <w:rPr>
          <w:lang w:eastAsia="ja-JP"/>
        </w:rPr>
        <w:t xml:space="preserve"> </w:t>
      </w:r>
      <w:r w:rsidRPr="00A21B82">
        <w:rPr>
          <w:lang w:eastAsia="ja-JP"/>
        </w:rPr>
        <w:t>patient died. The cause of death was given as respiratory insufficiency due to pneumonia.</w:t>
      </w:r>
      <w:r>
        <w:rPr>
          <w:lang w:eastAsia="ja-JP"/>
        </w:rPr>
        <w:t xml:space="preserve"> </w:t>
      </w:r>
      <w:r w:rsidRPr="00A21B82">
        <w:rPr>
          <w:lang w:eastAsia="ja-JP"/>
        </w:rPr>
        <w:t>An autopsy was performed and showed necrotic arteritis and vasculitis in both lungs.</w:t>
      </w:r>
    </w:p>
    <w:p w14:paraId="27063118" w14:textId="3073DECE" w:rsidR="00143A39" w:rsidRDefault="00143A39" w:rsidP="00143A39">
      <w:pPr>
        <w:pStyle w:val="ListBullet"/>
        <w:rPr>
          <w:lang w:eastAsia="ja-JP"/>
        </w:rPr>
      </w:pPr>
      <w:r>
        <w:rPr>
          <w:lang w:eastAsia="ja-JP"/>
        </w:rPr>
        <w:t>A</w:t>
      </w:r>
      <w:r w:rsidR="00A2508E">
        <w:rPr>
          <w:lang w:eastAsia="ja-JP"/>
        </w:rPr>
        <w:t xml:space="preserve"> 7 year </w:t>
      </w:r>
      <w:r w:rsidRPr="00A21B82">
        <w:rPr>
          <w:lang w:eastAsia="ja-JP"/>
        </w:rPr>
        <w:t xml:space="preserve">old male patient with idiopathic </w:t>
      </w:r>
      <w:r>
        <w:rPr>
          <w:lang w:eastAsia="ja-JP"/>
        </w:rPr>
        <w:t xml:space="preserve">PH and a </w:t>
      </w:r>
      <w:r w:rsidRPr="00A21B82">
        <w:rPr>
          <w:lang w:eastAsia="ja-JP"/>
        </w:rPr>
        <w:t xml:space="preserve">history </w:t>
      </w:r>
      <w:r>
        <w:rPr>
          <w:lang w:eastAsia="ja-JP"/>
        </w:rPr>
        <w:t xml:space="preserve">of </w:t>
      </w:r>
      <w:r w:rsidRPr="00A21B82">
        <w:rPr>
          <w:lang w:eastAsia="ja-JP"/>
        </w:rPr>
        <w:t xml:space="preserve">asthma and atrial septal defect </w:t>
      </w:r>
      <w:r>
        <w:rPr>
          <w:lang w:eastAsia="ja-JP"/>
        </w:rPr>
        <w:t>was</w:t>
      </w:r>
      <w:r w:rsidRPr="00A21B82">
        <w:rPr>
          <w:lang w:eastAsia="ja-JP"/>
        </w:rPr>
        <w:t xml:space="preserve"> bosentan for 96 days, completed the </w:t>
      </w:r>
      <w:r w:rsidR="009C6335">
        <w:rPr>
          <w:lang w:eastAsia="ja-JP"/>
        </w:rPr>
        <w:t>FUTURE-1</w:t>
      </w:r>
      <w:r w:rsidRPr="00A21B82">
        <w:rPr>
          <w:lang w:eastAsia="ja-JP"/>
        </w:rPr>
        <w:t xml:space="preserve"> </w:t>
      </w:r>
      <w:r w:rsidR="00E77015">
        <w:rPr>
          <w:lang w:eastAsia="ja-JP"/>
        </w:rPr>
        <w:t>Study</w:t>
      </w:r>
      <w:r w:rsidRPr="00A21B82">
        <w:rPr>
          <w:lang w:eastAsia="ja-JP"/>
        </w:rPr>
        <w:t xml:space="preserve"> and</w:t>
      </w:r>
      <w:r>
        <w:rPr>
          <w:lang w:eastAsia="ja-JP"/>
        </w:rPr>
        <w:t xml:space="preserve"> </w:t>
      </w:r>
      <w:r w:rsidRPr="00A21B82">
        <w:rPr>
          <w:lang w:eastAsia="ja-JP"/>
        </w:rPr>
        <w:t xml:space="preserve">entered </w:t>
      </w:r>
      <w:r w:rsidR="009C6335">
        <w:rPr>
          <w:lang w:eastAsia="ja-JP"/>
        </w:rPr>
        <w:t>FUTURE-2</w:t>
      </w:r>
      <w:r w:rsidRPr="00A21B82">
        <w:rPr>
          <w:lang w:eastAsia="ja-JP"/>
        </w:rPr>
        <w:t xml:space="preserve">. </w:t>
      </w:r>
      <w:r>
        <w:rPr>
          <w:lang w:eastAsia="ja-JP"/>
        </w:rPr>
        <w:t>C</w:t>
      </w:r>
      <w:r w:rsidRPr="00A21B82">
        <w:rPr>
          <w:lang w:eastAsia="ja-JP"/>
        </w:rPr>
        <w:t>oncomitant</w:t>
      </w:r>
      <w:r>
        <w:rPr>
          <w:lang w:eastAsia="ja-JP"/>
        </w:rPr>
        <w:t xml:space="preserve"> </w:t>
      </w:r>
      <w:r w:rsidRPr="00A21B82">
        <w:rPr>
          <w:lang w:eastAsia="ja-JP"/>
        </w:rPr>
        <w:t>medication included acetylsalicylic acid, fluticasone, furosemide, salmeterol and oxygen.</w:t>
      </w:r>
      <w:r>
        <w:rPr>
          <w:lang w:eastAsia="ja-JP"/>
        </w:rPr>
        <w:t xml:space="preserve"> </w:t>
      </w:r>
      <w:r w:rsidRPr="00A21B82">
        <w:rPr>
          <w:lang w:eastAsia="ja-JP"/>
        </w:rPr>
        <w:t>On Day 115, the patient presented with cough and a fever of 38.5 °C</w:t>
      </w:r>
      <w:r>
        <w:rPr>
          <w:lang w:eastAsia="ja-JP"/>
        </w:rPr>
        <w:t xml:space="preserve"> </w:t>
      </w:r>
      <w:r w:rsidRPr="00A21B82">
        <w:rPr>
          <w:lang w:eastAsia="ja-JP"/>
        </w:rPr>
        <w:t>and was diagnosed with viral rhinobronchitis. He was hospitali</w:t>
      </w:r>
      <w:r>
        <w:rPr>
          <w:lang w:eastAsia="ja-JP"/>
        </w:rPr>
        <w:t>s</w:t>
      </w:r>
      <w:r w:rsidRPr="00A21B82">
        <w:rPr>
          <w:lang w:eastAsia="ja-JP"/>
        </w:rPr>
        <w:t>ed two days later and</w:t>
      </w:r>
      <w:r>
        <w:rPr>
          <w:lang w:eastAsia="ja-JP"/>
        </w:rPr>
        <w:t xml:space="preserve"> </w:t>
      </w:r>
      <w:r w:rsidRPr="00A21B82">
        <w:rPr>
          <w:lang w:eastAsia="ja-JP"/>
        </w:rPr>
        <w:t>treated with budesonide, paracetamol, hydroxyzine, and clobutinol. The patient's condition</w:t>
      </w:r>
      <w:r>
        <w:rPr>
          <w:lang w:eastAsia="ja-JP"/>
        </w:rPr>
        <w:t xml:space="preserve"> </w:t>
      </w:r>
      <w:r w:rsidRPr="00A21B82">
        <w:rPr>
          <w:lang w:eastAsia="ja-JP"/>
        </w:rPr>
        <w:t>improved within 48 hours</w:t>
      </w:r>
      <w:r>
        <w:rPr>
          <w:lang w:eastAsia="ja-JP"/>
        </w:rPr>
        <w:t xml:space="preserve"> and t</w:t>
      </w:r>
      <w:r w:rsidRPr="00A21B82">
        <w:rPr>
          <w:lang w:eastAsia="ja-JP"/>
        </w:rPr>
        <w:t>he patient was discharged.</w:t>
      </w:r>
      <w:r>
        <w:rPr>
          <w:lang w:eastAsia="ja-JP"/>
        </w:rPr>
        <w:t xml:space="preserve"> </w:t>
      </w:r>
      <w:r w:rsidRPr="00A21B82">
        <w:rPr>
          <w:lang w:eastAsia="ja-JP"/>
        </w:rPr>
        <w:t>The event resol</w:t>
      </w:r>
      <w:r>
        <w:rPr>
          <w:lang w:eastAsia="ja-JP"/>
        </w:rPr>
        <w:t>ved without sequelae on Day 123</w:t>
      </w:r>
      <w:r w:rsidRPr="00A21B82">
        <w:rPr>
          <w:lang w:eastAsia="ja-JP"/>
        </w:rPr>
        <w:t xml:space="preserve"> with the </w:t>
      </w:r>
      <w:r w:rsidR="0066478A">
        <w:rPr>
          <w:lang w:eastAsia="ja-JP"/>
        </w:rPr>
        <w:t>study</w:t>
      </w:r>
      <w:r w:rsidRPr="00A21B82">
        <w:rPr>
          <w:lang w:eastAsia="ja-JP"/>
        </w:rPr>
        <w:t xml:space="preserve"> drug</w:t>
      </w:r>
      <w:r>
        <w:rPr>
          <w:lang w:eastAsia="ja-JP"/>
        </w:rPr>
        <w:t xml:space="preserve"> </w:t>
      </w:r>
      <w:r w:rsidRPr="00A21B82">
        <w:rPr>
          <w:lang w:eastAsia="ja-JP"/>
        </w:rPr>
        <w:t>o</w:t>
      </w:r>
      <w:r>
        <w:rPr>
          <w:lang w:eastAsia="ja-JP"/>
        </w:rPr>
        <w:t xml:space="preserve">ngoing. This event was </w:t>
      </w:r>
      <w:r w:rsidRPr="00A21B82">
        <w:rPr>
          <w:lang w:eastAsia="ja-JP"/>
        </w:rPr>
        <w:t>judged unrelated to</w:t>
      </w:r>
      <w:r>
        <w:rPr>
          <w:lang w:eastAsia="ja-JP"/>
        </w:rPr>
        <w:t xml:space="preserve"> </w:t>
      </w:r>
      <w:r w:rsidRPr="00A21B82">
        <w:rPr>
          <w:lang w:eastAsia="ja-JP"/>
        </w:rPr>
        <w:t xml:space="preserve">the </w:t>
      </w:r>
      <w:r w:rsidR="0066478A">
        <w:rPr>
          <w:lang w:eastAsia="ja-JP"/>
        </w:rPr>
        <w:t>study</w:t>
      </w:r>
      <w:r w:rsidRPr="00A21B82">
        <w:rPr>
          <w:lang w:eastAsia="ja-JP"/>
        </w:rPr>
        <w:t xml:space="preserve"> drug.</w:t>
      </w:r>
      <w:r>
        <w:rPr>
          <w:lang w:eastAsia="ja-JP"/>
        </w:rPr>
        <w:t xml:space="preserve"> </w:t>
      </w:r>
      <w:r w:rsidRPr="00A21B82">
        <w:rPr>
          <w:lang w:eastAsia="ja-JP"/>
        </w:rPr>
        <w:t>On Day 181, the patient was hospitali</w:t>
      </w:r>
      <w:r>
        <w:rPr>
          <w:lang w:eastAsia="ja-JP"/>
        </w:rPr>
        <w:t>s</w:t>
      </w:r>
      <w:r w:rsidRPr="00A21B82">
        <w:rPr>
          <w:lang w:eastAsia="ja-JP"/>
        </w:rPr>
        <w:t>ed due to worsening of</w:t>
      </w:r>
      <w:r>
        <w:rPr>
          <w:lang w:eastAsia="ja-JP"/>
        </w:rPr>
        <w:t xml:space="preserve"> PH</w:t>
      </w:r>
      <w:r w:rsidRPr="00A21B82">
        <w:rPr>
          <w:lang w:eastAsia="ja-JP"/>
        </w:rPr>
        <w:t xml:space="preserve">. </w:t>
      </w:r>
      <w:r w:rsidR="007C6D8D">
        <w:rPr>
          <w:lang w:eastAsia="ja-JP"/>
        </w:rPr>
        <w:t>Abd</w:t>
      </w:r>
      <w:r w:rsidRPr="00A21B82">
        <w:rPr>
          <w:lang w:eastAsia="ja-JP"/>
        </w:rPr>
        <w:t>ominal echography confirmed hepatomegaly and mild</w:t>
      </w:r>
      <w:r>
        <w:rPr>
          <w:lang w:eastAsia="ja-JP"/>
        </w:rPr>
        <w:t xml:space="preserve"> </w:t>
      </w:r>
      <w:r w:rsidRPr="00A21B82">
        <w:rPr>
          <w:lang w:eastAsia="ja-JP"/>
        </w:rPr>
        <w:t>splenomegaly without ascites. Laboratory tests showed normal values for liver and kidney</w:t>
      </w:r>
      <w:r>
        <w:rPr>
          <w:lang w:eastAsia="ja-JP"/>
        </w:rPr>
        <w:t xml:space="preserve"> </w:t>
      </w:r>
      <w:r w:rsidRPr="00A21B82">
        <w:rPr>
          <w:lang w:eastAsia="ja-JP"/>
        </w:rPr>
        <w:t xml:space="preserve">function. </w:t>
      </w:r>
      <w:r>
        <w:rPr>
          <w:lang w:eastAsia="ja-JP"/>
        </w:rPr>
        <w:t>T</w:t>
      </w:r>
      <w:r w:rsidRPr="00A21B82">
        <w:rPr>
          <w:lang w:eastAsia="ja-JP"/>
        </w:rPr>
        <w:t xml:space="preserve">he patient </w:t>
      </w:r>
      <w:r>
        <w:rPr>
          <w:lang w:eastAsia="ja-JP"/>
        </w:rPr>
        <w:t xml:space="preserve">was treated </w:t>
      </w:r>
      <w:r w:rsidRPr="00A21B82">
        <w:rPr>
          <w:lang w:eastAsia="ja-JP"/>
        </w:rPr>
        <w:t xml:space="preserve">with </w:t>
      </w:r>
      <w:r w:rsidR="00A5161C">
        <w:rPr>
          <w:lang w:eastAsia="ja-JP"/>
        </w:rPr>
        <w:t>IV</w:t>
      </w:r>
      <w:r w:rsidR="00A2508E">
        <w:rPr>
          <w:lang w:eastAsia="ja-JP"/>
        </w:rPr>
        <w:t xml:space="preserve"> </w:t>
      </w:r>
      <w:r w:rsidRPr="00A21B82">
        <w:rPr>
          <w:lang w:eastAsia="ja-JP"/>
        </w:rPr>
        <w:t>epoprostenol and a central line was</w:t>
      </w:r>
      <w:r>
        <w:rPr>
          <w:lang w:eastAsia="ja-JP"/>
        </w:rPr>
        <w:t xml:space="preserve"> </w:t>
      </w:r>
      <w:r w:rsidRPr="00A21B82">
        <w:rPr>
          <w:lang w:eastAsia="ja-JP"/>
        </w:rPr>
        <w:t>inserted. Despite continued treatment, cardiac failure did</w:t>
      </w:r>
      <w:r>
        <w:rPr>
          <w:lang w:eastAsia="ja-JP"/>
        </w:rPr>
        <w:t xml:space="preserve"> </w:t>
      </w:r>
      <w:r w:rsidRPr="00A21B82">
        <w:rPr>
          <w:lang w:eastAsia="ja-JP"/>
        </w:rPr>
        <w:t>not improve and the patient died on Day 265.</w:t>
      </w:r>
      <w:r>
        <w:rPr>
          <w:lang w:eastAsia="ja-JP"/>
        </w:rPr>
        <w:t xml:space="preserve"> </w:t>
      </w:r>
      <w:r w:rsidRPr="00A21B82">
        <w:rPr>
          <w:lang w:eastAsia="ja-JP"/>
        </w:rPr>
        <w:t xml:space="preserve">An autopsy was not performed. The </w:t>
      </w:r>
      <w:r w:rsidR="0066478A">
        <w:rPr>
          <w:lang w:eastAsia="ja-JP"/>
        </w:rPr>
        <w:t>study</w:t>
      </w:r>
      <w:r w:rsidRPr="00A21B82">
        <w:rPr>
          <w:lang w:eastAsia="ja-JP"/>
        </w:rPr>
        <w:t xml:space="preserve"> drug was cont</w:t>
      </w:r>
      <w:r>
        <w:rPr>
          <w:lang w:eastAsia="ja-JP"/>
        </w:rPr>
        <w:t>inued to the time of death. T</w:t>
      </w:r>
      <w:r w:rsidRPr="00A21B82">
        <w:rPr>
          <w:lang w:eastAsia="ja-JP"/>
        </w:rPr>
        <w:t xml:space="preserve">he </w:t>
      </w:r>
      <w:r>
        <w:rPr>
          <w:lang w:eastAsia="ja-JP"/>
        </w:rPr>
        <w:t xml:space="preserve">cause of </w:t>
      </w:r>
      <w:r w:rsidRPr="00A21B82">
        <w:rPr>
          <w:lang w:eastAsia="ja-JP"/>
        </w:rPr>
        <w:t xml:space="preserve">death </w:t>
      </w:r>
      <w:r>
        <w:rPr>
          <w:lang w:eastAsia="ja-JP"/>
        </w:rPr>
        <w:t xml:space="preserve">was reported as </w:t>
      </w:r>
      <w:r w:rsidRPr="00A21B82">
        <w:rPr>
          <w:lang w:eastAsia="ja-JP"/>
        </w:rPr>
        <w:t>cardiac failure as unrelated to bosentan.</w:t>
      </w:r>
    </w:p>
    <w:p w14:paraId="33963226" w14:textId="479E7D7B" w:rsidR="00143A39" w:rsidRDefault="00143A39" w:rsidP="00143A39">
      <w:pPr>
        <w:pStyle w:val="ListBullet"/>
        <w:rPr>
          <w:lang w:eastAsia="ja-JP"/>
        </w:rPr>
      </w:pPr>
      <w:r>
        <w:rPr>
          <w:lang w:eastAsia="ja-JP"/>
        </w:rPr>
        <w:t>A</w:t>
      </w:r>
      <w:r w:rsidRPr="00A21B82">
        <w:rPr>
          <w:lang w:eastAsia="ja-JP"/>
        </w:rPr>
        <w:t xml:space="preserve"> </w:t>
      </w:r>
      <w:r w:rsidR="009C6335">
        <w:rPr>
          <w:lang w:eastAsia="ja-JP"/>
        </w:rPr>
        <w:t>5 year</w:t>
      </w:r>
      <w:r w:rsidRPr="00A21B82">
        <w:rPr>
          <w:lang w:eastAsia="ja-JP"/>
        </w:rPr>
        <w:t xml:space="preserve">-old male patient with familial </w:t>
      </w:r>
      <w:r>
        <w:rPr>
          <w:lang w:eastAsia="ja-JP"/>
        </w:rPr>
        <w:t xml:space="preserve">PH </w:t>
      </w:r>
      <w:r w:rsidRPr="00A21B82">
        <w:rPr>
          <w:lang w:eastAsia="ja-JP"/>
        </w:rPr>
        <w:t>was enrolled</w:t>
      </w:r>
      <w:r>
        <w:rPr>
          <w:lang w:eastAsia="ja-JP"/>
        </w:rPr>
        <w:t xml:space="preserve"> in the </w:t>
      </w:r>
      <w:r w:rsidR="009C6335">
        <w:rPr>
          <w:lang w:eastAsia="ja-JP"/>
        </w:rPr>
        <w:t>FUTURE-1</w:t>
      </w:r>
      <w:r>
        <w:rPr>
          <w:lang w:eastAsia="ja-JP"/>
        </w:rPr>
        <w:t xml:space="preserve"> </w:t>
      </w:r>
      <w:r w:rsidR="00E77015">
        <w:rPr>
          <w:lang w:eastAsia="ja-JP"/>
        </w:rPr>
        <w:t>Study</w:t>
      </w:r>
      <w:r>
        <w:rPr>
          <w:lang w:eastAsia="ja-JP"/>
        </w:rPr>
        <w:t xml:space="preserve"> </w:t>
      </w:r>
      <w:r w:rsidRPr="00A21B82">
        <w:rPr>
          <w:lang w:eastAsia="ja-JP"/>
        </w:rPr>
        <w:t>and started treatment with bosentan. The patient was treated with bosentan fo</w:t>
      </w:r>
      <w:r>
        <w:rPr>
          <w:lang w:eastAsia="ja-JP"/>
        </w:rPr>
        <w:t>r 85 days, completed the FUTURE-</w:t>
      </w:r>
      <w:r w:rsidRPr="00A21B82">
        <w:rPr>
          <w:lang w:eastAsia="ja-JP"/>
        </w:rPr>
        <w:t xml:space="preserve">1 </w:t>
      </w:r>
      <w:r w:rsidR="00E77015">
        <w:rPr>
          <w:lang w:eastAsia="ja-JP"/>
        </w:rPr>
        <w:t>Study</w:t>
      </w:r>
      <w:r w:rsidRPr="00A21B82">
        <w:rPr>
          <w:lang w:eastAsia="ja-JP"/>
        </w:rPr>
        <w:t xml:space="preserve"> and</w:t>
      </w:r>
      <w:r>
        <w:rPr>
          <w:lang w:eastAsia="ja-JP"/>
        </w:rPr>
        <w:t xml:space="preserve"> entered FUTURE-</w:t>
      </w:r>
      <w:r w:rsidRPr="00A21B82">
        <w:rPr>
          <w:lang w:eastAsia="ja-JP"/>
        </w:rPr>
        <w:t>2. There was no ongoing</w:t>
      </w:r>
      <w:r>
        <w:rPr>
          <w:lang w:eastAsia="ja-JP"/>
        </w:rPr>
        <w:t xml:space="preserve"> </w:t>
      </w:r>
      <w:r w:rsidRPr="00A21B82">
        <w:rPr>
          <w:lang w:eastAsia="ja-JP"/>
        </w:rPr>
        <w:t>concomitant medication reported.</w:t>
      </w:r>
      <w:r>
        <w:rPr>
          <w:lang w:eastAsia="ja-JP"/>
        </w:rPr>
        <w:t xml:space="preserve"> On Day 121, </w:t>
      </w:r>
      <w:r w:rsidRPr="00A21B82">
        <w:rPr>
          <w:lang w:eastAsia="ja-JP"/>
        </w:rPr>
        <w:t>the patient developed right heart failure after Potts</w:t>
      </w:r>
      <w:r>
        <w:rPr>
          <w:lang w:eastAsia="ja-JP"/>
        </w:rPr>
        <w:t xml:space="preserve"> </w:t>
      </w:r>
      <w:r w:rsidRPr="00A21B82">
        <w:rPr>
          <w:lang w:eastAsia="ja-JP"/>
        </w:rPr>
        <w:t>anastomosis and was hospitali</w:t>
      </w:r>
      <w:r>
        <w:rPr>
          <w:lang w:eastAsia="ja-JP"/>
        </w:rPr>
        <w:t>s</w:t>
      </w:r>
      <w:r w:rsidRPr="00A21B82">
        <w:rPr>
          <w:lang w:eastAsia="ja-JP"/>
        </w:rPr>
        <w:t xml:space="preserve">ed for worsening of </w:t>
      </w:r>
      <w:r>
        <w:rPr>
          <w:lang w:eastAsia="ja-JP"/>
        </w:rPr>
        <w:t>PH</w:t>
      </w:r>
      <w:r w:rsidRPr="00A21B82">
        <w:rPr>
          <w:lang w:eastAsia="ja-JP"/>
        </w:rPr>
        <w:t xml:space="preserve"> on Day 131. The patient died in hospital on Day 137 of</w:t>
      </w:r>
      <w:r>
        <w:rPr>
          <w:lang w:eastAsia="ja-JP"/>
        </w:rPr>
        <w:t xml:space="preserve"> </w:t>
      </w:r>
      <w:r w:rsidRPr="00A21B82">
        <w:rPr>
          <w:lang w:eastAsia="ja-JP"/>
        </w:rPr>
        <w:t>refractory right ventricular failure due to worsening of PAH. This event was reported as</w:t>
      </w:r>
      <w:r>
        <w:rPr>
          <w:lang w:eastAsia="ja-JP"/>
        </w:rPr>
        <w:t xml:space="preserve"> </w:t>
      </w:r>
      <w:r w:rsidRPr="00A21B82">
        <w:rPr>
          <w:lang w:eastAsia="ja-JP"/>
        </w:rPr>
        <w:t xml:space="preserve">serious, but not related to </w:t>
      </w:r>
      <w:r w:rsidR="0066478A">
        <w:rPr>
          <w:lang w:eastAsia="ja-JP"/>
        </w:rPr>
        <w:t>study</w:t>
      </w:r>
      <w:r w:rsidRPr="00A21B82">
        <w:rPr>
          <w:lang w:eastAsia="ja-JP"/>
        </w:rPr>
        <w:t xml:space="preserve"> drug.</w:t>
      </w:r>
    </w:p>
    <w:p w14:paraId="240E99C6" w14:textId="2640C36F" w:rsidR="00143A39" w:rsidRDefault="00143A39" w:rsidP="00143A39">
      <w:pPr>
        <w:pStyle w:val="ListBullet"/>
        <w:rPr>
          <w:lang w:eastAsia="ja-JP"/>
        </w:rPr>
      </w:pPr>
      <w:r w:rsidRPr="00A21B82">
        <w:rPr>
          <w:lang w:eastAsia="ja-JP"/>
        </w:rPr>
        <w:lastRenderedPageBreak/>
        <w:t xml:space="preserve">This </w:t>
      </w:r>
      <w:r w:rsidR="009C6335">
        <w:rPr>
          <w:lang w:eastAsia="ja-JP"/>
        </w:rPr>
        <w:t>5 year</w:t>
      </w:r>
      <w:r w:rsidR="00A2508E">
        <w:rPr>
          <w:lang w:eastAsia="ja-JP"/>
        </w:rPr>
        <w:t xml:space="preserve"> </w:t>
      </w:r>
      <w:r w:rsidRPr="00A21B82">
        <w:rPr>
          <w:lang w:eastAsia="ja-JP"/>
        </w:rPr>
        <w:t xml:space="preserve">old Caucasian male patient with idiopathic </w:t>
      </w:r>
      <w:r>
        <w:rPr>
          <w:lang w:eastAsia="ja-JP"/>
        </w:rPr>
        <w:t>PH</w:t>
      </w:r>
      <w:r w:rsidRPr="00A21B82">
        <w:rPr>
          <w:lang w:eastAsia="ja-JP"/>
        </w:rPr>
        <w:t xml:space="preserve"> was</w:t>
      </w:r>
      <w:r>
        <w:rPr>
          <w:lang w:eastAsia="ja-JP"/>
        </w:rPr>
        <w:t xml:space="preserve"> enrolled in FUTURE-1 </w:t>
      </w:r>
      <w:r w:rsidRPr="00A21B82">
        <w:rPr>
          <w:lang w:eastAsia="ja-JP"/>
        </w:rPr>
        <w:t>and started treatment with bosentan. Medical history included amblyopia, cerebellar ataxia and</w:t>
      </w:r>
      <w:r>
        <w:rPr>
          <w:lang w:eastAsia="ja-JP"/>
        </w:rPr>
        <w:t xml:space="preserve"> </w:t>
      </w:r>
      <w:r w:rsidRPr="00A21B82">
        <w:rPr>
          <w:lang w:eastAsia="ja-JP"/>
        </w:rPr>
        <w:t>cerebellar hypoplasia, rhinitis, otitis, adenoidal hypertrophy and bacterial infection</w:t>
      </w:r>
      <w:r>
        <w:rPr>
          <w:lang w:eastAsia="ja-JP"/>
        </w:rPr>
        <w:t xml:space="preserve"> </w:t>
      </w:r>
      <w:r w:rsidRPr="00A21B82">
        <w:rPr>
          <w:lang w:eastAsia="ja-JP"/>
        </w:rPr>
        <w:t>secondary to adenoidectomy, gastrostomy, and thrombocytopenia.</w:t>
      </w:r>
      <w:r>
        <w:rPr>
          <w:lang w:eastAsia="ja-JP"/>
        </w:rPr>
        <w:t xml:space="preserve"> </w:t>
      </w:r>
      <w:r w:rsidRPr="00A21B82">
        <w:rPr>
          <w:lang w:eastAsia="ja-JP"/>
        </w:rPr>
        <w:t xml:space="preserve">The patient was treated with bosentan for 110 days. </w:t>
      </w:r>
      <w:r>
        <w:rPr>
          <w:lang w:eastAsia="ja-JP"/>
        </w:rPr>
        <w:t>T</w:t>
      </w:r>
      <w:r w:rsidRPr="00A21B82">
        <w:rPr>
          <w:lang w:eastAsia="ja-JP"/>
        </w:rPr>
        <w:t>he patient</w:t>
      </w:r>
      <w:r>
        <w:rPr>
          <w:lang w:eastAsia="ja-JP"/>
        </w:rPr>
        <w:t xml:space="preserve"> </w:t>
      </w:r>
      <w:r w:rsidRPr="00A21B82">
        <w:rPr>
          <w:lang w:eastAsia="ja-JP"/>
        </w:rPr>
        <w:t xml:space="preserve">experienced blood bacterial infection, which resolved with the </w:t>
      </w:r>
      <w:r w:rsidR="0066478A">
        <w:rPr>
          <w:lang w:eastAsia="ja-JP"/>
        </w:rPr>
        <w:t>study</w:t>
      </w:r>
      <w:r w:rsidRPr="00A21B82">
        <w:rPr>
          <w:lang w:eastAsia="ja-JP"/>
        </w:rPr>
        <w:t xml:space="preserve"> drug</w:t>
      </w:r>
      <w:r>
        <w:rPr>
          <w:lang w:eastAsia="ja-JP"/>
        </w:rPr>
        <w:t xml:space="preserve"> </w:t>
      </w:r>
      <w:r w:rsidRPr="00A21B82">
        <w:rPr>
          <w:lang w:eastAsia="ja-JP"/>
        </w:rPr>
        <w:t>ongoing. T</w:t>
      </w:r>
      <w:r>
        <w:rPr>
          <w:lang w:eastAsia="ja-JP"/>
        </w:rPr>
        <w:t xml:space="preserve">he patient completed the FUTURE-1 </w:t>
      </w:r>
      <w:r w:rsidR="00E77015">
        <w:rPr>
          <w:lang w:eastAsia="ja-JP"/>
        </w:rPr>
        <w:t>Study</w:t>
      </w:r>
      <w:r>
        <w:rPr>
          <w:lang w:eastAsia="ja-JP"/>
        </w:rPr>
        <w:t xml:space="preserve"> and entered FUTURE-</w:t>
      </w:r>
      <w:r w:rsidRPr="00A21B82">
        <w:rPr>
          <w:lang w:eastAsia="ja-JP"/>
        </w:rPr>
        <w:t>2. There was no ongoing concomitant medication reported</w:t>
      </w:r>
      <w:r>
        <w:rPr>
          <w:lang w:eastAsia="ja-JP"/>
        </w:rPr>
        <w:t xml:space="preserve"> </w:t>
      </w:r>
      <w:r w:rsidRPr="00A21B82">
        <w:rPr>
          <w:lang w:eastAsia="ja-JP"/>
        </w:rPr>
        <w:t xml:space="preserve">at </w:t>
      </w:r>
      <w:r w:rsidR="0066478A">
        <w:rPr>
          <w:lang w:eastAsia="ja-JP"/>
        </w:rPr>
        <w:t>study</w:t>
      </w:r>
      <w:r w:rsidRPr="00A21B82">
        <w:rPr>
          <w:lang w:eastAsia="ja-JP"/>
        </w:rPr>
        <w:t xml:space="preserve"> entry.</w:t>
      </w:r>
      <w:r>
        <w:rPr>
          <w:lang w:eastAsia="ja-JP"/>
        </w:rPr>
        <w:t xml:space="preserve"> </w:t>
      </w:r>
      <w:r w:rsidRPr="00A21B82">
        <w:rPr>
          <w:lang w:eastAsia="ja-JP"/>
        </w:rPr>
        <w:t>On Day 218, the patient presented with fever and cough and was</w:t>
      </w:r>
      <w:r>
        <w:rPr>
          <w:lang w:eastAsia="ja-JP"/>
        </w:rPr>
        <w:t xml:space="preserve"> </w:t>
      </w:r>
      <w:r w:rsidRPr="00A21B82">
        <w:rPr>
          <w:lang w:eastAsia="ja-JP"/>
        </w:rPr>
        <w:t>hospitali</w:t>
      </w:r>
      <w:r>
        <w:rPr>
          <w:lang w:eastAsia="ja-JP"/>
        </w:rPr>
        <w:t>s</w:t>
      </w:r>
      <w:r w:rsidRPr="00A21B82">
        <w:rPr>
          <w:lang w:eastAsia="ja-JP"/>
        </w:rPr>
        <w:t>ed.</w:t>
      </w:r>
      <w:r>
        <w:rPr>
          <w:lang w:eastAsia="ja-JP"/>
        </w:rPr>
        <w:t xml:space="preserve"> </w:t>
      </w:r>
      <w:r w:rsidRPr="00A21B82">
        <w:rPr>
          <w:lang w:eastAsia="ja-JP"/>
        </w:rPr>
        <w:t>He was diagnosed with pulmonary infection and</w:t>
      </w:r>
      <w:r>
        <w:rPr>
          <w:lang w:eastAsia="ja-JP"/>
        </w:rPr>
        <w:t xml:space="preserve"> was treated and the</w:t>
      </w:r>
      <w:r w:rsidRPr="00A21B82">
        <w:rPr>
          <w:lang w:eastAsia="ja-JP"/>
        </w:rPr>
        <w:t xml:space="preserve"> event resolved without sequelae on Day 220</w:t>
      </w:r>
      <w:r>
        <w:rPr>
          <w:lang w:eastAsia="ja-JP"/>
        </w:rPr>
        <w:t xml:space="preserve"> </w:t>
      </w:r>
      <w:r w:rsidRPr="00A21B82">
        <w:rPr>
          <w:lang w:eastAsia="ja-JP"/>
        </w:rPr>
        <w:t xml:space="preserve">with the </w:t>
      </w:r>
      <w:r w:rsidR="0066478A">
        <w:rPr>
          <w:lang w:eastAsia="ja-JP"/>
        </w:rPr>
        <w:t>study</w:t>
      </w:r>
      <w:r w:rsidRPr="00A21B82">
        <w:rPr>
          <w:lang w:eastAsia="ja-JP"/>
        </w:rPr>
        <w:t xml:space="preserve"> d</w:t>
      </w:r>
      <w:r>
        <w:rPr>
          <w:lang w:eastAsia="ja-JP"/>
        </w:rPr>
        <w:t xml:space="preserve">rug ongoing and the patient was </w:t>
      </w:r>
      <w:r w:rsidRPr="00A21B82">
        <w:rPr>
          <w:lang w:eastAsia="ja-JP"/>
        </w:rPr>
        <w:t>discharged on the same</w:t>
      </w:r>
      <w:r>
        <w:rPr>
          <w:lang w:eastAsia="ja-JP"/>
        </w:rPr>
        <w:t xml:space="preserve"> </w:t>
      </w:r>
      <w:r w:rsidRPr="00A21B82">
        <w:rPr>
          <w:lang w:eastAsia="ja-JP"/>
        </w:rPr>
        <w:t>day. This event was judged unrelated to the</w:t>
      </w:r>
      <w:r>
        <w:rPr>
          <w:lang w:eastAsia="ja-JP"/>
        </w:rPr>
        <w:t xml:space="preserve"> </w:t>
      </w:r>
      <w:r w:rsidR="0066478A">
        <w:rPr>
          <w:lang w:eastAsia="ja-JP"/>
        </w:rPr>
        <w:t>study</w:t>
      </w:r>
      <w:r w:rsidRPr="00A21B82">
        <w:rPr>
          <w:lang w:eastAsia="ja-JP"/>
        </w:rPr>
        <w:t xml:space="preserve"> drug.</w:t>
      </w:r>
      <w:r>
        <w:rPr>
          <w:lang w:eastAsia="ja-JP"/>
        </w:rPr>
        <w:t xml:space="preserve"> </w:t>
      </w:r>
      <w:r w:rsidRPr="00A21B82">
        <w:rPr>
          <w:lang w:eastAsia="ja-JP"/>
        </w:rPr>
        <w:t xml:space="preserve">On Day 290, the patient was found to have worsening of </w:t>
      </w:r>
      <w:r>
        <w:rPr>
          <w:lang w:eastAsia="ja-JP"/>
        </w:rPr>
        <w:t xml:space="preserve">PH </w:t>
      </w:r>
      <w:r w:rsidRPr="00A21B82">
        <w:rPr>
          <w:lang w:eastAsia="ja-JP"/>
        </w:rPr>
        <w:t>on routine echocardiogram. He had symptoms</w:t>
      </w:r>
      <w:r>
        <w:rPr>
          <w:lang w:eastAsia="ja-JP"/>
        </w:rPr>
        <w:t xml:space="preserve"> </w:t>
      </w:r>
      <w:r w:rsidRPr="00A21B82">
        <w:rPr>
          <w:lang w:eastAsia="ja-JP"/>
        </w:rPr>
        <w:t>of fatigue and near syncope.</w:t>
      </w:r>
      <w:r>
        <w:rPr>
          <w:lang w:eastAsia="ja-JP"/>
        </w:rPr>
        <w:t xml:space="preserve"> </w:t>
      </w:r>
      <w:r w:rsidRPr="00A21B82">
        <w:rPr>
          <w:lang w:eastAsia="ja-JP"/>
        </w:rPr>
        <w:t>The patient was placed on supplemental oxygen and remaine</w:t>
      </w:r>
      <w:r>
        <w:rPr>
          <w:lang w:eastAsia="ja-JP"/>
        </w:rPr>
        <w:t xml:space="preserve">d in stable clinical condition. </w:t>
      </w:r>
      <w:r w:rsidRPr="00A21B82">
        <w:rPr>
          <w:lang w:eastAsia="ja-JP"/>
        </w:rPr>
        <w:t>He was hospitali</w:t>
      </w:r>
      <w:r>
        <w:rPr>
          <w:lang w:eastAsia="ja-JP"/>
        </w:rPr>
        <w:t>s</w:t>
      </w:r>
      <w:r w:rsidRPr="00A21B82">
        <w:rPr>
          <w:lang w:eastAsia="ja-JP"/>
        </w:rPr>
        <w:t>ed from Day 358 for initiation of sildenafil therapy, the</w:t>
      </w:r>
      <w:r>
        <w:rPr>
          <w:lang w:eastAsia="ja-JP"/>
        </w:rPr>
        <w:t xml:space="preserve"> </w:t>
      </w:r>
      <w:r w:rsidR="0066478A">
        <w:rPr>
          <w:lang w:eastAsia="ja-JP"/>
        </w:rPr>
        <w:t>study</w:t>
      </w:r>
      <w:r w:rsidRPr="00A21B82">
        <w:rPr>
          <w:lang w:eastAsia="ja-JP"/>
        </w:rPr>
        <w:t xml:space="preserve"> drug was ongoing. The event did not resolve and the patient was discharged on</w:t>
      </w:r>
      <w:r>
        <w:rPr>
          <w:lang w:eastAsia="ja-JP"/>
        </w:rPr>
        <w:t xml:space="preserve"> </w:t>
      </w:r>
      <w:r w:rsidR="00A2508E">
        <w:rPr>
          <w:lang w:eastAsia="ja-JP"/>
        </w:rPr>
        <w:t>Day </w:t>
      </w:r>
      <w:r w:rsidRPr="00A21B82">
        <w:rPr>
          <w:lang w:eastAsia="ja-JP"/>
        </w:rPr>
        <w:t xml:space="preserve">360. This event was judged unrelated to the </w:t>
      </w:r>
      <w:r w:rsidR="0066478A">
        <w:rPr>
          <w:lang w:eastAsia="ja-JP"/>
        </w:rPr>
        <w:t>study</w:t>
      </w:r>
      <w:r w:rsidRPr="00A21B82">
        <w:rPr>
          <w:lang w:eastAsia="ja-JP"/>
        </w:rPr>
        <w:t xml:space="preserve"> drug.</w:t>
      </w:r>
      <w:r>
        <w:rPr>
          <w:lang w:eastAsia="ja-JP"/>
        </w:rPr>
        <w:t xml:space="preserve"> </w:t>
      </w:r>
      <w:r w:rsidRPr="00A21B82">
        <w:rPr>
          <w:lang w:eastAsia="ja-JP"/>
        </w:rPr>
        <w:t>On Day 1</w:t>
      </w:r>
      <w:r w:rsidR="00A2508E">
        <w:rPr>
          <w:lang w:eastAsia="ja-JP"/>
        </w:rPr>
        <w:t>,</w:t>
      </w:r>
      <w:r w:rsidRPr="00A21B82">
        <w:rPr>
          <w:lang w:eastAsia="ja-JP"/>
        </w:rPr>
        <w:t>428, the patient presented with symptoms of dyspnoea and</w:t>
      </w:r>
      <w:r>
        <w:rPr>
          <w:lang w:eastAsia="ja-JP"/>
        </w:rPr>
        <w:t xml:space="preserve"> </w:t>
      </w:r>
      <w:r w:rsidRPr="00A21B82">
        <w:rPr>
          <w:lang w:eastAsia="ja-JP"/>
        </w:rPr>
        <w:t>cyanosis and was hospitali</w:t>
      </w:r>
      <w:r>
        <w:rPr>
          <w:lang w:eastAsia="ja-JP"/>
        </w:rPr>
        <w:t>sed</w:t>
      </w:r>
      <w:r w:rsidRPr="00494764">
        <w:rPr>
          <w:lang w:eastAsia="ja-JP"/>
        </w:rPr>
        <w:t>.</w:t>
      </w:r>
      <w:r>
        <w:rPr>
          <w:lang w:eastAsia="ja-JP"/>
        </w:rPr>
        <w:t xml:space="preserve"> </w:t>
      </w:r>
      <w:r w:rsidRPr="00A21B82">
        <w:rPr>
          <w:lang w:eastAsia="ja-JP"/>
        </w:rPr>
        <w:t>He was treated</w:t>
      </w:r>
      <w:r>
        <w:rPr>
          <w:lang w:eastAsia="ja-JP"/>
        </w:rPr>
        <w:t xml:space="preserve"> with subcutaneous treprostinil</w:t>
      </w:r>
      <w:r w:rsidRPr="00A21B82">
        <w:rPr>
          <w:lang w:eastAsia="ja-JP"/>
        </w:rPr>
        <w:t>. The event resolved without sequelae on Day 1</w:t>
      </w:r>
      <w:r w:rsidR="00A2508E">
        <w:rPr>
          <w:lang w:eastAsia="ja-JP"/>
        </w:rPr>
        <w:t>,</w:t>
      </w:r>
      <w:r w:rsidRPr="00A21B82">
        <w:rPr>
          <w:lang w:eastAsia="ja-JP"/>
        </w:rPr>
        <w:t>444</w:t>
      </w:r>
      <w:r>
        <w:rPr>
          <w:lang w:eastAsia="ja-JP"/>
        </w:rPr>
        <w:t xml:space="preserve"> </w:t>
      </w:r>
      <w:r w:rsidRPr="00A21B82">
        <w:rPr>
          <w:lang w:eastAsia="ja-JP"/>
        </w:rPr>
        <w:t xml:space="preserve">with the </w:t>
      </w:r>
      <w:r w:rsidR="0066478A">
        <w:rPr>
          <w:lang w:eastAsia="ja-JP"/>
        </w:rPr>
        <w:t>study</w:t>
      </w:r>
      <w:r w:rsidRPr="00A21B82">
        <w:rPr>
          <w:lang w:eastAsia="ja-JP"/>
        </w:rPr>
        <w:t xml:space="preserve"> drug ongoing and the patient was discharged on the same</w:t>
      </w:r>
      <w:r>
        <w:rPr>
          <w:lang w:eastAsia="ja-JP"/>
        </w:rPr>
        <w:t xml:space="preserve"> </w:t>
      </w:r>
      <w:r w:rsidRPr="00A21B82">
        <w:rPr>
          <w:lang w:eastAsia="ja-JP"/>
        </w:rPr>
        <w:t>day. This event was</w:t>
      </w:r>
      <w:r>
        <w:rPr>
          <w:lang w:eastAsia="ja-JP"/>
        </w:rPr>
        <w:t xml:space="preserve"> </w:t>
      </w:r>
      <w:r w:rsidRPr="00A21B82">
        <w:rPr>
          <w:lang w:eastAsia="ja-JP"/>
        </w:rPr>
        <w:t>judged unrelated to the</w:t>
      </w:r>
      <w:r>
        <w:rPr>
          <w:lang w:eastAsia="ja-JP"/>
        </w:rPr>
        <w:t xml:space="preserve"> </w:t>
      </w:r>
      <w:r w:rsidR="0066478A">
        <w:rPr>
          <w:lang w:eastAsia="ja-JP"/>
        </w:rPr>
        <w:t>study</w:t>
      </w:r>
      <w:r w:rsidRPr="00A21B82">
        <w:rPr>
          <w:lang w:eastAsia="ja-JP"/>
        </w:rPr>
        <w:t xml:space="preserve"> drug.</w:t>
      </w:r>
      <w:r>
        <w:rPr>
          <w:lang w:eastAsia="ja-JP"/>
        </w:rPr>
        <w:t xml:space="preserve"> On Day 159</w:t>
      </w:r>
      <w:r w:rsidRPr="00A21B82">
        <w:rPr>
          <w:lang w:eastAsia="ja-JP"/>
        </w:rPr>
        <w:t>, the patient was hospitali</w:t>
      </w:r>
      <w:r>
        <w:rPr>
          <w:lang w:eastAsia="ja-JP"/>
        </w:rPr>
        <w:t>s</w:t>
      </w:r>
      <w:r w:rsidRPr="00A21B82">
        <w:rPr>
          <w:lang w:eastAsia="ja-JP"/>
        </w:rPr>
        <w:t>ed due to clinical worsening</w:t>
      </w:r>
      <w:r>
        <w:rPr>
          <w:lang w:eastAsia="ja-JP"/>
        </w:rPr>
        <w:t xml:space="preserve"> </w:t>
      </w:r>
      <w:r w:rsidRPr="00A21B82">
        <w:rPr>
          <w:lang w:eastAsia="ja-JP"/>
        </w:rPr>
        <w:t>with right heart failure and pericardial effusion. Treatment was changed to intravenous epoprostenol.</w:t>
      </w:r>
      <w:r>
        <w:rPr>
          <w:lang w:eastAsia="ja-JP"/>
        </w:rPr>
        <w:t xml:space="preserve"> </w:t>
      </w:r>
      <w:r w:rsidRPr="00A21B82">
        <w:rPr>
          <w:lang w:eastAsia="ja-JP"/>
        </w:rPr>
        <w:t>The event res</w:t>
      </w:r>
      <w:r>
        <w:rPr>
          <w:lang w:eastAsia="ja-JP"/>
        </w:rPr>
        <w:t>olved with sequelae on Day 1</w:t>
      </w:r>
      <w:r w:rsidR="00A2508E">
        <w:rPr>
          <w:lang w:eastAsia="ja-JP"/>
        </w:rPr>
        <w:t>,</w:t>
      </w:r>
      <w:r>
        <w:rPr>
          <w:lang w:eastAsia="ja-JP"/>
        </w:rPr>
        <w:t>626</w:t>
      </w:r>
      <w:r w:rsidRPr="00A21B82">
        <w:rPr>
          <w:lang w:eastAsia="ja-JP"/>
        </w:rPr>
        <w:t xml:space="preserve"> with the </w:t>
      </w:r>
      <w:r w:rsidR="0066478A">
        <w:rPr>
          <w:lang w:eastAsia="ja-JP"/>
        </w:rPr>
        <w:t>study</w:t>
      </w:r>
      <w:r w:rsidRPr="00A21B82">
        <w:rPr>
          <w:lang w:eastAsia="ja-JP"/>
        </w:rPr>
        <w:t xml:space="preserve"> drug</w:t>
      </w:r>
      <w:r>
        <w:rPr>
          <w:lang w:eastAsia="ja-JP"/>
        </w:rPr>
        <w:t xml:space="preserve"> </w:t>
      </w:r>
      <w:r w:rsidRPr="00A21B82">
        <w:rPr>
          <w:lang w:eastAsia="ja-JP"/>
        </w:rPr>
        <w:t xml:space="preserve">ongoing and the patient was discharged on the same day. This event was judged unrelated to the </w:t>
      </w:r>
      <w:r w:rsidR="0066478A">
        <w:rPr>
          <w:lang w:eastAsia="ja-JP"/>
        </w:rPr>
        <w:t>study</w:t>
      </w:r>
      <w:r w:rsidRPr="00A21B82">
        <w:rPr>
          <w:lang w:eastAsia="ja-JP"/>
        </w:rPr>
        <w:t xml:space="preserve"> drug.</w:t>
      </w:r>
      <w:r>
        <w:rPr>
          <w:lang w:eastAsia="ja-JP"/>
        </w:rPr>
        <w:t xml:space="preserve"> </w:t>
      </w:r>
      <w:r w:rsidRPr="00A21B82">
        <w:rPr>
          <w:lang w:eastAsia="ja-JP"/>
        </w:rPr>
        <w:t>On Day 1</w:t>
      </w:r>
      <w:r w:rsidR="00A2508E">
        <w:rPr>
          <w:lang w:eastAsia="ja-JP"/>
        </w:rPr>
        <w:t>,</w:t>
      </w:r>
      <w:r w:rsidRPr="00A21B82">
        <w:rPr>
          <w:lang w:eastAsia="ja-JP"/>
        </w:rPr>
        <w:t>626, the patient's caregiver withdrew consent and the patient</w:t>
      </w:r>
      <w:r>
        <w:rPr>
          <w:lang w:eastAsia="ja-JP"/>
        </w:rPr>
        <w:t xml:space="preserve"> </w:t>
      </w:r>
      <w:r w:rsidRPr="00A21B82">
        <w:rPr>
          <w:lang w:eastAsia="ja-JP"/>
        </w:rPr>
        <w:t xml:space="preserve">prematurely discontinued the </w:t>
      </w:r>
      <w:r w:rsidR="0066478A">
        <w:rPr>
          <w:lang w:eastAsia="ja-JP"/>
        </w:rPr>
        <w:t>study</w:t>
      </w:r>
      <w:r w:rsidRPr="00A21B82">
        <w:rPr>
          <w:lang w:eastAsia="ja-JP"/>
        </w:rPr>
        <w:t>.</w:t>
      </w:r>
      <w:r>
        <w:rPr>
          <w:lang w:eastAsia="ja-JP"/>
        </w:rPr>
        <w:t xml:space="preserve"> </w:t>
      </w:r>
      <w:r w:rsidRPr="00A21B82">
        <w:rPr>
          <w:lang w:eastAsia="ja-JP"/>
        </w:rPr>
        <w:t>The patient died on Day 38 after prem</w:t>
      </w:r>
      <w:r>
        <w:rPr>
          <w:lang w:eastAsia="ja-JP"/>
        </w:rPr>
        <w:t>ature discontinuation of FUTURE-</w:t>
      </w:r>
      <w:r w:rsidRPr="00A21B82">
        <w:rPr>
          <w:lang w:eastAsia="ja-JP"/>
        </w:rPr>
        <w:t>2. No SAEs were</w:t>
      </w:r>
      <w:r>
        <w:rPr>
          <w:lang w:eastAsia="ja-JP"/>
        </w:rPr>
        <w:t xml:space="preserve"> </w:t>
      </w:r>
      <w:r w:rsidRPr="00A21B82">
        <w:rPr>
          <w:lang w:eastAsia="ja-JP"/>
        </w:rPr>
        <w:t>reported during the</w:t>
      </w:r>
      <w:r>
        <w:rPr>
          <w:lang w:eastAsia="ja-JP"/>
        </w:rPr>
        <w:t xml:space="preserve"> 28 days follow-up after FUTURE-</w:t>
      </w:r>
      <w:r w:rsidRPr="00A21B82">
        <w:rPr>
          <w:lang w:eastAsia="ja-JP"/>
        </w:rPr>
        <w:t>2.</w:t>
      </w:r>
      <w:r>
        <w:rPr>
          <w:lang w:eastAsia="ja-JP"/>
        </w:rPr>
        <w:t xml:space="preserve"> </w:t>
      </w:r>
      <w:r w:rsidRPr="00A21B82">
        <w:rPr>
          <w:lang w:eastAsia="ja-JP"/>
        </w:rPr>
        <w:t xml:space="preserve">The cause of death was reported as </w:t>
      </w:r>
      <w:r>
        <w:rPr>
          <w:lang w:val="en-US" w:eastAsia="ja-JP"/>
        </w:rPr>
        <w:t>s</w:t>
      </w:r>
      <w:r w:rsidRPr="00A21B82">
        <w:rPr>
          <w:lang w:eastAsia="ja-JP"/>
        </w:rPr>
        <w:t xml:space="preserve">yncope related to </w:t>
      </w:r>
      <w:r>
        <w:rPr>
          <w:lang w:eastAsia="ja-JP"/>
        </w:rPr>
        <w:t xml:space="preserve">PH </w:t>
      </w:r>
      <w:r w:rsidRPr="00A21B82">
        <w:rPr>
          <w:lang w:eastAsia="ja-JP"/>
        </w:rPr>
        <w:t>followed by cardiac arrest</w:t>
      </w:r>
      <w:r>
        <w:rPr>
          <w:lang w:eastAsia="ja-JP"/>
        </w:rPr>
        <w:t>.</w:t>
      </w:r>
    </w:p>
    <w:p w14:paraId="5F2DFCB9" w14:textId="77777777" w:rsidR="00143A39" w:rsidRDefault="00143A39" w:rsidP="00143A39">
      <w:pPr>
        <w:pStyle w:val="ListBullet"/>
        <w:rPr>
          <w:lang w:eastAsia="ja-JP"/>
        </w:rPr>
      </w:pPr>
      <w:r>
        <w:rPr>
          <w:lang w:eastAsia="ja-JP"/>
        </w:rPr>
        <w:t xml:space="preserve">A </w:t>
      </w:r>
      <w:r w:rsidR="00A2508E">
        <w:rPr>
          <w:lang w:eastAsia="ja-JP"/>
        </w:rPr>
        <w:t xml:space="preserve">10 year </w:t>
      </w:r>
      <w:r w:rsidRPr="00827673">
        <w:rPr>
          <w:lang w:eastAsia="ja-JP"/>
        </w:rPr>
        <w:t xml:space="preserve">old female patient with familial </w:t>
      </w:r>
      <w:r>
        <w:rPr>
          <w:lang w:eastAsia="ja-JP"/>
        </w:rPr>
        <w:t xml:space="preserve">PH </w:t>
      </w:r>
      <w:r w:rsidRPr="00827673">
        <w:rPr>
          <w:lang w:eastAsia="ja-JP"/>
        </w:rPr>
        <w:t>was</w:t>
      </w:r>
      <w:r>
        <w:rPr>
          <w:lang w:eastAsia="ja-JP"/>
        </w:rPr>
        <w:t xml:space="preserve"> enrolled in the FUTURE-</w:t>
      </w:r>
      <w:r w:rsidRPr="00827673">
        <w:rPr>
          <w:lang w:eastAsia="ja-JP"/>
        </w:rPr>
        <w:t xml:space="preserve">1 </w:t>
      </w:r>
      <w:r w:rsidR="00E77015">
        <w:rPr>
          <w:lang w:eastAsia="ja-JP"/>
        </w:rPr>
        <w:t>Study</w:t>
      </w:r>
      <w:r w:rsidRPr="00827673">
        <w:rPr>
          <w:lang w:eastAsia="ja-JP"/>
        </w:rPr>
        <w:t xml:space="preserve"> and started treatment with bosentan. At </w:t>
      </w:r>
      <w:r w:rsidR="0066478A">
        <w:rPr>
          <w:lang w:eastAsia="ja-JP"/>
        </w:rPr>
        <w:t>study</w:t>
      </w:r>
      <w:r w:rsidRPr="00827673">
        <w:rPr>
          <w:lang w:eastAsia="ja-JP"/>
        </w:rPr>
        <w:t xml:space="preserve"> entry, she had a medical history of anaemia, Ip36 chromosomal</w:t>
      </w:r>
      <w:r>
        <w:rPr>
          <w:lang w:eastAsia="ja-JP"/>
        </w:rPr>
        <w:t xml:space="preserve"> </w:t>
      </w:r>
      <w:r w:rsidRPr="00827673">
        <w:rPr>
          <w:lang w:eastAsia="ja-JP"/>
        </w:rPr>
        <w:t>deletion, encephalopathy, epilepsy, and patent ductus arteriosus and small ventricular</w:t>
      </w:r>
      <w:r>
        <w:rPr>
          <w:lang w:eastAsia="ja-JP"/>
        </w:rPr>
        <w:t xml:space="preserve"> </w:t>
      </w:r>
      <w:r w:rsidRPr="00827673">
        <w:rPr>
          <w:lang w:eastAsia="ja-JP"/>
        </w:rPr>
        <w:t>septal defect, both spontaneously closed. Concomitant medication included fluindione,</w:t>
      </w:r>
      <w:r>
        <w:rPr>
          <w:lang w:eastAsia="ja-JP"/>
        </w:rPr>
        <w:t xml:space="preserve"> </w:t>
      </w:r>
      <w:r w:rsidRPr="00827673">
        <w:rPr>
          <w:lang w:eastAsia="ja-JP"/>
        </w:rPr>
        <w:t xml:space="preserve">furosemide, spironolactone and iron. The patient </w:t>
      </w:r>
      <w:r>
        <w:rPr>
          <w:lang w:eastAsia="ja-JP"/>
        </w:rPr>
        <w:t>had been</w:t>
      </w:r>
      <w:r w:rsidRPr="00827673">
        <w:rPr>
          <w:lang w:eastAsia="ja-JP"/>
        </w:rPr>
        <w:t xml:space="preserve"> treated with </w:t>
      </w:r>
      <w:r>
        <w:rPr>
          <w:lang w:eastAsia="ja-JP"/>
        </w:rPr>
        <w:t xml:space="preserve">the </w:t>
      </w:r>
      <w:r w:rsidRPr="00827673">
        <w:rPr>
          <w:lang w:eastAsia="ja-JP"/>
        </w:rPr>
        <w:t>bosentan adult</w:t>
      </w:r>
      <w:r>
        <w:rPr>
          <w:lang w:eastAsia="ja-JP"/>
        </w:rPr>
        <w:t xml:space="preserve"> formulation prior to enrolment. T</w:t>
      </w:r>
      <w:r w:rsidRPr="00827673">
        <w:rPr>
          <w:lang w:eastAsia="ja-JP"/>
        </w:rPr>
        <w:t xml:space="preserve">he </w:t>
      </w:r>
      <w:r w:rsidR="0066478A">
        <w:rPr>
          <w:lang w:eastAsia="ja-JP"/>
        </w:rPr>
        <w:t>study</w:t>
      </w:r>
      <w:r w:rsidRPr="00827673">
        <w:rPr>
          <w:lang w:eastAsia="ja-JP"/>
        </w:rPr>
        <w:t xml:space="preserve"> drug was initiated at the target dose of 104 mg </w:t>
      </w:r>
      <w:r w:rsidR="007C6D8D">
        <w:rPr>
          <w:lang w:eastAsia="ja-JP"/>
        </w:rPr>
        <w:t>BD</w:t>
      </w:r>
      <w:r>
        <w:rPr>
          <w:lang w:eastAsia="ja-JP"/>
        </w:rPr>
        <w:t>,</w:t>
      </w:r>
      <w:r w:rsidRPr="00827673">
        <w:rPr>
          <w:lang w:eastAsia="ja-JP"/>
        </w:rPr>
        <w:t xml:space="preserve"> which was</w:t>
      </w:r>
      <w:r>
        <w:rPr>
          <w:lang w:eastAsia="ja-JP"/>
        </w:rPr>
        <w:t xml:space="preserve"> </w:t>
      </w:r>
      <w:r w:rsidRPr="00827673">
        <w:rPr>
          <w:lang w:eastAsia="ja-JP"/>
        </w:rPr>
        <w:t>ongoing until death.</w:t>
      </w:r>
      <w:r>
        <w:rPr>
          <w:lang w:eastAsia="ja-JP"/>
        </w:rPr>
        <w:t xml:space="preserve"> </w:t>
      </w:r>
      <w:r w:rsidRPr="00827673">
        <w:rPr>
          <w:lang w:eastAsia="ja-JP"/>
        </w:rPr>
        <w:t>The patient</w:t>
      </w:r>
      <w:r>
        <w:rPr>
          <w:lang w:val="en-US" w:eastAsia="ja-JP"/>
        </w:rPr>
        <w:t>’</w:t>
      </w:r>
      <w:r w:rsidRPr="00827673">
        <w:rPr>
          <w:lang w:eastAsia="ja-JP"/>
        </w:rPr>
        <w:t xml:space="preserve">s clinical condition during the </w:t>
      </w:r>
      <w:r w:rsidR="0066478A">
        <w:rPr>
          <w:lang w:eastAsia="ja-JP"/>
        </w:rPr>
        <w:t>study</w:t>
      </w:r>
      <w:r w:rsidRPr="00827673">
        <w:rPr>
          <w:lang w:eastAsia="ja-JP"/>
        </w:rPr>
        <w:t xml:space="preserve"> course was stable, as per both</w:t>
      </w:r>
      <w:r>
        <w:rPr>
          <w:lang w:eastAsia="ja-JP"/>
        </w:rPr>
        <w:t xml:space="preserve"> </w:t>
      </w:r>
      <w:r w:rsidRPr="00827673">
        <w:rPr>
          <w:lang w:eastAsia="ja-JP"/>
        </w:rPr>
        <w:t>parents</w:t>
      </w:r>
      <w:r>
        <w:rPr>
          <w:lang w:val="en-US" w:eastAsia="ja-JP"/>
        </w:rPr>
        <w:t>’</w:t>
      </w:r>
      <w:r w:rsidRPr="00827673">
        <w:rPr>
          <w:lang w:eastAsia="ja-JP"/>
        </w:rPr>
        <w:t xml:space="preserve"> and physician</w:t>
      </w:r>
      <w:r>
        <w:rPr>
          <w:lang w:val="en-US" w:eastAsia="ja-JP"/>
        </w:rPr>
        <w:t>’</w:t>
      </w:r>
      <w:r w:rsidRPr="00827673">
        <w:rPr>
          <w:lang w:eastAsia="ja-JP"/>
        </w:rPr>
        <w:t>s assessments</w:t>
      </w:r>
      <w:r>
        <w:rPr>
          <w:lang w:eastAsia="ja-JP"/>
        </w:rPr>
        <w:t xml:space="preserve"> and</w:t>
      </w:r>
      <w:r w:rsidRPr="00827673">
        <w:rPr>
          <w:lang w:eastAsia="ja-JP"/>
        </w:rPr>
        <w:t xml:space="preserve"> WHO</w:t>
      </w:r>
      <w:r>
        <w:rPr>
          <w:lang w:eastAsia="ja-JP"/>
        </w:rPr>
        <w:t xml:space="preserve"> FC</w:t>
      </w:r>
      <w:r w:rsidRPr="00827673">
        <w:rPr>
          <w:lang w:eastAsia="ja-JP"/>
        </w:rPr>
        <w:t xml:space="preserve"> was unchanged. On Day 69 the child was seen in the paediatric Emergency</w:t>
      </w:r>
      <w:r>
        <w:rPr>
          <w:lang w:eastAsia="ja-JP"/>
        </w:rPr>
        <w:t xml:space="preserve"> </w:t>
      </w:r>
      <w:r w:rsidRPr="00827673">
        <w:rPr>
          <w:lang w:eastAsia="ja-JP"/>
        </w:rPr>
        <w:t>Room for fever. Otitis was suspected</w:t>
      </w:r>
      <w:r>
        <w:rPr>
          <w:lang w:eastAsia="ja-JP"/>
        </w:rPr>
        <w:t xml:space="preserve"> and </w:t>
      </w:r>
      <w:r w:rsidRPr="00827673">
        <w:rPr>
          <w:lang w:eastAsia="ja-JP"/>
        </w:rPr>
        <w:t>empirically treated with cefpodoxime. The patient was discharged home with antibiotic</w:t>
      </w:r>
      <w:r>
        <w:rPr>
          <w:lang w:eastAsia="ja-JP"/>
        </w:rPr>
        <w:t xml:space="preserve"> </w:t>
      </w:r>
      <w:r w:rsidRPr="00827673">
        <w:rPr>
          <w:lang w:eastAsia="ja-JP"/>
        </w:rPr>
        <w:t>therapy. Two days later (Day 71) she was hospitali</w:t>
      </w:r>
      <w:r>
        <w:rPr>
          <w:lang w:eastAsia="ja-JP"/>
        </w:rPr>
        <w:t>s</w:t>
      </w:r>
      <w:r w:rsidRPr="00827673">
        <w:rPr>
          <w:lang w:eastAsia="ja-JP"/>
        </w:rPr>
        <w:t xml:space="preserve">ed in an </w:t>
      </w:r>
      <w:r>
        <w:rPr>
          <w:lang w:eastAsia="ja-JP"/>
        </w:rPr>
        <w:t>ICU</w:t>
      </w:r>
      <w:r w:rsidRPr="00827673">
        <w:rPr>
          <w:lang w:eastAsia="ja-JP"/>
        </w:rPr>
        <w:t xml:space="preserve"> with</w:t>
      </w:r>
      <w:r>
        <w:rPr>
          <w:lang w:eastAsia="ja-JP"/>
        </w:rPr>
        <w:t xml:space="preserve"> </w:t>
      </w:r>
      <w:r w:rsidRPr="00827673">
        <w:rPr>
          <w:lang w:eastAsia="ja-JP"/>
        </w:rPr>
        <w:t>fever, low cardiac output and right ventricular failure. She was mechanically ventilated</w:t>
      </w:r>
      <w:r>
        <w:rPr>
          <w:lang w:eastAsia="ja-JP"/>
        </w:rPr>
        <w:t xml:space="preserve"> </w:t>
      </w:r>
      <w:r w:rsidRPr="00827673">
        <w:rPr>
          <w:lang w:eastAsia="ja-JP"/>
        </w:rPr>
        <w:t>and treated with inotropes (epinephrine, dobutamine and isoprenaline), antibiotics</w:t>
      </w:r>
      <w:r>
        <w:rPr>
          <w:lang w:eastAsia="ja-JP"/>
        </w:rPr>
        <w:t xml:space="preserve"> </w:t>
      </w:r>
      <w:r w:rsidRPr="00827673">
        <w:rPr>
          <w:lang w:eastAsia="ja-JP"/>
        </w:rPr>
        <w:t>(cefpodoxime switched to cefotaxime) and calcium gluconate. The patient had several</w:t>
      </w:r>
      <w:r>
        <w:rPr>
          <w:lang w:eastAsia="ja-JP"/>
        </w:rPr>
        <w:t xml:space="preserve"> </w:t>
      </w:r>
      <w:r w:rsidRPr="00827673">
        <w:rPr>
          <w:lang w:eastAsia="ja-JP"/>
        </w:rPr>
        <w:t>episodes of cardiac arrest during the night and died on the following day (Day 72). No</w:t>
      </w:r>
      <w:r>
        <w:rPr>
          <w:lang w:eastAsia="ja-JP"/>
        </w:rPr>
        <w:t xml:space="preserve"> </w:t>
      </w:r>
      <w:r w:rsidRPr="00827673">
        <w:rPr>
          <w:lang w:eastAsia="ja-JP"/>
        </w:rPr>
        <w:t xml:space="preserve">autopsy was performed. The events and the death were assessed as unrelated to the </w:t>
      </w:r>
      <w:r w:rsidR="0066478A">
        <w:rPr>
          <w:lang w:eastAsia="ja-JP"/>
        </w:rPr>
        <w:t>study</w:t>
      </w:r>
      <w:r>
        <w:rPr>
          <w:lang w:eastAsia="ja-JP"/>
        </w:rPr>
        <w:t xml:space="preserve"> </w:t>
      </w:r>
      <w:r w:rsidRPr="00827673">
        <w:rPr>
          <w:lang w:eastAsia="ja-JP"/>
        </w:rPr>
        <w:t>drug.</w:t>
      </w:r>
    </w:p>
    <w:p w14:paraId="02451D1A" w14:textId="167B384A" w:rsidR="007C6D8D" w:rsidRDefault="00A2508E" w:rsidP="00143A39">
      <w:pPr>
        <w:pStyle w:val="ListBullet"/>
        <w:rPr>
          <w:lang w:eastAsia="ja-JP"/>
        </w:rPr>
      </w:pPr>
      <w:r>
        <w:rPr>
          <w:lang w:eastAsia="ja-JP"/>
        </w:rPr>
        <w:t xml:space="preserve">A 2 year </w:t>
      </w:r>
      <w:r w:rsidR="00143A39">
        <w:rPr>
          <w:lang w:eastAsia="ja-JP"/>
        </w:rPr>
        <w:t xml:space="preserve">old male patient with idiopathic PH was enrolled in the FUTURE-1 </w:t>
      </w:r>
      <w:r w:rsidR="00E77015">
        <w:rPr>
          <w:lang w:eastAsia="ja-JP"/>
        </w:rPr>
        <w:t>Study</w:t>
      </w:r>
      <w:r w:rsidR="00143A39">
        <w:rPr>
          <w:lang w:eastAsia="ja-JP"/>
        </w:rPr>
        <w:t xml:space="preserve"> and started treatment with bosentan. Medical history included osteoarthritis and syncope. The patient was treated with bosentan for 82 days, completed the FUTURE-1 </w:t>
      </w:r>
      <w:r w:rsidR="00E77015">
        <w:rPr>
          <w:lang w:eastAsia="ja-JP"/>
        </w:rPr>
        <w:t>Study</w:t>
      </w:r>
      <w:r w:rsidR="00143A39">
        <w:rPr>
          <w:lang w:eastAsia="ja-JP"/>
        </w:rPr>
        <w:t xml:space="preserve"> and entered </w:t>
      </w:r>
      <w:r w:rsidR="009C6335">
        <w:rPr>
          <w:lang w:eastAsia="ja-JP"/>
        </w:rPr>
        <w:t>FUTURE-2</w:t>
      </w:r>
      <w:r w:rsidR="00143A39">
        <w:rPr>
          <w:lang w:eastAsia="ja-JP"/>
        </w:rPr>
        <w:t xml:space="preserve">. There was no ongoing concomitant medication reported at </w:t>
      </w:r>
      <w:r w:rsidR="0066478A">
        <w:rPr>
          <w:lang w:eastAsia="ja-JP"/>
        </w:rPr>
        <w:t>study</w:t>
      </w:r>
      <w:r w:rsidR="00143A39">
        <w:rPr>
          <w:lang w:eastAsia="ja-JP"/>
        </w:rPr>
        <w:t xml:space="preserve"> entry. No AEs were reported during the FUTURE-1 and 2 </w:t>
      </w:r>
      <w:r w:rsidR="00E77015">
        <w:rPr>
          <w:lang w:eastAsia="ja-JP"/>
        </w:rPr>
        <w:t>Study</w:t>
      </w:r>
      <w:r w:rsidR="00143A39">
        <w:rPr>
          <w:lang w:eastAsia="ja-JP"/>
        </w:rPr>
        <w:t xml:space="preserve"> treatment period and all the data collected indicated a stable clinical condition during the treatment with the </w:t>
      </w:r>
      <w:r w:rsidR="0066478A">
        <w:rPr>
          <w:lang w:eastAsia="ja-JP"/>
        </w:rPr>
        <w:t>study</w:t>
      </w:r>
      <w:r w:rsidR="00143A39">
        <w:rPr>
          <w:lang w:eastAsia="ja-JP"/>
        </w:rPr>
        <w:t xml:space="preserve"> drug. On Day 859, the patient’s caregiver withdrew consent and the patient prematurely discontinued the </w:t>
      </w:r>
      <w:r w:rsidR="0066478A">
        <w:rPr>
          <w:lang w:eastAsia="ja-JP"/>
        </w:rPr>
        <w:lastRenderedPageBreak/>
        <w:t>study</w:t>
      </w:r>
      <w:r>
        <w:rPr>
          <w:lang w:eastAsia="ja-JP"/>
        </w:rPr>
        <w:t xml:space="preserve">. The 3 </w:t>
      </w:r>
      <w:r w:rsidR="00143A39">
        <w:rPr>
          <w:lang w:eastAsia="ja-JP"/>
        </w:rPr>
        <w:t xml:space="preserve">year </w:t>
      </w:r>
      <w:r w:rsidR="007C6D8D">
        <w:rPr>
          <w:lang w:eastAsia="ja-JP"/>
        </w:rPr>
        <w:t>long term</w:t>
      </w:r>
      <w:r w:rsidR="00143A39">
        <w:rPr>
          <w:lang w:eastAsia="ja-JP"/>
        </w:rPr>
        <w:t xml:space="preserve"> vital status check revealed that the patient died. The cause of death was reported as RHC</w:t>
      </w:r>
      <w:r w:rsidR="007C6D8D">
        <w:rPr>
          <w:lang w:eastAsia="ja-JP"/>
        </w:rPr>
        <w:t>.</w:t>
      </w:r>
    </w:p>
    <w:p w14:paraId="307A2465" w14:textId="77777777" w:rsidR="00143A39" w:rsidRDefault="00143A39" w:rsidP="00143A39">
      <w:pPr>
        <w:rPr>
          <w:lang w:eastAsia="ja-JP"/>
        </w:rPr>
      </w:pPr>
      <w:r w:rsidRPr="0061609A">
        <w:rPr>
          <w:lang w:eastAsia="ja-JP"/>
        </w:rPr>
        <w:t>A summary</w:t>
      </w:r>
      <w:r>
        <w:rPr>
          <w:lang w:eastAsia="ja-JP"/>
        </w:rPr>
        <w:t xml:space="preserve"> </w:t>
      </w:r>
      <w:r w:rsidRPr="0061609A">
        <w:rPr>
          <w:lang w:eastAsia="ja-JP"/>
        </w:rPr>
        <w:t xml:space="preserve">of SAEs by frequency is shown </w:t>
      </w:r>
      <w:r w:rsidRPr="00F27B3B">
        <w:rPr>
          <w:lang w:eastAsia="ja-JP"/>
        </w:rPr>
        <w:t>in</w:t>
      </w:r>
      <w:r w:rsidR="00F27B3B" w:rsidRPr="00F27B3B">
        <w:rPr>
          <w:lang w:eastAsia="ja-JP"/>
        </w:rPr>
        <w:t xml:space="preserve"> Table 67</w:t>
      </w:r>
      <w:r w:rsidRPr="00F27B3B">
        <w:rPr>
          <w:lang w:eastAsia="ja-JP"/>
        </w:rPr>
        <w:t>.</w:t>
      </w:r>
      <w:r>
        <w:rPr>
          <w:lang w:eastAsia="ja-JP"/>
        </w:rPr>
        <w:t xml:space="preserve"> </w:t>
      </w:r>
      <w:r w:rsidRPr="0061609A">
        <w:rPr>
          <w:lang w:eastAsia="ja-JP"/>
        </w:rPr>
        <w:t>SAEs were recorded in 18 patients (50.0%). The most frequent SOCs were Respiratory,</w:t>
      </w:r>
      <w:r>
        <w:rPr>
          <w:lang w:eastAsia="ja-JP"/>
        </w:rPr>
        <w:t xml:space="preserve"> </w:t>
      </w:r>
      <w:r w:rsidRPr="0061609A">
        <w:rPr>
          <w:lang w:eastAsia="ja-JP"/>
        </w:rPr>
        <w:t>thoracic and mediastinal disorders (30.6% of patients) and Infections and infestations</w:t>
      </w:r>
      <w:r>
        <w:rPr>
          <w:lang w:eastAsia="ja-JP"/>
        </w:rPr>
        <w:t xml:space="preserve"> (22.2% of patients)</w:t>
      </w:r>
      <w:r w:rsidRPr="0061609A">
        <w:rPr>
          <w:lang w:eastAsia="ja-JP"/>
        </w:rPr>
        <w:t xml:space="preserve">. The most frequent SAEs were </w:t>
      </w:r>
      <w:r w:rsidR="009C6335">
        <w:rPr>
          <w:lang w:eastAsia="ja-JP"/>
        </w:rPr>
        <w:t>device related</w:t>
      </w:r>
      <w:r w:rsidRPr="0061609A">
        <w:rPr>
          <w:lang w:eastAsia="ja-JP"/>
        </w:rPr>
        <w:t xml:space="preserve"> infection,</w:t>
      </w:r>
      <w:r>
        <w:rPr>
          <w:lang w:eastAsia="ja-JP"/>
        </w:rPr>
        <w:t xml:space="preserve"> </w:t>
      </w:r>
      <w:r w:rsidRPr="0061609A">
        <w:rPr>
          <w:lang w:eastAsia="ja-JP"/>
        </w:rPr>
        <w:t>PAH and pulmonary hypertension, all of which occurred in 3 patients. One SAE of</w:t>
      </w:r>
      <w:r>
        <w:rPr>
          <w:lang w:eastAsia="ja-JP"/>
        </w:rPr>
        <w:t xml:space="preserve"> </w:t>
      </w:r>
      <w:r w:rsidRPr="0061609A">
        <w:rPr>
          <w:lang w:eastAsia="ja-JP"/>
        </w:rPr>
        <w:t xml:space="preserve">autoimmune hepatitis was deemed to be </w:t>
      </w:r>
      <w:r w:rsidR="009C6335">
        <w:rPr>
          <w:lang w:eastAsia="ja-JP"/>
        </w:rPr>
        <w:t>treatment related</w:t>
      </w:r>
      <w:r>
        <w:rPr>
          <w:lang w:eastAsia="ja-JP"/>
        </w:rPr>
        <w:t>.</w:t>
      </w:r>
    </w:p>
    <w:p w14:paraId="58D30824" w14:textId="77777777" w:rsidR="00143A39" w:rsidRDefault="00143A39" w:rsidP="00143A39">
      <w:pPr>
        <w:rPr>
          <w:lang w:eastAsia="ja-JP"/>
        </w:rPr>
      </w:pPr>
      <w:r>
        <w:rPr>
          <w:lang w:eastAsia="ja-JP"/>
        </w:rPr>
        <w:t>The case of autoimmun</w:t>
      </w:r>
      <w:r w:rsidR="00A2508E">
        <w:rPr>
          <w:lang w:eastAsia="ja-JP"/>
        </w:rPr>
        <w:t xml:space="preserve">e hepatitis relates to a 2 year </w:t>
      </w:r>
      <w:r>
        <w:rPr>
          <w:lang w:eastAsia="ja-JP"/>
        </w:rPr>
        <w:t xml:space="preserve">old female patient with idiopathic PH and a history of Down’s syndrome, bronchopulmonary dysplasia, hypothyroidism, strabismus, pneumonia, sepsis and atrial septal defect. The patient was treated with bosentan, completed the FUTURE-1 </w:t>
      </w:r>
      <w:r w:rsidR="00E77015">
        <w:rPr>
          <w:lang w:eastAsia="ja-JP"/>
        </w:rPr>
        <w:t>Study</w:t>
      </w:r>
      <w:r>
        <w:rPr>
          <w:lang w:eastAsia="ja-JP"/>
        </w:rPr>
        <w:t xml:space="preserve"> and entered FUTURE-2. Ongoing concomitant medication included levothyroxine, furosemide and oxygen. </w:t>
      </w:r>
      <w:r w:rsidRPr="00494764">
        <w:rPr>
          <w:lang w:eastAsia="ja-JP"/>
        </w:rPr>
        <w:t>On Day 64, the patient had a chest CT a</w:t>
      </w:r>
      <w:r>
        <w:rPr>
          <w:lang w:eastAsia="ja-JP"/>
        </w:rPr>
        <w:t xml:space="preserve">t a local hospital which showed </w:t>
      </w:r>
      <w:r w:rsidRPr="00494764">
        <w:rPr>
          <w:lang w:eastAsia="ja-JP"/>
        </w:rPr>
        <w:t xml:space="preserve">right-sided diaphragmatic hernia. </w:t>
      </w:r>
      <w:r>
        <w:rPr>
          <w:lang w:eastAsia="ja-JP"/>
        </w:rPr>
        <w:t>She was hospitalised on Day 138</w:t>
      </w:r>
      <w:r w:rsidRPr="00494764">
        <w:rPr>
          <w:lang w:eastAsia="ja-JP"/>
        </w:rPr>
        <w:t xml:space="preserve"> and</w:t>
      </w:r>
      <w:r>
        <w:rPr>
          <w:lang w:eastAsia="ja-JP"/>
        </w:rPr>
        <w:t xml:space="preserve"> </w:t>
      </w:r>
      <w:r w:rsidRPr="00494764">
        <w:rPr>
          <w:lang w:eastAsia="ja-JP"/>
        </w:rPr>
        <w:t xml:space="preserve">underwent surgery to repair the hernia. The </w:t>
      </w:r>
      <w:r w:rsidR="0066478A">
        <w:rPr>
          <w:lang w:eastAsia="ja-JP"/>
        </w:rPr>
        <w:t>study</w:t>
      </w:r>
      <w:r w:rsidRPr="00494764">
        <w:rPr>
          <w:lang w:eastAsia="ja-JP"/>
        </w:rPr>
        <w:t xml:space="preserve"> drug was temporarily interrupted. The</w:t>
      </w:r>
      <w:r>
        <w:rPr>
          <w:lang w:eastAsia="ja-JP"/>
        </w:rPr>
        <w:t xml:space="preserve"> </w:t>
      </w:r>
      <w:r w:rsidRPr="00494764">
        <w:rPr>
          <w:lang w:eastAsia="ja-JP"/>
        </w:rPr>
        <w:t>event resolved without sequelae on Day 152 and the patient was</w:t>
      </w:r>
      <w:r>
        <w:rPr>
          <w:lang w:eastAsia="ja-JP"/>
        </w:rPr>
        <w:t xml:space="preserve"> </w:t>
      </w:r>
      <w:r w:rsidRPr="00494764">
        <w:rPr>
          <w:lang w:eastAsia="ja-JP"/>
        </w:rPr>
        <w:t>discharged on the same day. This event was reported as serious, moderate in intensity and</w:t>
      </w:r>
      <w:r>
        <w:rPr>
          <w:lang w:eastAsia="ja-JP"/>
        </w:rPr>
        <w:t xml:space="preserve"> </w:t>
      </w:r>
      <w:r w:rsidRPr="00494764">
        <w:rPr>
          <w:lang w:eastAsia="ja-JP"/>
        </w:rPr>
        <w:t xml:space="preserve">judged unrelated to the </w:t>
      </w:r>
      <w:r w:rsidR="0066478A">
        <w:rPr>
          <w:lang w:eastAsia="ja-JP"/>
        </w:rPr>
        <w:t>study</w:t>
      </w:r>
      <w:r w:rsidRPr="00494764">
        <w:rPr>
          <w:lang w:eastAsia="ja-JP"/>
        </w:rPr>
        <w:t xml:space="preserve"> drug.</w:t>
      </w:r>
      <w:r>
        <w:rPr>
          <w:lang w:eastAsia="ja-JP"/>
        </w:rPr>
        <w:t xml:space="preserve"> </w:t>
      </w:r>
      <w:r w:rsidRPr="00494764">
        <w:rPr>
          <w:lang w:eastAsia="ja-JP"/>
        </w:rPr>
        <w:t>On Day 273, the patient had abnormal LFTs</w:t>
      </w:r>
      <w:r>
        <w:rPr>
          <w:lang w:eastAsia="ja-JP"/>
        </w:rPr>
        <w:t xml:space="preserve"> with</w:t>
      </w:r>
      <w:r w:rsidRPr="00494764">
        <w:rPr>
          <w:lang w:eastAsia="ja-JP"/>
        </w:rPr>
        <w:t xml:space="preserve"> markedly increased AST (51 U/L; more than 2</w:t>
      </w:r>
      <w:r w:rsidR="00A2508E">
        <w:rPr>
          <w:lang w:eastAsia="ja-JP"/>
        </w:rPr>
        <w:t> x </w:t>
      </w:r>
      <w:r w:rsidRPr="00494764">
        <w:rPr>
          <w:lang w:eastAsia="ja-JP"/>
        </w:rPr>
        <w:t>ULN) and ALT (125 U/L; more</w:t>
      </w:r>
      <w:r>
        <w:rPr>
          <w:lang w:eastAsia="ja-JP"/>
        </w:rPr>
        <w:t xml:space="preserve"> </w:t>
      </w:r>
      <w:r w:rsidRPr="00494764">
        <w:rPr>
          <w:lang w:eastAsia="ja-JP"/>
        </w:rPr>
        <w:t>than 4</w:t>
      </w:r>
      <w:r w:rsidR="00CF6063">
        <w:rPr>
          <w:lang w:eastAsia="ja-JP"/>
        </w:rPr>
        <w:t xml:space="preserve"> x </w:t>
      </w:r>
      <w:r w:rsidRPr="00494764">
        <w:rPr>
          <w:lang w:eastAsia="ja-JP"/>
        </w:rPr>
        <w:t xml:space="preserve">ULN). The </w:t>
      </w:r>
      <w:r w:rsidR="0066478A">
        <w:rPr>
          <w:lang w:eastAsia="ja-JP"/>
        </w:rPr>
        <w:t>study</w:t>
      </w:r>
      <w:r w:rsidRPr="00494764">
        <w:rPr>
          <w:lang w:eastAsia="ja-JP"/>
        </w:rPr>
        <w:t xml:space="preserve"> drug was reduced from 48 mg </w:t>
      </w:r>
      <w:r w:rsidR="007C6D8D">
        <w:rPr>
          <w:lang w:eastAsia="ja-JP"/>
        </w:rPr>
        <w:t>BD</w:t>
      </w:r>
      <w:r w:rsidRPr="00494764">
        <w:rPr>
          <w:lang w:eastAsia="ja-JP"/>
        </w:rPr>
        <w:t xml:space="preserve"> to 24 mg</w:t>
      </w:r>
      <w:r>
        <w:rPr>
          <w:lang w:eastAsia="ja-JP"/>
        </w:rPr>
        <w:t xml:space="preserve"> </w:t>
      </w:r>
      <w:r w:rsidR="007C6D8D">
        <w:rPr>
          <w:lang w:eastAsia="ja-JP"/>
        </w:rPr>
        <w:t>BD</w:t>
      </w:r>
      <w:r>
        <w:rPr>
          <w:lang w:eastAsia="ja-JP"/>
        </w:rPr>
        <w:t>.</w:t>
      </w:r>
      <w:r w:rsidRPr="00494764">
        <w:rPr>
          <w:lang w:eastAsia="ja-JP"/>
        </w:rPr>
        <w:t xml:space="preserve"> </w:t>
      </w:r>
      <w:r>
        <w:rPr>
          <w:lang w:eastAsia="ja-JP"/>
        </w:rPr>
        <w:t>A</w:t>
      </w:r>
      <w:r w:rsidRPr="00494764">
        <w:rPr>
          <w:lang w:eastAsia="ja-JP"/>
        </w:rPr>
        <w:t>dditional laboratory tests were positive for F-Actin antibody and anti-smooth</w:t>
      </w:r>
      <w:r>
        <w:rPr>
          <w:lang w:eastAsia="ja-JP"/>
        </w:rPr>
        <w:t xml:space="preserve"> </w:t>
      </w:r>
      <w:r w:rsidRPr="00494764">
        <w:rPr>
          <w:lang w:eastAsia="ja-JP"/>
        </w:rPr>
        <w:t xml:space="preserve">muscle </w:t>
      </w:r>
      <w:r>
        <w:rPr>
          <w:lang w:eastAsia="ja-JP"/>
        </w:rPr>
        <w:t>IgG</w:t>
      </w:r>
      <w:r w:rsidRPr="00494764">
        <w:rPr>
          <w:lang w:eastAsia="ja-JP"/>
        </w:rPr>
        <w:t xml:space="preserve"> antibody, both consistent with autoimmune hepatitis or</w:t>
      </w:r>
      <w:r>
        <w:rPr>
          <w:lang w:eastAsia="ja-JP"/>
        </w:rPr>
        <w:t xml:space="preserve"> </w:t>
      </w:r>
      <w:r w:rsidRPr="00494764">
        <w:rPr>
          <w:lang w:eastAsia="ja-JP"/>
        </w:rPr>
        <w:t>chronic active hepatitis. Hepatitis panel was negative. CMV IgG was negative and</w:t>
      </w:r>
      <w:r>
        <w:rPr>
          <w:lang w:eastAsia="ja-JP"/>
        </w:rPr>
        <w:t xml:space="preserve"> </w:t>
      </w:r>
      <w:r w:rsidRPr="00494764">
        <w:rPr>
          <w:lang w:eastAsia="ja-JP"/>
        </w:rPr>
        <w:t xml:space="preserve">Epstein-Barr virus IgG was positive. The </w:t>
      </w:r>
      <w:r w:rsidR="0066478A">
        <w:rPr>
          <w:lang w:eastAsia="ja-JP"/>
        </w:rPr>
        <w:t>study</w:t>
      </w:r>
      <w:r w:rsidRPr="00494764">
        <w:rPr>
          <w:lang w:eastAsia="ja-JP"/>
        </w:rPr>
        <w:t xml:space="preserve"> drug was interrupted. </w:t>
      </w:r>
      <w:r>
        <w:rPr>
          <w:lang w:eastAsia="ja-JP"/>
        </w:rPr>
        <w:t>F</w:t>
      </w:r>
      <w:r w:rsidRPr="00494764">
        <w:rPr>
          <w:lang w:eastAsia="ja-JP"/>
        </w:rPr>
        <w:t>ollow-up laboratory tests showed improvement and the</w:t>
      </w:r>
      <w:r>
        <w:rPr>
          <w:lang w:eastAsia="ja-JP"/>
        </w:rPr>
        <w:t xml:space="preserve"> </w:t>
      </w:r>
      <w:r w:rsidR="0066478A">
        <w:rPr>
          <w:lang w:eastAsia="ja-JP"/>
        </w:rPr>
        <w:t>study</w:t>
      </w:r>
      <w:r>
        <w:rPr>
          <w:lang w:eastAsia="ja-JP"/>
        </w:rPr>
        <w:t xml:space="preserve"> drug was restarted. </w:t>
      </w:r>
      <w:r w:rsidRPr="00494764">
        <w:rPr>
          <w:lang w:eastAsia="ja-JP"/>
        </w:rPr>
        <w:t>On Day 341, AST (95 U/L) and ALT (219 U/L) were increased more than</w:t>
      </w:r>
      <w:r>
        <w:rPr>
          <w:lang w:eastAsia="ja-JP"/>
        </w:rPr>
        <w:t xml:space="preserve"> </w:t>
      </w:r>
      <w:r w:rsidRPr="00494764">
        <w:rPr>
          <w:lang w:eastAsia="ja-JP"/>
        </w:rPr>
        <w:t>3</w:t>
      </w:r>
      <w:r w:rsidR="00A2508E">
        <w:rPr>
          <w:lang w:eastAsia="ja-JP"/>
        </w:rPr>
        <w:t> x </w:t>
      </w:r>
      <w:r w:rsidRPr="00494764">
        <w:rPr>
          <w:lang w:eastAsia="ja-JP"/>
        </w:rPr>
        <w:t>ULN and 7</w:t>
      </w:r>
      <w:r w:rsidR="00CF6063">
        <w:rPr>
          <w:lang w:eastAsia="ja-JP"/>
        </w:rPr>
        <w:t xml:space="preserve"> x </w:t>
      </w:r>
      <w:r w:rsidRPr="00494764">
        <w:rPr>
          <w:lang w:eastAsia="ja-JP"/>
        </w:rPr>
        <w:t xml:space="preserve">ULN, respectively. The event did not resolve, therefore the </w:t>
      </w:r>
      <w:r w:rsidR="0066478A">
        <w:rPr>
          <w:lang w:eastAsia="ja-JP"/>
        </w:rPr>
        <w:t>study</w:t>
      </w:r>
      <w:r w:rsidRPr="00494764">
        <w:rPr>
          <w:lang w:eastAsia="ja-JP"/>
        </w:rPr>
        <w:t xml:space="preserve"> drug</w:t>
      </w:r>
      <w:r>
        <w:rPr>
          <w:lang w:eastAsia="ja-JP"/>
        </w:rPr>
        <w:t xml:space="preserve"> </w:t>
      </w:r>
      <w:r w:rsidRPr="00494764">
        <w:rPr>
          <w:lang w:eastAsia="ja-JP"/>
        </w:rPr>
        <w:t xml:space="preserve">was stopped and the patient was prematurely discontinued from the </w:t>
      </w:r>
      <w:r w:rsidR="0066478A">
        <w:rPr>
          <w:lang w:eastAsia="ja-JP"/>
        </w:rPr>
        <w:t>study</w:t>
      </w:r>
      <w:r w:rsidRPr="00494764">
        <w:rPr>
          <w:lang w:eastAsia="ja-JP"/>
        </w:rPr>
        <w:t xml:space="preserve"> on the same day.</w:t>
      </w:r>
      <w:r>
        <w:rPr>
          <w:lang w:eastAsia="ja-JP"/>
        </w:rPr>
        <w:t xml:space="preserve"> </w:t>
      </w:r>
      <w:r w:rsidRPr="00494764">
        <w:rPr>
          <w:lang w:eastAsia="ja-JP"/>
        </w:rPr>
        <w:t>Throughout the disease course changes in alkaline phosphatase values generally paralleled</w:t>
      </w:r>
      <w:r>
        <w:rPr>
          <w:lang w:eastAsia="ja-JP"/>
        </w:rPr>
        <w:t xml:space="preserve"> </w:t>
      </w:r>
      <w:r w:rsidRPr="00494764">
        <w:rPr>
          <w:lang w:eastAsia="ja-JP"/>
        </w:rPr>
        <w:t>those of transaminases while bilirubin values remained normal. This event was reported as</w:t>
      </w:r>
      <w:r>
        <w:rPr>
          <w:lang w:eastAsia="ja-JP"/>
        </w:rPr>
        <w:t xml:space="preserve"> </w:t>
      </w:r>
      <w:r w:rsidRPr="00494764">
        <w:rPr>
          <w:lang w:eastAsia="ja-JP"/>
        </w:rPr>
        <w:t xml:space="preserve">serious, severe in intensity and judged related to the </w:t>
      </w:r>
      <w:r w:rsidR="0066478A">
        <w:rPr>
          <w:lang w:eastAsia="ja-JP"/>
        </w:rPr>
        <w:t>study</w:t>
      </w:r>
      <w:r w:rsidRPr="00494764">
        <w:rPr>
          <w:lang w:eastAsia="ja-JP"/>
        </w:rPr>
        <w:t xml:space="preserve"> drug.</w:t>
      </w:r>
      <w:r>
        <w:rPr>
          <w:lang w:eastAsia="ja-JP"/>
        </w:rPr>
        <w:t xml:space="preserve"> </w:t>
      </w:r>
      <w:r w:rsidRPr="00494764">
        <w:rPr>
          <w:lang w:eastAsia="ja-JP"/>
        </w:rPr>
        <w:t>Follow-up information confirmed that the autoimmune</w:t>
      </w:r>
      <w:r>
        <w:rPr>
          <w:lang w:eastAsia="ja-JP"/>
        </w:rPr>
        <w:t xml:space="preserve"> </w:t>
      </w:r>
      <w:r w:rsidRPr="00494764">
        <w:rPr>
          <w:lang w:eastAsia="ja-JP"/>
        </w:rPr>
        <w:t>hepatitis resolved without sequelae.</w:t>
      </w:r>
    </w:p>
    <w:p w14:paraId="32EC2891" w14:textId="77777777" w:rsidR="00143A39" w:rsidRDefault="00143A39" w:rsidP="00143A39">
      <w:pPr>
        <w:pStyle w:val="Tabletitle"/>
      </w:pPr>
      <w:bookmarkStart w:id="385" w:name="_Ref461092336"/>
      <w:bookmarkStart w:id="386" w:name="_Toc473884111"/>
      <w:r w:rsidRPr="00F27B3B">
        <w:lastRenderedPageBreak/>
        <w:t xml:space="preserve">Table </w:t>
      </w:r>
      <w:bookmarkEnd w:id="385"/>
      <w:r w:rsidR="00F27B3B" w:rsidRPr="00F27B3B">
        <w:t>67</w:t>
      </w:r>
      <w:r w:rsidR="00F27B3B">
        <w:t>:</w:t>
      </w:r>
      <w:r>
        <w:t xml:space="preserve"> FUTURE-2 Summary of treatm</w:t>
      </w:r>
      <w:r w:rsidR="00F27B3B">
        <w:t>ent emergent SAEs by frequency;</w:t>
      </w:r>
      <w:r>
        <w:t xml:space="preserve"> all treated set</w:t>
      </w:r>
      <w:bookmarkEnd w:id="386"/>
    </w:p>
    <w:p w14:paraId="28DD1433" w14:textId="77777777" w:rsidR="00143A39" w:rsidRDefault="00143A39" w:rsidP="00287323">
      <w:pPr>
        <w:rPr>
          <w:lang w:eastAsia="ja-JP"/>
        </w:rPr>
      </w:pPr>
      <w:r>
        <w:rPr>
          <w:noProof/>
          <w:lang w:eastAsia="en-AU"/>
        </w:rPr>
        <w:drawing>
          <wp:inline distT="0" distB="0" distL="0" distR="0" wp14:anchorId="5FE3756B" wp14:editId="341C831B">
            <wp:extent cx="4657725" cy="5248275"/>
            <wp:effectExtent l="0" t="0" r="9525" b="9525"/>
            <wp:docPr id="94" name="Picture 94" descr="Table 67: FUTURE-2 Summary of treatment emergent SAEs by frequency; all 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4657725" cy="5248275"/>
                    </a:xfrm>
                    <a:prstGeom prst="rect">
                      <a:avLst/>
                    </a:prstGeom>
                  </pic:spPr>
                </pic:pic>
              </a:graphicData>
            </a:graphic>
          </wp:inline>
        </w:drawing>
      </w:r>
    </w:p>
    <w:p w14:paraId="445CB3FB" w14:textId="77777777" w:rsidR="00143A39" w:rsidRPr="006E0293" w:rsidRDefault="00093207" w:rsidP="006E0293">
      <w:pPr>
        <w:pStyle w:val="Heading6"/>
      </w:pPr>
      <w:r>
        <w:t xml:space="preserve">Study </w:t>
      </w:r>
      <w:r w:rsidR="00A2508E">
        <w:t>FUTURE-4 E</w:t>
      </w:r>
      <w:r w:rsidR="00143A39" w:rsidRPr="006E0293">
        <w:t>xtension</w:t>
      </w:r>
    </w:p>
    <w:p w14:paraId="33717AA7" w14:textId="77777777" w:rsidR="00143A39" w:rsidRDefault="00143A39" w:rsidP="006E0293">
      <w:pPr>
        <w:rPr>
          <w:lang w:eastAsia="ja-JP"/>
        </w:rPr>
      </w:pPr>
      <w:r>
        <w:rPr>
          <w:lang w:eastAsia="ja-JP"/>
        </w:rPr>
        <w:t xml:space="preserve">There were no deaths or SAEs in this </w:t>
      </w:r>
      <w:r w:rsidR="0066478A">
        <w:rPr>
          <w:lang w:eastAsia="ja-JP"/>
        </w:rPr>
        <w:t>study</w:t>
      </w:r>
      <w:r>
        <w:rPr>
          <w:lang w:eastAsia="ja-JP"/>
        </w:rPr>
        <w:t>.</w:t>
      </w:r>
    </w:p>
    <w:p w14:paraId="237B23AC" w14:textId="77777777" w:rsidR="00143A39" w:rsidRPr="006E0293" w:rsidRDefault="00143A39" w:rsidP="004E5DCA">
      <w:pPr>
        <w:pStyle w:val="Heading5"/>
        <w:numPr>
          <w:ilvl w:val="3"/>
          <w:numId w:val="32"/>
        </w:numPr>
      </w:pPr>
      <w:r w:rsidRPr="006E0293">
        <w:t>Pivotal and/or main efficacy studies</w:t>
      </w:r>
    </w:p>
    <w:p w14:paraId="46145081" w14:textId="77777777" w:rsidR="00143A39" w:rsidRPr="006E0293" w:rsidRDefault="00A2508E" w:rsidP="006E0293">
      <w:pPr>
        <w:pStyle w:val="Heading6"/>
      </w:pPr>
      <w:r>
        <w:t xml:space="preserve">Study </w:t>
      </w:r>
      <w:r w:rsidR="00143A39" w:rsidRPr="006E0293">
        <w:t>FUTURE-4</w:t>
      </w:r>
    </w:p>
    <w:p w14:paraId="14614899" w14:textId="77777777" w:rsidR="00143A39" w:rsidRPr="00A9100B" w:rsidRDefault="00143A39" w:rsidP="006E0293">
      <w:pPr>
        <w:rPr>
          <w:lang w:eastAsia="ja-JP"/>
        </w:rPr>
      </w:pPr>
      <w:r w:rsidRPr="00A9100B">
        <w:rPr>
          <w:lang w:eastAsia="ja-JP"/>
        </w:rPr>
        <w:t xml:space="preserve">No deaths were reported in this </w:t>
      </w:r>
      <w:r w:rsidR="0066478A">
        <w:rPr>
          <w:lang w:eastAsia="ja-JP"/>
        </w:rPr>
        <w:t>study</w:t>
      </w:r>
      <w:r w:rsidRPr="00A9100B">
        <w:rPr>
          <w:lang w:eastAsia="ja-JP"/>
        </w:rPr>
        <w:t>.</w:t>
      </w:r>
      <w:r>
        <w:rPr>
          <w:lang w:eastAsia="ja-JP"/>
        </w:rPr>
        <w:t xml:space="preserve"> </w:t>
      </w:r>
      <w:r w:rsidRPr="00A9100B">
        <w:rPr>
          <w:lang w:eastAsia="ja-JP"/>
        </w:rPr>
        <w:t xml:space="preserve">A total of 5 patients experienced </w:t>
      </w:r>
      <w:r w:rsidR="00A5161C">
        <w:rPr>
          <w:lang w:eastAsia="ja-JP"/>
        </w:rPr>
        <w:t>treatment emergent</w:t>
      </w:r>
      <w:r w:rsidRPr="00A9100B">
        <w:rPr>
          <w:lang w:eastAsia="ja-JP"/>
        </w:rPr>
        <w:t xml:space="preserve"> SAEs</w:t>
      </w:r>
      <w:r>
        <w:rPr>
          <w:lang w:eastAsia="ja-JP"/>
        </w:rPr>
        <w:t xml:space="preserve"> (two patients in the bosentan group and three in the placebo group), all of which were </w:t>
      </w:r>
      <w:r w:rsidRPr="00A9100B">
        <w:rPr>
          <w:lang w:eastAsia="ja-JP"/>
        </w:rPr>
        <w:t>assessed by the investigator as unrelat</w:t>
      </w:r>
      <w:r>
        <w:rPr>
          <w:lang w:eastAsia="ja-JP"/>
        </w:rPr>
        <w:t xml:space="preserve">ed to </w:t>
      </w:r>
      <w:r w:rsidR="0066478A">
        <w:rPr>
          <w:lang w:eastAsia="ja-JP"/>
        </w:rPr>
        <w:t>study</w:t>
      </w:r>
      <w:r>
        <w:rPr>
          <w:lang w:eastAsia="ja-JP"/>
        </w:rPr>
        <w:t xml:space="preserve"> drug administration.</w:t>
      </w:r>
    </w:p>
    <w:p w14:paraId="732ABFFD" w14:textId="77777777" w:rsidR="00143A39" w:rsidRPr="00A9100B" w:rsidRDefault="00143A39" w:rsidP="006E0293">
      <w:pPr>
        <w:rPr>
          <w:lang w:eastAsia="ja-JP"/>
        </w:rPr>
      </w:pPr>
      <w:r>
        <w:rPr>
          <w:lang w:eastAsia="ja-JP"/>
        </w:rPr>
        <w:t xml:space="preserve">One patient in the bosentan group experienced </w:t>
      </w:r>
      <w:r w:rsidRPr="00A9100B">
        <w:rPr>
          <w:lang w:eastAsia="ja-JP"/>
        </w:rPr>
        <w:t>PPHN worsening shortly after the first dose of</w:t>
      </w:r>
      <w:r>
        <w:rPr>
          <w:lang w:eastAsia="ja-JP"/>
        </w:rPr>
        <w:t xml:space="preserve"> </w:t>
      </w:r>
      <w:r w:rsidRPr="00A9100B">
        <w:rPr>
          <w:lang w:eastAsia="ja-JP"/>
        </w:rPr>
        <w:t>bosentan. This was reported as circulatory collapse, hypercapnia and metabolic</w:t>
      </w:r>
      <w:r>
        <w:rPr>
          <w:lang w:eastAsia="ja-JP"/>
        </w:rPr>
        <w:t xml:space="preserve"> </w:t>
      </w:r>
      <w:r w:rsidRPr="00A9100B">
        <w:rPr>
          <w:lang w:eastAsia="ja-JP"/>
        </w:rPr>
        <w:t>acidosis by the investigator, leading to the need for ECMO. Study drug was discontinued. The patient also had a concomitant non-serious gastric haemorrhage</w:t>
      </w:r>
      <w:r>
        <w:rPr>
          <w:lang w:eastAsia="ja-JP"/>
        </w:rPr>
        <w:t xml:space="preserve"> </w:t>
      </w:r>
      <w:r w:rsidR="00A2508E">
        <w:rPr>
          <w:lang w:eastAsia="ja-JP"/>
        </w:rPr>
        <w:t xml:space="preserve">(Days 5 to </w:t>
      </w:r>
      <w:r w:rsidRPr="00A9100B">
        <w:rPr>
          <w:lang w:eastAsia="ja-JP"/>
        </w:rPr>
        <w:t xml:space="preserve">10). PPHN </w:t>
      </w:r>
      <w:r w:rsidR="00A2508E">
        <w:rPr>
          <w:lang w:eastAsia="ja-JP"/>
        </w:rPr>
        <w:t>worsening resolved on Day </w:t>
      </w:r>
      <w:r w:rsidRPr="00A9100B">
        <w:rPr>
          <w:lang w:eastAsia="ja-JP"/>
        </w:rPr>
        <w:t>39 without sequelae.</w:t>
      </w:r>
    </w:p>
    <w:p w14:paraId="4A1445C5" w14:textId="77777777" w:rsidR="00143A39" w:rsidRDefault="00143A39" w:rsidP="006E0293">
      <w:pPr>
        <w:rPr>
          <w:lang w:eastAsia="ja-JP"/>
        </w:rPr>
      </w:pPr>
      <w:r>
        <w:rPr>
          <w:lang w:val="en-US" w:eastAsia="ja-JP"/>
        </w:rPr>
        <w:t>The other patient in the bosentan group experienced</w:t>
      </w:r>
      <w:r w:rsidRPr="00A9100B">
        <w:rPr>
          <w:lang w:eastAsia="ja-JP"/>
        </w:rPr>
        <w:t xml:space="preserve"> unspecified reactive hepatitis with onset on</w:t>
      </w:r>
      <w:r>
        <w:rPr>
          <w:lang w:eastAsia="ja-JP"/>
        </w:rPr>
        <w:t xml:space="preserve"> </w:t>
      </w:r>
      <w:r w:rsidRPr="00A9100B">
        <w:rPr>
          <w:lang w:eastAsia="ja-JP"/>
        </w:rPr>
        <w:t>Day 8, 3 days after treatment discontinuation. The diagnosis was based on an abnormal</w:t>
      </w:r>
      <w:r>
        <w:rPr>
          <w:lang w:eastAsia="ja-JP"/>
        </w:rPr>
        <w:t xml:space="preserve"> </w:t>
      </w:r>
      <w:r w:rsidRPr="00A9100B">
        <w:rPr>
          <w:lang w:eastAsia="ja-JP"/>
        </w:rPr>
        <w:t xml:space="preserve">hepatic ultrasound appearance associated with increased </w:t>
      </w:r>
      <w:r>
        <w:rPr>
          <w:lang w:eastAsia="ja-JP"/>
        </w:rPr>
        <w:t>CRP</w:t>
      </w:r>
      <w:r w:rsidRPr="00A9100B">
        <w:rPr>
          <w:lang w:eastAsia="ja-JP"/>
        </w:rPr>
        <w:t>, and</w:t>
      </w:r>
      <w:r>
        <w:rPr>
          <w:lang w:eastAsia="ja-JP"/>
        </w:rPr>
        <w:t xml:space="preserve"> </w:t>
      </w:r>
      <w:r w:rsidRPr="00A9100B">
        <w:rPr>
          <w:lang w:eastAsia="ja-JP"/>
        </w:rPr>
        <w:t>was not s</w:t>
      </w:r>
      <w:r>
        <w:rPr>
          <w:lang w:eastAsia="ja-JP"/>
        </w:rPr>
        <w:t>upported by liver test results (</w:t>
      </w:r>
      <w:r w:rsidRPr="00A9100B">
        <w:rPr>
          <w:lang w:eastAsia="ja-JP"/>
        </w:rPr>
        <w:t>ALT was slightly increased, AST was normal</w:t>
      </w:r>
      <w:r>
        <w:rPr>
          <w:lang w:eastAsia="ja-JP"/>
        </w:rPr>
        <w:t>)</w:t>
      </w:r>
      <w:r w:rsidRPr="00A9100B">
        <w:rPr>
          <w:lang w:eastAsia="ja-JP"/>
        </w:rPr>
        <w:t xml:space="preserve">. The patient had been on bosentan </w:t>
      </w:r>
      <w:r w:rsidRPr="00A9100B">
        <w:rPr>
          <w:lang w:eastAsia="ja-JP"/>
        </w:rPr>
        <w:lastRenderedPageBreak/>
        <w:t>treatment for</w:t>
      </w:r>
      <w:r>
        <w:rPr>
          <w:lang w:eastAsia="ja-JP"/>
        </w:rPr>
        <w:t xml:space="preserve"> </w:t>
      </w:r>
      <w:r w:rsidRPr="00A9100B">
        <w:rPr>
          <w:lang w:eastAsia="ja-JP"/>
        </w:rPr>
        <w:t>4.5 days. Ultimately, the abnormal hepatic ultrasound appearance was suspected to be</w:t>
      </w:r>
      <w:r>
        <w:rPr>
          <w:lang w:eastAsia="ja-JP"/>
        </w:rPr>
        <w:t xml:space="preserve"> </w:t>
      </w:r>
      <w:r w:rsidRPr="00A9100B">
        <w:rPr>
          <w:lang w:eastAsia="ja-JP"/>
        </w:rPr>
        <w:t>associated with the umbilical line placement. The event was reported as resolved with sequelae 2 weeks later.</w:t>
      </w:r>
    </w:p>
    <w:p w14:paraId="06C56FF6" w14:textId="77777777" w:rsidR="00143A39" w:rsidRPr="00B67065" w:rsidRDefault="00143A39" w:rsidP="00143A39">
      <w:pPr>
        <w:pStyle w:val="Tabletitle"/>
      </w:pPr>
      <w:bookmarkStart w:id="387" w:name="_Toc473884112"/>
      <w:r w:rsidRPr="00F27B3B">
        <w:t xml:space="preserve">Table </w:t>
      </w:r>
      <w:r w:rsidR="00F27B3B" w:rsidRPr="00F27B3B">
        <w:t>68:</w:t>
      </w:r>
      <w:r>
        <w:t xml:space="preserve"> FUTURE-4 </w:t>
      </w:r>
      <w:r w:rsidRPr="00B67065">
        <w:t xml:space="preserve">Summary of </w:t>
      </w:r>
      <w:r>
        <w:t>SAEs</w:t>
      </w:r>
      <w:r w:rsidRPr="00B67065">
        <w:t xml:space="preserve"> by system</w:t>
      </w:r>
      <w:r>
        <w:t xml:space="preserve"> </w:t>
      </w:r>
      <w:r w:rsidRPr="00B67065">
        <w:t>organ class and preferred term, Safety analysis set</w:t>
      </w:r>
      <w:bookmarkEnd w:id="387"/>
    </w:p>
    <w:p w14:paraId="5F64D83A" w14:textId="77777777" w:rsidR="00143A39" w:rsidRDefault="006E0293" w:rsidP="00287323">
      <w:pPr>
        <w:rPr>
          <w:lang w:eastAsia="ja-JP"/>
        </w:rPr>
      </w:pPr>
      <w:r>
        <w:rPr>
          <w:noProof/>
          <w:lang w:eastAsia="en-AU"/>
        </w:rPr>
        <w:drawing>
          <wp:inline distT="0" distB="0" distL="0" distR="0" wp14:anchorId="44DE789A" wp14:editId="25C584F6">
            <wp:extent cx="3638550" cy="4562475"/>
            <wp:effectExtent l="0" t="0" r="0" b="9525"/>
            <wp:docPr id="95" name="Picture 95" descr="Table 68: FUTURE-4 Summary of SAEs by system organ class and preferred term, Safety analysi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BEBA8EAE-BF5A-486C-A8C5-ECC9F3942E4B}">
                          <a14:imgProps xmlns:a14="http://schemas.microsoft.com/office/drawing/2010/main">
                            <a14:imgLayer r:embed="rId133">
                              <a14:imgEffect>
                                <a14:brightnessContrast contrast="-40000"/>
                              </a14:imgEffect>
                            </a14:imgLayer>
                          </a14:imgProps>
                        </a:ext>
                      </a:extLst>
                    </a:blip>
                    <a:stretch>
                      <a:fillRect/>
                    </a:stretch>
                  </pic:blipFill>
                  <pic:spPr>
                    <a:xfrm>
                      <a:off x="0" y="0"/>
                      <a:ext cx="3638550" cy="4562475"/>
                    </a:xfrm>
                    <a:prstGeom prst="rect">
                      <a:avLst/>
                    </a:prstGeom>
                  </pic:spPr>
                </pic:pic>
              </a:graphicData>
            </a:graphic>
          </wp:inline>
        </w:drawing>
      </w:r>
    </w:p>
    <w:p w14:paraId="3AC81B30" w14:textId="77777777" w:rsidR="006E0293" w:rsidRPr="006E0293" w:rsidRDefault="006E0293" w:rsidP="004E5DCA">
      <w:pPr>
        <w:pStyle w:val="Heading5"/>
        <w:numPr>
          <w:ilvl w:val="3"/>
          <w:numId w:val="33"/>
        </w:numPr>
      </w:pPr>
      <w:bookmarkStart w:id="388" w:name="_Ref463344847"/>
      <w:r w:rsidRPr="006E0293">
        <w:t>Other studies</w:t>
      </w:r>
      <w:bookmarkEnd w:id="388"/>
    </w:p>
    <w:p w14:paraId="29C7CC6B" w14:textId="77777777" w:rsidR="006E0293" w:rsidRPr="006E0293" w:rsidRDefault="00093207" w:rsidP="006E0293">
      <w:pPr>
        <w:pStyle w:val="Heading6"/>
      </w:pPr>
      <w:r>
        <w:t xml:space="preserve">Study </w:t>
      </w:r>
      <w:r w:rsidR="006E0293" w:rsidRPr="006E0293">
        <w:t>AC-052-116</w:t>
      </w:r>
    </w:p>
    <w:p w14:paraId="70F9DF63" w14:textId="77777777" w:rsidR="006E0293" w:rsidRDefault="006E0293" w:rsidP="006E0293">
      <w:pPr>
        <w:rPr>
          <w:lang w:eastAsia="ja-JP"/>
        </w:rPr>
      </w:pPr>
      <w:r w:rsidRPr="00DF3B8A">
        <w:rPr>
          <w:lang w:eastAsia="ja-JP"/>
        </w:rPr>
        <w:t xml:space="preserve">No </w:t>
      </w:r>
      <w:r>
        <w:rPr>
          <w:lang w:eastAsia="ja-JP"/>
        </w:rPr>
        <w:t>SAEs</w:t>
      </w:r>
      <w:r w:rsidRPr="00DF3B8A">
        <w:rPr>
          <w:lang w:eastAsia="ja-JP"/>
        </w:rPr>
        <w:t xml:space="preserve"> were reported.</w:t>
      </w:r>
    </w:p>
    <w:p w14:paraId="3CFBD3D9" w14:textId="333D5C67" w:rsidR="006E0293" w:rsidRPr="006E0293" w:rsidRDefault="00A2508E" w:rsidP="006E0293">
      <w:pPr>
        <w:pStyle w:val="Heading6"/>
      </w:pPr>
      <w:r>
        <w:t xml:space="preserve">Study </w:t>
      </w:r>
      <w:r w:rsidR="006E0293" w:rsidRPr="006E0293">
        <w:t xml:space="preserve">AC-052-365 </w:t>
      </w:r>
      <w:r w:rsidR="00291728">
        <w:t>(</w:t>
      </w:r>
      <w:r w:rsidR="006E0293" w:rsidRPr="006E0293">
        <w:t>FUTURE-1</w:t>
      </w:r>
      <w:r w:rsidR="00291728">
        <w:t>)</w:t>
      </w:r>
    </w:p>
    <w:p w14:paraId="23FB017A" w14:textId="77777777" w:rsidR="006E0293" w:rsidRPr="008A0D91" w:rsidRDefault="006E0293" w:rsidP="006E0293">
      <w:pPr>
        <w:rPr>
          <w:lang w:eastAsia="ja-JP"/>
        </w:rPr>
      </w:pPr>
      <w:r w:rsidRPr="00F465D3">
        <w:rPr>
          <w:lang w:eastAsia="ja-JP"/>
        </w:rPr>
        <w:t>There were</w:t>
      </w:r>
      <w:r>
        <w:rPr>
          <w:lang w:eastAsia="ja-JP"/>
        </w:rPr>
        <w:t xml:space="preserve"> </w:t>
      </w:r>
      <w:r w:rsidRPr="00F465D3">
        <w:rPr>
          <w:lang w:eastAsia="ja-JP"/>
        </w:rPr>
        <w:t>eight SAEs</w:t>
      </w:r>
      <w:r>
        <w:rPr>
          <w:lang w:eastAsia="ja-JP"/>
        </w:rPr>
        <w:t xml:space="preserve"> in four patients. </w:t>
      </w:r>
      <w:r w:rsidRPr="008A0D91">
        <w:rPr>
          <w:lang w:eastAsia="ja-JP"/>
        </w:rPr>
        <w:t>One patient experienced three SAEs (cough, fatig</w:t>
      </w:r>
      <w:r>
        <w:rPr>
          <w:lang w:eastAsia="ja-JP"/>
        </w:rPr>
        <w:t xml:space="preserve">ue, and hypertension) </w:t>
      </w:r>
      <w:r w:rsidRPr="008A0D91">
        <w:rPr>
          <w:lang w:eastAsia="ja-JP"/>
        </w:rPr>
        <w:t xml:space="preserve">on Day 27 of </w:t>
      </w:r>
      <w:r w:rsidR="0066478A">
        <w:rPr>
          <w:lang w:eastAsia="ja-JP"/>
        </w:rPr>
        <w:t>study</w:t>
      </w:r>
      <w:r w:rsidRPr="008A0D91">
        <w:rPr>
          <w:lang w:eastAsia="ja-JP"/>
        </w:rPr>
        <w:t xml:space="preserve"> treatment, leading to hospitali</w:t>
      </w:r>
      <w:r>
        <w:rPr>
          <w:lang w:eastAsia="ja-JP"/>
        </w:rPr>
        <w:t>s</w:t>
      </w:r>
      <w:r w:rsidRPr="008A0D91">
        <w:rPr>
          <w:lang w:eastAsia="ja-JP"/>
        </w:rPr>
        <w:t>ation for three days. These events were</w:t>
      </w:r>
      <w:r>
        <w:rPr>
          <w:lang w:eastAsia="ja-JP"/>
        </w:rPr>
        <w:t xml:space="preserve"> </w:t>
      </w:r>
      <w:r w:rsidRPr="008A0D91">
        <w:rPr>
          <w:lang w:eastAsia="ja-JP"/>
        </w:rPr>
        <w:t xml:space="preserve">considered of mild intensity and unrelated to </w:t>
      </w:r>
      <w:r w:rsidR="0066478A">
        <w:rPr>
          <w:lang w:eastAsia="ja-JP"/>
        </w:rPr>
        <w:t>study</w:t>
      </w:r>
      <w:r w:rsidRPr="008A0D91">
        <w:rPr>
          <w:lang w:eastAsia="ja-JP"/>
        </w:rPr>
        <w:t xml:space="preserve"> drug.</w:t>
      </w:r>
    </w:p>
    <w:p w14:paraId="6F747065" w14:textId="77777777" w:rsidR="006E0293" w:rsidRDefault="006E0293" w:rsidP="006E0293">
      <w:pPr>
        <w:rPr>
          <w:lang w:eastAsia="ja-JP"/>
        </w:rPr>
      </w:pPr>
      <w:r w:rsidRPr="008A0D91">
        <w:rPr>
          <w:lang w:eastAsia="ja-JP"/>
        </w:rPr>
        <w:t xml:space="preserve">Another patient experienced two SAEs, ear infection </w:t>
      </w:r>
      <w:r>
        <w:rPr>
          <w:lang w:eastAsia="ja-JP"/>
        </w:rPr>
        <w:t>(</w:t>
      </w:r>
      <w:r w:rsidRPr="008A0D91">
        <w:rPr>
          <w:lang w:eastAsia="ja-JP"/>
        </w:rPr>
        <w:t>suspected otitis)</w:t>
      </w:r>
      <w:r>
        <w:rPr>
          <w:lang w:eastAsia="ja-JP"/>
        </w:rPr>
        <w:t xml:space="preserve"> </w:t>
      </w:r>
      <w:r w:rsidRPr="008A0D91">
        <w:rPr>
          <w:lang w:eastAsia="ja-JP"/>
        </w:rPr>
        <w:t>triggering right ventricular failure</w:t>
      </w:r>
      <w:r>
        <w:rPr>
          <w:lang w:eastAsia="ja-JP"/>
        </w:rPr>
        <w:t>. These SAEs were considered</w:t>
      </w:r>
      <w:r w:rsidRPr="008A0D91">
        <w:rPr>
          <w:lang w:eastAsia="ja-JP"/>
        </w:rPr>
        <w:t xml:space="preserve"> unrelated to </w:t>
      </w:r>
      <w:r w:rsidR="0066478A">
        <w:rPr>
          <w:lang w:eastAsia="ja-JP"/>
        </w:rPr>
        <w:t>study</w:t>
      </w:r>
      <w:r w:rsidRPr="008A0D91">
        <w:rPr>
          <w:lang w:eastAsia="ja-JP"/>
        </w:rPr>
        <w:t xml:space="preserve"> treatment</w:t>
      </w:r>
      <w:r>
        <w:rPr>
          <w:lang w:eastAsia="ja-JP"/>
        </w:rPr>
        <w:t>.</w:t>
      </w:r>
    </w:p>
    <w:p w14:paraId="6108D30B" w14:textId="77777777" w:rsidR="006E0293" w:rsidRDefault="006E0293" w:rsidP="006E0293">
      <w:pPr>
        <w:rPr>
          <w:lang w:eastAsia="ja-JP"/>
        </w:rPr>
      </w:pPr>
      <w:r w:rsidRPr="008A0D91">
        <w:rPr>
          <w:lang w:eastAsia="ja-JP"/>
        </w:rPr>
        <w:t xml:space="preserve">A third patient, with prior history of adenoid hypertrophy, experienced two SAEs (adenoidectomy planned before the </w:t>
      </w:r>
      <w:r w:rsidR="0066478A">
        <w:rPr>
          <w:lang w:eastAsia="ja-JP"/>
        </w:rPr>
        <w:t>study</w:t>
      </w:r>
      <w:r w:rsidRPr="008A0D91">
        <w:rPr>
          <w:lang w:eastAsia="ja-JP"/>
        </w:rPr>
        <w:t xml:space="preserve"> and bacterial infection). The infection</w:t>
      </w:r>
      <w:r>
        <w:rPr>
          <w:lang w:eastAsia="ja-JP"/>
        </w:rPr>
        <w:t xml:space="preserve"> </w:t>
      </w:r>
      <w:r w:rsidRPr="008A0D91">
        <w:rPr>
          <w:lang w:eastAsia="ja-JP"/>
        </w:rPr>
        <w:t xml:space="preserve">was rated serious, of moderate intensity and unrelated to </w:t>
      </w:r>
      <w:r w:rsidR="0066478A">
        <w:rPr>
          <w:lang w:eastAsia="ja-JP"/>
        </w:rPr>
        <w:t>study</w:t>
      </w:r>
      <w:r w:rsidRPr="008A0D91">
        <w:rPr>
          <w:lang w:eastAsia="ja-JP"/>
        </w:rPr>
        <w:t xml:space="preserve"> treatment.</w:t>
      </w:r>
    </w:p>
    <w:p w14:paraId="2A952CAE" w14:textId="77777777" w:rsidR="006E0293" w:rsidRDefault="006E0293" w:rsidP="006E0293">
      <w:pPr>
        <w:rPr>
          <w:lang w:eastAsia="ja-JP"/>
        </w:rPr>
      </w:pPr>
      <w:r w:rsidRPr="008A0D91">
        <w:rPr>
          <w:lang w:eastAsia="ja-JP"/>
        </w:rPr>
        <w:t xml:space="preserve">The remaining one SAE of worsening of PAH was considered severe and related to </w:t>
      </w:r>
      <w:r w:rsidR="0066478A">
        <w:rPr>
          <w:lang w:eastAsia="ja-JP"/>
        </w:rPr>
        <w:t>study</w:t>
      </w:r>
      <w:r>
        <w:rPr>
          <w:lang w:eastAsia="ja-JP"/>
        </w:rPr>
        <w:t xml:space="preserve"> </w:t>
      </w:r>
      <w:r w:rsidRPr="008A0D91">
        <w:rPr>
          <w:lang w:eastAsia="ja-JP"/>
        </w:rPr>
        <w:t xml:space="preserve">treatment. After </w:t>
      </w:r>
      <w:r w:rsidR="0066478A">
        <w:rPr>
          <w:lang w:eastAsia="ja-JP"/>
        </w:rPr>
        <w:t>study</w:t>
      </w:r>
      <w:r w:rsidRPr="008A0D91">
        <w:rPr>
          <w:lang w:eastAsia="ja-JP"/>
        </w:rPr>
        <w:t xml:space="preserve"> treatment completion (Day 90), the</w:t>
      </w:r>
      <w:r>
        <w:rPr>
          <w:lang w:eastAsia="ja-JP"/>
        </w:rPr>
        <w:t xml:space="preserve"> </w:t>
      </w:r>
      <w:r w:rsidRPr="008A0D91">
        <w:rPr>
          <w:lang w:eastAsia="ja-JP"/>
        </w:rPr>
        <w:t>patient continued therapy with the commercial, adult bosentan formulation at a dose of</w:t>
      </w:r>
      <w:r>
        <w:rPr>
          <w:lang w:eastAsia="ja-JP"/>
        </w:rPr>
        <w:t xml:space="preserve"> </w:t>
      </w:r>
      <w:r w:rsidRPr="008A0D91">
        <w:rPr>
          <w:lang w:eastAsia="ja-JP"/>
        </w:rPr>
        <w:t>31.2</w:t>
      </w:r>
      <w:r>
        <w:rPr>
          <w:lang w:eastAsia="ja-JP"/>
        </w:rPr>
        <w:t xml:space="preserve">5 mg </w:t>
      </w:r>
      <w:r w:rsidR="007C6D8D">
        <w:rPr>
          <w:lang w:eastAsia="ja-JP"/>
        </w:rPr>
        <w:t>BD</w:t>
      </w:r>
      <w:r w:rsidRPr="008A0D91">
        <w:rPr>
          <w:lang w:eastAsia="ja-JP"/>
        </w:rPr>
        <w:t xml:space="preserve"> (started one day after the </w:t>
      </w:r>
      <w:r w:rsidR="0066478A">
        <w:rPr>
          <w:lang w:eastAsia="ja-JP"/>
        </w:rPr>
        <w:lastRenderedPageBreak/>
        <w:t>study</w:t>
      </w:r>
      <w:r w:rsidRPr="008A0D91">
        <w:rPr>
          <w:lang w:eastAsia="ja-JP"/>
        </w:rPr>
        <w:t xml:space="preserve"> drug discontinuation). As fluctuations in</w:t>
      </w:r>
      <w:r>
        <w:rPr>
          <w:lang w:eastAsia="ja-JP"/>
        </w:rPr>
        <w:t xml:space="preserve"> </w:t>
      </w:r>
      <w:r w:rsidRPr="008A0D91">
        <w:rPr>
          <w:lang w:eastAsia="ja-JP"/>
        </w:rPr>
        <w:t>the clinical response to the paediatric and adult bosentan formulation were observed in this</w:t>
      </w:r>
      <w:r>
        <w:rPr>
          <w:lang w:eastAsia="ja-JP"/>
        </w:rPr>
        <w:t xml:space="preserve"> </w:t>
      </w:r>
      <w:r w:rsidRPr="008A0D91">
        <w:rPr>
          <w:lang w:eastAsia="ja-JP"/>
        </w:rPr>
        <w:t xml:space="preserve">patient, a batch control of the paediatric formulation was performed by the </w:t>
      </w:r>
      <w:r w:rsidR="007C6D8D">
        <w:rPr>
          <w:lang w:eastAsia="ja-JP"/>
        </w:rPr>
        <w:t>sponsor</w:t>
      </w:r>
      <w:r w:rsidRPr="008A0D91">
        <w:rPr>
          <w:lang w:eastAsia="ja-JP"/>
        </w:rPr>
        <w:t>. It was</w:t>
      </w:r>
      <w:r>
        <w:rPr>
          <w:lang w:eastAsia="ja-JP"/>
        </w:rPr>
        <w:t xml:space="preserve"> </w:t>
      </w:r>
      <w:r w:rsidRPr="008A0D91">
        <w:rPr>
          <w:lang w:eastAsia="ja-JP"/>
        </w:rPr>
        <w:t>found to be of the standard quality. According to the investigator, a potential</w:t>
      </w:r>
      <w:r>
        <w:rPr>
          <w:lang w:eastAsia="ja-JP"/>
        </w:rPr>
        <w:t xml:space="preserve"> </w:t>
      </w:r>
      <w:r w:rsidRPr="008A0D91">
        <w:rPr>
          <w:lang w:eastAsia="ja-JP"/>
        </w:rPr>
        <w:t>non-compliance with the paediatric formulation intake might have been a contributing</w:t>
      </w:r>
      <w:r>
        <w:rPr>
          <w:lang w:eastAsia="ja-JP"/>
        </w:rPr>
        <w:t xml:space="preserve"> </w:t>
      </w:r>
      <w:r w:rsidRPr="008A0D91">
        <w:rPr>
          <w:lang w:eastAsia="ja-JP"/>
        </w:rPr>
        <w:t>factor, but not the main reason for the changing clinical response.</w:t>
      </w:r>
    </w:p>
    <w:p w14:paraId="37DFE754" w14:textId="77777777" w:rsidR="006E0293" w:rsidRDefault="006E0293" w:rsidP="006E0293">
      <w:pPr>
        <w:rPr>
          <w:lang w:eastAsia="ja-JP"/>
        </w:rPr>
      </w:pPr>
      <w:r w:rsidRPr="008A0D91">
        <w:rPr>
          <w:lang w:eastAsia="ja-JP"/>
        </w:rPr>
        <w:t xml:space="preserve">One patient died during the </w:t>
      </w:r>
      <w:r w:rsidR="0066478A">
        <w:rPr>
          <w:lang w:eastAsia="ja-JP"/>
        </w:rPr>
        <w:t>study</w:t>
      </w:r>
      <w:r w:rsidRPr="008A0D91">
        <w:rPr>
          <w:lang w:eastAsia="ja-JP"/>
        </w:rPr>
        <w:t xml:space="preserve"> (Day 72 from start of treatment) with</w:t>
      </w:r>
      <w:r>
        <w:rPr>
          <w:lang w:eastAsia="ja-JP"/>
        </w:rPr>
        <w:t xml:space="preserve"> </w:t>
      </w:r>
      <w:r w:rsidRPr="008A0D91">
        <w:rPr>
          <w:lang w:eastAsia="ja-JP"/>
        </w:rPr>
        <w:t>right ventricular failure following development of an ear infection. The ear infection was</w:t>
      </w:r>
      <w:r>
        <w:rPr>
          <w:lang w:eastAsia="ja-JP"/>
        </w:rPr>
        <w:t xml:space="preserve"> </w:t>
      </w:r>
      <w:r w:rsidRPr="008A0D91">
        <w:rPr>
          <w:lang w:eastAsia="ja-JP"/>
        </w:rPr>
        <w:t>of mild to moderate severity (but of severe intensity) and was suspected by the</w:t>
      </w:r>
      <w:r>
        <w:rPr>
          <w:lang w:eastAsia="ja-JP"/>
        </w:rPr>
        <w:t xml:space="preserve"> </w:t>
      </w:r>
      <w:r w:rsidRPr="008A0D91">
        <w:rPr>
          <w:lang w:eastAsia="ja-JP"/>
        </w:rPr>
        <w:t>investigator to have triggered rapid progression of heart failure leading to death.</w:t>
      </w:r>
      <w:r>
        <w:rPr>
          <w:lang w:eastAsia="ja-JP"/>
        </w:rPr>
        <w:t xml:space="preserve"> </w:t>
      </w:r>
      <w:r w:rsidRPr="008A0D91">
        <w:rPr>
          <w:lang w:eastAsia="ja-JP"/>
        </w:rPr>
        <w:t xml:space="preserve">No autopsy was performed. The events and the death were assessed as unrelated to </w:t>
      </w:r>
      <w:r w:rsidR="0066478A">
        <w:rPr>
          <w:lang w:eastAsia="ja-JP"/>
        </w:rPr>
        <w:t>study</w:t>
      </w:r>
      <w:r>
        <w:rPr>
          <w:lang w:eastAsia="ja-JP"/>
        </w:rPr>
        <w:t xml:space="preserve"> </w:t>
      </w:r>
      <w:r w:rsidRPr="008A0D91">
        <w:rPr>
          <w:lang w:eastAsia="ja-JP"/>
        </w:rPr>
        <w:t>medication (treatment discontinuation, Day 71).</w:t>
      </w:r>
    </w:p>
    <w:p w14:paraId="23BA4C5F" w14:textId="4F13A746" w:rsidR="006E0293" w:rsidRPr="006E0293" w:rsidRDefault="00093207" w:rsidP="006E0293">
      <w:pPr>
        <w:pStyle w:val="Heading6"/>
      </w:pPr>
      <w:r>
        <w:t xml:space="preserve">Study </w:t>
      </w:r>
      <w:r w:rsidR="006E0293" w:rsidRPr="006E0293">
        <w:t xml:space="preserve">AC-052-373 </w:t>
      </w:r>
      <w:r w:rsidR="00291728">
        <w:t>(</w:t>
      </w:r>
      <w:r w:rsidR="006E0293" w:rsidRPr="006E0293">
        <w:t>FUTURE-3</w:t>
      </w:r>
      <w:r w:rsidR="00291728">
        <w:t>)</w:t>
      </w:r>
    </w:p>
    <w:p w14:paraId="3D109D99" w14:textId="77777777" w:rsidR="006E0293" w:rsidRDefault="006E0293" w:rsidP="006E0293">
      <w:pPr>
        <w:rPr>
          <w:lang w:eastAsia="ja-JP"/>
        </w:rPr>
      </w:pPr>
      <w:r w:rsidRPr="00320B08">
        <w:rPr>
          <w:lang w:eastAsia="ja-JP"/>
        </w:rPr>
        <w:t xml:space="preserve">A total of 2 patients died during the </w:t>
      </w:r>
      <w:r w:rsidR="0066478A">
        <w:rPr>
          <w:lang w:eastAsia="ja-JP"/>
        </w:rPr>
        <w:t>study</w:t>
      </w:r>
      <w:r>
        <w:rPr>
          <w:lang w:eastAsia="ja-JP"/>
        </w:rPr>
        <w:t>. One patient (</w:t>
      </w:r>
      <w:r w:rsidR="007C6D8D">
        <w:rPr>
          <w:lang w:eastAsia="ja-JP"/>
        </w:rPr>
        <w:t>TDS</w:t>
      </w:r>
      <w:r w:rsidRPr="00320B08">
        <w:rPr>
          <w:lang w:eastAsia="ja-JP"/>
        </w:rPr>
        <w:t>, &lt; 2 years) experienced worsening of PAH and</w:t>
      </w:r>
      <w:r>
        <w:rPr>
          <w:lang w:eastAsia="ja-JP"/>
        </w:rPr>
        <w:t xml:space="preserve"> </w:t>
      </w:r>
      <w:r w:rsidRPr="00320B08">
        <w:rPr>
          <w:lang w:eastAsia="ja-JP"/>
        </w:rPr>
        <w:t>bronchopneumonia 77 days after treatment start, and died on Day 84</w:t>
      </w:r>
      <w:r>
        <w:rPr>
          <w:lang w:eastAsia="ja-JP"/>
        </w:rPr>
        <w:t>. Another patient (</w:t>
      </w:r>
      <w:r w:rsidR="007C6D8D">
        <w:rPr>
          <w:lang w:eastAsia="ja-JP"/>
        </w:rPr>
        <w:t>BD</w:t>
      </w:r>
      <w:r w:rsidRPr="00320B08">
        <w:rPr>
          <w:lang w:eastAsia="ja-JP"/>
        </w:rPr>
        <w:t>, &lt; 2 years), experienced worsening heart failure in the</w:t>
      </w:r>
      <w:r>
        <w:rPr>
          <w:lang w:eastAsia="ja-JP"/>
        </w:rPr>
        <w:t xml:space="preserve"> </w:t>
      </w:r>
      <w:r w:rsidRPr="00320B08">
        <w:rPr>
          <w:lang w:eastAsia="ja-JP"/>
        </w:rPr>
        <w:t>context of infection, multi-organ failure and metabolic disorder on Day 28, which led</w:t>
      </w:r>
      <w:r>
        <w:rPr>
          <w:lang w:eastAsia="ja-JP"/>
        </w:rPr>
        <w:t xml:space="preserve"> </w:t>
      </w:r>
      <w:r w:rsidRPr="00320B08">
        <w:rPr>
          <w:lang w:eastAsia="ja-JP"/>
        </w:rPr>
        <w:t>to discontinuation of bosentan treatment on Day 42. The condition of the patient</w:t>
      </w:r>
      <w:r>
        <w:rPr>
          <w:lang w:eastAsia="ja-JP"/>
        </w:rPr>
        <w:t xml:space="preserve"> </w:t>
      </w:r>
      <w:r w:rsidRPr="00320B08">
        <w:rPr>
          <w:lang w:eastAsia="ja-JP"/>
        </w:rPr>
        <w:t>worsened, and the patient died due to restri</w:t>
      </w:r>
      <w:r>
        <w:rPr>
          <w:lang w:eastAsia="ja-JP"/>
        </w:rPr>
        <w:t>ctive cardiomyopathy on Day 131.</w:t>
      </w:r>
    </w:p>
    <w:p w14:paraId="417ABC31" w14:textId="77777777" w:rsidR="006E0293" w:rsidRDefault="006E0293" w:rsidP="006E0293">
      <w:pPr>
        <w:rPr>
          <w:lang w:eastAsia="ja-JP"/>
        </w:rPr>
      </w:pPr>
      <w:r>
        <w:rPr>
          <w:lang w:eastAsia="ja-JP"/>
        </w:rPr>
        <w:t xml:space="preserve">One patient in the </w:t>
      </w:r>
      <w:r w:rsidR="007C6D8D">
        <w:rPr>
          <w:lang w:eastAsia="ja-JP"/>
        </w:rPr>
        <w:t>BD</w:t>
      </w:r>
      <w:r>
        <w:rPr>
          <w:lang w:eastAsia="ja-JP"/>
        </w:rPr>
        <w:t xml:space="preserve"> group (</w:t>
      </w:r>
      <w:r w:rsidR="007C6D8D">
        <w:rPr>
          <w:lang w:eastAsia="ja-JP"/>
        </w:rPr>
        <w:t>≥</w:t>
      </w:r>
      <w:r w:rsidR="00CF6063">
        <w:rPr>
          <w:lang w:eastAsia="ja-JP"/>
        </w:rPr>
        <w:t xml:space="preserve"> </w:t>
      </w:r>
      <w:r>
        <w:rPr>
          <w:lang w:eastAsia="ja-JP"/>
        </w:rPr>
        <w:t xml:space="preserve">2 years) experienced worsening of PAH and thrombocytopenia on Day 112 and discontinued </w:t>
      </w:r>
      <w:r w:rsidR="0066478A">
        <w:rPr>
          <w:lang w:eastAsia="ja-JP"/>
        </w:rPr>
        <w:t>study</w:t>
      </w:r>
      <w:r>
        <w:rPr>
          <w:lang w:eastAsia="ja-JP"/>
        </w:rPr>
        <w:t xml:space="preserve"> drug on the same day. The patient died 3 months later due to worsening of PAH (whilst taking commercial bosentan).</w:t>
      </w:r>
    </w:p>
    <w:p w14:paraId="1C9273D4" w14:textId="77777777" w:rsidR="006E0293" w:rsidRDefault="006E0293" w:rsidP="006E0293">
      <w:pPr>
        <w:rPr>
          <w:lang w:eastAsia="ja-JP"/>
        </w:rPr>
      </w:pPr>
      <w:r>
        <w:rPr>
          <w:lang w:eastAsia="ja-JP"/>
        </w:rPr>
        <w:t>O</w:t>
      </w:r>
      <w:r w:rsidRPr="00320B08">
        <w:rPr>
          <w:lang w:eastAsia="ja-JP"/>
        </w:rPr>
        <w:t>ne pat</w:t>
      </w:r>
      <w:r>
        <w:rPr>
          <w:lang w:eastAsia="ja-JP"/>
        </w:rPr>
        <w:t xml:space="preserve">ient </w:t>
      </w:r>
      <w:r w:rsidRPr="00320B08">
        <w:rPr>
          <w:lang w:eastAsia="ja-JP"/>
        </w:rPr>
        <w:t>died during the screening period following</w:t>
      </w:r>
      <w:r>
        <w:rPr>
          <w:lang w:eastAsia="ja-JP"/>
        </w:rPr>
        <w:t xml:space="preserve"> </w:t>
      </w:r>
      <w:r w:rsidR="00A2508E">
        <w:rPr>
          <w:lang w:eastAsia="ja-JP"/>
        </w:rPr>
        <w:t xml:space="preserve">protocol </w:t>
      </w:r>
      <w:r w:rsidRPr="00320B08">
        <w:rPr>
          <w:lang w:eastAsia="ja-JP"/>
        </w:rPr>
        <w:t>mandated RHC</w:t>
      </w:r>
      <w:r>
        <w:rPr>
          <w:lang w:eastAsia="ja-JP"/>
        </w:rPr>
        <w:t>.</w:t>
      </w:r>
    </w:p>
    <w:p w14:paraId="39723F31" w14:textId="40A98805" w:rsidR="006E0293" w:rsidRDefault="006E0293" w:rsidP="006E0293">
      <w:pPr>
        <w:rPr>
          <w:lang w:eastAsia="ja-JP"/>
        </w:rPr>
      </w:pPr>
      <w:r w:rsidRPr="00320B08">
        <w:rPr>
          <w:lang w:eastAsia="ja-JP"/>
        </w:rPr>
        <w:t xml:space="preserve">A total of 11 patients (17.2%) experienced </w:t>
      </w:r>
      <w:r w:rsidRPr="00F27B3B">
        <w:rPr>
          <w:lang w:eastAsia="ja-JP"/>
        </w:rPr>
        <w:t>SAEs (</w:t>
      </w:r>
      <w:r w:rsidR="00F27B3B" w:rsidRPr="00F27B3B">
        <w:rPr>
          <w:lang w:eastAsia="ja-JP"/>
        </w:rPr>
        <w:t>Table 70</w:t>
      </w:r>
      <w:r w:rsidRPr="00F27B3B">
        <w:rPr>
          <w:lang w:eastAsia="ja-JP"/>
        </w:rPr>
        <w:t>), 7</w:t>
      </w:r>
      <w:r w:rsidRPr="00320B08">
        <w:rPr>
          <w:lang w:eastAsia="ja-JP"/>
        </w:rPr>
        <w:t xml:space="preserve"> of whom were &lt; 2 years</w:t>
      </w:r>
      <w:r>
        <w:rPr>
          <w:lang w:eastAsia="ja-JP"/>
        </w:rPr>
        <w:t xml:space="preserve"> </w:t>
      </w:r>
      <w:r w:rsidRPr="00320B08">
        <w:rPr>
          <w:lang w:eastAsia="ja-JP"/>
        </w:rPr>
        <w:t>and 4</w:t>
      </w:r>
      <w:r w:rsidR="00291728">
        <w:rPr>
          <w:lang w:eastAsia="ja-JP"/>
        </w:rPr>
        <w:t> </w:t>
      </w:r>
      <w:r w:rsidR="007C6D8D">
        <w:rPr>
          <w:lang w:eastAsia="ja-JP"/>
        </w:rPr>
        <w:t>≥</w:t>
      </w:r>
      <w:r w:rsidR="00291728">
        <w:rPr>
          <w:lang w:eastAsia="ja-JP"/>
        </w:rPr>
        <w:t> </w:t>
      </w:r>
      <w:r>
        <w:rPr>
          <w:lang w:eastAsia="ja-JP"/>
        </w:rPr>
        <w:t>2</w:t>
      </w:r>
      <w:r w:rsidR="00291728">
        <w:rPr>
          <w:lang w:eastAsia="ja-JP"/>
        </w:rPr>
        <w:t> </w:t>
      </w:r>
      <w:r>
        <w:rPr>
          <w:lang w:eastAsia="ja-JP"/>
        </w:rPr>
        <w:t xml:space="preserve">years of age. </w:t>
      </w:r>
      <w:r w:rsidRPr="00320B08">
        <w:rPr>
          <w:lang w:eastAsia="ja-JP"/>
        </w:rPr>
        <w:t>All SAEs were assessed by the investigator as</w:t>
      </w:r>
      <w:r>
        <w:rPr>
          <w:lang w:eastAsia="ja-JP"/>
        </w:rPr>
        <w:t xml:space="preserve"> </w:t>
      </w:r>
      <w:r w:rsidRPr="00320B08">
        <w:rPr>
          <w:lang w:eastAsia="ja-JP"/>
        </w:rPr>
        <w:t xml:space="preserve">unrelated to </w:t>
      </w:r>
      <w:r w:rsidR="0066478A">
        <w:rPr>
          <w:lang w:eastAsia="ja-JP"/>
        </w:rPr>
        <w:t>study</w:t>
      </w:r>
      <w:r w:rsidRPr="00320B08">
        <w:rPr>
          <w:lang w:eastAsia="ja-JP"/>
        </w:rPr>
        <w:t xml:space="preserve"> drug administration.</w:t>
      </w:r>
    </w:p>
    <w:p w14:paraId="6EEF16F6" w14:textId="77777777" w:rsidR="006E0293" w:rsidRPr="00320B08" w:rsidRDefault="006E0293" w:rsidP="006E0293">
      <w:pPr>
        <w:pStyle w:val="Tabletitle"/>
      </w:pPr>
      <w:bookmarkStart w:id="389" w:name="_Toc473884113"/>
      <w:r w:rsidRPr="00F27B3B">
        <w:t xml:space="preserve">Table </w:t>
      </w:r>
      <w:r w:rsidR="00F27B3B" w:rsidRPr="00F27B3B">
        <w:t>69:</w:t>
      </w:r>
      <w:r w:rsidRPr="00F27B3B">
        <w:t xml:space="preserve"> FUTURE</w:t>
      </w:r>
      <w:r>
        <w:t xml:space="preserve">-3 </w:t>
      </w:r>
      <w:r w:rsidRPr="00320B08">
        <w:t xml:space="preserve">Summary of all </w:t>
      </w:r>
      <w:r w:rsidR="00A5161C">
        <w:t>treatment emergent</w:t>
      </w:r>
      <w:r w:rsidRPr="00320B08">
        <w:t xml:space="preserve"> deaths up to EOT + 7 days;</w:t>
      </w:r>
      <w:r>
        <w:t xml:space="preserve"> </w:t>
      </w:r>
      <w:r w:rsidRPr="00320B08">
        <w:t>overall age groups, All-treated set</w:t>
      </w:r>
      <w:bookmarkEnd w:id="389"/>
    </w:p>
    <w:p w14:paraId="6550C53D" w14:textId="77777777" w:rsidR="00143A39" w:rsidRDefault="006E0293" w:rsidP="00287323">
      <w:pPr>
        <w:rPr>
          <w:lang w:eastAsia="ja-JP"/>
        </w:rPr>
      </w:pPr>
      <w:r>
        <w:rPr>
          <w:noProof/>
          <w:lang w:eastAsia="en-AU"/>
        </w:rPr>
        <w:drawing>
          <wp:inline distT="0" distB="0" distL="0" distR="0" wp14:anchorId="258AA31E" wp14:editId="52A06FE4">
            <wp:extent cx="4848225" cy="1447800"/>
            <wp:effectExtent l="0" t="0" r="9525" b="0"/>
            <wp:docPr id="96" name="Picture 96" descr="Table 69: FUTURE-3 Summary of all treatment emergent deaths up to EOT + 7 days; overall age group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4848225" cy="1447800"/>
                    </a:xfrm>
                    <a:prstGeom prst="rect">
                      <a:avLst/>
                    </a:prstGeom>
                  </pic:spPr>
                </pic:pic>
              </a:graphicData>
            </a:graphic>
          </wp:inline>
        </w:drawing>
      </w:r>
    </w:p>
    <w:p w14:paraId="66ABA853" w14:textId="77777777" w:rsidR="006E0293" w:rsidRPr="00F2565F" w:rsidRDefault="006E0293" w:rsidP="006E0293">
      <w:pPr>
        <w:pStyle w:val="Tabletitle"/>
      </w:pPr>
      <w:bookmarkStart w:id="390" w:name="_Ref464054374"/>
      <w:bookmarkStart w:id="391" w:name="_Toc473884114"/>
      <w:r w:rsidRPr="00F27B3B">
        <w:lastRenderedPageBreak/>
        <w:t xml:space="preserve">Table </w:t>
      </w:r>
      <w:bookmarkEnd w:id="390"/>
      <w:r w:rsidR="00F27B3B" w:rsidRPr="00F27B3B">
        <w:t>70:</w:t>
      </w:r>
      <w:r w:rsidRPr="00F27B3B">
        <w:t xml:space="preserve"> FUTURE</w:t>
      </w:r>
      <w:r>
        <w:t xml:space="preserve">-3 </w:t>
      </w:r>
      <w:r w:rsidRPr="00F2565F">
        <w:t xml:space="preserve">Summary of </w:t>
      </w:r>
      <w:r w:rsidR="00A5161C">
        <w:t>treatment emergent</w:t>
      </w:r>
      <w:r w:rsidRPr="00F2565F">
        <w:t xml:space="preserve"> </w:t>
      </w:r>
      <w:r>
        <w:t>SAEs</w:t>
      </w:r>
      <w:r w:rsidRPr="00F2565F">
        <w:t xml:space="preserve"> by frequency</w:t>
      </w:r>
      <w:r>
        <w:t xml:space="preserve"> </w:t>
      </w:r>
      <w:r w:rsidRPr="00F2565F">
        <w:t>up to EOT + 7 days; overall age groups, All-treated set</w:t>
      </w:r>
      <w:bookmarkEnd w:id="391"/>
    </w:p>
    <w:p w14:paraId="626558F5" w14:textId="77777777" w:rsidR="00143A39" w:rsidRDefault="006E0293" w:rsidP="00287323">
      <w:pPr>
        <w:rPr>
          <w:lang w:eastAsia="ja-JP"/>
        </w:rPr>
      </w:pPr>
      <w:r>
        <w:rPr>
          <w:noProof/>
          <w:lang w:eastAsia="en-AU"/>
        </w:rPr>
        <w:drawing>
          <wp:inline distT="0" distB="0" distL="0" distR="0" wp14:anchorId="6FF16E4B" wp14:editId="1C2125BD">
            <wp:extent cx="5153025" cy="2990850"/>
            <wp:effectExtent l="0" t="0" r="9525" b="0"/>
            <wp:docPr id="97" name="Picture 97" descr="Table 70: FUTURE-3 Summary of treatment emergent SAEs by frequency up to EOT + 7 days; overall age group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5153025" cy="2990850"/>
                    </a:xfrm>
                    <a:prstGeom prst="rect">
                      <a:avLst/>
                    </a:prstGeom>
                  </pic:spPr>
                </pic:pic>
              </a:graphicData>
            </a:graphic>
          </wp:inline>
        </w:drawing>
      </w:r>
    </w:p>
    <w:p w14:paraId="6512A2EB" w14:textId="77777777" w:rsidR="006E0293" w:rsidRPr="00093207" w:rsidRDefault="006E0293" w:rsidP="00093207">
      <w:pPr>
        <w:pStyle w:val="Heading4"/>
      </w:pPr>
      <w:r w:rsidRPr="00093207">
        <w:t>Discontinuations due to adverse events</w:t>
      </w:r>
    </w:p>
    <w:p w14:paraId="1700EB23" w14:textId="77777777" w:rsidR="006E0293" w:rsidRPr="006E0293" w:rsidRDefault="006E0293" w:rsidP="006E0293">
      <w:pPr>
        <w:pStyle w:val="Heading5"/>
      </w:pPr>
      <w:r w:rsidRPr="006E0293">
        <w:t>Integrated safety analyses</w:t>
      </w:r>
    </w:p>
    <w:p w14:paraId="1949686C" w14:textId="77777777" w:rsidR="006E0293" w:rsidRPr="00B848A3" w:rsidRDefault="00F27B3B" w:rsidP="006E0293">
      <w:r w:rsidRPr="00F27B3B">
        <w:t xml:space="preserve">Table 71 </w:t>
      </w:r>
      <w:r w:rsidR="006E0293" w:rsidRPr="00F27B3B">
        <w:t xml:space="preserve">lists the TEAEs leading to premature </w:t>
      </w:r>
      <w:r w:rsidR="0066478A" w:rsidRPr="00F27B3B">
        <w:t>study</w:t>
      </w:r>
      <w:r w:rsidR="006E0293" w:rsidRPr="00F27B3B">
        <w:t xml:space="preserve"> drug discontinuation.</w:t>
      </w:r>
    </w:p>
    <w:p w14:paraId="3037AE62" w14:textId="77777777" w:rsidR="006E0293" w:rsidRPr="00B848A3" w:rsidRDefault="006E0293" w:rsidP="006E0293">
      <w:pPr>
        <w:pStyle w:val="Tabletitle"/>
      </w:pPr>
      <w:bookmarkStart w:id="392" w:name="_Ref464476650"/>
      <w:bookmarkStart w:id="393" w:name="_Toc473884115"/>
      <w:r w:rsidRPr="00F27B3B">
        <w:t xml:space="preserve">Table </w:t>
      </w:r>
      <w:bookmarkEnd w:id="392"/>
      <w:r w:rsidR="00F27B3B" w:rsidRPr="00F27B3B">
        <w:t>71:</w:t>
      </w:r>
      <w:r w:rsidRPr="00F27B3B">
        <w:t xml:space="preserve"> Integrated</w:t>
      </w:r>
      <w:r>
        <w:t xml:space="preserve"> safety analysis TEAEs leading to premature </w:t>
      </w:r>
      <w:r w:rsidR="0066478A">
        <w:t>study</w:t>
      </w:r>
      <w:r>
        <w:t xml:space="preserve"> drug discontinuation by frequency: Safety set</w:t>
      </w:r>
      <w:bookmarkEnd w:id="393"/>
    </w:p>
    <w:p w14:paraId="6329B373" w14:textId="77777777" w:rsidR="00143A39" w:rsidRDefault="006E0293" w:rsidP="00287323">
      <w:pPr>
        <w:rPr>
          <w:lang w:eastAsia="ja-JP"/>
        </w:rPr>
      </w:pPr>
      <w:r>
        <w:rPr>
          <w:noProof/>
          <w:lang w:eastAsia="en-AU"/>
        </w:rPr>
        <w:drawing>
          <wp:inline distT="0" distB="0" distL="0" distR="0" wp14:anchorId="3EB18C1E" wp14:editId="3C59272D">
            <wp:extent cx="3248025" cy="2524125"/>
            <wp:effectExtent l="0" t="0" r="9525" b="9525"/>
            <wp:docPr id="98" name="Picture 98" descr="Table 71: Integrated safety analysis TEAEs leading to premature study drug discontinuation by frequency: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248025" cy="2524125"/>
                    </a:xfrm>
                    <a:prstGeom prst="rect">
                      <a:avLst/>
                    </a:prstGeom>
                  </pic:spPr>
                </pic:pic>
              </a:graphicData>
            </a:graphic>
          </wp:inline>
        </w:drawing>
      </w:r>
    </w:p>
    <w:p w14:paraId="51D6386A" w14:textId="77777777" w:rsidR="006E0293" w:rsidRPr="006E0293" w:rsidRDefault="006E0293" w:rsidP="004E5DCA">
      <w:pPr>
        <w:pStyle w:val="Heading5"/>
        <w:numPr>
          <w:ilvl w:val="3"/>
          <w:numId w:val="35"/>
        </w:numPr>
      </w:pPr>
      <w:r w:rsidRPr="006E0293">
        <w:t>Main/pivotal studies that assessed safety as the sole primary outcome</w:t>
      </w:r>
    </w:p>
    <w:p w14:paraId="223F1B18" w14:textId="77777777" w:rsidR="006E0293" w:rsidRPr="006E0293" w:rsidRDefault="00093207" w:rsidP="006E0293">
      <w:pPr>
        <w:pStyle w:val="Heading6"/>
      </w:pPr>
      <w:r>
        <w:t xml:space="preserve">Study </w:t>
      </w:r>
      <w:r w:rsidR="006E0293" w:rsidRPr="006E0293">
        <w:t>FUTURE-2</w:t>
      </w:r>
    </w:p>
    <w:p w14:paraId="69FF205D" w14:textId="77777777" w:rsidR="006E0293" w:rsidRDefault="006E0293" w:rsidP="006E0293">
      <w:r w:rsidRPr="0061609A">
        <w:t xml:space="preserve">A total of 9 </w:t>
      </w:r>
      <w:r>
        <w:t>TE</w:t>
      </w:r>
      <w:r w:rsidRPr="0061609A">
        <w:t xml:space="preserve">AEs which led to premature discontinuation of </w:t>
      </w:r>
      <w:r w:rsidR="0066478A">
        <w:t>study</w:t>
      </w:r>
      <w:r w:rsidRPr="0061609A">
        <w:t xml:space="preserve"> drug</w:t>
      </w:r>
      <w:r>
        <w:t xml:space="preserve"> </w:t>
      </w:r>
      <w:r w:rsidRPr="0061609A">
        <w:t xml:space="preserve">occurred in 6 (16.7%) patients. Six of these AEs were classified as </w:t>
      </w:r>
      <w:r w:rsidR="00A2508E">
        <w:t>c</w:t>
      </w:r>
      <w:r w:rsidRPr="0061609A">
        <w:t>ardiac disorders or</w:t>
      </w:r>
      <w:r>
        <w:t xml:space="preserve"> </w:t>
      </w:r>
      <w:r w:rsidR="00A2508E">
        <w:t>r</w:t>
      </w:r>
      <w:r w:rsidRPr="0061609A">
        <w:t>espiratory, thoracic and mediastinal disorders. Right ventricular failure was observed in</w:t>
      </w:r>
      <w:r>
        <w:t xml:space="preserve"> </w:t>
      </w:r>
      <w:r w:rsidRPr="0061609A">
        <w:t>two (5.6%) patients; the other AEs leading to discontinuation occurred in only one patient. One patient experienced an SAE of autoimmune hepatitis that was deemed</w:t>
      </w:r>
      <w:r>
        <w:t xml:space="preserve"> </w:t>
      </w:r>
      <w:r w:rsidRPr="0061609A">
        <w:t>related to bosentan and which resolved after bosentan discontinuation.</w:t>
      </w:r>
    </w:p>
    <w:p w14:paraId="7B8975E9" w14:textId="77777777" w:rsidR="007C6D8D" w:rsidRDefault="006E0293" w:rsidP="006E0293">
      <w:r w:rsidRPr="0061609A">
        <w:lastRenderedPageBreak/>
        <w:t xml:space="preserve">In 2 out of the 6 patients, the </w:t>
      </w:r>
      <w:r>
        <w:t>TE</w:t>
      </w:r>
      <w:r w:rsidRPr="0061609A">
        <w:t>AEs which led to premature</w:t>
      </w:r>
      <w:r>
        <w:t xml:space="preserve"> </w:t>
      </w:r>
      <w:r w:rsidRPr="0061609A">
        <w:t xml:space="preserve">discontinuation of </w:t>
      </w:r>
      <w:r w:rsidR="0066478A">
        <w:t>study</w:t>
      </w:r>
      <w:r w:rsidRPr="0061609A">
        <w:t xml:space="preserve"> drug were deemed to be </w:t>
      </w:r>
      <w:r w:rsidR="009C6335">
        <w:t>treatment related</w:t>
      </w:r>
      <w:r w:rsidRPr="0061609A">
        <w:t>. In 4 out of the</w:t>
      </w:r>
      <w:r>
        <w:t xml:space="preserve"> </w:t>
      </w:r>
      <w:r w:rsidRPr="0061609A">
        <w:t xml:space="preserve">6 patients, the AEs leading to discontinuation of </w:t>
      </w:r>
      <w:r w:rsidR="0066478A">
        <w:t>study</w:t>
      </w:r>
      <w:r w:rsidRPr="0061609A">
        <w:t xml:space="preserve"> drug were deemed to be related to</w:t>
      </w:r>
      <w:r>
        <w:t xml:space="preserve"> </w:t>
      </w:r>
      <w:r w:rsidRPr="0061609A">
        <w:t>PAH. For one patient, the AE was deemed to be related to both bosentan and to PAH</w:t>
      </w:r>
      <w:r w:rsidR="007C6D8D">
        <w:t>.</w:t>
      </w:r>
    </w:p>
    <w:p w14:paraId="637D5B96" w14:textId="77777777" w:rsidR="006E0293" w:rsidRPr="0061609A" w:rsidRDefault="006E0293" w:rsidP="006E0293">
      <w:r w:rsidRPr="0061609A">
        <w:t xml:space="preserve">In 2 patients, the AEs leading to discontinuation of </w:t>
      </w:r>
      <w:r w:rsidR="0066478A">
        <w:t>study</w:t>
      </w:r>
      <w:r w:rsidRPr="0061609A">
        <w:t xml:space="preserve"> drug resolved without clinical</w:t>
      </w:r>
      <w:r>
        <w:t xml:space="preserve"> </w:t>
      </w:r>
      <w:r w:rsidRPr="0061609A">
        <w:t>sequelae (after 4 to 6 months in both patients). In one patient the event was reported as</w:t>
      </w:r>
      <w:r>
        <w:t xml:space="preserve"> </w:t>
      </w:r>
      <w:r w:rsidRPr="0061609A">
        <w:t xml:space="preserve">unresolved at the </w:t>
      </w:r>
      <w:r>
        <w:t>EOS</w:t>
      </w:r>
      <w:r w:rsidRPr="0061609A">
        <w:t xml:space="preserve"> visit on the day of </w:t>
      </w:r>
      <w:r w:rsidR="0066478A">
        <w:t>study</w:t>
      </w:r>
      <w:r w:rsidRPr="0061609A">
        <w:t xml:space="preserve"> drug discontinuation (26 days after</w:t>
      </w:r>
      <w:r>
        <w:t xml:space="preserve"> </w:t>
      </w:r>
      <w:r w:rsidRPr="0061609A">
        <w:t>the AE began). In 3 patients the events were fatal. For all 3 patients, the AEs leading to</w:t>
      </w:r>
      <w:r>
        <w:t xml:space="preserve"> </w:t>
      </w:r>
      <w:r w:rsidRPr="0061609A">
        <w:t>discontinuation and resulting in death were deemed to be related to PAH, but unrelated to</w:t>
      </w:r>
      <w:r>
        <w:t xml:space="preserve"> </w:t>
      </w:r>
      <w:r w:rsidRPr="0061609A">
        <w:t>treatment</w:t>
      </w:r>
      <w:r>
        <w:t>.</w:t>
      </w:r>
    </w:p>
    <w:p w14:paraId="5B2F71B7" w14:textId="77777777" w:rsidR="006E0293" w:rsidRDefault="006E0293" w:rsidP="006E0293">
      <w:pPr>
        <w:pStyle w:val="Tabletitle"/>
        <w:rPr>
          <w:lang w:eastAsia="ja-JP"/>
        </w:rPr>
      </w:pPr>
      <w:bookmarkStart w:id="394" w:name="_Toc473884116"/>
      <w:r w:rsidRPr="00F27B3B">
        <w:t xml:space="preserve">Table </w:t>
      </w:r>
      <w:r w:rsidR="00F27B3B" w:rsidRPr="00F27B3B">
        <w:t>72:</w:t>
      </w:r>
      <w:r w:rsidRPr="00F27B3B">
        <w:t xml:space="preserve"> FUTURE-2 Summary of TEAEs leading to premature discontinuation of </w:t>
      </w:r>
      <w:r w:rsidR="0066478A" w:rsidRPr="00F27B3B">
        <w:t>study</w:t>
      </w:r>
      <w:r>
        <w:t xml:space="preserve"> drug by frequency</w:t>
      </w:r>
      <w:bookmarkEnd w:id="394"/>
    </w:p>
    <w:p w14:paraId="462A6CB8" w14:textId="77777777" w:rsidR="006E0293" w:rsidRDefault="006E0293" w:rsidP="00287323">
      <w:pPr>
        <w:rPr>
          <w:lang w:eastAsia="ja-JP"/>
        </w:rPr>
      </w:pPr>
      <w:r>
        <w:rPr>
          <w:noProof/>
          <w:lang w:eastAsia="en-AU"/>
        </w:rPr>
        <w:drawing>
          <wp:inline distT="0" distB="0" distL="0" distR="0" wp14:anchorId="4340BFBD" wp14:editId="2608A00F">
            <wp:extent cx="4871923" cy="2185455"/>
            <wp:effectExtent l="0" t="0" r="5080" b="5715"/>
            <wp:docPr id="99" name="Picture 99" descr="Table 72: FUTURE-2 Summary of TEAEs leading to premature discontinuation of study drug by freque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BEBA8EAE-BF5A-486C-A8C5-ECC9F3942E4B}">
                          <a14:imgProps xmlns:a14="http://schemas.microsoft.com/office/drawing/2010/main">
                            <a14:imgLayer r:embed="rId138">
                              <a14:imgEffect>
                                <a14:brightnessContrast contrast="-20000"/>
                              </a14:imgEffect>
                            </a14:imgLayer>
                          </a14:imgProps>
                        </a:ext>
                      </a:extLst>
                    </a:blip>
                    <a:stretch>
                      <a:fillRect/>
                    </a:stretch>
                  </pic:blipFill>
                  <pic:spPr>
                    <a:xfrm>
                      <a:off x="0" y="0"/>
                      <a:ext cx="4874412" cy="2186571"/>
                    </a:xfrm>
                    <a:prstGeom prst="rect">
                      <a:avLst/>
                    </a:prstGeom>
                  </pic:spPr>
                </pic:pic>
              </a:graphicData>
            </a:graphic>
          </wp:inline>
        </w:drawing>
      </w:r>
    </w:p>
    <w:p w14:paraId="6499B69E" w14:textId="77777777" w:rsidR="006E0293" w:rsidRPr="006E0293" w:rsidRDefault="006E0293" w:rsidP="004E5DCA">
      <w:pPr>
        <w:pStyle w:val="Heading5"/>
        <w:numPr>
          <w:ilvl w:val="3"/>
          <w:numId w:val="36"/>
        </w:numPr>
      </w:pPr>
      <w:r w:rsidRPr="006E0293">
        <w:t>Pivotal and/or main efficacy studies</w:t>
      </w:r>
    </w:p>
    <w:p w14:paraId="77FFBB30" w14:textId="77777777" w:rsidR="006E0293" w:rsidRPr="006E0293" w:rsidRDefault="00093207" w:rsidP="006E0293">
      <w:pPr>
        <w:pStyle w:val="Heading6"/>
      </w:pPr>
      <w:r>
        <w:t xml:space="preserve">Study </w:t>
      </w:r>
      <w:r w:rsidR="006E0293" w:rsidRPr="006E0293">
        <w:t>FUTURE-4</w:t>
      </w:r>
    </w:p>
    <w:p w14:paraId="28BD20F1" w14:textId="77777777" w:rsidR="006E0293" w:rsidRPr="00B67065" w:rsidRDefault="006E0293" w:rsidP="006E0293">
      <w:pPr>
        <w:rPr>
          <w:lang w:eastAsia="ja-JP"/>
        </w:rPr>
      </w:pPr>
      <w:r>
        <w:rPr>
          <w:lang w:eastAsia="ja-JP"/>
        </w:rPr>
        <w:t>One patient experienced w</w:t>
      </w:r>
      <w:r w:rsidRPr="00B67065">
        <w:rPr>
          <w:lang w:eastAsia="ja-JP"/>
        </w:rPr>
        <w:t>orsening of PPHN reported as SAEs circulatory collapse, hypercapnia and metabolic</w:t>
      </w:r>
      <w:r>
        <w:rPr>
          <w:lang w:eastAsia="ja-JP"/>
        </w:rPr>
        <w:t xml:space="preserve"> </w:t>
      </w:r>
      <w:r w:rsidRPr="00B67065">
        <w:rPr>
          <w:lang w:eastAsia="ja-JP"/>
        </w:rPr>
        <w:t xml:space="preserve">acidosis </w:t>
      </w:r>
      <w:r>
        <w:rPr>
          <w:lang w:eastAsia="ja-JP"/>
        </w:rPr>
        <w:t xml:space="preserve">leading to the need for ECMO </w:t>
      </w:r>
      <w:r w:rsidRPr="00B67065">
        <w:rPr>
          <w:lang w:eastAsia="ja-JP"/>
        </w:rPr>
        <w:t xml:space="preserve">and discontinuation of </w:t>
      </w:r>
      <w:r w:rsidR="0066478A">
        <w:rPr>
          <w:lang w:eastAsia="ja-JP"/>
        </w:rPr>
        <w:t>study</w:t>
      </w:r>
      <w:r w:rsidRPr="00B67065">
        <w:rPr>
          <w:lang w:eastAsia="ja-JP"/>
        </w:rPr>
        <w:t xml:space="preserve"> treatment as per protocol</w:t>
      </w:r>
      <w:r>
        <w:rPr>
          <w:lang w:eastAsia="ja-JP"/>
        </w:rPr>
        <w:t>.</w:t>
      </w:r>
    </w:p>
    <w:p w14:paraId="7AA584CE" w14:textId="77777777" w:rsidR="006E0293" w:rsidRPr="006E0293" w:rsidRDefault="006E0293" w:rsidP="006E0293">
      <w:pPr>
        <w:pStyle w:val="Heading5"/>
      </w:pPr>
      <w:r w:rsidRPr="006E0293">
        <w:t>Other studies</w:t>
      </w:r>
    </w:p>
    <w:p w14:paraId="3AE4C913" w14:textId="77777777" w:rsidR="006E0293" w:rsidRPr="006E0293" w:rsidRDefault="00A2508E" w:rsidP="006E0293">
      <w:pPr>
        <w:pStyle w:val="Heading6"/>
      </w:pPr>
      <w:r>
        <w:t xml:space="preserve">Study </w:t>
      </w:r>
      <w:r w:rsidR="006E0293" w:rsidRPr="006E0293">
        <w:t>AC-052-116</w:t>
      </w:r>
    </w:p>
    <w:p w14:paraId="7602A9A7" w14:textId="77777777" w:rsidR="006E0293" w:rsidRDefault="006E0293" w:rsidP="006E0293">
      <w:pPr>
        <w:rPr>
          <w:lang w:eastAsia="ja-JP"/>
        </w:rPr>
      </w:pPr>
      <w:r>
        <w:rPr>
          <w:lang w:eastAsia="ja-JP"/>
        </w:rPr>
        <w:t xml:space="preserve">No subjects were prematurely discontinued from this </w:t>
      </w:r>
      <w:r w:rsidR="0066478A">
        <w:rPr>
          <w:lang w:eastAsia="ja-JP"/>
        </w:rPr>
        <w:t>study</w:t>
      </w:r>
      <w:r>
        <w:rPr>
          <w:lang w:eastAsia="ja-JP"/>
        </w:rPr>
        <w:t>.</w:t>
      </w:r>
    </w:p>
    <w:p w14:paraId="5F335E02" w14:textId="5158219D" w:rsidR="006E0293" w:rsidRPr="006E0293" w:rsidRDefault="00A2508E" w:rsidP="006E0293">
      <w:pPr>
        <w:pStyle w:val="Heading6"/>
      </w:pPr>
      <w:r>
        <w:t xml:space="preserve">Study </w:t>
      </w:r>
      <w:r w:rsidR="006E0293" w:rsidRPr="006E0293">
        <w:t xml:space="preserve">AC-052-365 </w:t>
      </w:r>
      <w:r w:rsidR="00291728">
        <w:t>(</w:t>
      </w:r>
      <w:r w:rsidR="006E0293" w:rsidRPr="006E0293">
        <w:t>FUTURE-1</w:t>
      </w:r>
      <w:r w:rsidR="00291728">
        <w:t>)</w:t>
      </w:r>
    </w:p>
    <w:p w14:paraId="50AA53C2" w14:textId="77777777" w:rsidR="006E0293" w:rsidRDefault="006E0293" w:rsidP="006E0293">
      <w:pPr>
        <w:rPr>
          <w:lang w:eastAsia="ja-JP"/>
        </w:rPr>
      </w:pPr>
      <w:r>
        <w:rPr>
          <w:lang w:eastAsia="ja-JP"/>
        </w:rPr>
        <w:t xml:space="preserve">One patient had an AE leading to permanent discontinuation of </w:t>
      </w:r>
      <w:r w:rsidR="0066478A">
        <w:rPr>
          <w:lang w:eastAsia="ja-JP"/>
        </w:rPr>
        <w:t>study</w:t>
      </w:r>
      <w:r>
        <w:rPr>
          <w:lang w:eastAsia="ja-JP"/>
        </w:rPr>
        <w:t xml:space="preserve"> treatment. The patient experienced ear infection and right ventricular failure and later died. The case narrative is summarised above in Section </w:t>
      </w:r>
      <w:r w:rsidR="00F27B3B">
        <w:rPr>
          <w:lang w:eastAsia="ja-JP"/>
        </w:rPr>
        <w:t>8.4.3.4.</w:t>
      </w:r>
    </w:p>
    <w:p w14:paraId="315C1BEF" w14:textId="6DBAEEF2" w:rsidR="006E0293" w:rsidRPr="006E0293" w:rsidRDefault="00A2508E" w:rsidP="006E0293">
      <w:pPr>
        <w:pStyle w:val="Heading6"/>
      </w:pPr>
      <w:r>
        <w:t xml:space="preserve">Study </w:t>
      </w:r>
      <w:r w:rsidR="006E0293" w:rsidRPr="006E0293">
        <w:t xml:space="preserve">AC-052-373 </w:t>
      </w:r>
      <w:r w:rsidR="00291728">
        <w:t>(</w:t>
      </w:r>
      <w:r w:rsidR="006E0293" w:rsidRPr="006E0293">
        <w:t>FUTURE-3</w:t>
      </w:r>
      <w:r w:rsidR="00291728">
        <w:t>)</w:t>
      </w:r>
    </w:p>
    <w:p w14:paraId="35A86D3A" w14:textId="77777777" w:rsidR="006E0293" w:rsidRDefault="006E0293" w:rsidP="006E0293">
      <w:pPr>
        <w:rPr>
          <w:lang w:eastAsia="ja-JP"/>
        </w:rPr>
      </w:pPr>
      <w:r>
        <w:rPr>
          <w:lang w:eastAsia="ja-JP"/>
        </w:rPr>
        <w:t>A</w:t>
      </w:r>
      <w:r w:rsidRPr="00F2565F">
        <w:rPr>
          <w:lang w:eastAsia="ja-JP"/>
        </w:rPr>
        <w:t xml:space="preserve"> total of 3 patients (2 </w:t>
      </w:r>
      <w:r w:rsidR="007C6D8D">
        <w:rPr>
          <w:lang w:eastAsia="ja-JP"/>
        </w:rPr>
        <w:t>BD</w:t>
      </w:r>
      <w:r>
        <w:rPr>
          <w:lang w:eastAsia="ja-JP"/>
        </w:rPr>
        <w:t xml:space="preserve">, 1 </w:t>
      </w:r>
      <w:r w:rsidR="007C6D8D">
        <w:rPr>
          <w:lang w:eastAsia="ja-JP"/>
        </w:rPr>
        <w:t>TDS</w:t>
      </w:r>
      <w:r w:rsidRPr="00F2565F">
        <w:rPr>
          <w:lang w:eastAsia="ja-JP"/>
        </w:rPr>
        <w:t xml:space="preserve">), </w:t>
      </w:r>
      <w:r w:rsidR="0066478A">
        <w:rPr>
          <w:lang w:eastAsia="ja-JP"/>
        </w:rPr>
        <w:t>study</w:t>
      </w:r>
      <w:r w:rsidRPr="00F2565F">
        <w:rPr>
          <w:lang w:eastAsia="ja-JP"/>
        </w:rPr>
        <w:t xml:space="preserve"> treatment was permanently discontinued due</w:t>
      </w:r>
      <w:r>
        <w:rPr>
          <w:lang w:eastAsia="ja-JP"/>
        </w:rPr>
        <w:t xml:space="preserve"> </w:t>
      </w:r>
      <w:r w:rsidRPr="00F2565F">
        <w:rPr>
          <w:lang w:eastAsia="ja-JP"/>
        </w:rPr>
        <w:t xml:space="preserve">to worsening of </w:t>
      </w:r>
      <w:r w:rsidRPr="00F27B3B">
        <w:rPr>
          <w:lang w:eastAsia="ja-JP"/>
        </w:rPr>
        <w:t>PAH (</w:t>
      </w:r>
      <w:r w:rsidR="00F27B3B" w:rsidRPr="00F27B3B">
        <w:rPr>
          <w:lang w:eastAsia="ja-JP"/>
        </w:rPr>
        <w:t>Table 73</w:t>
      </w:r>
      <w:r w:rsidRPr="00F27B3B">
        <w:rPr>
          <w:lang w:eastAsia="ja-JP"/>
        </w:rPr>
        <w:t>). All AEs that</w:t>
      </w:r>
      <w:r>
        <w:rPr>
          <w:lang w:eastAsia="ja-JP"/>
        </w:rPr>
        <w:t xml:space="preserve"> led to </w:t>
      </w:r>
      <w:r w:rsidR="0066478A">
        <w:rPr>
          <w:lang w:eastAsia="ja-JP"/>
        </w:rPr>
        <w:t>study</w:t>
      </w:r>
      <w:r>
        <w:rPr>
          <w:lang w:eastAsia="ja-JP"/>
        </w:rPr>
        <w:t xml:space="preserve"> treatment </w:t>
      </w:r>
      <w:r w:rsidRPr="00F2565F">
        <w:rPr>
          <w:lang w:eastAsia="ja-JP"/>
        </w:rPr>
        <w:t>discontinuation were SAEs.</w:t>
      </w:r>
    </w:p>
    <w:p w14:paraId="197315E7" w14:textId="77777777" w:rsidR="006E0293" w:rsidRPr="002A2F49" w:rsidRDefault="006E0293" w:rsidP="006E0293">
      <w:pPr>
        <w:pStyle w:val="Tabletitle"/>
      </w:pPr>
      <w:bookmarkStart w:id="395" w:name="_Ref464054535"/>
      <w:bookmarkStart w:id="396" w:name="_Toc473884117"/>
      <w:r w:rsidRPr="00F27B3B">
        <w:lastRenderedPageBreak/>
        <w:t xml:space="preserve">Table </w:t>
      </w:r>
      <w:bookmarkEnd w:id="395"/>
      <w:r w:rsidR="00F27B3B" w:rsidRPr="00F27B3B">
        <w:t>7</w:t>
      </w:r>
      <w:r w:rsidR="00F27B3B">
        <w:t>3:</w:t>
      </w:r>
      <w:r>
        <w:t xml:space="preserve"> FUTURE-3 </w:t>
      </w:r>
      <w:r w:rsidRPr="002A2F49">
        <w:t>Summary of adverse events leading to premature discontinuation of</w:t>
      </w:r>
      <w:r>
        <w:t xml:space="preserve"> </w:t>
      </w:r>
      <w:r w:rsidR="0066478A">
        <w:t>study</w:t>
      </w:r>
      <w:r w:rsidRPr="002A2F49">
        <w:t xml:space="preserve"> drug by frequency up to EOT + 7 days; overall age groups,</w:t>
      </w:r>
      <w:r>
        <w:t xml:space="preserve"> </w:t>
      </w:r>
      <w:r w:rsidRPr="002A2F49">
        <w:t>All-treated set</w:t>
      </w:r>
      <w:bookmarkEnd w:id="396"/>
    </w:p>
    <w:p w14:paraId="6F1BEB7F" w14:textId="77777777" w:rsidR="006E0293" w:rsidRDefault="006E0293" w:rsidP="00287323">
      <w:pPr>
        <w:rPr>
          <w:lang w:eastAsia="ja-JP"/>
        </w:rPr>
      </w:pPr>
      <w:r>
        <w:rPr>
          <w:noProof/>
          <w:lang w:eastAsia="en-AU"/>
        </w:rPr>
        <w:drawing>
          <wp:inline distT="0" distB="0" distL="0" distR="0" wp14:anchorId="33F13698" wp14:editId="47C82236">
            <wp:extent cx="5018227" cy="1694898"/>
            <wp:effectExtent l="0" t="0" r="0" b="635"/>
            <wp:docPr id="100" name="Picture 100" descr="Table 73: FUTURE-3 Summary of adverse events leading to premature discontinuation of study drug by frequency up to EOT + 7 days; overall age group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BEBA8EAE-BF5A-486C-A8C5-ECC9F3942E4B}">
                          <a14:imgProps xmlns:a14="http://schemas.microsoft.com/office/drawing/2010/main">
                            <a14:imgLayer r:embed="rId140">
                              <a14:imgEffect>
                                <a14:brightnessContrast contrast="-40000"/>
                              </a14:imgEffect>
                            </a14:imgLayer>
                          </a14:imgProps>
                        </a:ext>
                      </a:extLst>
                    </a:blip>
                    <a:stretch>
                      <a:fillRect/>
                    </a:stretch>
                  </pic:blipFill>
                  <pic:spPr>
                    <a:xfrm>
                      <a:off x="0" y="0"/>
                      <a:ext cx="5015071" cy="1693832"/>
                    </a:xfrm>
                    <a:prstGeom prst="rect">
                      <a:avLst/>
                    </a:prstGeom>
                  </pic:spPr>
                </pic:pic>
              </a:graphicData>
            </a:graphic>
          </wp:inline>
        </w:drawing>
      </w:r>
    </w:p>
    <w:p w14:paraId="1D266A44" w14:textId="77777777" w:rsidR="006E0293" w:rsidRPr="00093207" w:rsidRDefault="006E0293" w:rsidP="00093207">
      <w:pPr>
        <w:pStyle w:val="Heading3"/>
      </w:pPr>
      <w:bookmarkStart w:id="397" w:name="_Toc241374321"/>
      <w:bookmarkStart w:id="398" w:name="_Ref271044780"/>
      <w:bookmarkStart w:id="399" w:name="_Ref271196640"/>
      <w:bookmarkStart w:id="400" w:name="_Ref272333085"/>
      <w:bookmarkStart w:id="401" w:name="_Toc272414668"/>
      <w:bookmarkStart w:id="402" w:name="_Toc290888532"/>
      <w:bookmarkStart w:id="403" w:name="_Toc416353748"/>
      <w:bookmarkStart w:id="404" w:name="_Toc421005291"/>
      <w:bookmarkStart w:id="405" w:name="_Toc432079168"/>
      <w:bookmarkStart w:id="406" w:name="_Toc432080741"/>
      <w:bookmarkStart w:id="407" w:name="_Toc473884006"/>
      <w:bookmarkStart w:id="408" w:name="_Toc519773914"/>
      <w:r w:rsidRPr="00093207">
        <w:t xml:space="preserve">Evaluation of issues </w:t>
      </w:r>
      <w:bookmarkEnd w:id="397"/>
      <w:bookmarkEnd w:id="398"/>
      <w:bookmarkEnd w:id="399"/>
      <w:bookmarkEnd w:id="400"/>
      <w:bookmarkEnd w:id="401"/>
      <w:bookmarkEnd w:id="402"/>
      <w:bookmarkEnd w:id="403"/>
      <w:bookmarkEnd w:id="404"/>
      <w:r w:rsidRPr="00093207">
        <w:t>with possible regulatory impact</w:t>
      </w:r>
      <w:bookmarkEnd w:id="405"/>
      <w:bookmarkEnd w:id="406"/>
      <w:bookmarkEnd w:id="407"/>
      <w:bookmarkEnd w:id="408"/>
    </w:p>
    <w:p w14:paraId="65C76162" w14:textId="77777777" w:rsidR="006E0293" w:rsidRPr="006E0293" w:rsidRDefault="006E0293" w:rsidP="006E0293">
      <w:pPr>
        <w:pStyle w:val="Heading4"/>
      </w:pPr>
      <w:bookmarkStart w:id="409" w:name="_Toc272414669"/>
      <w:bookmarkStart w:id="410" w:name="_Toc290888533"/>
      <w:bookmarkStart w:id="411" w:name="_Toc416353749"/>
      <w:bookmarkStart w:id="412" w:name="_Toc421005292"/>
      <w:bookmarkStart w:id="413" w:name="_Toc432079169"/>
      <w:bookmarkStart w:id="414" w:name="_Toc432080742"/>
      <w:r w:rsidRPr="006E0293">
        <w:t>Liver function</w:t>
      </w:r>
      <w:bookmarkEnd w:id="409"/>
      <w:bookmarkEnd w:id="410"/>
      <w:bookmarkEnd w:id="411"/>
      <w:bookmarkEnd w:id="412"/>
      <w:r w:rsidRPr="006E0293">
        <w:t xml:space="preserve"> and liver toxicity</w:t>
      </w:r>
      <w:bookmarkEnd w:id="413"/>
      <w:bookmarkEnd w:id="414"/>
    </w:p>
    <w:p w14:paraId="2CEFCCA9" w14:textId="77777777" w:rsidR="006E0293" w:rsidRPr="006E0293" w:rsidRDefault="006E0293" w:rsidP="006E0293">
      <w:pPr>
        <w:pStyle w:val="Heading5"/>
      </w:pPr>
      <w:r w:rsidRPr="006E0293">
        <w:t>Integrated safety analyses</w:t>
      </w:r>
    </w:p>
    <w:p w14:paraId="068B43FE" w14:textId="77777777" w:rsidR="006E0293" w:rsidRDefault="006E0293" w:rsidP="006E0293">
      <w:pPr>
        <w:rPr>
          <w:lang w:eastAsia="ja-JP"/>
        </w:rPr>
      </w:pPr>
      <w:r>
        <w:rPr>
          <w:lang w:eastAsia="ja-JP"/>
        </w:rPr>
        <w:t xml:space="preserve">Two patients in the integrated analysis experienced the AE ALT or AST </w:t>
      </w:r>
      <w:r w:rsidR="007C6D8D">
        <w:rPr>
          <w:lang w:eastAsia="ja-JP"/>
        </w:rPr>
        <w:t>≥</w:t>
      </w:r>
      <w:r w:rsidR="00CF6063">
        <w:rPr>
          <w:lang w:eastAsia="ja-JP"/>
        </w:rPr>
        <w:t xml:space="preserve"> </w:t>
      </w:r>
      <w:r>
        <w:rPr>
          <w:lang w:eastAsia="ja-JP"/>
        </w:rPr>
        <w:t xml:space="preserve">3 </w:t>
      </w:r>
      <w:r w:rsidR="00A2508E">
        <w:rPr>
          <w:lang w:eastAsia="ja-JP"/>
        </w:rPr>
        <w:t>x</w:t>
      </w:r>
      <w:r>
        <w:rPr>
          <w:lang w:eastAsia="ja-JP"/>
        </w:rPr>
        <w:t xml:space="preserve"> ULN and two patients experienced ALT or AST </w:t>
      </w:r>
      <w:r w:rsidR="007C6D8D">
        <w:rPr>
          <w:lang w:eastAsia="ja-JP"/>
        </w:rPr>
        <w:t>≥</w:t>
      </w:r>
      <w:r w:rsidR="00CF6063">
        <w:rPr>
          <w:lang w:eastAsia="ja-JP"/>
        </w:rPr>
        <w:t xml:space="preserve"> </w:t>
      </w:r>
      <w:r>
        <w:rPr>
          <w:lang w:eastAsia="ja-JP"/>
        </w:rPr>
        <w:t xml:space="preserve">5 </w:t>
      </w:r>
      <w:r w:rsidR="00A2508E">
        <w:rPr>
          <w:lang w:eastAsia="ja-JP"/>
        </w:rPr>
        <w:t>x</w:t>
      </w:r>
      <w:r>
        <w:rPr>
          <w:lang w:eastAsia="ja-JP"/>
        </w:rPr>
        <w:t xml:space="preserve"> ULN. The patients appear to have all been over 2 years of age.</w:t>
      </w:r>
    </w:p>
    <w:p w14:paraId="27BC1D86" w14:textId="77777777" w:rsidR="006E0293" w:rsidRPr="006E0293" w:rsidRDefault="006E0293" w:rsidP="006E0293">
      <w:pPr>
        <w:pStyle w:val="Heading5"/>
      </w:pPr>
      <w:r w:rsidRPr="006E0293">
        <w:t>Main/pivotal studies that assessed safety as the sole primary outcome</w:t>
      </w:r>
    </w:p>
    <w:p w14:paraId="76C564A2" w14:textId="42D40361" w:rsidR="006E0293" w:rsidRPr="006E0293" w:rsidRDefault="006E0293" w:rsidP="006E0293">
      <w:pPr>
        <w:pStyle w:val="Heading6"/>
      </w:pPr>
      <w:r w:rsidRPr="006E0293">
        <w:t>FUTURE-2</w:t>
      </w:r>
      <w:r w:rsidR="00291728">
        <w:t xml:space="preserve"> study</w:t>
      </w:r>
    </w:p>
    <w:p w14:paraId="0DB29B95" w14:textId="77777777" w:rsidR="006E0293" w:rsidRPr="00A42A51" w:rsidRDefault="006E0293" w:rsidP="006E0293">
      <w:pPr>
        <w:rPr>
          <w:lang w:eastAsia="ja-JP"/>
        </w:rPr>
      </w:pPr>
      <w:r w:rsidRPr="00A42A51">
        <w:rPr>
          <w:lang w:eastAsia="ja-JP"/>
        </w:rPr>
        <w:t>Marked</w:t>
      </w:r>
      <w:r>
        <w:rPr>
          <w:lang w:eastAsia="ja-JP"/>
        </w:rPr>
        <w:t xml:space="preserve"> </w:t>
      </w:r>
      <w:r w:rsidRPr="00A42A51">
        <w:rPr>
          <w:lang w:eastAsia="ja-JP"/>
        </w:rPr>
        <w:t>abnormalities related to ALT and AST increases were seen in 1 (2.8%) and 2 (5.6%)</w:t>
      </w:r>
      <w:r>
        <w:rPr>
          <w:lang w:eastAsia="ja-JP"/>
        </w:rPr>
        <w:t xml:space="preserve"> </w:t>
      </w:r>
      <w:r w:rsidRPr="00A42A51">
        <w:rPr>
          <w:lang w:eastAsia="ja-JP"/>
        </w:rPr>
        <w:t>patients, respectively. Three (8.3%) patients had a marked laboratory abnormality of</w:t>
      </w:r>
      <w:r>
        <w:rPr>
          <w:lang w:eastAsia="ja-JP"/>
        </w:rPr>
        <w:t xml:space="preserve"> </w:t>
      </w:r>
      <w:r w:rsidRPr="00A42A51">
        <w:rPr>
          <w:lang w:eastAsia="ja-JP"/>
        </w:rPr>
        <w:t>increased alkaline phosphatase.</w:t>
      </w:r>
    </w:p>
    <w:p w14:paraId="18075901" w14:textId="77777777" w:rsidR="006E0293" w:rsidRDefault="006E0293" w:rsidP="006E0293">
      <w:pPr>
        <w:pStyle w:val="Tabletitle"/>
      </w:pPr>
      <w:bookmarkStart w:id="415" w:name="_Toc473884118"/>
      <w:r w:rsidRPr="00D81D7C">
        <w:t xml:space="preserve">Table </w:t>
      </w:r>
      <w:r w:rsidR="00D81D7C" w:rsidRPr="00D81D7C">
        <w:t>74:</w:t>
      </w:r>
      <w:r w:rsidRPr="00D81D7C">
        <w:t xml:space="preserve"> FUTURE-2 Incidence of TEAE liver function abnormalities</w:t>
      </w:r>
      <w:bookmarkEnd w:id="415"/>
    </w:p>
    <w:p w14:paraId="6CEE45D7" w14:textId="77777777" w:rsidR="006E0293" w:rsidRDefault="006E0293" w:rsidP="00287323">
      <w:pPr>
        <w:rPr>
          <w:lang w:eastAsia="ja-JP"/>
        </w:rPr>
      </w:pPr>
      <w:r>
        <w:rPr>
          <w:noProof/>
          <w:lang w:eastAsia="en-AU"/>
        </w:rPr>
        <w:drawing>
          <wp:inline distT="0" distB="0" distL="0" distR="0" wp14:anchorId="63D545E9" wp14:editId="07E7E2C0">
            <wp:extent cx="5076825" cy="2057400"/>
            <wp:effectExtent l="0" t="0" r="9525" b="0"/>
            <wp:docPr id="101" name="Picture 101" descr="Table 74: FUTURE-2 Incidence of TEAE liver function abnorm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076825" cy="2057400"/>
                    </a:xfrm>
                    <a:prstGeom prst="rect">
                      <a:avLst/>
                    </a:prstGeom>
                  </pic:spPr>
                </pic:pic>
              </a:graphicData>
            </a:graphic>
          </wp:inline>
        </w:drawing>
      </w:r>
    </w:p>
    <w:p w14:paraId="0BFA3814" w14:textId="77777777" w:rsidR="006E0293" w:rsidRDefault="006E0293" w:rsidP="006E0293">
      <w:pPr>
        <w:pStyle w:val="Tabletitle"/>
        <w:rPr>
          <w:lang w:eastAsia="ja-JP"/>
        </w:rPr>
      </w:pPr>
      <w:bookmarkStart w:id="416" w:name="_Ref461094811"/>
      <w:bookmarkStart w:id="417" w:name="_Toc473884119"/>
      <w:r w:rsidRPr="00D81D7C">
        <w:lastRenderedPageBreak/>
        <w:t xml:space="preserve">Table </w:t>
      </w:r>
      <w:bookmarkEnd w:id="416"/>
      <w:r w:rsidR="00D81D7C" w:rsidRPr="00D81D7C">
        <w:t>75:</w:t>
      </w:r>
      <w:r w:rsidRPr="00D81D7C">
        <w:t xml:space="preserve"> FUTURE-2 Summary of change from baseline up to one day after EOS treatment</w:t>
      </w:r>
      <w:r>
        <w:t xml:space="preserve"> in </w:t>
      </w:r>
      <w:r w:rsidR="00A2508E">
        <w:t xml:space="preserve">clinical chemistry parameters; </w:t>
      </w:r>
      <w:r>
        <w:t>All treated set</w:t>
      </w:r>
      <w:bookmarkEnd w:id="417"/>
    </w:p>
    <w:p w14:paraId="19460B32" w14:textId="77777777" w:rsidR="006E0293" w:rsidRDefault="006E0293" w:rsidP="00287323">
      <w:pPr>
        <w:rPr>
          <w:lang w:eastAsia="ja-JP"/>
        </w:rPr>
      </w:pPr>
      <w:r>
        <w:rPr>
          <w:noProof/>
          <w:lang w:eastAsia="en-AU"/>
        </w:rPr>
        <w:drawing>
          <wp:inline distT="0" distB="0" distL="0" distR="0" wp14:anchorId="65F290D3" wp14:editId="25AAEDE2">
            <wp:extent cx="4981651" cy="5370051"/>
            <wp:effectExtent l="0" t="0" r="0" b="2540"/>
            <wp:docPr id="102" name="Picture 102" descr="Table 75: FUTURE-2 Summary of change from baseline up to one day after EOS treatment in clinical chemistry parameters; All 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4983137" cy="5371653"/>
                    </a:xfrm>
                    <a:prstGeom prst="rect">
                      <a:avLst/>
                    </a:prstGeom>
                  </pic:spPr>
                </pic:pic>
              </a:graphicData>
            </a:graphic>
          </wp:inline>
        </w:drawing>
      </w:r>
    </w:p>
    <w:p w14:paraId="2F282BEC" w14:textId="77777777" w:rsidR="006E0293" w:rsidRDefault="006E0293" w:rsidP="006E0293">
      <w:pPr>
        <w:rPr>
          <w:lang w:eastAsia="ja-JP"/>
        </w:rPr>
      </w:pPr>
      <w:r w:rsidRPr="00B370A6">
        <w:rPr>
          <w:lang w:eastAsia="ja-JP"/>
        </w:rPr>
        <w:t xml:space="preserve">No evaluation of laboratory variables was performed in the </w:t>
      </w:r>
      <w:r w:rsidR="0066478A">
        <w:rPr>
          <w:lang w:eastAsia="ja-JP"/>
        </w:rPr>
        <w:t>study</w:t>
      </w:r>
      <w:r w:rsidRPr="00B370A6">
        <w:rPr>
          <w:i/>
          <w:iCs/>
          <w:lang w:eastAsia="ja-JP"/>
        </w:rPr>
        <w:t>.</w:t>
      </w:r>
    </w:p>
    <w:p w14:paraId="3329BD66" w14:textId="77777777" w:rsidR="006E0293" w:rsidRPr="006E0293" w:rsidRDefault="006E0293" w:rsidP="004E5DCA">
      <w:pPr>
        <w:pStyle w:val="Heading5"/>
        <w:numPr>
          <w:ilvl w:val="3"/>
          <w:numId w:val="38"/>
        </w:numPr>
      </w:pPr>
      <w:r w:rsidRPr="006E0293">
        <w:t>Pivotal and/or main efficacy studies</w:t>
      </w:r>
    </w:p>
    <w:p w14:paraId="6353C287" w14:textId="5A9278BA" w:rsidR="006E0293" w:rsidRPr="006E0293" w:rsidRDefault="006E0293" w:rsidP="006E0293">
      <w:pPr>
        <w:pStyle w:val="Heading6"/>
      </w:pPr>
      <w:r w:rsidRPr="006E0293">
        <w:t>FUTURE-4</w:t>
      </w:r>
      <w:r w:rsidR="00291728">
        <w:t xml:space="preserve"> study</w:t>
      </w:r>
    </w:p>
    <w:p w14:paraId="1F5A9208" w14:textId="77777777" w:rsidR="006E0293" w:rsidRDefault="006E0293" w:rsidP="006E0293">
      <w:pPr>
        <w:rPr>
          <w:lang w:eastAsia="ja-JP"/>
        </w:rPr>
      </w:pPr>
      <w:r w:rsidRPr="00A9100B">
        <w:rPr>
          <w:lang w:eastAsia="ja-JP"/>
        </w:rPr>
        <w:t>No AEs of aminotransferase elevations (ALT and AST) were reported.</w:t>
      </w:r>
      <w:r>
        <w:rPr>
          <w:lang w:eastAsia="ja-JP"/>
        </w:rPr>
        <w:t xml:space="preserve"> </w:t>
      </w:r>
      <w:r w:rsidRPr="00B67065">
        <w:rPr>
          <w:lang w:eastAsia="ja-JP"/>
        </w:rPr>
        <w:t xml:space="preserve">In 3 patients (1 bosentan, 2 placebo), </w:t>
      </w:r>
      <w:r>
        <w:rPr>
          <w:lang w:eastAsia="ja-JP"/>
        </w:rPr>
        <w:t xml:space="preserve">total bilirubin increased from within the </w:t>
      </w:r>
      <w:r w:rsidRPr="00B67065">
        <w:rPr>
          <w:lang w:eastAsia="ja-JP"/>
        </w:rPr>
        <w:t>reference range at baseline to values</w:t>
      </w:r>
      <w:r>
        <w:rPr>
          <w:lang w:eastAsia="ja-JP"/>
        </w:rPr>
        <w:t xml:space="preserve"> above ULN</w:t>
      </w:r>
      <w:r w:rsidRPr="00B67065">
        <w:rPr>
          <w:lang w:eastAsia="ja-JP"/>
        </w:rPr>
        <w:t>, all remained</w:t>
      </w:r>
      <w:r>
        <w:rPr>
          <w:lang w:eastAsia="ja-JP"/>
        </w:rPr>
        <w:t xml:space="preserve"> </w:t>
      </w:r>
      <w:r w:rsidRPr="00B67065">
        <w:rPr>
          <w:lang w:eastAsia="ja-JP"/>
        </w:rPr>
        <w:t>&lt; 2</w:t>
      </w:r>
      <w:r w:rsidR="00CF6063">
        <w:rPr>
          <w:lang w:eastAsia="ja-JP"/>
        </w:rPr>
        <w:t xml:space="preserve"> x </w:t>
      </w:r>
      <w:r w:rsidRPr="00B67065">
        <w:rPr>
          <w:lang w:eastAsia="ja-JP"/>
        </w:rPr>
        <w:t>ULN, and none were associated with elevation in ALT.</w:t>
      </w:r>
    </w:p>
    <w:p w14:paraId="70A10057" w14:textId="77777777" w:rsidR="006E0293" w:rsidRPr="006E0293" w:rsidRDefault="006E0293" w:rsidP="006E0293">
      <w:pPr>
        <w:pStyle w:val="Heading5"/>
      </w:pPr>
      <w:r w:rsidRPr="006E0293">
        <w:t>Other studies</w:t>
      </w:r>
    </w:p>
    <w:p w14:paraId="6B96F5BA" w14:textId="77777777" w:rsidR="006E0293" w:rsidRPr="006E0293" w:rsidRDefault="00A2508E" w:rsidP="006E0293">
      <w:pPr>
        <w:pStyle w:val="Heading6"/>
      </w:pPr>
      <w:r>
        <w:t xml:space="preserve">Study </w:t>
      </w:r>
      <w:r w:rsidR="006E0293" w:rsidRPr="006E0293">
        <w:t>AC-052-116</w:t>
      </w:r>
    </w:p>
    <w:p w14:paraId="195DBE9C" w14:textId="77777777" w:rsidR="006E0293" w:rsidRDefault="006E0293" w:rsidP="006E0293">
      <w:pPr>
        <w:rPr>
          <w:lang w:eastAsia="ja-JP"/>
        </w:rPr>
      </w:pPr>
      <w:r w:rsidRPr="00B47DBB">
        <w:rPr>
          <w:lang w:eastAsia="ja-JP"/>
        </w:rPr>
        <w:t xml:space="preserve">During the </w:t>
      </w:r>
      <w:r w:rsidR="0066478A">
        <w:rPr>
          <w:lang w:eastAsia="ja-JP"/>
        </w:rPr>
        <w:t>study</w:t>
      </w:r>
      <w:r w:rsidRPr="00B47DBB">
        <w:rPr>
          <w:lang w:eastAsia="ja-JP"/>
        </w:rPr>
        <w:t>, the majority of subjects had one or more values for clinical</w:t>
      </w:r>
      <w:r>
        <w:rPr>
          <w:lang w:eastAsia="ja-JP"/>
        </w:rPr>
        <w:t xml:space="preserve"> </w:t>
      </w:r>
      <w:r w:rsidRPr="00B47DBB">
        <w:rPr>
          <w:lang w:eastAsia="ja-JP"/>
        </w:rPr>
        <w:t>chemistry variables outside the normal range. These observations were incidental, no</w:t>
      </w:r>
      <w:r>
        <w:rPr>
          <w:lang w:eastAsia="ja-JP"/>
        </w:rPr>
        <w:t xml:space="preserve"> </w:t>
      </w:r>
      <w:r w:rsidR="009C6335">
        <w:rPr>
          <w:lang w:eastAsia="ja-JP"/>
        </w:rPr>
        <w:t>treatment related</w:t>
      </w:r>
      <w:r w:rsidRPr="00B47DBB">
        <w:rPr>
          <w:lang w:eastAsia="ja-JP"/>
        </w:rPr>
        <w:t xml:space="preserve"> pattern was detected, and they were judged to be of no clinical</w:t>
      </w:r>
      <w:r>
        <w:rPr>
          <w:lang w:eastAsia="ja-JP"/>
        </w:rPr>
        <w:t xml:space="preserve"> </w:t>
      </w:r>
      <w:r w:rsidRPr="00B47DBB">
        <w:rPr>
          <w:lang w:eastAsia="ja-JP"/>
        </w:rPr>
        <w:t>relevance by the investigator.</w:t>
      </w:r>
    </w:p>
    <w:p w14:paraId="3C6618A6" w14:textId="211EAB38" w:rsidR="006E0293" w:rsidRPr="006E0293" w:rsidRDefault="00A2508E" w:rsidP="006E0293">
      <w:pPr>
        <w:pStyle w:val="Heading6"/>
      </w:pPr>
      <w:r>
        <w:lastRenderedPageBreak/>
        <w:t xml:space="preserve">Study </w:t>
      </w:r>
      <w:r w:rsidR="006E0293" w:rsidRPr="006E0293">
        <w:t xml:space="preserve">AC-052-365 </w:t>
      </w:r>
      <w:r w:rsidR="00291728">
        <w:t>(</w:t>
      </w:r>
      <w:r w:rsidR="006E0293" w:rsidRPr="006E0293">
        <w:t>FUTURE-1</w:t>
      </w:r>
      <w:r w:rsidR="00291728">
        <w:t>)</w:t>
      </w:r>
    </w:p>
    <w:p w14:paraId="33CC7810" w14:textId="77777777" w:rsidR="006E0293" w:rsidRDefault="006E0293" w:rsidP="006E0293">
      <w:pPr>
        <w:rPr>
          <w:lang w:eastAsia="ja-JP"/>
        </w:rPr>
      </w:pPr>
      <w:r w:rsidRPr="004F0151">
        <w:rPr>
          <w:lang w:eastAsia="ja-JP"/>
        </w:rPr>
        <w:t>The changes from baseline in the mean haematology and clinical chemistry parameters</w:t>
      </w:r>
      <w:r>
        <w:rPr>
          <w:lang w:eastAsia="ja-JP"/>
        </w:rPr>
        <w:t xml:space="preserve"> </w:t>
      </w:r>
      <w:r w:rsidRPr="004F0151">
        <w:rPr>
          <w:lang w:eastAsia="ja-JP"/>
        </w:rPr>
        <w:t xml:space="preserve">showed no clinically significant trends or changes up to 1 day after </w:t>
      </w:r>
      <w:r w:rsidR="0066478A">
        <w:rPr>
          <w:lang w:eastAsia="ja-JP"/>
        </w:rPr>
        <w:t>study</w:t>
      </w:r>
      <w:r w:rsidRPr="004F0151">
        <w:rPr>
          <w:lang w:eastAsia="ja-JP"/>
        </w:rPr>
        <w:t xml:space="preserve"> treatment end,</w:t>
      </w:r>
      <w:r>
        <w:rPr>
          <w:lang w:eastAsia="ja-JP"/>
        </w:rPr>
        <w:t xml:space="preserve"> </w:t>
      </w:r>
      <w:r w:rsidRPr="004F0151">
        <w:rPr>
          <w:lang w:eastAsia="ja-JP"/>
        </w:rPr>
        <w:t xml:space="preserve">including by </w:t>
      </w:r>
      <w:r w:rsidRPr="00D81D7C">
        <w:rPr>
          <w:lang w:eastAsia="ja-JP"/>
        </w:rPr>
        <w:t>subgroup (</w:t>
      </w:r>
      <w:r w:rsidR="00D81D7C" w:rsidRPr="00D81D7C">
        <w:rPr>
          <w:lang w:eastAsia="ja-JP"/>
        </w:rPr>
        <w:t>Table 76</w:t>
      </w:r>
      <w:r w:rsidRPr="00D81D7C">
        <w:rPr>
          <w:lang w:eastAsia="ja-JP"/>
        </w:rPr>
        <w:t>). There were</w:t>
      </w:r>
      <w:r>
        <w:rPr>
          <w:lang w:eastAsia="ja-JP"/>
        </w:rPr>
        <w:t xml:space="preserve"> no clinically relevant elevations in liver enzymes.</w:t>
      </w:r>
    </w:p>
    <w:p w14:paraId="4626DCE5" w14:textId="77777777" w:rsidR="006E0293" w:rsidRPr="004F0151" w:rsidRDefault="006E0293" w:rsidP="006E0293">
      <w:pPr>
        <w:pStyle w:val="Tabletitle"/>
      </w:pPr>
      <w:bookmarkStart w:id="418" w:name="_Ref463345095"/>
      <w:bookmarkStart w:id="419" w:name="_Toc473884120"/>
      <w:r w:rsidRPr="00D81D7C">
        <w:t xml:space="preserve">Table </w:t>
      </w:r>
      <w:bookmarkEnd w:id="418"/>
      <w:r w:rsidR="00D81D7C" w:rsidRPr="00D81D7C">
        <w:t>76:</w:t>
      </w:r>
      <w:r w:rsidRPr="00D81D7C">
        <w:t xml:space="preserve"> FUTURE</w:t>
      </w:r>
      <w:r>
        <w:t xml:space="preserve">-1 </w:t>
      </w:r>
      <w:r w:rsidRPr="004F0151">
        <w:t xml:space="preserve">Summary of change from baseline up to 1 day after the </w:t>
      </w:r>
      <w:r>
        <w:t xml:space="preserve">EOS </w:t>
      </w:r>
      <w:r w:rsidRPr="004F0151">
        <w:t>trea</w:t>
      </w:r>
      <w:r w:rsidR="00D81D7C">
        <w:t>tment in laboratory parameters;</w:t>
      </w:r>
      <w:r w:rsidRPr="004F0151">
        <w:t xml:space="preserve"> by subgroup</w:t>
      </w:r>
      <w:bookmarkEnd w:id="419"/>
    </w:p>
    <w:p w14:paraId="5BF52A49" w14:textId="77777777" w:rsidR="006E0293" w:rsidRDefault="006E0293" w:rsidP="00287323">
      <w:pPr>
        <w:rPr>
          <w:lang w:eastAsia="ja-JP"/>
        </w:rPr>
      </w:pPr>
      <w:r>
        <w:rPr>
          <w:noProof/>
          <w:lang w:eastAsia="en-AU"/>
        </w:rPr>
        <w:drawing>
          <wp:inline distT="0" distB="0" distL="0" distR="0" wp14:anchorId="2974BAEA" wp14:editId="7E33653E">
            <wp:extent cx="4905375" cy="3114675"/>
            <wp:effectExtent l="0" t="0" r="9525" b="9525"/>
            <wp:docPr id="103" name="Picture 103" descr="Table 76: FUTURE-1 Summary of change from baseline up to 1 day after the EOS treatment in laboratory parameters; by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BEBA8EAE-BF5A-486C-A8C5-ECC9F3942E4B}">
                          <a14:imgProps xmlns:a14="http://schemas.microsoft.com/office/drawing/2010/main">
                            <a14:imgLayer r:embed="rId144">
                              <a14:imgEffect>
                                <a14:brightnessContrast contrast="-40000"/>
                              </a14:imgEffect>
                            </a14:imgLayer>
                          </a14:imgProps>
                        </a:ext>
                      </a:extLst>
                    </a:blip>
                    <a:stretch>
                      <a:fillRect/>
                    </a:stretch>
                  </pic:blipFill>
                  <pic:spPr>
                    <a:xfrm>
                      <a:off x="0" y="0"/>
                      <a:ext cx="4905375" cy="3114675"/>
                    </a:xfrm>
                    <a:prstGeom prst="rect">
                      <a:avLst/>
                    </a:prstGeom>
                  </pic:spPr>
                </pic:pic>
              </a:graphicData>
            </a:graphic>
          </wp:inline>
        </w:drawing>
      </w:r>
    </w:p>
    <w:p w14:paraId="67641E57" w14:textId="50D76254" w:rsidR="006E0293" w:rsidRPr="00DA470C" w:rsidRDefault="00093207" w:rsidP="00DA470C">
      <w:pPr>
        <w:pStyle w:val="Heading6"/>
      </w:pPr>
      <w:r>
        <w:t xml:space="preserve">Study </w:t>
      </w:r>
      <w:r w:rsidR="006E0293" w:rsidRPr="00DA470C">
        <w:t xml:space="preserve">AC-052-373 </w:t>
      </w:r>
      <w:r w:rsidR="00291728">
        <w:t>(</w:t>
      </w:r>
      <w:r w:rsidR="006E0293" w:rsidRPr="00DA470C">
        <w:t>FUTURE-3</w:t>
      </w:r>
      <w:r w:rsidR="00291728">
        <w:t>)</w:t>
      </w:r>
    </w:p>
    <w:p w14:paraId="06ECD80F" w14:textId="77777777" w:rsidR="006E0293" w:rsidRPr="002A2F49" w:rsidRDefault="006E0293" w:rsidP="00DA470C">
      <w:pPr>
        <w:rPr>
          <w:lang w:eastAsia="ja-JP"/>
        </w:rPr>
      </w:pPr>
      <w:r w:rsidRPr="002A2F49">
        <w:rPr>
          <w:lang w:eastAsia="ja-JP"/>
        </w:rPr>
        <w:t xml:space="preserve">Elevations in ALT and/or AST </w:t>
      </w:r>
      <w:r w:rsidR="00CF6063">
        <w:rPr>
          <w:lang w:eastAsia="ja-JP"/>
        </w:rPr>
        <w:t xml:space="preserve">&gt; </w:t>
      </w:r>
      <w:r w:rsidRPr="002A2F49">
        <w:rPr>
          <w:lang w:eastAsia="ja-JP"/>
        </w:rPr>
        <w:t xml:space="preserve">3 x ULN were reported for two patients in the </w:t>
      </w:r>
      <w:r w:rsidR="007C6D8D">
        <w:rPr>
          <w:lang w:eastAsia="ja-JP"/>
        </w:rPr>
        <w:t>TDS</w:t>
      </w:r>
      <w:r w:rsidRPr="002A2F49">
        <w:rPr>
          <w:lang w:eastAsia="ja-JP"/>
        </w:rPr>
        <w:t xml:space="preserve"> group</w:t>
      </w:r>
      <w:r>
        <w:rPr>
          <w:lang w:eastAsia="ja-JP"/>
        </w:rPr>
        <w:t xml:space="preserve">. </w:t>
      </w:r>
      <w:r w:rsidRPr="002A2F49">
        <w:rPr>
          <w:lang w:eastAsia="ja-JP"/>
        </w:rPr>
        <w:t xml:space="preserve">There were no cases of ALT or AST elevations </w:t>
      </w:r>
      <w:r w:rsidR="00CF6063">
        <w:rPr>
          <w:lang w:eastAsia="ja-JP"/>
        </w:rPr>
        <w:t xml:space="preserve">&gt; </w:t>
      </w:r>
      <w:r w:rsidRPr="002A2F49">
        <w:rPr>
          <w:lang w:eastAsia="ja-JP"/>
        </w:rPr>
        <w:t>3</w:t>
      </w:r>
      <w:r w:rsidR="00CF6063">
        <w:rPr>
          <w:lang w:eastAsia="ja-JP"/>
        </w:rPr>
        <w:t xml:space="preserve"> </w:t>
      </w:r>
      <w:r w:rsidR="00CF6063">
        <w:rPr>
          <w:rFonts w:hint="eastAsia"/>
          <w:lang w:eastAsia="ja-JP"/>
        </w:rPr>
        <w:t xml:space="preserve">x </w:t>
      </w:r>
      <w:r w:rsidRPr="002A2F49">
        <w:rPr>
          <w:lang w:eastAsia="ja-JP"/>
        </w:rPr>
        <w:t xml:space="preserve">ULN with concomitant </w:t>
      </w:r>
      <w:r>
        <w:rPr>
          <w:lang w:eastAsia="ja-JP"/>
        </w:rPr>
        <w:t xml:space="preserve">total bilirubin </w:t>
      </w:r>
      <w:r w:rsidR="00CF6063">
        <w:rPr>
          <w:lang w:eastAsia="ja-JP"/>
        </w:rPr>
        <w:t xml:space="preserve">&gt; </w:t>
      </w:r>
      <w:r w:rsidRPr="002A2F49">
        <w:rPr>
          <w:lang w:eastAsia="ja-JP"/>
        </w:rPr>
        <w:t>2</w:t>
      </w:r>
      <w:r w:rsidR="00CF6063">
        <w:rPr>
          <w:lang w:eastAsia="ja-JP"/>
        </w:rPr>
        <w:t xml:space="preserve"> </w:t>
      </w:r>
      <w:r w:rsidR="00CF6063">
        <w:rPr>
          <w:rFonts w:hint="eastAsia"/>
          <w:lang w:eastAsia="ja-JP"/>
        </w:rPr>
        <w:t xml:space="preserve">x </w:t>
      </w:r>
      <w:r w:rsidRPr="002A2F49">
        <w:rPr>
          <w:lang w:eastAsia="ja-JP"/>
        </w:rPr>
        <w:t>ULN and A</w:t>
      </w:r>
      <w:r>
        <w:rPr>
          <w:lang w:eastAsia="ja-JP"/>
        </w:rPr>
        <w:t xml:space="preserve">lkaline phosphatase </w:t>
      </w:r>
      <w:r w:rsidRPr="002A2F49">
        <w:rPr>
          <w:lang w:eastAsia="ja-JP"/>
        </w:rPr>
        <w:t>≤ 2</w:t>
      </w:r>
      <w:r w:rsidR="00CF6063">
        <w:rPr>
          <w:lang w:eastAsia="ja-JP"/>
        </w:rPr>
        <w:t xml:space="preserve"> </w:t>
      </w:r>
      <w:r w:rsidR="00CF6063">
        <w:rPr>
          <w:rFonts w:hint="eastAsia"/>
          <w:lang w:eastAsia="ja-JP"/>
        </w:rPr>
        <w:t xml:space="preserve">x </w:t>
      </w:r>
      <w:r w:rsidRPr="002A2F49">
        <w:rPr>
          <w:lang w:eastAsia="ja-JP"/>
        </w:rPr>
        <w:t>ULN.</w:t>
      </w:r>
    </w:p>
    <w:p w14:paraId="472972DE" w14:textId="77777777" w:rsidR="006E0293" w:rsidRPr="00093207" w:rsidRDefault="006E0293" w:rsidP="00093207">
      <w:pPr>
        <w:pStyle w:val="Heading4"/>
      </w:pPr>
      <w:r w:rsidRPr="00093207">
        <w:t>Renal function and renal toxicity</w:t>
      </w:r>
    </w:p>
    <w:p w14:paraId="1C288A10" w14:textId="77777777" w:rsidR="006E0293" w:rsidRPr="00DA470C" w:rsidRDefault="006E0293" w:rsidP="00DA470C">
      <w:pPr>
        <w:pStyle w:val="Heading5"/>
      </w:pPr>
      <w:r w:rsidRPr="00DA470C">
        <w:t>Integrated safety analyses</w:t>
      </w:r>
    </w:p>
    <w:p w14:paraId="5A45525D" w14:textId="77777777" w:rsidR="006E0293" w:rsidRDefault="006E0293" w:rsidP="00DA470C">
      <w:pPr>
        <w:rPr>
          <w:lang w:eastAsia="ja-JP"/>
        </w:rPr>
      </w:pPr>
      <w:r>
        <w:rPr>
          <w:lang w:eastAsia="ja-JP"/>
        </w:rPr>
        <w:t>An analysis of the change in clinical chemistry parameters relating to renal function was not included in the integrated safety analysis.</w:t>
      </w:r>
    </w:p>
    <w:p w14:paraId="3075AFB9" w14:textId="77777777" w:rsidR="006E0293" w:rsidRPr="00DA470C" w:rsidRDefault="006E0293" w:rsidP="00DA470C">
      <w:pPr>
        <w:pStyle w:val="Heading5"/>
      </w:pPr>
      <w:r w:rsidRPr="00DA470C">
        <w:t>Main/pivotal studies that assessed safety as the sole primary outcome</w:t>
      </w:r>
    </w:p>
    <w:p w14:paraId="2DE3224D" w14:textId="402E6544" w:rsidR="006E0293" w:rsidRPr="00DA470C" w:rsidRDefault="006E0293" w:rsidP="00DA470C">
      <w:pPr>
        <w:pStyle w:val="Heading6"/>
      </w:pPr>
      <w:r w:rsidRPr="00DA470C">
        <w:t>FUTURE-4 extension</w:t>
      </w:r>
      <w:r w:rsidR="00E352DD">
        <w:t xml:space="preserve"> study</w:t>
      </w:r>
    </w:p>
    <w:p w14:paraId="7DA7B27E" w14:textId="77777777" w:rsidR="006E0293" w:rsidRDefault="006E0293" w:rsidP="00DA470C">
      <w:pPr>
        <w:rPr>
          <w:lang w:eastAsia="ja-JP"/>
        </w:rPr>
      </w:pPr>
      <w:r w:rsidRPr="00B370A6">
        <w:rPr>
          <w:lang w:eastAsia="ja-JP"/>
        </w:rPr>
        <w:t>No evaluation of laborator</w:t>
      </w:r>
      <w:r>
        <w:rPr>
          <w:lang w:eastAsia="ja-JP"/>
        </w:rPr>
        <w:t>y variables was performed in this</w:t>
      </w:r>
      <w:r w:rsidRPr="00B370A6">
        <w:rPr>
          <w:lang w:eastAsia="ja-JP"/>
        </w:rPr>
        <w:t xml:space="preserve"> </w:t>
      </w:r>
      <w:r w:rsidR="0066478A">
        <w:rPr>
          <w:lang w:eastAsia="ja-JP"/>
        </w:rPr>
        <w:t>study</w:t>
      </w:r>
      <w:r w:rsidRPr="00B370A6">
        <w:rPr>
          <w:i/>
          <w:iCs/>
          <w:lang w:eastAsia="ja-JP"/>
        </w:rPr>
        <w:t>.</w:t>
      </w:r>
    </w:p>
    <w:p w14:paraId="257799C4" w14:textId="77777777" w:rsidR="006E0293" w:rsidRPr="00DA470C" w:rsidRDefault="006E0293" w:rsidP="00DA470C">
      <w:pPr>
        <w:pStyle w:val="Heading5"/>
      </w:pPr>
      <w:r w:rsidRPr="00DA470C">
        <w:t>Pivotal and/or main efficacy studies</w:t>
      </w:r>
    </w:p>
    <w:p w14:paraId="7852AFC5" w14:textId="4EEFB88B" w:rsidR="006E0293" w:rsidRPr="00DA470C" w:rsidRDefault="006E0293" w:rsidP="00DA470C">
      <w:pPr>
        <w:pStyle w:val="Heading6"/>
      </w:pPr>
      <w:r w:rsidRPr="00DA470C">
        <w:t>FUTURE-4</w:t>
      </w:r>
      <w:r w:rsidR="00E352DD">
        <w:t xml:space="preserve"> study</w:t>
      </w:r>
    </w:p>
    <w:p w14:paraId="172E01EB" w14:textId="77777777" w:rsidR="006E0293" w:rsidRPr="00B67065" w:rsidRDefault="006E0293" w:rsidP="00DA470C">
      <w:pPr>
        <w:rPr>
          <w:lang w:eastAsia="ja-JP"/>
        </w:rPr>
      </w:pPr>
      <w:r>
        <w:rPr>
          <w:lang w:eastAsia="ja-JP"/>
        </w:rPr>
        <w:t>The CSR does not discuss patients with laboratory values outside the reference range on renal function tests.</w:t>
      </w:r>
    </w:p>
    <w:p w14:paraId="5B0C56D5" w14:textId="77777777" w:rsidR="00DA470C" w:rsidRPr="00DA470C" w:rsidRDefault="00DA470C" w:rsidP="004E5DCA">
      <w:pPr>
        <w:pStyle w:val="Heading5"/>
        <w:numPr>
          <w:ilvl w:val="3"/>
          <w:numId w:val="40"/>
        </w:numPr>
      </w:pPr>
      <w:r w:rsidRPr="00DA470C">
        <w:t>Other studies</w:t>
      </w:r>
    </w:p>
    <w:p w14:paraId="036C07A5" w14:textId="77777777" w:rsidR="00DA470C" w:rsidRPr="00DA470C" w:rsidRDefault="00A2508E" w:rsidP="00DA470C">
      <w:pPr>
        <w:pStyle w:val="Heading6"/>
      </w:pPr>
      <w:r>
        <w:t xml:space="preserve">Study </w:t>
      </w:r>
      <w:r w:rsidR="00DA470C" w:rsidRPr="00DA470C">
        <w:t>AC-052-116</w:t>
      </w:r>
    </w:p>
    <w:p w14:paraId="626DE562" w14:textId="77777777" w:rsidR="00DA470C" w:rsidRDefault="00DA470C" w:rsidP="00DA470C">
      <w:pPr>
        <w:rPr>
          <w:lang w:eastAsia="ja-JP"/>
        </w:rPr>
      </w:pPr>
      <w:r w:rsidRPr="00B47DBB">
        <w:rPr>
          <w:lang w:eastAsia="ja-JP"/>
        </w:rPr>
        <w:t xml:space="preserve">During the </w:t>
      </w:r>
      <w:r w:rsidR="0066478A">
        <w:rPr>
          <w:lang w:eastAsia="ja-JP"/>
        </w:rPr>
        <w:t>study</w:t>
      </w:r>
      <w:r w:rsidRPr="00B47DBB">
        <w:rPr>
          <w:lang w:eastAsia="ja-JP"/>
        </w:rPr>
        <w:t>, the majority of subjects had one or more values for clinical</w:t>
      </w:r>
      <w:r>
        <w:rPr>
          <w:lang w:eastAsia="ja-JP"/>
        </w:rPr>
        <w:t xml:space="preserve"> </w:t>
      </w:r>
      <w:r w:rsidRPr="00B47DBB">
        <w:rPr>
          <w:lang w:eastAsia="ja-JP"/>
        </w:rPr>
        <w:t>chemistry variables outside the normal range. These observations were incidental, no</w:t>
      </w:r>
      <w:r>
        <w:rPr>
          <w:lang w:eastAsia="ja-JP"/>
        </w:rPr>
        <w:t xml:space="preserve"> </w:t>
      </w:r>
      <w:r w:rsidR="009C6335">
        <w:rPr>
          <w:lang w:eastAsia="ja-JP"/>
        </w:rPr>
        <w:t>treatment related</w:t>
      </w:r>
      <w:r w:rsidRPr="00B47DBB">
        <w:rPr>
          <w:lang w:eastAsia="ja-JP"/>
        </w:rPr>
        <w:t xml:space="preserve"> pattern was detected, and they were judged to be of no clinical</w:t>
      </w:r>
      <w:r>
        <w:rPr>
          <w:lang w:eastAsia="ja-JP"/>
        </w:rPr>
        <w:t xml:space="preserve"> </w:t>
      </w:r>
      <w:r w:rsidRPr="00B47DBB">
        <w:rPr>
          <w:lang w:eastAsia="ja-JP"/>
        </w:rPr>
        <w:t>relevance by the investigator.</w:t>
      </w:r>
    </w:p>
    <w:p w14:paraId="2D05D365" w14:textId="77777777" w:rsidR="00DA470C" w:rsidRPr="00DA470C" w:rsidRDefault="00DA470C" w:rsidP="00DA470C">
      <w:pPr>
        <w:pStyle w:val="Heading6"/>
      </w:pPr>
      <w:r w:rsidRPr="00DA470C">
        <w:lastRenderedPageBreak/>
        <w:t>AC-052-365 FUTURE-1</w:t>
      </w:r>
    </w:p>
    <w:p w14:paraId="538B87A8" w14:textId="77777777" w:rsidR="00DA470C" w:rsidRDefault="00DA470C" w:rsidP="00DA470C">
      <w:pPr>
        <w:rPr>
          <w:lang w:eastAsia="ja-JP"/>
        </w:rPr>
      </w:pPr>
      <w:r w:rsidRPr="004F0151">
        <w:rPr>
          <w:lang w:eastAsia="ja-JP"/>
        </w:rPr>
        <w:t>The changes from baseline in clinical chemistry parameters</w:t>
      </w:r>
      <w:r>
        <w:rPr>
          <w:lang w:eastAsia="ja-JP"/>
        </w:rPr>
        <w:t xml:space="preserve"> </w:t>
      </w:r>
      <w:r w:rsidRPr="004F0151">
        <w:rPr>
          <w:lang w:eastAsia="ja-JP"/>
        </w:rPr>
        <w:t xml:space="preserve">showed no clinically significant trends or changes up to 1 day after </w:t>
      </w:r>
      <w:r w:rsidR="0066478A">
        <w:rPr>
          <w:lang w:eastAsia="ja-JP"/>
        </w:rPr>
        <w:t>study</w:t>
      </w:r>
      <w:r w:rsidRPr="004F0151">
        <w:rPr>
          <w:lang w:eastAsia="ja-JP"/>
        </w:rPr>
        <w:t xml:space="preserve"> treatment end,</w:t>
      </w:r>
      <w:r>
        <w:rPr>
          <w:lang w:eastAsia="ja-JP"/>
        </w:rPr>
        <w:t xml:space="preserve"> </w:t>
      </w:r>
      <w:r w:rsidRPr="004F0151">
        <w:rPr>
          <w:lang w:eastAsia="ja-JP"/>
        </w:rPr>
        <w:t xml:space="preserve">including by </w:t>
      </w:r>
      <w:r w:rsidRPr="00D81D7C">
        <w:rPr>
          <w:lang w:eastAsia="ja-JP"/>
        </w:rPr>
        <w:t>subgroup (</w:t>
      </w:r>
      <w:r w:rsidR="00D81D7C" w:rsidRPr="00D81D7C">
        <w:rPr>
          <w:lang w:eastAsia="ja-JP"/>
        </w:rPr>
        <w:t>Table 76</w:t>
      </w:r>
      <w:r w:rsidRPr="00D81D7C">
        <w:rPr>
          <w:lang w:eastAsia="ja-JP"/>
        </w:rPr>
        <w:t>).</w:t>
      </w:r>
    </w:p>
    <w:p w14:paraId="2AE01A30" w14:textId="77777777" w:rsidR="00DA470C" w:rsidRPr="00093207" w:rsidRDefault="00DA470C" w:rsidP="00093207">
      <w:pPr>
        <w:pStyle w:val="Heading4"/>
      </w:pPr>
      <w:bookmarkStart w:id="420" w:name="_Toc272414671"/>
      <w:bookmarkStart w:id="421" w:name="_Toc290888535"/>
      <w:bookmarkStart w:id="422" w:name="_Toc416353751"/>
      <w:bookmarkStart w:id="423" w:name="_Toc421005294"/>
      <w:bookmarkStart w:id="424" w:name="_Toc432079171"/>
      <w:bookmarkStart w:id="425" w:name="_Toc432080744"/>
      <w:r w:rsidRPr="00093207">
        <w:t>Other clinical chemistry</w:t>
      </w:r>
      <w:bookmarkEnd w:id="420"/>
      <w:bookmarkEnd w:id="421"/>
      <w:bookmarkEnd w:id="422"/>
      <w:bookmarkEnd w:id="423"/>
      <w:bookmarkEnd w:id="424"/>
      <w:bookmarkEnd w:id="425"/>
    </w:p>
    <w:p w14:paraId="72597B53" w14:textId="77777777" w:rsidR="00DA470C" w:rsidRPr="00DA470C" w:rsidRDefault="00DA470C" w:rsidP="00DA470C">
      <w:pPr>
        <w:pStyle w:val="Heading5"/>
      </w:pPr>
      <w:r w:rsidRPr="00DA470C">
        <w:t>Integrated safety analyses</w:t>
      </w:r>
    </w:p>
    <w:p w14:paraId="6DDD21D3" w14:textId="77777777" w:rsidR="00DA470C" w:rsidRDefault="00DA470C" w:rsidP="00DA470C">
      <w:pPr>
        <w:rPr>
          <w:lang w:eastAsia="ja-JP"/>
        </w:rPr>
      </w:pPr>
      <w:r>
        <w:rPr>
          <w:lang w:eastAsia="ja-JP"/>
        </w:rPr>
        <w:t>An analysis of the other clinical chemistry parameters was not included in the integrated safety analysis.</w:t>
      </w:r>
    </w:p>
    <w:p w14:paraId="57679376" w14:textId="77777777" w:rsidR="00DA470C" w:rsidRPr="00DA470C" w:rsidRDefault="00DA470C" w:rsidP="00DA470C">
      <w:pPr>
        <w:pStyle w:val="Heading5"/>
      </w:pPr>
      <w:r w:rsidRPr="00DA470C">
        <w:t>Main/pivotal studies that assessed safety as the sole primary outcome</w:t>
      </w:r>
    </w:p>
    <w:p w14:paraId="3B9100CA" w14:textId="5D879A57" w:rsidR="00DA470C" w:rsidRPr="00DA470C" w:rsidRDefault="00DA470C" w:rsidP="00DA470C">
      <w:pPr>
        <w:pStyle w:val="Heading6"/>
      </w:pPr>
      <w:r w:rsidRPr="00DA470C">
        <w:t>FUTURE-4 extension</w:t>
      </w:r>
      <w:r w:rsidR="00E352DD">
        <w:t xml:space="preserve"> study</w:t>
      </w:r>
    </w:p>
    <w:p w14:paraId="44D826F1" w14:textId="77777777" w:rsidR="00DA470C" w:rsidRDefault="00DA470C" w:rsidP="00DA470C">
      <w:pPr>
        <w:rPr>
          <w:lang w:eastAsia="ja-JP"/>
        </w:rPr>
      </w:pPr>
      <w:r w:rsidRPr="00B370A6">
        <w:rPr>
          <w:lang w:eastAsia="ja-JP"/>
        </w:rPr>
        <w:t xml:space="preserve">No evaluation of laboratory variables was performed in the </w:t>
      </w:r>
      <w:r w:rsidR="0066478A">
        <w:rPr>
          <w:lang w:eastAsia="ja-JP"/>
        </w:rPr>
        <w:t>study</w:t>
      </w:r>
      <w:r w:rsidRPr="00B370A6">
        <w:rPr>
          <w:i/>
          <w:iCs/>
          <w:lang w:eastAsia="ja-JP"/>
        </w:rPr>
        <w:t>.</w:t>
      </w:r>
    </w:p>
    <w:p w14:paraId="335AB20F" w14:textId="3638E063" w:rsidR="00DA470C" w:rsidRPr="00DA470C" w:rsidRDefault="00DA470C" w:rsidP="00DA470C">
      <w:pPr>
        <w:pStyle w:val="Heading6"/>
      </w:pPr>
      <w:r w:rsidRPr="00DA470C">
        <w:t>FUTURE-2</w:t>
      </w:r>
      <w:r w:rsidR="00E352DD">
        <w:t xml:space="preserve"> study</w:t>
      </w:r>
    </w:p>
    <w:p w14:paraId="396DC05E" w14:textId="77777777" w:rsidR="00DA470C" w:rsidRPr="00A42A51" w:rsidRDefault="00DA470C" w:rsidP="00DA470C">
      <w:pPr>
        <w:rPr>
          <w:lang w:eastAsia="ja-JP"/>
        </w:rPr>
      </w:pPr>
      <w:r w:rsidRPr="00A42A51">
        <w:rPr>
          <w:lang w:eastAsia="ja-JP"/>
        </w:rPr>
        <w:t>No clinically significant mean changes from baseline</w:t>
      </w:r>
      <w:r>
        <w:rPr>
          <w:lang w:eastAsia="ja-JP"/>
        </w:rPr>
        <w:t xml:space="preserve"> </w:t>
      </w:r>
      <w:r w:rsidRPr="00A42A51">
        <w:rPr>
          <w:lang w:eastAsia="ja-JP"/>
        </w:rPr>
        <w:t xml:space="preserve">up to one day after end of </w:t>
      </w:r>
      <w:r w:rsidR="0066478A">
        <w:rPr>
          <w:lang w:eastAsia="ja-JP"/>
        </w:rPr>
        <w:t>study</w:t>
      </w:r>
      <w:r w:rsidRPr="00A42A51">
        <w:rPr>
          <w:lang w:eastAsia="ja-JP"/>
        </w:rPr>
        <w:t xml:space="preserve"> drug were observed for any </w:t>
      </w:r>
      <w:r w:rsidRPr="00D81D7C">
        <w:rPr>
          <w:lang w:eastAsia="ja-JP"/>
        </w:rPr>
        <w:t>parameter (</w:t>
      </w:r>
      <w:r w:rsidR="00D81D7C" w:rsidRPr="00D81D7C">
        <w:rPr>
          <w:lang w:eastAsia="ja-JP"/>
        </w:rPr>
        <w:t>Table 75</w:t>
      </w:r>
      <w:r w:rsidRPr="00D81D7C">
        <w:rPr>
          <w:lang w:eastAsia="ja-JP"/>
        </w:rPr>
        <w:t>).</w:t>
      </w:r>
    </w:p>
    <w:p w14:paraId="4279A499" w14:textId="77777777" w:rsidR="00DA470C" w:rsidRPr="00DA470C" w:rsidRDefault="00DA470C" w:rsidP="00DA470C">
      <w:pPr>
        <w:pStyle w:val="Heading5"/>
      </w:pPr>
      <w:r w:rsidRPr="00DA470C">
        <w:t>Pivotal and/or main efficacy studies</w:t>
      </w:r>
    </w:p>
    <w:p w14:paraId="4FAC623D" w14:textId="77777777" w:rsidR="00DA470C" w:rsidRPr="00DA470C" w:rsidRDefault="00DA470C" w:rsidP="00DA470C">
      <w:pPr>
        <w:pStyle w:val="Heading5"/>
      </w:pPr>
      <w:r w:rsidRPr="00DA470C">
        <w:t>Other studies</w:t>
      </w:r>
    </w:p>
    <w:p w14:paraId="2341A424" w14:textId="77777777" w:rsidR="00DA470C" w:rsidRPr="00DA470C" w:rsidRDefault="00A2508E" w:rsidP="00DA470C">
      <w:pPr>
        <w:pStyle w:val="Heading6"/>
      </w:pPr>
      <w:r>
        <w:t xml:space="preserve">Study </w:t>
      </w:r>
      <w:r w:rsidR="00DA470C" w:rsidRPr="00DA470C">
        <w:t>AC-052-116</w:t>
      </w:r>
    </w:p>
    <w:p w14:paraId="2842B4B9" w14:textId="77777777" w:rsidR="00DA470C" w:rsidRDefault="00DA470C" w:rsidP="00DA470C">
      <w:pPr>
        <w:rPr>
          <w:lang w:eastAsia="ja-JP"/>
        </w:rPr>
      </w:pPr>
      <w:r w:rsidRPr="00B47DBB">
        <w:rPr>
          <w:lang w:eastAsia="ja-JP"/>
        </w:rPr>
        <w:t xml:space="preserve">During the </w:t>
      </w:r>
      <w:r w:rsidR="0066478A">
        <w:rPr>
          <w:lang w:eastAsia="ja-JP"/>
        </w:rPr>
        <w:t>study</w:t>
      </w:r>
      <w:r w:rsidRPr="00B47DBB">
        <w:rPr>
          <w:lang w:eastAsia="ja-JP"/>
        </w:rPr>
        <w:t>, the majority of subjects had one or more values for clinical</w:t>
      </w:r>
      <w:r>
        <w:rPr>
          <w:lang w:eastAsia="ja-JP"/>
        </w:rPr>
        <w:t xml:space="preserve"> </w:t>
      </w:r>
      <w:r w:rsidRPr="00B47DBB">
        <w:rPr>
          <w:lang w:eastAsia="ja-JP"/>
        </w:rPr>
        <w:t>chemistry variables outside the normal range. These observations were incidental, no</w:t>
      </w:r>
      <w:r>
        <w:rPr>
          <w:lang w:eastAsia="ja-JP"/>
        </w:rPr>
        <w:t xml:space="preserve"> </w:t>
      </w:r>
      <w:r w:rsidR="009C6335">
        <w:rPr>
          <w:lang w:eastAsia="ja-JP"/>
        </w:rPr>
        <w:t>treatment related</w:t>
      </w:r>
      <w:r w:rsidRPr="00B47DBB">
        <w:rPr>
          <w:lang w:eastAsia="ja-JP"/>
        </w:rPr>
        <w:t xml:space="preserve"> pattern was detected, and they were judged to be of no clinical</w:t>
      </w:r>
      <w:r>
        <w:rPr>
          <w:lang w:eastAsia="ja-JP"/>
        </w:rPr>
        <w:t xml:space="preserve"> </w:t>
      </w:r>
      <w:r w:rsidRPr="00B47DBB">
        <w:rPr>
          <w:lang w:eastAsia="ja-JP"/>
        </w:rPr>
        <w:t>relevance by the investigator.</w:t>
      </w:r>
      <w:bookmarkStart w:id="426" w:name="_Toc272414672"/>
      <w:bookmarkStart w:id="427" w:name="_Toc290888536"/>
      <w:bookmarkStart w:id="428" w:name="_Toc416353752"/>
      <w:bookmarkStart w:id="429" w:name="_Toc421005295"/>
      <w:bookmarkStart w:id="430" w:name="_Toc432079172"/>
      <w:bookmarkStart w:id="431" w:name="_Toc432080745"/>
    </w:p>
    <w:p w14:paraId="221BE72A" w14:textId="77777777" w:rsidR="00DA470C" w:rsidRPr="00DA470C" w:rsidRDefault="00DA470C" w:rsidP="00DA470C">
      <w:pPr>
        <w:pStyle w:val="Heading4"/>
      </w:pPr>
      <w:r w:rsidRPr="00DA470C">
        <w:t>Haematology</w:t>
      </w:r>
      <w:bookmarkEnd w:id="426"/>
      <w:bookmarkEnd w:id="427"/>
      <w:bookmarkEnd w:id="428"/>
      <w:bookmarkEnd w:id="429"/>
      <w:r w:rsidRPr="00DA470C">
        <w:t xml:space="preserve"> and haematological toxicity</w:t>
      </w:r>
      <w:bookmarkEnd w:id="430"/>
      <w:bookmarkEnd w:id="431"/>
    </w:p>
    <w:p w14:paraId="237FF473" w14:textId="77777777" w:rsidR="00DA470C" w:rsidRPr="00DA470C" w:rsidRDefault="00DA470C" w:rsidP="00DA470C">
      <w:pPr>
        <w:pStyle w:val="Heading5"/>
      </w:pPr>
      <w:r w:rsidRPr="00DA470C">
        <w:t>Integrated safety analyses</w:t>
      </w:r>
    </w:p>
    <w:p w14:paraId="7ED1B079" w14:textId="77777777" w:rsidR="00DA470C" w:rsidRDefault="00DA470C" w:rsidP="00DA470C">
      <w:pPr>
        <w:rPr>
          <w:lang w:eastAsia="ja-JP"/>
        </w:rPr>
      </w:pPr>
      <w:r>
        <w:rPr>
          <w:lang w:eastAsia="ja-JP"/>
        </w:rPr>
        <w:t>Ten patients in the integrated safety analysis had an abnormal haemoglobin value ≤ 10</w:t>
      </w:r>
      <w:r w:rsidR="00A2508E">
        <w:rPr>
          <w:lang w:eastAsia="ja-JP"/>
        </w:rPr>
        <w:t xml:space="preserve"> </w:t>
      </w:r>
      <w:r>
        <w:rPr>
          <w:lang w:eastAsia="ja-JP"/>
        </w:rPr>
        <w:t>g/dL (10.1%). No patient had a haemoglobin value ≤ 8</w:t>
      </w:r>
      <w:r w:rsidR="00A2508E">
        <w:rPr>
          <w:lang w:eastAsia="ja-JP"/>
        </w:rPr>
        <w:t xml:space="preserve"> </w:t>
      </w:r>
      <w:r>
        <w:rPr>
          <w:lang w:eastAsia="ja-JP"/>
        </w:rPr>
        <w:t xml:space="preserve">g/dL. In all cases the patient was </w:t>
      </w:r>
      <w:r w:rsidR="007C6D8D">
        <w:rPr>
          <w:lang w:eastAsia="ja-JP"/>
        </w:rPr>
        <w:t>≥</w:t>
      </w:r>
      <w:r w:rsidR="00CF6063">
        <w:rPr>
          <w:lang w:eastAsia="ja-JP"/>
        </w:rPr>
        <w:t xml:space="preserve"> </w:t>
      </w:r>
      <w:r>
        <w:rPr>
          <w:lang w:eastAsia="ja-JP"/>
        </w:rPr>
        <w:t>2</w:t>
      </w:r>
      <w:r w:rsidR="00A2508E">
        <w:rPr>
          <w:lang w:eastAsia="ja-JP"/>
        </w:rPr>
        <w:t xml:space="preserve"> </w:t>
      </w:r>
      <w:r>
        <w:rPr>
          <w:lang w:eastAsia="ja-JP"/>
        </w:rPr>
        <w:t>years of age.</w:t>
      </w:r>
    </w:p>
    <w:p w14:paraId="4D6C03D9" w14:textId="77777777" w:rsidR="00DA470C" w:rsidRPr="00DA470C" w:rsidRDefault="00DA470C" w:rsidP="00DA470C">
      <w:pPr>
        <w:pStyle w:val="Heading5"/>
      </w:pPr>
      <w:r w:rsidRPr="00DA470C">
        <w:t>Main/pivotal studies that assessed safety as the sole primary outcome</w:t>
      </w:r>
    </w:p>
    <w:p w14:paraId="43DC7945" w14:textId="3F04F534" w:rsidR="00DA470C" w:rsidRPr="00DA470C" w:rsidRDefault="00DA470C" w:rsidP="00DA470C">
      <w:pPr>
        <w:pStyle w:val="Heading6"/>
      </w:pPr>
      <w:r w:rsidRPr="00DA470C">
        <w:t>FUTURE-2</w:t>
      </w:r>
      <w:r w:rsidR="00E352DD">
        <w:t xml:space="preserve"> study</w:t>
      </w:r>
    </w:p>
    <w:p w14:paraId="7C2512F2" w14:textId="77777777" w:rsidR="00DA470C" w:rsidRPr="00A42A51" w:rsidRDefault="00DA470C" w:rsidP="00DA470C">
      <w:pPr>
        <w:rPr>
          <w:lang w:eastAsia="ja-JP"/>
        </w:rPr>
      </w:pPr>
      <w:r w:rsidRPr="00A42A51">
        <w:rPr>
          <w:lang w:eastAsia="ja-JP"/>
        </w:rPr>
        <w:t>No clinically significant mean changes from baseline</w:t>
      </w:r>
      <w:r>
        <w:rPr>
          <w:lang w:eastAsia="ja-JP"/>
        </w:rPr>
        <w:t xml:space="preserve"> </w:t>
      </w:r>
      <w:r w:rsidRPr="00A42A51">
        <w:rPr>
          <w:lang w:eastAsia="ja-JP"/>
        </w:rPr>
        <w:t xml:space="preserve">up to one day after end of </w:t>
      </w:r>
      <w:r w:rsidR="0066478A">
        <w:rPr>
          <w:lang w:eastAsia="ja-JP"/>
        </w:rPr>
        <w:t>study</w:t>
      </w:r>
      <w:r w:rsidRPr="00A42A51">
        <w:rPr>
          <w:lang w:eastAsia="ja-JP"/>
        </w:rPr>
        <w:t xml:space="preserve"> drug were observed for any parameter. The most frequent marked laboratory abnormali</w:t>
      </w:r>
      <w:r>
        <w:rPr>
          <w:lang w:eastAsia="ja-JP"/>
        </w:rPr>
        <w:t xml:space="preserve">ty was low </w:t>
      </w:r>
      <w:r w:rsidRPr="00A42A51">
        <w:rPr>
          <w:lang w:eastAsia="ja-JP"/>
        </w:rPr>
        <w:t>haemoglobin, which was</w:t>
      </w:r>
      <w:r>
        <w:rPr>
          <w:lang w:eastAsia="ja-JP"/>
        </w:rPr>
        <w:t xml:space="preserve"> </w:t>
      </w:r>
      <w:r w:rsidRPr="00A42A51">
        <w:rPr>
          <w:lang w:eastAsia="ja-JP"/>
        </w:rPr>
        <w:t>observed in 4 patients (11.1%) overall. Three patients (8.3%) had a markedly abnormal</w:t>
      </w:r>
      <w:r>
        <w:rPr>
          <w:lang w:eastAsia="ja-JP"/>
        </w:rPr>
        <w:t xml:space="preserve"> </w:t>
      </w:r>
      <w:r w:rsidRPr="00A42A51">
        <w:rPr>
          <w:lang w:eastAsia="ja-JP"/>
        </w:rPr>
        <w:t>low platelet count and 2 (5.6%) had a markedly abnormal low haematocrit.</w:t>
      </w:r>
    </w:p>
    <w:p w14:paraId="3554C7AC" w14:textId="77777777" w:rsidR="00DA470C" w:rsidRPr="00A42A51" w:rsidRDefault="00DA470C" w:rsidP="00DA470C">
      <w:pPr>
        <w:pStyle w:val="Tabletitle"/>
        <w:rPr>
          <w:lang w:eastAsia="ja-JP"/>
        </w:rPr>
      </w:pPr>
      <w:bookmarkStart w:id="432" w:name="_Toc473884121"/>
      <w:r w:rsidRPr="00D81D7C">
        <w:lastRenderedPageBreak/>
        <w:t xml:space="preserve">Table </w:t>
      </w:r>
      <w:r w:rsidR="00D81D7C" w:rsidRPr="00D81D7C">
        <w:t>77:</w:t>
      </w:r>
      <w:r w:rsidRPr="00D81D7C">
        <w:t xml:space="preserve"> FUTURE-2 Summary of mean (SD) change from baseline in haematology</w:t>
      </w:r>
      <w:r>
        <w:t xml:space="preserve"> variables up to one day after end of </w:t>
      </w:r>
      <w:r w:rsidR="0066478A">
        <w:t>study</w:t>
      </w:r>
      <w:r w:rsidR="00D81D7C">
        <w:t xml:space="preserve"> treatment;</w:t>
      </w:r>
      <w:r>
        <w:t xml:space="preserve"> All patient set</w:t>
      </w:r>
      <w:bookmarkEnd w:id="432"/>
    </w:p>
    <w:p w14:paraId="107CF1C5" w14:textId="77777777" w:rsidR="006E0293" w:rsidRDefault="00DA470C" w:rsidP="00287323">
      <w:pPr>
        <w:rPr>
          <w:lang w:eastAsia="ja-JP"/>
        </w:rPr>
      </w:pPr>
      <w:r>
        <w:rPr>
          <w:noProof/>
          <w:lang w:eastAsia="en-AU"/>
        </w:rPr>
        <w:drawing>
          <wp:inline distT="0" distB="0" distL="0" distR="0" wp14:anchorId="14BFEB3F" wp14:editId="21B07CC5">
            <wp:extent cx="4524375" cy="3038475"/>
            <wp:effectExtent l="0" t="0" r="9525" b="9525"/>
            <wp:docPr id="104" name="Picture 104" descr="Table 77: FUTURE-2 Summary of mean (SD) change from baseline in haematology variables up to one day after end of study treatment; All patient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4524375" cy="3038475"/>
                    </a:xfrm>
                    <a:prstGeom prst="rect">
                      <a:avLst/>
                    </a:prstGeom>
                  </pic:spPr>
                </pic:pic>
              </a:graphicData>
            </a:graphic>
          </wp:inline>
        </w:drawing>
      </w:r>
    </w:p>
    <w:p w14:paraId="2453D5B4" w14:textId="3C3FB16B" w:rsidR="00DA470C" w:rsidRPr="00DA470C" w:rsidRDefault="00DA470C" w:rsidP="00DA470C">
      <w:pPr>
        <w:pStyle w:val="Heading6"/>
      </w:pPr>
      <w:r w:rsidRPr="00DA470C">
        <w:t>FUTURE-4 extension</w:t>
      </w:r>
      <w:r w:rsidR="00E352DD">
        <w:t xml:space="preserve"> study</w:t>
      </w:r>
    </w:p>
    <w:p w14:paraId="3F3A2AA4" w14:textId="77777777" w:rsidR="00DA470C" w:rsidRDefault="00DA470C" w:rsidP="00DA470C">
      <w:pPr>
        <w:rPr>
          <w:lang w:eastAsia="ja-JP"/>
        </w:rPr>
      </w:pPr>
      <w:r w:rsidRPr="00B370A6">
        <w:rPr>
          <w:lang w:eastAsia="ja-JP"/>
        </w:rPr>
        <w:t xml:space="preserve">No evaluation of laboratory variables was performed in the </w:t>
      </w:r>
      <w:r w:rsidR="0066478A">
        <w:rPr>
          <w:lang w:eastAsia="ja-JP"/>
        </w:rPr>
        <w:t>study</w:t>
      </w:r>
      <w:r w:rsidRPr="00B370A6">
        <w:rPr>
          <w:i/>
          <w:iCs/>
          <w:lang w:eastAsia="ja-JP"/>
        </w:rPr>
        <w:t>.</w:t>
      </w:r>
    </w:p>
    <w:p w14:paraId="35829DA9" w14:textId="77777777" w:rsidR="00DA470C" w:rsidRPr="00DA470C" w:rsidRDefault="00DA470C" w:rsidP="00DA470C">
      <w:pPr>
        <w:pStyle w:val="Heading5"/>
      </w:pPr>
      <w:r w:rsidRPr="00DA470C">
        <w:t>Pivotal and/or main efficacy studies</w:t>
      </w:r>
    </w:p>
    <w:p w14:paraId="6EE72C31" w14:textId="7286346E" w:rsidR="00DA470C" w:rsidRPr="00DA470C" w:rsidRDefault="00DA470C" w:rsidP="00DA470C">
      <w:pPr>
        <w:pStyle w:val="Heading6"/>
      </w:pPr>
      <w:r w:rsidRPr="00DA470C">
        <w:t>FUTURE-4</w:t>
      </w:r>
      <w:r w:rsidR="00E352DD">
        <w:t xml:space="preserve"> study</w:t>
      </w:r>
    </w:p>
    <w:p w14:paraId="35973ECD" w14:textId="77777777" w:rsidR="00DA470C" w:rsidRPr="00C21C10" w:rsidRDefault="00DA470C" w:rsidP="00DA470C">
      <w:pPr>
        <w:rPr>
          <w:lang w:eastAsia="ja-JP"/>
        </w:rPr>
      </w:pPr>
      <w:r w:rsidRPr="00C21C10">
        <w:rPr>
          <w:lang w:eastAsia="ja-JP"/>
        </w:rPr>
        <w:t xml:space="preserve">Shifts from within the reference range at baseline to worst </w:t>
      </w:r>
      <w:r w:rsidR="00A5161C">
        <w:rPr>
          <w:lang w:eastAsia="ja-JP"/>
        </w:rPr>
        <w:t>post baseline</w:t>
      </w:r>
      <w:r w:rsidRPr="00C21C10">
        <w:rPr>
          <w:lang w:eastAsia="ja-JP"/>
        </w:rPr>
        <w:t xml:space="preserve"> values below LLN were reported in 7 patients (6 bosentan 46.2%,</w:t>
      </w:r>
      <w:r>
        <w:rPr>
          <w:lang w:eastAsia="ja-JP"/>
        </w:rPr>
        <w:t xml:space="preserve"> </w:t>
      </w:r>
      <w:r w:rsidRPr="00C21C10">
        <w:rPr>
          <w:lang w:eastAsia="ja-JP"/>
        </w:rPr>
        <w:t>1 placebo 12.5%) for haemoglobin</w:t>
      </w:r>
      <w:r>
        <w:rPr>
          <w:lang w:eastAsia="ja-JP"/>
        </w:rPr>
        <w:t xml:space="preserve">. </w:t>
      </w:r>
      <w:r w:rsidRPr="00C21C10">
        <w:rPr>
          <w:lang w:eastAsia="ja-JP"/>
        </w:rPr>
        <w:t>Two patients on bosentan experienced a decrease in</w:t>
      </w:r>
      <w:r>
        <w:rPr>
          <w:lang w:eastAsia="ja-JP"/>
        </w:rPr>
        <w:t xml:space="preserve"> platelet count from within the </w:t>
      </w:r>
      <w:r w:rsidRPr="00C21C10">
        <w:rPr>
          <w:lang w:eastAsia="ja-JP"/>
        </w:rPr>
        <w:t xml:space="preserve">reference range at baseline to a worst </w:t>
      </w:r>
      <w:r w:rsidR="00A5161C">
        <w:rPr>
          <w:lang w:eastAsia="ja-JP"/>
        </w:rPr>
        <w:t>post baseline</w:t>
      </w:r>
      <w:r w:rsidRPr="00C21C10">
        <w:rPr>
          <w:lang w:eastAsia="ja-JP"/>
        </w:rPr>
        <w:t xml:space="preserve"> value below LLN</w:t>
      </w:r>
      <w:r>
        <w:rPr>
          <w:lang w:eastAsia="ja-JP"/>
        </w:rPr>
        <w:t>.</w:t>
      </w:r>
    </w:p>
    <w:p w14:paraId="065100A3" w14:textId="77777777" w:rsidR="00DA470C" w:rsidRPr="00DA470C" w:rsidRDefault="00DA470C" w:rsidP="00DA470C">
      <w:pPr>
        <w:pStyle w:val="Heading5"/>
      </w:pPr>
      <w:r w:rsidRPr="00DA470C">
        <w:t>Other studies</w:t>
      </w:r>
    </w:p>
    <w:p w14:paraId="6C922F99" w14:textId="77777777" w:rsidR="00DA470C" w:rsidRPr="00DA470C" w:rsidRDefault="00A2508E" w:rsidP="00DA470C">
      <w:pPr>
        <w:pStyle w:val="Heading6"/>
      </w:pPr>
      <w:r>
        <w:t xml:space="preserve">Study </w:t>
      </w:r>
      <w:r w:rsidR="00DA470C" w:rsidRPr="00DA470C">
        <w:t>AC-052-116</w:t>
      </w:r>
    </w:p>
    <w:p w14:paraId="3F38FE3D" w14:textId="77777777" w:rsidR="00DA470C" w:rsidRDefault="00DA470C" w:rsidP="00DA470C">
      <w:pPr>
        <w:rPr>
          <w:lang w:eastAsia="ja-JP"/>
        </w:rPr>
      </w:pPr>
      <w:r>
        <w:rPr>
          <w:lang w:eastAsia="ja-JP"/>
        </w:rPr>
        <w:t xml:space="preserve">Seven </w:t>
      </w:r>
      <w:r w:rsidRPr="00B47DBB">
        <w:rPr>
          <w:lang w:eastAsia="ja-JP"/>
        </w:rPr>
        <w:t>out of 16 subjects had one or more values for haematology variables</w:t>
      </w:r>
      <w:r>
        <w:rPr>
          <w:lang w:eastAsia="ja-JP"/>
        </w:rPr>
        <w:t xml:space="preserve"> </w:t>
      </w:r>
      <w:r w:rsidRPr="00B47DBB">
        <w:rPr>
          <w:lang w:eastAsia="ja-JP"/>
        </w:rPr>
        <w:t xml:space="preserve">outside the normal range. These observations were incidental, no </w:t>
      </w:r>
      <w:r w:rsidR="009C6335">
        <w:rPr>
          <w:lang w:eastAsia="ja-JP"/>
        </w:rPr>
        <w:t>treatment related</w:t>
      </w:r>
      <w:r>
        <w:rPr>
          <w:lang w:eastAsia="ja-JP"/>
        </w:rPr>
        <w:t xml:space="preserve"> </w:t>
      </w:r>
      <w:r w:rsidRPr="00B47DBB">
        <w:rPr>
          <w:lang w:eastAsia="ja-JP"/>
        </w:rPr>
        <w:t>pattern was detected, and they were judged to be of no clinical relevance by the</w:t>
      </w:r>
      <w:r>
        <w:rPr>
          <w:lang w:eastAsia="ja-JP"/>
        </w:rPr>
        <w:t xml:space="preserve"> </w:t>
      </w:r>
      <w:r w:rsidRPr="00B47DBB">
        <w:rPr>
          <w:lang w:eastAsia="ja-JP"/>
        </w:rPr>
        <w:t>investigator.</w:t>
      </w:r>
    </w:p>
    <w:p w14:paraId="087E352B" w14:textId="1D818AB8" w:rsidR="00DA470C" w:rsidRPr="00DA470C" w:rsidRDefault="00A2508E" w:rsidP="00DA470C">
      <w:pPr>
        <w:pStyle w:val="Heading6"/>
      </w:pPr>
      <w:r>
        <w:t xml:space="preserve">Study </w:t>
      </w:r>
      <w:r w:rsidR="00DA470C" w:rsidRPr="00DA470C">
        <w:t xml:space="preserve">AC-052-365 </w:t>
      </w:r>
      <w:r w:rsidR="00E352DD">
        <w:t>(</w:t>
      </w:r>
      <w:r w:rsidR="00DA470C" w:rsidRPr="00DA470C">
        <w:t>FUTURE-1</w:t>
      </w:r>
      <w:r w:rsidR="00E352DD">
        <w:t>)</w:t>
      </w:r>
    </w:p>
    <w:p w14:paraId="6CCA5F47" w14:textId="77777777" w:rsidR="00DA470C" w:rsidRDefault="00DA470C" w:rsidP="00DA470C">
      <w:pPr>
        <w:rPr>
          <w:lang w:eastAsia="ja-JP"/>
        </w:rPr>
      </w:pPr>
      <w:r w:rsidRPr="004F0151">
        <w:rPr>
          <w:lang w:eastAsia="ja-JP"/>
        </w:rPr>
        <w:t>The changes from baseline in the mean haematology parameters</w:t>
      </w:r>
      <w:r>
        <w:rPr>
          <w:lang w:eastAsia="ja-JP"/>
        </w:rPr>
        <w:t xml:space="preserve"> </w:t>
      </w:r>
      <w:r w:rsidRPr="004F0151">
        <w:rPr>
          <w:lang w:eastAsia="ja-JP"/>
        </w:rPr>
        <w:t xml:space="preserve">showed no clinically significant trends or changes up to 1 day after </w:t>
      </w:r>
      <w:r w:rsidR="0066478A">
        <w:rPr>
          <w:lang w:eastAsia="ja-JP"/>
        </w:rPr>
        <w:t>study</w:t>
      </w:r>
      <w:r w:rsidRPr="004F0151">
        <w:rPr>
          <w:lang w:eastAsia="ja-JP"/>
        </w:rPr>
        <w:t xml:space="preserve"> treatment end,</w:t>
      </w:r>
      <w:r>
        <w:rPr>
          <w:lang w:eastAsia="ja-JP"/>
        </w:rPr>
        <w:t xml:space="preserve"> </w:t>
      </w:r>
      <w:r w:rsidRPr="004F0151">
        <w:rPr>
          <w:lang w:eastAsia="ja-JP"/>
        </w:rPr>
        <w:t>including by subgroup</w:t>
      </w:r>
      <w:r>
        <w:rPr>
          <w:lang w:eastAsia="ja-JP"/>
        </w:rPr>
        <w:t xml:space="preserve"> </w:t>
      </w:r>
      <w:r w:rsidRPr="00D81D7C">
        <w:rPr>
          <w:lang w:eastAsia="ja-JP"/>
        </w:rPr>
        <w:t>(</w:t>
      </w:r>
      <w:r w:rsidR="00D81D7C" w:rsidRPr="00D81D7C">
        <w:rPr>
          <w:lang w:eastAsia="ja-JP"/>
        </w:rPr>
        <w:t>Table 76</w:t>
      </w:r>
      <w:r w:rsidRPr="00D81D7C">
        <w:rPr>
          <w:lang w:eastAsia="ja-JP"/>
        </w:rPr>
        <w:t>). There</w:t>
      </w:r>
      <w:r>
        <w:rPr>
          <w:lang w:eastAsia="ja-JP"/>
        </w:rPr>
        <w:t xml:space="preserve"> were no clinically relevant haemoglobin level reductions. Low </w:t>
      </w:r>
      <w:r w:rsidRPr="004F0151">
        <w:rPr>
          <w:lang w:eastAsia="ja-JP"/>
        </w:rPr>
        <w:t>platelet count was the highest incident marked laboratory abnormality (5.6%, in</w:t>
      </w:r>
      <w:r>
        <w:rPr>
          <w:lang w:eastAsia="ja-JP"/>
        </w:rPr>
        <w:t xml:space="preserve"> </w:t>
      </w:r>
      <w:r w:rsidRPr="004F0151">
        <w:rPr>
          <w:lang w:eastAsia="ja-JP"/>
        </w:rPr>
        <w:t>two patients</w:t>
      </w:r>
      <w:r>
        <w:rPr>
          <w:lang w:eastAsia="ja-JP"/>
        </w:rPr>
        <w:t xml:space="preserve">). </w:t>
      </w:r>
      <w:r w:rsidRPr="004F0151">
        <w:rPr>
          <w:lang w:eastAsia="ja-JP"/>
        </w:rPr>
        <w:t>All abnormalities reso</w:t>
      </w:r>
      <w:r>
        <w:rPr>
          <w:lang w:eastAsia="ja-JP"/>
        </w:rPr>
        <w:t>lved spontaneously during/after EOS</w:t>
      </w:r>
      <w:r w:rsidRPr="004F0151">
        <w:rPr>
          <w:lang w:eastAsia="ja-JP"/>
        </w:rPr>
        <w:t xml:space="preserve"> without sequelae.</w:t>
      </w:r>
    </w:p>
    <w:p w14:paraId="2AB60A86" w14:textId="3AFFF20F" w:rsidR="00DA470C" w:rsidRPr="00DA470C" w:rsidRDefault="00A2508E" w:rsidP="00DA470C">
      <w:pPr>
        <w:pStyle w:val="Heading6"/>
      </w:pPr>
      <w:r>
        <w:t xml:space="preserve">Study </w:t>
      </w:r>
      <w:r w:rsidR="00DA470C" w:rsidRPr="00DA470C">
        <w:t xml:space="preserve">AC-052-373 </w:t>
      </w:r>
      <w:r w:rsidR="00E352DD">
        <w:t>(</w:t>
      </w:r>
      <w:r w:rsidR="00DA470C" w:rsidRPr="00DA470C">
        <w:t>FUTURE-3</w:t>
      </w:r>
      <w:r w:rsidR="00E352DD">
        <w:t>)</w:t>
      </w:r>
    </w:p>
    <w:p w14:paraId="24BE8788" w14:textId="77777777" w:rsidR="00DA470C" w:rsidRPr="00434B9E" w:rsidRDefault="00DA470C" w:rsidP="00DA470C">
      <w:pPr>
        <w:rPr>
          <w:lang w:eastAsia="ja-JP"/>
        </w:rPr>
      </w:pPr>
      <w:r w:rsidRPr="00434B9E">
        <w:rPr>
          <w:lang w:eastAsia="ja-JP"/>
        </w:rPr>
        <w:t xml:space="preserve">Shifts from within the reference range to values below </w:t>
      </w:r>
      <w:r>
        <w:rPr>
          <w:lang w:eastAsia="ja-JP"/>
        </w:rPr>
        <w:t>the lower limit of normal</w:t>
      </w:r>
      <w:r w:rsidRPr="00434B9E">
        <w:rPr>
          <w:lang w:eastAsia="ja-JP"/>
        </w:rPr>
        <w:t xml:space="preserve"> were reported in 11 patients</w:t>
      </w:r>
      <w:r>
        <w:rPr>
          <w:lang w:eastAsia="ja-JP"/>
        </w:rPr>
        <w:t xml:space="preserve"> (8 </w:t>
      </w:r>
      <w:r w:rsidR="007C6D8D">
        <w:rPr>
          <w:lang w:eastAsia="ja-JP"/>
        </w:rPr>
        <w:t>BD</w:t>
      </w:r>
      <w:r>
        <w:rPr>
          <w:lang w:eastAsia="ja-JP"/>
        </w:rPr>
        <w:t xml:space="preserve">, 3 </w:t>
      </w:r>
      <w:r w:rsidR="007C6D8D">
        <w:rPr>
          <w:lang w:eastAsia="ja-JP"/>
        </w:rPr>
        <w:t>TDS</w:t>
      </w:r>
      <w:r w:rsidRPr="00434B9E">
        <w:rPr>
          <w:lang w:eastAsia="ja-JP"/>
        </w:rPr>
        <w:t>) for haemoglobin</w:t>
      </w:r>
      <w:r>
        <w:rPr>
          <w:lang w:eastAsia="ja-JP"/>
        </w:rPr>
        <w:t xml:space="preserve"> and in 9 patients (6 </w:t>
      </w:r>
      <w:r w:rsidR="007C6D8D">
        <w:rPr>
          <w:lang w:eastAsia="ja-JP"/>
        </w:rPr>
        <w:t>BD</w:t>
      </w:r>
      <w:r>
        <w:rPr>
          <w:lang w:eastAsia="ja-JP"/>
        </w:rPr>
        <w:t xml:space="preserve">, 3 </w:t>
      </w:r>
      <w:r w:rsidR="007C6D8D">
        <w:rPr>
          <w:lang w:eastAsia="ja-JP"/>
        </w:rPr>
        <w:t>TDS</w:t>
      </w:r>
      <w:r w:rsidRPr="00434B9E">
        <w:rPr>
          <w:lang w:eastAsia="ja-JP"/>
        </w:rPr>
        <w:t>) for haematocrit</w:t>
      </w:r>
      <w:r>
        <w:rPr>
          <w:lang w:eastAsia="ja-JP"/>
        </w:rPr>
        <w:t xml:space="preserve">. In total, 4 patients (3 </w:t>
      </w:r>
      <w:r w:rsidR="007C6D8D">
        <w:rPr>
          <w:lang w:eastAsia="ja-JP"/>
        </w:rPr>
        <w:t>BD</w:t>
      </w:r>
      <w:r>
        <w:rPr>
          <w:lang w:eastAsia="ja-JP"/>
        </w:rPr>
        <w:t xml:space="preserve">, 1 </w:t>
      </w:r>
      <w:r w:rsidR="007C6D8D">
        <w:rPr>
          <w:lang w:eastAsia="ja-JP"/>
        </w:rPr>
        <w:t>TDS</w:t>
      </w:r>
      <w:r w:rsidRPr="00434B9E">
        <w:rPr>
          <w:lang w:eastAsia="ja-JP"/>
        </w:rPr>
        <w:t>) experienced marked decreases in</w:t>
      </w:r>
      <w:r>
        <w:rPr>
          <w:lang w:eastAsia="ja-JP"/>
        </w:rPr>
        <w:t xml:space="preserve"> </w:t>
      </w:r>
      <w:r w:rsidRPr="00434B9E">
        <w:rPr>
          <w:lang w:eastAsia="ja-JP"/>
        </w:rPr>
        <w:t>haemoglobin, which were concomitant with marked decreases</w:t>
      </w:r>
      <w:r>
        <w:rPr>
          <w:lang w:eastAsia="ja-JP"/>
        </w:rPr>
        <w:t xml:space="preserve"> in haematocrit in 3 cases. </w:t>
      </w:r>
      <w:r w:rsidRPr="00B26E6E">
        <w:rPr>
          <w:lang w:eastAsia="ja-JP"/>
        </w:rPr>
        <w:t>No patients had decreases in haemoglobin to values below 80 g/L.</w:t>
      </w:r>
      <w:r>
        <w:rPr>
          <w:lang w:eastAsia="ja-JP"/>
        </w:rPr>
        <w:t xml:space="preserve"> </w:t>
      </w:r>
      <w:r w:rsidRPr="00B26E6E">
        <w:rPr>
          <w:lang w:eastAsia="ja-JP"/>
        </w:rPr>
        <w:t>There was no dose chang</w:t>
      </w:r>
      <w:r>
        <w:rPr>
          <w:lang w:eastAsia="ja-JP"/>
        </w:rPr>
        <w:t xml:space="preserve">e in bosentan due to haemoglobin </w:t>
      </w:r>
      <w:r w:rsidRPr="00B26E6E">
        <w:rPr>
          <w:lang w:eastAsia="ja-JP"/>
        </w:rPr>
        <w:t>or haematocrit decreases in any</w:t>
      </w:r>
      <w:r>
        <w:rPr>
          <w:lang w:eastAsia="ja-JP"/>
        </w:rPr>
        <w:t xml:space="preserve"> </w:t>
      </w:r>
      <w:r w:rsidRPr="00B26E6E">
        <w:rPr>
          <w:lang w:eastAsia="ja-JP"/>
        </w:rPr>
        <w:t>of these patients.</w:t>
      </w:r>
      <w:r>
        <w:rPr>
          <w:lang w:eastAsia="ja-JP"/>
        </w:rPr>
        <w:t xml:space="preserve"> In </w:t>
      </w:r>
      <w:r w:rsidRPr="001053A4">
        <w:rPr>
          <w:lang w:eastAsia="ja-JP"/>
        </w:rPr>
        <w:t xml:space="preserve">3 patients, haemoglobin </w:t>
      </w:r>
      <w:r w:rsidRPr="001053A4">
        <w:rPr>
          <w:lang w:eastAsia="ja-JP"/>
        </w:rPr>
        <w:lastRenderedPageBreak/>
        <w:t xml:space="preserve">values were above </w:t>
      </w:r>
      <w:r>
        <w:rPr>
          <w:lang w:eastAsia="ja-JP"/>
        </w:rPr>
        <w:t xml:space="preserve">ULN at baseline, decreased to a </w:t>
      </w:r>
      <w:r w:rsidRPr="001053A4">
        <w:rPr>
          <w:lang w:eastAsia="ja-JP"/>
        </w:rPr>
        <w:t>notable extent but remained within the reference range during the treatment period</w:t>
      </w:r>
      <w:r>
        <w:rPr>
          <w:lang w:eastAsia="ja-JP"/>
        </w:rPr>
        <w:t>.</w:t>
      </w:r>
    </w:p>
    <w:p w14:paraId="3C621F82" w14:textId="77777777" w:rsidR="00DA470C" w:rsidRPr="00093207" w:rsidRDefault="00DA470C" w:rsidP="00093207">
      <w:pPr>
        <w:pStyle w:val="Heading4"/>
      </w:pPr>
      <w:bookmarkStart w:id="433" w:name="_Toc272414674"/>
      <w:bookmarkStart w:id="434" w:name="_Toc290888538"/>
      <w:bookmarkStart w:id="435" w:name="_Toc416353753"/>
      <w:bookmarkStart w:id="436" w:name="_Toc421005296"/>
      <w:bookmarkStart w:id="437" w:name="_Toc432079173"/>
      <w:bookmarkStart w:id="438" w:name="_Toc432080746"/>
      <w:r w:rsidRPr="00093207">
        <w:t>Other laboratory test</w:t>
      </w:r>
      <w:bookmarkEnd w:id="433"/>
      <w:bookmarkEnd w:id="434"/>
      <w:bookmarkEnd w:id="435"/>
      <w:bookmarkEnd w:id="436"/>
      <w:bookmarkEnd w:id="437"/>
      <w:bookmarkEnd w:id="438"/>
      <w:r w:rsidRPr="00093207">
        <w:t>s</w:t>
      </w:r>
    </w:p>
    <w:p w14:paraId="1B5F936C" w14:textId="77777777" w:rsidR="00DA470C" w:rsidRPr="00DA470C" w:rsidRDefault="00DA470C" w:rsidP="00DA470C">
      <w:pPr>
        <w:pStyle w:val="Heading5"/>
      </w:pPr>
      <w:r w:rsidRPr="00DA470C">
        <w:t>Integrated safety analyses</w:t>
      </w:r>
    </w:p>
    <w:p w14:paraId="3CA75DDE" w14:textId="77777777" w:rsidR="00DA470C" w:rsidRDefault="00DA470C" w:rsidP="00DA470C">
      <w:pPr>
        <w:rPr>
          <w:lang w:eastAsia="ja-JP"/>
        </w:rPr>
      </w:pPr>
      <w:r>
        <w:rPr>
          <w:lang w:eastAsia="ja-JP"/>
        </w:rPr>
        <w:t>No analysis of the other laboratory tests was included in the integrated safety analysis.</w:t>
      </w:r>
    </w:p>
    <w:p w14:paraId="7BC8D9FF" w14:textId="77777777" w:rsidR="00DA470C" w:rsidRPr="00DA470C" w:rsidRDefault="00DA470C" w:rsidP="00DA470C">
      <w:pPr>
        <w:pStyle w:val="Heading5"/>
      </w:pPr>
      <w:r w:rsidRPr="00DA470C">
        <w:t>Main/pivotal studies that assessed safety as the sole primary outcome</w:t>
      </w:r>
    </w:p>
    <w:p w14:paraId="63600F5C" w14:textId="219642A5" w:rsidR="00DA470C" w:rsidRPr="00DA470C" w:rsidRDefault="00DA470C" w:rsidP="00DA470C">
      <w:pPr>
        <w:pStyle w:val="Heading6"/>
      </w:pPr>
      <w:r w:rsidRPr="00DA470C">
        <w:t>FUTURE-4 extension</w:t>
      </w:r>
      <w:r w:rsidR="00E352DD">
        <w:t xml:space="preserve"> study</w:t>
      </w:r>
    </w:p>
    <w:p w14:paraId="773A22D9" w14:textId="77777777" w:rsidR="00DA470C" w:rsidRDefault="00DA470C" w:rsidP="00DA470C">
      <w:pPr>
        <w:rPr>
          <w:lang w:eastAsia="ja-JP"/>
        </w:rPr>
      </w:pPr>
      <w:r w:rsidRPr="00B370A6">
        <w:rPr>
          <w:lang w:eastAsia="ja-JP"/>
        </w:rPr>
        <w:t xml:space="preserve">No evaluation of laboratory variables was performed in the </w:t>
      </w:r>
      <w:r w:rsidR="0066478A">
        <w:rPr>
          <w:lang w:eastAsia="ja-JP"/>
        </w:rPr>
        <w:t>study</w:t>
      </w:r>
      <w:r w:rsidRPr="00B370A6">
        <w:rPr>
          <w:i/>
          <w:iCs/>
          <w:lang w:eastAsia="ja-JP"/>
        </w:rPr>
        <w:t>.</w:t>
      </w:r>
    </w:p>
    <w:p w14:paraId="0C57C44A" w14:textId="77777777" w:rsidR="00DA470C" w:rsidRPr="00DA470C" w:rsidRDefault="00DA470C" w:rsidP="00DA470C">
      <w:pPr>
        <w:pStyle w:val="Heading5"/>
      </w:pPr>
      <w:r w:rsidRPr="00DA470C">
        <w:t>Other studies</w:t>
      </w:r>
    </w:p>
    <w:p w14:paraId="1E11FC43" w14:textId="77777777" w:rsidR="00DA470C" w:rsidRPr="00DA470C" w:rsidRDefault="00A2508E" w:rsidP="00DA470C">
      <w:pPr>
        <w:pStyle w:val="Heading6"/>
      </w:pPr>
      <w:r>
        <w:t xml:space="preserve">Study </w:t>
      </w:r>
      <w:r w:rsidR="00DA470C" w:rsidRPr="00DA470C">
        <w:t>AC-052-116</w:t>
      </w:r>
    </w:p>
    <w:p w14:paraId="330764B7" w14:textId="77777777" w:rsidR="00DA470C" w:rsidRDefault="00DA470C" w:rsidP="00DA470C">
      <w:pPr>
        <w:rPr>
          <w:lang w:eastAsia="ja-JP"/>
        </w:rPr>
      </w:pPr>
      <w:r w:rsidRPr="00B47DBB">
        <w:rPr>
          <w:lang w:eastAsia="ja-JP"/>
        </w:rPr>
        <w:t>Urinalysis was performed at screening and D-1. All values were normal or slightly</w:t>
      </w:r>
      <w:r>
        <w:rPr>
          <w:lang w:eastAsia="ja-JP"/>
        </w:rPr>
        <w:t xml:space="preserve"> </w:t>
      </w:r>
      <w:r w:rsidRPr="00B47DBB">
        <w:rPr>
          <w:lang w:eastAsia="ja-JP"/>
        </w:rPr>
        <w:t>out-of-range but without clinical significance.</w:t>
      </w:r>
    </w:p>
    <w:p w14:paraId="3DAF9A2C" w14:textId="77777777" w:rsidR="00DA470C" w:rsidRPr="00DA470C" w:rsidRDefault="00DA470C" w:rsidP="00DA470C">
      <w:pPr>
        <w:pStyle w:val="Heading4"/>
      </w:pPr>
      <w:bookmarkStart w:id="439" w:name="_Toc272414675"/>
      <w:bookmarkStart w:id="440" w:name="_Toc290888539"/>
      <w:bookmarkStart w:id="441" w:name="_Toc416353754"/>
      <w:bookmarkStart w:id="442" w:name="_Toc421005297"/>
      <w:bookmarkStart w:id="443" w:name="_Toc432079174"/>
      <w:bookmarkStart w:id="444" w:name="_Toc432080747"/>
      <w:r w:rsidRPr="00DA470C">
        <w:t>Electrocardiograph</w:t>
      </w:r>
      <w:bookmarkEnd w:id="439"/>
      <w:bookmarkEnd w:id="440"/>
      <w:bookmarkEnd w:id="441"/>
      <w:bookmarkEnd w:id="442"/>
      <w:r w:rsidRPr="00DA470C">
        <w:t xml:space="preserve"> findings and cardiovascular safety</w:t>
      </w:r>
      <w:bookmarkEnd w:id="443"/>
      <w:bookmarkEnd w:id="444"/>
    </w:p>
    <w:p w14:paraId="14BA4DB9" w14:textId="77777777" w:rsidR="00DA470C" w:rsidRPr="00DA470C" w:rsidRDefault="00DA470C" w:rsidP="00DA470C">
      <w:pPr>
        <w:pStyle w:val="Heading5"/>
      </w:pPr>
      <w:r w:rsidRPr="00DA470C">
        <w:t>Integrated safety analyses</w:t>
      </w:r>
    </w:p>
    <w:p w14:paraId="4A446D7A" w14:textId="77777777" w:rsidR="00DA470C" w:rsidRDefault="00DA470C" w:rsidP="00DA470C">
      <w:pPr>
        <w:rPr>
          <w:lang w:eastAsia="ja-JP"/>
        </w:rPr>
      </w:pPr>
      <w:r>
        <w:rPr>
          <w:lang w:eastAsia="ja-JP"/>
        </w:rPr>
        <w:t>No analysis of ECG parameters was included in the integrated safety analysis.</w:t>
      </w:r>
    </w:p>
    <w:p w14:paraId="3E28AECC" w14:textId="77777777" w:rsidR="00DA470C" w:rsidRPr="00DA470C" w:rsidRDefault="00DA470C" w:rsidP="00DA470C">
      <w:pPr>
        <w:pStyle w:val="Heading5"/>
      </w:pPr>
      <w:r w:rsidRPr="00DA470C">
        <w:t>Main/pivotal studies that assessed safety as the sole primary outcome</w:t>
      </w:r>
    </w:p>
    <w:p w14:paraId="39C69AE8" w14:textId="1C876FF6" w:rsidR="00DA470C" w:rsidRPr="00DA470C" w:rsidRDefault="00DA470C" w:rsidP="00DA470C">
      <w:pPr>
        <w:pStyle w:val="Heading6"/>
      </w:pPr>
      <w:r w:rsidRPr="00DA470C">
        <w:t>FUTURE-4 extension</w:t>
      </w:r>
      <w:r w:rsidR="00E352DD">
        <w:t xml:space="preserve"> study</w:t>
      </w:r>
    </w:p>
    <w:p w14:paraId="1331851C" w14:textId="77777777" w:rsidR="00DA470C" w:rsidRDefault="00DA470C" w:rsidP="00DA470C">
      <w:pPr>
        <w:rPr>
          <w:lang w:eastAsia="ja-JP"/>
        </w:rPr>
      </w:pPr>
      <w:r w:rsidRPr="00B370A6">
        <w:rPr>
          <w:lang w:eastAsia="ja-JP"/>
        </w:rPr>
        <w:t>No evaluation of</w:t>
      </w:r>
      <w:r>
        <w:rPr>
          <w:lang w:eastAsia="ja-JP"/>
        </w:rPr>
        <w:t xml:space="preserve"> ECGs was performed in the </w:t>
      </w:r>
      <w:r w:rsidR="0066478A">
        <w:rPr>
          <w:lang w:eastAsia="ja-JP"/>
        </w:rPr>
        <w:t>study</w:t>
      </w:r>
      <w:r>
        <w:rPr>
          <w:lang w:eastAsia="ja-JP"/>
        </w:rPr>
        <w:t>.</w:t>
      </w:r>
    </w:p>
    <w:p w14:paraId="6DCC39F1" w14:textId="77777777" w:rsidR="00DA470C" w:rsidRPr="00DA470C" w:rsidRDefault="00DA470C" w:rsidP="00DA470C">
      <w:pPr>
        <w:pStyle w:val="Heading5"/>
      </w:pPr>
      <w:r w:rsidRPr="00DA470C">
        <w:t>Pivotal and/or main efficacy studies</w:t>
      </w:r>
    </w:p>
    <w:p w14:paraId="4ED7CA49" w14:textId="12DEF6CE" w:rsidR="00DA470C" w:rsidRPr="00DA470C" w:rsidRDefault="00DA470C" w:rsidP="00DA470C">
      <w:pPr>
        <w:pStyle w:val="Heading6"/>
      </w:pPr>
      <w:r w:rsidRPr="00DA470C">
        <w:t>FUTURE-4</w:t>
      </w:r>
      <w:r w:rsidR="00E352DD">
        <w:t xml:space="preserve"> study</w:t>
      </w:r>
    </w:p>
    <w:p w14:paraId="4778368C" w14:textId="77777777" w:rsidR="00DA470C" w:rsidRPr="00E07C13" w:rsidRDefault="00DA470C" w:rsidP="00DA470C">
      <w:r>
        <w:t>No cases of treatment emergent ECG abnormalities were reported.</w:t>
      </w:r>
    </w:p>
    <w:p w14:paraId="69D18581" w14:textId="77777777" w:rsidR="00DA470C" w:rsidRPr="00DA470C" w:rsidRDefault="00DA470C" w:rsidP="00DA470C">
      <w:pPr>
        <w:pStyle w:val="Heading5"/>
      </w:pPr>
      <w:r w:rsidRPr="00DA470C">
        <w:t>Other studies</w:t>
      </w:r>
    </w:p>
    <w:p w14:paraId="25FB8E3E" w14:textId="77777777" w:rsidR="00DA470C" w:rsidRPr="00DA470C" w:rsidRDefault="00A2508E" w:rsidP="00DA470C">
      <w:pPr>
        <w:pStyle w:val="Heading6"/>
      </w:pPr>
      <w:r>
        <w:t xml:space="preserve">Study </w:t>
      </w:r>
      <w:r w:rsidR="00DA470C" w:rsidRPr="00DA470C">
        <w:t>AC-052-116</w:t>
      </w:r>
    </w:p>
    <w:p w14:paraId="3E8C94F9" w14:textId="77777777" w:rsidR="00DA470C" w:rsidRPr="00B47DBB" w:rsidRDefault="00DA470C" w:rsidP="00DA470C">
      <w:pPr>
        <w:rPr>
          <w:lang w:eastAsia="ja-JP"/>
        </w:rPr>
      </w:pPr>
      <w:r w:rsidRPr="00B47DBB">
        <w:rPr>
          <w:lang w:eastAsia="ja-JP"/>
        </w:rPr>
        <w:t xml:space="preserve">No clinically relevant changes from baseline values were detected for </w:t>
      </w:r>
      <w:r>
        <w:rPr>
          <w:lang w:eastAsia="ja-JP"/>
        </w:rPr>
        <w:t>heart rate</w:t>
      </w:r>
      <w:r w:rsidRPr="00B47DBB">
        <w:rPr>
          <w:lang w:eastAsia="ja-JP"/>
        </w:rPr>
        <w:t>, PR, QRS,</w:t>
      </w:r>
      <w:r>
        <w:rPr>
          <w:lang w:eastAsia="ja-JP"/>
        </w:rPr>
        <w:t xml:space="preserve"> </w:t>
      </w:r>
      <w:r w:rsidRPr="00B47DBB">
        <w:rPr>
          <w:lang w:eastAsia="ja-JP"/>
        </w:rPr>
        <w:t>QT, QTcB, and QTcF intervals.</w:t>
      </w:r>
      <w:r>
        <w:rPr>
          <w:lang w:eastAsia="ja-JP"/>
        </w:rPr>
        <w:t xml:space="preserve"> </w:t>
      </w:r>
      <w:r w:rsidRPr="00B47DBB">
        <w:rPr>
          <w:lang w:eastAsia="ja-JP"/>
        </w:rPr>
        <w:t>Seven subjects</w:t>
      </w:r>
      <w:r>
        <w:rPr>
          <w:lang w:eastAsia="ja-JP"/>
        </w:rPr>
        <w:t xml:space="preserve"> </w:t>
      </w:r>
      <w:r w:rsidRPr="00B47DBB">
        <w:rPr>
          <w:lang w:eastAsia="ja-JP"/>
        </w:rPr>
        <w:t>reported eight abnormalities, judged not clinically significant by the investigator:</w:t>
      </w:r>
    </w:p>
    <w:p w14:paraId="323BF3FE" w14:textId="77777777" w:rsidR="00DA470C" w:rsidRPr="00B47DBB" w:rsidRDefault="00DA470C" w:rsidP="00DA470C">
      <w:pPr>
        <w:pStyle w:val="ListBullet"/>
        <w:rPr>
          <w:lang w:eastAsia="ja-JP"/>
        </w:rPr>
      </w:pPr>
      <w:r w:rsidRPr="00B47DBB">
        <w:rPr>
          <w:lang w:eastAsia="ja-JP"/>
        </w:rPr>
        <w:t>Atrioventricular block first degree (1 episode in Period B),</w:t>
      </w:r>
    </w:p>
    <w:p w14:paraId="410C2174" w14:textId="77777777" w:rsidR="00DA470C" w:rsidRPr="00B47DBB" w:rsidRDefault="00DA470C" w:rsidP="00DA470C">
      <w:pPr>
        <w:pStyle w:val="ListBullet"/>
        <w:rPr>
          <w:lang w:eastAsia="ja-JP"/>
        </w:rPr>
      </w:pPr>
      <w:r w:rsidRPr="00B47DBB">
        <w:rPr>
          <w:lang w:eastAsia="ja-JP"/>
        </w:rPr>
        <w:t>Incomplete right bundle branch block (1 episode in Period A),</w:t>
      </w:r>
    </w:p>
    <w:p w14:paraId="096C323D" w14:textId="77777777" w:rsidR="00DA470C" w:rsidRPr="00B47DBB" w:rsidRDefault="00DA470C" w:rsidP="00DA470C">
      <w:pPr>
        <w:pStyle w:val="ListBullet"/>
        <w:rPr>
          <w:lang w:eastAsia="ja-JP"/>
        </w:rPr>
      </w:pPr>
      <w:r w:rsidRPr="00B47DBB">
        <w:rPr>
          <w:lang w:eastAsia="ja-JP"/>
        </w:rPr>
        <w:t>Sinus arrhythmia (3 episodes, 1 in Period A and 2 in Period B),</w:t>
      </w:r>
    </w:p>
    <w:p w14:paraId="16D0127F" w14:textId="77777777" w:rsidR="00DA470C" w:rsidRDefault="00DA470C" w:rsidP="00DA470C">
      <w:pPr>
        <w:pStyle w:val="ListBullet"/>
        <w:rPr>
          <w:lang w:eastAsia="ja-JP"/>
        </w:rPr>
      </w:pPr>
      <w:r w:rsidRPr="00B47DBB">
        <w:rPr>
          <w:lang w:eastAsia="ja-JP"/>
        </w:rPr>
        <w:t>Sinus bradycardia (3 episodes, 1 in Period A and 2 in Period B).</w:t>
      </w:r>
    </w:p>
    <w:p w14:paraId="47625ECA" w14:textId="77777777" w:rsidR="00DA470C" w:rsidRPr="00DA470C" w:rsidRDefault="00A2508E" w:rsidP="00DA470C">
      <w:pPr>
        <w:pStyle w:val="Heading6"/>
      </w:pPr>
      <w:r>
        <w:t xml:space="preserve">Study </w:t>
      </w:r>
      <w:r w:rsidR="00DA470C" w:rsidRPr="00DA470C">
        <w:t>AC-052-365 FUTURE-1</w:t>
      </w:r>
    </w:p>
    <w:p w14:paraId="23DB3E41" w14:textId="77777777" w:rsidR="00DA470C" w:rsidRPr="000A1E36" w:rsidRDefault="00DA470C" w:rsidP="00DA470C">
      <w:r>
        <w:t xml:space="preserve">There were no clinically relevant changes related to </w:t>
      </w:r>
      <w:r w:rsidR="0066478A">
        <w:t>study</w:t>
      </w:r>
      <w:r>
        <w:t xml:space="preserve"> treatment. A small mean increase, </w:t>
      </w:r>
      <w:r w:rsidRPr="000A1E36">
        <w:t>consistent with the evolution and related complications of the right ventricular hypertrophy, was observed for the QRS and the QTc duration. There were also no individual clinically relevant QTc changes. At baseline, right ventricular hypertrophy was common in approximately half of the patients, indicating advanced underlying disease. Few new ECG abnormalities emerged during treatment, and these also reflected right ventricular hypertrophy. One patient developed right bundle branch block.</w:t>
      </w:r>
    </w:p>
    <w:p w14:paraId="2CF01968" w14:textId="61AFD210" w:rsidR="00DA470C" w:rsidRPr="00DA470C" w:rsidRDefault="00A2508E" w:rsidP="00DA470C">
      <w:pPr>
        <w:pStyle w:val="Heading6"/>
      </w:pPr>
      <w:r>
        <w:lastRenderedPageBreak/>
        <w:t xml:space="preserve">Study </w:t>
      </w:r>
      <w:r w:rsidR="00DA470C" w:rsidRPr="00DA470C">
        <w:t xml:space="preserve">AC-052-373 </w:t>
      </w:r>
      <w:r w:rsidR="00E352DD">
        <w:t>(</w:t>
      </w:r>
      <w:r w:rsidR="00DA470C" w:rsidRPr="00DA470C">
        <w:t>FUTURE-3</w:t>
      </w:r>
      <w:r w:rsidR="00E352DD">
        <w:t>)</w:t>
      </w:r>
    </w:p>
    <w:p w14:paraId="120B83CD" w14:textId="03FBB21F" w:rsidR="00DA470C" w:rsidRDefault="00DA470C" w:rsidP="00DA470C">
      <w:r w:rsidRPr="00DA470C">
        <w:t xml:space="preserve">Mean changes in heart rate and PR interval from baseline to Weeks 12 and 24 were similar in the </w:t>
      </w:r>
      <w:r w:rsidR="007C6D8D">
        <w:t>BD</w:t>
      </w:r>
      <w:r w:rsidRPr="00DA470C">
        <w:t xml:space="preserve"> and </w:t>
      </w:r>
      <w:r w:rsidR="007C6D8D">
        <w:t>TDS</w:t>
      </w:r>
      <w:r w:rsidRPr="00DA470C">
        <w:t xml:space="preserve"> groups in the overall population and age groups. These changes were considered</w:t>
      </w:r>
      <w:r w:rsidRPr="00C30833">
        <w:t xml:space="preserve"> to be not clinical</w:t>
      </w:r>
      <w:r>
        <w:t>ly relevant</w:t>
      </w:r>
      <w:r w:rsidRPr="00C30833">
        <w:t>.</w:t>
      </w:r>
      <w:r>
        <w:t xml:space="preserve"> In the </w:t>
      </w:r>
      <w:r w:rsidR="007C6D8D">
        <w:t>BD</w:t>
      </w:r>
      <w:r>
        <w:t xml:space="preserve"> and </w:t>
      </w:r>
      <w:r w:rsidR="007C6D8D">
        <w:t>TDS</w:t>
      </w:r>
      <w:r w:rsidRPr="00C30833">
        <w:t xml:space="preserve"> groups, mean changes in QT interval (ms) from baseline were</w:t>
      </w:r>
      <w:r>
        <w:t xml:space="preserve"> </w:t>
      </w:r>
      <w:r w:rsidRPr="00C30833">
        <w:t xml:space="preserve">-1.4 ms and </w:t>
      </w:r>
      <w:r w:rsidRPr="00C30833">
        <w:rPr>
          <w:rFonts w:hint="eastAsia"/>
        </w:rPr>
        <w:t>–</w:t>
      </w:r>
      <w:r w:rsidRPr="00C30833">
        <w:t xml:space="preserve">6.0 ms, respectively, at Week 12 and </w:t>
      </w:r>
      <w:r w:rsidRPr="00C30833">
        <w:rPr>
          <w:rFonts w:hint="eastAsia"/>
        </w:rPr>
        <w:t>–</w:t>
      </w:r>
      <w:r w:rsidRPr="00C30833">
        <w:t>4.9 ms and 8.3 ms, respectively, at</w:t>
      </w:r>
      <w:r>
        <w:t xml:space="preserve"> </w:t>
      </w:r>
      <w:r w:rsidRPr="00C30833">
        <w:t>Week 24. None of the reported mean changes from baseline in QTcB and QTcF were</w:t>
      </w:r>
      <w:r>
        <w:t xml:space="preserve"> </w:t>
      </w:r>
      <w:r w:rsidRPr="00C30833">
        <w:t>considered to be of clinical relevance.</w:t>
      </w:r>
      <w:r>
        <w:t xml:space="preserve"> </w:t>
      </w:r>
      <w:r w:rsidRPr="00C30833">
        <w:t xml:space="preserve">QTcF prolongation to </w:t>
      </w:r>
      <w:r w:rsidR="00CF6063">
        <w:t xml:space="preserve">&gt; </w:t>
      </w:r>
      <w:r w:rsidRPr="00C30833">
        <w:t>450 ms occurred for</w:t>
      </w:r>
      <w:r>
        <w:t xml:space="preserve"> 2 patients in the </w:t>
      </w:r>
      <w:r w:rsidR="007C6D8D">
        <w:t>BD</w:t>
      </w:r>
      <w:r w:rsidRPr="00C30833">
        <w:t xml:space="preserve"> </w:t>
      </w:r>
      <w:r>
        <w:t xml:space="preserve">group and 3 patients in the </w:t>
      </w:r>
      <w:r w:rsidR="007C6D8D">
        <w:t>TDS</w:t>
      </w:r>
      <w:r w:rsidRPr="00C30833">
        <w:t xml:space="preserve"> group. QTcF</w:t>
      </w:r>
      <w:r>
        <w:t xml:space="preserve"> </w:t>
      </w:r>
      <w:r w:rsidRPr="00C30833">
        <w:t xml:space="preserve">prolongation to </w:t>
      </w:r>
      <w:r w:rsidR="00CF6063">
        <w:t xml:space="preserve">&gt; </w:t>
      </w:r>
      <w:r w:rsidRPr="00C30833">
        <w:t>480 ms was rep</w:t>
      </w:r>
      <w:r>
        <w:t xml:space="preserve">orted for 2 patients in the </w:t>
      </w:r>
      <w:r w:rsidR="007C6D8D">
        <w:t>BD</w:t>
      </w:r>
      <w:r w:rsidRPr="00C30833">
        <w:t xml:space="preserve"> group and 1 patient in the</w:t>
      </w:r>
      <w:r>
        <w:t xml:space="preserve"> </w:t>
      </w:r>
      <w:r w:rsidR="007C6D8D">
        <w:t>TDS</w:t>
      </w:r>
      <w:r>
        <w:t xml:space="preserve"> group</w:t>
      </w:r>
      <w:r w:rsidRPr="00C30833">
        <w:t xml:space="preserve">. QTcF prolongation to </w:t>
      </w:r>
      <w:r w:rsidR="00CF6063">
        <w:t>&gt;</w:t>
      </w:r>
      <w:r w:rsidR="00E352DD">
        <w:t> </w:t>
      </w:r>
      <w:r w:rsidRPr="00C30833">
        <w:t>500 ms was repo</w:t>
      </w:r>
      <w:r>
        <w:t xml:space="preserve">rted for one patient in the </w:t>
      </w:r>
      <w:r w:rsidR="007C6D8D">
        <w:t>BD</w:t>
      </w:r>
      <w:r>
        <w:t xml:space="preserve"> group</w:t>
      </w:r>
      <w:r w:rsidRPr="00C30833">
        <w:t>.</w:t>
      </w:r>
      <w:r>
        <w:t xml:space="preserve"> </w:t>
      </w:r>
      <w:r w:rsidRPr="00C30833">
        <w:t xml:space="preserve">Increases in QTcF of </w:t>
      </w:r>
      <w:r w:rsidR="00CF6063">
        <w:t xml:space="preserve">&gt; </w:t>
      </w:r>
      <w:r w:rsidRPr="00C30833">
        <w:t xml:space="preserve">30 ms that resulted in values </w:t>
      </w:r>
      <w:r w:rsidR="00CF6063">
        <w:t xml:space="preserve">&gt; </w:t>
      </w:r>
      <w:r w:rsidRPr="00C30833">
        <w:t>450 ms were reported for 2 patients</w:t>
      </w:r>
      <w:r>
        <w:t xml:space="preserve"> each in the </w:t>
      </w:r>
      <w:r w:rsidR="007C6D8D">
        <w:t>BD</w:t>
      </w:r>
      <w:r>
        <w:t xml:space="preserve"> and </w:t>
      </w:r>
      <w:r w:rsidR="007C6D8D">
        <w:t>TDS</w:t>
      </w:r>
      <w:r w:rsidRPr="00C30833">
        <w:t xml:space="preserve"> groups (all </w:t>
      </w:r>
      <w:r w:rsidR="007C6D8D">
        <w:t>≥</w:t>
      </w:r>
      <w:r w:rsidR="00E352DD">
        <w:t> </w:t>
      </w:r>
      <w:r w:rsidRPr="00C30833">
        <w:t>2</w:t>
      </w:r>
      <w:r w:rsidR="00E352DD">
        <w:t> </w:t>
      </w:r>
      <w:r w:rsidRPr="00C30833">
        <w:t>years).</w:t>
      </w:r>
      <w:r>
        <w:t xml:space="preserve"> </w:t>
      </w:r>
      <w:r w:rsidRPr="00C30833">
        <w:t>No clinically relevant mean changes from baseline for the QRS interval were observed in</w:t>
      </w:r>
      <w:r>
        <w:t xml:space="preserve"> </w:t>
      </w:r>
      <w:r w:rsidRPr="00C30833">
        <w:t>either group.</w:t>
      </w:r>
    </w:p>
    <w:p w14:paraId="5ECBFADB" w14:textId="77777777" w:rsidR="00DA470C" w:rsidRDefault="00DA470C" w:rsidP="00DA470C">
      <w:r w:rsidRPr="00C30833">
        <w:t xml:space="preserve">The proportions of patients with </w:t>
      </w:r>
      <w:r w:rsidR="00A5161C">
        <w:t>treatment emergent</w:t>
      </w:r>
      <w:r w:rsidRPr="00C30833">
        <w:t xml:space="preserve"> ECG abnormalities were 69.7% and</w:t>
      </w:r>
      <w:r>
        <w:t xml:space="preserve"> 54.8% in the </w:t>
      </w:r>
      <w:r w:rsidR="007C6D8D">
        <w:t>BD</w:t>
      </w:r>
      <w:r>
        <w:t xml:space="preserve"> and </w:t>
      </w:r>
      <w:r w:rsidR="007C6D8D">
        <w:t>TDS</w:t>
      </w:r>
      <w:r w:rsidRPr="00C30833">
        <w:t xml:space="preserve"> groups, respectively</w:t>
      </w:r>
      <w:r>
        <w:t xml:space="preserve"> (</w:t>
      </w:r>
      <w:r w:rsidR="00D81D7C">
        <w:t>Table 78</w:t>
      </w:r>
      <w:r>
        <w:t>)</w:t>
      </w:r>
      <w:r w:rsidRPr="00C30833">
        <w:t xml:space="preserve">. </w:t>
      </w:r>
      <w:r>
        <w:t xml:space="preserve">No patient discontinued </w:t>
      </w:r>
      <w:r w:rsidR="0066478A">
        <w:t>study</w:t>
      </w:r>
      <w:r>
        <w:t xml:space="preserve"> </w:t>
      </w:r>
      <w:r w:rsidRPr="00C30833">
        <w:t>drug due to any of these ECG abnormalities, and none were reported as AEs.</w:t>
      </w:r>
      <w:r>
        <w:t xml:space="preserve"> </w:t>
      </w:r>
      <w:r w:rsidRPr="00C30833">
        <w:t>The proportion of patients with ECG abnor</w:t>
      </w:r>
      <w:r>
        <w:t xml:space="preserve">malities was similar in the </w:t>
      </w:r>
      <w:r w:rsidR="007C6D8D">
        <w:t>BD</w:t>
      </w:r>
      <w:r>
        <w:t xml:space="preserve"> and </w:t>
      </w:r>
      <w:r w:rsidR="007C6D8D">
        <w:t>TDS</w:t>
      </w:r>
      <w:r>
        <w:t xml:space="preserve"> </w:t>
      </w:r>
      <w:r w:rsidRPr="00C30833">
        <w:t>groups across both age gro</w:t>
      </w:r>
      <w:r>
        <w:t xml:space="preserve">ups: 62.8% </w:t>
      </w:r>
      <w:r w:rsidRPr="00C30833">
        <w:t xml:space="preserve">in patients </w:t>
      </w:r>
      <w:r w:rsidR="007C6D8D">
        <w:t>≥</w:t>
      </w:r>
      <w:r w:rsidR="00CF6063">
        <w:t xml:space="preserve"> </w:t>
      </w:r>
      <w:r>
        <w:t xml:space="preserve">2 years </w:t>
      </w:r>
      <w:r w:rsidRPr="00C30833">
        <w:t>and 61.9% in patients &lt; 2 years</w:t>
      </w:r>
      <w:r>
        <w:t>.</w:t>
      </w:r>
    </w:p>
    <w:p w14:paraId="526383EA" w14:textId="77777777" w:rsidR="00DA470C" w:rsidRPr="00C30833" w:rsidRDefault="00DA470C" w:rsidP="00DA470C">
      <w:pPr>
        <w:pStyle w:val="Tabletitle"/>
      </w:pPr>
      <w:bookmarkStart w:id="445" w:name="_Ref464120418"/>
      <w:bookmarkStart w:id="446" w:name="_Toc473884122"/>
      <w:r>
        <w:t xml:space="preserve">Table </w:t>
      </w:r>
      <w:bookmarkEnd w:id="445"/>
      <w:r w:rsidR="00D81D7C">
        <w:t>78:</w:t>
      </w:r>
      <w:r>
        <w:t xml:space="preserve"> FUTURE-3 </w:t>
      </w:r>
      <w:r w:rsidRPr="00C30833">
        <w:t xml:space="preserve">Summary of </w:t>
      </w:r>
      <w:r w:rsidR="00A5161C">
        <w:t>treatment emergent</w:t>
      </w:r>
      <w:r w:rsidRPr="00C30833">
        <w:t xml:space="preserve"> ECG abnormalities (from findings)</w:t>
      </w:r>
      <w:r>
        <w:t xml:space="preserve"> </w:t>
      </w:r>
      <w:r w:rsidRPr="00C30833">
        <w:t>by frequency; overall age groups, All-treated set</w:t>
      </w:r>
      <w:bookmarkEnd w:id="446"/>
    </w:p>
    <w:p w14:paraId="4EC89879" w14:textId="77777777" w:rsidR="006E0293" w:rsidRDefault="00E3704C" w:rsidP="00287323">
      <w:pPr>
        <w:rPr>
          <w:lang w:eastAsia="ja-JP"/>
        </w:rPr>
      </w:pPr>
      <w:r>
        <w:rPr>
          <w:noProof/>
          <w:lang w:eastAsia="en-AU"/>
        </w:rPr>
        <w:drawing>
          <wp:inline distT="0" distB="0" distL="0" distR="0" wp14:anchorId="0AAF63D7" wp14:editId="0595F385">
            <wp:extent cx="4619625" cy="3105150"/>
            <wp:effectExtent l="0" t="0" r="9525" b="0"/>
            <wp:docPr id="105" name="Picture 105" descr="Table 78: FUTURE-3 Summary of treatment emergent ECG abnormalities (from findings) by frequency; overall age groups,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619625" cy="3105150"/>
                    </a:xfrm>
                    <a:prstGeom prst="rect">
                      <a:avLst/>
                    </a:prstGeom>
                  </pic:spPr>
                </pic:pic>
              </a:graphicData>
            </a:graphic>
          </wp:inline>
        </w:drawing>
      </w:r>
    </w:p>
    <w:p w14:paraId="008E4C74" w14:textId="77777777" w:rsidR="00E3704C" w:rsidRPr="00093207" w:rsidRDefault="00E3704C" w:rsidP="00093207">
      <w:pPr>
        <w:pStyle w:val="Heading4"/>
      </w:pPr>
      <w:bookmarkStart w:id="447" w:name="_Toc272414676"/>
      <w:bookmarkStart w:id="448" w:name="_Toc290888540"/>
      <w:bookmarkStart w:id="449" w:name="_Toc416353755"/>
      <w:bookmarkStart w:id="450" w:name="_Toc421005298"/>
      <w:bookmarkStart w:id="451" w:name="_Toc432079175"/>
      <w:bookmarkStart w:id="452" w:name="_Toc432080748"/>
      <w:r w:rsidRPr="00093207">
        <w:t>Vital signs</w:t>
      </w:r>
      <w:bookmarkEnd w:id="447"/>
      <w:bookmarkEnd w:id="448"/>
      <w:bookmarkEnd w:id="449"/>
      <w:bookmarkEnd w:id="450"/>
      <w:r w:rsidRPr="00093207">
        <w:t xml:space="preserve"> and clinical examination findings</w:t>
      </w:r>
      <w:bookmarkEnd w:id="451"/>
      <w:bookmarkEnd w:id="452"/>
    </w:p>
    <w:p w14:paraId="6E17A03B" w14:textId="77777777" w:rsidR="00E3704C" w:rsidRPr="00E3704C" w:rsidRDefault="00E3704C" w:rsidP="00E3704C">
      <w:pPr>
        <w:pStyle w:val="Heading5"/>
      </w:pPr>
      <w:r w:rsidRPr="00E3704C">
        <w:t>Integrated safety analyses</w:t>
      </w:r>
    </w:p>
    <w:p w14:paraId="1B6AEA14" w14:textId="77777777" w:rsidR="007C6D8D" w:rsidRDefault="00E3704C" w:rsidP="00E3704C">
      <w:pPr>
        <w:rPr>
          <w:lang w:eastAsia="ja-JP"/>
        </w:rPr>
      </w:pPr>
      <w:r>
        <w:rPr>
          <w:lang w:eastAsia="ja-JP"/>
        </w:rPr>
        <w:t xml:space="preserve">No analysis of vital signs was included in the integrated safety analysis. An analysis of patient height over age and change from baseline in post-treatment height Z-scores was included </w:t>
      </w:r>
      <w:r w:rsidRPr="008806DA">
        <w:rPr>
          <w:lang w:eastAsia="ja-JP"/>
        </w:rPr>
        <w:fldChar w:fldCharType="begin"/>
      </w:r>
      <w:r w:rsidRPr="008806DA">
        <w:rPr>
          <w:lang w:eastAsia="ja-JP"/>
        </w:rPr>
        <w:instrText xml:space="preserve"> REF _Ref464480654 \h  \* MERGEFORMAT </w:instrText>
      </w:r>
      <w:r w:rsidRPr="008806DA">
        <w:rPr>
          <w:lang w:eastAsia="ja-JP"/>
        </w:rPr>
      </w:r>
      <w:r w:rsidRPr="008806DA">
        <w:rPr>
          <w:lang w:eastAsia="ja-JP"/>
        </w:rPr>
        <w:fldChar w:fldCharType="separate"/>
      </w:r>
      <w:r w:rsidR="008806DA" w:rsidRPr="008806DA">
        <w:rPr>
          <w:noProof/>
        </w:rPr>
        <w:t>(Figure</w:t>
      </w:r>
      <w:r w:rsidRPr="008806DA">
        <w:rPr>
          <w:lang w:eastAsia="ja-JP"/>
        </w:rPr>
        <w:fldChar w:fldCharType="end"/>
      </w:r>
      <w:r w:rsidR="008806DA" w:rsidRPr="008806DA">
        <w:rPr>
          <w:lang w:eastAsia="ja-JP"/>
        </w:rPr>
        <w:t xml:space="preserve"> 28</w:t>
      </w:r>
      <w:r>
        <w:rPr>
          <w:lang w:eastAsia="ja-JP"/>
        </w:rPr>
        <w:t>). The median change from baseline in height z score at ea</w:t>
      </w:r>
      <w:r w:rsidR="00A2508E">
        <w:rPr>
          <w:lang w:eastAsia="ja-JP"/>
        </w:rPr>
        <w:t>ch visit between 6 months and 5 </w:t>
      </w:r>
      <w:r>
        <w:rPr>
          <w:lang w:eastAsia="ja-JP"/>
        </w:rPr>
        <w:t>years ranged from -0.17 to 0.28</w:t>
      </w:r>
      <w:r w:rsidR="007C6D8D">
        <w:rPr>
          <w:lang w:eastAsia="ja-JP"/>
        </w:rPr>
        <w:t>.</w:t>
      </w:r>
    </w:p>
    <w:p w14:paraId="6FA2BCD5" w14:textId="7A1C0087" w:rsidR="00E3704C" w:rsidRPr="009D70D4" w:rsidRDefault="00E3704C" w:rsidP="00A2508E">
      <w:pPr>
        <w:pStyle w:val="FigureTitle"/>
      </w:pPr>
      <w:bookmarkStart w:id="453" w:name="_Ref464480654"/>
      <w:bookmarkStart w:id="454" w:name="_Toc473884179"/>
      <w:r w:rsidRPr="008806DA">
        <w:lastRenderedPageBreak/>
        <w:t xml:space="preserve">Figure </w:t>
      </w:r>
      <w:bookmarkEnd w:id="453"/>
      <w:r w:rsidR="008806DA" w:rsidRPr="008806DA">
        <w:t>28:</w:t>
      </w:r>
      <w:r w:rsidRPr="008806DA">
        <w:t xml:space="preserve"> Integrated safety analysis Growth Curves: Height </w:t>
      </w:r>
      <w:r w:rsidR="00E352DD" w:rsidRPr="008806DA">
        <w:t>patient profiles over age,</w:t>
      </w:r>
      <w:r w:rsidR="00E352DD" w:rsidRPr="009D70D4">
        <w:t xml:space="preserve"> excluding </w:t>
      </w:r>
      <w:r w:rsidRPr="009D70D4">
        <w:t>Down</w:t>
      </w:r>
      <w:r>
        <w:t xml:space="preserve"> </w:t>
      </w:r>
      <w:r w:rsidR="00E352DD" w:rsidRPr="009D70D4">
        <w:t>syndrome subjects</w:t>
      </w:r>
      <w:bookmarkEnd w:id="454"/>
    </w:p>
    <w:p w14:paraId="513320BA" w14:textId="77777777" w:rsidR="006E0293" w:rsidRDefault="00E3704C" w:rsidP="00287323">
      <w:pPr>
        <w:rPr>
          <w:lang w:eastAsia="ja-JP"/>
        </w:rPr>
      </w:pPr>
      <w:r>
        <w:rPr>
          <w:noProof/>
          <w:lang w:eastAsia="en-AU"/>
        </w:rPr>
        <w:drawing>
          <wp:inline distT="0" distB="0" distL="0" distR="0" wp14:anchorId="64ABE292" wp14:editId="311FF027">
            <wp:extent cx="4943475" cy="6686550"/>
            <wp:effectExtent l="0" t="0" r="9525" b="0"/>
            <wp:docPr id="106" name="Picture 106" descr="Figure 28: Integrated safety analysis Growth Curves: Height Patient Profiles over Age, excluding Down Syndrome Sub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943475" cy="6686550"/>
                    </a:xfrm>
                    <a:prstGeom prst="rect">
                      <a:avLst/>
                    </a:prstGeom>
                  </pic:spPr>
                </pic:pic>
              </a:graphicData>
            </a:graphic>
          </wp:inline>
        </w:drawing>
      </w:r>
    </w:p>
    <w:p w14:paraId="317B6865" w14:textId="77777777" w:rsidR="00E3704C" w:rsidRPr="00E3704C" w:rsidRDefault="00E3704C" w:rsidP="004E5DCA">
      <w:pPr>
        <w:pStyle w:val="Heading5"/>
        <w:numPr>
          <w:ilvl w:val="3"/>
          <w:numId w:val="42"/>
        </w:numPr>
      </w:pPr>
      <w:r w:rsidRPr="00E3704C">
        <w:t>Pivotal studies that assessed safety as the sole primary outcome</w:t>
      </w:r>
    </w:p>
    <w:p w14:paraId="6660C8F3" w14:textId="46E7A34E" w:rsidR="00E3704C" w:rsidRPr="00E3704C" w:rsidRDefault="00E3704C" w:rsidP="00E3704C">
      <w:pPr>
        <w:pStyle w:val="Heading6"/>
      </w:pPr>
      <w:r w:rsidRPr="00E3704C">
        <w:t xml:space="preserve">FUTURE-4 </w:t>
      </w:r>
      <w:r w:rsidR="00E352DD">
        <w:t>e</w:t>
      </w:r>
      <w:r w:rsidRPr="00E3704C">
        <w:t>xtension</w:t>
      </w:r>
      <w:r w:rsidR="00E352DD">
        <w:t xml:space="preserve"> study</w:t>
      </w:r>
    </w:p>
    <w:p w14:paraId="2A09FF73" w14:textId="77777777" w:rsidR="00E3704C" w:rsidRDefault="00E3704C" w:rsidP="00E3704C">
      <w:pPr>
        <w:rPr>
          <w:lang w:eastAsia="ja-JP"/>
        </w:rPr>
      </w:pPr>
      <w:r w:rsidRPr="00B370A6">
        <w:rPr>
          <w:lang w:eastAsia="ja-JP"/>
        </w:rPr>
        <w:t xml:space="preserve">No evaluation of vital signs was performed in the </w:t>
      </w:r>
      <w:r w:rsidR="0066478A">
        <w:rPr>
          <w:lang w:eastAsia="ja-JP"/>
        </w:rPr>
        <w:t>study</w:t>
      </w:r>
      <w:r w:rsidRPr="00B370A6">
        <w:rPr>
          <w:lang w:eastAsia="ja-JP"/>
        </w:rPr>
        <w:t>. The change from baseline to</w:t>
      </w:r>
      <w:r>
        <w:rPr>
          <w:lang w:eastAsia="ja-JP"/>
        </w:rPr>
        <w:t xml:space="preserve"> EoOP in growth variables</w:t>
      </w:r>
      <w:r w:rsidRPr="00B370A6">
        <w:rPr>
          <w:lang w:eastAsia="ja-JP"/>
        </w:rPr>
        <w:t xml:space="preserve"> did not indicate any apparent</w:t>
      </w:r>
      <w:r>
        <w:rPr>
          <w:lang w:eastAsia="ja-JP"/>
        </w:rPr>
        <w:t xml:space="preserve"> </w:t>
      </w:r>
      <w:r w:rsidRPr="00B370A6">
        <w:rPr>
          <w:lang w:eastAsia="ja-JP"/>
        </w:rPr>
        <w:t>difference between ex-bosentan and ex-placebo subjects</w:t>
      </w:r>
      <w:r>
        <w:rPr>
          <w:lang w:eastAsia="ja-JP"/>
        </w:rPr>
        <w:t>.</w:t>
      </w:r>
    </w:p>
    <w:p w14:paraId="5C99AB34" w14:textId="3F70AF6B" w:rsidR="00E3704C" w:rsidRPr="00E3704C" w:rsidRDefault="00E3704C" w:rsidP="00E3704C">
      <w:pPr>
        <w:pStyle w:val="Heading6"/>
      </w:pPr>
      <w:r w:rsidRPr="00E3704C">
        <w:t>FUTURE-2</w:t>
      </w:r>
      <w:r w:rsidR="00E352DD">
        <w:t xml:space="preserve"> study</w:t>
      </w:r>
    </w:p>
    <w:p w14:paraId="0E49CE39" w14:textId="77777777" w:rsidR="00E3704C" w:rsidRPr="00817A89" w:rsidRDefault="00E3704C" w:rsidP="00E3704C">
      <w:pPr>
        <w:rPr>
          <w:lang w:eastAsia="ja-JP"/>
        </w:rPr>
      </w:pPr>
      <w:r w:rsidRPr="00817A89">
        <w:rPr>
          <w:lang w:eastAsia="ja-JP"/>
        </w:rPr>
        <w:t xml:space="preserve">BP and pulse rate were measured at each </w:t>
      </w:r>
      <w:r w:rsidR="0066478A">
        <w:rPr>
          <w:lang w:eastAsia="ja-JP"/>
        </w:rPr>
        <w:t>study</w:t>
      </w:r>
      <w:r w:rsidRPr="00817A89">
        <w:rPr>
          <w:lang w:eastAsia="ja-JP"/>
        </w:rPr>
        <w:t xml:space="preserve"> visit. The pulse rate was within the</w:t>
      </w:r>
      <w:r>
        <w:rPr>
          <w:lang w:eastAsia="ja-JP"/>
        </w:rPr>
        <w:t xml:space="preserve"> expected </w:t>
      </w:r>
      <w:r w:rsidRPr="00817A89">
        <w:rPr>
          <w:lang w:eastAsia="ja-JP"/>
        </w:rPr>
        <w:t xml:space="preserve">range for children &lt; 12 years of age. It decreased slightly from baseline to </w:t>
      </w:r>
      <w:r>
        <w:rPr>
          <w:lang w:eastAsia="ja-JP"/>
        </w:rPr>
        <w:t>EOS</w:t>
      </w:r>
      <w:r w:rsidRPr="00817A89">
        <w:rPr>
          <w:lang w:eastAsia="ja-JP"/>
        </w:rPr>
        <w:t xml:space="preserve"> or premature </w:t>
      </w:r>
      <w:r w:rsidRPr="00817A89">
        <w:rPr>
          <w:lang w:eastAsia="ja-JP"/>
        </w:rPr>
        <w:lastRenderedPageBreak/>
        <w:t xml:space="preserve">discontinuation of </w:t>
      </w:r>
      <w:r w:rsidR="0066478A">
        <w:rPr>
          <w:lang w:eastAsia="ja-JP"/>
        </w:rPr>
        <w:t>study</w:t>
      </w:r>
      <w:r w:rsidRPr="00817A89">
        <w:rPr>
          <w:lang w:eastAsia="ja-JP"/>
        </w:rPr>
        <w:t xml:space="preserve"> drug, possibly reflecting the fact that patients</w:t>
      </w:r>
      <w:r>
        <w:rPr>
          <w:lang w:eastAsia="ja-JP"/>
        </w:rPr>
        <w:t xml:space="preserve"> </w:t>
      </w:r>
      <w:r w:rsidRPr="00817A89">
        <w:rPr>
          <w:lang w:eastAsia="ja-JP"/>
        </w:rPr>
        <w:t>were getting older and therefore approaching an adult pulse rate.</w:t>
      </w:r>
    </w:p>
    <w:p w14:paraId="40791C80" w14:textId="77777777" w:rsidR="00E3704C" w:rsidRPr="00817A89" w:rsidRDefault="00E3704C" w:rsidP="00E3704C">
      <w:pPr>
        <w:rPr>
          <w:lang w:eastAsia="ja-JP"/>
        </w:rPr>
      </w:pPr>
      <w:r w:rsidRPr="00817A89">
        <w:rPr>
          <w:lang w:eastAsia="ja-JP"/>
        </w:rPr>
        <w:t>Both systolic and diastolic BP were within the expected ranges. A minimal mean (SD)</w:t>
      </w:r>
      <w:r>
        <w:rPr>
          <w:lang w:eastAsia="ja-JP"/>
        </w:rPr>
        <w:t xml:space="preserve"> </w:t>
      </w:r>
      <w:r w:rsidRPr="00817A89">
        <w:rPr>
          <w:lang w:eastAsia="ja-JP"/>
        </w:rPr>
        <w:t xml:space="preserve">decrease from baseline to </w:t>
      </w:r>
      <w:r>
        <w:rPr>
          <w:lang w:eastAsia="ja-JP"/>
        </w:rPr>
        <w:t>EOS</w:t>
      </w:r>
      <w:r w:rsidRPr="00817A89">
        <w:rPr>
          <w:lang w:eastAsia="ja-JP"/>
        </w:rPr>
        <w:t xml:space="preserve"> or premature discontinuation of </w:t>
      </w:r>
      <w:r w:rsidR="0066478A">
        <w:rPr>
          <w:lang w:eastAsia="ja-JP"/>
        </w:rPr>
        <w:t>study</w:t>
      </w:r>
      <w:r w:rsidRPr="00817A89">
        <w:rPr>
          <w:lang w:eastAsia="ja-JP"/>
        </w:rPr>
        <w:t xml:space="preserve"> drug</w:t>
      </w:r>
      <w:r>
        <w:rPr>
          <w:lang w:eastAsia="ja-JP"/>
        </w:rPr>
        <w:t xml:space="preserve"> </w:t>
      </w:r>
      <w:r w:rsidRPr="00817A89">
        <w:rPr>
          <w:lang w:eastAsia="ja-JP"/>
        </w:rPr>
        <w:t>(</w:t>
      </w:r>
      <w:r w:rsidR="009C6335">
        <w:rPr>
          <w:lang w:eastAsia="ja-JP"/>
        </w:rPr>
        <w:t>FUTURE-1</w:t>
      </w:r>
      <w:r w:rsidRPr="00817A89">
        <w:rPr>
          <w:lang w:eastAsia="ja-JP"/>
        </w:rPr>
        <w:t xml:space="preserve"> or 2) was observed: </w:t>
      </w:r>
      <w:r w:rsidRPr="00817A89">
        <w:rPr>
          <w:rFonts w:hint="eastAsia"/>
          <w:lang w:eastAsia="ja-JP"/>
        </w:rPr>
        <w:t>−</w:t>
      </w:r>
      <w:r w:rsidRPr="00817A89">
        <w:rPr>
          <w:lang w:eastAsia="ja-JP"/>
        </w:rPr>
        <w:t xml:space="preserve">0.4 (15.38) and </w:t>
      </w:r>
      <w:r w:rsidRPr="00817A89">
        <w:rPr>
          <w:rFonts w:hint="eastAsia"/>
          <w:lang w:eastAsia="ja-JP"/>
        </w:rPr>
        <w:t>−</w:t>
      </w:r>
      <w:r w:rsidRPr="00817A89">
        <w:rPr>
          <w:lang w:eastAsia="ja-JP"/>
        </w:rPr>
        <w:t>1.7 (11.51) mmHg for systolic and</w:t>
      </w:r>
      <w:r>
        <w:rPr>
          <w:lang w:eastAsia="ja-JP"/>
        </w:rPr>
        <w:t xml:space="preserve"> </w:t>
      </w:r>
      <w:r w:rsidRPr="00817A89">
        <w:rPr>
          <w:lang w:eastAsia="ja-JP"/>
        </w:rPr>
        <w:t xml:space="preserve">diastolic BP, respectively. The maximal decreases were </w:t>
      </w:r>
      <w:r w:rsidRPr="00817A89">
        <w:rPr>
          <w:rFonts w:hint="eastAsia"/>
          <w:lang w:eastAsia="ja-JP"/>
        </w:rPr>
        <w:t>−</w:t>
      </w:r>
      <w:r w:rsidRPr="00817A89">
        <w:rPr>
          <w:lang w:eastAsia="ja-JP"/>
        </w:rPr>
        <w:t>4.5 mmHg at 36 months for</w:t>
      </w:r>
      <w:r>
        <w:rPr>
          <w:lang w:eastAsia="ja-JP"/>
        </w:rPr>
        <w:t xml:space="preserve"> </w:t>
      </w:r>
      <w:r w:rsidRPr="00817A89">
        <w:rPr>
          <w:lang w:eastAsia="ja-JP"/>
        </w:rPr>
        <w:t xml:space="preserve">systolic BP and </w:t>
      </w:r>
      <w:r w:rsidRPr="00817A89">
        <w:rPr>
          <w:rFonts w:hint="eastAsia"/>
          <w:lang w:eastAsia="ja-JP"/>
        </w:rPr>
        <w:t>−</w:t>
      </w:r>
      <w:r w:rsidRPr="00817A89">
        <w:rPr>
          <w:lang w:eastAsia="ja-JP"/>
        </w:rPr>
        <w:t>3.3 mmHg at 12 months for diastolic BP, respectively. These decreases are in line with those previously reported in paediatric patients</w:t>
      </w:r>
      <w:r>
        <w:rPr>
          <w:lang w:eastAsia="ja-JP"/>
        </w:rPr>
        <w:t xml:space="preserve"> </w:t>
      </w:r>
      <w:r w:rsidRPr="00817A89">
        <w:rPr>
          <w:lang w:eastAsia="ja-JP"/>
        </w:rPr>
        <w:t>receiving bosentan, and no symptomatic hypotension was recorded.</w:t>
      </w:r>
    </w:p>
    <w:p w14:paraId="01473265" w14:textId="77777777" w:rsidR="00E3704C" w:rsidRPr="00817A89" w:rsidRDefault="00E3704C" w:rsidP="00360E60">
      <w:pPr>
        <w:rPr>
          <w:lang w:eastAsia="ja-JP"/>
        </w:rPr>
      </w:pPr>
      <w:r w:rsidRPr="00817A89">
        <w:rPr>
          <w:lang w:eastAsia="ja-JP"/>
        </w:rPr>
        <w:t xml:space="preserve">Weight and height were recorded at each </w:t>
      </w:r>
      <w:r w:rsidR="0066478A">
        <w:rPr>
          <w:lang w:eastAsia="ja-JP"/>
        </w:rPr>
        <w:t>study</w:t>
      </w:r>
      <w:r w:rsidRPr="00817A89">
        <w:rPr>
          <w:lang w:eastAsia="ja-JP"/>
        </w:rPr>
        <w:t xml:space="preserve"> visit; </w:t>
      </w:r>
      <w:r w:rsidR="00A2508E">
        <w:rPr>
          <w:lang w:eastAsia="ja-JP"/>
        </w:rPr>
        <w:t>height for age</w:t>
      </w:r>
      <w:r w:rsidRPr="00817A89">
        <w:rPr>
          <w:lang w:eastAsia="ja-JP"/>
        </w:rPr>
        <w:t xml:space="preserve"> values were calculated</w:t>
      </w:r>
      <w:r>
        <w:rPr>
          <w:lang w:eastAsia="ja-JP"/>
        </w:rPr>
        <w:t xml:space="preserve"> </w:t>
      </w:r>
      <w:r w:rsidR="00A2508E">
        <w:rPr>
          <w:lang w:eastAsia="ja-JP"/>
        </w:rPr>
        <w:t>by Z</w:t>
      </w:r>
      <w:r w:rsidR="00A2508E">
        <w:rPr>
          <w:lang w:eastAsia="ja-JP"/>
        </w:rPr>
        <w:noBreakHyphen/>
      </w:r>
      <w:r w:rsidRPr="00817A89">
        <w:rPr>
          <w:lang w:eastAsia="ja-JP"/>
        </w:rPr>
        <w:t>score transformation and expressed in SD deviation from standard.</w:t>
      </w:r>
      <w:r>
        <w:rPr>
          <w:lang w:eastAsia="ja-JP"/>
        </w:rPr>
        <w:t xml:space="preserve"> B</w:t>
      </w:r>
      <w:r w:rsidRPr="00817A89">
        <w:rPr>
          <w:lang w:eastAsia="ja-JP"/>
        </w:rPr>
        <w:t xml:space="preserve">oth average weight and height increased over the course of the </w:t>
      </w:r>
      <w:r w:rsidR="0066478A">
        <w:rPr>
          <w:lang w:eastAsia="ja-JP"/>
        </w:rPr>
        <w:t>study</w:t>
      </w:r>
      <w:r w:rsidRPr="00817A89">
        <w:rPr>
          <w:lang w:eastAsia="ja-JP"/>
        </w:rPr>
        <w:t>,</w:t>
      </w:r>
      <w:r>
        <w:rPr>
          <w:lang w:eastAsia="ja-JP"/>
        </w:rPr>
        <w:t xml:space="preserve"> </w:t>
      </w:r>
      <w:r w:rsidRPr="00817A89">
        <w:rPr>
          <w:lang w:eastAsia="ja-JP"/>
        </w:rPr>
        <w:t>reflecting gro</w:t>
      </w:r>
      <w:r w:rsidR="00A2508E">
        <w:rPr>
          <w:lang w:eastAsia="ja-JP"/>
        </w:rPr>
        <w:t xml:space="preserve">wth. The mean Z-score of height for </w:t>
      </w:r>
      <w:r w:rsidRPr="00817A89">
        <w:rPr>
          <w:lang w:eastAsia="ja-JP"/>
        </w:rPr>
        <w:t>age remained constant and slightly</w:t>
      </w:r>
      <w:r>
        <w:rPr>
          <w:lang w:eastAsia="ja-JP"/>
        </w:rPr>
        <w:t xml:space="preserve"> </w:t>
      </w:r>
      <w:r w:rsidRPr="00817A89">
        <w:rPr>
          <w:lang w:eastAsia="ja-JP"/>
        </w:rPr>
        <w:t>below zero.</w:t>
      </w:r>
      <w:r>
        <w:rPr>
          <w:lang w:eastAsia="ja-JP"/>
        </w:rPr>
        <w:t xml:space="preserve"> </w:t>
      </w:r>
      <w:r w:rsidRPr="00817A89">
        <w:rPr>
          <w:lang w:eastAsia="ja-JP"/>
        </w:rPr>
        <w:t xml:space="preserve">Mean </w:t>
      </w:r>
      <w:r w:rsidR="00A2508E">
        <w:rPr>
          <w:lang w:eastAsia="ja-JP"/>
        </w:rPr>
        <w:t>height for age</w:t>
      </w:r>
      <w:r w:rsidRPr="00817A89">
        <w:rPr>
          <w:lang w:eastAsia="ja-JP"/>
        </w:rPr>
        <w:t xml:space="preserve"> Z-scores were slightly below 0 both at baseline and </w:t>
      </w:r>
      <w:r>
        <w:rPr>
          <w:lang w:eastAsia="ja-JP"/>
        </w:rPr>
        <w:t>EOS</w:t>
      </w:r>
      <w:r w:rsidRPr="00817A89">
        <w:rPr>
          <w:lang w:eastAsia="ja-JP"/>
        </w:rPr>
        <w:t xml:space="preserve">/premature discontinuation of </w:t>
      </w:r>
      <w:r w:rsidR="0066478A">
        <w:rPr>
          <w:lang w:eastAsia="ja-JP"/>
        </w:rPr>
        <w:t>study</w:t>
      </w:r>
      <w:r w:rsidRPr="00817A89">
        <w:rPr>
          <w:lang w:eastAsia="ja-JP"/>
        </w:rPr>
        <w:t xml:space="preserve"> drug, indicating a somewhat lower height than</w:t>
      </w:r>
      <w:r>
        <w:rPr>
          <w:lang w:eastAsia="ja-JP"/>
        </w:rPr>
        <w:t xml:space="preserve"> </w:t>
      </w:r>
      <w:r w:rsidRPr="00817A89">
        <w:rPr>
          <w:lang w:eastAsia="ja-JP"/>
        </w:rPr>
        <w:t xml:space="preserve">expected at a given age; however, individual values spanned a wide range, from </w:t>
      </w:r>
      <w:r w:rsidRPr="00817A89">
        <w:rPr>
          <w:rFonts w:hint="eastAsia"/>
          <w:lang w:eastAsia="ja-JP"/>
        </w:rPr>
        <w:t>−</w:t>
      </w:r>
      <w:r w:rsidRPr="00817A89">
        <w:rPr>
          <w:lang w:eastAsia="ja-JP"/>
        </w:rPr>
        <w:t>3.32 to</w:t>
      </w:r>
      <w:r>
        <w:rPr>
          <w:lang w:eastAsia="ja-JP"/>
        </w:rPr>
        <w:t xml:space="preserve"> </w:t>
      </w:r>
      <w:r w:rsidRPr="00817A89">
        <w:rPr>
          <w:lang w:eastAsia="ja-JP"/>
        </w:rPr>
        <w:t xml:space="preserve">3.72 at baseline and from </w:t>
      </w:r>
      <w:r w:rsidRPr="00817A89">
        <w:rPr>
          <w:rFonts w:hint="eastAsia"/>
          <w:lang w:eastAsia="ja-JP"/>
        </w:rPr>
        <w:t>−</w:t>
      </w:r>
      <w:r>
        <w:rPr>
          <w:lang w:eastAsia="ja-JP"/>
        </w:rPr>
        <w:t xml:space="preserve">3.52 to 2.78 at </w:t>
      </w:r>
      <w:r w:rsidR="0066478A">
        <w:rPr>
          <w:lang w:eastAsia="ja-JP"/>
        </w:rPr>
        <w:t>study</w:t>
      </w:r>
      <w:r>
        <w:rPr>
          <w:lang w:eastAsia="ja-JP"/>
        </w:rPr>
        <w:t xml:space="preserve"> end</w:t>
      </w:r>
      <w:r w:rsidR="00A2508E">
        <w:rPr>
          <w:lang w:eastAsia="ja-JP"/>
        </w:rPr>
        <w:t>. Out of the 36 </w:t>
      </w:r>
      <w:r w:rsidRPr="00817A89">
        <w:rPr>
          <w:lang w:eastAsia="ja-JP"/>
        </w:rPr>
        <w:t>patients,</w:t>
      </w:r>
      <w:r>
        <w:rPr>
          <w:lang w:eastAsia="ja-JP"/>
        </w:rPr>
        <w:t xml:space="preserve"> </w:t>
      </w:r>
      <w:r w:rsidRPr="00817A89">
        <w:rPr>
          <w:lang w:eastAsia="ja-JP"/>
        </w:rPr>
        <w:t xml:space="preserve">8 had Z-score values of &lt; </w:t>
      </w:r>
      <w:r w:rsidRPr="00817A89">
        <w:rPr>
          <w:rFonts w:hint="eastAsia"/>
          <w:lang w:eastAsia="ja-JP"/>
        </w:rPr>
        <w:t>−</w:t>
      </w:r>
      <w:r w:rsidRPr="00817A89">
        <w:rPr>
          <w:lang w:eastAsia="ja-JP"/>
        </w:rPr>
        <w:t xml:space="preserve">2.0 at some point during the </w:t>
      </w:r>
      <w:r w:rsidR="0066478A">
        <w:rPr>
          <w:lang w:eastAsia="ja-JP"/>
        </w:rPr>
        <w:t>study</w:t>
      </w:r>
      <w:r w:rsidR="00A2508E">
        <w:rPr>
          <w:lang w:eastAsia="ja-JP"/>
        </w:rPr>
        <w:t>; 2 patients had Z</w:t>
      </w:r>
      <w:r w:rsidR="00A2508E">
        <w:rPr>
          <w:lang w:eastAsia="ja-JP"/>
        </w:rPr>
        <w:noBreakHyphen/>
      </w:r>
      <w:r w:rsidRPr="00817A89">
        <w:rPr>
          <w:lang w:eastAsia="ja-JP"/>
        </w:rPr>
        <w:t>score</w:t>
      </w:r>
      <w:r>
        <w:rPr>
          <w:lang w:eastAsia="ja-JP"/>
        </w:rPr>
        <w:t xml:space="preserve"> </w:t>
      </w:r>
      <w:r w:rsidRPr="00817A89">
        <w:rPr>
          <w:lang w:eastAsia="ja-JP"/>
        </w:rPr>
        <w:t>values of 2.0 and over at any time point.</w:t>
      </w:r>
    </w:p>
    <w:p w14:paraId="236502A4" w14:textId="77777777" w:rsidR="007C6D8D" w:rsidRDefault="008806DA" w:rsidP="00E3704C">
      <w:pPr>
        <w:rPr>
          <w:lang w:eastAsia="ja-JP"/>
        </w:rPr>
      </w:pPr>
      <w:r>
        <w:rPr>
          <w:lang w:eastAsia="ja-JP"/>
        </w:rPr>
        <w:t xml:space="preserve">Figure 29 </w:t>
      </w:r>
      <w:r w:rsidR="00E3704C" w:rsidRPr="00817A89">
        <w:rPr>
          <w:lang w:eastAsia="ja-JP"/>
        </w:rPr>
        <w:t xml:space="preserve">illustrates the change in </w:t>
      </w:r>
      <w:r w:rsidR="00A2508E">
        <w:rPr>
          <w:lang w:eastAsia="ja-JP"/>
        </w:rPr>
        <w:t>height for age</w:t>
      </w:r>
      <w:r w:rsidR="00E3704C" w:rsidRPr="00817A89">
        <w:rPr>
          <w:lang w:eastAsia="ja-JP"/>
        </w:rPr>
        <w:t xml:space="preserve"> Z-score fr</w:t>
      </w:r>
      <w:r w:rsidR="00E3704C">
        <w:rPr>
          <w:lang w:eastAsia="ja-JP"/>
        </w:rPr>
        <w:t xml:space="preserve">om baseline to 36 months in all </w:t>
      </w:r>
      <w:r w:rsidR="00E3704C" w:rsidRPr="00817A89">
        <w:rPr>
          <w:lang w:eastAsia="ja-JP"/>
        </w:rPr>
        <w:t>patients as well as in the two subgroups</w:t>
      </w:r>
      <w:r w:rsidR="007C6D8D">
        <w:rPr>
          <w:lang w:eastAsia="ja-JP"/>
        </w:rPr>
        <w:t>.</w:t>
      </w:r>
    </w:p>
    <w:p w14:paraId="75231F06" w14:textId="77777777" w:rsidR="00E3704C" w:rsidRDefault="00E3704C" w:rsidP="00E3704C">
      <w:pPr>
        <w:rPr>
          <w:lang w:eastAsia="ja-JP"/>
        </w:rPr>
      </w:pPr>
      <w:r w:rsidRPr="00817A89">
        <w:rPr>
          <w:lang w:eastAsia="ja-JP"/>
        </w:rPr>
        <w:t xml:space="preserve">K-M estimates for </w:t>
      </w:r>
      <w:r w:rsidR="009C6335">
        <w:rPr>
          <w:lang w:eastAsia="ja-JP"/>
        </w:rPr>
        <w:t>5 year</w:t>
      </w:r>
      <w:r w:rsidRPr="00817A89">
        <w:rPr>
          <w:lang w:eastAsia="ja-JP"/>
        </w:rPr>
        <w:t xml:space="preserve"> survival were 78.0% (95% CI 55.8%, </w:t>
      </w:r>
      <w:r w:rsidRPr="00D81D7C">
        <w:rPr>
          <w:lang w:eastAsia="ja-JP"/>
        </w:rPr>
        <w:t>90.0%)(</w:t>
      </w:r>
      <w:r w:rsidR="00D81D7C" w:rsidRPr="00D81D7C">
        <w:rPr>
          <w:lang w:eastAsia="ja-JP"/>
        </w:rPr>
        <w:t>Table</w:t>
      </w:r>
      <w:r w:rsidR="00D81D7C">
        <w:rPr>
          <w:lang w:eastAsia="ja-JP"/>
        </w:rPr>
        <w:t xml:space="preserve"> 80</w:t>
      </w:r>
      <w:r>
        <w:rPr>
          <w:lang w:eastAsia="ja-JP"/>
        </w:rPr>
        <w:t>).</w:t>
      </w:r>
    </w:p>
    <w:p w14:paraId="5F6A1F87" w14:textId="77777777" w:rsidR="00E3704C" w:rsidRDefault="00E3704C" w:rsidP="00E3704C">
      <w:pPr>
        <w:pStyle w:val="Tabletitle"/>
      </w:pPr>
      <w:bookmarkStart w:id="455" w:name="_Toc473884123"/>
      <w:r w:rsidRPr="00D81D7C">
        <w:t xml:space="preserve">Table </w:t>
      </w:r>
      <w:r w:rsidR="00D81D7C" w:rsidRPr="00D81D7C">
        <w:t>79:</w:t>
      </w:r>
      <w:r>
        <w:t xml:space="preserve"> FUTURE-2 Change from baseline to EOS in </w:t>
      </w:r>
      <w:r w:rsidR="00A2508E">
        <w:t>height for age</w:t>
      </w:r>
      <w:r w:rsidR="00D81D7C">
        <w:t>;</w:t>
      </w:r>
      <w:r>
        <w:t xml:space="preserve"> All-treated set</w:t>
      </w:r>
      <w:bookmarkEnd w:id="455"/>
    </w:p>
    <w:p w14:paraId="05486752" w14:textId="77777777" w:rsidR="006E0293" w:rsidRDefault="00E3704C" w:rsidP="00287323">
      <w:pPr>
        <w:rPr>
          <w:lang w:eastAsia="ja-JP"/>
        </w:rPr>
      </w:pPr>
      <w:r>
        <w:rPr>
          <w:noProof/>
          <w:lang w:eastAsia="en-AU"/>
        </w:rPr>
        <w:drawing>
          <wp:inline distT="0" distB="0" distL="0" distR="0" wp14:anchorId="314CDE56" wp14:editId="6CFA5EBC">
            <wp:extent cx="4171950" cy="2971800"/>
            <wp:effectExtent l="0" t="0" r="0" b="0"/>
            <wp:docPr id="107" name="Picture 107" descr="Table 79: FUTURE-2 Change from baseline to EOS in height for age;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4171950" cy="2971800"/>
                    </a:xfrm>
                    <a:prstGeom prst="rect">
                      <a:avLst/>
                    </a:prstGeom>
                  </pic:spPr>
                </pic:pic>
              </a:graphicData>
            </a:graphic>
          </wp:inline>
        </w:drawing>
      </w:r>
    </w:p>
    <w:p w14:paraId="45B07022" w14:textId="77777777" w:rsidR="00954831" w:rsidRDefault="00954831" w:rsidP="00954831">
      <w:pPr>
        <w:pStyle w:val="FigureTitle"/>
      </w:pPr>
      <w:bookmarkStart w:id="456" w:name="_Ref464119594"/>
      <w:bookmarkStart w:id="457" w:name="_Toc473884180"/>
      <w:r w:rsidRPr="008806DA">
        <w:lastRenderedPageBreak/>
        <w:t xml:space="preserve">Figure </w:t>
      </w:r>
      <w:bookmarkEnd w:id="456"/>
      <w:r w:rsidR="008806DA" w:rsidRPr="008806DA">
        <w:t>29:</w:t>
      </w:r>
      <w:r w:rsidRPr="008806DA">
        <w:t xml:space="preserve"> FUTURE-2 Change in </w:t>
      </w:r>
      <w:r w:rsidR="00A2508E" w:rsidRPr="008806DA">
        <w:t>height for age</w:t>
      </w:r>
      <w:r w:rsidRPr="008806DA">
        <w:t xml:space="preserve"> from baseline to 36 months – All-treated</w:t>
      </w:r>
      <w:r>
        <w:t xml:space="preserve"> set</w:t>
      </w:r>
      <w:bookmarkEnd w:id="457"/>
    </w:p>
    <w:p w14:paraId="1CCA9CCC" w14:textId="77777777" w:rsidR="006E0293" w:rsidRDefault="00954831" w:rsidP="00287323">
      <w:pPr>
        <w:rPr>
          <w:lang w:eastAsia="ja-JP"/>
        </w:rPr>
      </w:pPr>
      <w:r>
        <w:rPr>
          <w:noProof/>
          <w:lang w:eastAsia="en-AU"/>
        </w:rPr>
        <w:drawing>
          <wp:inline distT="0" distB="0" distL="0" distR="0" wp14:anchorId="5C1135CD" wp14:editId="1B49DBB5">
            <wp:extent cx="4133088" cy="2626013"/>
            <wp:effectExtent l="0" t="0" r="1270" b="3175"/>
            <wp:docPr id="84" name="Picture 84" descr="Figure 29: FUTURE-2 Change in height for age from baseline to 36 months – All-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BEBA8EAE-BF5A-486C-A8C5-ECC9F3942E4B}">
                          <a14:imgProps xmlns:a14="http://schemas.microsoft.com/office/drawing/2010/main">
                            <a14:imgLayer r:embed="rId150">
                              <a14:imgEffect>
                                <a14:brightnessContrast contrast="-40000"/>
                              </a14:imgEffect>
                            </a14:imgLayer>
                          </a14:imgProps>
                        </a:ext>
                      </a:extLst>
                    </a:blip>
                    <a:stretch>
                      <a:fillRect/>
                    </a:stretch>
                  </pic:blipFill>
                  <pic:spPr>
                    <a:xfrm>
                      <a:off x="0" y="0"/>
                      <a:ext cx="4131523" cy="2625019"/>
                    </a:xfrm>
                    <a:prstGeom prst="rect">
                      <a:avLst/>
                    </a:prstGeom>
                  </pic:spPr>
                </pic:pic>
              </a:graphicData>
            </a:graphic>
          </wp:inline>
        </w:drawing>
      </w:r>
    </w:p>
    <w:p w14:paraId="23EE0CC9" w14:textId="77777777" w:rsidR="00954831" w:rsidRDefault="00954831" w:rsidP="00954831">
      <w:pPr>
        <w:pStyle w:val="Tabletitle"/>
        <w:rPr>
          <w:lang w:eastAsia="ja-JP"/>
        </w:rPr>
      </w:pPr>
      <w:bookmarkStart w:id="458" w:name="_Ref461095489"/>
      <w:bookmarkStart w:id="459" w:name="_Toc473884124"/>
      <w:r w:rsidRPr="00D81D7C">
        <w:t xml:space="preserve">Table </w:t>
      </w:r>
      <w:bookmarkEnd w:id="458"/>
      <w:r w:rsidR="00D81D7C" w:rsidRPr="00D81D7C">
        <w:t>80:</w:t>
      </w:r>
      <w:r>
        <w:t xml:space="preserve"> FUTURE-2 KM </w:t>
      </w:r>
      <w:r w:rsidR="007C6D8D">
        <w:t>long term</w:t>
      </w:r>
      <w:r w:rsidR="00A2508E">
        <w:t xml:space="preserve"> survival estimates;</w:t>
      </w:r>
      <w:r>
        <w:t xml:space="preserve"> All treated set</w:t>
      </w:r>
      <w:bookmarkEnd w:id="459"/>
    </w:p>
    <w:p w14:paraId="7E6D4A37" w14:textId="77777777" w:rsidR="006E0293" w:rsidRDefault="00954831" w:rsidP="00287323">
      <w:pPr>
        <w:rPr>
          <w:lang w:eastAsia="ja-JP"/>
        </w:rPr>
      </w:pPr>
      <w:r>
        <w:rPr>
          <w:noProof/>
          <w:lang w:eastAsia="en-AU"/>
        </w:rPr>
        <w:drawing>
          <wp:inline distT="0" distB="0" distL="0" distR="0" wp14:anchorId="7B7E673F" wp14:editId="3B4BDA71">
            <wp:extent cx="4800600" cy="3352800"/>
            <wp:effectExtent l="0" t="0" r="0" b="0"/>
            <wp:docPr id="85" name="Picture 85" descr="Table 80: FUTURE-2 KM long term survival estimates; All treated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800600" cy="3352800"/>
                    </a:xfrm>
                    <a:prstGeom prst="rect">
                      <a:avLst/>
                    </a:prstGeom>
                  </pic:spPr>
                </pic:pic>
              </a:graphicData>
            </a:graphic>
          </wp:inline>
        </w:drawing>
      </w:r>
    </w:p>
    <w:p w14:paraId="41C51FF5" w14:textId="77777777" w:rsidR="00954831" w:rsidRPr="00954831" w:rsidRDefault="00954831" w:rsidP="004E5DCA">
      <w:pPr>
        <w:pStyle w:val="Heading5"/>
        <w:numPr>
          <w:ilvl w:val="3"/>
          <w:numId w:val="43"/>
        </w:numPr>
      </w:pPr>
      <w:r w:rsidRPr="00954831">
        <w:t>Pivotal and/or main efficacy studies</w:t>
      </w:r>
    </w:p>
    <w:p w14:paraId="4267DD22" w14:textId="61066BAB" w:rsidR="00954831" w:rsidRPr="00954831" w:rsidRDefault="00954831" w:rsidP="00954831">
      <w:pPr>
        <w:pStyle w:val="Heading6"/>
      </w:pPr>
      <w:r w:rsidRPr="00954831">
        <w:t>FUTURE-4</w:t>
      </w:r>
      <w:r w:rsidR="00E352DD">
        <w:t xml:space="preserve"> study</w:t>
      </w:r>
    </w:p>
    <w:p w14:paraId="259B471B" w14:textId="77777777" w:rsidR="00954831" w:rsidRPr="00065A07" w:rsidRDefault="00954831" w:rsidP="00954831">
      <w:pPr>
        <w:rPr>
          <w:lang w:eastAsia="ja-JP"/>
        </w:rPr>
      </w:pPr>
      <w:r w:rsidRPr="00065A07">
        <w:rPr>
          <w:lang w:eastAsia="ja-JP"/>
        </w:rPr>
        <w:t>The median changes in mean arterial BP over time did not show clinically relevant</w:t>
      </w:r>
      <w:r>
        <w:rPr>
          <w:lang w:eastAsia="ja-JP"/>
        </w:rPr>
        <w:t xml:space="preserve"> </w:t>
      </w:r>
      <w:r w:rsidRPr="00065A07">
        <w:rPr>
          <w:lang w:eastAsia="ja-JP"/>
        </w:rPr>
        <w:t>differences between bosentan and placebo treatment groups</w:t>
      </w:r>
      <w:r>
        <w:rPr>
          <w:lang w:eastAsia="ja-JP"/>
        </w:rPr>
        <w:t>.</w:t>
      </w:r>
    </w:p>
    <w:p w14:paraId="5103A3E9" w14:textId="77777777" w:rsidR="00954831" w:rsidRPr="00954831" w:rsidRDefault="00954831" w:rsidP="00954831">
      <w:pPr>
        <w:pStyle w:val="Heading5"/>
      </w:pPr>
      <w:r w:rsidRPr="00954831">
        <w:t>Other studies</w:t>
      </w:r>
    </w:p>
    <w:p w14:paraId="13B3F7F7" w14:textId="77777777" w:rsidR="00954831" w:rsidRPr="00954831" w:rsidRDefault="00A2508E" w:rsidP="00954831">
      <w:pPr>
        <w:pStyle w:val="Heading6"/>
      </w:pPr>
      <w:r>
        <w:t xml:space="preserve">Study </w:t>
      </w:r>
      <w:r w:rsidR="00954831" w:rsidRPr="00954831">
        <w:t>AC-052-116</w:t>
      </w:r>
    </w:p>
    <w:p w14:paraId="7A3C7BCB" w14:textId="77777777" w:rsidR="00954831" w:rsidRDefault="00954831" w:rsidP="00954831">
      <w:pPr>
        <w:rPr>
          <w:lang w:eastAsia="ja-JP"/>
        </w:rPr>
      </w:pPr>
      <w:r>
        <w:rPr>
          <w:lang w:eastAsia="ja-JP"/>
        </w:rPr>
        <w:t>N</w:t>
      </w:r>
      <w:r w:rsidRPr="00B47DBB">
        <w:rPr>
          <w:lang w:eastAsia="ja-JP"/>
        </w:rPr>
        <w:t xml:space="preserve">o </w:t>
      </w:r>
      <w:r w:rsidR="009C6335">
        <w:rPr>
          <w:lang w:eastAsia="ja-JP"/>
        </w:rPr>
        <w:t>treatment related</w:t>
      </w:r>
      <w:r w:rsidRPr="00B47DBB">
        <w:rPr>
          <w:lang w:eastAsia="ja-JP"/>
        </w:rPr>
        <w:t xml:space="preserve"> pattern was detected that indicated an effect of a</w:t>
      </w:r>
      <w:r>
        <w:rPr>
          <w:lang w:eastAsia="ja-JP"/>
        </w:rPr>
        <w:t xml:space="preserve"> </w:t>
      </w:r>
      <w:r w:rsidRPr="00B47DBB">
        <w:rPr>
          <w:lang w:eastAsia="ja-JP"/>
        </w:rPr>
        <w:t>single dose of bosentan, in its adult or paediatric formulation, on blood pressures and</w:t>
      </w:r>
      <w:r>
        <w:rPr>
          <w:lang w:eastAsia="ja-JP"/>
        </w:rPr>
        <w:t xml:space="preserve"> </w:t>
      </w:r>
      <w:r w:rsidRPr="00B47DBB">
        <w:rPr>
          <w:lang w:eastAsia="ja-JP"/>
        </w:rPr>
        <w:t>heart rate.</w:t>
      </w:r>
      <w:r>
        <w:rPr>
          <w:lang w:eastAsia="ja-JP"/>
        </w:rPr>
        <w:t xml:space="preserve"> </w:t>
      </w:r>
      <w:r w:rsidRPr="000052A7">
        <w:rPr>
          <w:lang w:eastAsia="ja-JP"/>
        </w:rPr>
        <w:t xml:space="preserve">No </w:t>
      </w:r>
      <w:r w:rsidR="009C6335">
        <w:rPr>
          <w:lang w:eastAsia="ja-JP"/>
        </w:rPr>
        <w:t>treatment related</w:t>
      </w:r>
      <w:r w:rsidRPr="000052A7">
        <w:rPr>
          <w:lang w:eastAsia="ja-JP"/>
        </w:rPr>
        <w:t xml:space="preserve"> </w:t>
      </w:r>
      <w:r w:rsidRPr="000052A7">
        <w:rPr>
          <w:lang w:eastAsia="ja-JP"/>
        </w:rPr>
        <w:lastRenderedPageBreak/>
        <w:t>pattern was detected that indicated an effe</w:t>
      </w:r>
      <w:r>
        <w:rPr>
          <w:lang w:eastAsia="ja-JP"/>
        </w:rPr>
        <w:t xml:space="preserve">ct of bosentan on body </w:t>
      </w:r>
      <w:r w:rsidRPr="000052A7">
        <w:rPr>
          <w:lang w:eastAsia="ja-JP"/>
        </w:rPr>
        <w:t>weight.</w:t>
      </w:r>
      <w:r>
        <w:rPr>
          <w:lang w:eastAsia="ja-JP"/>
        </w:rPr>
        <w:t xml:space="preserve"> </w:t>
      </w:r>
      <w:r w:rsidRPr="000052A7">
        <w:rPr>
          <w:lang w:eastAsia="ja-JP"/>
        </w:rPr>
        <w:t>The physical examination did not reveal any abnormalities for any subject.</w:t>
      </w:r>
    </w:p>
    <w:p w14:paraId="7D661C5E" w14:textId="1D6AF567" w:rsidR="00954831" w:rsidRPr="00954831" w:rsidRDefault="00A2508E" w:rsidP="00954831">
      <w:pPr>
        <w:pStyle w:val="Heading6"/>
      </w:pPr>
      <w:r>
        <w:t xml:space="preserve">Study </w:t>
      </w:r>
      <w:r w:rsidR="00954831" w:rsidRPr="00954831">
        <w:t xml:space="preserve">AC-052-365 </w:t>
      </w:r>
      <w:r w:rsidR="00E352DD">
        <w:t>(</w:t>
      </w:r>
      <w:r w:rsidR="00954831" w:rsidRPr="00954831">
        <w:t>FUTURE-1</w:t>
      </w:r>
      <w:r w:rsidR="00E352DD">
        <w:t>)</w:t>
      </w:r>
    </w:p>
    <w:p w14:paraId="515B4BA4" w14:textId="77777777" w:rsidR="00954831" w:rsidRDefault="00954831" w:rsidP="00954831">
      <w:r>
        <w:t xml:space="preserve">There were no clinically relevant changes related to </w:t>
      </w:r>
      <w:r w:rsidR="0066478A">
        <w:t>study</w:t>
      </w:r>
      <w:r>
        <w:t xml:space="preserve"> treatment in vital signs from baseline to the end of the treatment period. </w:t>
      </w:r>
      <w:r w:rsidRPr="004F0151">
        <w:t xml:space="preserve">The mean changes from baseline to the </w:t>
      </w:r>
      <w:r>
        <w:t>EOT</w:t>
      </w:r>
      <w:r w:rsidRPr="004F0151">
        <w:t xml:space="preserve"> </w:t>
      </w:r>
      <w:r>
        <w:t xml:space="preserve">period in pulse rate, diastolic </w:t>
      </w:r>
      <w:r w:rsidRPr="004F0151">
        <w:t xml:space="preserve">BP, weight, and BMI were small in both </w:t>
      </w:r>
      <w:r w:rsidR="009C6335">
        <w:t>bosentan naïve</w:t>
      </w:r>
      <w:r w:rsidRPr="004F0151">
        <w:t xml:space="preserve"> patients and in patients with</w:t>
      </w:r>
      <w:r>
        <w:t xml:space="preserve"> </w:t>
      </w:r>
      <w:r w:rsidRPr="004F0151">
        <w:t>previous bosentan (–4.2 bpm, –4.1 mmHg, 1.5 kg, and 1.0 kg/m</w:t>
      </w:r>
      <w:r w:rsidRPr="00A2508E">
        <w:rPr>
          <w:vertAlign w:val="superscript"/>
        </w:rPr>
        <w:t>2</w:t>
      </w:r>
      <w:r w:rsidRPr="004F0151">
        <w:t xml:space="preserve"> </w:t>
      </w:r>
      <w:r w:rsidR="007C6D8D">
        <w:t>versus</w:t>
      </w:r>
      <w:r w:rsidRPr="004F0151">
        <w:t xml:space="preserve"> –0.4 bpm,</w:t>
      </w:r>
      <w:r>
        <w:t xml:space="preserve"> </w:t>
      </w:r>
      <w:r w:rsidR="00A2508E">
        <w:t>1.7 </w:t>
      </w:r>
      <w:r w:rsidRPr="004F0151">
        <w:t>mmHg, 0.6 kg, and 0.5 kg/m</w:t>
      </w:r>
      <w:r w:rsidRPr="00A2508E">
        <w:rPr>
          <w:vertAlign w:val="superscript"/>
        </w:rPr>
        <w:t>2</w:t>
      </w:r>
      <w:r w:rsidRPr="004F0151">
        <w:t>, respectively). Minor differences were observed in vital</w:t>
      </w:r>
      <w:r>
        <w:t xml:space="preserve"> </w:t>
      </w:r>
      <w:r w:rsidRPr="004F0151">
        <w:t>s</w:t>
      </w:r>
      <w:r>
        <w:t>igns between the two subgroups</w:t>
      </w:r>
      <w:r w:rsidRPr="004F0151">
        <w:t>. However, a greater mean</w:t>
      </w:r>
      <w:r>
        <w:t xml:space="preserve"> </w:t>
      </w:r>
      <w:r w:rsidRPr="004F0151">
        <w:t>change in systolic BP was observed in patients with previous bosentan (</w:t>
      </w:r>
      <w:r w:rsidRPr="004F0151">
        <w:rPr>
          <w:rFonts w:hint="eastAsia"/>
        </w:rPr>
        <w:t>−</w:t>
      </w:r>
      <w:r w:rsidRPr="004F0151">
        <w:t>6.8 mmHg</w:t>
      </w:r>
      <w:r>
        <w:t xml:space="preserve"> </w:t>
      </w:r>
      <w:r w:rsidRPr="004F0151">
        <w:t xml:space="preserve">previous bosentan </w:t>
      </w:r>
      <w:r w:rsidR="007C6D8D">
        <w:t>versus</w:t>
      </w:r>
      <w:r w:rsidRPr="004F0151">
        <w:t xml:space="preserve"> </w:t>
      </w:r>
      <w:r w:rsidRPr="004F0151">
        <w:rPr>
          <w:rFonts w:hint="eastAsia"/>
        </w:rPr>
        <w:t>−</w:t>
      </w:r>
      <w:r w:rsidRPr="004F0151">
        <w:t xml:space="preserve">0.3 mmHg </w:t>
      </w:r>
      <w:r w:rsidR="009C6335">
        <w:t>bosentan naïve</w:t>
      </w:r>
      <w:r w:rsidRPr="004F0151">
        <w:t>). The differences were considered not</w:t>
      </w:r>
      <w:r>
        <w:t xml:space="preserve"> </w:t>
      </w:r>
      <w:r w:rsidRPr="004F0151">
        <w:t>clinically relevant.</w:t>
      </w:r>
    </w:p>
    <w:p w14:paraId="3671B868" w14:textId="77777777" w:rsidR="00954831" w:rsidRDefault="00954831" w:rsidP="00954831">
      <w:pPr>
        <w:pStyle w:val="Tabletitle"/>
      </w:pPr>
      <w:bookmarkStart w:id="460" w:name="_Toc473884125"/>
      <w:r w:rsidRPr="00D81D7C">
        <w:t xml:space="preserve">Table </w:t>
      </w:r>
      <w:r w:rsidR="00D81D7C" w:rsidRPr="00D81D7C">
        <w:t>8</w:t>
      </w:r>
      <w:r w:rsidR="00D81D7C">
        <w:t>1:</w:t>
      </w:r>
      <w:r>
        <w:t xml:space="preserve"> FUTURE-1 </w:t>
      </w:r>
      <w:r w:rsidRPr="004F0151">
        <w:t xml:space="preserve">Change from baseline up to </w:t>
      </w:r>
      <w:r>
        <w:t>EOT</w:t>
      </w:r>
      <w:r w:rsidRPr="004F0151">
        <w:t xml:space="preserve"> period in vital signs</w:t>
      </w:r>
      <w:bookmarkEnd w:id="460"/>
    </w:p>
    <w:p w14:paraId="43BC41DA" w14:textId="77777777" w:rsidR="006E0293" w:rsidRDefault="00954831" w:rsidP="00287323">
      <w:pPr>
        <w:rPr>
          <w:lang w:eastAsia="ja-JP"/>
        </w:rPr>
      </w:pPr>
      <w:r>
        <w:rPr>
          <w:noProof/>
          <w:lang w:eastAsia="en-AU"/>
        </w:rPr>
        <w:drawing>
          <wp:inline distT="0" distB="0" distL="0" distR="0" wp14:anchorId="6807F2F2" wp14:editId="14001C36">
            <wp:extent cx="3138221" cy="3604930"/>
            <wp:effectExtent l="0" t="0" r="5080" b="0"/>
            <wp:docPr id="108" name="Picture 108" descr="Table 81: FUTURE-1 Change from baseline up to EOT period in vital sig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BEBA8EAE-BF5A-486C-A8C5-ECC9F3942E4B}">
                          <a14:imgProps xmlns:a14="http://schemas.microsoft.com/office/drawing/2010/main">
                            <a14:imgLayer r:embed="rId153">
                              <a14:imgEffect>
                                <a14:brightnessContrast contrast="-40000"/>
                              </a14:imgEffect>
                            </a14:imgLayer>
                          </a14:imgProps>
                        </a:ext>
                      </a:extLst>
                    </a:blip>
                    <a:stretch>
                      <a:fillRect/>
                    </a:stretch>
                  </pic:blipFill>
                  <pic:spPr>
                    <a:xfrm>
                      <a:off x="0" y="0"/>
                      <a:ext cx="3140015" cy="3606991"/>
                    </a:xfrm>
                    <a:prstGeom prst="rect">
                      <a:avLst/>
                    </a:prstGeom>
                  </pic:spPr>
                </pic:pic>
              </a:graphicData>
            </a:graphic>
          </wp:inline>
        </w:drawing>
      </w:r>
    </w:p>
    <w:p w14:paraId="28371A65" w14:textId="011A42A5" w:rsidR="00954831" w:rsidRPr="00954831" w:rsidRDefault="00093207" w:rsidP="00954831">
      <w:pPr>
        <w:pStyle w:val="Heading6"/>
      </w:pPr>
      <w:r>
        <w:t xml:space="preserve">Study </w:t>
      </w:r>
      <w:r w:rsidR="00954831" w:rsidRPr="00954831">
        <w:t xml:space="preserve">AC-052-373 </w:t>
      </w:r>
      <w:r w:rsidR="00E352DD">
        <w:t>(</w:t>
      </w:r>
      <w:r w:rsidR="00954831" w:rsidRPr="00954831">
        <w:t>FUTURE-3</w:t>
      </w:r>
      <w:r w:rsidR="00E352DD">
        <w:t>)</w:t>
      </w:r>
    </w:p>
    <w:p w14:paraId="64FC5221" w14:textId="77777777" w:rsidR="00954831" w:rsidRDefault="00954831" w:rsidP="00954831">
      <w:r w:rsidRPr="007F77BE">
        <w:t>Mean changes in BP and pulse rate from baseline to Weeks 12 and 24 were small and of</w:t>
      </w:r>
      <w:r>
        <w:t xml:space="preserve"> </w:t>
      </w:r>
      <w:r w:rsidRPr="007F77BE">
        <w:t>no clinical relevance</w:t>
      </w:r>
      <w:r>
        <w:t>.</w:t>
      </w:r>
    </w:p>
    <w:p w14:paraId="3EE7BA18" w14:textId="77777777" w:rsidR="00954831" w:rsidRDefault="00954831" w:rsidP="00954831">
      <w:r w:rsidRPr="007F77BE">
        <w:t>Mean changes in growth variables (height, weight and BMI) from baseline to Weeks 12</w:t>
      </w:r>
      <w:r>
        <w:t xml:space="preserve"> </w:t>
      </w:r>
      <w:r w:rsidRPr="007F77BE">
        <w:t>and 24 we</w:t>
      </w:r>
      <w:r>
        <w:t xml:space="preserve">re small and similar in the </w:t>
      </w:r>
      <w:r w:rsidR="007C6D8D">
        <w:t>BD</w:t>
      </w:r>
      <w:r>
        <w:t xml:space="preserve"> and </w:t>
      </w:r>
      <w:r w:rsidR="007C6D8D">
        <w:t>TDS</w:t>
      </w:r>
      <w:r w:rsidRPr="007F77BE">
        <w:t xml:space="preserve"> groups in the overall population and</w:t>
      </w:r>
      <w:r>
        <w:t xml:space="preserve"> </w:t>
      </w:r>
      <w:r w:rsidRPr="007F77BE">
        <w:t>age groups</w:t>
      </w:r>
      <w:r>
        <w:t xml:space="preserve">. The majority of </w:t>
      </w:r>
      <w:r w:rsidRPr="00C30833">
        <w:t>patients</w:t>
      </w:r>
      <w:r>
        <w:t>’</w:t>
      </w:r>
      <w:r w:rsidRPr="00C30833">
        <w:t xml:space="preserve"> height/length at baseline was well dispersed among the different WHO standard</w:t>
      </w:r>
      <w:r>
        <w:t xml:space="preserve"> </w:t>
      </w:r>
      <w:r w:rsidRPr="00C30833">
        <w:t>growth centiles. Some abnormally low values below the 5th centile (8 males and 8 females)</w:t>
      </w:r>
      <w:r>
        <w:t xml:space="preserve"> </w:t>
      </w:r>
      <w:r w:rsidRPr="00C30833">
        <w:t>were ob</w:t>
      </w:r>
      <w:r>
        <w:t>s</w:t>
      </w:r>
      <w:r w:rsidRPr="00C30833">
        <w:t xml:space="preserve">erved. Compared to the baseline centile, the profiles in patients </w:t>
      </w:r>
      <w:r w:rsidR="007C6D8D">
        <w:t>≥</w:t>
      </w:r>
      <w:r w:rsidR="00CF6063">
        <w:t xml:space="preserve"> </w:t>
      </w:r>
      <w:r w:rsidRPr="00C30833">
        <w:t>2 years of age,</w:t>
      </w:r>
      <w:r>
        <w:t xml:space="preserve"> </w:t>
      </w:r>
      <w:r w:rsidRPr="00C30833">
        <w:t xml:space="preserve">remained mostly within their baseline centile during the </w:t>
      </w:r>
      <w:r w:rsidR="0066478A">
        <w:t>study</w:t>
      </w:r>
      <w:r w:rsidRPr="00C30833">
        <w:t>, whereas in those &lt; 2 years</w:t>
      </w:r>
      <w:r>
        <w:t xml:space="preserve"> </w:t>
      </w:r>
      <w:r w:rsidRPr="00C30833">
        <w:t>of age, the profiles showed a shift to a higher or a lower centile. There were no noticeable</w:t>
      </w:r>
      <w:r>
        <w:t xml:space="preserve"> </w:t>
      </w:r>
      <w:r w:rsidRPr="00C30833">
        <w:t>differences from this pattern amongst males and females or in patients with Down</w:t>
      </w:r>
      <w:r>
        <w:t xml:space="preserve"> </w:t>
      </w:r>
      <w:r w:rsidRPr="00C30833">
        <w:t>syndrome.</w:t>
      </w:r>
    </w:p>
    <w:p w14:paraId="5ADAF918" w14:textId="77777777" w:rsidR="00954831" w:rsidRPr="00093207" w:rsidRDefault="00954831" w:rsidP="00093207">
      <w:pPr>
        <w:pStyle w:val="Heading3"/>
      </w:pPr>
      <w:bookmarkStart w:id="461" w:name="_Toc272414686"/>
      <w:bookmarkStart w:id="462" w:name="_Ref273005527"/>
      <w:bookmarkStart w:id="463" w:name="_Toc290888550"/>
      <w:bookmarkStart w:id="464" w:name="_Toc416353765"/>
      <w:bookmarkStart w:id="465" w:name="_Toc421005308"/>
      <w:bookmarkStart w:id="466" w:name="_Toc432079179"/>
      <w:bookmarkStart w:id="467" w:name="_Toc432080752"/>
      <w:bookmarkStart w:id="468" w:name="_Toc473884007"/>
      <w:bookmarkStart w:id="469" w:name="_Toc519773915"/>
      <w:r w:rsidRPr="00093207">
        <w:t>Other safety issues</w:t>
      </w:r>
      <w:bookmarkEnd w:id="461"/>
      <w:bookmarkEnd w:id="462"/>
      <w:bookmarkEnd w:id="463"/>
      <w:bookmarkEnd w:id="464"/>
      <w:bookmarkEnd w:id="465"/>
      <w:bookmarkEnd w:id="466"/>
      <w:bookmarkEnd w:id="467"/>
      <w:bookmarkEnd w:id="468"/>
      <w:bookmarkEnd w:id="469"/>
    </w:p>
    <w:p w14:paraId="1D92E769" w14:textId="77777777" w:rsidR="00954831" w:rsidRPr="00065A07" w:rsidRDefault="00954831" w:rsidP="00954831">
      <w:pPr>
        <w:rPr>
          <w:lang w:eastAsia="ja-JP"/>
        </w:rPr>
      </w:pPr>
      <w:r>
        <w:rPr>
          <w:lang w:eastAsia="ja-JP"/>
        </w:rPr>
        <w:t>No other safety issues were raised in the CSRs.</w:t>
      </w:r>
    </w:p>
    <w:p w14:paraId="27C46AE2" w14:textId="77777777" w:rsidR="00954831" w:rsidRPr="00954831" w:rsidRDefault="00954831" w:rsidP="00954831">
      <w:pPr>
        <w:pStyle w:val="Heading3"/>
      </w:pPr>
      <w:bookmarkStart w:id="470" w:name="_Toc241374326"/>
      <w:bookmarkStart w:id="471" w:name="_Ref272333048"/>
      <w:bookmarkStart w:id="472" w:name="_Toc272414679"/>
      <w:bookmarkStart w:id="473" w:name="_Toc290888543"/>
      <w:bookmarkStart w:id="474" w:name="_Toc416353758"/>
      <w:bookmarkStart w:id="475" w:name="_Toc421005301"/>
      <w:bookmarkStart w:id="476" w:name="_Toc432079182"/>
      <w:bookmarkStart w:id="477" w:name="_Toc432080755"/>
      <w:bookmarkStart w:id="478" w:name="_Toc473884008"/>
      <w:bookmarkStart w:id="479" w:name="_Toc519773916"/>
      <w:r w:rsidRPr="00954831">
        <w:lastRenderedPageBreak/>
        <w:t>Post marketing experience</w:t>
      </w:r>
      <w:bookmarkEnd w:id="470"/>
      <w:bookmarkEnd w:id="471"/>
      <w:bookmarkEnd w:id="472"/>
      <w:bookmarkEnd w:id="473"/>
      <w:bookmarkEnd w:id="474"/>
      <w:bookmarkEnd w:id="475"/>
      <w:bookmarkEnd w:id="476"/>
      <w:bookmarkEnd w:id="477"/>
      <w:bookmarkEnd w:id="478"/>
      <w:bookmarkEnd w:id="479"/>
    </w:p>
    <w:p w14:paraId="35451B5F" w14:textId="77777777" w:rsidR="00954831" w:rsidRDefault="00954831" w:rsidP="00954831">
      <w:pPr>
        <w:rPr>
          <w:lang w:eastAsia="ja-JP"/>
        </w:rPr>
      </w:pPr>
      <w:r>
        <w:rPr>
          <w:lang w:eastAsia="ja-JP"/>
        </w:rPr>
        <w:t>The 20</w:t>
      </w:r>
      <w:r w:rsidRPr="00574078">
        <w:rPr>
          <w:lang w:eastAsia="ja-JP"/>
        </w:rPr>
        <w:t>th</w:t>
      </w:r>
      <w:r>
        <w:rPr>
          <w:lang w:eastAsia="ja-JP"/>
        </w:rPr>
        <w:t xml:space="preserve"> PSUR for bosentan has been included in the submission as a report of post-marketing experience. The report summarises the safety data during the reporting period between 20 November 2013 to 19 November 2014 and cumulatively. The international birthdate (IBD) for bosentan is 20 November 2001.</w:t>
      </w:r>
    </w:p>
    <w:p w14:paraId="3737D8FD" w14:textId="70BCE96C" w:rsidR="00954831" w:rsidRDefault="00E767B4" w:rsidP="00954831">
      <w:pPr>
        <w:rPr>
          <w:lang w:eastAsia="ja-JP"/>
        </w:rPr>
      </w:pPr>
      <w:r>
        <w:rPr>
          <w:lang w:eastAsia="ja-JP"/>
        </w:rPr>
        <w:t>[Information redacted]</w:t>
      </w:r>
      <w:r w:rsidR="00954831">
        <w:rPr>
          <w:lang w:eastAsia="ja-JP"/>
        </w:rPr>
        <w:t xml:space="preserve"> </w:t>
      </w:r>
      <w:r w:rsidR="00D81D7C">
        <w:rPr>
          <w:lang w:eastAsia="ja-JP"/>
        </w:rPr>
        <w:t xml:space="preserve">Table 82 </w:t>
      </w:r>
      <w:r w:rsidR="00954831">
        <w:rPr>
          <w:lang w:eastAsia="ja-JP"/>
        </w:rPr>
        <w:t xml:space="preserve">lists the important safety concerns outlined in the </w:t>
      </w:r>
      <w:r w:rsidR="00954831" w:rsidRPr="003E5D76">
        <w:rPr>
          <w:lang w:eastAsia="ja-JP"/>
        </w:rPr>
        <w:t>EU RMP</w:t>
      </w:r>
      <w:r w:rsidR="00954831">
        <w:rPr>
          <w:lang w:eastAsia="ja-JP"/>
        </w:rPr>
        <w:t xml:space="preserve"> at the beginning of the reporting period. </w:t>
      </w:r>
      <w:r w:rsidR="00954831" w:rsidRPr="003E5D76">
        <w:rPr>
          <w:lang w:eastAsia="ja-JP"/>
        </w:rPr>
        <w:t>As part of a Type II variation to include in the EU Product Information the data generated</w:t>
      </w:r>
      <w:r w:rsidR="00954831">
        <w:rPr>
          <w:lang w:eastAsia="ja-JP"/>
        </w:rPr>
        <w:t xml:space="preserve"> </w:t>
      </w:r>
      <w:r w:rsidR="00954831" w:rsidRPr="003E5D76">
        <w:rPr>
          <w:lang w:eastAsia="ja-JP"/>
        </w:rPr>
        <w:t>in the paediatric studies with bosentan, an updated version of Tracleer’s EU SmPC and bosentan’s RMP</w:t>
      </w:r>
      <w:r w:rsidR="00954831">
        <w:rPr>
          <w:lang w:eastAsia="ja-JP"/>
        </w:rPr>
        <w:t xml:space="preserve"> </w:t>
      </w:r>
      <w:r w:rsidR="00954831" w:rsidRPr="003E5D76">
        <w:rPr>
          <w:lang w:eastAsia="ja-JP"/>
        </w:rPr>
        <w:t>received CHMP Positive Opinion on 20 November 2014, after the data lock point of this</w:t>
      </w:r>
      <w:r w:rsidR="00954831">
        <w:rPr>
          <w:lang w:eastAsia="ja-JP"/>
        </w:rPr>
        <w:t xml:space="preserve"> </w:t>
      </w:r>
      <w:r w:rsidR="00954831" w:rsidRPr="003E5D76">
        <w:rPr>
          <w:lang w:eastAsia="ja-JP"/>
        </w:rPr>
        <w:t xml:space="preserve">PSUR. Important missing information ‘Use in children’ was removed, </w:t>
      </w:r>
      <w:r w:rsidR="00954831">
        <w:rPr>
          <w:lang w:eastAsia="ja-JP"/>
        </w:rPr>
        <w:t xml:space="preserve">and the important concerns outlined in </w:t>
      </w:r>
      <w:r w:rsidR="00D81D7C">
        <w:rPr>
          <w:lang w:eastAsia="ja-JP"/>
        </w:rPr>
        <w:t xml:space="preserve">Table 83 </w:t>
      </w:r>
      <w:r w:rsidR="00954831">
        <w:rPr>
          <w:lang w:eastAsia="ja-JP"/>
        </w:rPr>
        <w:t>were added to the list of safety concerns.</w:t>
      </w:r>
    </w:p>
    <w:p w14:paraId="748C34B4" w14:textId="77777777" w:rsidR="007C6D8D" w:rsidRDefault="00954831" w:rsidP="00954831">
      <w:pPr>
        <w:rPr>
          <w:lang w:eastAsia="ja-JP"/>
        </w:rPr>
      </w:pPr>
      <w:r w:rsidRPr="00447066">
        <w:rPr>
          <w:lang w:eastAsia="ja-JP"/>
        </w:rPr>
        <w:t>Following review of the 19th PSUR for bosentan the PRAC Rapporteur</w:t>
      </w:r>
      <w:r>
        <w:rPr>
          <w:lang w:eastAsia="ja-JP"/>
        </w:rPr>
        <w:t xml:space="preserve"> </w:t>
      </w:r>
      <w:r w:rsidRPr="00447066">
        <w:rPr>
          <w:lang w:eastAsia="ja-JP"/>
        </w:rPr>
        <w:t>requested cumulative safety reviews of</w:t>
      </w:r>
      <w:r w:rsidR="007C6D8D">
        <w:rPr>
          <w:lang w:eastAsia="ja-JP"/>
        </w:rPr>
        <w:t>:</w:t>
      </w:r>
    </w:p>
    <w:p w14:paraId="41CED294" w14:textId="77777777" w:rsidR="00954831" w:rsidRDefault="00954831" w:rsidP="00954831">
      <w:pPr>
        <w:pStyle w:val="ListBullet"/>
        <w:rPr>
          <w:lang w:eastAsia="ja-JP"/>
        </w:rPr>
      </w:pPr>
      <w:r w:rsidRPr="00447066">
        <w:rPr>
          <w:lang w:eastAsia="ja-JP"/>
        </w:rPr>
        <w:t>ascites (with a particular emphasis of cases</w:t>
      </w:r>
      <w:r>
        <w:rPr>
          <w:lang w:eastAsia="ja-JP"/>
        </w:rPr>
        <w:t xml:space="preserve"> </w:t>
      </w:r>
      <w:r w:rsidRPr="00447066">
        <w:rPr>
          <w:lang w:eastAsia="ja-JP"/>
        </w:rPr>
        <w:t xml:space="preserve">associated with liver disorders), </w:t>
      </w:r>
    </w:p>
    <w:p w14:paraId="367154E7" w14:textId="77777777" w:rsidR="00954831" w:rsidRDefault="00954831" w:rsidP="00954831">
      <w:pPr>
        <w:pStyle w:val="ListBullet"/>
        <w:rPr>
          <w:lang w:eastAsia="ja-JP"/>
        </w:rPr>
      </w:pPr>
      <w:r w:rsidRPr="00447066">
        <w:rPr>
          <w:lang w:eastAsia="ja-JP"/>
        </w:rPr>
        <w:t>nasal</w:t>
      </w:r>
      <w:r>
        <w:rPr>
          <w:lang w:eastAsia="ja-JP"/>
        </w:rPr>
        <w:t xml:space="preserve"> congestion</w:t>
      </w:r>
    </w:p>
    <w:p w14:paraId="34D2F34B" w14:textId="77777777" w:rsidR="00954831" w:rsidRDefault="00954831" w:rsidP="00954831">
      <w:pPr>
        <w:pStyle w:val="ListBullet"/>
        <w:rPr>
          <w:lang w:eastAsia="ja-JP"/>
        </w:rPr>
      </w:pPr>
      <w:r w:rsidRPr="00447066">
        <w:rPr>
          <w:lang w:eastAsia="ja-JP"/>
        </w:rPr>
        <w:t>the risk of fall which may be due to hypotension and</w:t>
      </w:r>
      <w:r>
        <w:rPr>
          <w:lang w:eastAsia="ja-JP"/>
        </w:rPr>
        <w:t xml:space="preserve"> </w:t>
      </w:r>
      <w:r w:rsidRPr="00447066">
        <w:rPr>
          <w:lang w:eastAsia="ja-JP"/>
        </w:rPr>
        <w:t xml:space="preserve">syncope with a particular emphasis in cases resulting in injury, </w:t>
      </w:r>
    </w:p>
    <w:p w14:paraId="1BCC41C4" w14:textId="77777777" w:rsidR="00954831" w:rsidRDefault="00954831" w:rsidP="00954831">
      <w:pPr>
        <w:pStyle w:val="ListBullet"/>
        <w:rPr>
          <w:lang w:eastAsia="ja-JP"/>
        </w:rPr>
      </w:pPr>
      <w:r>
        <w:rPr>
          <w:lang w:eastAsia="ja-JP"/>
        </w:rPr>
        <w:t>autoimmune hepatitis (AIH)</w:t>
      </w:r>
    </w:p>
    <w:p w14:paraId="0603B48E" w14:textId="77777777" w:rsidR="00954831" w:rsidRPr="00447066" w:rsidRDefault="00954831" w:rsidP="00954831">
      <w:pPr>
        <w:rPr>
          <w:lang w:eastAsia="ja-JP"/>
        </w:rPr>
      </w:pPr>
      <w:r>
        <w:rPr>
          <w:lang w:eastAsia="ja-JP"/>
        </w:rPr>
        <w:t>T</w:t>
      </w:r>
      <w:r w:rsidRPr="00447066">
        <w:rPr>
          <w:lang w:eastAsia="ja-JP"/>
        </w:rPr>
        <w:t xml:space="preserve">he </w:t>
      </w:r>
      <w:r w:rsidR="007C6D8D">
        <w:rPr>
          <w:lang w:eastAsia="ja-JP"/>
        </w:rPr>
        <w:t>sponsor</w:t>
      </w:r>
      <w:r w:rsidRPr="00447066">
        <w:rPr>
          <w:lang w:eastAsia="ja-JP"/>
        </w:rPr>
        <w:t xml:space="preserve"> </w:t>
      </w:r>
      <w:r>
        <w:rPr>
          <w:lang w:eastAsia="ja-JP"/>
        </w:rPr>
        <w:t xml:space="preserve">was requested to </w:t>
      </w:r>
      <w:r w:rsidRPr="00447066">
        <w:rPr>
          <w:lang w:eastAsia="ja-JP"/>
        </w:rPr>
        <w:t>provide a cumulative safety review of all signals considered ongoing further to the</w:t>
      </w:r>
      <w:r>
        <w:rPr>
          <w:lang w:eastAsia="ja-JP"/>
        </w:rPr>
        <w:t xml:space="preserve"> </w:t>
      </w:r>
      <w:r w:rsidRPr="00447066">
        <w:rPr>
          <w:lang w:eastAsia="ja-JP"/>
        </w:rPr>
        <w:t>finalisation of this PSUR assessment procedure (</w:t>
      </w:r>
      <w:r w:rsidR="00CF6063">
        <w:rPr>
          <w:lang w:eastAsia="ja-JP"/>
        </w:rPr>
        <w:t>that is</w:t>
      </w:r>
      <w:r w:rsidRPr="00447066">
        <w:rPr>
          <w:lang w:eastAsia="ja-JP"/>
        </w:rPr>
        <w:t>, DRESS and other severe cutaneous</w:t>
      </w:r>
      <w:r>
        <w:rPr>
          <w:lang w:eastAsia="ja-JP"/>
        </w:rPr>
        <w:t xml:space="preserve"> </w:t>
      </w:r>
      <w:r w:rsidRPr="00447066">
        <w:rPr>
          <w:lang w:eastAsia="ja-JP"/>
        </w:rPr>
        <w:t>reactions, concomitant administration of bosentan and methotrexate and hepatotoxicity,</w:t>
      </w:r>
      <w:r>
        <w:rPr>
          <w:lang w:eastAsia="ja-JP"/>
        </w:rPr>
        <w:t xml:space="preserve"> </w:t>
      </w:r>
      <w:r w:rsidRPr="00447066">
        <w:rPr>
          <w:lang w:eastAsia="ja-JP"/>
        </w:rPr>
        <w:t>hepatocellular carcinoma, cardiac disorders without PAH, blurred vision,</w:t>
      </w:r>
      <w:r>
        <w:rPr>
          <w:lang w:eastAsia="ja-JP"/>
        </w:rPr>
        <w:t xml:space="preserve"> </w:t>
      </w:r>
      <w:r w:rsidRPr="00447066">
        <w:rPr>
          <w:lang w:eastAsia="ja-JP"/>
        </w:rPr>
        <w:t xml:space="preserve">arthralgia/myalgia and pain, menstrual </w:t>
      </w:r>
      <w:r>
        <w:rPr>
          <w:lang w:eastAsia="ja-JP"/>
        </w:rPr>
        <w:t>disorders/vaginal haemorrhage).</w:t>
      </w:r>
    </w:p>
    <w:p w14:paraId="57324F7A" w14:textId="77777777" w:rsidR="00954831" w:rsidRPr="00A2508E" w:rsidRDefault="00954831" w:rsidP="00954831">
      <w:pPr>
        <w:rPr>
          <w:iCs/>
          <w:lang w:eastAsia="ja-JP"/>
        </w:rPr>
      </w:pPr>
      <w:r w:rsidRPr="00447066">
        <w:rPr>
          <w:lang w:eastAsia="ja-JP"/>
        </w:rPr>
        <w:t xml:space="preserve">Based on the cumulative reviews requested by the PRAC Rapporteur, the </w:t>
      </w:r>
      <w:r w:rsidR="007C6D8D">
        <w:rPr>
          <w:lang w:eastAsia="ja-JP"/>
        </w:rPr>
        <w:t>sponsor</w:t>
      </w:r>
      <w:r>
        <w:rPr>
          <w:lang w:eastAsia="ja-JP"/>
        </w:rPr>
        <w:t xml:space="preserve"> </w:t>
      </w:r>
      <w:r w:rsidRPr="00447066">
        <w:rPr>
          <w:lang w:eastAsia="ja-JP"/>
        </w:rPr>
        <w:t>proposes to update the adverse drug reaction (ADR) table of the SmPC</w:t>
      </w:r>
      <w:r>
        <w:rPr>
          <w:lang w:eastAsia="ja-JP"/>
        </w:rPr>
        <w:t xml:space="preserve"> to state (new text underlined): ‘</w:t>
      </w:r>
      <w:r w:rsidRPr="00447066">
        <w:rPr>
          <w:i/>
          <w:iCs/>
          <w:lang w:eastAsia="ja-JP"/>
        </w:rPr>
        <w:t>Aminotransferase elevations associated with hepatitis</w:t>
      </w:r>
      <w:r>
        <w:rPr>
          <w:lang w:eastAsia="ja-JP"/>
        </w:rPr>
        <w:t xml:space="preserve"> </w:t>
      </w:r>
      <w:r w:rsidRPr="00954831">
        <w:rPr>
          <w:i/>
          <w:iCs/>
          <w:lang w:eastAsia="ja-JP"/>
        </w:rPr>
        <w:t>including possible exacerbation of underlying AIH in patients with autoimmune</w:t>
      </w:r>
      <w:r w:rsidRPr="00954831">
        <w:rPr>
          <w:lang w:eastAsia="ja-JP"/>
        </w:rPr>
        <w:t xml:space="preserve"> </w:t>
      </w:r>
      <w:r w:rsidRPr="00954831">
        <w:rPr>
          <w:i/>
          <w:iCs/>
          <w:lang w:eastAsia="ja-JP"/>
        </w:rPr>
        <w:t xml:space="preserve">diseases </w:t>
      </w:r>
      <w:r>
        <w:rPr>
          <w:i/>
          <w:iCs/>
          <w:lang w:eastAsia="ja-JP"/>
        </w:rPr>
        <w:t xml:space="preserve">and/or jaundice”. </w:t>
      </w:r>
      <w:r>
        <w:rPr>
          <w:iCs/>
          <w:lang w:eastAsia="ja-JP"/>
        </w:rPr>
        <w:t xml:space="preserve">In addition </w:t>
      </w:r>
      <w:r w:rsidRPr="00447066">
        <w:rPr>
          <w:lang w:eastAsia="ja-JP"/>
        </w:rPr>
        <w:t xml:space="preserve">‘nasal congestion’ </w:t>
      </w:r>
      <w:r>
        <w:rPr>
          <w:lang w:eastAsia="ja-JP"/>
        </w:rPr>
        <w:t xml:space="preserve">is </w:t>
      </w:r>
      <w:r w:rsidRPr="00447066">
        <w:rPr>
          <w:lang w:eastAsia="ja-JP"/>
        </w:rPr>
        <w:t>to be added as a ‘common’ event</w:t>
      </w:r>
      <w:r>
        <w:rPr>
          <w:lang w:eastAsia="ja-JP"/>
        </w:rPr>
        <w:t xml:space="preserve"> </w:t>
      </w:r>
      <w:r w:rsidRPr="00447066">
        <w:rPr>
          <w:lang w:eastAsia="ja-JP"/>
        </w:rPr>
        <w:t>under the ‘Respiratory, thoracic and mediastinal disorders’ system organ class (SOC).</w:t>
      </w:r>
      <w:r>
        <w:rPr>
          <w:lang w:eastAsia="ja-JP"/>
        </w:rPr>
        <w:t xml:space="preserve"> </w:t>
      </w:r>
      <w:r w:rsidRPr="00447066">
        <w:rPr>
          <w:lang w:eastAsia="ja-JP"/>
        </w:rPr>
        <w:t>In addition, ‘symptomatic hypotension’ will be</w:t>
      </w:r>
      <w:r>
        <w:rPr>
          <w:lang w:eastAsia="ja-JP"/>
        </w:rPr>
        <w:t xml:space="preserve"> </w:t>
      </w:r>
      <w:r w:rsidRPr="00447066">
        <w:rPr>
          <w:lang w:eastAsia="ja-JP"/>
        </w:rPr>
        <w:t>added as an important potential risk to the RMP.</w:t>
      </w:r>
    </w:p>
    <w:p w14:paraId="401FD562" w14:textId="77777777" w:rsidR="00954831" w:rsidRPr="00447066" w:rsidRDefault="00954831" w:rsidP="00954831">
      <w:pPr>
        <w:rPr>
          <w:lang w:eastAsia="ja-JP"/>
        </w:rPr>
      </w:pPr>
      <w:r w:rsidRPr="00447066">
        <w:rPr>
          <w:lang w:eastAsia="ja-JP"/>
        </w:rPr>
        <w:t>The nature and severity of the reported events from all sources reflect the known safety</w:t>
      </w:r>
      <w:r>
        <w:rPr>
          <w:lang w:eastAsia="ja-JP"/>
        </w:rPr>
        <w:t xml:space="preserve"> </w:t>
      </w:r>
      <w:r w:rsidRPr="00447066">
        <w:rPr>
          <w:lang w:eastAsia="ja-JP"/>
        </w:rPr>
        <w:t>profile of bosentan and the high morbidity and/or mortality of the underlying PAH and</w:t>
      </w:r>
      <w:r>
        <w:rPr>
          <w:lang w:eastAsia="ja-JP"/>
        </w:rPr>
        <w:t xml:space="preserve"> </w:t>
      </w:r>
      <w:r w:rsidRPr="00447066">
        <w:rPr>
          <w:lang w:eastAsia="ja-JP"/>
        </w:rPr>
        <w:t>connective tissue disease. The events described in this report are not believed to present</w:t>
      </w:r>
      <w:r>
        <w:rPr>
          <w:lang w:eastAsia="ja-JP"/>
        </w:rPr>
        <w:t xml:space="preserve"> </w:t>
      </w:r>
      <w:r w:rsidRPr="00447066">
        <w:rPr>
          <w:lang w:eastAsia="ja-JP"/>
        </w:rPr>
        <w:t>an increased risk to patients. A risk minimisation programme focusing on risk</w:t>
      </w:r>
      <w:r>
        <w:rPr>
          <w:lang w:eastAsia="ja-JP"/>
        </w:rPr>
        <w:t xml:space="preserve"> </w:t>
      </w:r>
      <w:r w:rsidRPr="00447066">
        <w:rPr>
          <w:lang w:eastAsia="ja-JP"/>
        </w:rPr>
        <w:t>communication and education to prescribers remains in place for bosentan through</w:t>
      </w:r>
      <w:r>
        <w:rPr>
          <w:lang w:eastAsia="ja-JP"/>
        </w:rPr>
        <w:t xml:space="preserve"> </w:t>
      </w:r>
      <w:r w:rsidRPr="00447066">
        <w:rPr>
          <w:lang w:eastAsia="ja-JP"/>
        </w:rPr>
        <w:t>controlled distribution, as per local requirements, including in the EEA and US.</w:t>
      </w:r>
    </w:p>
    <w:p w14:paraId="2049F72E" w14:textId="77777777" w:rsidR="00954831" w:rsidRDefault="00954831" w:rsidP="00954831">
      <w:pPr>
        <w:rPr>
          <w:lang w:eastAsia="ja-JP"/>
        </w:rPr>
      </w:pPr>
      <w:r>
        <w:rPr>
          <w:lang w:eastAsia="ja-JP"/>
        </w:rPr>
        <w:t>The report states that g</w:t>
      </w:r>
      <w:r w:rsidRPr="00447066">
        <w:rPr>
          <w:lang w:eastAsia="ja-JP"/>
        </w:rPr>
        <w:t>iven the efficacy data, which are consistent between clinical studies and marketed use,</w:t>
      </w:r>
      <w:r>
        <w:rPr>
          <w:lang w:eastAsia="ja-JP"/>
        </w:rPr>
        <w:t xml:space="preserve"> </w:t>
      </w:r>
      <w:r w:rsidRPr="00447066">
        <w:rPr>
          <w:lang w:eastAsia="ja-JP"/>
        </w:rPr>
        <w:t>and the well-characterised safety profile, the benefit-risk profile of bosentan remains</w:t>
      </w:r>
      <w:r>
        <w:rPr>
          <w:lang w:eastAsia="ja-JP"/>
        </w:rPr>
        <w:t xml:space="preserve"> </w:t>
      </w:r>
      <w:r w:rsidRPr="00447066">
        <w:rPr>
          <w:lang w:eastAsia="ja-JP"/>
        </w:rPr>
        <w:t>unchanged, and is favourable for its use in accordance with the approved product</w:t>
      </w:r>
      <w:r>
        <w:rPr>
          <w:lang w:eastAsia="ja-JP"/>
        </w:rPr>
        <w:t xml:space="preserve"> </w:t>
      </w:r>
      <w:r w:rsidRPr="00447066">
        <w:rPr>
          <w:lang w:eastAsia="ja-JP"/>
        </w:rPr>
        <w:t>information.</w:t>
      </w:r>
    </w:p>
    <w:p w14:paraId="509C6CBD" w14:textId="77777777" w:rsidR="00954831" w:rsidRDefault="00954831" w:rsidP="00954831">
      <w:pPr>
        <w:pStyle w:val="Tabletitle"/>
        <w:rPr>
          <w:lang w:eastAsia="ja-JP"/>
        </w:rPr>
      </w:pPr>
      <w:bookmarkStart w:id="480" w:name="_Ref461453270"/>
      <w:bookmarkStart w:id="481" w:name="_Toc473884126"/>
      <w:r w:rsidRPr="00D81D7C">
        <w:lastRenderedPageBreak/>
        <w:t xml:space="preserve">Table </w:t>
      </w:r>
      <w:bookmarkEnd w:id="480"/>
      <w:r w:rsidR="00D81D7C" w:rsidRPr="00D81D7C">
        <w:t>82:</w:t>
      </w:r>
      <w:r>
        <w:t xml:space="preserve"> PSUR 20 Summary of safety concerns at the beginning of the PSUR reporting period</w:t>
      </w:r>
      <w:bookmarkEnd w:id="481"/>
    </w:p>
    <w:p w14:paraId="1C045E03" w14:textId="77777777" w:rsidR="006E0293" w:rsidRDefault="00954831" w:rsidP="00287323">
      <w:pPr>
        <w:rPr>
          <w:lang w:eastAsia="ja-JP"/>
        </w:rPr>
      </w:pPr>
      <w:r>
        <w:rPr>
          <w:noProof/>
          <w:lang w:eastAsia="en-AU"/>
        </w:rPr>
        <w:drawing>
          <wp:inline distT="0" distB="0" distL="0" distR="0" wp14:anchorId="6347057A" wp14:editId="36AA0C90">
            <wp:extent cx="5054803" cy="1723278"/>
            <wp:effectExtent l="0" t="0" r="0" b="0"/>
            <wp:docPr id="109" name="Picture 109" descr="Table 82: PSUR 20 Summary of safety concerns at the beginning of the PSUR reporting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056930" cy="1724003"/>
                    </a:xfrm>
                    <a:prstGeom prst="rect">
                      <a:avLst/>
                    </a:prstGeom>
                  </pic:spPr>
                </pic:pic>
              </a:graphicData>
            </a:graphic>
          </wp:inline>
        </w:drawing>
      </w:r>
    </w:p>
    <w:p w14:paraId="6E975A46" w14:textId="77777777" w:rsidR="00954831" w:rsidRDefault="00954831" w:rsidP="00954831">
      <w:pPr>
        <w:pStyle w:val="Tabletitle"/>
        <w:rPr>
          <w:lang w:eastAsia="ja-JP"/>
        </w:rPr>
      </w:pPr>
      <w:bookmarkStart w:id="482" w:name="_Ref461453514"/>
      <w:bookmarkStart w:id="483" w:name="_Toc473884127"/>
      <w:r w:rsidRPr="00D81D7C">
        <w:t xml:space="preserve">Table </w:t>
      </w:r>
      <w:bookmarkEnd w:id="482"/>
      <w:r w:rsidR="00D81D7C" w:rsidRPr="00D81D7C">
        <w:t>83</w:t>
      </w:r>
      <w:r w:rsidR="00D81D7C">
        <w:t>:</w:t>
      </w:r>
      <w:r>
        <w:t xml:space="preserve"> PSUR 20 New important identified and potential risks added to the RMP after the data lock point</w:t>
      </w:r>
      <w:bookmarkEnd w:id="483"/>
    </w:p>
    <w:p w14:paraId="3F6F30AE" w14:textId="77777777" w:rsidR="006E0293" w:rsidRDefault="00954831" w:rsidP="00287323">
      <w:pPr>
        <w:rPr>
          <w:lang w:eastAsia="ja-JP"/>
        </w:rPr>
      </w:pPr>
      <w:r>
        <w:rPr>
          <w:noProof/>
          <w:lang w:eastAsia="en-AU"/>
        </w:rPr>
        <w:drawing>
          <wp:inline distT="0" distB="0" distL="0" distR="0" wp14:anchorId="34B0B1BA" wp14:editId="799EF5FF">
            <wp:extent cx="5164531" cy="1067667"/>
            <wp:effectExtent l="0" t="0" r="0" b="0"/>
            <wp:docPr id="110" name="Picture 110" descr="Table 83: PSUR 20 New important identified and potential risks added to the RMP after the data lock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5163733" cy="1067502"/>
                    </a:xfrm>
                    <a:prstGeom prst="rect">
                      <a:avLst/>
                    </a:prstGeom>
                  </pic:spPr>
                </pic:pic>
              </a:graphicData>
            </a:graphic>
          </wp:inline>
        </w:drawing>
      </w:r>
    </w:p>
    <w:p w14:paraId="27AB69CA" w14:textId="77777777" w:rsidR="00954831" w:rsidRPr="00093207" w:rsidRDefault="00954831" w:rsidP="00093207">
      <w:pPr>
        <w:pStyle w:val="Heading4"/>
      </w:pPr>
      <w:r w:rsidRPr="00093207">
        <w:t>Ascites</w:t>
      </w:r>
    </w:p>
    <w:p w14:paraId="76063768" w14:textId="77777777" w:rsidR="00954831" w:rsidRPr="007C4446" w:rsidRDefault="00954831" w:rsidP="00954831">
      <w:pPr>
        <w:rPr>
          <w:lang w:eastAsia="ja-JP"/>
        </w:rPr>
      </w:pPr>
      <w:r>
        <w:rPr>
          <w:lang w:eastAsia="ja-JP"/>
        </w:rPr>
        <w:t xml:space="preserve">Cumulatively, during the 13 years of post-marketing experience, the estimated reporting rate of ascites was low (0.3%). In most cases, including those containing an hepatobiliary event/investigation, ascites occurred in the context of progressive PAH disease and associated comorbidities, including RHF, fluid </w:t>
      </w:r>
      <w:r w:rsidRPr="007C4446">
        <w:rPr>
          <w:lang w:eastAsia="ja-JP"/>
        </w:rPr>
        <w:t>retention, and autoimmune rheumatoid diseases. In a</w:t>
      </w:r>
      <w:r>
        <w:rPr>
          <w:lang w:eastAsia="ja-JP"/>
        </w:rPr>
        <w:t xml:space="preserve"> few cases with complex medical </w:t>
      </w:r>
      <w:r w:rsidRPr="007C4446">
        <w:rPr>
          <w:lang w:eastAsia="ja-JP"/>
        </w:rPr>
        <w:t>history, multiple co-morbidities and therapies, a contribution of bosentan to the</w:t>
      </w:r>
      <w:r>
        <w:rPr>
          <w:lang w:eastAsia="ja-JP"/>
        </w:rPr>
        <w:t xml:space="preserve"> </w:t>
      </w:r>
      <w:r w:rsidRPr="007C4446">
        <w:rPr>
          <w:lang w:eastAsia="ja-JP"/>
        </w:rPr>
        <w:t>underlying hepatic event was difficult to establish. The current CCDS describe</w:t>
      </w:r>
      <w:r>
        <w:rPr>
          <w:lang w:eastAsia="ja-JP"/>
        </w:rPr>
        <w:t>s</w:t>
      </w:r>
      <w:r w:rsidRPr="007C4446">
        <w:rPr>
          <w:lang w:eastAsia="ja-JP"/>
        </w:rPr>
        <w:t xml:space="preserve"> ‘uncommon’ hepatitis and</w:t>
      </w:r>
      <w:r>
        <w:rPr>
          <w:lang w:eastAsia="ja-JP"/>
        </w:rPr>
        <w:t xml:space="preserve">/or jaundice, and rare cases of </w:t>
      </w:r>
      <w:r w:rsidRPr="007C4446">
        <w:rPr>
          <w:lang w:eastAsia="ja-JP"/>
        </w:rPr>
        <w:t>unexplained</w:t>
      </w:r>
      <w:r>
        <w:rPr>
          <w:lang w:eastAsia="ja-JP"/>
        </w:rPr>
        <w:t xml:space="preserve"> </w:t>
      </w:r>
      <w:r w:rsidRPr="007C4446">
        <w:rPr>
          <w:lang w:eastAsia="ja-JP"/>
        </w:rPr>
        <w:t>hepatic cirrhosis or liver failure.</w:t>
      </w:r>
    </w:p>
    <w:p w14:paraId="6788867E" w14:textId="77777777" w:rsidR="00954831" w:rsidRDefault="00954831" w:rsidP="00954831">
      <w:pPr>
        <w:rPr>
          <w:lang w:eastAsia="ja-JP"/>
        </w:rPr>
      </w:pPr>
      <w:r w:rsidRPr="007C4446">
        <w:rPr>
          <w:lang w:eastAsia="ja-JP"/>
        </w:rPr>
        <w:t>Considering the above, the absence of a non-clinical signal, and the observed similar</w:t>
      </w:r>
      <w:r>
        <w:rPr>
          <w:lang w:eastAsia="ja-JP"/>
        </w:rPr>
        <w:t xml:space="preserve"> </w:t>
      </w:r>
      <w:r w:rsidRPr="007C4446">
        <w:rPr>
          <w:lang w:eastAsia="ja-JP"/>
        </w:rPr>
        <w:t xml:space="preserve">incidence of ascites in placebo and </w:t>
      </w:r>
      <w:r w:rsidR="00A5161C">
        <w:rPr>
          <w:lang w:eastAsia="ja-JP"/>
        </w:rPr>
        <w:t>bosentan treated</w:t>
      </w:r>
      <w:r w:rsidRPr="007C4446">
        <w:rPr>
          <w:lang w:eastAsia="ja-JP"/>
        </w:rPr>
        <w:t xml:space="preserve"> patients in the 20 </w:t>
      </w:r>
      <w:r w:rsidR="00A5161C">
        <w:rPr>
          <w:lang w:eastAsia="ja-JP"/>
        </w:rPr>
        <w:t>placebo controlled</w:t>
      </w:r>
      <w:r>
        <w:rPr>
          <w:lang w:eastAsia="ja-JP"/>
        </w:rPr>
        <w:t xml:space="preserve"> </w:t>
      </w:r>
      <w:r w:rsidRPr="007C4446">
        <w:rPr>
          <w:lang w:eastAsia="ja-JP"/>
        </w:rPr>
        <w:t>studies in various indications, a causal relationship</w:t>
      </w:r>
      <w:r>
        <w:rPr>
          <w:lang w:eastAsia="ja-JP"/>
        </w:rPr>
        <w:t xml:space="preserve"> between bosentan and ascites was </w:t>
      </w:r>
      <w:r w:rsidRPr="007C4446">
        <w:rPr>
          <w:lang w:eastAsia="ja-JP"/>
        </w:rPr>
        <w:t>deemed unlikely.</w:t>
      </w:r>
    </w:p>
    <w:p w14:paraId="7B9C7765" w14:textId="77777777" w:rsidR="00954831" w:rsidRPr="00954831" w:rsidRDefault="00954831" w:rsidP="00954831">
      <w:pPr>
        <w:pStyle w:val="Heading4"/>
      </w:pPr>
      <w:r w:rsidRPr="00954831">
        <w:t>Nasal congestion</w:t>
      </w:r>
    </w:p>
    <w:p w14:paraId="3C9D65E9" w14:textId="77777777" w:rsidR="007C6D8D" w:rsidRDefault="00954831" w:rsidP="00954831">
      <w:pPr>
        <w:rPr>
          <w:lang w:eastAsia="ja-JP"/>
        </w:rPr>
      </w:pPr>
      <w:r>
        <w:rPr>
          <w:lang w:eastAsia="ja-JP"/>
        </w:rPr>
        <w:t xml:space="preserve">The pooled safety data from 20 </w:t>
      </w:r>
      <w:r w:rsidR="00A5161C">
        <w:rPr>
          <w:lang w:eastAsia="ja-JP"/>
        </w:rPr>
        <w:t>placebo controlled</w:t>
      </w:r>
      <w:r>
        <w:rPr>
          <w:lang w:eastAsia="ja-JP"/>
        </w:rPr>
        <w:t xml:space="preserve"> clinical studies with bosentan were analysed. The overall incidence of nas</w:t>
      </w:r>
      <w:r w:rsidR="00A2508E">
        <w:rPr>
          <w:lang w:eastAsia="ja-JP"/>
        </w:rPr>
        <w:t xml:space="preserve">al congestion (PT) was 1.7% (43 out of </w:t>
      </w:r>
      <w:r>
        <w:rPr>
          <w:lang w:eastAsia="ja-JP"/>
        </w:rPr>
        <w:t>2486) in pa</w:t>
      </w:r>
      <w:r w:rsidR="00A2508E">
        <w:rPr>
          <w:lang w:eastAsia="ja-JP"/>
        </w:rPr>
        <w:t xml:space="preserve">tients on bosentan and 1.2% (22 out of </w:t>
      </w:r>
      <w:r>
        <w:rPr>
          <w:lang w:eastAsia="ja-JP"/>
        </w:rPr>
        <w:t>1838) in patients on placebo</w:t>
      </w:r>
      <w:r w:rsidR="007C6D8D">
        <w:rPr>
          <w:lang w:eastAsia="ja-JP"/>
        </w:rPr>
        <w:t>.</w:t>
      </w:r>
    </w:p>
    <w:p w14:paraId="7D5B7E2C" w14:textId="77777777" w:rsidR="007C6D8D" w:rsidRDefault="00954831" w:rsidP="00954831">
      <w:pPr>
        <w:rPr>
          <w:lang w:eastAsia="ja-JP"/>
        </w:rPr>
      </w:pPr>
      <w:r>
        <w:rPr>
          <w:lang w:eastAsia="ja-JP"/>
        </w:rPr>
        <w:t>The safety database held seven SAE</w:t>
      </w:r>
      <w:r w:rsidRPr="00766FB5">
        <w:rPr>
          <w:lang w:eastAsia="ja-JP"/>
        </w:rPr>
        <w:t xml:space="preserve"> cases</w:t>
      </w:r>
      <w:r>
        <w:rPr>
          <w:lang w:eastAsia="ja-JP"/>
        </w:rPr>
        <w:t xml:space="preserve"> that included</w:t>
      </w:r>
      <w:r w:rsidRPr="00766FB5">
        <w:rPr>
          <w:lang w:eastAsia="ja-JP"/>
        </w:rPr>
        <w:t xml:space="preserve"> the PT ‘nasal congestion’ have been received from clinical</w:t>
      </w:r>
      <w:r>
        <w:rPr>
          <w:lang w:eastAsia="ja-JP"/>
        </w:rPr>
        <w:t xml:space="preserve"> </w:t>
      </w:r>
      <w:r w:rsidRPr="00766FB5">
        <w:rPr>
          <w:lang w:eastAsia="ja-JP"/>
        </w:rPr>
        <w:t>studies, including 2 cases pertaining to patients receiving placebo. Of the 5 cases reported</w:t>
      </w:r>
      <w:r>
        <w:rPr>
          <w:lang w:eastAsia="ja-JP"/>
        </w:rPr>
        <w:t xml:space="preserve"> </w:t>
      </w:r>
      <w:r w:rsidRPr="00766FB5">
        <w:rPr>
          <w:lang w:eastAsia="ja-JP"/>
        </w:rPr>
        <w:t xml:space="preserve">on bosentan, none was assessed as related to </w:t>
      </w:r>
      <w:r w:rsidR="0066478A">
        <w:rPr>
          <w:lang w:eastAsia="ja-JP"/>
        </w:rPr>
        <w:t>study</w:t>
      </w:r>
      <w:r w:rsidRPr="00766FB5">
        <w:rPr>
          <w:lang w:eastAsia="ja-JP"/>
        </w:rPr>
        <w:t xml:space="preserve"> </w:t>
      </w:r>
      <w:r w:rsidR="00A2508E" w:rsidRPr="00766FB5">
        <w:rPr>
          <w:lang w:eastAsia="ja-JP"/>
        </w:rPr>
        <w:t>medication;</w:t>
      </w:r>
      <w:r w:rsidRPr="00766FB5">
        <w:rPr>
          <w:lang w:eastAsia="ja-JP"/>
        </w:rPr>
        <w:t xml:space="preserve"> none resulted in changes</w:t>
      </w:r>
      <w:r>
        <w:rPr>
          <w:lang w:eastAsia="ja-JP"/>
        </w:rPr>
        <w:t xml:space="preserve"> </w:t>
      </w:r>
      <w:r w:rsidRPr="00766FB5">
        <w:rPr>
          <w:lang w:eastAsia="ja-JP"/>
        </w:rPr>
        <w:t>in medication, and all resolved.</w:t>
      </w:r>
      <w:r>
        <w:rPr>
          <w:lang w:eastAsia="ja-JP"/>
        </w:rPr>
        <w:t xml:space="preserve"> Two</w:t>
      </w:r>
      <w:r w:rsidRPr="00766FB5">
        <w:rPr>
          <w:lang w:eastAsia="ja-JP"/>
        </w:rPr>
        <w:t xml:space="preserve"> cases were reported for paediatric patients with PAH, </w:t>
      </w:r>
      <w:r>
        <w:rPr>
          <w:lang w:eastAsia="ja-JP"/>
        </w:rPr>
        <w:t>an</w:t>
      </w:r>
      <w:r w:rsidR="00A2508E">
        <w:rPr>
          <w:lang w:eastAsia="ja-JP"/>
        </w:rPr>
        <w:t xml:space="preserve"> 8 </w:t>
      </w:r>
      <w:r w:rsidRPr="00766FB5">
        <w:rPr>
          <w:lang w:eastAsia="ja-JP"/>
        </w:rPr>
        <w:t>year</w:t>
      </w:r>
      <w:r w:rsidR="00416FD1">
        <w:rPr>
          <w:lang w:eastAsia="ja-JP"/>
        </w:rPr>
        <w:t xml:space="preserve"> </w:t>
      </w:r>
      <w:r w:rsidRPr="00766FB5">
        <w:rPr>
          <w:lang w:eastAsia="ja-JP"/>
        </w:rPr>
        <w:t>old</w:t>
      </w:r>
      <w:r>
        <w:rPr>
          <w:lang w:eastAsia="ja-JP"/>
        </w:rPr>
        <w:t xml:space="preserve"> </w:t>
      </w:r>
      <w:r w:rsidRPr="00766FB5">
        <w:rPr>
          <w:lang w:eastAsia="ja-JP"/>
        </w:rPr>
        <w:t>girl who had been switched from bosentan to ambrisentan 2.5 weeks before onset of</w:t>
      </w:r>
      <w:r>
        <w:rPr>
          <w:lang w:eastAsia="ja-JP"/>
        </w:rPr>
        <w:t xml:space="preserve"> </w:t>
      </w:r>
      <w:r w:rsidRPr="00766FB5">
        <w:rPr>
          <w:lang w:eastAsia="ja-JP"/>
        </w:rPr>
        <w:t xml:space="preserve">lobar pneumonia and concomitant nasal congestion and </w:t>
      </w:r>
      <w:r>
        <w:rPr>
          <w:lang w:eastAsia="ja-JP"/>
        </w:rPr>
        <w:t>a</w:t>
      </w:r>
      <w:r w:rsidRPr="00766FB5">
        <w:rPr>
          <w:lang w:eastAsia="ja-JP"/>
        </w:rPr>
        <w:t xml:space="preserve"> 1-year</w:t>
      </w:r>
      <w:r>
        <w:rPr>
          <w:lang w:eastAsia="ja-JP"/>
        </w:rPr>
        <w:t xml:space="preserve"> </w:t>
      </w:r>
      <w:r w:rsidRPr="00766FB5">
        <w:rPr>
          <w:lang w:eastAsia="ja-JP"/>
        </w:rPr>
        <w:t>old</w:t>
      </w:r>
      <w:r>
        <w:rPr>
          <w:lang w:eastAsia="ja-JP"/>
        </w:rPr>
        <w:t xml:space="preserve"> </w:t>
      </w:r>
      <w:r w:rsidRPr="00766FB5">
        <w:rPr>
          <w:lang w:eastAsia="ja-JP"/>
        </w:rPr>
        <w:t>boy with trisomy 21 in a context of adenoviral upper respiratory infection</w:t>
      </w:r>
      <w:r w:rsidR="007C6D8D">
        <w:rPr>
          <w:lang w:eastAsia="ja-JP"/>
        </w:rPr>
        <w:t>.</w:t>
      </w:r>
    </w:p>
    <w:p w14:paraId="3A0458B8" w14:textId="77777777" w:rsidR="00954831" w:rsidRDefault="00954831" w:rsidP="00954831">
      <w:pPr>
        <w:rPr>
          <w:lang w:eastAsia="ja-JP"/>
        </w:rPr>
      </w:pPr>
      <w:r w:rsidRPr="00A9695A">
        <w:rPr>
          <w:lang w:eastAsia="ja-JP"/>
        </w:rPr>
        <w:t>Cumulatively, since IBD, 1255 cases were retrieved with an event of nasal congestion. Bosentan was withdrawn or interrupted in 184 ca</w:t>
      </w:r>
      <w:r>
        <w:rPr>
          <w:lang w:eastAsia="ja-JP"/>
        </w:rPr>
        <w:t xml:space="preserve">ses and the dose was reduced in </w:t>
      </w:r>
      <w:r w:rsidRPr="00A9695A">
        <w:rPr>
          <w:lang w:eastAsia="ja-JP"/>
        </w:rPr>
        <w:t>14 cases (not necessarily related to the event of nasal congestion). The outcome of nasal</w:t>
      </w:r>
      <w:r>
        <w:rPr>
          <w:lang w:eastAsia="ja-JP"/>
        </w:rPr>
        <w:t xml:space="preserve"> </w:t>
      </w:r>
      <w:r w:rsidRPr="00A9695A">
        <w:rPr>
          <w:lang w:eastAsia="ja-JP"/>
        </w:rPr>
        <w:t>congestion was reported in 58 of these 198 cases, being resolved or improved in 48 and</w:t>
      </w:r>
      <w:r>
        <w:rPr>
          <w:lang w:eastAsia="ja-JP"/>
        </w:rPr>
        <w:t xml:space="preserve"> </w:t>
      </w:r>
      <w:r w:rsidRPr="00A9695A">
        <w:rPr>
          <w:lang w:eastAsia="ja-JP"/>
        </w:rPr>
        <w:t xml:space="preserve">not resolved in 10 </w:t>
      </w:r>
      <w:r w:rsidRPr="00A9695A">
        <w:rPr>
          <w:lang w:eastAsia="ja-JP"/>
        </w:rPr>
        <w:lastRenderedPageBreak/>
        <w:t>cases. Outcome was not reported /unknown in the remaining</w:t>
      </w:r>
      <w:r>
        <w:rPr>
          <w:lang w:eastAsia="ja-JP"/>
        </w:rPr>
        <w:t xml:space="preserve"> </w:t>
      </w:r>
      <w:r w:rsidRPr="00A9695A">
        <w:rPr>
          <w:lang w:eastAsia="ja-JP"/>
        </w:rPr>
        <w:t>140 cases.</w:t>
      </w:r>
      <w:r>
        <w:rPr>
          <w:lang w:eastAsia="ja-JP"/>
        </w:rPr>
        <w:t xml:space="preserve"> </w:t>
      </w:r>
      <w:r w:rsidRPr="00A9695A">
        <w:rPr>
          <w:lang w:eastAsia="ja-JP"/>
        </w:rPr>
        <w:t>In 1</w:t>
      </w:r>
      <w:r w:rsidR="00A2508E">
        <w:rPr>
          <w:lang w:eastAsia="ja-JP"/>
        </w:rPr>
        <w:t>,</w:t>
      </w:r>
      <w:r w:rsidRPr="00A9695A">
        <w:rPr>
          <w:lang w:eastAsia="ja-JP"/>
        </w:rPr>
        <w:t>001 cases it was reported that bosentan was maintained unchanged, and 123 of these</w:t>
      </w:r>
      <w:r>
        <w:rPr>
          <w:lang w:eastAsia="ja-JP"/>
        </w:rPr>
        <w:t xml:space="preserve"> </w:t>
      </w:r>
      <w:r w:rsidRPr="00A9695A">
        <w:rPr>
          <w:lang w:eastAsia="ja-JP"/>
        </w:rPr>
        <w:t>cases had an outcome reported for nasal congestion: resolved or improved in 80 cases,</w:t>
      </w:r>
      <w:r>
        <w:rPr>
          <w:lang w:eastAsia="ja-JP"/>
        </w:rPr>
        <w:t xml:space="preserve"> </w:t>
      </w:r>
      <w:r w:rsidRPr="00A9695A">
        <w:rPr>
          <w:lang w:eastAsia="ja-JP"/>
        </w:rPr>
        <w:t>not resolved in 43, and worsened in 2 cases. Outcome was not reported /unknown in the</w:t>
      </w:r>
      <w:r>
        <w:rPr>
          <w:lang w:eastAsia="ja-JP"/>
        </w:rPr>
        <w:t xml:space="preserve"> </w:t>
      </w:r>
      <w:r w:rsidRPr="00A9695A">
        <w:rPr>
          <w:lang w:eastAsia="ja-JP"/>
        </w:rPr>
        <w:t>remaining 876 cases. Dose was increased in 2 cases (outcome not reported/ unknown), and action t</w:t>
      </w:r>
      <w:r>
        <w:rPr>
          <w:lang w:eastAsia="ja-JP"/>
        </w:rPr>
        <w:t xml:space="preserve">aken was </w:t>
      </w:r>
      <w:r w:rsidRPr="00A9695A">
        <w:rPr>
          <w:lang w:eastAsia="ja-JP"/>
        </w:rPr>
        <w:t>unknown in 54 cases with outcome resolved or improved in 12 cases, not resolved in 2,</w:t>
      </w:r>
      <w:r>
        <w:rPr>
          <w:lang w:eastAsia="ja-JP"/>
        </w:rPr>
        <w:t xml:space="preserve"> </w:t>
      </w:r>
      <w:r w:rsidRPr="00A9695A">
        <w:rPr>
          <w:lang w:eastAsia="ja-JP"/>
        </w:rPr>
        <w:t>and not reported/ unknown in the remaining 40 cases.</w:t>
      </w:r>
      <w:r>
        <w:rPr>
          <w:lang w:eastAsia="ja-JP"/>
        </w:rPr>
        <w:t xml:space="preserve"> </w:t>
      </w:r>
      <w:r w:rsidRPr="00A9695A">
        <w:rPr>
          <w:lang w:eastAsia="ja-JP"/>
        </w:rPr>
        <w:t>A positive rechallenge including nasal congestion was reported for 4 cases. In 10 other cases with ‘positive rechallenge’ indicated in</w:t>
      </w:r>
      <w:r>
        <w:rPr>
          <w:lang w:eastAsia="ja-JP"/>
        </w:rPr>
        <w:t xml:space="preserve"> Argus, rechallenge referred to </w:t>
      </w:r>
      <w:r w:rsidRPr="00A9695A">
        <w:rPr>
          <w:lang w:eastAsia="ja-JP"/>
        </w:rPr>
        <w:t>different events reported within the same case</w:t>
      </w:r>
      <w:r>
        <w:rPr>
          <w:lang w:eastAsia="ja-JP"/>
        </w:rPr>
        <w:t>.</w:t>
      </w:r>
    </w:p>
    <w:p w14:paraId="53CC52B3" w14:textId="77777777" w:rsidR="00954831" w:rsidRDefault="00954831" w:rsidP="00954831">
      <w:pPr>
        <w:rPr>
          <w:lang w:eastAsia="ja-JP"/>
        </w:rPr>
      </w:pPr>
      <w:r w:rsidRPr="00A9695A">
        <w:rPr>
          <w:lang w:eastAsia="ja-JP"/>
        </w:rPr>
        <w:t>Based on the above evaluation, ‘nasal congestion’ was id</w:t>
      </w:r>
      <w:r>
        <w:rPr>
          <w:lang w:eastAsia="ja-JP"/>
        </w:rPr>
        <w:t xml:space="preserve">entified as a signal, which was </w:t>
      </w:r>
      <w:r w:rsidRPr="00A9695A">
        <w:rPr>
          <w:lang w:eastAsia="ja-JP"/>
        </w:rPr>
        <w:t>closed during the cu</w:t>
      </w:r>
      <w:r>
        <w:rPr>
          <w:lang w:eastAsia="ja-JP"/>
        </w:rPr>
        <w:t xml:space="preserve">rrent review period and </w:t>
      </w:r>
      <w:r w:rsidRPr="00A9695A">
        <w:rPr>
          <w:lang w:eastAsia="ja-JP"/>
        </w:rPr>
        <w:t xml:space="preserve">classified as an ADR. </w:t>
      </w:r>
      <w:r>
        <w:rPr>
          <w:lang w:eastAsia="ja-JP"/>
        </w:rPr>
        <w:t xml:space="preserve">The </w:t>
      </w:r>
      <w:r w:rsidR="007C6D8D">
        <w:rPr>
          <w:lang w:eastAsia="ja-JP"/>
        </w:rPr>
        <w:t>sponsor</w:t>
      </w:r>
      <w:r>
        <w:rPr>
          <w:lang w:eastAsia="ja-JP"/>
        </w:rPr>
        <w:t xml:space="preserve"> proposes to add ‘nasal congestion’ to the ADR table in the SmPC, as a ‘common’ event under the ‘Respiratory, thoracic and mediastinal disorders’ SOC. The CCDS will be updated accordingly.</w:t>
      </w:r>
    </w:p>
    <w:p w14:paraId="608D7E48" w14:textId="77777777" w:rsidR="00954831" w:rsidRPr="00093207" w:rsidRDefault="00954831" w:rsidP="00093207">
      <w:pPr>
        <w:pStyle w:val="Heading4"/>
      </w:pPr>
      <w:r w:rsidRPr="00093207">
        <w:t>Fall</w:t>
      </w:r>
    </w:p>
    <w:p w14:paraId="2F328785" w14:textId="27C9D253" w:rsidR="00954831" w:rsidRPr="00A2508E" w:rsidRDefault="00954831" w:rsidP="00954831">
      <w:pPr>
        <w:rPr>
          <w:iCs/>
          <w:lang w:eastAsia="ja-JP"/>
        </w:rPr>
      </w:pPr>
      <w:r>
        <w:rPr>
          <w:lang w:eastAsia="ja-JP"/>
        </w:rPr>
        <w:t xml:space="preserve">In the 20 integrated </w:t>
      </w:r>
      <w:r w:rsidR="00A5161C">
        <w:rPr>
          <w:lang w:eastAsia="ja-JP"/>
        </w:rPr>
        <w:t>placebo controlled</w:t>
      </w:r>
      <w:r>
        <w:rPr>
          <w:lang w:eastAsia="ja-JP"/>
        </w:rPr>
        <w:t xml:space="preserve"> trials hypotension</w:t>
      </w:r>
      <w:r w:rsidRPr="00A9695A">
        <w:rPr>
          <w:lang w:eastAsia="ja-JP"/>
        </w:rPr>
        <w:t xml:space="preserve"> was reported at a lower incidence in </w:t>
      </w:r>
      <w:r w:rsidR="00A5161C">
        <w:rPr>
          <w:lang w:eastAsia="ja-JP"/>
        </w:rPr>
        <w:t>bosentan treated</w:t>
      </w:r>
      <w:r>
        <w:rPr>
          <w:lang w:eastAsia="ja-JP"/>
        </w:rPr>
        <w:t xml:space="preserve"> </w:t>
      </w:r>
      <w:r w:rsidRPr="00A9695A">
        <w:rPr>
          <w:lang w:eastAsia="ja-JP"/>
        </w:rPr>
        <w:t xml:space="preserve">patients (5.8%) than in placebo-treated patients (6.5%). </w:t>
      </w:r>
      <w:r>
        <w:rPr>
          <w:lang w:eastAsia="ja-JP"/>
        </w:rPr>
        <w:t>I</w:t>
      </w:r>
      <w:r w:rsidRPr="00A9695A">
        <w:rPr>
          <w:lang w:eastAsia="ja-JP"/>
        </w:rPr>
        <w:t>n the PAH subset, the incidence on bosentan (3.2%) was similar to</w:t>
      </w:r>
      <w:r>
        <w:rPr>
          <w:lang w:eastAsia="ja-JP"/>
        </w:rPr>
        <w:t xml:space="preserve"> </w:t>
      </w:r>
      <w:r w:rsidRPr="00A9695A">
        <w:rPr>
          <w:lang w:eastAsia="ja-JP"/>
        </w:rPr>
        <w:t xml:space="preserve">that on placebo (3.0%). </w:t>
      </w:r>
      <w:r>
        <w:rPr>
          <w:lang w:eastAsia="ja-JP"/>
        </w:rPr>
        <w:t>Syncope</w:t>
      </w:r>
      <w:r w:rsidRPr="00A9695A">
        <w:rPr>
          <w:lang w:eastAsia="ja-JP"/>
        </w:rPr>
        <w:t xml:space="preserve"> was reported at a lower incidence in </w:t>
      </w:r>
      <w:r w:rsidR="00A5161C">
        <w:rPr>
          <w:lang w:eastAsia="ja-JP"/>
        </w:rPr>
        <w:t>bosentan treated</w:t>
      </w:r>
      <w:r w:rsidRPr="00A9695A">
        <w:rPr>
          <w:lang w:eastAsia="ja-JP"/>
        </w:rPr>
        <w:t xml:space="preserve"> patients</w:t>
      </w:r>
      <w:r>
        <w:rPr>
          <w:lang w:eastAsia="ja-JP"/>
        </w:rPr>
        <w:t xml:space="preserve"> </w:t>
      </w:r>
      <w:r w:rsidRPr="00A9695A">
        <w:rPr>
          <w:lang w:eastAsia="ja-JP"/>
        </w:rPr>
        <w:t>(2.3%) than in placebo-treated patients (3.1%). In the PAH subset, the incidence of</w:t>
      </w:r>
      <w:r>
        <w:rPr>
          <w:lang w:eastAsia="ja-JP"/>
        </w:rPr>
        <w:t xml:space="preserve"> </w:t>
      </w:r>
      <w:r w:rsidRPr="00A9695A">
        <w:rPr>
          <w:lang w:eastAsia="ja-JP"/>
        </w:rPr>
        <w:t xml:space="preserve">syncope on bosentan (4.1%) and placebo (4.0%) was similar. The incidence of syncope reported as a </w:t>
      </w:r>
      <w:r>
        <w:rPr>
          <w:lang w:eastAsia="ja-JP"/>
        </w:rPr>
        <w:t>SAE</w:t>
      </w:r>
      <w:r w:rsidRPr="00A9695A">
        <w:rPr>
          <w:lang w:eastAsia="ja-JP"/>
        </w:rPr>
        <w:t xml:space="preserve"> was 1.0%</w:t>
      </w:r>
      <w:r>
        <w:rPr>
          <w:lang w:eastAsia="ja-JP"/>
        </w:rPr>
        <w:t xml:space="preserve"> </w:t>
      </w:r>
      <w:r w:rsidRPr="00A9695A">
        <w:rPr>
          <w:lang w:eastAsia="ja-JP"/>
        </w:rPr>
        <w:t>on bosentan and 1.6% on placebo in the overall pool. A few patients discontinued</w:t>
      </w:r>
      <w:r>
        <w:rPr>
          <w:lang w:eastAsia="ja-JP"/>
        </w:rPr>
        <w:t xml:space="preserve"> </w:t>
      </w:r>
      <w:r w:rsidRPr="00A9695A">
        <w:rPr>
          <w:lang w:eastAsia="ja-JP"/>
        </w:rPr>
        <w:t xml:space="preserve">treatment due to syncope (4 patients </w:t>
      </w:r>
      <w:r w:rsidR="00E352DD">
        <w:rPr>
          <w:lang w:eastAsia="ja-JP"/>
        </w:rPr>
        <w:t>(</w:t>
      </w:r>
      <w:r w:rsidRPr="00A9695A">
        <w:rPr>
          <w:lang w:eastAsia="ja-JP"/>
        </w:rPr>
        <w:t>0.2%</w:t>
      </w:r>
      <w:r w:rsidR="00E352DD">
        <w:rPr>
          <w:lang w:eastAsia="ja-JP"/>
        </w:rPr>
        <w:t>)</w:t>
      </w:r>
      <w:r w:rsidRPr="00A9695A">
        <w:rPr>
          <w:lang w:eastAsia="ja-JP"/>
        </w:rPr>
        <w:t xml:space="preserve"> on bosentan and 2 patients </w:t>
      </w:r>
      <w:r w:rsidR="00E352DD">
        <w:rPr>
          <w:lang w:eastAsia="ja-JP"/>
        </w:rPr>
        <w:t>(</w:t>
      </w:r>
      <w:r w:rsidRPr="00A9695A">
        <w:rPr>
          <w:lang w:eastAsia="ja-JP"/>
        </w:rPr>
        <w:t>0.1%</w:t>
      </w:r>
      <w:r w:rsidR="00E352DD">
        <w:rPr>
          <w:lang w:eastAsia="ja-JP"/>
        </w:rPr>
        <w:t>)</w:t>
      </w:r>
      <w:r w:rsidRPr="00A9695A">
        <w:rPr>
          <w:lang w:eastAsia="ja-JP"/>
        </w:rPr>
        <w:t xml:space="preserve"> on</w:t>
      </w:r>
      <w:r>
        <w:rPr>
          <w:lang w:eastAsia="ja-JP"/>
        </w:rPr>
        <w:t xml:space="preserve"> </w:t>
      </w:r>
      <w:r w:rsidRPr="00A9695A">
        <w:rPr>
          <w:lang w:eastAsia="ja-JP"/>
        </w:rPr>
        <w:t xml:space="preserve">placebo). The distribution of events of fall and injuries is </w:t>
      </w:r>
      <w:r w:rsidRPr="00D81D7C">
        <w:rPr>
          <w:lang w:eastAsia="ja-JP"/>
        </w:rPr>
        <w:t>shown in</w:t>
      </w:r>
      <w:r w:rsidR="00D81D7C" w:rsidRPr="00D81D7C">
        <w:rPr>
          <w:lang w:eastAsia="ja-JP"/>
        </w:rPr>
        <w:t xml:space="preserve"> Table 84</w:t>
      </w:r>
      <w:r w:rsidRPr="00D81D7C">
        <w:rPr>
          <w:lang w:eastAsia="ja-JP"/>
        </w:rPr>
        <w:t>.</w:t>
      </w:r>
    </w:p>
    <w:p w14:paraId="4085BA5B" w14:textId="77777777" w:rsidR="00954831" w:rsidRDefault="00954831" w:rsidP="00954831">
      <w:pPr>
        <w:pStyle w:val="Tabletitle"/>
        <w:rPr>
          <w:lang w:eastAsia="ja-JP"/>
        </w:rPr>
      </w:pPr>
      <w:bookmarkStart w:id="484" w:name="_Ref461457203"/>
      <w:bookmarkStart w:id="485" w:name="_Toc473884128"/>
      <w:r w:rsidRPr="00D81D7C">
        <w:t xml:space="preserve">Table </w:t>
      </w:r>
      <w:bookmarkEnd w:id="484"/>
      <w:r w:rsidR="00D81D7C" w:rsidRPr="00D81D7C">
        <w:t>84:</w:t>
      </w:r>
      <w:r w:rsidRPr="00D81D7C">
        <w:t xml:space="preserve"> PSUR</w:t>
      </w:r>
      <w:r>
        <w:t xml:space="preserve"> 20 Summary of selected TEAEs potentially associated with fall and events of injury in the overall pool and for the approved indications</w:t>
      </w:r>
      <w:bookmarkEnd w:id="485"/>
    </w:p>
    <w:p w14:paraId="654B0202" w14:textId="77777777" w:rsidR="006E0293" w:rsidRDefault="00954831" w:rsidP="00287323">
      <w:pPr>
        <w:rPr>
          <w:lang w:eastAsia="ja-JP"/>
        </w:rPr>
      </w:pPr>
      <w:r>
        <w:rPr>
          <w:noProof/>
          <w:lang w:eastAsia="en-AU"/>
        </w:rPr>
        <w:drawing>
          <wp:inline distT="0" distB="0" distL="0" distR="0" wp14:anchorId="62503823" wp14:editId="3A868456">
            <wp:extent cx="5731510" cy="2818621"/>
            <wp:effectExtent l="0" t="0" r="2540" b="1270"/>
            <wp:docPr id="111" name="Picture 111" descr="Table 84: PSUR 20 Summary of selected TEAEs potentially associated with fall and events of injury in the overall pool and for the approved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BEBA8EAE-BF5A-486C-A8C5-ECC9F3942E4B}">
                          <a14:imgProps xmlns:a14="http://schemas.microsoft.com/office/drawing/2010/main">
                            <a14:imgLayer r:embed="rId157">
                              <a14:imgEffect>
                                <a14:sharpenSoften amount="25000"/>
                              </a14:imgEffect>
                              <a14:imgEffect>
                                <a14:brightnessContrast contrast="-40000"/>
                              </a14:imgEffect>
                            </a14:imgLayer>
                          </a14:imgProps>
                        </a:ext>
                      </a:extLst>
                    </a:blip>
                    <a:stretch>
                      <a:fillRect/>
                    </a:stretch>
                  </pic:blipFill>
                  <pic:spPr>
                    <a:xfrm>
                      <a:off x="0" y="0"/>
                      <a:ext cx="5731510" cy="2818621"/>
                    </a:xfrm>
                    <a:prstGeom prst="rect">
                      <a:avLst/>
                    </a:prstGeom>
                  </pic:spPr>
                </pic:pic>
              </a:graphicData>
            </a:graphic>
          </wp:inline>
        </w:drawing>
      </w:r>
    </w:p>
    <w:p w14:paraId="0998F579" w14:textId="77777777" w:rsidR="00954831" w:rsidRPr="00A9695A" w:rsidRDefault="00954831" w:rsidP="00954831">
      <w:pPr>
        <w:rPr>
          <w:lang w:eastAsia="ja-JP"/>
        </w:rPr>
      </w:pPr>
      <w:r>
        <w:rPr>
          <w:bCs/>
          <w:iCs/>
          <w:lang w:eastAsia="ja-JP"/>
        </w:rPr>
        <w:t xml:space="preserve">Falls </w:t>
      </w:r>
      <w:r>
        <w:rPr>
          <w:lang w:eastAsia="ja-JP"/>
        </w:rPr>
        <w:t>were</w:t>
      </w:r>
      <w:r w:rsidRPr="00A9695A">
        <w:rPr>
          <w:lang w:eastAsia="ja-JP"/>
        </w:rPr>
        <w:t xml:space="preserve"> reported at a lower incidence in </w:t>
      </w:r>
      <w:r w:rsidR="00A5161C">
        <w:rPr>
          <w:lang w:eastAsia="ja-JP"/>
        </w:rPr>
        <w:t>bosentan treated</w:t>
      </w:r>
      <w:r w:rsidRPr="00A9695A">
        <w:rPr>
          <w:lang w:eastAsia="ja-JP"/>
        </w:rPr>
        <w:t xml:space="preserve"> patients (1.1%) than in</w:t>
      </w:r>
      <w:r>
        <w:rPr>
          <w:lang w:eastAsia="ja-JP"/>
        </w:rPr>
        <w:t xml:space="preserve"> </w:t>
      </w:r>
      <w:r w:rsidRPr="00A9695A">
        <w:rPr>
          <w:lang w:eastAsia="ja-JP"/>
        </w:rPr>
        <w:t>placebo-treated patients (2.4%). In the PAH and DU/SSc subsets, the observed incidence</w:t>
      </w:r>
      <w:r>
        <w:rPr>
          <w:lang w:eastAsia="ja-JP"/>
        </w:rPr>
        <w:t xml:space="preserve"> </w:t>
      </w:r>
      <w:r w:rsidRPr="00A9695A">
        <w:rPr>
          <w:lang w:eastAsia="ja-JP"/>
        </w:rPr>
        <w:t>of falls in patients treated with bosentan was 0.3% and 0.6%, respectively, and in the</w:t>
      </w:r>
      <w:r>
        <w:rPr>
          <w:lang w:eastAsia="ja-JP"/>
        </w:rPr>
        <w:t xml:space="preserve"> </w:t>
      </w:r>
      <w:r w:rsidRPr="00A9695A">
        <w:rPr>
          <w:lang w:eastAsia="ja-JP"/>
        </w:rPr>
        <w:t>placebo-treated patients 0.5% and 1.5%, respectively.</w:t>
      </w:r>
      <w:r>
        <w:rPr>
          <w:lang w:eastAsia="ja-JP"/>
        </w:rPr>
        <w:t xml:space="preserve"> </w:t>
      </w:r>
      <w:r>
        <w:rPr>
          <w:bCs/>
          <w:iCs/>
          <w:lang w:eastAsia="ja-JP"/>
        </w:rPr>
        <w:t>R</w:t>
      </w:r>
      <w:r w:rsidRPr="004C2433">
        <w:rPr>
          <w:lang w:eastAsia="ja-JP"/>
        </w:rPr>
        <w:t>ib</w:t>
      </w:r>
      <w:r w:rsidRPr="00A9695A">
        <w:rPr>
          <w:lang w:eastAsia="ja-JP"/>
        </w:rPr>
        <w:t xml:space="preserve"> fracture was the most commonly reported injury event, reported in 0.5% of</w:t>
      </w:r>
      <w:r>
        <w:rPr>
          <w:lang w:eastAsia="ja-JP"/>
        </w:rPr>
        <w:t xml:space="preserve"> </w:t>
      </w:r>
      <w:r w:rsidR="00416FD1">
        <w:rPr>
          <w:lang w:eastAsia="ja-JP"/>
        </w:rPr>
        <w:t xml:space="preserve">bosentan and placebo </w:t>
      </w:r>
      <w:r w:rsidRPr="00A9695A">
        <w:rPr>
          <w:lang w:eastAsia="ja-JP"/>
        </w:rPr>
        <w:t>treated patients, followed by muscle strain and limb fracture.</w:t>
      </w:r>
    </w:p>
    <w:p w14:paraId="4C0DE844" w14:textId="77777777" w:rsidR="007C6D8D" w:rsidRDefault="00954831" w:rsidP="00954831">
      <w:pPr>
        <w:rPr>
          <w:lang w:eastAsia="ja-JP"/>
        </w:rPr>
      </w:pPr>
      <w:r>
        <w:rPr>
          <w:lang w:eastAsia="ja-JP"/>
        </w:rPr>
        <w:t xml:space="preserve">The safety database contained </w:t>
      </w:r>
      <w:r w:rsidRPr="00A9695A">
        <w:rPr>
          <w:lang w:eastAsia="ja-JP"/>
        </w:rPr>
        <w:t>42 case reports containing an event of fall (2 case reports</w:t>
      </w:r>
      <w:r>
        <w:rPr>
          <w:lang w:eastAsia="ja-JP"/>
        </w:rPr>
        <w:t xml:space="preserve"> </w:t>
      </w:r>
      <w:r w:rsidRPr="00A9695A">
        <w:rPr>
          <w:lang w:eastAsia="ja-JP"/>
        </w:rPr>
        <w:t xml:space="preserve">pertained to 1 patient) in </w:t>
      </w:r>
      <w:r w:rsidR="00A5161C">
        <w:rPr>
          <w:lang w:eastAsia="ja-JP"/>
        </w:rPr>
        <w:t>bosentan treated</w:t>
      </w:r>
      <w:r w:rsidRPr="00A9695A">
        <w:rPr>
          <w:lang w:eastAsia="ja-JP"/>
        </w:rPr>
        <w:t xml:space="preserve"> patients</w:t>
      </w:r>
      <w:r>
        <w:rPr>
          <w:lang w:eastAsia="ja-JP"/>
        </w:rPr>
        <w:t xml:space="preserve"> from completed or ongoing clinical trials</w:t>
      </w:r>
      <w:r w:rsidR="007C6D8D">
        <w:rPr>
          <w:lang w:eastAsia="ja-JP"/>
        </w:rPr>
        <w:t>.</w:t>
      </w:r>
    </w:p>
    <w:p w14:paraId="4C945337" w14:textId="77777777" w:rsidR="00954831" w:rsidRDefault="00954831" w:rsidP="00954831">
      <w:pPr>
        <w:rPr>
          <w:lang w:eastAsia="ja-JP"/>
        </w:rPr>
      </w:pPr>
      <w:r>
        <w:rPr>
          <w:lang w:eastAsia="ja-JP"/>
        </w:rPr>
        <w:lastRenderedPageBreak/>
        <w:t xml:space="preserve">There were </w:t>
      </w:r>
      <w:r w:rsidRPr="004C2433">
        <w:rPr>
          <w:lang w:eastAsia="ja-JP"/>
        </w:rPr>
        <w:t xml:space="preserve">1486 </w:t>
      </w:r>
      <w:r>
        <w:rPr>
          <w:lang w:eastAsia="ja-JP"/>
        </w:rPr>
        <w:t xml:space="preserve">post-market </w:t>
      </w:r>
      <w:r w:rsidRPr="004C2433">
        <w:rPr>
          <w:lang w:eastAsia="ja-JP"/>
        </w:rPr>
        <w:t>case reports pertaining to</w:t>
      </w:r>
      <w:r>
        <w:rPr>
          <w:lang w:eastAsia="ja-JP"/>
        </w:rPr>
        <w:t xml:space="preserve"> </w:t>
      </w:r>
      <w:r w:rsidRPr="004C2433">
        <w:rPr>
          <w:lang w:eastAsia="ja-JP"/>
        </w:rPr>
        <w:t>1365 patients containing an event of fall were received, giving an estimated reporting</w:t>
      </w:r>
      <w:r>
        <w:rPr>
          <w:lang w:eastAsia="ja-JP"/>
        </w:rPr>
        <w:t xml:space="preserve"> rate of 1</w:t>
      </w:r>
      <w:r w:rsidRPr="004C2433">
        <w:rPr>
          <w:lang w:eastAsia="ja-JP"/>
        </w:rPr>
        <w:t>%</w:t>
      </w:r>
      <w:r>
        <w:rPr>
          <w:lang w:eastAsia="ja-JP"/>
        </w:rPr>
        <w:t xml:space="preserve">. The </w:t>
      </w:r>
      <w:r w:rsidRPr="00022054">
        <w:rPr>
          <w:lang w:eastAsia="ja-JP"/>
        </w:rPr>
        <w:t>majority of the cases (91.7%) were solicited through observational (non-interventional)</w:t>
      </w:r>
      <w:r>
        <w:rPr>
          <w:lang w:eastAsia="ja-JP"/>
        </w:rPr>
        <w:t xml:space="preserve"> </w:t>
      </w:r>
      <w:r w:rsidRPr="00022054">
        <w:rPr>
          <w:lang w:eastAsia="ja-JP"/>
        </w:rPr>
        <w:t>post-marketing surveillance (PMS) programmes</w:t>
      </w:r>
      <w:r>
        <w:rPr>
          <w:lang w:eastAsia="ja-JP"/>
        </w:rPr>
        <w:t>.</w:t>
      </w:r>
      <w:r w:rsidRPr="004C2433">
        <w:rPr>
          <w:lang w:eastAsia="ja-JP"/>
        </w:rPr>
        <w:t xml:space="preserve"> </w:t>
      </w:r>
      <w:r w:rsidRPr="00022054">
        <w:rPr>
          <w:lang w:eastAsia="ja-JP"/>
        </w:rPr>
        <w:t>The majority of</w:t>
      </w:r>
      <w:r>
        <w:rPr>
          <w:lang w:eastAsia="ja-JP"/>
        </w:rPr>
        <w:t xml:space="preserve"> cases (81.9%) with an event of </w:t>
      </w:r>
      <w:r w:rsidRPr="00022054">
        <w:rPr>
          <w:lang w:eastAsia="ja-JP"/>
        </w:rPr>
        <w:t>fall pertained to female patients; 70.9% of the cases pertained to the elderly, and 28.3% to</w:t>
      </w:r>
      <w:r>
        <w:rPr>
          <w:lang w:eastAsia="ja-JP"/>
        </w:rPr>
        <w:t xml:space="preserve"> </w:t>
      </w:r>
      <w:r w:rsidRPr="00022054">
        <w:rPr>
          <w:lang w:eastAsia="ja-JP"/>
        </w:rPr>
        <w:t>adults.</w:t>
      </w:r>
      <w:r>
        <w:rPr>
          <w:lang w:eastAsia="ja-JP"/>
        </w:rPr>
        <w:t xml:space="preserve"> A total of </w:t>
      </w:r>
      <w:r w:rsidRPr="00022054">
        <w:rPr>
          <w:lang w:eastAsia="ja-JP"/>
        </w:rPr>
        <w:t>230 cases (pertaining to 224 patients) contained an ev</w:t>
      </w:r>
      <w:r>
        <w:rPr>
          <w:lang w:eastAsia="ja-JP"/>
        </w:rPr>
        <w:t xml:space="preserve">ent of fall and events denoting </w:t>
      </w:r>
      <w:r w:rsidRPr="00022054">
        <w:rPr>
          <w:lang w:eastAsia="ja-JP"/>
        </w:rPr>
        <w:t>hypotension and/or syncope, representing an estimated reporting rate of 0.2%</w:t>
      </w:r>
      <w:r>
        <w:rPr>
          <w:lang w:eastAsia="ja-JP"/>
        </w:rPr>
        <w:t xml:space="preserve"> </w:t>
      </w:r>
      <w:r w:rsidRPr="00022054">
        <w:rPr>
          <w:lang w:eastAsia="ja-JP"/>
        </w:rPr>
        <w:t>(230 cases / 147,197 exposed patients).</w:t>
      </w:r>
      <w:r>
        <w:rPr>
          <w:lang w:eastAsia="ja-JP"/>
        </w:rPr>
        <w:t xml:space="preserve"> In cases with events of fall and events denoting hypotension or syncope there were 90 cases with 120 events of injury. </w:t>
      </w:r>
      <w:r w:rsidRPr="00022054">
        <w:rPr>
          <w:lang w:eastAsia="ja-JP"/>
        </w:rPr>
        <w:t>The most commonly reported events of in</w:t>
      </w:r>
      <w:r>
        <w:rPr>
          <w:lang w:eastAsia="ja-JP"/>
        </w:rPr>
        <w:t xml:space="preserve">jury included </w:t>
      </w:r>
      <w:r w:rsidRPr="00022054">
        <w:rPr>
          <w:lang w:eastAsia="ja-JP"/>
        </w:rPr>
        <w:t>head/face injury and lower limb injury/fracture.</w:t>
      </w:r>
      <w:r>
        <w:rPr>
          <w:lang w:eastAsia="ja-JP"/>
        </w:rPr>
        <w:t xml:space="preserve"> There were </w:t>
      </w:r>
      <w:r w:rsidRPr="001569FB">
        <w:rPr>
          <w:lang w:eastAsia="ja-JP"/>
        </w:rPr>
        <w:t>140 cases with events of fall, events denoting hypotension and/or syncope and without</w:t>
      </w:r>
      <w:r>
        <w:rPr>
          <w:lang w:eastAsia="ja-JP"/>
        </w:rPr>
        <w:t xml:space="preserve"> </w:t>
      </w:r>
      <w:r w:rsidRPr="001569FB">
        <w:rPr>
          <w:lang w:eastAsia="ja-JP"/>
        </w:rPr>
        <w:t>events of injury were retrieved from the safety database.</w:t>
      </w:r>
    </w:p>
    <w:p w14:paraId="71494F00" w14:textId="77777777" w:rsidR="00954831" w:rsidRDefault="00954831" w:rsidP="00954831">
      <w:pPr>
        <w:rPr>
          <w:lang w:eastAsia="ja-JP"/>
        </w:rPr>
      </w:pPr>
      <w:r>
        <w:rPr>
          <w:lang w:eastAsia="ja-JP"/>
        </w:rPr>
        <w:t xml:space="preserve">There were </w:t>
      </w:r>
      <w:r w:rsidRPr="001569FB">
        <w:rPr>
          <w:lang w:eastAsia="ja-JP"/>
        </w:rPr>
        <w:t>1256 cases (pertaining to 1172 patients) contained an event of fall</w:t>
      </w:r>
      <w:r>
        <w:rPr>
          <w:lang w:eastAsia="ja-JP"/>
        </w:rPr>
        <w:t xml:space="preserve"> without events denoting hypotension and/or syncope and 573 of the 1256 cases</w:t>
      </w:r>
      <w:r w:rsidRPr="001569FB">
        <w:rPr>
          <w:lang w:eastAsia="ja-JP"/>
        </w:rPr>
        <w:t xml:space="preserve"> contained events of fall and injury.</w:t>
      </w:r>
      <w:r>
        <w:rPr>
          <w:lang w:eastAsia="ja-JP"/>
        </w:rPr>
        <w:t xml:space="preserve"> </w:t>
      </w:r>
      <w:r w:rsidRPr="001569FB">
        <w:rPr>
          <w:lang w:eastAsia="ja-JP"/>
        </w:rPr>
        <w:t>In the 573 cases, 703 events of injury were reported. Th</w:t>
      </w:r>
      <w:r>
        <w:rPr>
          <w:lang w:eastAsia="ja-JP"/>
        </w:rPr>
        <w:t xml:space="preserve">e most commonly reported events </w:t>
      </w:r>
      <w:r w:rsidRPr="001569FB">
        <w:rPr>
          <w:lang w:eastAsia="ja-JP"/>
        </w:rPr>
        <w:t>of injury were lower limb fracture, mainly hip fracture (100), followed by head/face</w:t>
      </w:r>
      <w:r>
        <w:rPr>
          <w:lang w:eastAsia="ja-JP"/>
        </w:rPr>
        <w:t xml:space="preserve"> </w:t>
      </w:r>
      <w:r w:rsidRPr="001569FB">
        <w:rPr>
          <w:lang w:eastAsia="ja-JP"/>
        </w:rPr>
        <w:t>injury and upper limb fracture.</w:t>
      </w:r>
    </w:p>
    <w:p w14:paraId="2468B407" w14:textId="77777777" w:rsidR="00954831" w:rsidRDefault="00954831" w:rsidP="00954831">
      <w:pPr>
        <w:rPr>
          <w:lang w:eastAsia="ja-JP"/>
        </w:rPr>
      </w:pPr>
      <w:r w:rsidRPr="00E11787">
        <w:rPr>
          <w:lang w:eastAsia="ja-JP"/>
        </w:rPr>
        <w:t>The latency of fall occurrence varied from less than 1 month following treatment</w:t>
      </w:r>
      <w:r>
        <w:rPr>
          <w:lang w:eastAsia="ja-JP"/>
        </w:rPr>
        <w:t xml:space="preserve"> </w:t>
      </w:r>
      <w:r w:rsidRPr="00E11787">
        <w:rPr>
          <w:lang w:eastAsia="ja-JP"/>
        </w:rPr>
        <w:t>initiation to up to more than 5 years</w:t>
      </w:r>
      <w:r>
        <w:rPr>
          <w:lang w:eastAsia="ja-JP"/>
        </w:rPr>
        <w:t xml:space="preserve">. </w:t>
      </w:r>
      <w:r w:rsidRPr="00E11787">
        <w:rPr>
          <w:lang w:eastAsia="ja-JP"/>
        </w:rPr>
        <w:t>The date of fall occurrence and the date of bosentan initia</w:t>
      </w:r>
      <w:r>
        <w:rPr>
          <w:lang w:eastAsia="ja-JP"/>
        </w:rPr>
        <w:t xml:space="preserve">tion were available only in 314 </w:t>
      </w:r>
      <w:r w:rsidRPr="00E11787">
        <w:rPr>
          <w:lang w:eastAsia="ja-JP"/>
        </w:rPr>
        <w:t>of the 1486 cases, including 44 cases with events of hypotension/syncope. Of the</w:t>
      </w:r>
      <w:r>
        <w:rPr>
          <w:lang w:eastAsia="ja-JP"/>
        </w:rPr>
        <w:t xml:space="preserve"> </w:t>
      </w:r>
      <w:r w:rsidRPr="00E11787">
        <w:rPr>
          <w:lang w:eastAsia="ja-JP"/>
        </w:rPr>
        <w:t>314 cases the latency was shorter than 1 year in 129 cases (including 23 cases with a</w:t>
      </w:r>
      <w:r>
        <w:rPr>
          <w:lang w:eastAsia="ja-JP"/>
        </w:rPr>
        <w:t xml:space="preserve"> </w:t>
      </w:r>
      <w:r w:rsidRPr="00E11787">
        <w:rPr>
          <w:lang w:eastAsia="ja-JP"/>
        </w:rPr>
        <w:t>latency of up to 1 month) and longer than 1 year in 185 cases.</w:t>
      </w:r>
      <w:r>
        <w:rPr>
          <w:lang w:eastAsia="ja-JP"/>
        </w:rPr>
        <w:t xml:space="preserve"> The </w:t>
      </w:r>
      <w:r w:rsidR="007C6D8D">
        <w:rPr>
          <w:lang w:eastAsia="ja-JP"/>
        </w:rPr>
        <w:t>sponsor</w:t>
      </w:r>
      <w:r>
        <w:rPr>
          <w:lang w:eastAsia="ja-JP"/>
        </w:rPr>
        <w:t xml:space="preserve"> considers the long latency </w:t>
      </w:r>
      <w:r w:rsidRPr="00E11787">
        <w:rPr>
          <w:lang w:eastAsia="ja-JP"/>
        </w:rPr>
        <w:t>(</w:t>
      </w:r>
      <w:r w:rsidR="00CF6063">
        <w:rPr>
          <w:lang w:eastAsia="ja-JP"/>
        </w:rPr>
        <w:t xml:space="preserve">&gt; </w:t>
      </w:r>
      <w:r w:rsidRPr="00E11787">
        <w:rPr>
          <w:lang w:eastAsia="ja-JP"/>
        </w:rPr>
        <w:t xml:space="preserve">1 year) in about 58.9% of cases with the available information </w:t>
      </w:r>
      <w:r>
        <w:rPr>
          <w:lang w:eastAsia="ja-JP"/>
        </w:rPr>
        <w:t xml:space="preserve">to </w:t>
      </w:r>
      <w:r w:rsidRPr="00E11787">
        <w:rPr>
          <w:lang w:eastAsia="ja-JP"/>
        </w:rPr>
        <w:t>suggest that the</w:t>
      </w:r>
      <w:r>
        <w:rPr>
          <w:lang w:eastAsia="ja-JP"/>
        </w:rPr>
        <w:t xml:space="preserve"> </w:t>
      </w:r>
      <w:r w:rsidRPr="00E11787">
        <w:rPr>
          <w:lang w:eastAsia="ja-JP"/>
        </w:rPr>
        <w:t>occurrence of falls might be due to the underlying PAH disease and associated</w:t>
      </w:r>
      <w:r>
        <w:rPr>
          <w:lang w:eastAsia="ja-JP"/>
        </w:rPr>
        <w:t xml:space="preserve"> </w:t>
      </w:r>
      <w:r w:rsidRPr="00E11787">
        <w:rPr>
          <w:lang w:eastAsia="ja-JP"/>
        </w:rPr>
        <w:t>comorbidities and the age, gender, and the physical, cognitive and effective capacities of</w:t>
      </w:r>
      <w:r>
        <w:rPr>
          <w:lang w:eastAsia="ja-JP"/>
        </w:rPr>
        <w:t xml:space="preserve"> </w:t>
      </w:r>
      <w:r w:rsidRPr="00E11787">
        <w:rPr>
          <w:lang w:eastAsia="ja-JP"/>
        </w:rPr>
        <w:t>the patients.</w:t>
      </w:r>
    </w:p>
    <w:p w14:paraId="5FCF424A" w14:textId="77777777" w:rsidR="00954831" w:rsidRDefault="00954831" w:rsidP="00954831">
      <w:pPr>
        <w:rPr>
          <w:lang w:eastAsia="ja-JP"/>
        </w:rPr>
      </w:pPr>
      <w:r>
        <w:rPr>
          <w:lang w:eastAsia="ja-JP"/>
        </w:rPr>
        <w:t xml:space="preserve">The estimated reporting rate of fall is reported to be within the expected rate of fall for the general population and also the PAH patient population. The </w:t>
      </w:r>
      <w:r w:rsidR="007C6D8D">
        <w:rPr>
          <w:lang w:eastAsia="ja-JP"/>
        </w:rPr>
        <w:t>sponsor</w:t>
      </w:r>
      <w:r>
        <w:rPr>
          <w:lang w:eastAsia="ja-JP"/>
        </w:rPr>
        <w:t xml:space="preserve"> proposes updating the RMP to include symptomatic hypotension as an important potential risk.</w:t>
      </w:r>
    </w:p>
    <w:p w14:paraId="2D2EF13E" w14:textId="77777777" w:rsidR="00954831" w:rsidRPr="00093207" w:rsidRDefault="00954831" w:rsidP="00093207">
      <w:pPr>
        <w:pStyle w:val="Heading4"/>
      </w:pPr>
      <w:bookmarkStart w:id="486" w:name="_Ref465017303"/>
      <w:r w:rsidRPr="00093207">
        <w:t>Autoimmune hepatitis</w:t>
      </w:r>
      <w:bookmarkEnd w:id="486"/>
    </w:p>
    <w:p w14:paraId="7CE9A1A0" w14:textId="77777777" w:rsidR="00954831" w:rsidRDefault="00954831" w:rsidP="00954831">
      <w:pPr>
        <w:rPr>
          <w:lang w:eastAsia="ja-JP"/>
        </w:rPr>
      </w:pPr>
      <w:r>
        <w:rPr>
          <w:lang w:eastAsia="ja-JP"/>
        </w:rPr>
        <w:t xml:space="preserve">Cumulatively, 51 cases containing an event of AIH have been reported from Development IBD (28 September 1993) up to the cut-off date </w:t>
      </w:r>
      <w:r w:rsidRPr="00A24FB6">
        <w:rPr>
          <w:lang w:eastAsia="ja-JP"/>
        </w:rPr>
        <w:t xml:space="preserve">for this </w:t>
      </w:r>
      <w:r>
        <w:rPr>
          <w:lang w:eastAsia="ja-JP"/>
        </w:rPr>
        <w:t>PSUR</w:t>
      </w:r>
      <w:r w:rsidRPr="00A24FB6">
        <w:rPr>
          <w:lang w:eastAsia="ja-JP"/>
        </w:rPr>
        <w:t xml:space="preserve">. </w:t>
      </w:r>
      <w:r>
        <w:rPr>
          <w:lang w:eastAsia="ja-JP"/>
        </w:rPr>
        <w:t>Four</w:t>
      </w:r>
      <w:r w:rsidRPr="00A24FB6">
        <w:rPr>
          <w:lang w:eastAsia="ja-JP"/>
        </w:rPr>
        <w:t xml:space="preserve"> cases originated from clinical trials </w:t>
      </w:r>
      <w:r>
        <w:rPr>
          <w:lang w:eastAsia="ja-JP"/>
        </w:rPr>
        <w:t xml:space="preserve">and 47 cases were reported from </w:t>
      </w:r>
      <w:r w:rsidRPr="00A24FB6">
        <w:rPr>
          <w:lang w:eastAsia="ja-JP"/>
        </w:rPr>
        <w:t xml:space="preserve">post-marketing </w:t>
      </w:r>
      <w:r w:rsidRPr="008806DA">
        <w:rPr>
          <w:lang w:eastAsia="ja-JP"/>
        </w:rPr>
        <w:t>sources (</w:t>
      </w:r>
      <w:r w:rsidR="008806DA" w:rsidRPr="008806DA">
        <w:rPr>
          <w:lang w:eastAsia="ja-JP"/>
        </w:rPr>
        <w:t>Figure 30</w:t>
      </w:r>
      <w:r w:rsidRPr="008806DA">
        <w:rPr>
          <w:lang w:eastAsia="ja-JP"/>
        </w:rPr>
        <w:t>). Of</w:t>
      </w:r>
      <w:r>
        <w:rPr>
          <w:lang w:eastAsia="ja-JP"/>
        </w:rPr>
        <w:t xml:space="preserve"> the clinical trial reports, one case was from a placebo controlled </w:t>
      </w:r>
      <w:r w:rsidR="0066478A">
        <w:rPr>
          <w:lang w:eastAsia="ja-JP"/>
        </w:rPr>
        <w:t>study</w:t>
      </w:r>
      <w:r>
        <w:rPr>
          <w:lang w:eastAsia="ja-JP"/>
        </w:rPr>
        <w:t xml:space="preserve"> and the other three cases were reported from non-controlled </w:t>
      </w:r>
      <w:r w:rsidR="009C6335">
        <w:rPr>
          <w:lang w:eastAsia="ja-JP"/>
        </w:rPr>
        <w:t>open label</w:t>
      </w:r>
      <w:r>
        <w:rPr>
          <w:lang w:eastAsia="ja-JP"/>
        </w:rPr>
        <w:t xml:space="preserve"> studies with bosentan. One case involved a paediatric patient and is described </w:t>
      </w:r>
      <w:r w:rsidRPr="008806DA">
        <w:rPr>
          <w:lang w:eastAsia="ja-JP"/>
        </w:rPr>
        <w:t xml:space="preserve">in section </w:t>
      </w:r>
      <w:r w:rsidR="008806DA">
        <w:rPr>
          <w:lang w:eastAsia="ja-JP"/>
        </w:rPr>
        <w:t>8.4.3.2.</w:t>
      </w:r>
    </w:p>
    <w:p w14:paraId="29EA699E" w14:textId="77777777" w:rsidR="00954831" w:rsidRDefault="00954831" w:rsidP="00954831">
      <w:pPr>
        <w:rPr>
          <w:lang w:eastAsia="ja-JP"/>
        </w:rPr>
      </w:pPr>
      <w:r>
        <w:rPr>
          <w:lang w:eastAsia="ja-JP"/>
        </w:rPr>
        <w:t>A total of 47 cases of AIH were received from post-marketing sources. S</w:t>
      </w:r>
      <w:r w:rsidRPr="0007701E">
        <w:rPr>
          <w:lang w:eastAsia="ja-JP"/>
        </w:rPr>
        <w:t>ince IBD, an estimated 147,197 patients have been exposed to</w:t>
      </w:r>
      <w:r>
        <w:rPr>
          <w:lang w:eastAsia="ja-JP"/>
        </w:rPr>
        <w:t xml:space="preserve"> </w:t>
      </w:r>
      <w:r w:rsidRPr="0007701E">
        <w:rPr>
          <w:lang w:eastAsia="ja-JP"/>
        </w:rPr>
        <w:t>commercial bosentan, giving an estimated reporting rate of AIH of 0.03%.</w:t>
      </w:r>
      <w:r>
        <w:rPr>
          <w:lang w:eastAsia="ja-JP"/>
        </w:rPr>
        <w:t xml:space="preserve"> </w:t>
      </w:r>
      <w:r w:rsidRPr="0007701E">
        <w:rPr>
          <w:lang w:eastAsia="ja-JP"/>
        </w:rPr>
        <w:t>The age ranged from 7 years to 83 years. 28 patients</w:t>
      </w:r>
      <w:r>
        <w:rPr>
          <w:lang w:eastAsia="ja-JP"/>
        </w:rPr>
        <w:t xml:space="preserve"> were adult and 18 were elderly (aged 65 years or more). One</w:t>
      </w:r>
      <w:r w:rsidRPr="0007701E">
        <w:rPr>
          <w:lang w:eastAsia="ja-JP"/>
        </w:rPr>
        <w:t xml:space="preserve"> case pertained</w:t>
      </w:r>
      <w:r>
        <w:rPr>
          <w:lang w:eastAsia="ja-JP"/>
        </w:rPr>
        <w:t xml:space="preserve"> to a 7-year-old female patient</w:t>
      </w:r>
      <w:r w:rsidRPr="0007701E">
        <w:rPr>
          <w:lang w:eastAsia="ja-JP"/>
        </w:rPr>
        <w:t>.</w:t>
      </w:r>
    </w:p>
    <w:p w14:paraId="20E29ADB" w14:textId="77777777" w:rsidR="00954831" w:rsidRDefault="00954831" w:rsidP="00954831">
      <w:pPr>
        <w:pStyle w:val="FigureTitle"/>
        <w:rPr>
          <w:lang w:eastAsia="ja-JP"/>
        </w:rPr>
      </w:pPr>
      <w:bookmarkStart w:id="487" w:name="_Ref461549070"/>
      <w:bookmarkStart w:id="488" w:name="_Toc473884181"/>
      <w:r w:rsidRPr="008806DA">
        <w:lastRenderedPageBreak/>
        <w:t xml:space="preserve">Figure </w:t>
      </w:r>
      <w:bookmarkEnd w:id="487"/>
      <w:r w:rsidR="008806DA" w:rsidRPr="008806DA">
        <w:t>30:</w:t>
      </w:r>
      <w:r w:rsidRPr="008806DA">
        <w:t xml:space="preserve"> PSUR</w:t>
      </w:r>
      <w:r>
        <w:t xml:space="preserve"> 20 Cases of autoimmune hepatitis</w:t>
      </w:r>
      <w:bookmarkEnd w:id="488"/>
    </w:p>
    <w:p w14:paraId="305B8FD6" w14:textId="77777777" w:rsidR="006E0293" w:rsidRDefault="0044448A" w:rsidP="00287323">
      <w:pPr>
        <w:rPr>
          <w:lang w:eastAsia="ja-JP"/>
        </w:rPr>
      </w:pPr>
      <w:r>
        <w:rPr>
          <w:noProof/>
          <w:lang w:eastAsia="en-AU"/>
        </w:rPr>
        <w:drawing>
          <wp:inline distT="0" distB="0" distL="0" distR="0" wp14:anchorId="558FA71D" wp14:editId="030AF581">
            <wp:extent cx="5581650" cy="1790700"/>
            <wp:effectExtent l="0" t="0" r="0" b="0"/>
            <wp:docPr id="112" name="Picture 112" descr="Figure 30: PSUR 20 Cases of autoimmune hepatitis&#10;Cumulatively, 51 cases containing an event of AIH have been reported from Development IBD (28 September 1993) up to the cut-off date for this PSUR. Four cases originated from clinical trials and 47 cases were reported from post-marketing sources (Figure 30). Of the clinical trial reports, one case was from a placebo controlled study and the other three cases were reported from non-controlled open label studies with bosentan. One case involved a paediatric pati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BEBA8EAE-BF5A-486C-A8C5-ECC9F3942E4B}">
                          <a14:imgProps xmlns:a14="http://schemas.microsoft.com/office/drawing/2010/main">
                            <a14:imgLayer r:embed="rId159">
                              <a14:imgEffect>
                                <a14:brightnessContrast contrast="-40000"/>
                              </a14:imgEffect>
                            </a14:imgLayer>
                          </a14:imgProps>
                        </a:ext>
                      </a:extLst>
                    </a:blip>
                    <a:stretch>
                      <a:fillRect/>
                    </a:stretch>
                  </pic:blipFill>
                  <pic:spPr>
                    <a:xfrm>
                      <a:off x="0" y="0"/>
                      <a:ext cx="5581650" cy="1790700"/>
                    </a:xfrm>
                    <a:prstGeom prst="rect">
                      <a:avLst/>
                    </a:prstGeom>
                  </pic:spPr>
                </pic:pic>
              </a:graphicData>
            </a:graphic>
          </wp:inline>
        </w:drawing>
      </w:r>
    </w:p>
    <w:p w14:paraId="43A9DB22" w14:textId="77777777" w:rsidR="0044448A" w:rsidRPr="00093207" w:rsidRDefault="0044448A" w:rsidP="00093207">
      <w:pPr>
        <w:pStyle w:val="Heading3"/>
      </w:pPr>
      <w:bookmarkStart w:id="489" w:name="_Toc473884009"/>
      <w:bookmarkStart w:id="490" w:name="_Toc519773917"/>
      <w:r w:rsidRPr="00093207">
        <w:t>Evaluator’s overall conclusions on clinical safety</w:t>
      </w:r>
      <w:bookmarkEnd w:id="489"/>
      <w:bookmarkEnd w:id="490"/>
    </w:p>
    <w:p w14:paraId="664891BF" w14:textId="4334BDAA" w:rsidR="0044448A" w:rsidRDefault="0044448A" w:rsidP="0044448A">
      <w:pPr>
        <w:rPr>
          <w:lang w:eastAsia="ja-JP"/>
        </w:rPr>
      </w:pPr>
      <w:r>
        <w:rPr>
          <w:lang w:eastAsia="ja-JP"/>
        </w:rPr>
        <w:t xml:space="preserve">The </w:t>
      </w:r>
      <w:r w:rsidR="007C6D8D">
        <w:rPr>
          <w:lang w:eastAsia="ja-JP"/>
        </w:rPr>
        <w:t>sponsor</w:t>
      </w:r>
      <w:r>
        <w:rPr>
          <w:lang w:eastAsia="ja-JP"/>
        </w:rPr>
        <w:t xml:space="preserve"> has not requested an extension of indications to include neonates with PPHN and benefit was not demonstrated in this population. </w:t>
      </w:r>
      <w:r w:rsidR="00093207">
        <w:rPr>
          <w:lang w:eastAsia="ja-JP"/>
        </w:rPr>
        <w:t xml:space="preserve">The results of the FUTURE-4 </w:t>
      </w:r>
      <w:r w:rsidR="00E352DD">
        <w:rPr>
          <w:lang w:eastAsia="ja-JP"/>
        </w:rPr>
        <w:t>e</w:t>
      </w:r>
      <w:r w:rsidR="00E352DD" w:rsidRPr="0040171F">
        <w:rPr>
          <w:lang w:eastAsia="ja-JP"/>
        </w:rPr>
        <w:t xml:space="preserve">xtension </w:t>
      </w:r>
      <w:r w:rsidR="00E352DD">
        <w:rPr>
          <w:lang w:eastAsia="ja-JP"/>
        </w:rPr>
        <w:t>study</w:t>
      </w:r>
      <w:r w:rsidR="00E352DD" w:rsidRPr="0040171F">
        <w:rPr>
          <w:lang w:eastAsia="ja-JP"/>
        </w:rPr>
        <w:t xml:space="preserve"> </w:t>
      </w:r>
      <w:r w:rsidRPr="0040171F">
        <w:rPr>
          <w:lang w:eastAsia="ja-JP"/>
        </w:rPr>
        <w:t>did not identify concerns regarding patient growth at 12 months follow-up. It should be noted that the median d</w:t>
      </w:r>
      <w:r>
        <w:rPr>
          <w:lang w:eastAsia="ja-JP"/>
        </w:rPr>
        <w:t>uration of exposure was limited at</w:t>
      </w:r>
      <w:r w:rsidR="00093207">
        <w:rPr>
          <w:lang w:eastAsia="ja-JP"/>
        </w:rPr>
        <w:t xml:space="preserve"> 4.5 days (range 0.5 to </w:t>
      </w:r>
      <w:r w:rsidRPr="0040171F">
        <w:rPr>
          <w:lang w:eastAsia="ja-JP"/>
        </w:rPr>
        <w:t>10.0 days).</w:t>
      </w:r>
    </w:p>
    <w:p w14:paraId="090C49E5" w14:textId="77777777" w:rsidR="0044448A" w:rsidRDefault="0044448A" w:rsidP="0044448A">
      <w:pPr>
        <w:rPr>
          <w:lang w:eastAsia="ja-JP"/>
        </w:rPr>
      </w:pPr>
      <w:r>
        <w:rPr>
          <w:lang w:eastAsia="ja-JP"/>
        </w:rPr>
        <w:t xml:space="preserve">The integrated analysis indicates that the majority of patients experienced TEAEs (87%) with a large proportion leading to a discontinuation of </w:t>
      </w:r>
      <w:r w:rsidR="0066478A">
        <w:rPr>
          <w:lang w:eastAsia="ja-JP"/>
        </w:rPr>
        <w:t>study</w:t>
      </w:r>
      <w:r>
        <w:rPr>
          <w:lang w:eastAsia="ja-JP"/>
        </w:rPr>
        <w:t xml:space="preserve"> treatment (17%). AEs resulted in a fatal outcome in 14% of </w:t>
      </w:r>
      <w:r w:rsidR="0066478A">
        <w:rPr>
          <w:lang w:eastAsia="ja-JP"/>
        </w:rPr>
        <w:t>study</w:t>
      </w:r>
      <w:r>
        <w:rPr>
          <w:lang w:eastAsia="ja-JP"/>
        </w:rPr>
        <w:t xml:space="preserve"> participants. The most commonly reported TEAEs are described in the current Tracleer PI. The </w:t>
      </w:r>
      <w:r w:rsidR="007C6D8D">
        <w:rPr>
          <w:lang w:eastAsia="ja-JP"/>
        </w:rPr>
        <w:t>sponsor</w:t>
      </w:r>
      <w:r>
        <w:rPr>
          <w:lang w:eastAsia="ja-JP"/>
        </w:rPr>
        <w:t xml:space="preserve"> states that </w:t>
      </w:r>
      <w:r w:rsidRPr="000A1E36">
        <w:rPr>
          <w:lang w:eastAsia="ja-JP"/>
        </w:rPr>
        <w:t xml:space="preserve">AE rates in PAH populations are generally high due to the severity of the condition, and ranged from approximately 60 to 90% in sponsored studies. AEs of specific interest to bosentan, such as elevated liver enzymes, decreased blood haemoglobin, and fluid retention, were </w:t>
      </w:r>
      <w:r>
        <w:rPr>
          <w:lang w:eastAsia="ja-JP"/>
        </w:rPr>
        <w:t xml:space="preserve">stated to be </w:t>
      </w:r>
      <w:r w:rsidRPr="000A1E36">
        <w:rPr>
          <w:lang w:eastAsia="ja-JP"/>
        </w:rPr>
        <w:t>reported at lower incidences in paediatric patients compared with adult patients.</w:t>
      </w:r>
    </w:p>
    <w:p w14:paraId="377B932F" w14:textId="77777777" w:rsidR="0044448A" w:rsidRPr="00093207" w:rsidRDefault="0044448A" w:rsidP="0044448A">
      <w:pPr>
        <w:rPr>
          <w:iCs/>
          <w:lang w:eastAsia="ja-JP"/>
        </w:rPr>
      </w:pPr>
      <w:r>
        <w:rPr>
          <w:lang w:eastAsia="ja-JP"/>
        </w:rPr>
        <w:t xml:space="preserve">The </w:t>
      </w:r>
      <w:r w:rsidR="007C6D8D">
        <w:rPr>
          <w:lang w:eastAsia="ja-JP"/>
        </w:rPr>
        <w:t>sponsor</w:t>
      </w:r>
      <w:r>
        <w:rPr>
          <w:lang w:eastAsia="ja-JP"/>
        </w:rPr>
        <w:t xml:space="preserve"> has stated they intend to add symptomatic hypotension to the list of important potential risks in the RMP. The RMP included in the submission does not include this important potential risk.</w:t>
      </w:r>
    </w:p>
    <w:p w14:paraId="1ACA465F" w14:textId="77777777" w:rsidR="0044448A" w:rsidRPr="00586F98" w:rsidRDefault="0044448A" w:rsidP="00287323">
      <w:pPr>
        <w:rPr>
          <w:lang w:eastAsia="ja-JP"/>
        </w:rPr>
      </w:pPr>
      <w:r>
        <w:rPr>
          <w:lang w:eastAsia="ja-JP"/>
        </w:rPr>
        <w:t xml:space="preserve">The </w:t>
      </w:r>
      <w:r w:rsidR="007C6D8D">
        <w:rPr>
          <w:lang w:eastAsia="ja-JP"/>
        </w:rPr>
        <w:t>sponsor</w:t>
      </w:r>
      <w:r>
        <w:rPr>
          <w:lang w:eastAsia="ja-JP"/>
        </w:rPr>
        <w:t xml:space="preserve"> has added nasal congestion to the PI as a common post market AE. As outlined above, PSUR 20 states that the </w:t>
      </w:r>
      <w:r w:rsidR="007C6D8D">
        <w:rPr>
          <w:lang w:eastAsia="ja-JP"/>
        </w:rPr>
        <w:t>sponsor</w:t>
      </w:r>
      <w:r>
        <w:rPr>
          <w:lang w:eastAsia="ja-JP"/>
        </w:rPr>
        <w:t xml:space="preserve"> intends to update the ADR table of the EU SmPC and the CCDS to </w:t>
      </w:r>
      <w:r w:rsidRPr="008026D4">
        <w:rPr>
          <w:i/>
          <w:lang w:eastAsia="ja-JP"/>
        </w:rPr>
        <w:t xml:space="preserve">include </w:t>
      </w:r>
      <w:r w:rsidRPr="008026D4">
        <w:rPr>
          <w:i/>
          <w:iCs/>
          <w:lang w:eastAsia="ja-JP"/>
        </w:rPr>
        <w:t>autoimmune hepatitis</w:t>
      </w:r>
      <w:r>
        <w:rPr>
          <w:i/>
          <w:iCs/>
          <w:lang w:eastAsia="ja-JP"/>
        </w:rPr>
        <w:t>.</w:t>
      </w:r>
      <w:r w:rsidRPr="004F651C">
        <w:rPr>
          <w:lang w:eastAsia="ja-JP"/>
        </w:rPr>
        <w:t xml:space="preserve"> </w:t>
      </w:r>
      <w:r>
        <w:rPr>
          <w:lang w:eastAsia="ja-JP"/>
        </w:rPr>
        <w:t>Similar changes have not been proposed for the Australian PI with this submission.</w:t>
      </w:r>
    </w:p>
    <w:p w14:paraId="5CFA6B40" w14:textId="77777777" w:rsidR="00C22678" w:rsidRDefault="00C22678" w:rsidP="00C22678">
      <w:pPr>
        <w:pStyle w:val="Heading2"/>
      </w:pPr>
      <w:bookmarkStart w:id="491" w:name="_Toc519773918"/>
      <w:r>
        <w:t>First round benefit-risk assessment</w:t>
      </w:r>
      <w:bookmarkEnd w:id="491"/>
    </w:p>
    <w:p w14:paraId="0DF14DB2" w14:textId="77777777" w:rsidR="0044448A" w:rsidRDefault="0044448A" w:rsidP="0044448A">
      <w:pPr>
        <w:pStyle w:val="Heading3"/>
      </w:pPr>
      <w:bookmarkStart w:id="492" w:name="_Toc236802592"/>
      <w:bookmarkStart w:id="493" w:name="_Toc241374331"/>
      <w:bookmarkStart w:id="494" w:name="_Ref272160836"/>
      <w:bookmarkStart w:id="495" w:name="_Toc272414693"/>
      <w:bookmarkStart w:id="496" w:name="_Toc290888557"/>
      <w:bookmarkStart w:id="497" w:name="_Toc416353772"/>
      <w:bookmarkStart w:id="498" w:name="_Toc421005314"/>
      <w:bookmarkStart w:id="499" w:name="_Toc432079185"/>
      <w:bookmarkStart w:id="500" w:name="_Toc432080758"/>
      <w:bookmarkStart w:id="501" w:name="_Toc473884011"/>
      <w:bookmarkStart w:id="502" w:name="_Toc519773919"/>
      <w:r w:rsidRPr="0044448A">
        <w:t>First round assessment of benefits</w:t>
      </w:r>
      <w:bookmarkEnd w:id="492"/>
      <w:bookmarkEnd w:id="493"/>
      <w:bookmarkEnd w:id="494"/>
      <w:bookmarkEnd w:id="495"/>
      <w:bookmarkEnd w:id="496"/>
      <w:bookmarkEnd w:id="497"/>
      <w:bookmarkEnd w:id="498"/>
      <w:bookmarkEnd w:id="499"/>
      <w:bookmarkEnd w:id="500"/>
      <w:bookmarkEnd w:id="501"/>
      <w:bookmarkEnd w:id="502"/>
    </w:p>
    <w:p w14:paraId="7D3E582A" w14:textId="77777777" w:rsidR="00D81D7C" w:rsidRPr="00574078" w:rsidRDefault="00D81D7C" w:rsidP="00D81D7C">
      <w:pPr>
        <w:ind w:left="113"/>
        <w:rPr>
          <w:rFonts w:asciiTheme="minorHAnsi" w:hAnsiTheme="minorHAnsi"/>
        </w:rPr>
      </w:pPr>
      <w:r w:rsidRPr="00574078">
        <w:rPr>
          <w:rFonts w:asciiTheme="minorHAnsi" w:hAnsiTheme="minorHAnsi"/>
        </w:rPr>
        <w:t>Indication:</w:t>
      </w:r>
    </w:p>
    <w:p w14:paraId="5BC92D6E" w14:textId="77777777" w:rsidR="00D81D7C" w:rsidRPr="00D81D7C" w:rsidRDefault="00D81D7C" w:rsidP="00D81D7C">
      <w:pPr>
        <w:pStyle w:val="ListBullet"/>
        <w:ind w:left="473"/>
        <w:rPr>
          <w:i/>
        </w:rPr>
      </w:pPr>
      <w:r w:rsidRPr="00D81D7C">
        <w:rPr>
          <w:i/>
        </w:rPr>
        <w:t>idiopathic pulmonary arterial hypertension</w:t>
      </w:r>
    </w:p>
    <w:p w14:paraId="4FE0BDA3" w14:textId="77777777" w:rsidR="00D81D7C" w:rsidRPr="00D81D7C" w:rsidRDefault="00D81D7C" w:rsidP="00D81D7C">
      <w:pPr>
        <w:pStyle w:val="ListBullet"/>
        <w:ind w:left="473"/>
        <w:rPr>
          <w:i/>
        </w:rPr>
      </w:pPr>
      <w:r w:rsidRPr="00D81D7C">
        <w:rPr>
          <w:i/>
        </w:rPr>
        <w:t>familial pulmonary arterial hypertension</w:t>
      </w:r>
    </w:p>
    <w:p w14:paraId="7BD7E689" w14:textId="77777777" w:rsidR="00D81D7C" w:rsidRPr="00D81D7C" w:rsidRDefault="00D81D7C" w:rsidP="00D81D7C">
      <w:pPr>
        <w:pStyle w:val="ListBullet"/>
        <w:ind w:left="473"/>
        <w:rPr>
          <w:i/>
        </w:rPr>
      </w:pPr>
      <w:r w:rsidRPr="00D81D7C">
        <w:rPr>
          <w:i/>
        </w:rPr>
        <w:t>pulmonary arterial hypertension associated with scleroderma or</w:t>
      </w:r>
    </w:p>
    <w:p w14:paraId="24B40B2F" w14:textId="77777777" w:rsidR="00D81D7C" w:rsidRPr="00D81D7C" w:rsidRDefault="00D81D7C" w:rsidP="00D81D7C">
      <w:pPr>
        <w:pStyle w:val="ListBullet"/>
        <w:ind w:left="473"/>
        <w:rPr>
          <w:i/>
        </w:rPr>
      </w:pPr>
      <w:r w:rsidRPr="00D81D7C">
        <w:rPr>
          <w:i/>
        </w:rPr>
        <w:t>pulmonary arterial hypertension associated with congenital systemic to pulmonary shunts including Eisenmenger’s physiology</w:t>
      </w:r>
    </w:p>
    <w:p w14:paraId="2A1DD5D4" w14:textId="77777777" w:rsidR="00D81D7C" w:rsidRDefault="00D81D7C" w:rsidP="00574078">
      <w:pPr>
        <w:ind w:left="113" w:firstLine="360"/>
        <w:rPr>
          <w:rFonts w:asciiTheme="minorHAnsi" w:hAnsiTheme="minorHAnsi"/>
          <w:i/>
        </w:rPr>
      </w:pPr>
      <w:r w:rsidRPr="00D81D7C">
        <w:rPr>
          <w:rFonts w:asciiTheme="minorHAnsi" w:hAnsiTheme="minorHAnsi"/>
          <w:i/>
        </w:rPr>
        <w:t>in patients with WHO functional Class II, III or IV symptoms.</w:t>
      </w:r>
    </w:p>
    <w:p w14:paraId="55A0F1FE" w14:textId="77777777" w:rsidR="00D81D7C" w:rsidRPr="00D81D7C" w:rsidRDefault="00D81D7C" w:rsidP="00D81D7C">
      <w:pPr>
        <w:pStyle w:val="Tabletitle"/>
        <w:rPr>
          <w:lang w:eastAsia="ja-JP"/>
        </w:rPr>
      </w:pPr>
      <w:r>
        <w:lastRenderedPageBreak/>
        <w:t>Table 85: First round assessment of benefits, strengths and uncertainties</w:t>
      </w:r>
    </w:p>
    <w:tbl>
      <w:tblPr>
        <w:tblStyle w:val="TableTGAblue"/>
        <w:tblW w:w="0" w:type="auto"/>
        <w:tblLook w:val="04A0" w:firstRow="1" w:lastRow="0" w:firstColumn="1" w:lastColumn="0" w:noHBand="0" w:noVBand="1"/>
      </w:tblPr>
      <w:tblGrid>
        <w:gridCol w:w="4511"/>
        <w:gridCol w:w="4278"/>
      </w:tblGrid>
      <w:tr w:rsidR="0044448A" w:rsidRPr="00C37A1D" w14:paraId="0D905D5E" w14:textId="77777777" w:rsidTr="001977D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4511" w:type="dxa"/>
          </w:tcPr>
          <w:p w14:paraId="1A707E29" w14:textId="77777777" w:rsidR="0044448A" w:rsidRPr="0013182D" w:rsidRDefault="0044448A" w:rsidP="007C6D8D">
            <w:pPr>
              <w:rPr>
                <w:rFonts w:asciiTheme="minorHAnsi" w:hAnsiTheme="minorHAnsi"/>
                <w:b w:val="0"/>
              </w:rPr>
            </w:pPr>
            <w:r w:rsidRPr="0013182D">
              <w:rPr>
                <w:rFonts w:asciiTheme="minorHAnsi" w:hAnsiTheme="minorHAnsi"/>
                <w:b w:val="0"/>
              </w:rPr>
              <w:t>Benefits</w:t>
            </w:r>
          </w:p>
        </w:tc>
        <w:tc>
          <w:tcPr>
            <w:tcW w:w="4278" w:type="dxa"/>
          </w:tcPr>
          <w:p w14:paraId="68A4990C" w14:textId="77777777" w:rsidR="0044448A" w:rsidRPr="0013182D" w:rsidRDefault="0044448A" w:rsidP="007C6D8D">
            <w:pPr>
              <w:cnfStyle w:val="100000000000" w:firstRow="1" w:lastRow="0" w:firstColumn="0" w:lastColumn="0" w:oddVBand="0" w:evenVBand="0" w:oddHBand="0" w:evenHBand="0" w:firstRowFirstColumn="0" w:firstRowLastColumn="0" w:lastRowFirstColumn="0" w:lastRowLastColumn="0"/>
              <w:rPr>
                <w:rFonts w:asciiTheme="minorHAnsi" w:hAnsiTheme="minorHAnsi"/>
                <w:b w:val="0"/>
              </w:rPr>
            </w:pPr>
            <w:r w:rsidRPr="0013182D">
              <w:rPr>
                <w:rFonts w:asciiTheme="minorHAnsi" w:hAnsiTheme="minorHAnsi"/>
                <w:b w:val="0"/>
              </w:rPr>
              <w:t>Strengths and Uncertainties</w:t>
            </w:r>
          </w:p>
        </w:tc>
      </w:tr>
      <w:tr w:rsidR="0044448A" w:rsidRPr="00C37A1D" w14:paraId="57361822" w14:textId="77777777" w:rsidTr="001977DC">
        <w:tc>
          <w:tcPr>
            <w:cnfStyle w:val="001000000000" w:firstRow="0" w:lastRow="0" w:firstColumn="1" w:lastColumn="0" w:oddVBand="0" w:evenVBand="0" w:oddHBand="0" w:evenHBand="0" w:firstRowFirstColumn="0" w:firstRowLastColumn="0" w:lastRowFirstColumn="0" w:lastRowLastColumn="0"/>
            <w:tcW w:w="4511" w:type="dxa"/>
          </w:tcPr>
          <w:p w14:paraId="765AAA39"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The availability of a paediatric weight-based formulation of bosentan.</w:t>
            </w:r>
            <w:r w:rsidR="00CF6063" w:rsidRPr="00574078">
              <w:rPr>
                <w:rFonts w:asciiTheme="minorHAnsi" w:hAnsiTheme="minorHAnsi" w:cstheme="minorHAnsi"/>
              </w:rPr>
              <w:t xml:space="preserve"> </w:t>
            </w:r>
          </w:p>
        </w:tc>
        <w:tc>
          <w:tcPr>
            <w:tcW w:w="4278" w:type="dxa"/>
          </w:tcPr>
          <w:p w14:paraId="0F414D10" w14:textId="77777777" w:rsidR="0044448A" w:rsidRPr="00574078" w:rsidRDefault="0044448A" w:rsidP="007C6D8D">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74078">
              <w:rPr>
                <w:rFonts w:asciiTheme="minorHAnsi" w:hAnsiTheme="minorHAnsi" w:cstheme="minorHAnsi"/>
              </w:rPr>
              <w:t>The new formulation would allow for more precise weight-based dosing of bosentan in the paediatric population. The tablet can be broken into 8mg quadrants for administration.</w:t>
            </w:r>
          </w:p>
        </w:tc>
      </w:tr>
      <w:tr w:rsidR="0044448A" w:rsidRPr="00C37A1D" w14:paraId="54C3D6DC" w14:textId="77777777" w:rsidTr="001977DC">
        <w:tc>
          <w:tcPr>
            <w:cnfStyle w:val="001000000000" w:firstRow="0" w:lastRow="0" w:firstColumn="1" w:lastColumn="0" w:oddVBand="0" w:evenVBand="0" w:oddHBand="0" w:evenHBand="0" w:firstRowFirstColumn="0" w:firstRowLastColumn="0" w:lastRowFirstColumn="0" w:lastRowLastColumn="0"/>
            <w:tcW w:w="4511" w:type="dxa"/>
          </w:tcPr>
          <w:p w14:paraId="5148A877"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 xml:space="preserve">A dispersible tablet formulation would allow for easier administration in the paediatric population. </w:t>
            </w:r>
          </w:p>
        </w:tc>
        <w:tc>
          <w:tcPr>
            <w:tcW w:w="4278" w:type="dxa"/>
          </w:tcPr>
          <w:p w14:paraId="6B73CE72" w14:textId="77777777" w:rsidR="0044448A" w:rsidRPr="00574078" w:rsidRDefault="0044448A" w:rsidP="007C6D8D">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74078">
              <w:rPr>
                <w:rFonts w:asciiTheme="minorHAnsi" w:hAnsiTheme="minorHAnsi" w:cstheme="minorHAnsi"/>
              </w:rPr>
              <w:t>The availability of a dispersible tablet would provide an easy to prepare and administer formulation. The product could potentially reduce reliance on compounded products or other measures used to make the adult formulation palatable for the paediatric population.</w:t>
            </w:r>
          </w:p>
        </w:tc>
      </w:tr>
      <w:tr w:rsidR="0044448A" w:rsidRPr="00C37A1D" w14:paraId="74485173" w14:textId="77777777" w:rsidTr="001977DC">
        <w:tc>
          <w:tcPr>
            <w:cnfStyle w:val="001000000000" w:firstRow="0" w:lastRow="0" w:firstColumn="1" w:lastColumn="0" w:oddVBand="0" w:evenVBand="0" w:oddHBand="0" w:evenHBand="0" w:firstRowFirstColumn="0" w:firstRowLastColumn="0" w:lastRowFirstColumn="0" w:lastRowLastColumn="0"/>
            <w:tcW w:w="4511" w:type="dxa"/>
          </w:tcPr>
          <w:p w14:paraId="7816A20A"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A dispersible tablet formulation could potentially be used in any PAH patient unable to take the adult formulation (</w:t>
            </w:r>
            <w:r w:rsidR="007C6D8D" w:rsidRPr="00574078">
              <w:rPr>
                <w:rFonts w:asciiTheme="minorHAnsi" w:hAnsiTheme="minorHAnsi" w:cstheme="minorHAnsi"/>
              </w:rPr>
              <w:t>for example</w:t>
            </w:r>
            <w:r w:rsidRPr="00574078">
              <w:rPr>
                <w:rFonts w:asciiTheme="minorHAnsi" w:hAnsiTheme="minorHAnsi" w:cstheme="minorHAnsi"/>
              </w:rPr>
              <w:t xml:space="preserve"> swallowing difficulties).</w:t>
            </w:r>
          </w:p>
        </w:tc>
        <w:tc>
          <w:tcPr>
            <w:tcW w:w="4278" w:type="dxa"/>
          </w:tcPr>
          <w:p w14:paraId="17535DF6" w14:textId="77777777" w:rsidR="0044448A" w:rsidRPr="00574078" w:rsidRDefault="0044448A" w:rsidP="007C6D8D">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rPr>
            </w:pPr>
            <w:r w:rsidRPr="00574078">
              <w:rPr>
                <w:rFonts w:asciiTheme="minorHAnsi" w:hAnsiTheme="minorHAnsi" w:cstheme="minorHAnsi"/>
                <w:bCs/>
                <w:iCs/>
              </w:rPr>
              <w:t xml:space="preserve">The dispersible tablet formulation could potentially be used in adult or adolescent patients. Bioequivalence has not been established between the two formulations and the PI notes that ‘A pharmacokinetic comparison between the dispersible and the film coated tablet indicated slightly lower exposure to bosentan with the dispersible tablet in adult subjects’. The PI recommends the dispersible tablet formulation be reserved for patients who cannot take the </w:t>
            </w:r>
            <w:r w:rsidR="007C6D8D" w:rsidRPr="00574078">
              <w:rPr>
                <w:rFonts w:asciiTheme="minorHAnsi" w:hAnsiTheme="minorHAnsi" w:cstheme="minorHAnsi"/>
                <w:bCs/>
                <w:iCs/>
              </w:rPr>
              <w:t>film coated</w:t>
            </w:r>
            <w:r w:rsidRPr="00574078">
              <w:rPr>
                <w:rFonts w:asciiTheme="minorHAnsi" w:hAnsiTheme="minorHAnsi" w:cstheme="minorHAnsi"/>
                <w:bCs/>
                <w:iCs/>
              </w:rPr>
              <w:t xml:space="preserve"> tablet.</w:t>
            </w:r>
          </w:p>
        </w:tc>
      </w:tr>
      <w:tr w:rsidR="0044448A" w:rsidRPr="00C37A1D" w14:paraId="5D7265D9" w14:textId="77777777" w:rsidTr="001977DC">
        <w:tc>
          <w:tcPr>
            <w:cnfStyle w:val="001000000000" w:firstRow="0" w:lastRow="0" w:firstColumn="1" w:lastColumn="0" w:oddVBand="0" w:evenVBand="0" w:oddHBand="0" w:evenHBand="0" w:firstRowFirstColumn="0" w:firstRowLastColumn="0" w:lastRowFirstColumn="0" w:lastRowLastColumn="0"/>
            <w:tcW w:w="4511" w:type="dxa"/>
          </w:tcPr>
          <w:p w14:paraId="156993A1"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Improved quality</w:t>
            </w:r>
          </w:p>
        </w:tc>
        <w:tc>
          <w:tcPr>
            <w:tcW w:w="4278" w:type="dxa"/>
          </w:tcPr>
          <w:p w14:paraId="0E513BDE" w14:textId="77777777" w:rsidR="0044448A" w:rsidRPr="00574078" w:rsidRDefault="0044448A" w:rsidP="007C6D8D">
            <w:pPr>
              <w:numPr>
                <w:ilvl w:val="12"/>
                <w:numId w:val="0"/>
              </w:numPr>
              <w:tabs>
                <w:tab w:val="left" w:pos="0"/>
                <w:tab w:val="left" w:pos="720"/>
                <w:tab w:val="left" w:pos="2160"/>
                <w:tab w:val="left" w:pos="2880"/>
                <w:tab w:val="left" w:pos="3600"/>
                <w:tab w:val="left" w:pos="4320"/>
                <w:tab w:val="left" w:pos="5040"/>
                <w:tab w:val="left" w:pos="5760"/>
                <w:tab w:val="left" w:pos="6480"/>
                <w:tab w:val="left" w:pos="7200"/>
              </w:tabs>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Cs/>
                <w:iCs/>
              </w:rPr>
            </w:pPr>
            <w:r w:rsidRPr="00574078">
              <w:rPr>
                <w:rFonts w:asciiTheme="minorHAnsi" w:hAnsiTheme="minorHAnsi" w:cstheme="minorHAnsi"/>
                <w:bCs/>
                <w:iCs/>
              </w:rPr>
              <w:t>The availability of a registered product that can be prepared as an oral solution may reduce reliance on compounded products and provide a better assurance of quality.</w:t>
            </w:r>
          </w:p>
        </w:tc>
      </w:tr>
    </w:tbl>
    <w:p w14:paraId="08BA2A80" w14:textId="77777777" w:rsidR="0044448A" w:rsidRDefault="0044448A" w:rsidP="0044448A">
      <w:pPr>
        <w:pStyle w:val="Heading3"/>
      </w:pPr>
      <w:bookmarkStart w:id="503" w:name="_Toc236802596"/>
      <w:bookmarkStart w:id="504" w:name="_Toc241374334"/>
      <w:bookmarkStart w:id="505" w:name="_Ref272160964"/>
      <w:bookmarkStart w:id="506" w:name="_Toc272414694"/>
      <w:bookmarkStart w:id="507" w:name="_Toc290888558"/>
      <w:bookmarkStart w:id="508" w:name="_Toc416353773"/>
      <w:bookmarkStart w:id="509" w:name="_Toc421005315"/>
      <w:bookmarkStart w:id="510" w:name="_Toc432079186"/>
      <w:bookmarkStart w:id="511" w:name="_Toc432080759"/>
      <w:bookmarkStart w:id="512" w:name="_Toc473884012"/>
      <w:bookmarkStart w:id="513" w:name="_Toc519773920"/>
      <w:r w:rsidRPr="000D5752">
        <w:t>First round assessment of risks</w:t>
      </w:r>
      <w:bookmarkEnd w:id="503"/>
      <w:bookmarkEnd w:id="504"/>
      <w:bookmarkEnd w:id="505"/>
      <w:bookmarkEnd w:id="506"/>
      <w:bookmarkEnd w:id="507"/>
      <w:bookmarkEnd w:id="508"/>
      <w:bookmarkEnd w:id="509"/>
      <w:bookmarkEnd w:id="510"/>
      <w:bookmarkEnd w:id="511"/>
      <w:bookmarkEnd w:id="512"/>
      <w:bookmarkEnd w:id="513"/>
    </w:p>
    <w:p w14:paraId="68FD1CDB" w14:textId="77777777" w:rsidR="00D81D7C" w:rsidRPr="00D81D7C" w:rsidRDefault="00D81D7C" w:rsidP="00D81D7C">
      <w:pPr>
        <w:pStyle w:val="Tabletitle"/>
        <w:rPr>
          <w:lang w:eastAsia="ja-JP"/>
        </w:rPr>
      </w:pPr>
      <w:r>
        <w:rPr>
          <w:lang w:eastAsia="ja-JP"/>
        </w:rPr>
        <w:t>Table 86: First round assessment of risks</w:t>
      </w:r>
    </w:p>
    <w:tbl>
      <w:tblPr>
        <w:tblStyle w:val="TableGrid"/>
        <w:tblW w:w="0" w:type="auto"/>
        <w:tblInd w:w="108" w:type="dxa"/>
        <w:tblLook w:val="04A0" w:firstRow="1" w:lastRow="0" w:firstColumn="1" w:lastColumn="0" w:noHBand="0" w:noVBand="1"/>
      </w:tblPr>
      <w:tblGrid>
        <w:gridCol w:w="4395"/>
        <w:gridCol w:w="4394"/>
      </w:tblGrid>
      <w:tr w:rsidR="0044448A" w:rsidRPr="00C37A1D" w14:paraId="4CF67C38" w14:textId="77777777" w:rsidTr="007C6D8D">
        <w:trPr>
          <w:tblHeader/>
        </w:trPr>
        <w:tc>
          <w:tcPr>
            <w:tcW w:w="4395" w:type="dxa"/>
            <w:shd w:val="clear" w:color="auto" w:fill="006DA7" w:themeFill="accent3"/>
          </w:tcPr>
          <w:p w14:paraId="5148EBC7" w14:textId="77777777" w:rsidR="0044448A" w:rsidRPr="0013182D" w:rsidRDefault="0044448A" w:rsidP="007C6D8D">
            <w:pPr>
              <w:keepNext/>
              <w:rPr>
                <w:rFonts w:asciiTheme="minorHAnsi" w:hAnsiTheme="minorHAnsi"/>
                <w:b/>
                <w:color w:val="FFFFFF" w:themeColor="background1"/>
              </w:rPr>
            </w:pPr>
            <w:r w:rsidRPr="0013182D">
              <w:rPr>
                <w:rFonts w:asciiTheme="minorHAnsi" w:hAnsiTheme="minorHAnsi"/>
                <w:b/>
                <w:color w:val="FFFFFF" w:themeColor="background1"/>
              </w:rPr>
              <w:t>Risks</w:t>
            </w:r>
          </w:p>
        </w:tc>
        <w:tc>
          <w:tcPr>
            <w:tcW w:w="4394" w:type="dxa"/>
            <w:shd w:val="clear" w:color="auto" w:fill="006DA7" w:themeFill="accent3"/>
          </w:tcPr>
          <w:p w14:paraId="758A128C" w14:textId="77777777" w:rsidR="0044448A" w:rsidRPr="0013182D" w:rsidRDefault="0044448A" w:rsidP="007C6D8D">
            <w:pPr>
              <w:rPr>
                <w:rFonts w:asciiTheme="minorHAnsi" w:hAnsiTheme="minorHAnsi"/>
                <w:b/>
                <w:color w:val="FFFFFF" w:themeColor="background1"/>
              </w:rPr>
            </w:pPr>
            <w:r w:rsidRPr="0013182D">
              <w:rPr>
                <w:rFonts w:asciiTheme="minorHAnsi" w:hAnsiTheme="minorHAnsi"/>
                <w:b/>
                <w:color w:val="FFFFFF" w:themeColor="background1"/>
              </w:rPr>
              <w:t>Strengths and Uncertainties</w:t>
            </w:r>
          </w:p>
        </w:tc>
      </w:tr>
      <w:tr w:rsidR="0044448A" w:rsidRPr="00C37A1D" w14:paraId="443BC6E0" w14:textId="77777777" w:rsidTr="007C6D8D">
        <w:tc>
          <w:tcPr>
            <w:tcW w:w="4395" w:type="dxa"/>
          </w:tcPr>
          <w:p w14:paraId="270857D2"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 xml:space="preserve">Bioequivalence between the adult and paediatric formulations has not been demonstrated. </w:t>
            </w:r>
          </w:p>
        </w:tc>
        <w:tc>
          <w:tcPr>
            <w:tcW w:w="4394" w:type="dxa"/>
          </w:tcPr>
          <w:p w14:paraId="061DE736" w14:textId="77777777" w:rsidR="0044448A" w:rsidRPr="00574078" w:rsidRDefault="0044448A" w:rsidP="007C6D8D">
            <w:pPr>
              <w:rPr>
                <w:rFonts w:cstheme="minorHAnsi"/>
                <w:u w:val="single"/>
              </w:rPr>
            </w:pPr>
            <w:r w:rsidRPr="00574078">
              <w:rPr>
                <w:rFonts w:asciiTheme="minorHAnsi" w:hAnsiTheme="minorHAnsi" w:cstheme="minorHAnsi"/>
              </w:rPr>
              <w:t>The submission relies on the bioequivalence of the adult and paediatric formulations in order to infer efficacy for the paediatric formulation. Study 052-116 did not demonstrate bioequivalence with respect to either of the PK parameters AUC or C</w:t>
            </w:r>
            <w:r w:rsidRPr="00574078">
              <w:rPr>
                <w:rFonts w:asciiTheme="minorHAnsi" w:hAnsiTheme="minorHAnsi" w:cstheme="minorHAnsi"/>
                <w:vertAlign w:val="subscript"/>
              </w:rPr>
              <w:t>max</w:t>
            </w:r>
            <w:r w:rsidRPr="00574078">
              <w:rPr>
                <w:rFonts w:asciiTheme="minorHAnsi" w:hAnsiTheme="minorHAnsi" w:cstheme="minorHAnsi"/>
              </w:rPr>
              <w:t xml:space="preserve">. The adult formulation of bosentan is currently available for use in the paediatric population </w:t>
            </w:r>
            <w:r w:rsidRPr="00574078">
              <w:rPr>
                <w:rFonts w:asciiTheme="minorHAnsi" w:hAnsiTheme="minorHAnsi" w:cstheme="minorHAnsi"/>
              </w:rPr>
              <w:lastRenderedPageBreak/>
              <w:t>in Australia. It has not been established that the two formulations are bioequivalent therefore efficacy cannot be inferred. In addition, the effect of the fed state on bioequivalence has not been investigated and the bioequivalence of an oral solution to the adult formulation has not been established.</w:t>
            </w:r>
          </w:p>
        </w:tc>
      </w:tr>
      <w:tr w:rsidR="0044448A" w:rsidRPr="00C37A1D" w14:paraId="6A28B77C" w14:textId="77777777" w:rsidTr="007C6D8D">
        <w:tc>
          <w:tcPr>
            <w:tcW w:w="4395" w:type="dxa"/>
          </w:tcPr>
          <w:p w14:paraId="44496B6C"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lastRenderedPageBreak/>
              <w:t>Efficacy has not been established for the dispersible tablet formulation in the paediatric population.</w:t>
            </w:r>
          </w:p>
        </w:tc>
        <w:tc>
          <w:tcPr>
            <w:tcW w:w="4394" w:type="dxa"/>
          </w:tcPr>
          <w:p w14:paraId="4FAAE53A"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 xml:space="preserve">The dispersible tablet formulation has been studied in the paediatric PAH population but the efficacy endpoints were exploratory. Efficacy has been established in adult patients with the adult tablet formulation. The EMA came to an agreement with the </w:t>
            </w:r>
            <w:r w:rsidR="007C6D8D" w:rsidRPr="00574078">
              <w:rPr>
                <w:rFonts w:asciiTheme="minorHAnsi" w:hAnsiTheme="minorHAnsi" w:cstheme="minorHAnsi"/>
              </w:rPr>
              <w:t>sponsor</w:t>
            </w:r>
            <w:r w:rsidRPr="00574078">
              <w:rPr>
                <w:rFonts w:asciiTheme="minorHAnsi" w:hAnsiTheme="minorHAnsi" w:cstheme="minorHAnsi"/>
              </w:rPr>
              <w:t xml:space="preserve"> that the PAH condition is similar between adults and children and efficacy could be inferred if similar PK properties were established. However, bosentan exposure in the paediatric population was about half that seen in adults. In addition bioequivalence with the approved formulation has not been established. These factors make it difficult to infer in the paediatric population. </w:t>
            </w:r>
          </w:p>
        </w:tc>
      </w:tr>
      <w:tr w:rsidR="0044448A" w:rsidRPr="00C37A1D" w14:paraId="463B7330" w14:textId="77777777" w:rsidTr="007C6D8D">
        <w:tc>
          <w:tcPr>
            <w:tcW w:w="4395" w:type="dxa"/>
          </w:tcPr>
          <w:p w14:paraId="371412F3"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The optimal dosage regimen for paediatric patients with PAH has not been established.</w:t>
            </w:r>
          </w:p>
        </w:tc>
        <w:tc>
          <w:tcPr>
            <w:tcW w:w="4394" w:type="dxa"/>
          </w:tcPr>
          <w:p w14:paraId="1827B445"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A plateau in systemic exposure suggests that increasing the dose beyond 2 mg/kg or the frequency of dosing beyond twice daily will not increase exposure to bosentan. It is noted that the safety and efficacy of the 2 mg/kg dose for the paediatric population has not been established. Whilst it is anticipated that no additional benefit will be gained from doses above 2 mg/kg it is unclear whether this is the optimal dose with respect to safety and efficacy in the paediatric population.</w:t>
            </w:r>
          </w:p>
        </w:tc>
      </w:tr>
      <w:tr w:rsidR="0044448A" w:rsidRPr="00C37A1D" w14:paraId="10BF68F7" w14:textId="77777777" w:rsidTr="007C6D8D">
        <w:tc>
          <w:tcPr>
            <w:tcW w:w="4395" w:type="dxa"/>
          </w:tcPr>
          <w:p w14:paraId="71BED426" w14:textId="77777777" w:rsidR="0044448A" w:rsidRPr="00574078" w:rsidRDefault="0044448A" w:rsidP="007C6D8D">
            <w:pPr>
              <w:rPr>
                <w:rFonts w:asciiTheme="minorHAnsi" w:hAnsiTheme="minorHAnsi" w:cstheme="minorHAnsi"/>
              </w:rPr>
            </w:pPr>
            <w:r w:rsidRPr="00574078">
              <w:rPr>
                <w:rFonts w:asciiTheme="minorHAnsi" w:hAnsiTheme="minorHAnsi" w:cstheme="minorHAnsi"/>
              </w:rPr>
              <w:t>The efficacy of bosentan for children aged between one and three years of age has not been established.</w:t>
            </w:r>
          </w:p>
        </w:tc>
        <w:tc>
          <w:tcPr>
            <w:tcW w:w="4394" w:type="dxa"/>
          </w:tcPr>
          <w:p w14:paraId="40DD9C3B" w14:textId="2B9B423E" w:rsidR="0044448A" w:rsidRPr="00574078" w:rsidRDefault="0044448A" w:rsidP="008F1C68">
            <w:pPr>
              <w:rPr>
                <w:rFonts w:asciiTheme="minorHAnsi" w:hAnsiTheme="minorHAnsi" w:cstheme="minorHAnsi"/>
              </w:rPr>
            </w:pPr>
            <w:r w:rsidRPr="00574078">
              <w:rPr>
                <w:rFonts w:asciiTheme="minorHAnsi" w:hAnsiTheme="minorHAnsi" w:cstheme="minorHAnsi"/>
              </w:rPr>
              <w:t xml:space="preserve">Exposure to bosentan is lower in the paediatric PAH population compared to adults with PAH. The FUTURE-3 </w:t>
            </w:r>
            <w:r w:rsidR="008F1C68">
              <w:rPr>
                <w:rFonts w:asciiTheme="minorHAnsi" w:hAnsiTheme="minorHAnsi" w:cstheme="minorHAnsi"/>
              </w:rPr>
              <w:t>s</w:t>
            </w:r>
            <w:r w:rsidR="008F1C68" w:rsidRPr="00574078">
              <w:rPr>
                <w:rFonts w:asciiTheme="minorHAnsi" w:hAnsiTheme="minorHAnsi" w:cstheme="minorHAnsi"/>
              </w:rPr>
              <w:t xml:space="preserve">tudy </w:t>
            </w:r>
            <w:r w:rsidRPr="00574078">
              <w:rPr>
                <w:rFonts w:asciiTheme="minorHAnsi" w:hAnsiTheme="minorHAnsi" w:cstheme="minorHAnsi"/>
              </w:rPr>
              <w:t>found that C</w:t>
            </w:r>
            <w:r w:rsidRPr="00574078">
              <w:rPr>
                <w:rFonts w:asciiTheme="minorHAnsi" w:hAnsiTheme="minorHAnsi" w:cstheme="minorHAnsi"/>
                <w:vertAlign w:val="subscript"/>
              </w:rPr>
              <w:t>maxc</w:t>
            </w:r>
            <w:r w:rsidRPr="00574078">
              <w:rPr>
                <w:rFonts w:asciiTheme="minorHAnsi" w:hAnsiTheme="minorHAnsi" w:cstheme="minorHAnsi"/>
              </w:rPr>
              <w:t xml:space="preserve"> and AUC</w:t>
            </w:r>
            <w:r w:rsidRPr="00574078">
              <w:rPr>
                <w:rFonts w:asciiTheme="minorHAnsi" w:hAnsiTheme="minorHAnsi" w:cstheme="minorHAnsi"/>
                <w:vertAlign w:val="subscript"/>
              </w:rPr>
              <w:t xml:space="preserve">0-24C </w:t>
            </w:r>
            <w:r w:rsidRPr="00574078">
              <w:rPr>
                <w:rFonts w:asciiTheme="minorHAnsi" w:hAnsiTheme="minorHAnsi" w:cstheme="minorHAnsi"/>
              </w:rPr>
              <w:t xml:space="preserve">were lower in children </w:t>
            </w:r>
            <w:r w:rsidR="00394221" w:rsidRPr="00574078">
              <w:rPr>
                <w:rFonts w:asciiTheme="minorHAnsi" w:hAnsiTheme="minorHAnsi" w:cstheme="minorHAnsi"/>
              </w:rPr>
              <w:t>&lt;</w:t>
            </w:r>
            <w:r w:rsidR="00E352DD">
              <w:rPr>
                <w:rFonts w:asciiTheme="minorHAnsi" w:hAnsiTheme="minorHAnsi" w:cstheme="minorHAnsi"/>
              </w:rPr>
              <w:t> </w:t>
            </w:r>
            <w:r w:rsidR="00394221" w:rsidRPr="00574078">
              <w:rPr>
                <w:rFonts w:asciiTheme="minorHAnsi" w:hAnsiTheme="minorHAnsi" w:cstheme="minorHAnsi"/>
              </w:rPr>
              <w:t>2</w:t>
            </w:r>
            <w:r w:rsidR="00E352DD">
              <w:rPr>
                <w:rFonts w:asciiTheme="minorHAnsi" w:hAnsiTheme="minorHAnsi" w:cstheme="minorHAnsi"/>
              </w:rPr>
              <w:t> </w:t>
            </w:r>
            <w:r w:rsidRPr="00574078">
              <w:rPr>
                <w:rFonts w:asciiTheme="minorHAnsi" w:hAnsiTheme="minorHAnsi" w:cstheme="minorHAnsi"/>
              </w:rPr>
              <w:t xml:space="preserve">years old compared to those </w:t>
            </w:r>
            <w:r w:rsidR="007C6D8D" w:rsidRPr="00574078">
              <w:rPr>
                <w:rFonts w:cstheme="minorHAnsi"/>
              </w:rPr>
              <w:t>≥</w:t>
            </w:r>
            <w:r w:rsidR="00E352DD">
              <w:rPr>
                <w:rFonts w:cstheme="minorHAnsi"/>
              </w:rPr>
              <w:t> </w:t>
            </w:r>
            <w:r w:rsidRPr="00574078">
              <w:rPr>
                <w:rFonts w:asciiTheme="minorHAnsi" w:hAnsiTheme="minorHAnsi" w:cstheme="minorHAnsi"/>
              </w:rPr>
              <w:t>2</w:t>
            </w:r>
            <w:r w:rsidR="00E352DD">
              <w:rPr>
                <w:rFonts w:asciiTheme="minorHAnsi" w:hAnsiTheme="minorHAnsi" w:cstheme="minorHAnsi"/>
              </w:rPr>
              <w:t> </w:t>
            </w:r>
            <w:r w:rsidRPr="00574078">
              <w:rPr>
                <w:rFonts w:asciiTheme="minorHAnsi" w:hAnsiTheme="minorHAnsi" w:cstheme="minorHAnsi"/>
              </w:rPr>
              <w:t>years old. It is unclear whether there is enough data to support changing the dosing instructions to include patients aged between one and three years of age.</w:t>
            </w:r>
          </w:p>
        </w:tc>
      </w:tr>
    </w:tbl>
    <w:p w14:paraId="1A2A83EE" w14:textId="77777777" w:rsidR="0044448A" w:rsidRPr="00545B14" w:rsidRDefault="0044448A" w:rsidP="0044448A">
      <w:pPr>
        <w:pStyle w:val="Heading3"/>
      </w:pPr>
      <w:bookmarkStart w:id="514" w:name="_Toc236802597"/>
      <w:bookmarkStart w:id="515" w:name="_Toc241374335"/>
      <w:bookmarkStart w:id="516" w:name="_Toc272414695"/>
      <w:bookmarkStart w:id="517" w:name="_Toc290888559"/>
      <w:bookmarkStart w:id="518" w:name="_Toc416353775"/>
      <w:bookmarkStart w:id="519" w:name="_Toc421005316"/>
      <w:bookmarkStart w:id="520" w:name="_Toc432079187"/>
      <w:bookmarkStart w:id="521" w:name="_Toc432080760"/>
      <w:bookmarkStart w:id="522" w:name="_Toc473884013"/>
      <w:bookmarkStart w:id="523" w:name="_Toc519773921"/>
      <w:r w:rsidRPr="00545B14">
        <w:t>First round assessment of benefit-risk</w:t>
      </w:r>
      <w:bookmarkEnd w:id="514"/>
      <w:bookmarkEnd w:id="515"/>
      <w:bookmarkEnd w:id="516"/>
      <w:bookmarkEnd w:id="517"/>
      <w:bookmarkEnd w:id="518"/>
      <w:bookmarkEnd w:id="519"/>
      <w:r>
        <w:t xml:space="preserve"> balance</w:t>
      </w:r>
      <w:bookmarkEnd w:id="520"/>
      <w:bookmarkEnd w:id="521"/>
      <w:bookmarkEnd w:id="522"/>
      <w:bookmarkEnd w:id="523"/>
    </w:p>
    <w:p w14:paraId="6C13FDC7" w14:textId="77777777" w:rsidR="0044448A" w:rsidRDefault="0044448A" w:rsidP="00416FD1">
      <w:pPr>
        <w:rPr>
          <w:lang w:eastAsia="ja-JP"/>
        </w:rPr>
      </w:pPr>
      <w:r>
        <w:rPr>
          <w:lang w:eastAsia="ja-JP"/>
        </w:rPr>
        <w:t>Study AC-052-116 failed to demonstrate bioequivalence of the dispersible tablet formulations and the approved marketed formulation in the healthy adult population and therefore bioequivalence in children cannot be assumed.</w:t>
      </w:r>
    </w:p>
    <w:p w14:paraId="55FB9D99" w14:textId="5494D92C" w:rsidR="007C6D8D" w:rsidRDefault="0044448A" w:rsidP="00416FD1">
      <w:r>
        <w:lastRenderedPageBreak/>
        <w:t xml:space="preserve">The BREATHE-3 and FUTURE-1 studies </w:t>
      </w:r>
      <w:r w:rsidR="00E77015">
        <w:t>Study</w:t>
      </w:r>
      <w:r>
        <w:t xml:space="preserve"> found a lower exposure to bosentan in paediatric patients compared to adult patients. This result may indicate an exposure plateau occurring at lower doses in paediatric patients. The FUTURE-3 </w:t>
      </w:r>
      <w:r w:rsidR="00E77015">
        <w:t>Study</w:t>
      </w:r>
      <w:r>
        <w:t xml:space="preserve"> found that </w:t>
      </w:r>
      <w:r w:rsidR="007C6D8D">
        <w:t>TDS</w:t>
      </w:r>
      <w:r>
        <w:t xml:space="preserve"> administration of 2</w:t>
      </w:r>
      <w:r w:rsidR="008F1C68">
        <w:t> </w:t>
      </w:r>
      <w:r>
        <w:t>mg/kg bosentan did not increase systemic exposure to bosentan in the paediatric population. Therefore, it is difficult to extrapolate efficacy data from adults with PAH to the paediatric PAH population</w:t>
      </w:r>
      <w:r w:rsidR="007C6D8D">
        <w:t>.</w:t>
      </w:r>
    </w:p>
    <w:p w14:paraId="30D9DC69" w14:textId="77777777" w:rsidR="0044448A" w:rsidRPr="0044448A" w:rsidRDefault="0044448A" w:rsidP="0044448A">
      <w:pPr>
        <w:pStyle w:val="Heading2"/>
      </w:pPr>
      <w:bookmarkStart w:id="524" w:name="_Toc473884014"/>
      <w:bookmarkStart w:id="525" w:name="_Toc519773922"/>
      <w:r w:rsidRPr="0044448A">
        <w:t>First round recommendation regarding authorisation</w:t>
      </w:r>
      <w:bookmarkEnd w:id="524"/>
      <w:bookmarkEnd w:id="525"/>
    </w:p>
    <w:p w14:paraId="30E97C37" w14:textId="77777777" w:rsidR="0044448A" w:rsidRDefault="0044448A" w:rsidP="0044448A">
      <w:pPr>
        <w:contextualSpacing/>
        <w:rPr>
          <w:lang w:eastAsia="ja-JP"/>
        </w:rPr>
      </w:pPr>
      <w:r w:rsidRPr="00297378">
        <w:rPr>
          <w:lang w:eastAsia="ja-JP"/>
        </w:rPr>
        <w:t xml:space="preserve">Approval of </w:t>
      </w:r>
      <w:r>
        <w:rPr>
          <w:lang w:eastAsia="ja-JP"/>
        </w:rPr>
        <w:t>the dispersible tablet formulation of bosentan</w:t>
      </w:r>
      <w:r w:rsidRPr="00297378">
        <w:rPr>
          <w:lang w:eastAsia="ja-JP"/>
        </w:rPr>
        <w:t xml:space="preserve"> is </w:t>
      </w:r>
      <w:r>
        <w:rPr>
          <w:lang w:eastAsia="ja-JP"/>
        </w:rPr>
        <w:t>not recommended for:</w:t>
      </w:r>
    </w:p>
    <w:p w14:paraId="084F1C2E" w14:textId="77777777" w:rsidR="0044448A" w:rsidRPr="00574078" w:rsidRDefault="0044448A" w:rsidP="0044448A">
      <w:pPr>
        <w:pStyle w:val="ListBullet"/>
        <w:rPr>
          <w:i/>
          <w:lang w:eastAsia="ja-JP"/>
        </w:rPr>
      </w:pPr>
      <w:r w:rsidRPr="00574078">
        <w:rPr>
          <w:i/>
          <w:lang w:eastAsia="ja-JP"/>
        </w:rPr>
        <w:t>idiopathic pulmonary arterial hypertension</w:t>
      </w:r>
    </w:p>
    <w:p w14:paraId="5DF8CE27" w14:textId="77777777" w:rsidR="0044448A" w:rsidRPr="00574078" w:rsidRDefault="0044448A" w:rsidP="0044448A">
      <w:pPr>
        <w:pStyle w:val="ListBullet"/>
        <w:rPr>
          <w:i/>
          <w:lang w:eastAsia="ja-JP"/>
        </w:rPr>
      </w:pPr>
      <w:r w:rsidRPr="00574078">
        <w:rPr>
          <w:i/>
          <w:lang w:eastAsia="ja-JP"/>
        </w:rPr>
        <w:t>familial pulmonary arterial hypertension</w:t>
      </w:r>
    </w:p>
    <w:p w14:paraId="2D0985E9" w14:textId="77777777" w:rsidR="0044448A" w:rsidRPr="00574078" w:rsidRDefault="0044448A" w:rsidP="0044448A">
      <w:pPr>
        <w:pStyle w:val="ListBullet"/>
        <w:rPr>
          <w:i/>
          <w:lang w:eastAsia="ja-JP"/>
        </w:rPr>
      </w:pPr>
      <w:r w:rsidRPr="00574078">
        <w:rPr>
          <w:i/>
          <w:lang w:eastAsia="ja-JP"/>
        </w:rPr>
        <w:t>pulmonary arterial hypertension associated with scleroderma or</w:t>
      </w:r>
    </w:p>
    <w:p w14:paraId="61630A05" w14:textId="77777777" w:rsidR="0044448A" w:rsidRPr="00574078" w:rsidRDefault="0044448A" w:rsidP="0044448A">
      <w:pPr>
        <w:pStyle w:val="ListBullet"/>
        <w:rPr>
          <w:i/>
          <w:lang w:eastAsia="ja-JP"/>
        </w:rPr>
      </w:pPr>
      <w:r w:rsidRPr="00574078">
        <w:rPr>
          <w:i/>
          <w:lang w:eastAsia="ja-JP"/>
        </w:rPr>
        <w:t>pulmonary arterial hypertension associated with congenital systemic to pulmonary shunts including Eisenmenger’s physiology</w:t>
      </w:r>
    </w:p>
    <w:p w14:paraId="2F843B82" w14:textId="77777777" w:rsidR="0044448A" w:rsidRPr="00574078" w:rsidRDefault="0044448A" w:rsidP="00574078">
      <w:pPr>
        <w:ind w:firstLine="360"/>
        <w:rPr>
          <w:i/>
        </w:rPr>
      </w:pPr>
      <w:r w:rsidRPr="00574078">
        <w:rPr>
          <w:i/>
        </w:rPr>
        <w:t>in patients with WHO functional Class II, III or IV symptoms.</w:t>
      </w:r>
    </w:p>
    <w:p w14:paraId="7EEBADF5" w14:textId="77777777" w:rsidR="007C6D8D" w:rsidRPr="00416FD1" w:rsidRDefault="0044448A" w:rsidP="00416FD1">
      <w:r w:rsidRPr="00416FD1">
        <w:t>Approval cannot be recommended at this time as the bioequivalence of the new formulation to the approved formulation has not been established and the similar exposure was not demonstrated in the adult and paediatric populations making the extrapolation of efficacy data difficult</w:t>
      </w:r>
      <w:r w:rsidR="007C6D8D" w:rsidRPr="00416FD1">
        <w:t>.</w:t>
      </w:r>
    </w:p>
    <w:p w14:paraId="327D9800" w14:textId="77777777" w:rsidR="00C22678" w:rsidRPr="0044448A" w:rsidRDefault="00C22678" w:rsidP="0044448A">
      <w:pPr>
        <w:pStyle w:val="Heading2"/>
      </w:pPr>
      <w:bookmarkStart w:id="526" w:name="_Toc519773923"/>
      <w:r w:rsidRPr="0044448A">
        <w:t>Clinical questions</w:t>
      </w:r>
      <w:bookmarkEnd w:id="526"/>
    </w:p>
    <w:p w14:paraId="173D058E" w14:textId="77777777" w:rsidR="0044448A" w:rsidRDefault="0044448A" w:rsidP="0044448A">
      <w:pPr>
        <w:pStyle w:val="Heading3"/>
      </w:pPr>
      <w:bookmarkStart w:id="527" w:name="_Toc519773924"/>
      <w:r>
        <w:t>General</w:t>
      </w:r>
      <w:bookmarkEnd w:id="527"/>
    </w:p>
    <w:p w14:paraId="1B0ACBFD" w14:textId="77777777" w:rsidR="0044448A" w:rsidRPr="0044448A" w:rsidRDefault="0044448A" w:rsidP="00416FD1">
      <w:pPr>
        <w:pStyle w:val="Numberbullet0"/>
        <w:numPr>
          <w:ilvl w:val="0"/>
          <w:numId w:val="50"/>
        </w:numPr>
      </w:pPr>
      <w:r w:rsidRPr="0044448A">
        <w:t xml:space="preserve">Has the </w:t>
      </w:r>
      <w:r w:rsidR="007C6D8D">
        <w:t>sponsor</w:t>
      </w:r>
      <w:r w:rsidRPr="0044448A">
        <w:t xml:space="preserve"> submitted an application to register the dispersible formulation of bosentan in the US, Canada or New Zealand? If so, what is the current status of the application?</w:t>
      </w:r>
    </w:p>
    <w:p w14:paraId="0840739E" w14:textId="6D5C61F2" w:rsidR="0044448A" w:rsidRPr="0044448A" w:rsidRDefault="0044448A" w:rsidP="0044448A">
      <w:pPr>
        <w:pStyle w:val="Numberbullet0"/>
      </w:pPr>
      <w:r w:rsidRPr="0044448A">
        <w:t xml:space="preserve">Was the dispersible paediatric test formulation used in </w:t>
      </w:r>
      <w:r w:rsidR="00E77015">
        <w:t>Study</w:t>
      </w:r>
      <w:r w:rsidRPr="0044448A">
        <w:t xml:space="preserve"> AC-052-116 and the FUTURE</w:t>
      </w:r>
      <w:r w:rsidR="008F1C68">
        <w:t> </w:t>
      </w:r>
      <w:r w:rsidRPr="0044448A">
        <w:t>series of studies the same as the paediatric formulation to be marketed?</w:t>
      </w:r>
    </w:p>
    <w:p w14:paraId="2BA02B8C" w14:textId="77777777" w:rsidR="0044448A" w:rsidRDefault="0044448A" w:rsidP="0044448A">
      <w:pPr>
        <w:pStyle w:val="Heading3"/>
      </w:pPr>
      <w:bookmarkStart w:id="528" w:name="_Toc272414702"/>
      <w:bookmarkStart w:id="529" w:name="_Toc290888568"/>
      <w:bookmarkStart w:id="530" w:name="_Toc416353784"/>
      <w:bookmarkStart w:id="531" w:name="_Toc421005324"/>
      <w:bookmarkStart w:id="532" w:name="_Toc432079195"/>
      <w:bookmarkStart w:id="533" w:name="_Toc432080768"/>
      <w:bookmarkStart w:id="534" w:name="_Toc519773925"/>
      <w:r w:rsidRPr="00E01445">
        <w:t>Pharmacokinetics</w:t>
      </w:r>
      <w:bookmarkEnd w:id="528"/>
      <w:bookmarkEnd w:id="529"/>
      <w:bookmarkEnd w:id="530"/>
      <w:bookmarkEnd w:id="531"/>
      <w:bookmarkEnd w:id="532"/>
      <w:bookmarkEnd w:id="533"/>
      <w:bookmarkEnd w:id="534"/>
    </w:p>
    <w:p w14:paraId="3AB367B6" w14:textId="77777777" w:rsidR="007C6D8D" w:rsidRDefault="0044448A" w:rsidP="0044448A">
      <w:pPr>
        <w:pStyle w:val="Numberbullet0"/>
        <w:rPr>
          <w:lang w:eastAsia="ja-JP"/>
        </w:rPr>
      </w:pPr>
      <w:r>
        <w:rPr>
          <w:lang w:eastAsia="ja-JP"/>
        </w:rPr>
        <w:t>Please justify why AUC has been considered the main PK parameter required to establish bioequivalence rather than the combination of both AUC and C</w:t>
      </w:r>
      <w:r w:rsidRPr="00A85D2C">
        <w:rPr>
          <w:vertAlign w:val="subscript"/>
          <w:lang w:eastAsia="ja-JP"/>
        </w:rPr>
        <w:t>max</w:t>
      </w:r>
      <w:r w:rsidR="007C6D8D">
        <w:rPr>
          <w:lang w:eastAsia="ja-JP"/>
        </w:rPr>
        <w:t>.</w:t>
      </w:r>
    </w:p>
    <w:p w14:paraId="0F9E8065" w14:textId="0C266F83" w:rsidR="0044448A" w:rsidRDefault="0044448A" w:rsidP="0044448A">
      <w:pPr>
        <w:pStyle w:val="Numberbullet0"/>
        <w:rPr>
          <w:lang w:eastAsia="ja-JP"/>
        </w:rPr>
      </w:pPr>
      <w:r>
        <w:rPr>
          <w:lang w:eastAsia="ja-JP"/>
        </w:rPr>
        <w:t>Please justify why bioequivalence studies have not been performed for the adult and paediatric formulations of bosentan in both the fed and fasted state?</w:t>
      </w:r>
    </w:p>
    <w:p w14:paraId="4EB05CE9" w14:textId="65B827CE" w:rsidR="0044448A" w:rsidRDefault="0044448A" w:rsidP="0044448A">
      <w:pPr>
        <w:pStyle w:val="Numberbullet0"/>
        <w:rPr>
          <w:lang w:eastAsia="ja-JP"/>
        </w:rPr>
      </w:pPr>
      <w:r>
        <w:rPr>
          <w:lang w:eastAsia="ja-JP"/>
        </w:rPr>
        <w:t xml:space="preserve">What evidence is there to demonstrate that the bosentan exposure plateau in the paediatric population noted in FUTURE-1 is reached at </w:t>
      </w:r>
      <w:r w:rsidR="007C6D8D">
        <w:rPr>
          <w:lang w:eastAsia="ja-JP"/>
        </w:rPr>
        <w:t>2 mg</w:t>
      </w:r>
      <w:r>
        <w:rPr>
          <w:lang w:eastAsia="ja-JP"/>
        </w:rPr>
        <w:t xml:space="preserve">/kg </w:t>
      </w:r>
      <w:r w:rsidR="007C6D8D">
        <w:rPr>
          <w:lang w:eastAsia="ja-JP"/>
        </w:rPr>
        <w:t>BD</w:t>
      </w:r>
      <w:r>
        <w:rPr>
          <w:lang w:eastAsia="ja-JP"/>
        </w:rPr>
        <w:t xml:space="preserve"> dosing rather than lower doses (</w:t>
      </w:r>
      <w:r w:rsidR="007C6D8D">
        <w:rPr>
          <w:lang w:eastAsia="ja-JP"/>
        </w:rPr>
        <w:t>for example</w:t>
      </w:r>
      <w:r>
        <w:rPr>
          <w:lang w:eastAsia="ja-JP"/>
        </w:rPr>
        <w:t xml:space="preserve"> 1</w:t>
      </w:r>
      <w:r w:rsidR="008F1C68">
        <w:rPr>
          <w:lang w:eastAsia="ja-JP"/>
        </w:rPr>
        <w:t> </w:t>
      </w:r>
      <w:r>
        <w:rPr>
          <w:lang w:eastAsia="ja-JP"/>
        </w:rPr>
        <w:t xml:space="preserve">mg/kg </w:t>
      </w:r>
      <w:r w:rsidR="007C6D8D">
        <w:rPr>
          <w:lang w:eastAsia="ja-JP"/>
        </w:rPr>
        <w:t>BD</w:t>
      </w:r>
      <w:r>
        <w:rPr>
          <w:lang w:eastAsia="ja-JP"/>
        </w:rPr>
        <w:t>)?</w:t>
      </w:r>
    </w:p>
    <w:p w14:paraId="5EE935A7" w14:textId="77777777" w:rsidR="0044448A" w:rsidRDefault="0044448A" w:rsidP="0044448A">
      <w:pPr>
        <w:pStyle w:val="Heading4"/>
      </w:pPr>
      <w:bookmarkStart w:id="535" w:name="_Toc272414703"/>
      <w:bookmarkStart w:id="536" w:name="_Toc290888569"/>
      <w:bookmarkStart w:id="537" w:name="_Toc416353785"/>
      <w:bookmarkStart w:id="538" w:name="_Toc421005325"/>
      <w:bookmarkStart w:id="539" w:name="_Toc432079196"/>
      <w:bookmarkStart w:id="540" w:name="_Toc432080769"/>
      <w:r>
        <w:t>Study AC-052-116</w:t>
      </w:r>
    </w:p>
    <w:p w14:paraId="33BC2DCC" w14:textId="77777777" w:rsidR="0044448A" w:rsidRDefault="0044448A" w:rsidP="0044448A">
      <w:pPr>
        <w:pStyle w:val="Numberbullet0"/>
        <w:rPr>
          <w:lang w:eastAsia="ja-JP"/>
        </w:rPr>
      </w:pPr>
      <w:r>
        <w:rPr>
          <w:lang w:eastAsia="ja-JP"/>
        </w:rPr>
        <w:t>Was the paediatric test formulation administered during period B dissolved prior to administration or was it administered as an oral tablet?</w:t>
      </w:r>
    </w:p>
    <w:p w14:paraId="5535B4B0" w14:textId="77777777" w:rsidR="007C6D8D" w:rsidRDefault="0044448A" w:rsidP="0044448A">
      <w:pPr>
        <w:pStyle w:val="Numberbullet0"/>
        <w:rPr>
          <w:lang w:eastAsia="ja-JP"/>
        </w:rPr>
      </w:pPr>
      <w:r>
        <w:rPr>
          <w:lang w:eastAsia="ja-JP"/>
        </w:rPr>
        <w:t>Please justify why the ratio of geometric means for AUC of 0.87 (90% CI 0.78, 0.96) should be considered to meet the requirements for acceptance of bioequivalence</w:t>
      </w:r>
      <w:r w:rsidR="007C6D8D">
        <w:rPr>
          <w:lang w:eastAsia="ja-JP"/>
        </w:rPr>
        <w:t>.</w:t>
      </w:r>
    </w:p>
    <w:p w14:paraId="0861AC04" w14:textId="78E2F185" w:rsidR="0044448A" w:rsidRDefault="00D42CD8" w:rsidP="0044448A">
      <w:pPr>
        <w:pStyle w:val="Heading4"/>
      </w:pPr>
      <w:r>
        <w:lastRenderedPageBreak/>
        <w:t xml:space="preserve">Study </w:t>
      </w:r>
      <w:r w:rsidR="0044448A">
        <w:t xml:space="preserve">AC-052-365 </w:t>
      </w:r>
      <w:r>
        <w:t>(</w:t>
      </w:r>
      <w:r w:rsidR="0044448A">
        <w:t>FUTURE-1</w:t>
      </w:r>
      <w:r>
        <w:t>)</w:t>
      </w:r>
    </w:p>
    <w:p w14:paraId="2610D465" w14:textId="77777777" w:rsidR="0044448A" w:rsidRDefault="0044448A" w:rsidP="0044448A">
      <w:pPr>
        <w:pStyle w:val="Numberbullet0"/>
        <w:rPr>
          <w:lang w:eastAsia="ja-JP"/>
        </w:rPr>
      </w:pPr>
      <w:r>
        <w:rPr>
          <w:lang w:eastAsia="ja-JP"/>
        </w:rPr>
        <w:t xml:space="preserve">What was the rationale for setting a </w:t>
      </w:r>
      <w:r w:rsidRPr="008D6D93">
        <w:rPr>
          <w:lang w:eastAsia="ja-JP"/>
        </w:rPr>
        <w:t>predefined</w:t>
      </w:r>
      <w:r>
        <w:rPr>
          <w:lang w:eastAsia="ja-JP"/>
        </w:rPr>
        <w:t xml:space="preserve"> equivalence limit</w:t>
      </w:r>
      <w:r w:rsidRPr="008D6D93">
        <w:rPr>
          <w:lang w:eastAsia="ja-JP"/>
        </w:rPr>
        <w:t xml:space="preserve"> of 0.66–1.5</w:t>
      </w:r>
      <w:r>
        <w:rPr>
          <w:lang w:eastAsia="ja-JP"/>
        </w:rPr>
        <w:t xml:space="preserve"> for the 90% CI</w:t>
      </w:r>
      <w:r w:rsidRPr="008D6D93">
        <w:rPr>
          <w:lang w:eastAsia="ja-JP"/>
        </w:rPr>
        <w:t xml:space="preserve"> </w:t>
      </w:r>
      <w:r>
        <w:rPr>
          <w:lang w:eastAsia="ja-JP"/>
        </w:rPr>
        <w:t xml:space="preserve">of the </w:t>
      </w:r>
      <w:r w:rsidRPr="008D6D93">
        <w:rPr>
          <w:lang w:eastAsia="ja-JP"/>
        </w:rPr>
        <w:t xml:space="preserve">ratio of geometric means </w:t>
      </w:r>
      <w:r>
        <w:rPr>
          <w:lang w:eastAsia="ja-JP"/>
        </w:rPr>
        <w:t>for</w:t>
      </w:r>
      <w:r w:rsidRPr="008D6D93">
        <w:rPr>
          <w:lang w:eastAsia="ja-JP"/>
        </w:rPr>
        <w:t xml:space="preserve"> AUC</w:t>
      </w:r>
      <w:r w:rsidRPr="005040D3">
        <w:rPr>
          <w:rFonts w:hint="eastAsia"/>
          <w:vertAlign w:val="subscript"/>
          <w:lang w:eastAsia="ja-JP"/>
        </w:rPr>
        <w:t>τ</w:t>
      </w:r>
      <w:r>
        <w:rPr>
          <w:lang w:eastAsia="ja-JP"/>
        </w:rPr>
        <w:t>?</w:t>
      </w:r>
    </w:p>
    <w:p w14:paraId="6EB0F058" w14:textId="43785F11" w:rsidR="0044448A" w:rsidRDefault="00D42CD8" w:rsidP="0044448A">
      <w:pPr>
        <w:pStyle w:val="Heading4"/>
      </w:pPr>
      <w:r>
        <w:t xml:space="preserve">Study </w:t>
      </w:r>
      <w:r w:rsidR="0044448A">
        <w:t xml:space="preserve">AC-052-373 </w:t>
      </w:r>
      <w:r>
        <w:t>(</w:t>
      </w:r>
      <w:r w:rsidR="0044448A">
        <w:t>FUTURE-3</w:t>
      </w:r>
      <w:r>
        <w:t>)</w:t>
      </w:r>
    </w:p>
    <w:p w14:paraId="15014F04" w14:textId="77777777" w:rsidR="0044448A" w:rsidRPr="0044448A" w:rsidRDefault="0044448A" w:rsidP="0044448A">
      <w:pPr>
        <w:pStyle w:val="Numberbullet0"/>
      </w:pPr>
      <w:r w:rsidRPr="0044448A">
        <w:t xml:space="preserve">Please outline why 95% CI were calculated for the geometric mean ratio results comparing the </w:t>
      </w:r>
      <w:r w:rsidR="007C6D8D">
        <w:t>BD</w:t>
      </w:r>
      <w:r w:rsidRPr="0044448A">
        <w:t xml:space="preserve"> and </w:t>
      </w:r>
      <w:r w:rsidR="007C6D8D">
        <w:t>TDS</w:t>
      </w:r>
      <w:r w:rsidRPr="0044448A">
        <w:t xml:space="preserve"> dosing regimens rather than the usual 90% CI used to determine bioequivalence. What threshold of equivalence was defined for the 95% CI?</w:t>
      </w:r>
    </w:p>
    <w:p w14:paraId="6E41076B" w14:textId="4F2DCDA8" w:rsidR="0044448A" w:rsidRDefault="00D42CD8" w:rsidP="0044448A">
      <w:pPr>
        <w:pStyle w:val="Heading4"/>
      </w:pPr>
      <w:r>
        <w:t xml:space="preserve">Study </w:t>
      </w:r>
      <w:r w:rsidR="0044448A">
        <w:t xml:space="preserve">AC-052-391 </w:t>
      </w:r>
      <w:r>
        <w:t>(</w:t>
      </w:r>
      <w:r w:rsidR="0044448A">
        <w:t>FUTURE-4</w:t>
      </w:r>
      <w:r>
        <w:t>)</w:t>
      </w:r>
    </w:p>
    <w:p w14:paraId="4FC69233" w14:textId="77777777" w:rsidR="0044448A" w:rsidRPr="0044448A" w:rsidRDefault="0044448A" w:rsidP="0044448A">
      <w:pPr>
        <w:pStyle w:val="Numberbullet0"/>
      </w:pPr>
      <w:r w:rsidRPr="0044448A">
        <w:t>The report states that one patient was excluded from PK analysis set due to a protocol violation. What was the protocol violation that led to exclusion from the analysis set?</w:t>
      </w:r>
    </w:p>
    <w:p w14:paraId="0FE391F6" w14:textId="77777777" w:rsidR="0044448A" w:rsidRDefault="0044448A" w:rsidP="0044448A">
      <w:pPr>
        <w:pStyle w:val="Heading3"/>
      </w:pPr>
      <w:bookmarkStart w:id="541" w:name="_Toc272414704"/>
      <w:bookmarkStart w:id="542" w:name="_Toc290888570"/>
      <w:bookmarkStart w:id="543" w:name="_Toc416353786"/>
      <w:bookmarkStart w:id="544" w:name="_Toc421005326"/>
      <w:bookmarkStart w:id="545" w:name="_Toc432079197"/>
      <w:bookmarkStart w:id="546" w:name="_Toc432080770"/>
      <w:bookmarkStart w:id="547" w:name="_Toc519773926"/>
      <w:bookmarkEnd w:id="535"/>
      <w:bookmarkEnd w:id="536"/>
      <w:bookmarkEnd w:id="537"/>
      <w:bookmarkEnd w:id="538"/>
      <w:bookmarkEnd w:id="539"/>
      <w:bookmarkEnd w:id="540"/>
      <w:r w:rsidRPr="00E01445">
        <w:t>Efficacy</w:t>
      </w:r>
      <w:bookmarkEnd w:id="541"/>
      <w:bookmarkEnd w:id="542"/>
      <w:bookmarkEnd w:id="543"/>
      <w:bookmarkEnd w:id="544"/>
      <w:bookmarkEnd w:id="545"/>
      <w:bookmarkEnd w:id="546"/>
      <w:bookmarkEnd w:id="547"/>
    </w:p>
    <w:p w14:paraId="28633F45" w14:textId="77777777" w:rsidR="0044448A" w:rsidRDefault="0044448A" w:rsidP="0044448A">
      <w:pPr>
        <w:pStyle w:val="Numberbullet0"/>
      </w:pPr>
      <w:r>
        <w:rPr>
          <w:lang w:eastAsia="ja-JP"/>
        </w:rPr>
        <w:t>Please justify the extrapolation of efficacy data from the adult population using the adult formulation to the paediatric population using the paediatric formulation.</w:t>
      </w:r>
    </w:p>
    <w:p w14:paraId="027EF6B0" w14:textId="77777777" w:rsidR="007C6D8D" w:rsidRDefault="0044448A" w:rsidP="0044448A">
      <w:pPr>
        <w:pStyle w:val="Numberbullet0"/>
        <w:rPr>
          <w:lang w:eastAsia="ja-JP"/>
        </w:rPr>
      </w:pPr>
      <w:r>
        <w:rPr>
          <w:lang w:eastAsia="ja-JP"/>
        </w:rPr>
        <w:t xml:space="preserve">Please clarify the </w:t>
      </w:r>
      <w:r w:rsidR="007C6D8D">
        <w:rPr>
          <w:lang w:eastAsia="ja-JP"/>
        </w:rPr>
        <w:t>sponsor</w:t>
      </w:r>
      <w:r>
        <w:rPr>
          <w:lang w:eastAsia="ja-JP"/>
        </w:rPr>
        <w:t xml:space="preserve">’s position regarding </w:t>
      </w:r>
      <w:r w:rsidRPr="00D630D3">
        <w:t xml:space="preserve">no additional clinical benefit in increasing the frequency of bosentan dosing from 2 mg/kg </w:t>
      </w:r>
      <w:r w:rsidR="007C6D8D">
        <w:t>BD</w:t>
      </w:r>
      <w:r w:rsidRPr="00D630D3">
        <w:t xml:space="preserve"> to </w:t>
      </w:r>
      <w:r w:rsidR="007C6D8D">
        <w:t>TDS</w:t>
      </w:r>
      <w:r>
        <w:rPr>
          <w:lang w:eastAsia="ja-JP"/>
        </w:rPr>
        <w:t xml:space="preserve"> with respect to the results of the FUTURE-3 studies</w:t>
      </w:r>
      <w:r w:rsidR="007C6D8D">
        <w:rPr>
          <w:lang w:eastAsia="ja-JP"/>
        </w:rPr>
        <w:t>.</w:t>
      </w:r>
    </w:p>
    <w:p w14:paraId="5BCA6F64" w14:textId="77777777" w:rsidR="0044448A" w:rsidRDefault="0044448A" w:rsidP="0044448A">
      <w:pPr>
        <w:pStyle w:val="Heading4"/>
      </w:pPr>
      <w:bookmarkStart w:id="548" w:name="_Toc272414705"/>
      <w:bookmarkStart w:id="549" w:name="_Toc290888571"/>
      <w:bookmarkStart w:id="550" w:name="_Toc416353787"/>
      <w:bookmarkStart w:id="551" w:name="_Toc421005327"/>
      <w:bookmarkStart w:id="552" w:name="_Toc432079198"/>
      <w:bookmarkStart w:id="553" w:name="_Toc432080771"/>
      <w:r>
        <w:t>AC-052-391 FUTURE-4</w:t>
      </w:r>
    </w:p>
    <w:p w14:paraId="002024AE" w14:textId="77777777" w:rsidR="0044448A" w:rsidRDefault="0044448A" w:rsidP="0044448A">
      <w:pPr>
        <w:pStyle w:val="Numberbullet0"/>
        <w:rPr>
          <w:lang w:eastAsia="ja-JP"/>
        </w:rPr>
      </w:pPr>
      <w:r>
        <w:rPr>
          <w:lang w:eastAsia="ja-JP"/>
        </w:rPr>
        <w:t>What was the protocol violation that led to the exclusion of one of the 13 bosentan treated patients from the PK analysis set?</w:t>
      </w:r>
    </w:p>
    <w:p w14:paraId="6C2BC70E" w14:textId="77777777" w:rsidR="0044448A" w:rsidRPr="008F1103" w:rsidRDefault="0044448A" w:rsidP="008F1103">
      <w:pPr>
        <w:pStyle w:val="Heading3"/>
      </w:pPr>
      <w:bookmarkStart w:id="554" w:name="_Toc519773927"/>
      <w:r w:rsidRPr="008F1103">
        <w:t>Safety</w:t>
      </w:r>
      <w:bookmarkEnd w:id="548"/>
      <w:bookmarkEnd w:id="549"/>
      <w:bookmarkEnd w:id="550"/>
      <w:bookmarkEnd w:id="551"/>
      <w:bookmarkEnd w:id="552"/>
      <w:bookmarkEnd w:id="553"/>
      <w:bookmarkEnd w:id="554"/>
    </w:p>
    <w:p w14:paraId="6680457E" w14:textId="77777777" w:rsidR="0044448A" w:rsidRDefault="0044448A" w:rsidP="0044448A">
      <w:pPr>
        <w:pStyle w:val="Numberbullet0"/>
        <w:rPr>
          <w:lang w:eastAsia="ja-JP"/>
        </w:rPr>
      </w:pPr>
      <w:r>
        <w:rPr>
          <w:lang w:eastAsia="ja-JP"/>
        </w:rPr>
        <w:t>Please justify why the AE autoimmune hepatitis has not been included in the Australian Tracleer PI.</w:t>
      </w:r>
    </w:p>
    <w:p w14:paraId="61F6E018" w14:textId="77777777" w:rsidR="0044448A" w:rsidRDefault="0044448A" w:rsidP="0044448A">
      <w:pPr>
        <w:pStyle w:val="Numberbullet0"/>
        <w:rPr>
          <w:lang w:eastAsia="ja-JP"/>
        </w:rPr>
      </w:pPr>
      <w:r>
        <w:rPr>
          <w:lang w:eastAsia="ja-JP"/>
        </w:rPr>
        <w:t>Please clarify why symptomatic hypotension has not been included in the RMP Summary of Safety Concerns as an important potential risk.</w:t>
      </w:r>
    </w:p>
    <w:p w14:paraId="56FFD315" w14:textId="77777777" w:rsidR="0044448A" w:rsidRPr="008F1103" w:rsidRDefault="0044448A" w:rsidP="008F1103">
      <w:pPr>
        <w:pStyle w:val="Heading3"/>
      </w:pPr>
      <w:bookmarkStart w:id="555" w:name="_Toc519773928"/>
      <w:r w:rsidRPr="008F1103">
        <w:t>PI and CMI</w:t>
      </w:r>
      <w:bookmarkEnd w:id="555"/>
    </w:p>
    <w:p w14:paraId="2F51A8B8" w14:textId="77777777" w:rsidR="0044448A" w:rsidRDefault="0044448A" w:rsidP="0044448A">
      <w:pPr>
        <w:pStyle w:val="Numberbullet0"/>
        <w:rPr>
          <w:lang w:eastAsia="ja-JP"/>
        </w:rPr>
      </w:pPr>
      <w:bookmarkStart w:id="556" w:name="_Ref272312341"/>
      <w:bookmarkStart w:id="557" w:name="_Toc272414700"/>
      <w:bookmarkStart w:id="558" w:name="_Toc290888566"/>
      <w:bookmarkStart w:id="559" w:name="_Toc416353782"/>
      <w:bookmarkStart w:id="560" w:name="_Toc421005330"/>
      <w:bookmarkStart w:id="561" w:name="_Toc432079200"/>
      <w:bookmarkStart w:id="562" w:name="_Toc432080773"/>
      <w:r>
        <w:rPr>
          <w:lang w:eastAsia="ja-JP"/>
        </w:rPr>
        <w:t>Please provide a justification based on efficacy and safety for altering the dosage instruction information to include patients aged between 1 and 3 years.</w:t>
      </w:r>
    </w:p>
    <w:p w14:paraId="6AC25762" w14:textId="77777777" w:rsidR="0044448A" w:rsidRDefault="0044448A" w:rsidP="0044448A">
      <w:pPr>
        <w:pStyle w:val="Numberbullet0"/>
        <w:rPr>
          <w:lang w:eastAsia="ja-JP"/>
        </w:rPr>
      </w:pPr>
      <w:r>
        <w:rPr>
          <w:lang w:eastAsia="ja-JP"/>
        </w:rPr>
        <w:t>Will the CMI for the adult formulation of Tracleer be updated to include the list of side effects outlined in the draft CMI for the paediatric formulation?</w:t>
      </w:r>
    </w:p>
    <w:p w14:paraId="3C9F41D0" w14:textId="77777777" w:rsidR="00C618F7" w:rsidRPr="00416FD1" w:rsidRDefault="00C618F7" w:rsidP="00416FD1">
      <w:pPr>
        <w:pStyle w:val="Heading2"/>
      </w:pPr>
      <w:bookmarkStart w:id="563" w:name="_Toc519773929"/>
      <w:bookmarkEnd w:id="556"/>
      <w:bookmarkEnd w:id="557"/>
      <w:bookmarkEnd w:id="558"/>
      <w:bookmarkEnd w:id="559"/>
      <w:bookmarkEnd w:id="560"/>
      <w:bookmarkEnd w:id="561"/>
      <w:bookmarkEnd w:id="562"/>
      <w:r w:rsidRPr="00416FD1">
        <w:t>Second round evaluation of clinical data submitted in response to questions</w:t>
      </w:r>
      <w:bookmarkEnd w:id="563"/>
    </w:p>
    <w:p w14:paraId="28C9DAA0" w14:textId="7E21DF1F" w:rsidR="008F1C68" w:rsidRPr="008F1C68" w:rsidRDefault="0044448A" w:rsidP="00574078">
      <w:pPr>
        <w:pStyle w:val="Heading3"/>
      </w:pPr>
      <w:bookmarkStart w:id="564" w:name="_Toc473884026"/>
      <w:bookmarkStart w:id="565" w:name="_Toc519773930"/>
      <w:r w:rsidRPr="008F1103">
        <w:t>General</w:t>
      </w:r>
      <w:bookmarkEnd w:id="564"/>
      <w:bookmarkEnd w:id="565"/>
    </w:p>
    <w:p w14:paraId="2DD0BBBD" w14:textId="77777777" w:rsidR="0044448A" w:rsidRPr="00574078" w:rsidRDefault="0044448A" w:rsidP="00574078">
      <w:pPr>
        <w:pStyle w:val="Numberbullet0"/>
        <w:numPr>
          <w:ilvl w:val="0"/>
          <w:numId w:val="47"/>
        </w:numPr>
        <w:rPr>
          <w:i/>
        </w:rPr>
      </w:pPr>
      <w:r w:rsidRPr="00574078">
        <w:rPr>
          <w:i/>
        </w:rPr>
        <w:t xml:space="preserve">Has the </w:t>
      </w:r>
      <w:r w:rsidR="007C6D8D" w:rsidRPr="00574078">
        <w:rPr>
          <w:i/>
        </w:rPr>
        <w:t>sponsor</w:t>
      </w:r>
      <w:r w:rsidRPr="00574078">
        <w:rPr>
          <w:i/>
        </w:rPr>
        <w:t xml:space="preserve"> submitted an application to register the dispersible formulation of bosentan in the US, Canada or New Zealand? If so, what is the current status of the application?</w:t>
      </w:r>
    </w:p>
    <w:p w14:paraId="3BBF094B" w14:textId="74799188" w:rsidR="00416FD1" w:rsidRPr="00574078" w:rsidRDefault="00416FD1" w:rsidP="00574078">
      <w:pPr>
        <w:keepNext/>
        <w:ind w:left="1134" w:hanging="1134"/>
        <w:rPr>
          <w:i/>
          <w:lang w:eastAsia="ja-JP"/>
        </w:rPr>
      </w:pPr>
      <w:r w:rsidRPr="00574078">
        <w:rPr>
          <w:i/>
          <w:lang w:eastAsia="ja-JP"/>
        </w:rPr>
        <w:lastRenderedPageBreak/>
        <w:t>Sponsor’s response</w:t>
      </w:r>
      <w:r w:rsidR="00574078" w:rsidRPr="00574078">
        <w:rPr>
          <w:i/>
          <w:lang w:eastAsia="ja-JP"/>
        </w:rPr>
        <w:t>:</w:t>
      </w:r>
    </w:p>
    <w:p w14:paraId="2AD44E9A" w14:textId="77777777" w:rsidR="0044448A" w:rsidRDefault="0044448A" w:rsidP="0044448A">
      <w:pPr>
        <w:rPr>
          <w:lang w:eastAsia="ja-JP"/>
        </w:rPr>
      </w:pPr>
      <w:r w:rsidRPr="00005DE6">
        <w:rPr>
          <w:lang w:eastAsia="ja-JP"/>
        </w:rPr>
        <w:t>The dispersible tablet was submitted in the US on 5 August 2016 and is currently under</w:t>
      </w:r>
      <w:r>
        <w:rPr>
          <w:lang w:eastAsia="ja-JP"/>
        </w:rPr>
        <w:t xml:space="preserve"> </w:t>
      </w:r>
      <w:r w:rsidRPr="00005DE6">
        <w:rPr>
          <w:lang w:eastAsia="ja-JP"/>
        </w:rPr>
        <w:t>review by the US FDA. The anticipated approval date is 5 June 2017.</w:t>
      </w:r>
      <w:r>
        <w:rPr>
          <w:lang w:eastAsia="ja-JP"/>
        </w:rPr>
        <w:t xml:space="preserve"> </w:t>
      </w:r>
      <w:r w:rsidRPr="00005DE6">
        <w:rPr>
          <w:lang w:eastAsia="ja-JP"/>
        </w:rPr>
        <w:t>The dispersible tablet has not been submitted in Canada or New Zealand.</w:t>
      </w:r>
    </w:p>
    <w:p w14:paraId="2DD820F2" w14:textId="76D1168C" w:rsidR="00416FD1" w:rsidRPr="00574078" w:rsidRDefault="00416FD1" w:rsidP="00574078">
      <w:pPr>
        <w:pStyle w:val="Comment"/>
        <w:keepNext/>
        <w:rPr>
          <w:i/>
        </w:rPr>
      </w:pPr>
      <w:r w:rsidRPr="00574078">
        <w:rPr>
          <w:i/>
        </w:rPr>
        <w:t>Evaluator</w:t>
      </w:r>
      <w:r w:rsidR="008F1C68" w:rsidRPr="00574078">
        <w:rPr>
          <w:i/>
        </w:rPr>
        <w:t>’s</w:t>
      </w:r>
      <w:r w:rsidRPr="00574078">
        <w:rPr>
          <w:i/>
        </w:rPr>
        <w:t xml:space="preserve"> comment</w:t>
      </w:r>
      <w:r w:rsidR="00574078" w:rsidRPr="00574078">
        <w:rPr>
          <w:i/>
        </w:rPr>
        <w:t>:</w:t>
      </w:r>
    </w:p>
    <w:p w14:paraId="2254F5E7" w14:textId="6A2BA54C" w:rsidR="008F1C68" w:rsidRDefault="0044448A" w:rsidP="00574078">
      <w:r>
        <w:t xml:space="preserve">The </w:t>
      </w:r>
      <w:r w:rsidR="007C6D8D">
        <w:t>sponsor</w:t>
      </w:r>
      <w:r>
        <w:t>’s response is considered acceptable.</w:t>
      </w:r>
    </w:p>
    <w:p w14:paraId="30BDD388" w14:textId="77777777" w:rsidR="0044448A" w:rsidRPr="00574078" w:rsidRDefault="0044448A" w:rsidP="00574078">
      <w:pPr>
        <w:pStyle w:val="Numberbullet0"/>
        <w:rPr>
          <w:i/>
        </w:rPr>
      </w:pPr>
      <w:r w:rsidRPr="00574078">
        <w:rPr>
          <w:i/>
        </w:rPr>
        <w:t xml:space="preserve">Was the dispersible paediatric test formulation used in </w:t>
      </w:r>
      <w:r w:rsidR="00E77015" w:rsidRPr="00574078">
        <w:rPr>
          <w:i/>
        </w:rPr>
        <w:t>Study</w:t>
      </w:r>
      <w:r w:rsidRPr="00574078">
        <w:rPr>
          <w:i/>
        </w:rPr>
        <w:t xml:space="preserve"> AC-052-116 and the FUTURE series of studies the same as the paediatric formulation to be marketed?</w:t>
      </w:r>
    </w:p>
    <w:p w14:paraId="7D68E83C" w14:textId="4D03B576" w:rsidR="00416FD1" w:rsidRPr="00574078" w:rsidRDefault="00416FD1" w:rsidP="00574078">
      <w:pPr>
        <w:keepNext/>
        <w:ind w:left="1134" w:hanging="1134"/>
        <w:rPr>
          <w:i/>
          <w:lang w:eastAsia="ja-JP"/>
        </w:rPr>
      </w:pPr>
      <w:r w:rsidRPr="00574078">
        <w:rPr>
          <w:i/>
          <w:lang w:eastAsia="ja-JP"/>
        </w:rPr>
        <w:t>Sponsor’s response</w:t>
      </w:r>
      <w:r w:rsidR="00574078">
        <w:rPr>
          <w:i/>
          <w:lang w:eastAsia="ja-JP"/>
        </w:rPr>
        <w:t>:</w:t>
      </w:r>
    </w:p>
    <w:p w14:paraId="3CA25237" w14:textId="77777777" w:rsidR="00416FD1" w:rsidRDefault="0044448A" w:rsidP="00416FD1">
      <w:pPr>
        <w:rPr>
          <w:lang w:eastAsia="ja-JP"/>
        </w:rPr>
      </w:pPr>
      <w:r>
        <w:rPr>
          <w:lang w:eastAsia="ja-JP"/>
        </w:rPr>
        <w:t xml:space="preserve">The dispersible formulation used in </w:t>
      </w:r>
      <w:r w:rsidR="00E77015">
        <w:rPr>
          <w:lang w:eastAsia="ja-JP"/>
        </w:rPr>
        <w:t>Study</w:t>
      </w:r>
      <w:r>
        <w:rPr>
          <w:lang w:eastAsia="ja-JP"/>
        </w:rPr>
        <w:t xml:space="preserve"> AC-052-116, </w:t>
      </w:r>
      <w:r w:rsidR="009C6335">
        <w:rPr>
          <w:lang w:eastAsia="ja-JP"/>
        </w:rPr>
        <w:t>FUTURE-1</w:t>
      </w:r>
      <w:r>
        <w:rPr>
          <w:lang w:eastAsia="ja-JP"/>
        </w:rPr>
        <w:t xml:space="preserve">, </w:t>
      </w:r>
      <w:r w:rsidR="009C6335">
        <w:rPr>
          <w:lang w:eastAsia="ja-JP"/>
        </w:rPr>
        <w:t>FUTURE-3</w:t>
      </w:r>
      <w:r>
        <w:rPr>
          <w:lang w:eastAsia="ja-JP"/>
        </w:rPr>
        <w:t xml:space="preserve">, and </w:t>
      </w:r>
      <w:r w:rsidR="009C6335">
        <w:rPr>
          <w:lang w:eastAsia="ja-JP"/>
        </w:rPr>
        <w:t>FUTURE-4</w:t>
      </w:r>
      <w:r>
        <w:rPr>
          <w:lang w:eastAsia="ja-JP"/>
        </w:rPr>
        <w:t xml:space="preserve"> studies is the same formula</w:t>
      </w:r>
      <w:r w:rsidR="00416FD1">
        <w:rPr>
          <w:lang w:eastAsia="ja-JP"/>
        </w:rPr>
        <w:t>tion as the one to be marketed.</w:t>
      </w:r>
    </w:p>
    <w:p w14:paraId="3A38CABE" w14:textId="55E564E4" w:rsidR="00416FD1" w:rsidRPr="00574078" w:rsidRDefault="00416FD1" w:rsidP="00574078">
      <w:pPr>
        <w:pStyle w:val="Comment"/>
        <w:keepNext/>
        <w:rPr>
          <w:i/>
        </w:rPr>
      </w:pPr>
      <w:r w:rsidRPr="00574078">
        <w:rPr>
          <w:i/>
        </w:rPr>
        <w:t>Evaluator</w:t>
      </w:r>
      <w:r w:rsidR="008F1C68" w:rsidRPr="00574078">
        <w:rPr>
          <w:i/>
        </w:rPr>
        <w:t>’s</w:t>
      </w:r>
      <w:r w:rsidRPr="00574078">
        <w:rPr>
          <w:i/>
        </w:rPr>
        <w:t xml:space="preserve"> comment</w:t>
      </w:r>
      <w:r w:rsidR="00574078">
        <w:rPr>
          <w:i/>
        </w:rPr>
        <w:t>:</w:t>
      </w:r>
    </w:p>
    <w:p w14:paraId="2FC6AECB" w14:textId="77777777" w:rsidR="007C6D8D" w:rsidRDefault="002D3988" w:rsidP="00416FD1">
      <w:r>
        <w:t xml:space="preserve">The </w:t>
      </w:r>
      <w:r w:rsidR="007C6D8D">
        <w:t>sponsor</w:t>
      </w:r>
      <w:r>
        <w:t xml:space="preserve">’s response is considered acceptable. It is noted that the formulation to be marketed was compared to the adult formulation in </w:t>
      </w:r>
      <w:r w:rsidR="00E77015">
        <w:t>Study</w:t>
      </w:r>
      <w:r w:rsidR="00416FD1">
        <w:t> AC</w:t>
      </w:r>
      <w:r w:rsidR="00416FD1">
        <w:noBreakHyphen/>
      </w:r>
      <w:r>
        <w:t xml:space="preserve">052-116 and the bioequivalence of the two formulations was not established. The PK parameters for comparison, bioequivalence </w:t>
      </w:r>
      <w:r w:rsidR="007C6D8D">
        <w:t>versus</w:t>
      </w:r>
      <w:r>
        <w:t xml:space="preserve"> biocomparability and the exposure plateau in the paediatric population are</w:t>
      </w:r>
      <w:r w:rsidR="00416FD1">
        <w:t xml:space="preserve"> considered in the response to Q</w:t>
      </w:r>
      <w:r>
        <w:t>uestion 3</w:t>
      </w:r>
      <w:r w:rsidR="007C6D8D">
        <w:t>.</w:t>
      </w:r>
    </w:p>
    <w:p w14:paraId="742C7E6E" w14:textId="77777777" w:rsidR="002D3988" w:rsidRDefault="002D3988" w:rsidP="008F1103">
      <w:pPr>
        <w:pStyle w:val="Heading3"/>
      </w:pPr>
      <w:bookmarkStart w:id="566" w:name="_Toc473884027"/>
      <w:bookmarkStart w:id="567" w:name="_Toc519773931"/>
      <w:r w:rsidRPr="008F1103">
        <w:t>Pharmacokinetics</w:t>
      </w:r>
      <w:bookmarkEnd w:id="566"/>
      <w:bookmarkEnd w:id="567"/>
    </w:p>
    <w:p w14:paraId="69FB363F" w14:textId="77777777" w:rsidR="007C6D8D" w:rsidRPr="00574078" w:rsidRDefault="002D3988" w:rsidP="00574078">
      <w:pPr>
        <w:pStyle w:val="Numberbullet0"/>
        <w:rPr>
          <w:i/>
        </w:rPr>
      </w:pPr>
      <w:r w:rsidRPr="00574078">
        <w:rPr>
          <w:i/>
        </w:rPr>
        <w:t>Please justify why AUC has been considered the main PK parameter required to establish bioequivalence rather than the combination of both AUC and C</w:t>
      </w:r>
      <w:r w:rsidRPr="00574078">
        <w:rPr>
          <w:i/>
          <w:vertAlign w:val="subscript"/>
        </w:rPr>
        <w:t>max</w:t>
      </w:r>
      <w:r w:rsidR="007C6D8D" w:rsidRPr="00574078">
        <w:rPr>
          <w:i/>
        </w:rPr>
        <w:t>.</w:t>
      </w:r>
    </w:p>
    <w:p w14:paraId="655D0B7E" w14:textId="7E5A4F8E" w:rsidR="00416FD1" w:rsidRPr="00574078" w:rsidRDefault="00416FD1" w:rsidP="00574078">
      <w:pPr>
        <w:keepNext/>
        <w:ind w:left="1134" w:hanging="1134"/>
        <w:rPr>
          <w:i/>
          <w:lang w:eastAsia="ja-JP"/>
        </w:rPr>
      </w:pPr>
      <w:r w:rsidRPr="00574078">
        <w:rPr>
          <w:i/>
          <w:lang w:eastAsia="ja-JP"/>
        </w:rPr>
        <w:t>Sponsor’s response</w:t>
      </w:r>
      <w:r w:rsidR="00574078" w:rsidRPr="00574078">
        <w:rPr>
          <w:i/>
          <w:lang w:eastAsia="ja-JP"/>
        </w:rPr>
        <w:t>:</w:t>
      </w:r>
    </w:p>
    <w:p w14:paraId="3D8EBD3C" w14:textId="77777777" w:rsidR="002D3988" w:rsidRPr="00FB5841" w:rsidRDefault="002D3988" w:rsidP="002D3988">
      <w:pPr>
        <w:rPr>
          <w:lang w:eastAsia="ja-JP"/>
        </w:rPr>
      </w:pPr>
      <w:r w:rsidRPr="00FB5841">
        <w:rPr>
          <w:lang w:eastAsia="ja-JP"/>
        </w:rPr>
        <w:t xml:space="preserve">The </w:t>
      </w:r>
      <w:r w:rsidR="007C6D8D">
        <w:rPr>
          <w:lang w:eastAsia="ja-JP"/>
        </w:rPr>
        <w:t>sponsor</w:t>
      </w:r>
      <w:r>
        <w:rPr>
          <w:lang w:eastAsia="ja-JP"/>
        </w:rPr>
        <w:t xml:space="preserve"> states that the </w:t>
      </w:r>
      <w:r w:rsidRPr="00FB5841">
        <w:rPr>
          <w:lang w:eastAsia="ja-JP"/>
        </w:rPr>
        <w:t>criteria for both AUC and C</w:t>
      </w:r>
      <w:r w:rsidRPr="001E7DBE">
        <w:rPr>
          <w:vertAlign w:val="subscript"/>
          <w:lang w:eastAsia="ja-JP"/>
        </w:rPr>
        <w:t>max</w:t>
      </w:r>
      <w:r w:rsidRPr="00FB5841">
        <w:rPr>
          <w:lang w:eastAsia="ja-JP"/>
        </w:rPr>
        <w:t xml:space="preserve"> are relevant in the context of claiming bioequivalence</w:t>
      </w:r>
      <w:r>
        <w:rPr>
          <w:lang w:eastAsia="ja-JP"/>
        </w:rPr>
        <w:t xml:space="preserve"> between formulations. The </w:t>
      </w:r>
      <w:r w:rsidR="007C6D8D">
        <w:rPr>
          <w:lang w:eastAsia="ja-JP"/>
        </w:rPr>
        <w:t>sponsor</w:t>
      </w:r>
      <w:r>
        <w:rPr>
          <w:lang w:eastAsia="ja-JP"/>
        </w:rPr>
        <w:t xml:space="preserve"> considers </w:t>
      </w:r>
      <w:r w:rsidR="00E77015">
        <w:rPr>
          <w:lang w:eastAsia="ja-JP"/>
        </w:rPr>
        <w:t>Study</w:t>
      </w:r>
      <w:r>
        <w:rPr>
          <w:lang w:eastAsia="ja-JP"/>
        </w:rPr>
        <w:t xml:space="preserve"> AC-052-116 a biocomparison of the paediatric and adult formulations. </w:t>
      </w:r>
      <w:r w:rsidRPr="00FB5841">
        <w:rPr>
          <w:lang w:eastAsia="ja-JP"/>
        </w:rPr>
        <w:t>For C</w:t>
      </w:r>
      <w:r w:rsidRPr="00C55099">
        <w:rPr>
          <w:vertAlign w:val="subscript"/>
          <w:lang w:eastAsia="ja-JP"/>
        </w:rPr>
        <w:t>max</w:t>
      </w:r>
      <w:r w:rsidRPr="00FB5841">
        <w:rPr>
          <w:lang w:eastAsia="ja-JP"/>
        </w:rPr>
        <w:t>, AUC</w:t>
      </w:r>
      <w:r w:rsidRPr="00C55099">
        <w:rPr>
          <w:vertAlign w:val="subscript"/>
          <w:lang w:eastAsia="ja-JP"/>
        </w:rPr>
        <w:t>0-t</w:t>
      </w:r>
      <w:r w:rsidRPr="00FB5841">
        <w:rPr>
          <w:lang w:eastAsia="ja-JP"/>
        </w:rPr>
        <w:t>, and AUC</w:t>
      </w:r>
      <w:r w:rsidRPr="00C55099">
        <w:rPr>
          <w:vertAlign w:val="subscript"/>
          <w:lang w:eastAsia="ja-JP"/>
        </w:rPr>
        <w:t>0-</w:t>
      </w:r>
      <w:r w:rsidRPr="00C55099">
        <w:rPr>
          <w:rFonts w:hint="eastAsia"/>
          <w:vertAlign w:val="subscript"/>
          <w:lang w:eastAsia="ja-JP"/>
        </w:rPr>
        <w:t>∞</w:t>
      </w:r>
      <w:r w:rsidRPr="00FB5841">
        <w:rPr>
          <w:lang w:eastAsia="ja-JP"/>
        </w:rPr>
        <w:t xml:space="preserve"> the ratios of the geometric means were within the</w:t>
      </w:r>
      <w:r>
        <w:rPr>
          <w:lang w:eastAsia="ja-JP"/>
        </w:rPr>
        <w:t xml:space="preserve"> </w:t>
      </w:r>
      <w:r w:rsidRPr="00FB5841">
        <w:rPr>
          <w:lang w:eastAsia="ja-JP"/>
        </w:rPr>
        <w:t>conventional 0.8</w:t>
      </w:r>
      <w:r>
        <w:rPr>
          <w:lang w:val="en-US" w:eastAsia="ja-JP"/>
        </w:rPr>
        <w:t>-</w:t>
      </w:r>
      <w:r w:rsidRPr="00FB5841">
        <w:rPr>
          <w:lang w:eastAsia="ja-JP"/>
        </w:rPr>
        <w:t xml:space="preserve">1.25 equivalence interval. However, for the </w:t>
      </w:r>
      <w:r>
        <w:rPr>
          <w:lang w:eastAsia="ja-JP"/>
        </w:rPr>
        <w:t>three</w:t>
      </w:r>
      <w:r w:rsidRPr="00FB5841">
        <w:rPr>
          <w:lang w:eastAsia="ja-JP"/>
        </w:rPr>
        <w:t xml:space="preserve"> parameters the lower</w:t>
      </w:r>
      <w:r>
        <w:rPr>
          <w:lang w:eastAsia="ja-JP"/>
        </w:rPr>
        <w:t xml:space="preserve"> </w:t>
      </w:r>
      <w:r w:rsidRPr="00FB5841">
        <w:rPr>
          <w:lang w:eastAsia="ja-JP"/>
        </w:rPr>
        <w:t xml:space="preserve">boundary of the 90% </w:t>
      </w:r>
      <w:r>
        <w:rPr>
          <w:lang w:eastAsia="ja-JP"/>
        </w:rPr>
        <w:t>CI</w:t>
      </w:r>
      <w:r w:rsidRPr="00FB5841">
        <w:rPr>
          <w:lang w:eastAsia="ja-JP"/>
        </w:rPr>
        <w:t xml:space="preserve"> of the geometric mean ratio was outside the</w:t>
      </w:r>
      <w:r>
        <w:rPr>
          <w:lang w:eastAsia="ja-JP"/>
        </w:rPr>
        <w:t xml:space="preserve"> </w:t>
      </w:r>
      <w:r w:rsidRPr="00FB5841">
        <w:rPr>
          <w:lang w:eastAsia="ja-JP"/>
        </w:rPr>
        <w:t>0.8</w:t>
      </w:r>
      <w:r w:rsidR="00394221">
        <w:rPr>
          <w:lang w:val="en-US" w:eastAsia="ja-JP"/>
        </w:rPr>
        <w:t xml:space="preserve"> to </w:t>
      </w:r>
      <w:r w:rsidRPr="00FB5841">
        <w:rPr>
          <w:lang w:eastAsia="ja-JP"/>
        </w:rPr>
        <w:t xml:space="preserve">1.25 </w:t>
      </w:r>
      <w:r w:rsidRPr="00D81D7C">
        <w:rPr>
          <w:lang w:eastAsia="ja-JP"/>
        </w:rPr>
        <w:t>interval (</w:t>
      </w:r>
      <w:r w:rsidR="00D81D7C" w:rsidRPr="00D81D7C">
        <w:rPr>
          <w:lang w:eastAsia="ja-JP"/>
        </w:rPr>
        <w:t>Table</w:t>
      </w:r>
      <w:r w:rsidR="00D81D7C">
        <w:rPr>
          <w:lang w:eastAsia="ja-JP"/>
        </w:rPr>
        <w:t xml:space="preserve"> 10</w:t>
      </w:r>
      <w:r>
        <w:rPr>
          <w:lang w:eastAsia="ja-JP"/>
        </w:rPr>
        <w:t>)</w:t>
      </w:r>
      <w:r w:rsidRPr="00FB5841">
        <w:rPr>
          <w:lang w:eastAsia="ja-JP"/>
        </w:rPr>
        <w:t>.</w:t>
      </w:r>
    </w:p>
    <w:p w14:paraId="27FE862F" w14:textId="77777777" w:rsidR="002D3988" w:rsidRPr="00FB5841" w:rsidRDefault="002D3988" w:rsidP="002D3988">
      <w:pPr>
        <w:rPr>
          <w:lang w:eastAsia="ja-JP"/>
        </w:rPr>
      </w:pPr>
      <w:r>
        <w:rPr>
          <w:lang w:eastAsia="ja-JP"/>
        </w:rPr>
        <w:t xml:space="preserve">The </w:t>
      </w:r>
      <w:r w:rsidR="007C6D8D">
        <w:rPr>
          <w:lang w:eastAsia="ja-JP"/>
        </w:rPr>
        <w:t>sponsor</w:t>
      </w:r>
      <w:r>
        <w:rPr>
          <w:lang w:eastAsia="ja-JP"/>
        </w:rPr>
        <w:t xml:space="preserve"> considers the decrease in exposure with the dispersible formulation not clinically relevant due to the </w:t>
      </w:r>
      <w:r w:rsidRPr="00FB5841">
        <w:rPr>
          <w:lang w:eastAsia="ja-JP"/>
        </w:rPr>
        <w:t>high inter-subject variability in exposure to bosentan observed in the</w:t>
      </w:r>
      <w:r>
        <w:rPr>
          <w:lang w:eastAsia="ja-JP"/>
        </w:rPr>
        <w:t xml:space="preserve"> </w:t>
      </w:r>
      <w:r w:rsidR="009C6335">
        <w:rPr>
          <w:lang w:eastAsia="ja-JP"/>
        </w:rPr>
        <w:t>FUTURE-1</w:t>
      </w:r>
      <w:r w:rsidRPr="00FB5841">
        <w:rPr>
          <w:lang w:eastAsia="ja-JP"/>
        </w:rPr>
        <w:t xml:space="preserve"> </w:t>
      </w:r>
      <w:r w:rsidR="00E77015">
        <w:rPr>
          <w:lang w:eastAsia="ja-JP"/>
        </w:rPr>
        <w:t>Study</w:t>
      </w:r>
      <w:r w:rsidRPr="00FB5841">
        <w:rPr>
          <w:lang w:eastAsia="ja-JP"/>
        </w:rPr>
        <w:t xml:space="preserve"> and the absence of relationship between bosentan exposure and efficacy</w:t>
      </w:r>
      <w:r>
        <w:rPr>
          <w:lang w:eastAsia="ja-JP"/>
        </w:rPr>
        <w:t xml:space="preserve"> </w:t>
      </w:r>
      <w:r w:rsidRPr="00FB5841">
        <w:rPr>
          <w:lang w:eastAsia="ja-JP"/>
        </w:rPr>
        <w:t>in BREATHE-3.</w:t>
      </w:r>
    </w:p>
    <w:p w14:paraId="6A6E7550" w14:textId="77777777" w:rsidR="002D3988" w:rsidRDefault="002D3988" w:rsidP="002D3988">
      <w:pPr>
        <w:rPr>
          <w:lang w:eastAsia="ja-JP"/>
        </w:rPr>
      </w:pPr>
      <w:r w:rsidRPr="00FB5841">
        <w:rPr>
          <w:lang w:eastAsia="ja-JP"/>
        </w:rPr>
        <w:t>In</w:t>
      </w:r>
      <w:r>
        <w:rPr>
          <w:lang w:eastAsia="ja-JP"/>
        </w:rPr>
        <w:t xml:space="preserve"> </w:t>
      </w:r>
      <w:r w:rsidRPr="00FB5841">
        <w:rPr>
          <w:lang w:eastAsia="ja-JP"/>
        </w:rPr>
        <w:t xml:space="preserve">other studies, the administration of bosentan at 2 mg/kg </w:t>
      </w:r>
      <w:r w:rsidR="007C6D8D">
        <w:rPr>
          <w:lang w:eastAsia="ja-JP"/>
        </w:rPr>
        <w:t>BD</w:t>
      </w:r>
      <w:r w:rsidRPr="00FB5841">
        <w:rPr>
          <w:lang w:eastAsia="ja-JP"/>
        </w:rPr>
        <w:t>, either as dispersible tablet</w:t>
      </w:r>
      <w:r>
        <w:rPr>
          <w:lang w:eastAsia="ja-JP"/>
        </w:rPr>
        <w:t xml:space="preserve"> </w:t>
      </w:r>
      <w:r w:rsidRPr="00FB5841">
        <w:rPr>
          <w:lang w:eastAsia="ja-JP"/>
        </w:rPr>
        <w:t>(</w:t>
      </w:r>
      <w:r w:rsidR="009C6335">
        <w:rPr>
          <w:lang w:eastAsia="ja-JP"/>
        </w:rPr>
        <w:t>FUTURE-1</w:t>
      </w:r>
      <w:r w:rsidRPr="00FB5841">
        <w:rPr>
          <w:lang w:eastAsia="ja-JP"/>
        </w:rPr>
        <w:t xml:space="preserve"> and </w:t>
      </w:r>
      <w:r w:rsidR="009C6335">
        <w:rPr>
          <w:lang w:eastAsia="ja-JP"/>
        </w:rPr>
        <w:t>FUTURE-3</w:t>
      </w:r>
      <w:r w:rsidRPr="00FB5841">
        <w:rPr>
          <w:lang w:eastAsia="ja-JP"/>
        </w:rPr>
        <w:t xml:space="preserve">) or as </w:t>
      </w:r>
      <w:r w:rsidR="007C6D8D">
        <w:rPr>
          <w:lang w:eastAsia="ja-JP"/>
        </w:rPr>
        <w:t>film coated</w:t>
      </w:r>
      <w:r w:rsidRPr="00FB5841">
        <w:rPr>
          <w:lang w:eastAsia="ja-JP"/>
        </w:rPr>
        <w:t xml:space="preserve"> tablet (BREATHE-3) to paediatric PAH</w:t>
      </w:r>
      <w:r>
        <w:rPr>
          <w:lang w:eastAsia="ja-JP"/>
        </w:rPr>
        <w:t xml:space="preserve"> </w:t>
      </w:r>
      <w:r w:rsidRPr="00FB5841">
        <w:rPr>
          <w:lang w:eastAsia="ja-JP"/>
        </w:rPr>
        <w:t>patients, resulted in comparable bosentan plasma exposure</w:t>
      </w:r>
      <w:r>
        <w:rPr>
          <w:lang w:eastAsia="ja-JP"/>
        </w:rPr>
        <w:t xml:space="preserve">. The </w:t>
      </w:r>
      <w:r w:rsidR="007C6D8D">
        <w:rPr>
          <w:lang w:eastAsia="ja-JP"/>
        </w:rPr>
        <w:t>sponsor</w:t>
      </w:r>
      <w:r>
        <w:rPr>
          <w:lang w:eastAsia="ja-JP"/>
        </w:rPr>
        <w:t xml:space="preserve"> states that this indicates</w:t>
      </w:r>
      <w:r w:rsidRPr="00FB5841">
        <w:rPr>
          <w:lang w:eastAsia="ja-JP"/>
        </w:rPr>
        <w:t xml:space="preserve"> that the adult</w:t>
      </w:r>
      <w:r>
        <w:rPr>
          <w:lang w:eastAsia="ja-JP"/>
        </w:rPr>
        <w:t xml:space="preserve"> </w:t>
      </w:r>
      <w:r w:rsidRPr="00FB5841">
        <w:rPr>
          <w:lang w:eastAsia="ja-JP"/>
        </w:rPr>
        <w:t xml:space="preserve">and the paediatric formulations have similar pharmacokinetic profiles in paediatric </w:t>
      </w:r>
      <w:r w:rsidRPr="00D81D7C">
        <w:rPr>
          <w:lang w:eastAsia="ja-JP"/>
        </w:rPr>
        <w:t>patients (see</w:t>
      </w:r>
      <w:r w:rsidR="00D81D7C" w:rsidRPr="00D81D7C">
        <w:rPr>
          <w:lang w:eastAsia="ja-JP"/>
        </w:rPr>
        <w:t xml:space="preserve"> Table 87</w:t>
      </w:r>
      <w:r w:rsidRPr="00D81D7C">
        <w:rPr>
          <w:lang w:eastAsia="ja-JP"/>
        </w:rPr>
        <w:t>).</w:t>
      </w:r>
    </w:p>
    <w:p w14:paraId="2A977FC4" w14:textId="77777777" w:rsidR="002D3988" w:rsidRDefault="002D3988" w:rsidP="002D3988">
      <w:pPr>
        <w:rPr>
          <w:lang w:eastAsia="ja-JP"/>
        </w:rPr>
      </w:pPr>
      <w:r w:rsidRPr="00FB5841">
        <w:rPr>
          <w:lang w:eastAsia="ja-JP"/>
        </w:rPr>
        <w:t xml:space="preserve">The conclusion from the biocomparison </w:t>
      </w:r>
      <w:r w:rsidR="0066478A">
        <w:rPr>
          <w:lang w:eastAsia="ja-JP"/>
        </w:rPr>
        <w:t>study</w:t>
      </w:r>
      <w:r w:rsidRPr="00FB5841">
        <w:rPr>
          <w:lang w:eastAsia="ja-JP"/>
        </w:rPr>
        <w:t xml:space="preserve">, however, was that the profiles of the </w:t>
      </w:r>
      <w:r>
        <w:rPr>
          <w:lang w:eastAsia="ja-JP"/>
        </w:rPr>
        <w:t xml:space="preserve">two </w:t>
      </w:r>
      <w:r w:rsidRPr="00FB5841">
        <w:rPr>
          <w:lang w:eastAsia="ja-JP"/>
        </w:rPr>
        <w:t xml:space="preserve">formulations are comparable and do not show clinically relevant differences. In the </w:t>
      </w:r>
      <w:r w:rsidR="0066478A">
        <w:rPr>
          <w:lang w:eastAsia="ja-JP"/>
        </w:rPr>
        <w:t>study</w:t>
      </w:r>
      <w:r>
        <w:rPr>
          <w:lang w:eastAsia="ja-JP"/>
        </w:rPr>
        <w:t xml:space="preserve"> </w:t>
      </w:r>
      <w:r w:rsidRPr="00FB5841">
        <w:rPr>
          <w:lang w:eastAsia="ja-JP"/>
        </w:rPr>
        <w:t>report of AC-052-116 we focussed on AUC as this parameter is likely to be more relevant</w:t>
      </w:r>
      <w:r>
        <w:rPr>
          <w:lang w:eastAsia="ja-JP"/>
        </w:rPr>
        <w:t xml:space="preserve"> </w:t>
      </w:r>
      <w:r w:rsidRPr="00FB5841">
        <w:rPr>
          <w:lang w:eastAsia="ja-JP"/>
        </w:rPr>
        <w:t>for bosentan due to its chronic administration.</w:t>
      </w:r>
    </w:p>
    <w:p w14:paraId="110D45CB" w14:textId="77777777" w:rsidR="002D3988" w:rsidRPr="00097682" w:rsidRDefault="002D3988" w:rsidP="002D3988">
      <w:pPr>
        <w:pStyle w:val="Tabletitle"/>
      </w:pPr>
      <w:bookmarkStart w:id="568" w:name="_Ref469585065"/>
      <w:bookmarkStart w:id="569" w:name="_Toc473884129"/>
      <w:r w:rsidRPr="00D81D7C">
        <w:lastRenderedPageBreak/>
        <w:t xml:space="preserve">Table </w:t>
      </w:r>
      <w:bookmarkEnd w:id="568"/>
      <w:r w:rsidR="00D81D7C" w:rsidRPr="00D81D7C">
        <w:t>87:</w:t>
      </w:r>
      <w:r w:rsidRPr="00D81D7C">
        <w:t xml:space="preserve"> Comparison of bosentan exposure in paediatric populations</w:t>
      </w:r>
      <w:bookmarkEnd w:id="569"/>
    </w:p>
    <w:p w14:paraId="453B2A14" w14:textId="77777777" w:rsidR="00416FD1" w:rsidRDefault="002D3988" w:rsidP="00416FD1">
      <w:r>
        <w:rPr>
          <w:noProof/>
          <w:lang w:eastAsia="en-AU"/>
        </w:rPr>
        <w:drawing>
          <wp:inline distT="0" distB="0" distL="0" distR="0" wp14:anchorId="567913E7" wp14:editId="7DFD6E0B">
            <wp:extent cx="5731510" cy="2326895"/>
            <wp:effectExtent l="0" t="0" r="2540" b="0"/>
            <wp:docPr id="113" name="Picture 113" descr="Table 87: Comparison of bosentan exposure in paediatric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731510" cy="2326895"/>
                    </a:xfrm>
                    <a:prstGeom prst="rect">
                      <a:avLst/>
                    </a:prstGeom>
                  </pic:spPr>
                </pic:pic>
              </a:graphicData>
            </a:graphic>
          </wp:inline>
        </w:drawing>
      </w:r>
    </w:p>
    <w:p w14:paraId="09CA16FD" w14:textId="7388F96C" w:rsidR="00416FD1" w:rsidRPr="00574078" w:rsidRDefault="00416FD1" w:rsidP="00574078">
      <w:pPr>
        <w:pStyle w:val="Comment"/>
        <w:keepNext/>
        <w:rPr>
          <w:i/>
        </w:rPr>
      </w:pPr>
      <w:r w:rsidRPr="00574078">
        <w:rPr>
          <w:i/>
        </w:rPr>
        <w:t>Evaluator</w:t>
      </w:r>
      <w:r w:rsidR="008F1C68" w:rsidRPr="00574078">
        <w:rPr>
          <w:i/>
        </w:rPr>
        <w:t>’s</w:t>
      </w:r>
      <w:r w:rsidRPr="00574078">
        <w:rPr>
          <w:i/>
        </w:rPr>
        <w:t xml:space="preserve"> comment</w:t>
      </w:r>
      <w:r w:rsidR="00574078" w:rsidRPr="00574078">
        <w:rPr>
          <w:i/>
        </w:rPr>
        <w:t>:</w:t>
      </w:r>
    </w:p>
    <w:p w14:paraId="28E09398" w14:textId="77777777" w:rsidR="002D3988" w:rsidRDefault="002D3988" w:rsidP="00416FD1">
      <w:r>
        <w:t xml:space="preserve">No </w:t>
      </w:r>
      <w:r w:rsidR="0066478A">
        <w:t>study</w:t>
      </w:r>
      <w:r>
        <w:t xml:space="preserve"> has compared the two formulations of bosentan head to head in the paediatric population. The </w:t>
      </w:r>
      <w:r w:rsidR="007C6D8D">
        <w:t>sponsor</w:t>
      </w:r>
      <w:r>
        <w:t>’s claim for that the two formulations are comparable is based on the PK results from three studies using different age ranges and different dosage instructions. Whilst the 95% CI for the AUC</w:t>
      </w:r>
      <w:r w:rsidRPr="00360E60">
        <w:rPr>
          <w:vertAlign w:val="subscript"/>
        </w:rPr>
        <w:t>τ</w:t>
      </w:r>
      <w:r>
        <w:t xml:space="preserve"> results of the three studies </w:t>
      </w:r>
      <w:r w:rsidRPr="00D81D7C">
        <w:t>overlap (</w:t>
      </w:r>
      <w:r w:rsidR="00D81D7C" w:rsidRPr="00D81D7C">
        <w:t>Table 87</w:t>
      </w:r>
      <w:r w:rsidRPr="00D81D7C">
        <w:t>), it</w:t>
      </w:r>
      <w:r>
        <w:t xml:space="preserve"> cannot be assumed that the formulations are similar enough are therefore comparable given the differences in </w:t>
      </w:r>
      <w:r w:rsidR="0066478A">
        <w:t>study</w:t>
      </w:r>
      <w:r>
        <w:t xml:space="preserve"> populations. The patient age, dose and weight ranges vary across the groups analysed in </w:t>
      </w:r>
      <w:r w:rsidR="00D81D7C">
        <w:t xml:space="preserve">Table 87 </w:t>
      </w:r>
      <w:r>
        <w:t>and it is unclear how AUC compares when administered at similar doses in patients of similar age/weight.</w:t>
      </w:r>
    </w:p>
    <w:p w14:paraId="4A8B0416" w14:textId="77777777" w:rsidR="002D3988" w:rsidRPr="002D3988" w:rsidRDefault="002D3988" w:rsidP="00416FD1">
      <w:r w:rsidRPr="002D3988">
        <w:t xml:space="preserve">The only </w:t>
      </w:r>
      <w:r w:rsidR="0066478A">
        <w:t>study</w:t>
      </w:r>
      <w:r w:rsidRPr="002D3988">
        <w:t xml:space="preserve"> that has directly compared the two formulations was performed in adults and did not meet the criteria for bioequivalence. The guidelines on bioequivalence allow for the widening of the acceptance interval for C</w:t>
      </w:r>
      <w:r w:rsidRPr="00D81D7C">
        <w:rPr>
          <w:vertAlign w:val="subscript"/>
        </w:rPr>
        <w:t>max</w:t>
      </w:r>
      <w:r w:rsidRPr="002D3988">
        <w:t xml:space="preserve"> for highly variable drugs under a defined set of conditions. The </w:t>
      </w:r>
      <w:r w:rsidR="007C6D8D">
        <w:t>sponsor</w:t>
      </w:r>
      <w:r w:rsidRPr="002D3988">
        <w:t xml:space="preserve"> has not provided an argument to support the widening of the acceptance range. It is noted that the guidelines do not allow the acceptance criteria for AUC to be widened based on high intra-subject variability. The </w:t>
      </w:r>
      <w:r w:rsidR="007C6D8D">
        <w:t>sponsor</w:t>
      </w:r>
      <w:r w:rsidRPr="002D3988">
        <w:t xml:space="preserve"> has stated that both AUC and C</w:t>
      </w:r>
      <w:r w:rsidRPr="00D81D7C">
        <w:rPr>
          <w:vertAlign w:val="subscript"/>
        </w:rPr>
        <w:t>max</w:t>
      </w:r>
      <w:r w:rsidRPr="002D3988">
        <w:t xml:space="preserve"> are important for establishing the bioequivalence of bosentan formulations. In addition, the </w:t>
      </w:r>
      <w:r w:rsidR="007C6D8D">
        <w:t>sponsor</w:t>
      </w:r>
      <w:r w:rsidRPr="002D3988">
        <w:t xml:space="preserve"> has not identified any problems with the analytical method that could support an alternative </w:t>
      </w:r>
      <w:r w:rsidR="0066478A">
        <w:t>study</w:t>
      </w:r>
      <w:r w:rsidRPr="002D3988">
        <w:t xml:space="preserve"> design or acceptance criteria for this drug/formulation.</w:t>
      </w:r>
    </w:p>
    <w:p w14:paraId="52289FF9" w14:textId="77777777" w:rsidR="002D3988" w:rsidRDefault="002D3988" w:rsidP="00416FD1">
      <w:r w:rsidRPr="002D3988">
        <w:t xml:space="preserve">The </w:t>
      </w:r>
      <w:r w:rsidR="007C6D8D">
        <w:t>sponsor</w:t>
      </w:r>
      <w:r w:rsidRPr="002D3988">
        <w:t xml:space="preserve"> considers the two formulations comparable but has not referenced any standard against which ‘biocomparison’ can be measured.</w:t>
      </w:r>
    </w:p>
    <w:p w14:paraId="7B8E0771" w14:textId="47DCC428" w:rsidR="00416FD1" w:rsidRPr="00574078" w:rsidRDefault="002D3988" w:rsidP="00574078">
      <w:pPr>
        <w:pStyle w:val="Numberbullet0"/>
        <w:rPr>
          <w:i/>
          <w:lang w:eastAsia="ja-JP"/>
        </w:rPr>
      </w:pPr>
      <w:r w:rsidRPr="00574078">
        <w:rPr>
          <w:i/>
          <w:lang w:eastAsia="ja-JP"/>
        </w:rPr>
        <w:t xml:space="preserve">Please justify why bioequivalence studies have not been performed for the adult and paediatric formulations of bosentan in </w:t>
      </w:r>
      <w:r w:rsidR="00416FD1" w:rsidRPr="00574078">
        <w:rPr>
          <w:i/>
          <w:lang w:eastAsia="ja-JP"/>
        </w:rPr>
        <w:t>both the fed and fasted state?</w:t>
      </w:r>
    </w:p>
    <w:p w14:paraId="12C08126" w14:textId="7E752589" w:rsidR="00416FD1" w:rsidRPr="00574078" w:rsidRDefault="00416FD1" w:rsidP="00574078">
      <w:pPr>
        <w:keepNext/>
        <w:ind w:left="1134" w:hanging="1134"/>
        <w:rPr>
          <w:i/>
          <w:lang w:eastAsia="ja-JP"/>
        </w:rPr>
      </w:pPr>
      <w:r w:rsidRPr="00574078">
        <w:rPr>
          <w:i/>
          <w:lang w:eastAsia="ja-JP"/>
        </w:rPr>
        <w:t>Sponsor’s response</w:t>
      </w:r>
      <w:r w:rsidR="00574078" w:rsidRPr="00574078">
        <w:rPr>
          <w:i/>
          <w:lang w:eastAsia="ja-JP"/>
        </w:rPr>
        <w:t>:</w:t>
      </w:r>
    </w:p>
    <w:p w14:paraId="7E275575" w14:textId="77777777" w:rsidR="002D3988" w:rsidRDefault="002D3988" w:rsidP="002D3988">
      <w:pPr>
        <w:rPr>
          <w:lang w:eastAsia="ja-JP"/>
        </w:rPr>
      </w:pPr>
      <w:r>
        <w:rPr>
          <w:lang w:eastAsia="ja-JP"/>
        </w:rPr>
        <w:t>Biocomparison between the adult and paediatric formulations of bosentan has only been performed in the fasted state as no clinically relevant effect of food was observed at the recommended dose of 125 mg (C</w:t>
      </w:r>
      <w:r w:rsidRPr="001E7DBE">
        <w:rPr>
          <w:vertAlign w:val="subscript"/>
          <w:lang w:eastAsia="ja-JP"/>
        </w:rPr>
        <w:t>max</w:t>
      </w:r>
      <w:r>
        <w:rPr>
          <w:lang w:eastAsia="ja-JP"/>
        </w:rPr>
        <w:t xml:space="preserve"> increased by 22% and AUC increased by 10% in the presence of food) in healthy subjects. For drugs that can be administered with or without food, it is recommended by the guidelines (guidelines on the investigation of Bioequivalence EMA 2010 and Bioavailability and Bioequivalence Stu</w:t>
      </w:r>
      <w:r w:rsidR="00394221">
        <w:rPr>
          <w:lang w:eastAsia="ja-JP"/>
        </w:rPr>
        <w:t xml:space="preserve">dies Submitted in NDAs or INDs; </w:t>
      </w:r>
      <w:r>
        <w:rPr>
          <w:lang w:eastAsia="ja-JP"/>
        </w:rPr>
        <w:t>General Considerations FDA 2014) to conduct bioequivalence/biocomparison studies under fasted conditions as it is considered to be the most sensitive condition to detect potential differences.</w:t>
      </w:r>
    </w:p>
    <w:p w14:paraId="460674B8" w14:textId="4F799786" w:rsidR="00416FD1" w:rsidRPr="00574078" w:rsidRDefault="00416FD1" w:rsidP="00574078">
      <w:pPr>
        <w:pStyle w:val="Comment"/>
        <w:keepNext/>
        <w:rPr>
          <w:i/>
        </w:rPr>
      </w:pPr>
      <w:r w:rsidRPr="00574078">
        <w:rPr>
          <w:i/>
        </w:rPr>
        <w:lastRenderedPageBreak/>
        <w:t>Evaluator</w:t>
      </w:r>
      <w:r w:rsidR="00FA2A85" w:rsidRPr="00574078">
        <w:rPr>
          <w:i/>
        </w:rPr>
        <w:t>’s</w:t>
      </w:r>
      <w:r w:rsidRPr="00574078">
        <w:rPr>
          <w:i/>
        </w:rPr>
        <w:t xml:space="preserve"> comment</w:t>
      </w:r>
      <w:r w:rsidR="00574078" w:rsidRPr="00574078">
        <w:rPr>
          <w:i/>
        </w:rPr>
        <w:t>:</w:t>
      </w:r>
    </w:p>
    <w:p w14:paraId="00B8A392" w14:textId="77777777" w:rsidR="002D3988" w:rsidRDefault="002D3988" w:rsidP="00416FD1">
      <w:r>
        <w:t>The TGA adopted EMA ‘Guideline on the Investigation of Bioequivalence’ states that ‘</w:t>
      </w:r>
      <w:r w:rsidRPr="00957FAC">
        <w:t xml:space="preserve">For products where the SmPC recommends intake of the reference medicinal product on an empty stomach or irrespective of food intake, the bioequivalence </w:t>
      </w:r>
      <w:r w:rsidR="0066478A">
        <w:t>study</w:t>
      </w:r>
      <w:r w:rsidRPr="00957FAC">
        <w:t xml:space="preserve"> should hence be conducted under fasting conditions.</w:t>
      </w:r>
      <w:r>
        <w:t xml:space="preserve">’ The Tracleer PI dosage and administration instructions state that Tracleer tablets can be administered with or without food, therefore when comparing two tablet formulations a </w:t>
      </w:r>
      <w:r w:rsidR="0066478A">
        <w:t>study</w:t>
      </w:r>
      <w:r>
        <w:t xml:space="preserve"> in the fasting state would be sufficient. However, </w:t>
      </w:r>
      <w:r w:rsidR="00360E60">
        <w:t>S</w:t>
      </w:r>
      <w:r w:rsidR="0066478A">
        <w:t>tudy</w:t>
      </w:r>
      <w:r>
        <w:t xml:space="preserve"> AC-052-116 compared a tablet with a dispersible formulation and the guideline states that:</w:t>
      </w:r>
    </w:p>
    <w:p w14:paraId="4667BAA8" w14:textId="77777777" w:rsidR="002D3988" w:rsidRPr="00957FAC" w:rsidRDefault="002D3988" w:rsidP="00416FD1">
      <w:pPr>
        <w:ind w:left="720"/>
      </w:pPr>
      <w:r w:rsidRPr="00957FAC">
        <w:t>However, for products with specific formulation characterist</w:t>
      </w:r>
      <w:r>
        <w:t>ics (</w:t>
      </w:r>
      <w:r w:rsidR="007C6D8D">
        <w:t>for example</w:t>
      </w:r>
      <w:r>
        <w:t xml:space="preserve"> microemulsions, solid </w:t>
      </w:r>
      <w:r w:rsidRPr="00957FAC">
        <w:t>dispersions), bioequivalence studies performed under both fasted and fed conditions are required unless the product must be taken only in the fasted state or only in the fed state.</w:t>
      </w:r>
    </w:p>
    <w:p w14:paraId="147095BA" w14:textId="77777777" w:rsidR="007C6D8D" w:rsidRDefault="002D3988" w:rsidP="00416FD1">
      <w:r>
        <w:t>Given the nature of the formulations and the statement in the PI that bosentan may be taken with or without food, studies performed under both the fasted and fed conditions are required</w:t>
      </w:r>
      <w:r w:rsidR="007C6D8D">
        <w:t>.</w:t>
      </w:r>
    </w:p>
    <w:p w14:paraId="474D340F" w14:textId="32BF3B6B" w:rsidR="009711D5" w:rsidRDefault="002D3988" w:rsidP="00574078">
      <w:r>
        <w:rPr>
          <w:lang w:eastAsia="ja-JP"/>
        </w:rPr>
        <w:t xml:space="preserve">The </w:t>
      </w:r>
      <w:r w:rsidR="007C6D8D">
        <w:rPr>
          <w:lang w:eastAsia="ja-JP"/>
        </w:rPr>
        <w:t>sponsor</w:t>
      </w:r>
      <w:r>
        <w:rPr>
          <w:lang w:eastAsia="ja-JP"/>
        </w:rPr>
        <w:t xml:space="preserve"> states that no clinically relevant effect of food was observed at the recommended dose of 125 mg but </w:t>
      </w:r>
      <w:r w:rsidR="00E77015">
        <w:rPr>
          <w:lang w:eastAsia="ja-JP"/>
        </w:rPr>
        <w:t>Study</w:t>
      </w:r>
      <w:r>
        <w:rPr>
          <w:lang w:eastAsia="ja-JP"/>
        </w:rPr>
        <w:t xml:space="preserve"> AC-052-116 compared the two formulations at the lower dose (62.</w:t>
      </w:r>
      <w:r w:rsidR="00394221">
        <w:rPr>
          <w:lang w:eastAsia="ja-JP"/>
        </w:rPr>
        <w:t>5 </w:t>
      </w:r>
      <w:r w:rsidR="007C6D8D">
        <w:rPr>
          <w:lang w:eastAsia="ja-JP"/>
        </w:rPr>
        <w:t>mg</w:t>
      </w:r>
      <w:r>
        <w:rPr>
          <w:lang w:eastAsia="ja-JP"/>
        </w:rPr>
        <w:t xml:space="preserve"> </w:t>
      </w:r>
      <w:r w:rsidR="007C6D8D">
        <w:rPr>
          <w:lang w:eastAsia="ja-JP"/>
        </w:rPr>
        <w:t>versus</w:t>
      </w:r>
      <w:r>
        <w:rPr>
          <w:lang w:eastAsia="ja-JP"/>
        </w:rPr>
        <w:t xml:space="preserve"> 64mg). </w:t>
      </w:r>
      <w:r>
        <w:t>The TGA adopted guidelines recommend conducting bioequivalence studies at the highest strength but selection of a lower strength is acceptable for products with linear pharmacokinetics and a highly soluble drug substance. These conditions relate to the BCS-based biowaiver requirements for class I and III drugs and as discussed previously, bosentan is stated to be a class II drug. Selection of a lower strength may also be acceptable where the highest strength cannot be administered for safety/tolerability reasons but a justification for the use of the lower strength has not been included in the submission. The FDA guidance ‘Bioavailability and Bioequivalence Stu</w:t>
      </w:r>
      <w:r w:rsidR="00394221">
        <w:t>dies Submitted in NDAs or INDs;</w:t>
      </w:r>
      <w:r>
        <w:t xml:space="preserve"> General Considerations’ is a draft guidance only</w:t>
      </w:r>
      <w:r w:rsidR="00360E60">
        <w:t>,</w:t>
      </w:r>
      <w:r>
        <w:t xml:space="preserve"> and has not been adopted by the TGA. The draft product specific guidance for bosentan recommends studies in both the fasted and fed states for establishing the bioequivalence of generic formulations. In addition, this guidance recommends the comparison of the 125 mg strength whereas </w:t>
      </w:r>
      <w:r w:rsidR="00E77015">
        <w:t>Study</w:t>
      </w:r>
      <w:r>
        <w:t xml:space="preserve"> AC-052-116 compared 62.</w:t>
      </w:r>
      <w:r w:rsidR="007C6D8D">
        <w:t>5 mg</w:t>
      </w:r>
      <w:r>
        <w:t xml:space="preserve"> of the adult formulation to 64 mg of the paediatric formulation</w:t>
      </w:r>
      <w:r w:rsidR="007C6D8D">
        <w:t>.</w:t>
      </w:r>
    </w:p>
    <w:p w14:paraId="56A4A3C5" w14:textId="77777777" w:rsidR="002D3988" w:rsidRPr="00574078" w:rsidRDefault="002D3988" w:rsidP="00574078">
      <w:pPr>
        <w:pStyle w:val="Numberbullet0"/>
        <w:rPr>
          <w:i/>
          <w:lang w:eastAsia="ja-JP"/>
        </w:rPr>
      </w:pPr>
      <w:r w:rsidRPr="00574078">
        <w:rPr>
          <w:i/>
          <w:lang w:eastAsia="ja-JP"/>
        </w:rPr>
        <w:t xml:space="preserve">What evidence is there to demonstrate that the bosentan exposure plateau in the paediatric population noted in FUTURE-1 is reached at </w:t>
      </w:r>
      <w:r w:rsidR="007C6D8D" w:rsidRPr="00574078">
        <w:rPr>
          <w:i/>
          <w:lang w:eastAsia="ja-JP"/>
        </w:rPr>
        <w:t>2 mg</w:t>
      </w:r>
      <w:r w:rsidRPr="00574078">
        <w:rPr>
          <w:i/>
          <w:lang w:eastAsia="ja-JP"/>
        </w:rPr>
        <w:t xml:space="preserve">/kg </w:t>
      </w:r>
      <w:r w:rsidR="007C6D8D" w:rsidRPr="00574078">
        <w:rPr>
          <w:i/>
          <w:lang w:eastAsia="ja-JP"/>
        </w:rPr>
        <w:t>BD</w:t>
      </w:r>
      <w:r w:rsidRPr="00574078">
        <w:rPr>
          <w:i/>
          <w:lang w:eastAsia="ja-JP"/>
        </w:rPr>
        <w:t xml:space="preserve"> dosing rather than lower doses (</w:t>
      </w:r>
      <w:r w:rsidR="007C6D8D" w:rsidRPr="00574078">
        <w:rPr>
          <w:i/>
          <w:lang w:eastAsia="ja-JP"/>
        </w:rPr>
        <w:t>for example</w:t>
      </w:r>
      <w:r w:rsidRPr="00574078">
        <w:rPr>
          <w:i/>
          <w:lang w:eastAsia="ja-JP"/>
        </w:rPr>
        <w:t xml:space="preserve"> 1mg/kg </w:t>
      </w:r>
      <w:r w:rsidR="007C6D8D" w:rsidRPr="00574078">
        <w:rPr>
          <w:i/>
          <w:lang w:eastAsia="ja-JP"/>
        </w:rPr>
        <w:t>BD</w:t>
      </w:r>
      <w:r w:rsidRPr="00574078">
        <w:rPr>
          <w:i/>
          <w:lang w:eastAsia="ja-JP"/>
        </w:rPr>
        <w:t>)?</w:t>
      </w:r>
    </w:p>
    <w:p w14:paraId="052B90B7" w14:textId="527A9E5C" w:rsidR="00416FD1" w:rsidRPr="00574078" w:rsidRDefault="00416FD1" w:rsidP="00574078">
      <w:pPr>
        <w:keepNext/>
        <w:ind w:left="1134" w:hanging="1134"/>
        <w:rPr>
          <w:i/>
          <w:lang w:eastAsia="ja-JP"/>
        </w:rPr>
      </w:pPr>
      <w:r w:rsidRPr="00574078">
        <w:rPr>
          <w:i/>
          <w:lang w:eastAsia="ja-JP"/>
        </w:rPr>
        <w:t>Sponsor’s response</w:t>
      </w:r>
      <w:r w:rsidR="00574078">
        <w:rPr>
          <w:i/>
          <w:lang w:eastAsia="ja-JP"/>
        </w:rPr>
        <w:t>:</w:t>
      </w:r>
    </w:p>
    <w:p w14:paraId="735B6F47" w14:textId="77777777" w:rsidR="002D3988" w:rsidRDefault="002D3988" w:rsidP="002D3988">
      <w:pPr>
        <w:rPr>
          <w:lang w:eastAsia="ja-JP"/>
        </w:rPr>
      </w:pPr>
      <w:r>
        <w:rPr>
          <w:lang w:eastAsia="ja-JP"/>
        </w:rPr>
        <w:t xml:space="preserve">There are no clinical data demonstrating that bosentan plateau exposure is reached at a dose of 2 mg/kg </w:t>
      </w:r>
      <w:r w:rsidR="007C6D8D">
        <w:rPr>
          <w:lang w:eastAsia="ja-JP"/>
        </w:rPr>
        <w:t>BD</w:t>
      </w:r>
      <w:r>
        <w:rPr>
          <w:lang w:eastAsia="ja-JP"/>
        </w:rPr>
        <w:t xml:space="preserve"> and not at a lower dose in the paediatric population. To precisely identify at which dosing regimen the bosentan exposure plateau is attained, a clinical </w:t>
      </w:r>
      <w:r w:rsidR="0066478A">
        <w:rPr>
          <w:lang w:eastAsia="ja-JP"/>
        </w:rPr>
        <w:t>study</w:t>
      </w:r>
      <w:r>
        <w:rPr>
          <w:lang w:eastAsia="ja-JP"/>
        </w:rPr>
        <w:t xml:space="preserve"> with doses lower than 2 mg/kg </w:t>
      </w:r>
      <w:r w:rsidR="007C6D8D">
        <w:rPr>
          <w:lang w:eastAsia="ja-JP"/>
        </w:rPr>
        <w:t>BD</w:t>
      </w:r>
      <w:r>
        <w:rPr>
          <w:lang w:eastAsia="ja-JP"/>
        </w:rPr>
        <w:t xml:space="preserve"> would be necessary. As bosentan was well tolerated and showed significant improvement in pulmonary vascular resistance (PVR) at the dose of 2 mg/kg, for logistical and ethical reasons lower doses were not explored in the paediatric population.</w:t>
      </w:r>
    </w:p>
    <w:p w14:paraId="15C8FCD8" w14:textId="451A000B" w:rsidR="00416FD1" w:rsidRPr="00574078" w:rsidRDefault="00416FD1" w:rsidP="00574078">
      <w:pPr>
        <w:pStyle w:val="Comment"/>
        <w:keepNext/>
        <w:rPr>
          <w:i/>
        </w:rPr>
      </w:pPr>
      <w:r w:rsidRPr="00574078">
        <w:rPr>
          <w:i/>
        </w:rPr>
        <w:t>Evaluator</w:t>
      </w:r>
      <w:r w:rsidR="00FA2A85" w:rsidRPr="00574078">
        <w:rPr>
          <w:i/>
        </w:rPr>
        <w:t>’s</w:t>
      </w:r>
      <w:r w:rsidRPr="00574078">
        <w:rPr>
          <w:i/>
        </w:rPr>
        <w:t xml:space="preserve"> comment</w:t>
      </w:r>
      <w:r w:rsidR="00574078">
        <w:rPr>
          <w:i/>
        </w:rPr>
        <w:t>:</w:t>
      </w:r>
    </w:p>
    <w:p w14:paraId="015FF7D8" w14:textId="717128C8" w:rsidR="00FA2A85" w:rsidRPr="00FE5D1C" w:rsidRDefault="002D3988" w:rsidP="00F60031">
      <w:r>
        <w:t xml:space="preserve">The </w:t>
      </w:r>
      <w:r w:rsidR="007C6D8D">
        <w:t>sponsor</w:t>
      </w:r>
      <w:r>
        <w:t xml:space="preserve">’s explanation is noted. The </w:t>
      </w:r>
      <w:r w:rsidR="007C6D8D">
        <w:t>sponsor</w:t>
      </w:r>
      <w:r>
        <w:t xml:space="preserve"> has not indicated whether PBPK modelling has examined this issue.</w:t>
      </w:r>
    </w:p>
    <w:p w14:paraId="2BB0E16F" w14:textId="77777777" w:rsidR="002D3988" w:rsidRPr="00F60031" w:rsidRDefault="002D3988" w:rsidP="00F60031">
      <w:pPr>
        <w:pStyle w:val="Numberbullet0"/>
        <w:rPr>
          <w:i/>
          <w:lang w:eastAsia="ja-JP"/>
        </w:rPr>
      </w:pPr>
      <w:r w:rsidRPr="00F60031">
        <w:rPr>
          <w:i/>
          <w:lang w:eastAsia="ja-JP"/>
        </w:rPr>
        <w:t>Was the paediatric test formulation administered during period B dissolved prior to administration or was it administered as an oral tablet?</w:t>
      </w:r>
    </w:p>
    <w:p w14:paraId="3BC5204A" w14:textId="07810260" w:rsidR="00A2444A" w:rsidRPr="00F60031" w:rsidRDefault="00A2444A" w:rsidP="00F60031">
      <w:pPr>
        <w:keepNext/>
        <w:ind w:left="1134" w:hanging="1134"/>
        <w:rPr>
          <w:i/>
        </w:rPr>
      </w:pPr>
      <w:r w:rsidRPr="00F60031">
        <w:rPr>
          <w:i/>
        </w:rPr>
        <w:t>Sponsor’s response</w:t>
      </w:r>
      <w:r w:rsidR="00F60031" w:rsidRPr="00F60031">
        <w:rPr>
          <w:i/>
        </w:rPr>
        <w:t>:</w:t>
      </w:r>
    </w:p>
    <w:p w14:paraId="14747CDE" w14:textId="27EBA489" w:rsidR="002D3988" w:rsidRDefault="002D3988" w:rsidP="002D3988">
      <w:pPr>
        <w:rPr>
          <w:lang w:eastAsia="ja-JP"/>
        </w:rPr>
      </w:pPr>
      <w:r>
        <w:rPr>
          <w:lang w:eastAsia="ja-JP"/>
        </w:rPr>
        <w:t xml:space="preserve">During period B of </w:t>
      </w:r>
      <w:r w:rsidR="00E77015">
        <w:rPr>
          <w:lang w:eastAsia="ja-JP"/>
        </w:rPr>
        <w:t>Study</w:t>
      </w:r>
      <w:r>
        <w:rPr>
          <w:lang w:eastAsia="ja-JP"/>
        </w:rPr>
        <w:t xml:space="preserve"> AC-052-116 bosentan was given as 2 undissolved tablets of 32 mg with 240 mL of water.</w:t>
      </w:r>
    </w:p>
    <w:p w14:paraId="53E71D26" w14:textId="7B44E255" w:rsidR="00A2444A" w:rsidRPr="00F60031" w:rsidRDefault="00A2444A" w:rsidP="00F60031">
      <w:pPr>
        <w:pStyle w:val="Comment"/>
        <w:keepNext/>
        <w:rPr>
          <w:i/>
        </w:rPr>
      </w:pPr>
      <w:r w:rsidRPr="00F60031">
        <w:rPr>
          <w:i/>
        </w:rPr>
        <w:lastRenderedPageBreak/>
        <w:t>Evaluator</w:t>
      </w:r>
      <w:r w:rsidR="00FA2A85" w:rsidRPr="00F60031">
        <w:rPr>
          <w:i/>
        </w:rPr>
        <w:t>’s</w:t>
      </w:r>
      <w:r w:rsidRPr="00F60031">
        <w:rPr>
          <w:i/>
        </w:rPr>
        <w:t xml:space="preserve"> comment</w:t>
      </w:r>
      <w:r w:rsidR="00F60031" w:rsidRPr="00F60031">
        <w:rPr>
          <w:i/>
        </w:rPr>
        <w:t>:</w:t>
      </w:r>
    </w:p>
    <w:p w14:paraId="6456261A" w14:textId="77777777" w:rsidR="007C6D8D" w:rsidRDefault="002D3988" w:rsidP="00A2444A">
      <w:r>
        <w:t xml:space="preserve">It is unclear why the dispersible tablet was not dissolved prior to administration as per PI dosing instructions. The EU guidelines require bioequivalence studies for oral suspensions unless a </w:t>
      </w:r>
      <w:r w:rsidR="00394221">
        <w:t>biowaiver</w:t>
      </w:r>
      <w:r>
        <w:t xml:space="preserve"> is applicable and ‘</w:t>
      </w:r>
      <w:r w:rsidRPr="00305890">
        <w:rPr>
          <w:i/>
        </w:rPr>
        <w:t>In those cases where the test product is an oral solution which is intended to be bioequivalent to another immediate release oral dosage form, bioequivalence studies are required.</w:t>
      </w:r>
      <w:r>
        <w:t>’ As discussed previously bosentan does not appear to meet the criteria for a biowaiver. The paediatric formulation is a dispersible tablet that is mean to be dissolved prior to administration and therefore should be administered as an oral solution in order to compare formulations</w:t>
      </w:r>
      <w:r w:rsidR="007C6D8D">
        <w:t>.</w:t>
      </w:r>
    </w:p>
    <w:p w14:paraId="5800917B" w14:textId="77777777" w:rsidR="002D3988" w:rsidRPr="002D3988" w:rsidRDefault="002D3988" w:rsidP="00A2444A">
      <w:r w:rsidRPr="002D3988">
        <w:t xml:space="preserve">The potential impact of the administration of undissolved tablets </w:t>
      </w:r>
      <w:r w:rsidR="007C6D8D">
        <w:t>versus</w:t>
      </w:r>
      <w:r w:rsidRPr="002D3988">
        <w:t xml:space="preserve"> the dispersible solution has not been discussed. The draft FDA guidance on Bioavailability and Bioequivalence Studies states that:</w:t>
      </w:r>
    </w:p>
    <w:p w14:paraId="28D9F3F3" w14:textId="77777777" w:rsidR="002D3988" w:rsidRPr="002D3988" w:rsidRDefault="002D3988" w:rsidP="00A2444A">
      <w:pPr>
        <w:ind w:left="720"/>
      </w:pPr>
      <w:r w:rsidRPr="002D3988">
        <w:t xml:space="preserve">In addition, a BA </w:t>
      </w:r>
      <w:r w:rsidR="0066478A">
        <w:t>study</w:t>
      </w:r>
      <w:r w:rsidRPr="002D3988">
        <w:t xml:space="preserve"> may be needed with the unconventional dosage form swallowed intact to assess the impact of accidental swallowing of the intact product. Sampling should adequately capture the T</w:t>
      </w:r>
      <w:r w:rsidRPr="002D3988">
        <w:rPr>
          <w:vertAlign w:val="subscript"/>
        </w:rPr>
        <w:t>max</w:t>
      </w:r>
      <w:r w:rsidRPr="002D3988">
        <w:t xml:space="preserve"> and C</w:t>
      </w:r>
      <w:r w:rsidRPr="002D3988">
        <w:rPr>
          <w:vertAlign w:val="subscript"/>
        </w:rPr>
        <w:t>max</w:t>
      </w:r>
      <w:r w:rsidRPr="002D3988">
        <w:t xml:space="preserve"> in addition to total exposure.</w:t>
      </w:r>
    </w:p>
    <w:p w14:paraId="4C708A11" w14:textId="77777777" w:rsidR="002D3988" w:rsidRDefault="002D3988" w:rsidP="00A2444A">
      <w:r w:rsidRPr="002D3988">
        <w:t xml:space="preserve">However, the FDA guidance indicates this </w:t>
      </w:r>
      <w:r w:rsidR="0066478A">
        <w:t>study</w:t>
      </w:r>
      <w:r w:rsidRPr="002D3988">
        <w:t xml:space="preserve"> is to be conducted in addition to a </w:t>
      </w:r>
      <w:r w:rsidR="0066478A">
        <w:t>study</w:t>
      </w:r>
      <w:r w:rsidRPr="002D3988">
        <w:t xml:space="preserve"> where the drug is administered according to the intended label use/instructions.</w:t>
      </w:r>
    </w:p>
    <w:p w14:paraId="146D9162" w14:textId="77777777" w:rsidR="007C6D8D" w:rsidRPr="00F60031" w:rsidRDefault="002D3988" w:rsidP="00F60031">
      <w:pPr>
        <w:pStyle w:val="Numberbullet0"/>
        <w:rPr>
          <w:i/>
        </w:rPr>
      </w:pPr>
      <w:r w:rsidRPr="00F60031">
        <w:rPr>
          <w:i/>
        </w:rPr>
        <w:t>Please justify why the ratio of geometric means for AUC of 0.87 (90% CI 0.78, 0.96) should be considered to meet the requirements for acceptance of bioequivalence</w:t>
      </w:r>
      <w:r w:rsidR="007C6D8D" w:rsidRPr="00F60031">
        <w:rPr>
          <w:i/>
        </w:rPr>
        <w:t>.</w:t>
      </w:r>
    </w:p>
    <w:p w14:paraId="4A6F22F5" w14:textId="0ED35545" w:rsidR="00A2444A" w:rsidRPr="00F60031" w:rsidRDefault="00A2444A" w:rsidP="00F60031">
      <w:pPr>
        <w:keepNext/>
        <w:ind w:left="1134" w:hanging="1134"/>
        <w:rPr>
          <w:i/>
          <w:lang w:eastAsia="ja-JP"/>
        </w:rPr>
      </w:pPr>
      <w:r w:rsidRPr="00F60031">
        <w:rPr>
          <w:i/>
          <w:lang w:eastAsia="ja-JP"/>
        </w:rPr>
        <w:t>Sponsor’s response</w:t>
      </w:r>
      <w:r w:rsidR="00F60031" w:rsidRPr="00F60031">
        <w:rPr>
          <w:i/>
          <w:lang w:eastAsia="ja-JP"/>
        </w:rPr>
        <w:t>:</w:t>
      </w:r>
    </w:p>
    <w:p w14:paraId="249D0059" w14:textId="77777777" w:rsidR="002D3988" w:rsidRDefault="002D3988" w:rsidP="002D3988">
      <w:r>
        <w:t xml:space="preserve">The </w:t>
      </w:r>
      <w:r w:rsidR="007C6D8D">
        <w:t>sponsor</w:t>
      </w:r>
      <w:r>
        <w:t xml:space="preserve"> states that </w:t>
      </w:r>
      <w:r w:rsidRPr="00A75C05">
        <w:t xml:space="preserve">AC-052-116 was a biocomparison </w:t>
      </w:r>
      <w:r w:rsidR="0066478A">
        <w:t>study</w:t>
      </w:r>
      <w:r w:rsidRPr="00A75C05">
        <w:t xml:space="preserve"> and was not powered to conclude on</w:t>
      </w:r>
      <w:r>
        <w:t xml:space="preserve"> bioequivalence of the two</w:t>
      </w:r>
      <w:r w:rsidRPr="00A75C05">
        <w:t xml:space="preserve"> formulations. </w:t>
      </w:r>
      <w:r>
        <w:t>T</w:t>
      </w:r>
      <w:r w:rsidRPr="00A75C05">
        <w:t>he lower boundary of</w:t>
      </w:r>
      <w:r>
        <w:t xml:space="preserve"> </w:t>
      </w:r>
      <w:r w:rsidRPr="00A75C05">
        <w:t xml:space="preserve">the 90% </w:t>
      </w:r>
      <w:r>
        <w:t>CI</w:t>
      </w:r>
      <w:r w:rsidRPr="00A75C05">
        <w:t xml:space="preserve"> of the geometric means ratio was slightly outside</w:t>
      </w:r>
      <w:r>
        <w:t xml:space="preserve"> </w:t>
      </w:r>
      <w:r w:rsidRPr="00A75C05">
        <w:t>th</w:t>
      </w:r>
      <w:r>
        <w:t>e acceptance</w:t>
      </w:r>
      <w:r w:rsidRPr="00A75C05">
        <w:t xml:space="preserve"> interval</w:t>
      </w:r>
      <w:r>
        <w:t xml:space="preserve"> for bioequivalence</w:t>
      </w:r>
      <w:r w:rsidRPr="00A75C05">
        <w:t xml:space="preserve">. </w:t>
      </w:r>
      <w:r>
        <w:t xml:space="preserve">The </w:t>
      </w:r>
      <w:r w:rsidR="007C6D8D">
        <w:t>sponsor</w:t>
      </w:r>
      <w:r>
        <w:t xml:space="preserve"> states that the PK differences between the dispersible and the </w:t>
      </w:r>
      <w:r w:rsidR="007C6D8D">
        <w:t>film coated</w:t>
      </w:r>
      <w:r>
        <w:t xml:space="preserve"> formulations were not clinically relevant i</w:t>
      </w:r>
      <w:r w:rsidRPr="00A75C05">
        <w:t>n view of the inter- and intra-individual variability observed for bosentan.</w:t>
      </w:r>
    </w:p>
    <w:p w14:paraId="36232D06" w14:textId="5C7AFD60" w:rsidR="00A2444A" w:rsidRPr="00F60031" w:rsidRDefault="00A2444A" w:rsidP="00F60031">
      <w:pPr>
        <w:pStyle w:val="Comment"/>
        <w:keepNext/>
        <w:rPr>
          <w:i/>
        </w:rPr>
      </w:pPr>
      <w:r w:rsidRPr="00F60031">
        <w:rPr>
          <w:i/>
        </w:rPr>
        <w:t>Evaluator</w:t>
      </w:r>
      <w:r w:rsidR="00DA5EF7" w:rsidRPr="00F60031">
        <w:rPr>
          <w:i/>
        </w:rPr>
        <w:t>’s</w:t>
      </w:r>
      <w:r w:rsidRPr="00F60031">
        <w:rPr>
          <w:i/>
        </w:rPr>
        <w:t xml:space="preserve"> comment</w:t>
      </w:r>
      <w:r w:rsidR="00F60031" w:rsidRPr="00F60031">
        <w:rPr>
          <w:i/>
        </w:rPr>
        <w:t>:</w:t>
      </w:r>
    </w:p>
    <w:p w14:paraId="7E831F16" w14:textId="77777777" w:rsidR="002D3988" w:rsidRDefault="002D3988" w:rsidP="00A2444A">
      <w:r>
        <w:t xml:space="preserve">The </w:t>
      </w:r>
      <w:r w:rsidR="007C6D8D">
        <w:t>sponsor</w:t>
      </w:r>
      <w:r>
        <w:t xml:space="preserve"> has stated that </w:t>
      </w:r>
      <w:r w:rsidR="00E77015">
        <w:t>Study</w:t>
      </w:r>
      <w:r>
        <w:t xml:space="preserve"> AC-052-116 was not powered to demonstrate bioequivalence. The </w:t>
      </w:r>
      <w:r w:rsidR="007C6D8D">
        <w:t>sponsor</w:t>
      </w:r>
      <w:r>
        <w:t xml:space="preserve"> has not provided any reasons to suggest that a suitably powered </w:t>
      </w:r>
      <w:r w:rsidR="00E77015">
        <w:t>Study</w:t>
      </w:r>
      <w:r>
        <w:t xml:space="preserve"> would be impractical or impossible to conduct. As outlined above in the </w:t>
      </w:r>
      <w:r w:rsidR="007C6D8D">
        <w:t>evaluator</w:t>
      </w:r>
      <w:r w:rsidR="00394221">
        <w:t>’s comments on the response to Q</w:t>
      </w:r>
      <w:r>
        <w:t>uestion 3 the guidelines do not support the widening of the acceptance criteria for AUC based on high intra-subject variability. Suitable criteria for demonstrating ‘biocomparability’ have not established.</w:t>
      </w:r>
    </w:p>
    <w:p w14:paraId="074C7C04" w14:textId="3E132D16" w:rsidR="002D3988" w:rsidRPr="00F60031" w:rsidRDefault="002D3988" w:rsidP="00F60031">
      <w:pPr>
        <w:pStyle w:val="Numberbullet0"/>
        <w:rPr>
          <w:i/>
        </w:rPr>
      </w:pPr>
      <w:r w:rsidRPr="00F60031">
        <w:rPr>
          <w:i/>
        </w:rPr>
        <w:t>What was the rationale for setting a predefined equivalence limit of 0.66</w:t>
      </w:r>
      <w:r w:rsidR="00DA5EF7" w:rsidRPr="00F60031">
        <w:rPr>
          <w:i/>
        </w:rPr>
        <w:t xml:space="preserve"> to </w:t>
      </w:r>
      <w:r w:rsidRPr="00F60031">
        <w:rPr>
          <w:i/>
        </w:rPr>
        <w:t>1.5 for the 90%</w:t>
      </w:r>
      <w:r w:rsidR="00DA5EF7" w:rsidRPr="00F60031">
        <w:rPr>
          <w:i/>
        </w:rPr>
        <w:t> </w:t>
      </w:r>
      <w:r w:rsidRPr="00F60031">
        <w:rPr>
          <w:i/>
        </w:rPr>
        <w:t>CI of the ratio of geometric means for AUC</w:t>
      </w:r>
      <w:r w:rsidRPr="00F60031">
        <w:rPr>
          <w:rFonts w:hint="eastAsia"/>
          <w:i/>
        </w:rPr>
        <w:t>τ</w:t>
      </w:r>
      <w:r w:rsidRPr="00F60031">
        <w:rPr>
          <w:i/>
        </w:rPr>
        <w:t>?</w:t>
      </w:r>
    </w:p>
    <w:p w14:paraId="1C3E6405" w14:textId="21FD4972" w:rsidR="00A2444A" w:rsidRPr="00F60031" w:rsidRDefault="00A2444A" w:rsidP="00F60031">
      <w:pPr>
        <w:keepNext/>
        <w:ind w:left="1134" w:hanging="1134"/>
        <w:rPr>
          <w:i/>
          <w:lang w:eastAsia="ja-JP"/>
        </w:rPr>
      </w:pPr>
      <w:r w:rsidRPr="00F60031">
        <w:rPr>
          <w:i/>
          <w:lang w:eastAsia="ja-JP"/>
        </w:rPr>
        <w:t>Sponsor’s response</w:t>
      </w:r>
      <w:r w:rsidR="00F60031" w:rsidRPr="00F60031">
        <w:rPr>
          <w:i/>
          <w:lang w:eastAsia="ja-JP"/>
        </w:rPr>
        <w:t>:</w:t>
      </w:r>
    </w:p>
    <w:p w14:paraId="208FE0FF" w14:textId="0CF75B9B" w:rsidR="002D3988" w:rsidRDefault="002D3988" w:rsidP="002D3988">
      <w:pPr>
        <w:rPr>
          <w:lang w:eastAsia="ja-JP"/>
        </w:rPr>
      </w:pPr>
      <w:r>
        <w:rPr>
          <w:lang w:eastAsia="ja-JP"/>
        </w:rPr>
        <w:t xml:space="preserve">The similarity between the exposure to bosentan in children and adult PAH patients were to be tested using an equivalence hypothesis. Based on the variability in the PK data observed in the BREATHE-3 </w:t>
      </w:r>
      <w:r w:rsidR="00E77015">
        <w:rPr>
          <w:lang w:eastAsia="ja-JP"/>
        </w:rPr>
        <w:t>Study</w:t>
      </w:r>
      <w:r>
        <w:rPr>
          <w:lang w:eastAsia="ja-JP"/>
        </w:rPr>
        <w:t>, the equivalence limits were set to 0.66 and 1.5 for the ratio of the geometric means of bosentan AUC</w:t>
      </w:r>
      <w:r w:rsidRPr="00360E60">
        <w:rPr>
          <w:vertAlign w:val="subscript"/>
          <w:lang w:eastAsia="ja-JP"/>
        </w:rPr>
        <w:t>τ</w:t>
      </w:r>
      <w:r>
        <w:rPr>
          <w:lang w:eastAsia="ja-JP"/>
        </w:rPr>
        <w:t xml:space="preserve"> between children treated with 4 mg/kg in </w:t>
      </w:r>
      <w:r w:rsidR="009C6335">
        <w:rPr>
          <w:lang w:eastAsia="ja-JP"/>
        </w:rPr>
        <w:t>FUTURE-1</w:t>
      </w:r>
      <w:r w:rsidR="00394221">
        <w:rPr>
          <w:lang w:eastAsia="ja-JP"/>
        </w:rPr>
        <w:t xml:space="preserve"> and adults in Study AC</w:t>
      </w:r>
      <w:r w:rsidR="00394221">
        <w:rPr>
          <w:lang w:eastAsia="ja-JP"/>
        </w:rPr>
        <w:noBreakHyphen/>
      </w:r>
      <w:r>
        <w:rPr>
          <w:lang w:eastAsia="ja-JP"/>
        </w:rPr>
        <w:t xml:space="preserve">052-357. These equivalence limits correspond to a 0.405 difference on the log-transformed scale and represent a ± 50% difference in the geometric mean. As the comparison performed in </w:t>
      </w:r>
      <w:r w:rsidR="009C6335">
        <w:rPr>
          <w:lang w:eastAsia="ja-JP"/>
        </w:rPr>
        <w:t>FUTURE-1</w:t>
      </w:r>
      <w:r>
        <w:rPr>
          <w:lang w:eastAsia="ja-JP"/>
        </w:rPr>
        <w:t xml:space="preserve"> was not a within-subject comparison, slightly wider limits were applied than the standard ± 20%. The common standard deviation of the log-transformed data was estimated from BREATHE-3 to be 0.451.</w:t>
      </w:r>
    </w:p>
    <w:p w14:paraId="4AB74D8F" w14:textId="77777777" w:rsidR="002D3988" w:rsidRDefault="002D3988" w:rsidP="002D3988">
      <w:pPr>
        <w:rPr>
          <w:lang w:eastAsia="ja-JP"/>
        </w:rPr>
      </w:pPr>
      <w:r>
        <w:rPr>
          <w:lang w:eastAsia="ja-JP"/>
        </w:rPr>
        <w:lastRenderedPageBreak/>
        <w:t xml:space="preserve">Given these assumptions a minimum sample size of 30 evaluable patients was necessary in order to have 80% power to detect equivalence based on the </w:t>
      </w:r>
      <w:r w:rsidR="00A5161C">
        <w:rPr>
          <w:lang w:eastAsia="ja-JP"/>
        </w:rPr>
        <w:t>2 sided</w:t>
      </w:r>
      <w:r>
        <w:rPr>
          <w:lang w:eastAsia="ja-JP"/>
        </w:rPr>
        <w:t xml:space="preserve"> 90% CI of the ratio of the geometric means between children and adults falling within the established equivalence limits.</w:t>
      </w:r>
    </w:p>
    <w:p w14:paraId="75274641" w14:textId="77777777" w:rsidR="002D3988" w:rsidRDefault="002D3988" w:rsidP="002D3988">
      <w:pPr>
        <w:rPr>
          <w:lang w:eastAsia="ja-JP"/>
        </w:rPr>
      </w:pPr>
      <w:r>
        <w:rPr>
          <w:lang w:eastAsia="ja-JP"/>
        </w:rPr>
        <w:t xml:space="preserve">In </w:t>
      </w:r>
      <w:r w:rsidR="009C6335">
        <w:rPr>
          <w:lang w:eastAsia="ja-JP"/>
        </w:rPr>
        <w:t>FUTURE-1</w:t>
      </w:r>
      <w:r>
        <w:rPr>
          <w:lang w:eastAsia="ja-JP"/>
        </w:rPr>
        <w:t xml:space="preserve">, the exposure in children treated with bosentan 4 mg/kg </w:t>
      </w:r>
      <w:r w:rsidR="007C6D8D">
        <w:rPr>
          <w:lang w:eastAsia="ja-JP"/>
        </w:rPr>
        <w:t>BD</w:t>
      </w:r>
      <w:r>
        <w:rPr>
          <w:lang w:eastAsia="ja-JP"/>
        </w:rPr>
        <w:t xml:space="preserve"> was similar to the exposure resulting from a 2 mg/kg </w:t>
      </w:r>
      <w:r w:rsidR="007C6D8D">
        <w:rPr>
          <w:lang w:eastAsia="ja-JP"/>
        </w:rPr>
        <w:t>BD</w:t>
      </w:r>
      <w:r>
        <w:rPr>
          <w:lang w:eastAsia="ja-JP"/>
        </w:rPr>
        <w:t xml:space="preserve"> administration and was approximately half the exposure observed in adult patients. Therefore the 90% CI of the ratio of the geometric means for AUC</w:t>
      </w:r>
      <w:r w:rsidRPr="00360E60">
        <w:rPr>
          <w:vertAlign w:val="subscript"/>
          <w:lang w:eastAsia="ja-JP"/>
        </w:rPr>
        <w:t>τ</w:t>
      </w:r>
      <w:r>
        <w:rPr>
          <w:lang w:eastAsia="ja-JP"/>
        </w:rPr>
        <w:t xml:space="preserve"> was not used to conclude on the </w:t>
      </w:r>
      <w:r w:rsidR="0066478A">
        <w:rPr>
          <w:lang w:eastAsia="ja-JP"/>
        </w:rPr>
        <w:t>study</w:t>
      </w:r>
      <w:r>
        <w:rPr>
          <w:lang w:eastAsia="ja-JP"/>
        </w:rPr>
        <w:t>.</w:t>
      </w:r>
    </w:p>
    <w:p w14:paraId="7EBF2D9C" w14:textId="5A7A40BA" w:rsidR="00A2444A" w:rsidRPr="00F60031" w:rsidRDefault="00A2444A" w:rsidP="00F60031">
      <w:pPr>
        <w:pStyle w:val="Comment"/>
        <w:keepNext/>
        <w:rPr>
          <w:i/>
        </w:rPr>
      </w:pPr>
      <w:r w:rsidRPr="00F60031">
        <w:rPr>
          <w:i/>
        </w:rPr>
        <w:t>Evaluator</w:t>
      </w:r>
      <w:r w:rsidR="00DA5EF7" w:rsidRPr="00F60031">
        <w:rPr>
          <w:i/>
        </w:rPr>
        <w:t>’s</w:t>
      </w:r>
      <w:r w:rsidRPr="00F60031">
        <w:rPr>
          <w:i/>
        </w:rPr>
        <w:t xml:space="preserve"> comment</w:t>
      </w:r>
      <w:r w:rsidR="00F60031" w:rsidRPr="00F60031">
        <w:rPr>
          <w:i/>
        </w:rPr>
        <w:t>:</w:t>
      </w:r>
    </w:p>
    <w:p w14:paraId="0745BF93" w14:textId="77777777" w:rsidR="007C6D8D" w:rsidRDefault="002D3988" w:rsidP="00295031">
      <w:r>
        <w:t xml:space="preserve">The FUTURE-1 </w:t>
      </w:r>
      <w:r w:rsidR="00E77015">
        <w:t>Study</w:t>
      </w:r>
      <w:r>
        <w:t xml:space="preserve"> included a comparison of exposure to bosentan in children PAH patients (FUTURE-1 </w:t>
      </w:r>
      <w:r w:rsidR="00E77015">
        <w:t>Study</w:t>
      </w:r>
      <w:r>
        <w:t xml:space="preserve"> patients) and adult PAH patients (historical control group treated with 125 mg </w:t>
      </w:r>
      <w:r w:rsidR="007C6D8D">
        <w:t>BD</w:t>
      </w:r>
      <w:r>
        <w:t>). The null hypothesis (of non-equivalence) was to be rejected if both limits of the 90% CI (based on Student’s t-test) of the ratio of geometric means of AUC</w:t>
      </w:r>
      <w:r w:rsidRPr="00360E60">
        <w:rPr>
          <w:vertAlign w:val="subscript"/>
        </w:rPr>
        <w:t>τ</w:t>
      </w:r>
      <w:r>
        <w:t xml:space="preserve"> between children and adults were entirely within the pre-set equivalence limits of 0.66 to 1.5. The predefined interval of equivalence appears quite broad compared to the standard acceptance criteria for bioequivalence but the CI for ratio of the geometric means of AUC</w:t>
      </w:r>
      <w:r w:rsidRPr="00360E60">
        <w:rPr>
          <w:vertAlign w:val="subscript"/>
        </w:rPr>
        <w:t>τ</w:t>
      </w:r>
      <w:r>
        <w:t xml:space="preserve"> did not fall entirely within the predefined equival</w:t>
      </w:r>
      <w:r w:rsidR="00394221">
        <w:t xml:space="preserve">ence limits (0.5 (0.4 to </w:t>
      </w:r>
      <w:r>
        <w:t>0.8)). As a result the null hypothesis (non-equivalence) was accepted</w:t>
      </w:r>
      <w:r w:rsidR="007C6D8D">
        <w:t>.</w:t>
      </w:r>
    </w:p>
    <w:p w14:paraId="19D30E4C" w14:textId="77777777" w:rsidR="002D3988" w:rsidRPr="00F60031" w:rsidRDefault="002D3988" w:rsidP="00F60031">
      <w:pPr>
        <w:pStyle w:val="Numberbullet0"/>
        <w:rPr>
          <w:i/>
        </w:rPr>
      </w:pPr>
      <w:r w:rsidRPr="00F60031">
        <w:rPr>
          <w:i/>
        </w:rPr>
        <w:t xml:space="preserve">Please outline why 95% CI were calculated for the geometric mean ratio results comparing the </w:t>
      </w:r>
      <w:r w:rsidR="007C6D8D" w:rsidRPr="00F60031">
        <w:rPr>
          <w:i/>
        </w:rPr>
        <w:t>BD</w:t>
      </w:r>
      <w:r w:rsidRPr="00F60031">
        <w:rPr>
          <w:i/>
        </w:rPr>
        <w:t xml:space="preserve"> and </w:t>
      </w:r>
      <w:r w:rsidR="007C6D8D" w:rsidRPr="00F60031">
        <w:rPr>
          <w:i/>
        </w:rPr>
        <w:t>TDS</w:t>
      </w:r>
      <w:r w:rsidRPr="00F60031">
        <w:rPr>
          <w:i/>
        </w:rPr>
        <w:t xml:space="preserve"> dosing regimens rather than the usual 90% CI used to determine bioequivalence. What threshold of equivalence was defined for the 95% CI?</w:t>
      </w:r>
    </w:p>
    <w:p w14:paraId="50D82D4F" w14:textId="73AAF8BF" w:rsidR="00295031" w:rsidRPr="00F60031" w:rsidRDefault="00295031" w:rsidP="00F60031">
      <w:pPr>
        <w:keepNext/>
        <w:ind w:left="1134" w:hanging="1134"/>
        <w:rPr>
          <w:i/>
          <w:lang w:eastAsia="ja-JP"/>
        </w:rPr>
      </w:pPr>
      <w:r w:rsidRPr="00F60031">
        <w:rPr>
          <w:i/>
          <w:lang w:eastAsia="ja-JP"/>
        </w:rPr>
        <w:t>Sponsor’s response</w:t>
      </w:r>
      <w:r w:rsidR="00F60031" w:rsidRPr="00F60031">
        <w:rPr>
          <w:i/>
          <w:lang w:eastAsia="ja-JP"/>
        </w:rPr>
        <w:t>:</w:t>
      </w:r>
    </w:p>
    <w:p w14:paraId="104F1647" w14:textId="77777777" w:rsidR="002D3988" w:rsidRDefault="002D3988" w:rsidP="002D3988">
      <w:pPr>
        <w:rPr>
          <w:lang w:eastAsia="ja-JP"/>
        </w:rPr>
      </w:pPr>
      <w:r>
        <w:rPr>
          <w:lang w:eastAsia="ja-JP"/>
        </w:rPr>
        <w:t xml:space="preserve">The </w:t>
      </w:r>
      <w:r w:rsidR="007C6D8D">
        <w:rPr>
          <w:lang w:eastAsia="ja-JP"/>
        </w:rPr>
        <w:t>sponsor</w:t>
      </w:r>
      <w:r>
        <w:rPr>
          <w:lang w:eastAsia="ja-JP"/>
        </w:rPr>
        <w:t xml:space="preserve"> states that the choice of the 95% CI was a conservative approach as a 95% CI is wider than a 90% CI. Therefore, to observe a nominally significant difference in bosentan exposure between </w:t>
      </w:r>
      <w:r w:rsidR="007C6D8D">
        <w:rPr>
          <w:lang w:eastAsia="ja-JP"/>
        </w:rPr>
        <w:t>BD</w:t>
      </w:r>
      <w:r>
        <w:rPr>
          <w:lang w:eastAsia="ja-JP"/>
        </w:rPr>
        <w:t xml:space="preserve"> and </w:t>
      </w:r>
      <w:r w:rsidR="007C6D8D">
        <w:rPr>
          <w:lang w:eastAsia="ja-JP"/>
        </w:rPr>
        <w:t>TDS</w:t>
      </w:r>
      <w:r>
        <w:rPr>
          <w:lang w:eastAsia="ja-JP"/>
        </w:rPr>
        <w:t xml:space="preserve"> dosing regimens (exclusion of one from the CI of the ratio of geometric means), the increase of the daily exposure must be larger with a 95% CI to indicate statistically significant increased exposure than it would with a 90% CI.</w:t>
      </w:r>
    </w:p>
    <w:p w14:paraId="45166ED2" w14:textId="77777777" w:rsidR="002D3988" w:rsidRDefault="002D3988" w:rsidP="002D3988">
      <w:pPr>
        <w:rPr>
          <w:lang w:eastAsia="ja-JP"/>
        </w:rPr>
      </w:pPr>
      <w:r>
        <w:rPr>
          <w:lang w:eastAsia="ja-JP"/>
        </w:rPr>
        <w:t xml:space="preserve">A strict bioequivalence approach could not be used in this </w:t>
      </w:r>
      <w:r w:rsidR="0066478A">
        <w:rPr>
          <w:lang w:eastAsia="ja-JP"/>
        </w:rPr>
        <w:t>study</w:t>
      </w:r>
      <w:r>
        <w:rPr>
          <w:lang w:eastAsia="ja-JP"/>
        </w:rPr>
        <w:t xml:space="preserve"> as </w:t>
      </w:r>
      <w:r w:rsidR="009C6335">
        <w:rPr>
          <w:lang w:eastAsia="ja-JP"/>
        </w:rPr>
        <w:t>FUTURE-3</w:t>
      </w:r>
      <w:r w:rsidR="00A5161C">
        <w:rPr>
          <w:lang w:eastAsia="ja-JP"/>
        </w:rPr>
        <w:t xml:space="preserve"> hours</w:t>
      </w:r>
      <w:r w:rsidR="00394221">
        <w:rPr>
          <w:lang w:eastAsia="ja-JP"/>
        </w:rPr>
        <w:t xml:space="preserve"> </w:t>
      </w:r>
      <w:r>
        <w:rPr>
          <w:lang w:eastAsia="ja-JP"/>
        </w:rPr>
        <w:t>a</w:t>
      </w:r>
      <w:r w:rsidR="00394221">
        <w:rPr>
          <w:lang w:eastAsia="ja-JP"/>
        </w:rPr>
        <w:t>n</w:t>
      </w:r>
      <w:r>
        <w:rPr>
          <w:lang w:eastAsia="ja-JP"/>
        </w:rPr>
        <w:t xml:space="preserve">d a parallel and not a crossover design as required in bioequivalence studies. Based on the overall sample size of 50 patients, the bosentan dosing regimen, and the exposure variability observed in </w:t>
      </w:r>
      <w:r w:rsidR="009C6335">
        <w:rPr>
          <w:lang w:eastAsia="ja-JP"/>
        </w:rPr>
        <w:t>FUTURE-1</w:t>
      </w:r>
      <w:r>
        <w:rPr>
          <w:lang w:eastAsia="ja-JP"/>
        </w:rPr>
        <w:t xml:space="preserve"> </w:t>
      </w:r>
      <w:r w:rsidR="00E77015">
        <w:rPr>
          <w:lang w:eastAsia="ja-JP"/>
        </w:rPr>
        <w:t>Study</w:t>
      </w:r>
      <w:r>
        <w:rPr>
          <w:lang w:eastAsia="ja-JP"/>
        </w:rPr>
        <w:t xml:space="preserve"> (SD of the log-transformed data: 0.650), a range of daily exposure geometric mean ratios (</w:t>
      </w:r>
      <w:r w:rsidR="007C6D8D">
        <w:rPr>
          <w:lang w:eastAsia="ja-JP"/>
        </w:rPr>
        <w:t>TDS</w:t>
      </w:r>
      <w:r>
        <w:rPr>
          <w:lang w:eastAsia="ja-JP"/>
        </w:rPr>
        <w:t xml:space="preserve"> </w:t>
      </w:r>
      <w:r w:rsidR="00E77015">
        <w:rPr>
          <w:lang w:eastAsia="ja-JP"/>
        </w:rPr>
        <w:t>versus</w:t>
      </w:r>
      <w:r>
        <w:rPr>
          <w:lang w:eastAsia="ja-JP"/>
        </w:rPr>
        <w:t xml:space="preserve"> </w:t>
      </w:r>
      <w:r w:rsidR="007C6D8D">
        <w:rPr>
          <w:lang w:eastAsia="ja-JP"/>
        </w:rPr>
        <w:t>BD</w:t>
      </w:r>
      <w:r>
        <w:rPr>
          <w:lang w:eastAsia="ja-JP"/>
        </w:rPr>
        <w:t xml:space="preserve">) and their related 95% CI was simulated for </w:t>
      </w:r>
      <w:r w:rsidR="009C6335">
        <w:rPr>
          <w:lang w:eastAsia="ja-JP"/>
        </w:rPr>
        <w:t>FUTURE-</w:t>
      </w:r>
      <w:r w:rsidR="009C6335" w:rsidRPr="00D81D7C">
        <w:rPr>
          <w:lang w:eastAsia="ja-JP"/>
        </w:rPr>
        <w:t>3</w:t>
      </w:r>
      <w:r w:rsidRPr="00D81D7C">
        <w:rPr>
          <w:lang w:eastAsia="ja-JP"/>
        </w:rPr>
        <w:t xml:space="preserve"> (see</w:t>
      </w:r>
      <w:r w:rsidR="00D81D7C" w:rsidRPr="00D81D7C">
        <w:rPr>
          <w:lang w:eastAsia="ja-JP"/>
        </w:rPr>
        <w:t xml:space="preserve"> Table</w:t>
      </w:r>
      <w:r w:rsidR="00D81D7C">
        <w:rPr>
          <w:lang w:eastAsia="ja-JP"/>
        </w:rPr>
        <w:t> </w:t>
      </w:r>
      <w:r w:rsidR="00D81D7C" w:rsidRPr="00D81D7C">
        <w:rPr>
          <w:lang w:eastAsia="ja-JP"/>
        </w:rPr>
        <w:t>88</w:t>
      </w:r>
      <w:r w:rsidRPr="00D81D7C">
        <w:rPr>
          <w:lang w:eastAsia="ja-JP"/>
        </w:rPr>
        <w:t>).</w:t>
      </w:r>
    </w:p>
    <w:p w14:paraId="08A63DA4" w14:textId="77777777" w:rsidR="002D3988" w:rsidRDefault="002D3988" w:rsidP="002D3988">
      <w:pPr>
        <w:rPr>
          <w:lang w:eastAsia="ja-JP"/>
        </w:rPr>
      </w:pPr>
      <w:r w:rsidRPr="00291C7E">
        <w:rPr>
          <w:lang w:eastAsia="ja-JP"/>
        </w:rPr>
        <w:t xml:space="preserve">The </w:t>
      </w:r>
      <w:r>
        <w:rPr>
          <w:lang w:eastAsia="ja-JP"/>
        </w:rPr>
        <w:t>two</w:t>
      </w:r>
      <w:r w:rsidRPr="00291C7E">
        <w:rPr>
          <w:lang w:eastAsia="ja-JP"/>
        </w:rPr>
        <w:t xml:space="preserve"> dosing regimens were considered statistically comparable when </w:t>
      </w:r>
      <w:r>
        <w:rPr>
          <w:lang w:eastAsia="ja-JP"/>
        </w:rPr>
        <w:t>one</w:t>
      </w:r>
      <w:r w:rsidRPr="00291C7E">
        <w:rPr>
          <w:lang w:eastAsia="ja-JP"/>
        </w:rPr>
        <w:t xml:space="preserve"> was included in</w:t>
      </w:r>
      <w:r>
        <w:rPr>
          <w:lang w:eastAsia="ja-JP"/>
        </w:rPr>
        <w:t xml:space="preserve"> </w:t>
      </w:r>
      <w:r w:rsidRPr="00291C7E">
        <w:rPr>
          <w:lang w:eastAsia="ja-JP"/>
        </w:rPr>
        <w:t>the 95% CI. Therefore, an increase in exposure up to 40% was not considered a statistically</w:t>
      </w:r>
      <w:r>
        <w:rPr>
          <w:lang w:eastAsia="ja-JP"/>
        </w:rPr>
        <w:t xml:space="preserve"> </w:t>
      </w:r>
      <w:r w:rsidRPr="00291C7E">
        <w:rPr>
          <w:lang w:eastAsia="ja-JP"/>
        </w:rPr>
        <w:t>significant difference.</w:t>
      </w:r>
    </w:p>
    <w:p w14:paraId="6C977DC3" w14:textId="77777777" w:rsidR="002D3988" w:rsidRDefault="002D3988" w:rsidP="002D3988">
      <w:pPr>
        <w:pStyle w:val="Tabletitle"/>
        <w:rPr>
          <w:lang w:eastAsia="ja-JP"/>
        </w:rPr>
      </w:pPr>
      <w:bookmarkStart w:id="570" w:name="_Ref473808861"/>
      <w:bookmarkStart w:id="571" w:name="_Toc473884130"/>
      <w:r w:rsidRPr="00D81D7C">
        <w:lastRenderedPageBreak/>
        <w:t xml:space="preserve">Table </w:t>
      </w:r>
      <w:bookmarkEnd w:id="570"/>
      <w:r w:rsidR="00D81D7C" w:rsidRPr="00D81D7C">
        <w:t>88:</w:t>
      </w:r>
      <w:r w:rsidRPr="00D81D7C">
        <w:t xml:space="preserve"> Simulated geometric mean ratios and 95% CIs</w:t>
      </w:r>
      <w:bookmarkEnd w:id="571"/>
    </w:p>
    <w:p w14:paraId="0AC0A318" w14:textId="77777777" w:rsidR="0044448A" w:rsidRDefault="002D3988" w:rsidP="00C618F7">
      <w:pPr>
        <w:rPr>
          <w:lang w:eastAsia="ja-JP"/>
        </w:rPr>
      </w:pPr>
      <w:r>
        <w:rPr>
          <w:noProof/>
          <w:lang w:eastAsia="en-AU"/>
        </w:rPr>
        <w:drawing>
          <wp:inline distT="0" distB="0" distL="0" distR="0" wp14:anchorId="7E7386C4" wp14:editId="31060743">
            <wp:extent cx="2333549" cy="2676717"/>
            <wp:effectExtent l="0" t="0" r="0" b="0"/>
            <wp:docPr id="114" name="Picture 114" descr="Table 88: Simulated geometric mean ratios and 95% C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335069" cy="2678460"/>
                    </a:xfrm>
                    <a:prstGeom prst="rect">
                      <a:avLst/>
                    </a:prstGeom>
                  </pic:spPr>
                </pic:pic>
              </a:graphicData>
            </a:graphic>
          </wp:inline>
        </w:drawing>
      </w:r>
    </w:p>
    <w:p w14:paraId="1B3D8FEF" w14:textId="04695F23" w:rsidR="00295031" w:rsidRPr="00F60031" w:rsidRDefault="00295031" w:rsidP="00F60031">
      <w:pPr>
        <w:pStyle w:val="Comment"/>
        <w:keepNext/>
        <w:rPr>
          <w:i/>
        </w:rPr>
      </w:pPr>
      <w:r w:rsidRPr="00F60031">
        <w:rPr>
          <w:i/>
        </w:rPr>
        <w:t>Evaluator</w:t>
      </w:r>
      <w:r w:rsidR="00DA5EF7" w:rsidRPr="00F60031">
        <w:rPr>
          <w:i/>
        </w:rPr>
        <w:t>’s</w:t>
      </w:r>
      <w:r w:rsidRPr="00F60031">
        <w:rPr>
          <w:i/>
        </w:rPr>
        <w:t xml:space="preserve"> comment</w:t>
      </w:r>
      <w:r w:rsidR="00F60031" w:rsidRPr="00F60031">
        <w:rPr>
          <w:i/>
        </w:rPr>
        <w:t>:</w:t>
      </w:r>
    </w:p>
    <w:p w14:paraId="23C790DA" w14:textId="77777777" w:rsidR="002D3988" w:rsidRDefault="002D3988" w:rsidP="00295031">
      <w:r>
        <w:t xml:space="preserve">The </w:t>
      </w:r>
      <w:r w:rsidR="007C6D8D">
        <w:t>sponsor</w:t>
      </w:r>
      <w:r>
        <w:t xml:space="preserve">’s point that a strict bioequivalence approach was not undertaken due to the parallel </w:t>
      </w:r>
      <w:r w:rsidR="0066478A">
        <w:t>study</w:t>
      </w:r>
      <w:r>
        <w:t xml:space="preserve"> design is reasonable. The ratio of geometric means is noted</w:t>
      </w:r>
      <w:r w:rsidR="00394221">
        <w:t xml:space="preserve"> to be low at 0.85 (95% CI 0.61 to </w:t>
      </w:r>
      <w:r>
        <w:t xml:space="preserve">1.20) with wide confidence intervals due to both the inter-patient variability and the small sample size. The results suggest that increasing the dosing interval from </w:t>
      </w:r>
      <w:r w:rsidR="007C6D8D">
        <w:t>BD</w:t>
      </w:r>
      <w:r>
        <w:t xml:space="preserve"> to </w:t>
      </w:r>
      <w:r w:rsidR="007C6D8D">
        <w:t>TDS</w:t>
      </w:r>
      <w:r>
        <w:t xml:space="preserve"> is unlikely to increase systemic exposure in paediatric patients.</w:t>
      </w:r>
    </w:p>
    <w:p w14:paraId="3A0CCA8C" w14:textId="77777777" w:rsidR="002D3988" w:rsidRPr="00F60031" w:rsidRDefault="002D3988" w:rsidP="00F60031">
      <w:pPr>
        <w:pStyle w:val="Numberbullet0"/>
        <w:rPr>
          <w:i/>
        </w:rPr>
      </w:pPr>
      <w:r w:rsidRPr="00F60031">
        <w:rPr>
          <w:i/>
        </w:rPr>
        <w:t>The report states that one patient was excluded from PK analysis set due to a protocol violation. What was the protocol violation that led to exclusion from the analysis set?</w:t>
      </w:r>
    </w:p>
    <w:p w14:paraId="17C31E0D" w14:textId="539147FF" w:rsidR="00394221" w:rsidRPr="00F60031" w:rsidRDefault="00394221" w:rsidP="00F60031">
      <w:pPr>
        <w:keepNext/>
        <w:rPr>
          <w:i/>
        </w:rPr>
      </w:pPr>
      <w:r w:rsidRPr="00F60031">
        <w:rPr>
          <w:i/>
        </w:rPr>
        <w:t>Sponsor’s response</w:t>
      </w:r>
      <w:r w:rsidR="00F60031" w:rsidRPr="00F60031">
        <w:rPr>
          <w:i/>
        </w:rPr>
        <w:t>:</w:t>
      </w:r>
    </w:p>
    <w:p w14:paraId="33648D40" w14:textId="77777777" w:rsidR="002D3988" w:rsidRPr="00291C7E" w:rsidRDefault="002D3988" w:rsidP="002D3988">
      <w:pPr>
        <w:rPr>
          <w:lang w:eastAsia="ja-JP"/>
        </w:rPr>
      </w:pPr>
      <w:r w:rsidRPr="00291C7E">
        <w:rPr>
          <w:lang w:eastAsia="ja-JP"/>
        </w:rPr>
        <w:t xml:space="preserve">Subject </w:t>
      </w:r>
      <w:r w:rsidR="008F1103">
        <w:rPr>
          <w:lang w:eastAsia="ja-JP"/>
        </w:rPr>
        <w:t>[information redacted]</w:t>
      </w:r>
      <w:r w:rsidRPr="00291C7E">
        <w:rPr>
          <w:lang w:eastAsia="ja-JP"/>
        </w:rPr>
        <w:t xml:space="preserve"> was excluded from the PK set as he did not </w:t>
      </w:r>
      <w:r>
        <w:rPr>
          <w:lang w:eastAsia="ja-JP"/>
        </w:rPr>
        <w:t xml:space="preserve">have a reportable pre-dose drug </w:t>
      </w:r>
      <w:r w:rsidRPr="00291C7E">
        <w:rPr>
          <w:lang w:eastAsia="ja-JP"/>
        </w:rPr>
        <w:t>concentration. This subject did not meet the definition of t</w:t>
      </w:r>
      <w:r>
        <w:rPr>
          <w:lang w:eastAsia="ja-JP"/>
        </w:rPr>
        <w:t xml:space="preserve">he Per-protocol PK analysis set </w:t>
      </w:r>
      <w:r w:rsidRPr="00291C7E">
        <w:rPr>
          <w:lang w:eastAsia="ja-JP"/>
        </w:rPr>
        <w:t xml:space="preserve">which comprised all patients included in the All-treated </w:t>
      </w:r>
      <w:r>
        <w:rPr>
          <w:lang w:eastAsia="ja-JP"/>
        </w:rPr>
        <w:t xml:space="preserve">set who were able to provide at </w:t>
      </w:r>
      <w:r w:rsidRPr="00291C7E">
        <w:rPr>
          <w:lang w:eastAsia="ja-JP"/>
        </w:rPr>
        <w:t>least 5 of the 7 blood samples (including the pre-dose, the 2</w:t>
      </w:r>
      <w:r>
        <w:rPr>
          <w:lang w:eastAsia="ja-JP"/>
        </w:rPr>
        <w:t xml:space="preserve"> h</w:t>
      </w:r>
      <w:r w:rsidR="008F1103">
        <w:rPr>
          <w:lang w:eastAsia="ja-JP"/>
        </w:rPr>
        <w:t>ours</w:t>
      </w:r>
      <w:r>
        <w:rPr>
          <w:lang w:eastAsia="ja-JP"/>
        </w:rPr>
        <w:t xml:space="preserve">, and </w:t>
      </w:r>
      <w:r w:rsidR="00A5161C">
        <w:rPr>
          <w:lang w:eastAsia="ja-JP"/>
        </w:rPr>
        <w:t>12 hours</w:t>
      </w:r>
      <w:r>
        <w:rPr>
          <w:lang w:eastAsia="ja-JP"/>
        </w:rPr>
        <w:t xml:space="preserve"> post-dose samples) </w:t>
      </w:r>
      <w:r w:rsidRPr="00291C7E">
        <w:rPr>
          <w:lang w:eastAsia="ja-JP"/>
        </w:rPr>
        <w:t>requested for at least one evaluable PK profile and who di</w:t>
      </w:r>
      <w:r>
        <w:rPr>
          <w:lang w:eastAsia="ja-JP"/>
        </w:rPr>
        <w:t xml:space="preserve">d not violate the protocol in a </w:t>
      </w:r>
      <w:r w:rsidRPr="00291C7E">
        <w:rPr>
          <w:lang w:eastAsia="ja-JP"/>
        </w:rPr>
        <w:t>way that might affect the evaluation of the PK endpoints.</w:t>
      </w:r>
    </w:p>
    <w:p w14:paraId="338B9064" w14:textId="77777777" w:rsidR="002D3988" w:rsidRDefault="002D3988" w:rsidP="002D3988">
      <w:pPr>
        <w:rPr>
          <w:lang w:eastAsia="ja-JP"/>
        </w:rPr>
      </w:pPr>
      <w:r w:rsidRPr="00291C7E">
        <w:rPr>
          <w:lang w:eastAsia="ja-JP"/>
        </w:rPr>
        <w:t xml:space="preserve">The PK parameters were calculated for </w:t>
      </w:r>
      <w:r w:rsidR="008F1103" w:rsidRPr="00291C7E">
        <w:rPr>
          <w:lang w:eastAsia="ja-JP"/>
        </w:rPr>
        <w:t xml:space="preserve">Subject </w:t>
      </w:r>
      <w:r w:rsidR="008F1103">
        <w:rPr>
          <w:lang w:eastAsia="ja-JP"/>
        </w:rPr>
        <w:t xml:space="preserve">[information redacted] </w:t>
      </w:r>
      <w:r w:rsidRPr="00291C7E">
        <w:rPr>
          <w:lang w:eastAsia="ja-JP"/>
        </w:rPr>
        <w:t xml:space="preserve">and </w:t>
      </w:r>
      <w:r>
        <w:rPr>
          <w:lang w:eastAsia="ja-JP"/>
        </w:rPr>
        <w:t xml:space="preserve">this subject was part of the PK </w:t>
      </w:r>
      <w:r w:rsidRPr="00291C7E">
        <w:rPr>
          <w:lang w:eastAsia="ja-JP"/>
        </w:rPr>
        <w:t xml:space="preserve">analysis performed on the All-treated set. No significant </w:t>
      </w:r>
      <w:r>
        <w:rPr>
          <w:lang w:eastAsia="ja-JP"/>
        </w:rPr>
        <w:t xml:space="preserve">difference was observed between </w:t>
      </w:r>
      <w:r w:rsidRPr="00291C7E">
        <w:rPr>
          <w:lang w:eastAsia="ja-JP"/>
        </w:rPr>
        <w:t>the analysis performed with the All-treated set and the PK set.</w:t>
      </w:r>
    </w:p>
    <w:p w14:paraId="0C2F1264" w14:textId="0783E751" w:rsidR="00394221" w:rsidRPr="00F60031" w:rsidRDefault="00394221" w:rsidP="00F60031">
      <w:pPr>
        <w:pStyle w:val="Comment"/>
        <w:keepNext/>
        <w:rPr>
          <w:i/>
        </w:rPr>
      </w:pPr>
      <w:r w:rsidRPr="00F60031">
        <w:rPr>
          <w:i/>
        </w:rPr>
        <w:t>Evaluator</w:t>
      </w:r>
      <w:r w:rsidR="00D42CD8" w:rsidRPr="00F60031">
        <w:rPr>
          <w:i/>
        </w:rPr>
        <w:t>’s</w:t>
      </w:r>
      <w:r w:rsidRPr="00F60031">
        <w:rPr>
          <w:i/>
        </w:rPr>
        <w:t xml:space="preserve"> comment</w:t>
      </w:r>
      <w:r w:rsidR="00F60031" w:rsidRPr="00F60031">
        <w:rPr>
          <w:i/>
        </w:rPr>
        <w:t>:</w:t>
      </w:r>
    </w:p>
    <w:p w14:paraId="04E13370" w14:textId="77777777" w:rsidR="002D3988" w:rsidRPr="00CD6578" w:rsidRDefault="002D3988" w:rsidP="002D3988">
      <w:pPr>
        <w:pStyle w:val="Comment"/>
      </w:pPr>
      <w:r>
        <w:t xml:space="preserve">The </w:t>
      </w:r>
      <w:r w:rsidR="007C6D8D">
        <w:t>sponsor</w:t>
      </w:r>
      <w:r>
        <w:t>’s response is considered acceptable.</w:t>
      </w:r>
    </w:p>
    <w:p w14:paraId="4E7F1080" w14:textId="77777777" w:rsidR="002D3988" w:rsidRDefault="002D3988" w:rsidP="008F1103">
      <w:pPr>
        <w:pStyle w:val="Heading3"/>
      </w:pPr>
      <w:bookmarkStart w:id="572" w:name="_Toc473884028"/>
      <w:bookmarkStart w:id="573" w:name="_Toc519773932"/>
      <w:r w:rsidRPr="008F1103">
        <w:t>Efficacy</w:t>
      </w:r>
      <w:bookmarkEnd w:id="572"/>
      <w:bookmarkEnd w:id="573"/>
    </w:p>
    <w:p w14:paraId="7BA8DCE8" w14:textId="77777777" w:rsidR="002D3988" w:rsidRPr="00F60031" w:rsidRDefault="002D3988" w:rsidP="00F60031">
      <w:pPr>
        <w:pStyle w:val="Numberbullet0"/>
        <w:rPr>
          <w:i/>
        </w:rPr>
      </w:pPr>
      <w:r w:rsidRPr="00F60031">
        <w:rPr>
          <w:i/>
          <w:lang w:eastAsia="ja-JP"/>
        </w:rPr>
        <w:t>Please justify the extrapolation of efficacy data from the adult population using the adult formulation to the paediatric population using the paediatric formulation.</w:t>
      </w:r>
    </w:p>
    <w:p w14:paraId="182FAB64" w14:textId="1E6F4D94" w:rsidR="00394221" w:rsidRPr="00F60031" w:rsidRDefault="00394221" w:rsidP="00F60031">
      <w:pPr>
        <w:keepNext/>
        <w:ind w:left="1134" w:hanging="1134"/>
        <w:rPr>
          <w:i/>
          <w:lang w:eastAsia="ja-JP"/>
        </w:rPr>
      </w:pPr>
      <w:r w:rsidRPr="00F60031">
        <w:rPr>
          <w:i/>
          <w:lang w:eastAsia="ja-JP"/>
        </w:rPr>
        <w:t>Sponsor’s response</w:t>
      </w:r>
      <w:r w:rsidR="00F60031" w:rsidRPr="00F60031">
        <w:rPr>
          <w:i/>
          <w:lang w:eastAsia="ja-JP"/>
        </w:rPr>
        <w:t>:</w:t>
      </w:r>
    </w:p>
    <w:p w14:paraId="77CEDF96" w14:textId="77777777" w:rsidR="002D3988" w:rsidRPr="003411A1" w:rsidRDefault="002D3988" w:rsidP="004E5DCA">
      <w:r>
        <w:t xml:space="preserve">The </w:t>
      </w:r>
      <w:r w:rsidR="007C6D8D">
        <w:t>sponsor</w:t>
      </w:r>
      <w:r w:rsidRPr="003411A1">
        <w:t xml:space="preserve"> proposes bridging from the clinical effectiveness of Tracleer in PAH</w:t>
      </w:r>
      <w:r>
        <w:t xml:space="preserve"> </w:t>
      </w:r>
      <w:r w:rsidRPr="003411A1">
        <w:t>demonstrated in adults to the paediatric population, based on the:</w:t>
      </w:r>
    </w:p>
    <w:p w14:paraId="5664698A" w14:textId="77777777" w:rsidR="002D3988" w:rsidRPr="003411A1" w:rsidRDefault="002D3988" w:rsidP="004E5DCA">
      <w:pPr>
        <w:pStyle w:val="ListBullet"/>
      </w:pPr>
      <w:r w:rsidRPr="003411A1">
        <w:t>similarity in the disease between adult and paediatric patients,</w:t>
      </w:r>
    </w:p>
    <w:p w14:paraId="6531AA46" w14:textId="77777777" w:rsidR="002D3988" w:rsidRPr="003411A1" w:rsidRDefault="002D3988" w:rsidP="004E5DCA">
      <w:pPr>
        <w:pStyle w:val="ListBullet"/>
      </w:pPr>
      <w:r w:rsidRPr="003411A1">
        <w:lastRenderedPageBreak/>
        <w:t xml:space="preserve">similarity in the decrease in </w:t>
      </w:r>
      <w:r>
        <w:t xml:space="preserve">PVR observed in adult and </w:t>
      </w:r>
      <w:r w:rsidRPr="003411A1">
        <w:t>paediatric PAH patients in response to Tracleer treatm</w:t>
      </w:r>
      <w:r>
        <w:t xml:space="preserve">ent at the maximally attainable </w:t>
      </w:r>
      <w:r w:rsidRPr="003411A1">
        <w:t>exposure in children with PAH, and</w:t>
      </w:r>
    </w:p>
    <w:p w14:paraId="3D5E22C9" w14:textId="77777777" w:rsidR="007C6D8D" w:rsidRDefault="002D3988" w:rsidP="004E5DCA">
      <w:pPr>
        <w:pStyle w:val="ListBullet"/>
      </w:pPr>
      <w:r w:rsidRPr="003411A1">
        <w:t>overlap of the exposure achieved in paediatric PAH pa</w:t>
      </w:r>
      <w:r>
        <w:t xml:space="preserve">tients with the </w:t>
      </w:r>
      <w:r w:rsidR="007C6D8D">
        <w:t>film coated</w:t>
      </w:r>
      <w:r>
        <w:t xml:space="preserve"> and </w:t>
      </w:r>
      <w:r w:rsidRPr="003411A1">
        <w:t>dispersible tablet formulations, sufficient to consid</w:t>
      </w:r>
      <w:r>
        <w:t xml:space="preserve">er the formulations essentially </w:t>
      </w:r>
      <w:r w:rsidRPr="003411A1">
        <w:t>comparable in the eff</w:t>
      </w:r>
      <w:r>
        <w:t>ectiveness data interpretation</w:t>
      </w:r>
      <w:r w:rsidR="007C6D8D">
        <w:t>.</w:t>
      </w:r>
    </w:p>
    <w:p w14:paraId="5F694D50" w14:textId="149CE146" w:rsidR="002D3988" w:rsidRPr="003411A1" w:rsidRDefault="002D3988" w:rsidP="004E5DCA">
      <w:r w:rsidRPr="003411A1">
        <w:t xml:space="preserve">The </w:t>
      </w:r>
      <w:r>
        <w:t>BREATHE-3</w:t>
      </w:r>
      <w:r w:rsidRPr="003411A1">
        <w:t xml:space="preserve"> </w:t>
      </w:r>
      <w:r w:rsidR="00E77015">
        <w:t>Study</w:t>
      </w:r>
      <w:r w:rsidRPr="003411A1">
        <w:t xml:space="preserve"> </w:t>
      </w:r>
      <w:r>
        <w:t xml:space="preserve">in 19 paediatric PAH patients </w:t>
      </w:r>
      <w:r w:rsidRPr="003411A1">
        <w:t>(WHO functional class II and III) showed signi</w:t>
      </w:r>
      <w:r>
        <w:t xml:space="preserve">ficant improvement in PVR after </w:t>
      </w:r>
      <w:r w:rsidRPr="003411A1">
        <w:t xml:space="preserve">administration of bosentan </w:t>
      </w:r>
      <w:r w:rsidR="007C6D8D">
        <w:t>film coated</w:t>
      </w:r>
      <w:r w:rsidRPr="003411A1">
        <w:t xml:space="preserve"> tablets at app</w:t>
      </w:r>
      <w:r>
        <w:t xml:space="preserve">roximately 2 mg/kg </w:t>
      </w:r>
      <w:r w:rsidR="007C6D8D">
        <w:t>BD</w:t>
      </w:r>
      <w:r>
        <w:t xml:space="preserve"> (mean </w:t>
      </w:r>
      <w:r w:rsidRPr="003411A1">
        <w:t xml:space="preserve">change from baseline: </w:t>
      </w:r>
      <w:r w:rsidRPr="003411A1">
        <w:rPr>
          <w:rFonts w:hint="eastAsia"/>
        </w:rPr>
        <w:t>−</w:t>
      </w:r>
      <w:r w:rsidRPr="003411A1">
        <w:t xml:space="preserve">389 (95% </w:t>
      </w:r>
      <w:r>
        <w:t>CI</w:t>
      </w:r>
      <w:r w:rsidRPr="003411A1">
        <w:t xml:space="preserve">: </w:t>
      </w:r>
      <w:r w:rsidRPr="003411A1">
        <w:rPr>
          <w:rFonts w:hint="eastAsia"/>
        </w:rPr>
        <w:t>−</w:t>
      </w:r>
      <w:r w:rsidRPr="003411A1">
        <w:t xml:space="preserve">706, </w:t>
      </w:r>
      <w:r w:rsidRPr="003411A1">
        <w:rPr>
          <w:rFonts w:hint="eastAsia"/>
        </w:rPr>
        <w:t>−</w:t>
      </w:r>
      <w:r w:rsidRPr="003411A1">
        <w:t>72) dyn*sec/cm</w:t>
      </w:r>
      <w:r w:rsidRPr="001A4642">
        <w:rPr>
          <w:vertAlign w:val="superscript"/>
        </w:rPr>
        <w:t>5</w:t>
      </w:r>
      <w:r>
        <w:t xml:space="preserve">). This </w:t>
      </w:r>
      <w:r w:rsidRPr="003411A1">
        <w:t xml:space="preserve">effect is comparable in magnitude to the improvement in </w:t>
      </w:r>
      <w:r>
        <w:t xml:space="preserve">PVR observed in the active arms </w:t>
      </w:r>
      <w:r w:rsidRPr="003411A1">
        <w:t xml:space="preserve">of </w:t>
      </w:r>
      <w:r w:rsidR="00A5161C">
        <w:t>placebo controlled</w:t>
      </w:r>
      <w:r w:rsidRPr="003411A1">
        <w:t xml:space="preserve"> adult PAH studies: mean change from baseline </w:t>
      </w:r>
      <w:r w:rsidRPr="003411A1">
        <w:rPr>
          <w:rFonts w:hint="eastAsia"/>
        </w:rPr>
        <w:t>−</w:t>
      </w:r>
      <w:r w:rsidRPr="003411A1">
        <w:t>223 (95%</w:t>
      </w:r>
      <w:r w:rsidR="004E3521">
        <w:t> </w:t>
      </w:r>
      <w:r w:rsidRPr="003411A1">
        <w:t xml:space="preserve">CI: </w:t>
      </w:r>
      <w:r w:rsidRPr="003411A1">
        <w:rPr>
          <w:rFonts w:hint="eastAsia"/>
        </w:rPr>
        <w:t>−</w:t>
      </w:r>
      <w:r>
        <w:t xml:space="preserve">341, </w:t>
      </w:r>
      <w:r w:rsidRPr="003411A1">
        <w:rPr>
          <w:rFonts w:hint="eastAsia"/>
        </w:rPr>
        <w:t>−</w:t>
      </w:r>
      <w:r w:rsidRPr="003411A1">
        <w:t>106) dyn*sec/cm</w:t>
      </w:r>
      <w:r w:rsidRPr="001A4642">
        <w:rPr>
          <w:vertAlign w:val="superscript"/>
        </w:rPr>
        <w:t>5</w:t>
      </w:r>
      <w:r w:rsidRPr="003411A1">
        <w:t xml:space="preserve"> in </w:t>
      </w:r>
      <w:r w:rsidR="00E77015">
        <w:t>Study</w:t>
      </w:r>
      <w:r w:rsidRPr="003411A1">
        <w:t xml:space="preserve"> AC-052-351 (WHO functi</w:t>
      </w:r>
      <w:r w:rsidR="001A4642">
        <w:t>onal class III and IV treatment </w:t>
      </w:r>
      <w:r w:rsidRPr="003411A1">
        <w:t>na</w:t>
      </w:r>
      <w:r w:rsidRPr="003411A1">
        <w:rPr>
          <w:rFonts w:hint="eastAsia"/>
        </w:rPr>
        <w:t>ï</w:t>
      </w:r>
      <w:r>
        <w:t xml:space="preserve">ve </w:t>
      </w:r>
      <w:r w:rsidRPr="003411A1">
        <w:t xml:space="preserve">patients), </w:t>
      </w:r>
      <w:r w:rsidRPr="003411A1">
        <w:rPr>
          <w:rFonts w:hint="eastAsia"/>
        </w:rPr>
        <w:t>−</w:t>
      </w:r>
      <w:r w:rsidRPr="003411A1">
        <w:t xml:space="preserve">69 (95% CI: </w:t>
      </w:r>
      <w:r w:rsidRPr="003411A1">
        <w:rPr>
          <w:rFonts w:hint="eastAsia"/>
        </w:rPr>
        <w:t>−</w:t>
      </w:r>
      <w:r w:rsidRPr="003411A1">
        <w:t>175, 36) dyn*sec/cm</w:t>
      </w:r>
      <w:r w:rsidRPr="001A4642">
        <w:rPr>
          <w:vertAlign w:val="superscript"/>
        </w:rPr>
        <w:t>5</w:t>
      </w:r>
      <w:r w:rsidRPr="003411A1">
        <w:t xml:space="preserve"> in </w:t>
      </w:r>
      <w:r w:rsidR="004E3521">
        <w:t xml:space="preserve">Study </w:t>
      </w:r>
      <w:r w:rsidRPr="003411A1">
        <w:t>AC-0</w:t>
      </w:r>
      <w:r>
        <w:t xml:space="preserve">52-364 (WHO functional class II </w:t>
      </w:r>
      <w:r w:rsidRPr="003411A1">
        <w:t xml:space="preserve">patients), and </w:t>
      </w:r>
      <w:r w:rsidRPr="003411A1">
        <w:rPr>
          <w:rFonts w:hint="eastAsia"/>
        </w:rPr>
        <w:t>−</w:t>
      </w:r>
      <w:r w:rsidRPr="003411A1">
        <w:t xml:space="preserve">317 (95% CI: </w:t>
      </w:r>
      <w:r w:rsidRPr="003411A1">
        <w:rPr>
          <w:rFonts w:hint="eastAsia"/>
        </w:rPr>
        <w:t>−</w:t>
      </w:r>
      <w:r w:rsidRPr="003411A1">
        <w:t xml:space="preserve">598, </w:t>
      </w:r>
      <w:r w:rsidRPr="003411A1">
        <w:rPr>
          <w:rFonts w:hint="eastAsia"/>
        </w:rPr>
        <w:t>−</w:t>
      </w:r>
      <w:r w:rsidRPr="003411A1">
        <w:t>36) dyn*sec/cm</w:t>
      </w:r>
      <w:r w:rsidRPr="001A4642">
        <w:rPr>
          <w:vertAlign w:val="superscript"/>
        </w:rPr>
        <w:t>5</w:t>
      </w:r>
      <w:r w:rsidRPr="003411A1">
        <w:t xml:space="preserve"> </w:t>
      </w:r>
      <w:r>
        <w:t>in</w:t>
      </w:r>
      <w:r w:rsidR="004E3521">
        <w:t xml:space="preserve"> Study</w:t>
      </w:r>
      <w:r>
        <w:t xml:space="preserve"> AC-052-405 (WHO functional </w:t>
      </w:r>
      <w:r w:rsidRPr="003411A1">
        <w:t>class III patients related to Eisenmenger physiology).</w:t>
      </w:r>
    </w:p>
    <w:p w14:paraId="65C7DD29" w14:textId="7AE1EBFA" w:rsidR="002D3988" w:rsidRPr="003411A1" w:rsidRDefault="002D3988" w:rsidP="004E5DCA">
      <w:r>
        <w:t>BREATHE-3</w:t>
      </w:r>
      <w:r w:rsidRPr="003411A1">
        <w:t xml:space="preserve"> showed effectiveness of bosentan on PVR, bo</w:t>
      </w:r>
      <w:r>
        <w:t xml:space="preserve">th as monotherapy and on top of </w:t>
      </w:r>
      <w:r w:rsidRPr="003411A1">
        <w:t>epoprostenol. Ten out of 19 patients were on stable epoprostenol at ba</w:t>
      </w:r>
      <w:r>
        <w:t xml:space="preserve">seline and throughout </w:t>
      </w:r>
      <w:r w:rsidRPr="003411A1">
        <w:t xml:space="preserve">the </w:t>
      </w:r>
      <w:r w:rsidR="0066478A">
        <w:t>study</w:t>
      </w:r>
      <w:r w:rsidRPr="003411A1">
        <w:t>. In the subgroup of patients on concomitant epo</w:t>
      </w:r>
      <w:r>
        <w:t xml:space="preserve">prostenol, the mean change from </w:t>
      </w:r>
      <w:r w:rsidRPr="003411A1">
        <w:t xml:space="preserve">baseline in PVR was </w:t>
      </w:r>
      <w:r w:rsidRPr="003411A1">
        <w:rPr>
          <w:rFonts w:hint="eastAsia"/>
        </w:rPr>
        <w:t>−</w:t>
      </w:r>
      <w:r w:rsidRPr="003411A1">
        <w:t xml:space="preserve">115 (95% CI: </w:t>
      </w:r>
      <w:r w:rsidRPr="003411A1">
        <w:rPr>
          <w:rFonts w:hint="eastAsia"/>
        </w:rPr>
        <w:t>−</w:t>
      </w:r>
      <w:r w:rsidRPr="003411A1">
        <w:t>414, 185) dyn*sec/cm</w:t>
      </w:r>
      <w:r w:rsidRPr="001A4642">
        <w:rPr>
          <w:vertAlign w:val="superscript"/>
        </w:rPr>
        <w:t>5</w:t>
      </w:r>
      <w:r w:rsidRPr="003411A1">
        <w:t xml:space="preserve">, compared to </w:t>
      </w:r>
      <w:r w:rsidRPr="003411A1">
        <w:rPr>
          <w:rFonts w:hint="eastAsia"/>
        </w:rPr>
        <w:t>−</w:t>
      </w:r>
      <w:r>
        <w:t xml:space="preserve">698 (95% CI: </w:t>
      </w:r>
      <w:r w:rsidRPr="003411A1">
        <w:rPr>
          <w:rFonts w:hint="eastAsia"/>
        </w:rPr>
        <w:t>−</w:t>
      </w:r>
      <w:r w:rsidRPr="003411A1">
        <w:t xml:space="preserve">1282, </w:t>
      </w:r>
      <w:r w:rsidRPr="003411A1">
        <w:rPr>
          <w:rFonts w:hint="eastAsia"/>
        </w:rPr>
        <w:t>−</w:t>
      </w:r>
      <w:r w:rsidRPr="003411A1">
        <w:t>114) dyn*sec/cm</w:t>
      </w:r>
      <w:r w:rsidRPr="001A4642">
        <w:rPr>
          <w:vertAlign w:val="superscript"/>
        </w:rPr>
        <w:t>5</w:t>
      </w:r>
      <w:r w:rsidRPr="003411A1">
        <w:t xml:space="preserve"> in patients not on concomit</w:t>
      </w:r>
      <w:r>
        <w:t xml:space="preserve">ant epoprostenol. Similarly, in </w:t>
      </w:r>
      <w:r w:rsidR="008F1103">
        <w:t xml:space="preserve">treatment </w:t>
      </w:r>
      <w:r w:rsidRPr="003411A1">
        <w:t>na</w:t>
      </w:r>
      <w:r w:rsidRPr="003411A1">
        <w:rPr>
          <w:rFonts w:hint="eastAsia"/>
        </w:rPr>
        <w:t>ï</w:t>
      </w:r>
      <w:r w:rsidRPr="003411A1">
        <w:t>ve adult PAH patients, who were sc</w:t>
      </w:r>
      <w:r>
        <w:t xml:space="preserve">heduled to start treatment with </w:t>
      </w:r>
      <w:r w:rsidRPr="003411A1">
        <w:t>epoprostenol and to whom bosentan or placebo was admi</w:t>
      </w:r>
      <w:r>
        <w:t xml:space="preserve">nistered on top of epoprostenol </w:t>
      </w:r>
      <w:r w:rsidRPr="003411A1">
        <w:t>two days after treatment initiation of the latter, bosentan a</w:t>
      </w:r>
      <w:r>
        <w:t xml:space="preserve">lso had an additional effect on </w:t>
      </w:r>
      <w:r w:rsidRPr="003411A1">
        <w:t xml:space="preserve">PVR. The mean change from baseline in PVR was </w:t>
      </w:r>
      <w:r w:rsidRPr="003411A1">
        <w:rPr>
          <w:rFonts w:hint="eastAsia"/>
        </w:rPr>
        <w:t>−</w:t>
      </w:r>
      <w:r w:rsidRPr="003411A1">
        <w:t xml:space="preserve">563 (95% CI: </w:t>
      </w:r>
      <w:r w:rsidRPr="003411A1">
        <w:rPr>
          <w:rFonts w:hint="eastAsia"/>
        </w:rPr>
        <w:t>−</w:t>
      </w:r>
      <w:r w:rsidRPr="003411A1">
        <w:t xml:space="preserve">800, </w:t>
      </w:r>
      <w:r w:rsidRPr="003411A1">
        <w:rPr>
          <w:rFonts w:hint="eastAsia"/>
        </w:rPr>
        <w:t>−</w:t>
      </w:r>
      <w:r>
        <w:t xml:space="preserve">327) </w:t>
      </w:r>
      <w:r w:rsidRPr="003411A1">
        <w:t>dyn*sec/cm</w:t>
      </w:r>
      <w:r w:rsidRPr="001A4642">
        <w:rPr>
          <w:vertAlign w:val="superscript"/>
        </w:rPr>
        <w:t>5</w:t>
      </w:r>
      <w:r w:rsidRPr="003411A1">
        <w:t xml:space="preserve"> in </w:t>
      </w:r>
      <w:r w:rsidR="00A5161C">
        <w:t>bosentan treated</w:t>
      </w:r>
      <w:r w:rsidRPr="003411A1">
        <w:t xml:space="preserve"> patients compared to </w:t>
      </w:r>
      <w:r w:rsidRPr="003411A1">
        <w:rPr>
          <w:rFonts w:hint="eastAsia"/>
        </w:rPr>
        <w:t>−</w:t>
      </w:r>
      <w:r w:rsidRPr="003411A1">
        <w:t xml:space="preserve">376 (95% CI: </w:t>
      </w:r>
      <w:r w:rsidRPr="003411A1">
        <w:rPr>
          <w:rFonts w:hint="eastAsia"/>
        </w:rPr>
        <w:t>−</w:t>
      </w:r>
      <w:r w:rsidRPr="003411A1">
        <w:t xml:space="preserve">663, </w:t>
      </w:r>
      <w:r w:rsidRPr="003411A1">
        <w:rPr>
          <w:rFonts w:hint="eastAsia"/>
        </w:rPr>
        <w:t>−</w:t>
      </w:r>
      <w:r>
        <w:t xml:space="preserve">88) </w:t>
      </w:r>
      <w:r w:rsidRPr="003411A1">
        <w:t>dyn*sec/cm</w:t>
      </w:r>
      <w:r w:rsidRPr="001A4642">
        <w:rPr>
          <w:vertAlign w:val="superscript"/>
        </w:rPr>
        <w:t>5</w:t>
      </w:r>
      <w:r w:rsidRPr="003411A1">
        <w:t xml:space="preserve"> in placebo patients (</w:t>
      </w:r>
      <w:r w:rsidR="004E3521">
        <w:t xml:space="preserve">Study </w:t>
      </w:r>
      <w:r w:rsidRPr="003411A1">
        <w:t>AC-052-355).</w:t>
      </w:r>
    </w:p>
    <w:p w14:paraId="3F7C6BB3" w14:textId="77777777" w:rsidR="002D3988" w:rsidRDefault="002D3988" w:rsidP="004E5DCA">
      <w:r>
        <w:t xml:space="preserve">The </w:t>
      </w:r>
      <w:r w:rsidR="007C6D8D">
        <w:t>sponsor</w:t>
      </w:r>
      <w:r>
        <w:t xml:space="preserve"> references several </w:t>
      </w:r>
      <w:r w:rsidRPr="003411A1">
        <w:t xml:space="preserve">published </w:t>
      </w:r>
      <w:r w:rsidR="009C6335">
        <w:t>open label</w:t>
      </w:r>
      <w:r w:rsidRPr="003411A1">
        <w:t xml:space="preserve"> studies </w:t>
      </w:r>
      <w:r>
        <w:t>that</w:t>
      </w:r>
      <w:r w:rsidRPr="003411A1">
        <w:t xml:space="preserve"> report PVR changes from baseline of similar magnitude in paediatric</w:t>
      </w:r>
      <w:r>
        <w:t xml:space="preserve"> </w:t>
      </w:r>
      <w:r w:rsidRPr="003411A1">
        <w:t xml:space="preserve">PAH patients treated with the Tracleer </w:t>
      </w:r>
      <w:r w:rsidR="007C6D8D">
        <w:t>film coated</w:t>
      </w:r>
      <w:r w:rsidRPr="003411A1">
        <w:t xml:space="preserve"> tablet formulation at the same dose as in</w:t>
      </w:r>
      <w:r>
        <w:t xml:space="preserve"> BREATHE-3</w:t>
      </w:r>
      <w:r w:rsidRPr="003411A1">
        <w:t>.</w:t>
      </w:r>
    </w:p>
    <w:p w14:paraId="233C8AE5" w14:textId="4826D44D" w:rsidR="002D3988" w:rsidRDefault="002D3988" w:rsidP="004E5DCA">
      <w:r>
        <w:t xml:space="preserve">The range of individual exposures to bosentan after administration of the </w:t>
      </w:r>
      <w:r w:rsidR="007C6D8D">
        <w:t>film coated</w:t>
      </w:r>
      <w:r>
        <w:t xml:space="preserve"> and dispersible tablet formulations to healthy subjects was largely overlapping (</w:t>
      </w:r>
      <w:r w:rsidR="004E3521">
        <w:t xml:space="preserve">Study </w:t>
      </w:r>
      <w:r>
        <w:t>AC-052-</w:t>
      </w:r>
      <w:r w:rsidRPr="00D81D7C">
        <w:t>116,</w:t>
      </w:r>
      <w:r w:rsidR="008F1103">
        <w:t xml:space="preserve"> </w:t>
      </w:r>
      <w:r w:rsidR="00D81D7C" w:rsidRPr="00D81D7C">
        <w:t>Table 89</w:t>
      </w:r>
      <w:r w:rsidRPr="00D81D7C">
        <w:t>). In addition, ove</w:t>
      </w:r>
      <w:r>
        <w:t xml:space="preserve">rlapping exposure levels were observed between the BREATHE-3 and the FUTURE-1 and FUTURE-3 studies, conducted with the </w:t>
      </w:r>
      <w:r w:rsidR="007C6D8D">
        <w:t>film coated</w:t>
      </w:r>
      <w:r>
        <w:t xml:space="preserve"> and dispersible tablet formulations, respectively (</w:t>
      </w:r>
      <w:r w:rsidR="00D81D7C">
        <w:t>Table 87</w:t>
      </w:r>
      <w:r>
        <w:t>). Therefore, similar haemodynamic effects are expected with the dispersible tablet compared to the adult formulation in paediatric patients.</w:t>
      </w:r>
    </w:p>
    <w:p w14:paraId="64A93700" w14:textId="77777777" w:rsidR="002D3988" w:rsidRDefault="002D3988" w:rsidP="004E5DCA">
      <w:pPr>
        <w:pStyle w:val="Tabletitle"/>
      </w:pPr>
      <w:bookmarkStart w:id="574" w:name="_Ref473812379"/>
      <w:bookmarkStart w:id="575" w:name="_Toc473884131"/>
      <w:r w:rsidRPr="00D81D7C">
        <w:t xml:space="preserve">Table </w:t>
      </w:r>
      <w:bookmarkEnd w:id="574"/>
      <w:r w:rsidR="00D81D7C" w:rsidRPr="00D81D7C">
        <w:t>89:</w:t>
      </w:r>
      <w:r w:rsidRPr="00D81D7C">
        <w:t xml:space="preserve"> Bosentan</w:t>
      </w:r>
      <w:r>
        <w:t xml:space="preserve"> exposure in healthy adult subjects after administration of single doses of bosentan at 62.5 mg (adult formulation) and 64 mg (2 x 32 mg paediatric formulation)</w:t>
      </w:r>
      <w:bookmarkEnd w:id="575"/>
    </w:p>
    <w:p w14:paraId="4AAFE399" w14:textId="77777777" w:rsidR="0044448A" w:rsidRDefault="004E5DCA" w:rsidP="00C618F7">
      <w:pPr>
        <w:rPr>
          <w:lang w:eastAsia="ja-JP"/>
        </w:rPr>
      </w:pPr>
      <w:r>
        <w:rPr>
          <w:noProof/>
          <w:lang w:eastAsia="en-AU"/>
        </w:rPr>
        <w:drawing>
          <wp:inline distT="0" distB="0" distL="0" distR="0" wp14:anchorId="4F516B22" wp14:editId="0187D05F">
            <wp:extent cx="5120640" cy="804203"/>
            <wp:effectExtent l="0" t="0" r="3810" b="0"/>
            <wp:docPr id="115" name="Picture 115" descr="Table 89: Bosentan exposure in healthy adult subjects after administration of single doses of bosentan at 62.5 mg (adult formulation) and 64 mg (2 x 32 mg paediatric form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122751" cy="804535"/>
                    </a:xfrm>
                    <a:prstGeom prst="rect">
                      <a:avLst/>
                    </a:prstGeom>
                  </pic:spPr>
                </pic:pic>
              </a:graphicData>
            </a:graphic>
          </wp:inline>
        </w:drawing>
      </w:r>
    </w:p>
    <w:p w14:paraId="58BB544D" w14:textId="617B0176" w:rsidR="007C6D8D" w:rsidRDefault="004E5DCA" w:rsidP="004E5DCA">
      <w:r>
        <w:t xml:space="preserve">Data are geometric means (and 95% CI). </w:t>
      </w:r>
      <w:r>
        <w:rPr>
          <w:sz w:val="16"/>
          <w:szCs w:val="16"/>
        </w:rPr>
        <w:t xml:space="preserve">(1) </w:t>
      </w:r>
      <w:r>
        <w:t>AUC</w:t>
      </w:r>
      <w:r>
        <w:rPr>
          <w:sz w:val="16"/>
          <w:szCs w:val="16"/>
        </w:rPr>
        <w:t>0-</w:t>
      </w:r>
      <w:r>
        <w:rPr>
          <w:rFonts w:hint="eastAsia"/>
          <w:sz w:val="16"/>
          <w:szCs w:val="16"/>
        </w:rPr>
        <w:t>∞</w:t>
      </w:r>
      <w:r>
        <w:t>_D is normal</w:t>
      </w:r>
      <w:r w:rsidR="00296A55">
        <w:t>ise</w:t>
      </w:r>
      <w:r>
        <w:t>d to 62.5 mg</w:t>
      </w:r>
      <w:r w:rsidR="007C6D8D">
        <w:t>.</w:t>
      </w:r>
    </w:p>
    <w:p w14:paraId="259DE125" w14:textId="727B7798" w:rsidR="00394221" w:rsidRPr="00F60031" w:rsidRDefault="00394221" w:rsidP="00F60031">
      <w:pPr>
        <w:pStyle w:val="Comment"/>
        <w:keepNext/>
        <w:rPr>
          <w:i/>
        </w:rPr>
      </w:pPr>
      <w:r w:rsidRPr="00F60031">
        <w:rPr>
          <w:i/>
        </w:rPr>
        <w:t>Evaluator</w:t>
      </w:r>
      <w:r w:rsidR="004E3521" w:rsidRPr="00F60031">
        <w:rPr>
          <w:i/>
        </w:rPr>
        <w:t>’s</w:t>
      </w:r>
      <w:r w:rsidRPr="00F60031">
        <w:rPr>
          <w:i/>
        </w:rPr>
        <w:t xml:space="preserve"> comment</w:t>
      </w:r>
      <w:r w:rsidR="00F60031" w:rsidRPr="00F60031">
        <w:rPr>
          <w:i/>
        </w:rPr>
        <w:t>:</w:t>
      </w:r>
    </w:p>
    <w:p w14:paraId="34D313BF" w14:textId="77777777" w:rsidR="007C6D8D" w:rsidRDefault="004E5DCA" w:rsidP="00394221">
      <w:r>
        <w:t xml:space="preserve">As outlined </w:t>
      </w:r>
      <w:r w:rsidRPr="007B05D8">
        <w:t>above, the</w:t>
      </w:r>
      <w:r w:rsidRPr="00FE589D">
        <w:t xml:space="preserve"> </w:t>
      </w:r>
      <w:r w:rsidR="007C6D8D">
        <w:t>sponsor</w:t>
      </w:r>
      <w:r w:rsidRPr="00FE589D">
        <w:t xml:space="preserve"> and the EMA reached agreement on the similarity of the disease of PAH in adults and children and on </w:t>
      </w:r>
      <w:r w:rsidR="0066478A">
        <w:t>study</w:t>
      </w:r>
      <w:r w:rsidRPr="00FE589D">
        <w:t xml:space="preserve"> design </w:t>
      </w:r>
      <w:r>
        <w:t xml:space="preserve">when planning their paediatric development program </w:t>
      </w:r>
      <w:r w:rsidRPr="00FE589D">
        <w:t>in order to obtain approval for the indication ‘treatment of PAH in children’ and the paediatric formulation</w:t>
      </w:r>
      <w:r w:rsidR="007C6D8D">
        <w:t>.</w:t>
      </w:r>
    </w:p>
    <w:p w14:paraId="20A94EEB" w14:textId="77777777" w:rsidR="007C6D8D" w:rsidRDefault="004E5DCA" w:rsidP="00394221">
      <w:r>
        <w:lastRenderedPageBreak/>
        <w:t xml:space="preserve">It is difficult to compare the results of the BREATHE-3, FUTURE-1 and FUTURE-3 </w:t>
      </w:r>
      <w:r w:rsidR="00E77015">
        <w:t>Study</w:t>
      </w:r>
      <w:r>
        <w:t xml:space="preserve"> results given the differences in paediatric patient population (forms of PAH included, age range and dosing regimen). It remains unclear whether the overlapping results for AUC reflect similar exposure as claimed by the </w:t>
      </w:r>
      <w:r w:rsidR="007C6D8D">
        <w:t>sponsor</w:t>
      </w:r>
      <w:r>
        <w:t xml:space="preserve">. Study AC-052-116 found that, in healthy adults, exposure to bosentan was lower with the dispersible formulation than the </w:t>
      </w:r>
      <w:r w:rsidR="007C6D8D">
        <w:t>film coated</w:t>
      </w:r>
      <w:r>
        <w:t xml:space="preserve"> tablet formulation. The issue of whether bosentan exposure is also lower when using the dispersible formulation in the paediatric population with PAH is not addressed by the overlapping AUC </w:t>
      </w:r>
      <w:r w:rsidRPr="00D81D7C">
        <w:t>results in</w:t>
      </w:r>
      <w:r w:rsidR="00D81D7C" w:rsidRPr="00D81D7C">
        <w:t xml:space="preserve"> Table 87</w:t>
      </w:r>
      <w:r w:rsidRPr="00D81D7C">
        <w:t>. It has not been</w:t>
      </w:r>
      <w:r>
        <w:t xml:space="preserve"> clearly demonstrated that the maximally attainable </w:t>
      </w:r>
      <w:r w:rsidRPr="003411A1">
        <w:t>exposure in children with PAH</w:t>
      </w:r>
      <w:r>
        <w:t xml:space="preserve"> has been attained with the dispersible formulation. Lower exposure to bosentan using the dispersible formulation could potentially result in decreased efficacy for the paediatric population</w:t>
      </w:r>
      <w:r w:rsidR="007C6D8D">
        <w:t>.</w:t>
      </w:r>
    </w:p>
    <w:p w14:paraId="1A45609E" w14:textId="77777777" w:rsidR="007C6D8D" w:rsidRPr="00F60031" w:rsidRDefault="004E5DCA" w:rsidP="00F60031">
      <w:pPr>
        <w:pStyle w:val="Numberbullet0"/>
        <w:rPr>
          <w:i/>
        </w:rPr>
      </w:pPr>
      <w:r w:rsidRPr="00F60031">
        <w:rPr>
          <w:i/>
        </w:rPr>
        <w:t xml:space="preserve">Please clarify the </w:t>
      </w:r>
      <w:r w:rsidR="007C6D8D" w:rsidRPr="00F60031">
        <w:rPr>
          <w:i/>
        </w:rPr>
        <w:t>sponsor</w:t>
      </w:r>
      <w:r w:rsidRPr="00F60031">
        <w:rPr>
          <w:i/>
        </w:rPr>
        <w:t xml:space="preserve">’s position regarding no additional clinical benefit in increasing the frequency of bosentan dosing from 2 mg/kg </w:t>
      </w:r>
      <w:r w:rsidR="007C6D8D" w:rsidRPr="00F60031">
        <w:rPr>
          <w:i/>
        </w:rPr>
        <w:t>BD</w:t>
      </w:r>
      <w:r w:rsidRPr="00F60031">
        <w:rPr>
          <w:i/>
        </w:rPr>
        <w:t xml:space="preserve"> to </w:t>
      </w:r>
      <w:r w:rsidR="007C6D8D" w:rsidRPr="00F60031">
        <w:rPr>
          <w:i/>
        </w:rPr>
        <w:t>TDS</w:t>
      </w:r>
      <w:r w:rsidRPr="00F60031">
        <w:rPr>
          <w:i/>
        </w:rPr>
        <w:t xml:space="preserve"> with respect to the results of the FUTURE-3 studies</w:t>
      </w:r>
      <w:r w:rsidR="007C6D8D" w:rsidRPr="00F60031">
        <w:rPr>
          <w:i/>
        </w:rPr>
        <w:t>.</w:t>
      </w:r>
    </w:p>
    <w:p w14:paraId="72985FAB" w14:textId="3B69510A" w:rsidR="00394221" w:rsidRPr="00F60031" w:rsidRDefault="00394221" w:rsidP="00F60031">
      <w:pPr>
        <w:keepNext/>
        <w:ind w:left="1134" w:hanging="1134"/>
        <w:rPr>
          <w:i/>
          <w:lang w:eastAsia="ja-JP"/>
        </w:rPr>
      </w:pPr>
      <w:r w:rsidRPr="00F60031">
        <w:rPr>
          <w:i/>
          <w:lang w:eastAsia="ja-JP"/>
        </w:rPr>
        <w:t>Sponsor’s response</w:t>
      </w:r>
      <w:r w:rsidR="00F60031" w:rsidRPr="00F60031">
        <w:rPr>
          <w:i/>
          <w:lang w:eastAsia="ja-JP"/>
        </w:rPr>
        <w:t>:</w:t>
      </w:r>
    </w:p>
    <w:p w14:paraId="5A9B0DE5" w14:textId="77777777" w:rsidR="004E5DCA" w:rsidRPr="003411A1" w:rsidRDefault="004E5DCA" w:rsidP="004E5DCA">
      <w:r w:rsidRPr="003411A1">
        <w:t xml:space="preserve">An increase in dosing frequency of bosentan from 2 mg/kg </w:t>
      </w:r>
      <w:r w:rsidR="007C6D8D">
        <w:t>BD</w:t>
      </w:r>
      <w:r>
        <w:t xml:space="preserve"> to 2 mg/kg </w:t>
      </w:r>
      <w:r w:rsidR="007C6D8D">
        <w:t>TDS</w:t>
      </w:r>
      <w:r>
        <w:t xml:space="preserve"> did not </w:t>
      </w:r>
      <w:r w:rsidRPr="003411A1">
        <w:t>result in increased daily systemic exposure in paediatric PAH patients.</w:t>
      </w:r>
    </w:p>
    <w:p w14:paraId="0970DDE4" w14:textId="77777777" w:rsidR="004E5DCA" w:rsidRPr="003411A1" w:rsidRDefault="004E5DCA" w:rsidP="004E5DCA">
      <w:r w:rsidRPr="003411A1">
        <w:t>Consistently, exploratory efficacy results showed no clinical</w:t>
      </w:r>
      <w:r>
        <w:t xml:space="preserve">ly relevant differences between </w:t>
      </w:r>
      <w:r w:rsidR="007C6D8D">
        <w:t>BD</w:t>
      </w:r>
      <w:r>
        <w:t xml:space="preserve"> or </w:t>
      </w:r>
      <w:r w:rsidR="007C6D8D">
        <w:t>TDS</w:t>
      </w:r>
      <w:r w:rsidRPr="003411A1">
        <w:t xml:space="preserve"> dosing regimens. Of note, these results w</w:t>
      </w:r>
      <w:r>
        <w:t xml:space="preserve">ere in agreement with the known </w:t>
      </w:r>
      <w:r w:rsidRPr="003411A1">
        <w:t xml:space="preserve">efficacy profile of bosentan in paediatric PAH patients. </w:t>
      </w:r>
      <w:r>
        <w:t xml:space="preserve">The majority of patients showed </w:t>
      </w:r>
      <w:r w:rsidRPr="003411A1">
        <w:t>stable or improved clinical condition (assessed by WHO FC, GCIS, NT-pro-BNP, a</w:t>
      </w:r>
      <w:r>
        <w:t xml:space="preserve">nd </w:t>
      </w:r>
      <w:r w:rsidRPr="003411A1">
        <w:t>indirectly by the number of PAH-worsening events) with bosentan treatment.</w:t>
      </w:r>
    </w:p>
    <w:p w14:paraId="49FD232F" w14:textId="77777777" w:rsidR="004E5DCA" w:rsidRDefault="004E5DCA" w:rsidP="004E5DCA">
      <w:r w:rsidRPr="003411A1">
        <w:t>The safety profile was consistent with the known safety pr</w:t>
      </w:r>
      <w:r>
        <w:t xml:space="preserve">ofile of bosentan in adults and </w:t>
      </w:r>
      <w:r w:rsidRPr="003411A1">
        <w:t>paediatrics, and showed no clinically relevant differe</w:t>
      </w:r>
      <w:r>
        <w:t xml:space="preserve">nces between </w:t>
      </w:r>
      <w:r w:rsidR="007C6D8D">
        <w:t>BD</w:t>
      </w:r>
      <w:r>
        <w:t xml:space="preserve"> or </w:t>
      </w:r>
      <w:r w:rsidR="007C6D8D">
        <w:t>TDS</w:t>
      </w:r>
      <w:r w:rsidRPr="003411A1">
        <w:t xml:space="preserve"> dosi</w:t>
      </w:r>
      <w:r>
        <w:t>ng regimens.</w:t>
      </w:r>
    </w:p>
    <w:p w14:paraId="0F3B9420" w14:textId="77777777" w:rsidR="004E5DCA" w:rsidRDefault="004E5DCA" w:rsidP="004E5DCA">
      <w:r w:rsidRPr="003411A1">
        <w:t>Overall, there appeared to be no additional clinical benefit</w:t>
      </w:r>
      <w:r>
        <w:t xml:space="preserve"> in increasing the frequency of </w:t>
      </w:r>
      <w:r w:rsidRPr="003411A1">
        <w:t>dosing from two to three times daily. Therefore, 2 mg</w:t>
      </w:r>
      <w:r>
        <w:t xml:space="preserve">/kg </w:t>
      </w:r>
      <w:r w:rsidR="007C6D8D">
        <w:t>BD</w:t>
      </w:r>
      <w:r>
        <w:t xml:space="preserve"> remains the proposed </w:t>
      </w:r>
      <w:r w:rsidRPr="003411A1">
        <w:t>dosing regimen of bosentan for a paediatric population.</w:t>
      </w:r>
    </w:p>
    <w:p w14:paraId="7BAE3F20" w14:textId="724299F7" w:rsidR="00394221" w:rsidRPr="00F60031" w:rsidRDefault="00394221" w:rsidP="00F60031">
      <w:pPr>
        <w:pStyle w:val="Comment"/>
        <w:keepNext/>
        <w:rPr>
          <w:i/>
        </w:rPr>
      </w:pPr>
      <w:r w:rsidRPr="00F60031">
        <w:rPr>
          <w:i/>
        </w:rPr>
        <w:t>Evaluator</w:t>
      </w:r>
      <w:r w:rsidR="004E3521" w:rsidRPr="00F60031">
        <w:rPr>
          <w:i/>
        </w:rPr>
        <w:t>’s</w:t>
      </w:r>
      <w:r w:rsidRPr="00F60031">
        <w:rPr>
          <w:i/>
        </w:rPr>
        <w:t xml:space="preserve"> comment</w:t>
      </w:r>
      <w:r w:rsidR="00F60031" w:rsidRPr="00F60031">
        <w:rPr>
          <w:i/>
        </w:rPr>
        <w:t>:</w:t>
      </w:r>
    </w:p>
    <w:p w14:paraId="66B8B4F8" w14:textId="7154B743" w:rsidR="004E5DCA" w:rsidRDefault="004E5DCA" w:rsidP="00394221">
      <w:pPr>
        <w:rPr>
          <w:lang w:eastAsia="ja-JP"/>
        </w:rPr>
      </w:pPr>
      <w:r>
        <w:t xml:space="preserve">The efficacy endpoints in the FUTURE-3 </w:t>
      </w:r>
      <w:r w:rsidR="00E77015">
        <w:t>Study</w:t>
      </w:r>
      <w:r>
        <w:t xml:space="preserve"> were exploratory and</w:t>
      </w:r>
      <w:r>
        <w:rPr>
          <w:lang w:eastAsia="ja-JP"/>
        </w:rPr>
        <w:t xml:space="preserve"> were</w:t>
      </w:r>
      <w:r w:rsidRPr="00007F0F">
        <w:rPr>
          <w:lang w:eastAsia="ja-JP"/>
        </w:rPr>
        <w:t xml:space="preserve"> </w:t>
      </w:r>
      <w:r>
        <w:rPr>
          <w:lang w:eastAsia="ja-JP"/>
        </w:rPr>
        <w:t xml:space="preserve">not statistically powered to show </w:t>
      </w:r>
      <w:r w:rsidRPr="00007F0F">
        <w:rPr>
          <w:lang w:eastAsia="ja-JP"/>
        </w:rPr>
        <w:t>differences</w:t>
      </w:r>
      <w:r>
        <w:rPr>
          <w:lang w:eastAsia="ja-JP"/>
        </w:rPr>
        <w:t xml:space="preserve">. It is noted that the FUTURE-3 </w:t>
      </w:r>
      <w:r w:rsidR="00E77015">
        <w:rPr>
          <w:lang w:eastAsia="ja-JP"/>
        </w:rPr>
        <w:t>Study</w:t>
      </w:r>
      <w:r>
        <w:rPr>
          <w:lang w:eastAsia="ja-JP"/>
        </w:rPr>
        <w:t xml:space="preserve"> did not identify an increase in bosentan exposure with a </w:t>
      </w:r>
      <w:r w:rsidR="007C6D8D">
        <w:rPr>
          <w:lang w:eastAsia="ja-JP"/>
        </w:rPr>
        <w:t>TDS</w:t>
      </w:r>
      <w:r>
        <w:rPr>
          <w:lang w:eastAsia="ja-JP"/>
        </w:rPr>
        <w:t xml:space="preserve"> dosing regimen.</w:t>
      </w:r>
    </w:p>
    <w:p w14:paraId="57038228" w14:textId="77777777" w:rsidR="004E5DCA" w:rsidRPr="00F60031" w:rsidRDefault="004E5DCA" w:rsidP="00F60031">
      <w:pPr>
        <w:pStyle w:val="Numberbullet0"/>
        <w:rPr>
          <w:i/>
        </w:rPr>
      </w:pPr>
      <w:r w:rsidRPr="00F60031">
        <w:rPr>
          <w:i/>
        </w:rPr>
        <w:t>What was the protocol violation that led to the exclusion of one of the 13 bosentan treated patients from the PK analysis set?</w:t>
      </w:r>
    </w:p>
    <w:p w14:paraId="3CA5203C" w14:textId="2E40D14F" w:rsidR="00394221" w:rsidRPr="0041354B" w:rsidRDefault="00394221" w:rsidP="0041354B">
      <w:pPr>
        <w:keepNext/>
        <w:ind w:left="1134" w:hanging="1134"/>
        <w:rPr>
          <w:i/>
          <w:lang w:eastAsia="ja-JP"/>
        </w:rPr>
      </w:pPr>
      <w:r w:rsidRPr="0041354B">
        <w:rPr>
          <w:i/>
          <w:lang w:eastAsia="ja-JP"/>
        </w:rPr>
        <w:t>Sponsor’s response</w:t>
      </w:r>
      <w:r w:rsidR="0041354B" w:rsidRPr="0041354B">
        <w:rPr>
          <w:i/>
          <w:lang w:eastAsia="ja-JP"/>
        </w:rPr>
        <w:t>:</w:t>
      </w:r>
    </w:p>
    <w:p w14:paraId="25D26043" w14:textId="77777777" w:rsidR="004E5DCA" w:rsidRDefault="004E5DCA" w:rsidP="004E5DCA">
      <w:pPr>
        <w:rPr>
          <w:lang w:eastAsia="ja-JP"/>
        </w:rPr>
      </w:pPr>
      <w:r>
        <w:rPr>
          <w:lang w:eastAsia="ja-JP"/>
        </w:rPr>
        <w:t xml:space="preserve">The </w:t>
      </w:r>
      <w:r w:rsidR="007C6D8D">
        <w:rPr>
          <w:lang w:eastAsia="ja-JP"/>
        </w:rPr>
        <w:t>sponsor</w:t>
      </w:r>
      <w:r>
        <w:rPr>
          <w:lang w:eastAsia="ja-JP"/>
        </w:rPr>
        <w:t xml:space="preserve"> refers</w:t>
      </w:r>
      <w:r w:rsidR="008F1103">
        <w:rPr>
          <w:lang w:eastAsia="ja-JP"/>
        </w:rPr>
        <w:t xml:space="preserve"> the reader to the response to Q</w:t>
      </w:r>
      <w:r>
        <w:rPr>
          <w:lang w:eastAsia="ja-JP"/>
        </w:rPr>
        <w:t>uestion 10.</w:t>
      </w:r>
    </w:p>
    <w:p w14:paraId="12C3A23D" w14:textId="48BA2B7F" w:rsidR="00394221" w:rsidRPr="0041354B" w:rsidRDefault="00394221" w:rsidP="0041354B">
      <w:pPr>
        <w:pStyle w:val="Comment"/>
        <w:keepNext/>
        <w:rPr>
          <w:i/>
        </w:rPr>
      </w:pPr>
      <w:r w:rsidRPr="0041354B">
        <w:rPr>
          <w:i/>
        </w:rPr>
        <w:t>Evaluator</w:t>
      </w:r>
      <w:r w:rsidR="00D42CD8" w:rsidRPr="0041354B">
        <w:rPr>
          <w:i/>
        </w:rPr>
        <w:t>’s</w:t>
      </w:r>
      <w:r w:rsidRPr="0041354B">
        <w:rPr>
          <w:i/>
        </w:rPr>
        <w:t xml:space="preserve"> comment</w:t>
      </w:r>
      <w:r w:rsidR="0041354B" w:rsidRPr="0041354B">
        <w:rPr>
          <w:i/>
        </w:rPr>
        <w:t>:</w:t>
      </w:r>
    </w:p>
    <w:p w14:paraId="7633C4F7" w14:textId="77777777" w:rsidR="004E5DCA" w:rsidRPr="00CD6578" w:rsidRDefault="004E5DCA" w:rsidP="00394221">
      <w:r>
        <w:t xml:space="preserve">The </w:t>
      </w:r>
      <w:r w:rsidR="007C6D8D">
        <w:t>sponsor</w:t>
      </w:r>
      <w:r>
        <w:t>’s response is considered acceptable.</w:t>
      </w:r>
    </w:p>
    <w:p w14:paraId="3B182A85" w14:textId="77777777" w:rsidR="004E5DCA" w:rsidRDefault="004E5DCA" w:rsidP="008F1103">
      <w:pPr>
        <w:pStyle w:val="Heading3"/>
      </w:pPr>
      <w:bookmarkStart w:id="576" w:name="_Toc473884029"/>
      <w:bookmarkStart w:id="577" w:name="_Toc519773933"/>
      <w:r w:rsidRPr="008F1103">
        <w:t>Safety</w:t>
      </w:r>
      <w:bookmarkEnd w:id="576"/>
      <w:bookmarkEnd w:id="577"/>
    </w:p>
    <w:p w14:paraId="292414A6" w14:textId="77777777" w:rsidR="004E5DCA" w:rsidRPr="0041354B" w:rsidRDefault="004E5DCA" w:rsidP="0041354B">
      <w:pPr>
        <w:pStyle w:val="Numberbullet0"/>
        <w:rPr>
          <w:i/>
        </w:rPr>
      </w:pPr>
      <w:r w:rsidRPr="0041354B">
        <w:rPr>
          <w:i/>
        </w:rPr>
        <w:t>Please justify why the AE autoimmune hepatitis has not been included in the Australian Tracleer PI.</w:t>
      </w:r>
    </w:p>
    <w:p w14:paraId="6838E018" w14:textId="4D470E18" w:rsidR="00394221" w:rsidRPr="0041354B" w:rsidRDefault="00394221" w:rsidP="0041354B">
      <w:pPr>
        <w:keepNext/>
        <w:ind w:left="1134" w:hanging="1134"/>
        <w:rPr>
          <w:i/>
          <w:lang w:eastAsia="ja-JP"/>
        </w:rPr>
      </w:pPr>
      <w:r w:rsidRPr="0041354B">
        <w:rPr>
          <w:i/>
          <w:lang w:eastAsia="ja-JP"/>
        </w:rPr>
        <w:t>Sponsor’s response</w:t>
      </w:r>
      <w:r w:rsidR="0041354B" w:rsidRPr="0041354B">
        <w:rPr>
          <w:i/>
          <w:lang w:eastAsia="ja-JP"/>
        </w:rPr>
        <w:t>:</w:t>
      </w:r>
    </w:p>
    <w:p w14:paraId="68F9F6F9" w14:textId="77777777" w:rsidR="004E5DCA" w:rsidRDefault="004E5DCA" w:rsidP="004E5DCA">
      <w:pPr>
        <w:rPr>
          <w:lang w:eastAsia="ja-JP"/>
        </w:rPr>
      </w:pPr>
      <w:r>
        <w:rPr>
          <w:lang w:eastAsia="ja-JP"/>
        </w:rPr>
        <w:t xml:space="preserve">Following preliminary assessment of the 19th PSUR for bosentan, the PRAC Rapporteur requested a review of autoimmune hepatitis taking into consideration risk factors, mean doses, outcome, concomitant treatment, time to onset and indication. The cumulative analysis of AIH </w:t>
      </w:r>
      <w:r>
        <w:rPr>
          <w:lang w:eastAsia="ja-JP"/>
        </w:rPr>
        <w:lastRenderedPageBreak/>
        <w:t>reports (estimated reporting rate 0.03%) submitted with 20th PSUR/PBRER, showed that clinical features of the reported events are consistent with those of AIH described in the literature as part of the clinical syndromes of mixed connective tissue disease, SLE, or SSc. There is insufficient information to definitely incriminate bosentan as an initiator of an autoimmune process or events of AIH, and no specific evidence to indicate that the administration of bosentan to patients with an underlying autoimmune disease would specifically increase the risk of hepatic events, including AIH. The possibility that an underlying autoimmune liver disease was made more manifest or worsened by the drug cannot be excluded due to a superimposed contribution of bosentan in some cases.</w:t>
      </w:r>
    </w:p>
    <w:p w14:paraId="58848AC4" w14:textId="77777777" w:rsidR="004E5DCA" w:rsidRDefault="004E5DCA" w:rsidP="004E5DCA">
      <w:pPr>
        <w:rPr>
          <w:lang w:eastAsia="ja-JP"/>
        </w:rPr>
      </w:pPr>
      <w:r>
        <w:rPr>
          <w:lang w:eastAsia="ja-JP"/>
        </w:rPr>
        <w:t>Following review of the cumulative analysis of AIH reports, PRAC rapporteur in their final assessment report (Rapporteur PSUR assessment report adopted on 11 June 2015) agreed that the provided review of cases of AIH did not show evidence that bosentan may be an initiator of autoimmune process or events of AIH and no specific evidence to indicate that the administration of bosentan to patients with an underlying autoimmune disease would specifically increase the risk of hepatic events, including AIH. Despite, the potential role of bosentan in unmasking or worsening of AIH in patient with autoimmune diseases remains unclear, it could not be ruled out in some cases in this review.</w:t>
      </w:r>
    </w:p>
    <w:p w14:paraId="6FCC7903" w14:textId="77777777" w:rsidR="004E5DCA" w:rsidRDefault="004E5DCA" w:rsidP="004E5DCA">
      <w:pPr>
        <w:rPr>
          <w:lang w:eastAsia="ja-JP"/>
        </w:rPr>
      </w:pPr>
      <w:r>
        <w:rPr>
          <w:lang w:eastAsia="ja-JP"/>
        </w:rPr>
        <w:t>PRAC rapporteur recommended the following wording to be included in the SmPC under the SOC Hepatobiliary disorders: ‘Aminotransferase elevations associated with hepatitis (including possible exacerbation of underlying hepatitis) and/or jaundice’.</w:t>
      </w:r>
    </w:p>
    <w:p w14:paraId="124B52F1" w14:textId="77777777" w:rsidR="004E5DCA" w:rsidRDefault="004E5DCA" w:rsidP="004E5DCA">
      <w:pPr>
        <w:rPr>
          <w:lang w:eastAsia="ja-JP"/>
        </w:rPr>
      </w:pPr>
      <w:r>
        <w:rPr>
          <w:lang w:eastAsia="ja-JP"/>
        </w:rPr>
        <w:t>The current CCDS and Australian Tracleer PI describe:</w:t>
      </w:r>
    </w:p>
    <w:p w14:paraId="6EB99BEC" w14:textId="77777777" w:rsidR="004E5DCA" w:rsidRDefault="004E5DCA" w:rsidP="004E5DCA">
      <w:pPr>
        <w:pStyle w:val="ListBullet"/>
        <w:rPr>
          <w:lang w:eastAsia="ja-JP"/>
        </w:rPr>
      </w:pPr>
      <w:r>
        <w:rPr>
          <w:lang w:eastAsia="ja-JP"/>
        </w:rPr>
        <w:t>Under the SOC Hepatobiliary disorders, uncommon hepatitis and/or jaundice, and rare cases of unexplained hepatic cirrhosis or liver failure.</w:t>
      </w:r>
    </w:p>
    <w:p w14:paraId="619FABA9" w14:textId="77777777" w:rsidR="004E5DCA" w:rsidRDefault="004E5DCA" w:rsidP="004E5DCA">
      <w:pPr>
        <w:pStyle w:val="ListBullet"/>
        <w:rPr>
          <w:lang w:eastAsia="ja-JP"/>
        </w:rPr>
      </w:pPr>
      <w:r>
        <w:rPr>
          <w:lang w:eastAsia="ja-JP"/>
        </w:rPr>
        <w:t>In the post-marketing period rare cases of unexplained hepatic cirrhosis were reported after prolonged therapy with Tracleer in patients with multiple comorbidities and drug therapies. There have also been rare reports of liver failure.</w:t>
      </w:r>
    </w:p>
    <w:p w14:paraId="45896735" w14:textId="1EDE6CEF" w:rsidR="004E5DCA" w:rsidRDefault="004E5DCA" w:rsidP="004E5DCA">
      <w:pPr>
        <w:rPr>
          <w:lang w:eastAsia="ja-JP"/>
        </w:rPr>
      </w:pPr>
      <w:r>
        <w:rPr>
          <w:lang w:eastAsia="ja-JP"/>
        </w:rPr>
        <w:t xml:space="preserve">The </w:t>
      </w:r>
      <w:r w:rsidR="007C6D8D">
        <w:rPr>
          <w:lang w:eastAsia="ja-JP"/>
        </w:rPr>
        <w:t>sponsor</w:t>
      </w:r>
      <w:r>
        <w:rPr>
          <w:lang w:eastAsia="ja-JP"/>
        </w:rPr>
        <w:t xml:space="preserve"> is of</w:t>
      </w:r>
      <w:r w:rsidR="005E77C8">
        <w:rPr>
          <w:lang w:eastAsia="ja-JP"/>
        </w:rPr>
        <w:t xml:space="preserve"> the</w:t>
      </w:r>
      <w:r>
        <w:rPr>
          <w:lang w:eastAsia="ja-JP"/>
        </w:rPr>
        <w:t xml:space="preserve"> opinion that the risk of hepatotoxicity is adequately </w:t>
      </w:r>
      <w:r w:rsidR="00394221">
        <w:rPr>
          <w:lang w:eastAsia="ja-JP"/>
        </w:rPr>
        <w:t>addressed</w:t>
      </w:r>
      <w:r>
        <w:rPr>
          <w:lang w:eastAsia="ja-JP"/>
        </w:rPr>
        <w:t xml:space="preserve"> and no changes to the CCDS and to Australian Tracleer PI are deemed necessary.</w:t>
      </w:r>
    </w:p>
    <w:p w14:paraId="43493CE9" w14:textId="6D10FF51" w:rsidR="00394221" w:rsidRPr="0041354B" w:rsidRDefault="00394221" w:rsidP="0041354B">
      <w:pPr>
        <w:pStyle w:val="Comment"/>
        <w:keepNext/>
        <w:rPr>
          <w:i/>
        </w:rPr>
      </w:pPr>
      <w:r w:rsidRPr="0041354B">
        <w:rPr>
          <w:i/>
        </w:rPr>
        <w:t>Evaluator</w:t>
      </w:r>
      <w:r w:rsidR="004E3521" w:rsidRPr="0041354B">
        <w:rPr>
          <w:i/>
        </w:rPr>
        <w:t>’s</w:t>
      </w:r>
      <w:r w:rsidRPr="0041354B">
        <w:rPr>
          <w:i/>
        </w:rPr>
        <w:t xml:space="preserve"> comment</w:t>
      </w:r>
      <w:r w:rsidR="0041354B" w:rsidRPr="0041354B">
        <w:rPr>
          <w:i/>
        </w:rPr>
        <w:t>:</w:t>
      </w:r>
    </w:p>
    <w:p w14:paraId="6BB29C9F" w14:textId="77777777" w:rsidR="007C6D8D" w:rsidRDefault="004E5DCA" w:rsidP="00394221">
      <w:r>
        <w:t xml:space="preserve">The </w:t>
      </w:r>
      <w:r w:rsidR="007C6D8D">
        <w:t>sponsor</w:t>
      </w:r>
      <w:r>
        <w:t>’s rationale</w:t>
      </w:r>
      <w:r w:rsidR="008F1103">
        <w:t>,</w:t>
      </w:r>
      <w:r>
        <w:t xml:space="preserve"> for not including the specific term ‘autoimmune hepatitis’ in the Australian PI</w:t>
      </w:r>
      <w:r w:rsidR="008F1103">
        <w:t>,</w:t>
      </w:r>
      <w:r>
        <w:t xml:space="preserve"> is acceptable. However, the SmPC includes a statement regarding the risk of an exacerbation of underlying hepatitis. A similar statement in the Australian PI is recommended as provides prescribers with a more detailed description of the potential risk</w:t>
      </w:r>
      <w:r w:rsidR="007C6D8D">
        <w:t>.</w:t>
      </w:r>
    </w:p>
    <w:p w14:paraId="3E2F61C5" w14:textId="77777777" w:rsidR="004E5DCA" w:rsidRPr="0041354B" w:rsidRDefault="004E5DCA" w:rsidP="0041354B">
      <w:pPr>
        <w:pStyle w:val="Numberbullet0"/>
        <w:rPr>
          <w:i/>
        </w:rPr>
      </w:pPr>
      <w:r w:rsidRPr="0041354B">
        <w:rPr>
          <w:i/>
        </w:rPr>
        <w:t>Please clarify why symptomatic hypotension has not been included in the RMP Summary of Safety Concerns as an important potential risk.</w:t>
      </w:r>
    </w:p>
    <w:p w14:paraId="3AC68C85" w14:textId="42641390" w:rsidR="00394221" w:rsidRPr="0041354B" w:rsidRDefault="00394221" w:rsidP="0041354B">
      <w:pPr>
        <w:keepNext/>
        <w:ind w:left="1134" w:hanging="1134"/>
        <w:rPr>
          <w:i/>
          <w:lang w:eastAsia="ja-JP"/>
        </w:rPr>
      </w:pPr>
      <w:r w:rsidRPr="0041354B">
        <w:rPr>
          <w:i/>
          <w:lang w:eastAsia="ja-JP"/>
        </w:rPr>
        <w:t>Sponsor’s response</w:t>
      </w:r>
      <w:r w:rsidR="0041354B" w:rsidRPr="0041354B">
        <w:rPr>
          <w:i/>
          <w:lang w:eastAsia="ja-JP"/>
        </w:rPr>
        <w:t>:</w:t>
      </w:r>
    </w:p>
    <w:p w14:paraId="6E09AEDE" w14:textId="77777777" w:rsidR="004E5DCA" w:rsidRDefault="004E5DCA" w:rsidP="004E5DCA">
      <w:pPr>
        <w:rPr>
          <w:lang w:eastAsia="ja-JP"/>
        </w:rPr>
      </w:pPr>
      <w:r>
        <w:rPr>
          <w:lang w:eastAsia="ja-JP"/>
        </w:rPr>
        <w:t>Following review of the 19th PSUR for bosentan the PRAC Rapporteur requested a cumulative safety review of ‘the risk of fall which may be due to hypotension and syncope with a particular emphasis on cases resulting in injury (</w:t>
      </w:r>
      <w:r w:rsidR="007C6D8D">
        <w:rPr>
          <w:lang w:eastAsia="ja-JP"/>
        </w:rPr>
        <w:t>for example</w:t>
      </w:r>
      <w:r>
        <w:rPr>
          <w:lang w:eastAsia="ja-JP"/>
        </w:rPr>
        <w:t>, fracture)’.</w:t>
      </w:r>
    </w:p>
    <w:p w14:paraId="048671B7" w14:textId="77777777" w:rsidR="004E5DCA" w:rsidRDefault="004E5DCA" w:rsidP="004E5DCA">
      <w:pPr>
        <w:rPr>
          <w:lang w:eastAsia="ja-JP"/>
        </w:rPr>
      </w:pPr>
      <w:r>
        <w:rPr>
          <w:lang w:eastAsia="ja-JP"/>
        </w:rPr>
        <w:t>The cumulative analysis regarding fall submitted with 20th PSUR/PBRER revealed that the estimated reporting rate of fall is well within the expectation of the general population and also of the treated patient population suffering from PAH disease, associated aetiologies and comorbidities. In these cases the fall was more likely due to the natural progression of the PAH disease and the decline of the physical, cognitive and effective capacities of the patients. The interpretation as to whether fall was potentially due to hypotension was difficult in a few cases.</w:t>
      </w:r>
    </w:p>
    <w:p w14:paraId="34C51EB9" w14:textId="77777777" w:rsidR="004E5DCA" w:rsidRDefault="004E5DCA" w:rsidP="004E5DCA">
      <w:pPr>
        <w:rPr>
          <w:lang w:eastAsia="ja-JP"/>
        </w:rPr>
      </w:pPr>
      <w:r>
        <w:rPr>
          <w:lang w:eastAsia="ja-JP"/>
        </w:rPr>
        <w:t xml:space="preserve">The PRAC considered the current information regarding hypotension and syncope and found that there was no convincing evidence between bosentan and fall. This signal could be </w:t>
      </w:r>
      <w:r>
        <w:rPr>
          <w:lang w:eastAsia="ja-JP"/>
        </w:rPr>
        <w:lastRenderedPageBreak/>
        <w:t xml:space="preserve">considered closed but should continue to be closely monitored with routine pharmacovigilance. The </w:t>
      </w:r>
      <w:r w:rsidR="007C6D8D">
        <w:rPr>
          <w:lang w:eastAsia="ja-JP"/>
        </w:rPr>
        <w:t>sponsor</w:t>
      </w:r>
      <w:r>
        <w:rPr>
          <w:lang w:eastAsia="ja-JP"/>
        </w:rPr>
        <w:t xml:space="preserve"> will have to discuss this signal in the next PSUR only if further reports require re-evaluation of the issue.</w:t>
      </w:r>
    </w:p>
    <w:p w14:paraId="09385D40" w14:textId="77777777" w:rsidR="004E5DCA" w:rsidRDefault="004E5DCA" w:rsidP="004E5DCA">
      <w:pPr>
        <w:rPr>
          <w:lang w:eastAsia="ja-JP"/>
        </w:rPr>
      </w:pPr>
      <w:r>
        <w:rPr>
          <w:lang w:eastAsia="ja-JP"/>
        </w:rPr>
        <w:t xml:space="preserve">Common ADRs of hypotension and syncope are described in the current CCDS and Australian Tracleer PI, and adequately reflect the risk. The </w:t>
      </w:r>
      <w:r w:rsidR="007C6D8D">
        <w:rPr>
          <w:lang w:eastAsia="ja-JP"/>
        </w:rPr>
        <w:t>sponsor</w:t>
      </w:r>
      <w:r>
        <w:rPr>
          <w:lang w:eastAsia="ja-JP"/>
        </w:rPr>
        <w:t xml:space="preserve"> continues to closely monitor reports of hip injury associated with syncope in the PSUR.</w:t>
      </w:r>
    </w:p>
    <w:p w14:paraId="525E2303" w14:textId="7F4879BD" w:rsidR="00394221" w:rsidRPr="0041354B" w:rsidRDefault="00394221" w:rsidP="0041354B">
      <w:pPr>
        <w:pStyle w:val="Comment"/>
        <w:keepNext/>
        <w:rPr>
          <w:i/>
        </w:rPr>
      </w:pPr>
      <w:r w:rsidRPr="0041354B">
        <w:rPr>
          <w:i/>
        </w:rPr>
        <w:t>Evaluator</w:t>
      </w:r>
      <w:r w:rsidR="00D42CD8" w:rsidRPr="0041354B">
        <w:rPr>
          <w:i/>
        </w:rPr>
        <w:t>’s</w:t>
      </w:r>
      <w:r w:rsidRPr="0041354B">
        <w:rPr>
          <w:i/>
        </w:rPr>
        <w:t xml:space="preserve"> comment</w:t>
      </w:r>
      <w:r w:rsidR="0041354B" w:rsidRPr="0041354B">
        <w:rPr>
          <w:i/>
        </w:rPr>
        <w:t>:</w:t>
      </w:r>
    </w:p>
    <w:p w14:paraId="0071FDDD" w14:textId="77777777" w:rsidR="004E5DCA" w:rsidRDefault="004E5DCA" w:rsidP="004E5DCA">
      <w:pPr>
        <w:pStyle w:val="Comment"/>
      </w:pPr>
      <w:r>
        <w:t xml:space="preserve">The </w:t>
      </w:r>
      <w:r w:rsidR="007C6D8D">
        <w:t>sponsor</w:t>
      </w:r>
      <w:r>
        <w:t>’s response is considered acceptable.</w:t>
      </w:r>
    </w:p>
    <w:p w14:paraId="3024BD9C" w14:textId="77777777" w:rsidR="004E5DCA" w:rsidRDefault="004E5DCA" w:rsidP="008F1103">
      <w:pPr>
        <w:pStyle w:val="Heading3"/>
      </w:pPr>
      <w:bookmarkStart w:id="578" w:name="_Toc473884030"/>
      <w:bookmarkStart w:id="579" w:name="_Toc519773934"/>
      <w:r w:rsidRPr="008F1103">
        <w:t>PI and CMI</w:t>
      </w:r>
      <w:bookmarkEnd w:id="578"/>
      <w:bookmarkEnd w:id="579"/>
    </w:p>
    <w:p w14:paraId="0C8AD79A" w14:textId="77777777" w:rsidR="004E5DCA" w:rsidRPr="0041354B" w:rsidRDefault="004E5DCA" w:rsidP="0041354B">
      <w:pPr>
        <w:pStyle w:val="Numberbullet0"/>
        <w:rPr>
          <w:i/>
          <w:lang w:eastAsia="ja-JP"/>
        </w:rPr>
      </w:pPr>
      <w:r w:rsidRPr="0041354B">
        <w:rPr>
          <w:i/>
          <w:lang w:eastAsia="ja-JP"/>
        </w:rPr>
        <w:t>Please provide a justification based on efficacy and safety for altering the dosage instruction information to include patients aged between 1 and 3 years.</w:t>
      </w:r>
    </w:p>
    <w:p w14:paraId="457DEA53" w14:textId="4A0EDE95" w:rsidR="00394221" w:rsidRPr="0041354B" w:rsidRDefault="00394221" w:rsidP="0041354B">
      <w:pPr>
        <w:keepNext/>
        <w:ind w:left="1134" w:hanging="1134"/>
        <w:rPr>
          <w:i/>
          <w:lang w:eastAsia="ja-JP"/>
        </w:rPr>
      </w:pPr>
      <w:r w:rsidRPr="0041354B">
        <w:rPr>
          <w:i/>
          <w:lang w:eastAsia="ja-JP"/>
        </w:rPr>
        <w:t>Sponsor’s response</w:t>
      </w:r>
      <w:r w:rsidR="0041354B" w:rsidRPr="0041354B">
        <w:rPr>
          <w:i/>
          <w:lang w:eastAsia="ja-JP"/>
        </w:rPr>
        <w:t>:</w:t>
      </w:r>
    </w:p>
    <w:p w14:paraId="0A935D44" w14:textId="77777777" w:rsidR="004E5DCA" w:rsidRDefault="004E5DCA" w:rsidP="004E5DCA">
      <w:pPr>
        <w:rPr>
          <w:lang w:eastAsia="ja-JP"/>
        </w:rPr>
      </w:pPr>
      <w:r>
        <w:rPr>
          <w:lang w:eastAsia="ja-JP"/>
        </w:rPr>
        <w:t xml:space="preserve">One of the objectives of the FUTURE-3 </w:t>
      </w:r>
      <w:r w:rsidR="00E77015">
        <w:rPr>
          <w:lang w:eastAsia="ja-JP"/>
        </w:rPr>
        <w:t>Study</w:t>
      </w:r>
      <w:r>
        <w:rPr>
          <w:lang w:eastAsia="ja-JP"/>
        </w:rPr>
        <w:t xml:space="preserve"> and its extension was to generate data in </w:t>
      </w:r>
      <w:r w:rsidR="00394221">
        <w:rPr>
          <w:lang w:eastAsia="ja-JP"/>
        </w:rPr>
        <w:t>&lt; 2</w:t>
      </w:r>
      <w:r>
        <w:rPr>
          <w:lang w:eastAsia="ja-JP"/>
        </w:rPr>
        <w:t xml:space="preserve"> years of age. The protocol required that one third of the </w:t>
      </w:r>
      <w:r w:rsidR="0066478A">
        <w:rPr>
          <w:lang w:eastAsia="ja-JP"/>
        </w:rPr>
        <w:t>study</w:t>
      </w:r>
      <w:r>
        <w:rPr>
          <w:lang w:eastAsia="ja-JP"/>
        </w:rPr>
        <w:t xml:space="preserve"> population consisted of this population (21/64 patients). The </w:t>
      </w:r>
      <w:r w:rsidR="007C6D8D">
        <w:rPr>
          <w:lang w:eastAsia="ja-JP"/>
        </w:rPr>
        <w:t>sponsor</w:t>
      </w:r>
      <w:r>
        <w:rPr>
          <w:lang w:eastAsia="ja-JP"/>
        </w:rPr>
        <w:t xml:space="preserve"> states that this proportion was higher than in the non-selected PAH population, in order to generate meaningful data.</w:t>
      </w:r>
    </w:p>
    <w:p w14:paraId="526DB319" w14:textId="77777777" w:rsidR="004E5DCA" w:rsidRDefault="004E5DCA" w:rsidP="004E5DCA">
      <w:pPr>
        <w:rPr>
          <w:lang w:eastAsia="ja-JP"/>
        </w:rPr>
      </w:pPr>
      <w:r>
        <w:rPr>
          <w:lang w:eastAsia="ja-JP"/>
        </w:rPr>
        <w:t xml:space="preserve">The </w:t>
      </w:r>
      <w:r w:rsidR="007C6D8D">
        <w:rPr>
          <w:lang w:eastAsia="ja-JP"/>
        </w:rPr>
        <w:t>sponsor</w:t>
      </w:r>
      <w:r>
        <w:rPr>
          <w:lang w:eastAsia="ja-JP"/>
        </w:rPr>
        <w:t xml:space="preserve"> states that the </w:t>
      </w:r>
      <w:r w:rsidR="0066478A">
        <w:rPr>
          <w:lang w:eastAsia="ja-JP"/>
        </w:rPr>
        <w:t>study</w:t>
      </w:r>
      <w:r>
        <w:rPr>
          <w:lang w:eastAsia="ja-JP"/>
        </w:rPr>
        <w:t xml:space="preserve"> results showed that the PK parameters of bosentan and its metabolites in patients &lt; 2 years were consistent with those in patients </w:t>
      </w:r>
      <w:r w:rsidR="007C6D8D">
        <w:rPr>
          <w:lang w:eastAsia="ja-JP"/>
        </w:rPr>
        <w:t>≥</w:t>
      </w:r>
      <w:r w:rsidR="00CF6063">
        <w:rPr>
          <w:lang w:eastAsia="ja-JP"/>
        </w:rPr>
        <w:t xml:space="preserve"> </w:t>
      </w:r>
      <w:r>
        <w:rPr>
          <w:lang w:eastAsia="ja-JP"/>
        </w:rPr>
        <w:t xml:space="preserve">2 years. Consistently, the majority of patients in age groups &lt; 2 years and </w:t>
      </w:r>
      <w:r w:rsidR="007C6D8D">
        <w:rPr>
          <w:lang w:eastAsia="ja-JP"/>
        </w:rPr>
        <w:t>≥</w:t>
      </w:r>
      <w:r w:rsidR="00CF6063">
        <w:rPr>
          <w:lang w:eastAsia="ja-JP"/>
        </w:rPr>
        <w:t xml:space="preserve"> </w:t>
      </w:r>
      <w:r>
        <w:rPr>
          <w:lang w:eastAsia="ja-JP"/>
        </w:rPr>
        <w:t>2 years showed stable or improved clinical condition (assessed by WHO FC, GCIS, NT-pro-BNP, and indirectly by the number of PAH-worsening events) with bosentan treatment. No new safety risks were identified in patients aged 3 months to &lt; 2 years of age.</w:t>
      </w:r>
    </w:p>
    <w:p w14:paraId="557CA52A" w14:textId="77777777" w:rsidR="004E5DCA" w:rsidRDefault="004E5DCA" w:rsidP="004E5DCA">
      <w:pPr>
        <w:rPr>
          <w:lang w:eastAsia="ja-JP"/>
        </w:rPr>
      </w:pPr>
      <w:r>
        <w:rPr>
          <w:lang w:eastAsia="ja-JP"/>
        </w:rPr>
        <w:t>Based on these consistent results across age ranges, the dosage instruction information was amended to include patients aged between 1 and 3 years. Patients &lt;1 year if age were not included given their low number (6).</w:t>
      </w:r>
    </w:p>
    <w:p w14:paraId="29D9295B" w14:textId="49F63BD2" w:rsidR="00394221" w:rsidRPr="0041354B" w:rsidRDefault="00394221" w:rsidP="0041354B">
      <w:pPr>
        <w:pStyle w:val="Comment"/>
        <w:keepNext/>
        <w:rPr>
          <w:i/>
        </w:rPr>
      </w:pPr>
      <w:r w:rsidRPr="0041354B">
        <w:rPr>
          <w:i/>
        </w:rPr>
        <w:t>Evaluator</w:t>
      </w:r>
      <w:r w:rsidR="000B2E74" w:rsidRPr="0041354B">
        <w:rPr>
          <w:i/>
        </w:rPr>
        <w:t>’s</w:t>
      </w:r>
      <w:r w:rsidRPr="0041354B">
        <w:rPr>
          <w:i/>
        </w:rPr>
        <w:t xml:space="preserve"> comment</w:t>
      </w:r>
      <w:r w:rsidR="0041354B" w:rsidRPr="0041354B">
        <w:rPr>
          <w:i/>
        </w:rPr>
        <w:t>:</w:t>
      </w:r>
    </w:p>
    <w:p w14:paraId="0B144D85" w14:textId="77777777" w:rsidR="004E5DCA" w:rsidRDefault="004E5DCA" w:rsidP="00394221">
      <w:r>
        <w:t xml:space="preserve">The analysis provided by the </w:t>
      </w:r>
      <w:r w:rsidR="007C6D8D">
        <w:t>sponsor</w:t>
      </w:r>
      <w:r>
        <w:t xml:space="preserve"> has considered patients &lt;</w:t>
      </w:r>
      <w:r w:rsidR="00394221">
        <w:t xml:space="preserve"> </w:t>
      </w:r>
      <w:r>
        <w:t xml:space="preserve">2 years of age rather than those &lt; 3 years of age. The number of patients aged between 1 and 3 years is not stated. Based on the above figures, it is assumed that the number of patients aged </w:t>
      </w:r>
      <w:r w:rsidR="007C6D8D">
        <w:t xml:space="preserve">≥ </w:t>
      </w:r>
      <w:r>
        <w:t xml:space="preserve">1 and </w:t>
      </w:r>
      <w:r w:rsidR="00394221">
        <w:t>&lt; 2</w:t>
      </w:r>
      <w:r>
        <w:t xml:space="preserve"> years of age was 15.</w:t>
      </w:r>
    </w:p>
    <w:p w14:paraId="24EEA968" w14:textId="6EC22617" w:rsidR="004E5DCA" w:rsidRDefault="004E5DCA" w:rsidP="00394221">
      <w:pPr>
        <w:rPr>
          <w:lang w:eastAsia="ja-JP"/>
        </w:rPr>
      </w:pPr>
      <w:r w:rsidRPr="00007F0F">
        <w:rPr>
          <w:lang w:eastAsia="ja-JP"/>
        </w:rPr>
        <w:t xml:space="preserve">The efficacy analyses </w:t>
      </w:r>
      <w:r>
        <w:rPr>
          <w:lang w:eastAsia="ja-JP"/>
        </w:rPr>
        <w:t xml:space="preserve">in the FURTURE-3 </w:t>
      </w:r>
      <w:r w:rsidR="00E77015">
        <w:rPr>
          <w:lang w:eastAsia="ja-JP"/>
        </w:rPr>
        <w:t>Study</w:t>
      </w:r>
      <w:r w:rsidRPr="00007F0F">
        <w:rPr>
          <w:lang w:eastAsia="ja-JP"/>
        </w:rPr>
        <w:t xml:space="preserve"> were</w:t>
      </w:r>
      <w:r>
        <w:rPr>
          <w:lang w:eastAsia="ja-JP"/>
        </w:rPr>
        <w:t xml:space="preserve"> exploratory and were</w:t>
      </w:r>
      <w:r w:rsidRPr="00007F0F">
        <w:rPr>
          <w:lang w:eastAsia="ja-JP"/>
        </w:rPr>
        <w:t xml:space="preserve"> </w:t>
      </w:r>
      <w:r>
        <w:rPr>
          <w:lang w:eastAsia="ja-JP"/>
        </w:rPr>
        <w:t xml:space="preserve">not statistically powered to show </w:t>
      </w:r>
      <w:r w:rsidRPr="00007F0F">
        <w:rPr>
          <w:lang w:eastAsia="ja-JP"/>
        </w:rPr>
        <w:t>differences</w:t>
      </w:r>
      <w:r>
        <w:rPr>
          <w:lang w:eastAsia="ja-JP"/>
        </w:rPr>
        <w:t xml:space="preserve"> and were not</w:t>
      </w:r>
      <w:r w:rsidRPr="00007F0F">
        <w:rPr>
          <w:lang w:eastAsia="ja-JP"/>
        </w:rPr>
        <w:t xml:space="preserve"> stratified for </w:t>
      </w:r>
      <w:r>
        <w:rPr>
          <w:lang w:eastAsia="ja-JP"/>
        </w:rPr>
        <w:t>influencing</w:t>
      </w:r>
      <w:r w:rsidRPr="00007F0F">
        <w:rPr>
          <w:lang w:eastAsia="ja-JP"/>
        </w:rPr>
        <w:t xml:space="preserve"> factors</w:t>
      </w:r>
      <w:r>
        <w:rPr>
          <w:lang w:eastAsia="ja-JP"/>
        </w:rPr>
        <w:t xml:space="preserve">. </w:t>
      </w:r>
      <w:r w:rsidRPr="00FE713D">
        <w:rPr>
          <w:lang w:eastAsia="ja-JP"/>
        </w:rPr>
        <w:t xml:space="preserve">The haemodynamic subgroup included </w:t>
      </w:r>
      <w:r>
        <w:rPr>
          <w:lang w:eastAsia="ja-JP"/>
        </w:rPr>
        <w:t xml:space="preserve">a small number of patients (10 patients, </w:t>
      </w:r>
      <w:r w:rsidRPr="00FE713D">
        <w:rPr>
          <w:lang w:eastAsia="ja-JP"/>
        </w:rPr>
        <w:t xml:space="preserve">2 patients &lt; 2 years, 8 patients </w:t>
      </w:r>
      <w:r w:rsidR="007C6D8D">
        <w:rPr>
          <w:lang w:eastAsia="ja-JP"/>
        </w:rPr>
        <w:t>≥</w:t>
      </w:r>
      <w:r w:rsidR="00F562C1">
        <w:rPr>
          <w:lang w:eastAsia="ja-JP"/>
        </w:rPr>
        <w:t> </w:t>
      </w:r>
      <w:r w:rsidRPr="00FE713D">
        <w:rPr>
          <w:lang w:eastAsia="ja-JP"/>
        </w:rPr>
        <w:t>2</w:t>
      </w:r>
      <w:r w:rsidR="00F562C1">
        <w:rPr>
          <w:lang w:eastAsia="ja-JP"/>
        </w:rPr>
        <w:t> </w:t>
      </w:r>
      <w:r w:rsidRPr="00FE713D">
        <w:rPr>
          <w:lang w:eastAsia="ja-JP"/>
        </w:rPr>
        <w:t xml:space="preserve">years, all </w:t>
      </w:r>
      <w:r w:rsidR="009C6335">
        <w:rPr>
          <w:lang w:eastAsia="ja-JP"/>
        </w:rPr>
        <w:t>bosentan naïve</w:t>
      </w:r>
      <w:r w:rsidRPr="00FE713D">
        <w:rPr>
          <w:lang w:eastAsia="ja-JP"/>
        </w:rPr>
        <w:t xml:space="preserve">). </w:t>
      </w:r>
      <w:r>
        <w:rPr>
          <w:lang w:eastAsia="ja-JP"/>
        </w:rPr>
        <w:t xml:space="preserve">Several haemodynamic variables were analysed including PVR index but PVR and PVR index are not </w:t>
      </w:r>
      <w:r w:rsidRPr="00D81D7C">
        <w:rPr>
          <w:lang w:eastAsia="ja-JP"/>
        </w:rPr>
        <w:t>reported in</w:t>
      </w:r>
      <w:r w:rsidR="00D81D7C" w:rsidRPr="00D81D7C">
        <w:rPr>
          <w:lang w:eastAsia="ja-JP"/>
        </w:rPr>
        <w:t xml:space="preserve"> Table 36</w:t>
      </w:r>
      <w:r w:rsidRPr="00D81D7C">
        <w:rPr>
          <w:lang w:eastAsia="ja-JP"/>
        </w:rPr>
        <w:t>. Change</w:t>
      </w:r>
      <w:r>
        <w:rPr>
          <w:lang w:eastAsia="ja-JP"/>
        </w:rPr>
        <w:t xml:space="preserve"> in cardiac output from baseline (a component of the PVR calculation) is also not include</w:t>
      </w:r>
      <w:r w:rsidR="00394221">
        <w:rPr>
          <w:lang w:eastAsia="ja-JP"/>
        </w:rPr>
        <w:t>d</w:t>
      </w:r>
      <w:r>
        <w:rPr>
          <w:lang w:eastAsia="ja-JP"/>
        </w:rPr>
        <w:t xml:space="preserve"> in</w:t>
      </w:r>
      <w:r w:rsidR="00D81D7C">
        <w:rPr>
          <w:lang w:eastAsia="ja-JP"/>
        </w:rPr>
        <w:t xml:space="preserve"> Table 36</w:t>
      </w:r>
      <w:r>
        <w:rPr>
          <w:lang w:eastAsia="ja-JP"/>
        </w:rPr>
        <w:t>. Supplementary tables appear to indicate that PVR and PVR index were measured at baseline in 4 of the 10 patients in the haemodynamics subgroup (2 in each treatment group) and none of these patients were &lt;</w:t>
      </w:r>
      <w:r w:rsidR="00394221">
        <w:rPr>
          <w:lang w:eastAsia="ja-JP"/>
        </w:rPr>
        <w:t xml:space="preserve"> </w:t>
      </w:r>
      <w:r>
        <w:rPr>
          <w:lang w:eastAsia="ja-JP"/>
        </w:rPr>
        <w:t>2 years of age. The change from baseline in PVR index was an exploratory efficacy endpoint but the result does not appear to have been included in the FUTURE-3 CSR. The CSR does state that the low numbers reflect a decline in the use of invasive RHC assessment.</w:t>
      </w:r>
    </w:p>
    <w:p w14:paraId="72E5B632" w14:textId="77777777" w:rsidR="007C6D8D" w:rsidRDefault="004E5DCA" w:rsidP="00394221">
      <w:r>
        <w:t xml:space="preserve">The </w:t>
      </w:r>
      <w:r w:rsidR="007C6D8D">
        <w:t>sponsor</w:t>
      </w:r>
      <w:r>
        <w:t xml:space="preserve"> has stated that the point estimates for the geometric mean ratios of AUC</w:t>
      </w:r>
      <w:r w:rsidRPr="00985BF9">
        <w:rPr>
          <w:vertAlign w:val="subscript"/>
        </w:rPr>
        <w:t>0</w:t>
      </w:r>
      <w:r>
        <w:rPr>
          <w:vertAlign w:val="subscript"/>
        </w:rPr>
        <w:t>-24C</w:t>
      </w:r>
      <w:r>
        <w:t xml:space="preserve"> and C</w:t>
      </w:r>
      <w:r w:rsidRPr="00985BF9">
        <w:rPr>
          <w:vertAlign w:val="subscript"/>
        </w:rPr>
        <w:t>maxC</w:t>
      </w:r>
      <w:r>
        <w:t xml:space="preserve"> for </w:t>
      </w:r>
      <w:r w:rsidR="00394221">
        <w:t>bosentan</w:t>
      </w:r>
      <w:r>
        <w:t xml:space="preserve"> were comparable across age groups and systemic exposure was comparable between patients aged </w:t>
      </w:r>
      <w:r w:rsidR="00394221">
        <w:t>&lt; 2</w:t>
      </w:r>
      <w:r>
        <w:t xml:space="preserve"> years and </w:t>
      </w:r>
      <w:r w:rsidR="007C6D8D">
        <w:t xml:space="preserve">≥ </w:t>
      </w:r>
      <w:r w:rsidR="00394221">
        <w:t>2 years for both</w:t>
      </w:r>
      <w:r>
        <w:t xml:space="preserve">. A comparison in exposure for patients aged </w:t>
      </w:r>
      <w:r w:rsidR="00394221">
        <w:t>&lt; 2</w:t>
      </w:r>
      <w:r>
        <w:t xml:space="preserve"> years and </w:t>
      </w:r>
      <w:r w:rsidR="007C6D8D">
        <w:t xml:space="preserve">≥ </w:t>
      </w:r>
      <w:r>
        <w:t xml:space="preserve">2 years on </w:t>
      </w:r>
      <w:r w:rsidR="007C6D8D">
        <w:t>BD</w:t>
      </w:r>
      <w:r>
        <w:t xml:space="preserve"> dosing was not identified. </w:t>
      </w:r>
      <w:r w:rsidR="00D81D7C">
        <w:t xml:space="preserve">Table 87 </w:t>
      </w:r>
      <w:r>
        <w:t>provides the AUC and 95% CI for these populations but the ratio of geometric means and 95% CI has not been provided</w:t>
      </w:r>
      <w:r w:rsidR="007C6D8D">
        <w:t>.</w:t>
      </w:r>
    </w:p>
    <w:p w14:paraId="718B9DF0" w14:textId="77777777" w:rsidR="007C6D8D" w:rsidRDefault="004E5DCA" w:rsidP="00394221">
      <w:r>
        <w:lastRenderedPageBreak/>
        <w:t xml:space="preserve">The evidence provided by the FUTURE-3 </w:t>
      </w:r>
      <w:r w:rsidR="00E77015">
        <w:t>Study</w:t>
      </w:r>
      <w:r>
        <w:t xml:space="preserve"> does not clearly demonstrate efficacy or equivalence in bosentan exposure in the paediatric population aged &lt; 3 years. The proposed changes to the dosage instruction information are not considered acceptable</w:t>
      </w:r>
      <w:r w:rsidR="007C6D8D">
        <w:t>.</w:t>
      </w:r>
    </w:p>
    <w:p w14:paraId="1436F11C" w14:textId="77777777" w:rsidR="004E5DCA" w:rsidRPr="0041354B" w:rsidRDefault="004E5DCA" w:rsidP="0041354B">
      <w:pPr>
        <w:pStyle w:val="Numberbullet0"/>
        <w:rPr>
          <w:i/>
        </w:rPr>
      </w:pPr>
      <w:r w:rsidRPr="0041354B">
        <w:rPr>
          <w:i/>
        </w:rPr>
        <w:t>Will the CMI for the adult formulation of Tracleer be updated to include the list of side effects outlined in the draft CMI for the paediatric formulation?</w:t>
      </w:r>
    </w:p>
    <w:p w14:paraId="1ACC6876" w14:textId="64766B64" w:rsidR="00394221" w:rsidRPr="0041354B" w:rsidRDefault="00394221" w:rsidP="0041354B">
      <w:pPr>
        <w:keepNext/>
        <w:ind w:left="1134" w:hanging="1134"/>
        <w:rPr>
          <w:i/>
          <w:lang w:eastAsia="ja-JP"/>
        </w:rPr>
      </w:pPr>
      <w:r w:rsidRPr="0041354B">
        <w:rPr>
          <w:i/>
          <w:lang w:eastAsia="ja-JP"/>
        </w:rPr>
        <w:t>Sponsor’s response</w:t>
      </w:r>
      <w:r w:rsidR="0041354B" w:rsidRPr="0041354B">
        <w:rPr>
          <w:i/>
          <w:lang w:eastAsia="ja-JP"/>
        </w:rPr>
        <w:t>:</w:t>
      </w:r>
    </w:p>
    <w:p w14:paraId="2ED02D91" w14:textId="77777777" w:rsidR="004E5DCA" w:rsidRDefault="004E5DCA" w:rsidP="004E5DCA">
      <w:pPr>
        <w:rPr>
          <w:lang w:eastAsia="ja-JP"/>
        </w:rPr>
      </w:pPr>
      <w:r>
        <w:rPr>
          <w:lang w:eastAsia="ja-JP"/>
        </w:rPr>
        <w:t xml:space="preserve">The </w:t>
      </w:r>
      <w:r w:rsidR="007C6D8D">
        <w:rPr>
          <w:lang w:eastAsia="ja-JP"/>
        </w:rPr>
        <w:t>sponsor</w:t>
      </w:r>
      <w:r>
        <w:rPr>
          <w:lang w:eastAsia="ja-JP"/>
        </w:rPr>
        <w:t xml:space="preserve"> confirms that the CMI for the adult formulation of Tracleer will be updated to include the list of side effects outlined in the draft CMI for the paediatric formulation.</w:t>
      </w:r>
    </w:p>
    <w:p w14:paraId="0370DE15" w14:textId="15E8F0EB" w:rsidR="00394221" w:rsidRPr="0041354B" w:rsidRDefault="00394221" w:rsidP="0041354B">
      <w:pPr>
        <w:pStyle w:val="Comment"/>
        <w:keepNext/>
        <w:rPr>
          <w:i/>
        </w:rPr>
      </w:pPr>
      <w:r w:rsidRPr="0041354B">
        <w:rPr>
          <w:i/>
        </w:rPr>
        <w:t>Evaluator</w:t>
      </w:r>
      <w:r w:rsidR="00D42CD8" w:rsidRPr="0041354B">
        <w:rPr>
          <w:i/>
        </w:rPr>
        <w:t>’s</w:t>
      </w:r>
      <w:r w:rsidRPr="0041354B">
        <w:rPr>
          <w:i/>
        </w:rPr>
        <w:t xml:space="preserve"> comment</w:t>
      </w:r>
      <w:r w:rsidR="0041354B" w:rsidRPr="0041354B">
        <w:rPr>
          <w:i/>
        </w:rPr>
        <w:t>:</w:t>
      </w:r>
    </w:p>
    <w:p w14:paraId="1C048D45" w14:textId="77777777" w:rsidR="004E5DCA" w:rsidRPr="001E41DD" w:rsidRDefault="004E5DCA" w:rsidP="004E5DCA">
      <w:pPr>
        <w:pStyle w:val="Comment"/>
      </w:pPr>
      <w:r>
        <w:t xml:space="preserve">The </w:t>
      </w:r>
      <w:r w:rsidR="007C6D8D">
        <w:t>sponsor</w:t>
      </w:r>
      <w:r>
        <w:t>’s response is considered acceptable.</w:t>
      </w:r>
    </w:p>
    <w:p w14:paraId="75AC4809" w14:textId="77777777" w:rsidR="00C618F7" w:rsidRPr="008F1103" w:rsidRDefault="00C618F7" w:rsidP="008F1103">
      <w:pPr>
        <w:pStyle w:val="Heading2"/>
      </w:pPr>
      <w:bookmarkStart w:id="580" w:name="_Toc519773935"/>
      <w:r w:rsidRPr="008F1103">
        <w:t>Second round benefit-risk assessment</w:t>
      </w:r>
      <w:bookmarkEnd w:id="580"/>
    </w:p>
    <w:p w14:paraId="6D547568" w14:textId="77777777" w:rsidR="004E5DCA" w:rsidRPr="008F1103" w:rsidRDefault="004E5DCA" w:rsidP="008F1103">
      <w:pPr>
        <w:pStyle w:val="Heading3"/>
      </w:pPr>
      <w:bookmarkStart w:id="581" w:name="_Toc272414709"/>
      <w:bookmarkStart w:id="582" w:name="_Toc290888575"/>
      <w:bookmarkStart w:id="583" w:name="_Toc416353792"/>
      <w:bookmarkStart w:id="584" w:name="_Toc421005334"/>
      <w:bookmarkStart w:id="585" w:name="_Toc432079207"/>
      <w:bookmarkStart w:id="586" w:name="_Toc432080780"/>
      <w:bookmarkStart w:id="587" w:name="_Toc444102386"/>
      <w:bookmarkStart w:id="588" w:name="_Toc473884032"/>
      <w:bookmarkStart w:id="589" w:name="_Toc519773936"/>
      <w:r w:rsidRPr="008F1103">
        <w:t>Second round assessment of benefits</w:t>
      </w:r>
      <w:bookmarkEnd w:id="581"/>
      <w:bookmarkEnd w:id="582"/>
      <w:bookmarkEnd w:id="583"/>
      <w:bookmarkEnd w:id="584"/>
      <w:bookmarkEnd w:id="585"/>
      <w:bookmarkEnd w:id="586"/>
      <w:bookmarkEnd w:id="587"/>
      <w:bookmarkEnd w:id="588"/>
      <w:bookmarkEnd w:id="589"/>
    </w:p>
    <w:p w14:paraId="5C290599" w14:textId="77777777" w:rsidR="004E5DCA" w:rsidRPr="0090173C" w:rsidRDefault="004E5DCA" w:rsidP="004E5DCA">
      <w:r w:rsidRPr="0090173C">
        <w:t xml:space="preserve">After consideration of the responses to clinical questions, the benefits of </w:t>
      </w:r>
      <w:r>
        <w:t>Tracleer</w:t>
      </w:r>
      <w:r w:rsidRPr="0090173C">
        <w:t xml:space="preserve"> in the proposed usage are unchanged from those identified in </w:t>
      </w:r>
      <w:r w:rsidR="007B05D8">
        <w:t>the first round assessment of benefits</w:t>
      </w:r>
      <w:r w:rsidRPr="0090173C">
        <w:t>.</w:t>
      </w:r>
    </w:p>
    <w:p w14:paraId="2CC8B14C" w14:textId="77777777" w:rsidR="004E5DCA" w:rsidRPr="004E5DCA" w:rsidRDefault="004E5DCA" w:rsidP="004E5DCA">
      <w:pPr>
        <w:pStyle w:val="Heading3"/>
      </w:pPr>
      <w:bookmarkStart w:id="590" w:name="_Toc272414710"/>
      <w:bookmarkStart w:id="591" w:name="_Toc290888576"/>
      <w:bookmarkStart w:id="592" w:name="_Toc416353793"/>
      <w:bookmarkStart w:id="593" w:name="_Toc421005335"/>
      <w:bookmarkStart w:id="594" w:name="_Toc432079208"/>
      <w:bookmarkStart w:id="595" w:name="_Toc432080781"/>
      <w:bookmarkStart w:id="596" w:name="_Toc444102387"/>
      <w:bookmarkStart w:id="597" w:name="_Toc473884033"/>
      <w:bookmarkStart w:id="598" w:name="_Toc519773937"/>
      <w:r w:rsidRPr="004E5DCA">
        <w:t>Second round assessment of risks</w:t>
      </w:r>
      <w:bookmarkEnd w:id="590"/>
      <w:bookmarkEnd w:id="591"/>
      <w:bookmarkEnd w:id="592"/>
      <w:bookmarkEnd w:id="593"/>
      <w:bookmarkEnd w:id="594"/>
      <w:bookmarkEnd w:id="595"/>
      <w:bookmarkEnd w:id="596"/>
      <w:bookmarkEnd w:id="597"/>
      <w:bookmarkEnd w:id="598"/>
    </w:p>
    <w:p w14:paraId="2A468DF9" w14:textId="77777777" w:rsidR="004E5DCA" w:rsidRDefault="004E5DCA" w:rsidP="004E5DCA">
      <w:r w:rsidRPr="0090173C">
        <w:t xml:space="preserve">After consideration of the responses to clinical questions, the risks of </w:t>
      </w:r>
      <w:r>
        <w:t>bosentan</w:t>
      </w:r>
      <w:r w:rsidR="008F1103">
        <w:t xml:space="preserve"> in the proposed usage are as shown in Table 90.</w:t>
      </w:r>
    </w:p>
    <w:p w14:paraId="6FC1495E" w14:textId="77777777" w:rsidR="008F1103" w:rsidRDefault="008F1103" w:rsidP="008F1103">
      <w:pPr>
        <w:pStyle w:val="Tabletitle"/>
      </w:pPr>
      <w:r>
        <w:t>Table 90: Second round assessment of risks</w:t>
      </w:r>
    </w:p>
    <w:tbl>
      <w:tblPr>
        <w:tblStyle w:val="TableGrid"/>
        <w:tblW w:w="0" w:type="auto"/>
        <w:tblInd w:w="108" w:type="dxa"/>
        <w:tblLook w:val="04A0" w:firstRow="1" w:lastRow="0" w:firstColumn="1" w:lastColumn="0" w:noHBand="0" w:noVBand="1"/>
      </w:tblPr>
      <w:tblGrid>
        <w:gridCol w:w="4567"/>
        <w:gridCol w:w="4567"/>
      </w:tblGrid>
      <w:tr w:rsidR="004E5DCA" w:rsidRPr="00C37A1D" w14:paraId="0D0725EE" w14:textId="77777777" w:rsidTr="007C6D8D">
        <w:trPr>
          <w:tblHeader/>
        </w:trPr>
        <w:tc>
          <w:tcPr>
            <w:tcW w:w="4567" w:type="dxa"/>
            <w:shd w:val="clear" w:color="auto" w:fill="006DA7" w:themeFill="accent3"/>
          </w:tcPr>
          <w:p w14:paraId="65289907" w14:textId="77777777" w:rsidR="004E5DCA" w:rsidRPr="0013182D" w:rsidRDefault="004E5DCA" w:rsidP="007C6D8D">
            <w:pPr>
              <w:keepNext/>
              <w:rPr>
                <w:rFonts w:asciiTheme="minorHAnsi" w:hAnsiTheme="minorHAnsi"/>
                <w:b/>
                <w:color w:val="FFFFFF" w:themeColor="background1"/>
              </w:rPr>
            </w:pPr>
            <w:r w:rsidRPr="0013182D">
              <w:rPr>
                <w:rFonts w:asciiTheme="minorHAnsi" w:hAnsiTheme="minorHAnsi"/>
                <w:b/>
                <w:color w:val="FFFFFF" w:themeColor="background1"/>
              </w:rPr>
              <w:t>Risks</w:t>
            </w:r>
          </w:p>
        </w:tc>
        <w:tc>
          <w:tcPr>
            <w:tcW w:w="4567" w:type="dxa"/>
            <w:shd w:val="clear" w:color="auto" w:fill="006DA7" w:themeFill="accent3"/>
          </w:tcPr>
          <w:p w14:paraId="61838160" w14:textId="77777777" w:rsidR="004E5DCA" w:rsidRPr="0013182D" w:rsidRDefault="004E5DCA" w:rsidP="007C6D8D">
            <w:pPr>
              <w:rPr>
                <w:rFonts w:asciiTheme="minorHAnsi" w:hAnsiTheme="minorHAnsi"/>
                <w:b/>
                <w:color w:val="FFFFFF" w:themeColor="background1"/>
              </w:rPr>
            </w:pPr>
            <w:r w:rsidRPr="0013182D">
              <w:rPr>
                <w:rFonts w:asciiTheme="minorHAnsi" w:hAnsiTheme="minorHAnsi"/>
                <w:b/>
                <w:color w:val="FFFFFF" w:themeColor="background1"/>
              </w:rPr>
              <w:t>Strengths and Uncertainties</w:t>
            </w:r>
          </w:p>
        </w:tc>
      </w:tr>
      <w:tr w:rsidR="004E5DCA" w:rsidRPr="00C37A1D" w14:paraId="44B2AB4C" w14:textId="77777777" w:rsidTr="007C6D8D">
        <w:tc>
          <w:tcPr>
            <w:tcW w:w="4567" w:type="dxa"/>
          </w:tcPr>
          <w:p w14:paraId="6646DE12"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The adult (</w:t>
            </w:r>
            <w:r w:rsidR="007C6D8D" w:rsidRPr="0041354B">
              <w:rPr>
                <w:rFonts w:asciiTheme="minorHAnsi" w:hAnsiTheme="minorHAnsi" w:cstheme="minorHAnsi"/>
              </w:rPr>
              <w:t>film coated</w:t>
            </w:r>
            <w:r w:rsidRPr="0041354B">
              <w:rPr>
                <w:rFonts w:asciiTheme="minorHAnsi" w:hAnsiTheme="minorHAnsi" w:cstheme="minorHAnsi"/>
              </w:rPr>
              <w:t xml:space="preserve"> tablet) and paediatric (dispersible tablet) formulations are not bioequivalent. </w:t>
            </w:r>
          </w:p>
        </w:tc>
        <w:tc>
          <w:tcPr>
            <w:tcW w:w="4567" w:type="dxa"/>
          </w:tcPr>
          <w:p w14:paraId="47C244BC" w14:textId="6477C354" w:rsidR="007C6D8D" w:rsidRPr="0041354B" w:rsidRDefault="004E5DCA" w:rsidP="007C6D8D">
            <w:pPr>
              <w:rPr>
                <w:rFonts w:asciiTheme="minorHAnsi" w:hAnsiTheme="minorHAnsi" w:cstheme="minorHAnsi"/>
              </w:rPr>
            </w:pPr>
            <w:r w:rsidRPr="0041354B">
              <w:rPr>
                <w:rFonts w:asciiTheme="minorHAnsi" w:hAnsiTheme="minorHAnsi" w:cstheme="minorHAnsi"/>
              </w:rPr>
              <w:t xml:space="preserve">The </w:t>
            </w:r>
            <w:r w:rsidR="007C6D8D" w:rsidRPr="0041354B">
              <w:rPr>
                <w:rFonts w:asciiTheme="minorHAnsi" w:hAnsiTheme="minorHAnsi" w:cstheme="minorHAnsi"/>
              </w:rPr>
              <w:t>sponsor</w:t>
            </w:r>
            <w:r w:rsidRPr="0041354B">
              <w:rPr>
                <w:rFonts w:asciiTheme="minorHAnsi" w:hAnsiTheme="minorHAnsi" w:cstheme="minorHAnsi"/>
              </w:rPr>
              <w:t xml:space="preserve"> has argued that the two formulations are comparable rather than bioequivalent. Study AC-052-116 did not demonstrate bioequivalence with respect to either of the PK parameters AUC or C</w:t>
            </w:r>
            <w:r w:rsidRPr="0041354B">
              <w:rPr>
                <w:rFonts w:asciiTheme="minorHAnsi" w:hAnsiTheme="minorHAnsi" w:cstheme="minorHAnsi"/>
                <w:vertAlign w:val="subscript"/>
              </w:rPr>
              <w:t>max</w:t>
            </w:r>
            <w:r w:rsidRPr="0041354B">
              <w:rPr>
                <w:rFonts w:asciiTheme="minorHAnsi" w:hAnsiTheme="minorHAnsi" w:cstheme="minorHAnsi"/>
              </w:rPr>
              <w:t>. The adult formulation of bosentan is currently available for use in the paediatric population in Australia based on the results of BREATHE-3 which evaluated the use of the adult formulation in children aged 3</w:t>
            </w:r>
            <w:r w:rsidR="00D42CD8">
              <w:rPr>
                <w:rFonts w:asciiTheme="minorHAnsi" w:hAnsiTheme="minorHAnsi" w:cstheme="minorHAnsi"/>
              </w:rPr>
              <w:t xml:space="preserve"> to </w:t>
            </w:r>
            <w:r w:rsidRPr="0041354B">
              <w:rPr>
                <w:rFonts w:asciiTheme="minorHAnsi" w:hAnsiTheme="minorHAnsi" w:cstheme="minorHAnsi"/>
              </w:rPr>
              <w:t>15</w:t>
            </w:r>
            <w:r w:rsidR="007C6D8D" w:rsidRPr="0041354B">
              <w:rPr>
                <w:rFonts w:asciiTheme="minorHAnsi" w:hAnsiTheme="minorHAnsi" w:cstheme="minorHAnsi"/>
              </w:rPr>
              <w:t>.</w:t>
            </w:r>
          </w:p>
          <w:p w14:paraId="02D3C53B" w14:textId="77777777" w:rsidR="007C6D8D" w:rsidRPr="0041354B" w:rsidRDefault="004E5DCA" w:rsidP="007C6D8D">
            <w:pPr>
              <w:rPr>
                <w:rFonts w:asciiTheme="minorHAnsi" w:hAnsiTheme="minorHAnsi" w:cstheme="minorHAnsi"/>
              </w:rPr>
            </w:pPr>
            <w:r w:rsidRPr="0041354B">
              <w:rPr>
                <w:rFonts w:asciiTheme="minorHAnsi" w:hAnsiTheme="minorHAnsi" w:cstheme="minorHAnsi"/>
              </w:rPr>
              <w:t xml:space="preserve">In </w:t>
            </w:r>
            <w:r w:rsidR="00E77015" w:rsidRPr="0041354B">
              <w:rPr>
                <w:rFonts w:asciiTheme="minorHAnsi" w:hAnsiTheme="minorHAnsi" w:cstheme="minorHAnsi"/>
              </w:rPr>
              <w:t>Study</w:t>
            </w:r>
            <w:r w:rsidRPr="0041354B">
              <w:rPr>
                <w:rFonts w:asciiTheme="minorHAnsi" w:hAnsiTheme="minorHAnsi" w:cstheme="minorHAnsi"/>
              </w:rPr>
              <w:t xml:space="preserve"> AC-052-116 exposure to bosentan was lower with the dispersible tablet than the </w:t>
            </w:r>
            <w:r w:rsidR="007C6D8D" w:rsidRPr="0041354B">
              <w:rPr>
                <w:rFonts w:asciiTheme="minorHAnsi" w:hAnsiTheme="minorHAnsi" w:cstheme="minorHAnsi"/>
              </w:rPr>
              <w:t>film coated</w:t>
            </w:r>
            <w:r w:rsidRPr="0041354B">
              <w:rPr>
                <w:rFonts w:asciiTheme="minorHAnsi" w:hAnsiTheme="minorHAnsi" w:cstheme="minorHAnsi"/>
              </w:rPr>
              <w:t xml:space="preserve"> tablet. It has not been established that exposure is comparable between the two formulations in the paediatric population. The two formulations are not bioequivalent therefore efficacy cannot be inferred in the paediatric population based on the results of BREATHE-3. Other studies in the paediatric population that tested the dispersible tablet formulation had only exploratory efficacy endpoints</w:t>
            </w:r>
            <w:r w:rsidR="007C6D8D" w:rsidRPr="0041354B">
              <w:rPr>
                <w:rFonts w:asciiTheme="minorHAnsi" w:hAnsiTheme="minorHAnsi" w:cstheme="minorHAnsi"/>
              </w:rPr>
              <w:t>.</w:t>
            </w:r>
          </w:p>
          <w:p w14:paraId="11420F40"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 xml:space="preserve">In </w:t>
            </w:r>
            <w:r w:rsidR="00E77015" w:rsidRPr="0041354B">
              <w:rPr>
                <w:rFonts w:asciiTheme="minorHAnsi" w:hAnsiTheme="minorHAnsi" w:cstheme="minorHAnsi"/>
              </w:rPr>
              <w:t>Study</w:t>
            </w:r>
            <w:r w:rsidRPr="0041354B">
              <w:rPr>
                <w:rFonts w:asciiTheme="minorHAnsi" w:hAnsiTheme="minorHAnsi" w:cstheme="minorHAnsi"/>
              </w:rPr>
              <w:t xml:space="preserve"> AC-052-116 the dispersible tablet was </w:t>
            </w:r>
            <w:r w:rsidRPr="0041354B">
              <w:rPr>
                <w:rFonts w:asciiTheme="minorHAnsi" w:hAnsiTheme="minorHAnsi" w:cstheme="minorHAnsi"/>
              </w:rPr>
              <w:lastRenderedPageBreak/>
              <w:t xml:space="preserve">not administered as per dosing instructions in the PI. It is possible that this may have affected the </w:t>
            </w:r>
            <w:r w:rsidR="00E77015" w:rsidRPr="0041354B">
              <w:rPr>
                <w:rFonts w:asciiTheme="minorHAnsi" w:hAnsiTheme="minorHAnsi" w:cstheme="minorHAnsi"/>
              </w:rPr>
              <w:t>Study</w:t>
            </w:r>
            <w:r w:rsidRPr="0041354B">
              <w:rPr>
                <w:rFonts w:asciiTheme="minorHAnsi" w:hAnsiTheme="minorHAnsi" w:cstheme="minorHAnsi"/>
              </w:rPr>
              <w:t xml:space="preserve"> results.</w:t>
            </w:r>
          </w:p>
          <w:p w14:paraId="2E4FC12D"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In addition, the effect of the fed state on bioequivalence has not been investigated and the bioequivalence of an oral solution to the adult formulation has not been established.</w:t>
            </w:r>
          </w:p>
        </w:tc>
      </w:tr>
      <w:tr w:rsidR="004E5DCA" w:rsidRPr="00C37A1D" w14:paraId="2E6EEAC6" w14:textId="77777777" w:rsidTr="007C6D8D">
        <w:tc>
          <w:tcPr>
            <w:tcW w:w="4567" w:type="dxa"/>
          </w:tcPr>
          <w:p w14:paraId="1562552F"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lastRenderedPageBreak/>
              <w:t>Efficacy has not been established for the dispersible tablet formulation in the paediatric population.</w:t>
            </w:r>
          </w:p>
        </w:tc>
        <w:tc>
          <w:tcPr>
            <w:tcW w:w="4567" w:type="dxa"/>
          </w:tcPr>
          <w:p w14:paraId="786AA5FE"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 xml:space="preserve">The dispersible tablet formulation has been studied in the paediatric PAH population but the efficacy endpoints were exploratory. Efficacy has been established in adult patients with the adult tablet formulation. The EMA came to an agreement with the </w:t>
            </w:r>
            <w:r w:rsidR="007C6D8D" w:rsidRPr="0041354B">
              <w:rPr>
                <w:rFonts w:asciiTheme="minorHAnsi" w:hAnsiTheme="minorHAnsi" w:cstheme="minorHAnsi"/>
              </w:rPr>
              <w:t>sponsor</w:t>
            </w:r>
            <w:r w:rsidRPr="0041354B">
              <w:rPr>
                <w:rFonts w:asciiTheme="minorHAnsi" w:hAnsiTheme="minorHAnsi" w:cstheme="minorHAnsi"/>
              </w:rPr>
              <w:t xml:space="preserve"> that the PAH condition is similar between adults and children and efficacy could be inferred if similar PK properties were established. However, bosentan exposure in the paediatric population was about half that seen in adults. In addition bioequivalence with the approved formulation has not been established. These factors make it difficult to infer efficacy in the paediatric population. </w:t>
            </w:r>
          </w:p>
        </w:tc>
      </w:tr>
      <w:tr w:rsidR="004E5DCA" w:rsidRPr="00C37A1D" w14:paraId="7FBAA5B1" w14:textId="77777777" w:rsidTr="007C6D8D">
        <w:tc>
          <w:tcPr>
            <w:tcW w:w="4567" w:type="dxa"/>
          </w:tcPr>
          <w:p w14:paraId="70317E2D"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The optimal dosage regimen for paediatric patients with PAH has not been established.</w:t>
            </w:r>
          </w:p>
        </w:tc>
        <w:tc>
          <w:tcPr>
            <w:tcW w:w="4567" w:type="dxa"/>
          </w:tcPr>
          <w:p w14:paraId="35C272CB"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A plateau in systemic exposure suggests that increasing the dose beyond 2 mg/kg or the frequency of dosing beyond twice daily will not increase exposure to bosentan. It is noted that the safety and efficacy of the 2 mg/kg dose for the paediatric population has not been established. Whilst it is anticipated that no additional benefit will be gained from doses above 2 mg/kg it is unclear whether this is the optimal dose with respect to safety and efficacy in the paediatric population.</w:t>
            </w:r>
          </w:p>
        </w:tc>
      </w:tr>
      <w:tr w:rsidR="004E5DCA" w:rsidRPr="00C37A1D" w14:paraId="43C0C93C" w14:textId="77777777" w:rsidTr="007C6D8D">
        <w:tc>
          <w:tcPr>
            <w:tcW w:w="4567" w:type="dxa"/>
          </w:tcPr>
          <w:p w14:paraId="3673703C"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The efficacy of bosentan for children aged between one and three years of age has not been established.</w:t>
            </w:r>
          </w:p>
        </w:tc>
        <w:tc>
          <w:tcPr>
            <w:tcW w:w="4567" w:type="dxa"/>
          </w:tcPr>
          <w:p w14:paraId="05A58E3C"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 xml:space="preserve">Exposure to bosentan is lower in the paediatric PAH population compared to adults with PAH. The FUTURE-3 </w:t>
            </w:r>
            <w:r w:rsidR="00E77015" w:rsidRPr="0041354B">
              <w:rPr>
                <w:rFonts w:asciiTheme="minorHAnsi" w:hAnsiTheme="minorHAnsi" w:cstheme="minorHAnsi"/>
              </w:rPr>
              <w:t>Study</w:t>
            </w:r>
            <w:r w:rsidRPr="0041354B">
              <w:rPr>
                <w:rFonts w:asciiTheme="minorHAnsi" w:hAnsiTheme="minorHAnsi" w:cstheme="minorHAnsi"/>
              </w:rPr>
              <w:t xml:space="preserve"> found that C</w:t>
            </w:r>
            <w:r w:rsidRPr="0041354B">
              <w:rPr>
                <w:rFonts w:asciiTheme="minorHAnsi" w:hAnsiTheme="minorHAnsi" w:cstheme="minorHAnsi"/>
                <w:vertAlign w:val="subscript"/>
              </w:rPr>
              <w:t>maxc</w:t>
            </w:r>
            <w:r w:rsidRPr="0041354B">
              <w:rPr>
                <w:rFonts w:asciiTheme="minorHAnsi" w:hAnsiTheme="minorHAnsi" w:cstheme="minorHAnsi"/>
              </w:rPr>
              <w:t xml:space="preserve"> and AUC</w:t>
            </w:r>
            <w:r w:rsidRPr="0041354B">
              <w:rPr>
                <w:rFonts w:asciiTheme="minorHAnsi" w:hAnsiTheme="minorHAnsi" w:cstheme="minorHAnsi"/>
                <w:vertAlign w:val="subscript"/>
              </w:rPr>
              <w:t>0-24C</w:t>
            </w:r>
            <w:r w:rsidRPr="0041354B">
              <w:rPr>
                <w:rFonts w:asciiTheme="minorHAnsi" w:hAnsiTheme="minorHAnsi" w:cstheme="minorHAnsi"/>
              </w:rPr>
              <w:t xml:space="preserve"> were lower in children </w:t>
            </w:r>
            <w:r w:rsidR="00394221" w:rsidRPr="0041354B">
              <w:rPr>
                <w:rFonts w:asciiTheme="minorHAnsi" w:hAnsiTheme="minorHAnsi" w:cstheme="minorHAnsi"/>
              </w:rPr>
              <w:t>&lt; 2</w:t>
            </w:r>
            <w:r w:rsidRPr="0041354B">
              <w:rPr>
                <w:rFonts w:asciiTheme="minorHAnsi" w:hAnsiTheme="minorHAnsi" w:cstheme="minorHAnsi"/>
              </w:rPr>
              <w:t xml:space="preserve"> years old compared to those </w:t>
            </w:r>
            <w:r w:rsidR="007C6D8D" w:rsidRPr="0041354B">
              <w:rPr>
                <w:rFonts w:cstheme="minorHAnsi"/>
              </w:rPr>
              <w:t>≥</w:t>
            </w:r>
            <w:r w:rsidR="00CF6063" w:rsidRPr="0041354B">
              <w:rPr>
                <w:rFonts w:cstheme="minorHAnsi"/>
              </w:rPr>
              <w:t xml:space="preserve"> </w:t>
            </w:r>
            <w:r w:rsidRPr="0041354B">
              <w:rPr>
                <w:rFonts w:asciiTheme="minorHAnsi" w:hAnsiTheme="minorHAnsi" w:cstheme="minorHAnsi"/>
              </w:rPr>
              <w:t xml:space="preserve">2years old. Whilst the ratio of geometric means for </w:t>
            </w:r>
            <w:r w:rsidR="007C6D8D" w:rsidRPr="0041354B">
              <w:rPr>
                <w:rFonts w:asciiTheme="minorHAnsi" w:hAnsiTheme="minorHAnsi" w:cstheme="minorHAnsi"/>
              </w:rPr>
              <w:t>TDS</w:t>
            </w:r>
            <w:r w:rsidRPr="0041354B">
              <w:rPr>
                <w:rFonts w:asciiTheme="minorHAnsi" w:hAnsiTheme="minorHAnsi" w:cstheme="minorHAnsi"/>
              </w:rPr>
              <w:t xml:space="preserve"> </w:t>
            </w:r>
            <w:r w:rsidR="007C6D8D" w:rsidRPr="0041354B">
              <w:rPr>
                <w:rFonts w:asciiTheme="minorHAnsi" w:hAnsiTheme="minorHAnsi" w:cstheme="minorHAnsi"/>
              </w:rPr>
              <w:t>versus</w:t>
            </w:r>
            <w:r w:rsidRPr="0041354B">
              <w:rPr>
                <w:rFonts w:asciiTheme="minorHAnsi" w:hAnsiTheme="minorHAnsi" w:cstheme="minorHAnsi"/>
              </w:rPr>
              <w:t xml:space="preserve"> </w:t>
            </w:r>
            <w:r w:rsidR="007C6D8D" w:rsidRPr="0041354B">
              <w:rPr>
                <w:rFonts w:asciiTheme="minorHAnsi" w:hAnsiTheme="minorHAnsi" w:cstheme="minorHAnsi"/>
              </w:rPr>
              <w:t>BD</w:t>
            </w:r>
            <w:r w:rsidRPr="0041354B">
              <w:rPr>
                <w:rFonts w:asciiTheme="minorHAnsi" w:hAnsiTheme="minorHAnsi" w:cstheme="minorHAnsi"/>
              </w:rPr>
              <w:t xml:space="preserve"> dosing are similar, it cannot be inferred that similar exposures are seen across the age groups when only </w:t>
            </w:r>
            <w:r w:rsidR="007C6D8D" w:rsidRPr="0041354B">
              <w:rPr>
                <w:rFonts w:asciiTheme="minorHAnsi" w:hAnsiTheme="minorHAnsi" w:cstheme="minorHAnsi"/>
              </w:rPr>
              <w:t>BD</w:t>
            </w:r>
            <w:r w:rsidRPr="0041354B">
              <w:rPr>
                <w:rFonts w:asciiTheme="minorHAnsi" w:hAnsiTheme="minorHAnsi" w:cstheme="minorHAnsi"/>
              </w:rPr>
              <w:t xml:space="preserve"> or </w:t>
            </w:r>
            <w:r w:rsidR="007C6D8D" w:rsidRPr="0041354B">
              <w:rPr>
                <w:rFonts w:asciiTheme="minorHAnsi" w:hAnsiTheme="minorHAnsi" w:cstheme="minorHAnsi"/>
              </w:rPr>
              <w:t>TDS</w:t>
            </w:r>
            <w:r w:rsidRPr="0041354B">
              <w:rPr>
                <w:rFonts w:asciiTheme="minorHAnsi" w:hAnsiTheme="minorHAnsi" w:cstheme="minorHAnsi"/>
              </w:rPr>
              <w:t xml:space="preserve"> dosing are considered. There does not appear to be enough data to support changing the dosing instructions to include patients aged between one and three years of age.</w:t>
            </w:r>
          </w:p>
          <w:p w14:paraId="3B4E3E82" w14:textId="77777777" w:rsidR="004E5DCA" w:rsidRPr="0041354B" w:rsidRDefault="004E5DCA" w:rsidP="007C6D8D">
            <w:pPr>
              <w:rPr>
                <w:rFonts w:asciiTheme="minorHAnsi" w:hAnsiTheme="minorHAnsi" w:cstheme="minorHAnsi"/>
              </w:rPr>
            </w:pPr>
            <w:r w:rsidRPr="0041354B">
              <w:rPr>
                <w:rFonts w:asciiTheme="minorHAnsi" w:hAnsiTheme="minorHAnsi" w:cstheme="minorHAnsi"/>
              </w:rPr>
              <w:t xml:space="preserve">In addition, changes to this section of the PI would imply the safety and efficacy of the </w:t>
            </w:r>
            <w:r w:rsidR="007C6D8D" w:rsidRPr="0041354B">
              <w:rPr>
                <w:rFonts w:asciiTheme="minorHAnsi" w:hAnsiTheme="minorHAnsi" w:cstheme="minorHAnsi"/>
              </w:rPr>
              <w:t>film coated</w:t>
            </w:r>
            <w:r w:rsidRPr="0041354B">
              <w:rPr>
                <w:rFonts w:asciiTheme="minorHAnsi" w:hAnsiTheme="minorHAnsi" w:cstheme="minorHAnsi"/>
              </w:rPr>
              <w:t xml:space="preserve"> tablet in this younger population. This is a problem given bioequivalence between the </w:t>
            </w:r>
            <w:r w:rsidRPr="0041354B">
              <w:rPr>
                <w:rFonts w:asciiTheme="minorHAnsi" w:hAnsiTheme="minorHAnsi" w:cstheme="minorHAnsi"/>
              </w:rPr>
              <w:lastRenderedPageBreak/>
              <w:t>formulations has not been established.</w:t>
            </w:r>
          </w:p>
        </w:tc>
      </w:tr>
    </w:tbl>
    <w:p w14:paraId="55F4CBA0" w14:textId="77777777" w:rsidR="004E5DCA" w:rsidRPr="004E5DCA" w:rsidRDefault="004E5DCA" w:rsidP="004E5DCA">
      <w:pPr>
        <w:pStyle w:val="Heading3"/>
        <w:numPr>
          <w:ilvl w:val="1"/>
          <w:numId w:val="48"/>
        </w:numPr>
      </w:pPr>
      <w:bookmarkStart w:id="599" w:name="_Toc272414711"/>
      <w:bookmarkStart w:id="600" w:name="_Toc290888577"/>
      <w:bookmarkStart w:id="601" w:name="_Toc416353794"/>
      <w:bookmarkStart w:id="602" w:name="_Toc421005336"/>
      <w:bookmarkStart w:id="603" w:name="_Toc432079209"/>
      <w:bookmarkStart w:id="604" w:name="_Toc432080782"/>
      <w:bookmarkStart w:id="605" w:name="_Toc444102388"/>
      <w:bookmarkStart w:id="606" w:name="_Toc473884034"/>
      <w:bookmarkStart w:id="607" w:name="_Toc519773938"/>
      <w:r w:rsidRPr="004E5DCA">
        <w:lastRenderedPageBreak/>
        <w:t xml:space="preserve">Second round assessment of benefit-risk </w:t>
      </w:r>
      <w:bookmarkEnd w:id="599"/>
      <w:bookmarkEnd w:id="600"/>
      <w:bookmarkEnd w:id="601"/>
      <w:bookmarkEnd w:id="602"/>
      <w:r w:rsidRPr="004E5DCA">
        <w:t>balance</w:t>
      </w:r>
      <w:bookmarkEnd w:id="603"/>
      <w:bookmarkEnd w:id="604"/>
      <w:bookmarkEnd w:id="605"/>
      <w:bookmarkEnd w:id="606"/>
      <w:bookmarkEnd w:id="607"/>
    </w:p>
    <w:p w14:paraId="2B34A83F" w14:textId="77777777" w:rsidR="004E5DCA" w:rsidRDefault="004E5DCA" w:rsidP="004E5DCA">
      <w:r w:rsidRPr="00A83BCA">
        <w:t xml:space="preserve">The benefit-risk balance of </w:t>
      </w:r>
      <w:r>
        <w:t xml:space="preserve">bosentan given the proposed usage remains </w:t>
      </w:r>
      <w:r w:rsidRPr="00A83BCA">
        <w:t>unfavourable.</w:t>
      </w:r>
      <w:r>
        <w:t xml:space="preserve"> </w:t>
      </w:r>
      <w:r>
        <w:rPr>
          <w:lang w:eastAsia="ja-JP"/>
        </w:rPr>
        <w:t>The bioequivalence of the adult and paediatric formulations has not been established in a healthy adult population. Therefore, it cannot be assumed that the dispersible formulation is bioequivalent to the approved formulation in the paediatric population with PAH.</w:t>
      </w:r>
    </w:p>
    <w:p w14:paraId="1E273AAD" w14:textId="547EC93D" w:rsidR="007C6D8D" w:rsidRDefault="004E5DCA" w:rsidP="00C618F7">
      <w:r>
        <w:t>B</w:t>
      </w:r>
      <w:r w:rsidR="0066478A">
        <w:t>oth the BREATHE-3 and FUTURE-1 S</w:t>
      </w:r>
      <w:r>
        <w:t xml:space="preserve">tudies found a lower exposure to bosentan in paediatric patients compared to adult patients. This result may indicate an exposure plateau occurring at lower doses in paediatric patients. The FUTURE-3 </w:t>
      </w:r>
      <w:r w:rsidR="00E77015">
        <w:t>Study</w:t>
      </w:r>
      <w:r>
        <w:t xml:space="preserve"> found that </w:t>
      </w:r>
      <w:r w:rsidR="007C6D8D">
        <w:t>TDS</w:t>
      </w:r>
      <w:r>
        <w:t xml:space="preserve"> administration of 2</w:t>
      </w:r>
      <w:r w:rsidR="00D42CD8">
        <w:t> </w:t>
      </w:r>
      <w:r>
        <w:t>mg/kg bosentan did not increase systemic exposure to bosentan in the paediatric population. Therefore, it is difficult to extrapolate efficacy data from adults with PAH to the paediatric PAH population. The studies in the paediatric population presented in the submission had exploratory efficacy endpoints and the combination of lower exposure with both the dispersible formulation and in the paediatric population makes it difficult to extrapolate efficacy from studies in adults with PAH. Insufficient evidence was provided to support changes to the paediatric dosing instructions to include patients aged between 1 and 3 years of age</w:t>
      </w:r>
      <w:r w:rsidR="007C6D8D">
        <w:t>.</w:t>
      </w:r>
    </w:p>
    <w:p w14:paraId="6202C4C1" w14:textId="77777777" w:rsidR="00C618F7" w:rsidRDefault="00C618F7" w:rsidP="00C618F7">
      <w:pPr>
        <w:pStyle w:val="Heading2"/>
      </w:pPr>
      <w:bookmarkStart w:id="608" w:name="_Toc519773939"/>
      <w:r>
        <w:t>Second round recommendation regarding authorisation</w:t>
      </w:r>
      <w:bookmarkEnd w:id="608"/>
    </w:p>
    <w:p w14:paraId="1F430C03" w14:textId="77777777" w:rsidR="004E5DCA" w:rsidRDefault="004E5DCA" w:rsidP="004E5DCA">
      <w:pPr>
        <w:contextualSpacing/>
        <w:rPr>
          <w:lang w:eastAsia="ja-JP"/>
        </w:rPr>
      </w:pPr>
      <w:r w:rsidRPr="00297378">
        <w:rPr>
          <w:lang w:eastAsia="ja-JP"/>
        </w:rPr>
        <w:t xml:space="preserve">Approval of </w:t>
      </w:r>
      <w:r>
        <w:rPr>
          <w:lang w:eastAsia="ja-JP"/>
        </w:rPr>
        <w:t>the dispersible tablet formulation of bosentan</w:t>
      </w:r>
      <w:r w:rsidRPr="00297378">
        <w:rPr>
          <w:lang w:eastAsia="ja-JP"/>
        </w:rPr>
        <w:t xml:space="preserve"> is </w:t>
      </w:r>
      <w:r>
        <w:rPr>
          <w:lang w:eastAsia="ja-JP"/>
        </w:rPr>
        <w:t>not recommended for:</w:t>
      </w:r>
    </w:p>
    <w:p w14:paraId="6A309825" w14:textId="77777777" w:rsidR="004E5DCA" w:rsidRPr="0041354B" w:rsidRDefault="004E5DCA" w:rsidP="004E5DCA">
      <w:pPr>
        <w:pStyle w:val="ListBullet"/>
        <w:rPr>
          <w:i/>
          <w:lang w:eastAsia="ja-JP"/>
        </w:rPr>
      </w:pPr>
      <w:r w:rsidRPr="0041354B">
        <w:rPr>
          <w:i/>
          <w:lang w:eastAsia="ja-JP"/>
        </w:rPr>
        <w:t>idiopathic pulmonary arterial hypertension</w:t>
      </w:r>
    </w:p>
    <w:p w14:paraId="6549A11A" w14:textId="77777777" w:rsidR="004E5DCA" w:rsidRPr="0041354B" w:rsidRDefault="004E5DCA" w:rsidP="004E5DCA">
      <w:pPr>
        <w:pStyle w:val="ListBullet"/>
        <w:rPr>
          <w:i/>
          <w:lang w:eastAsia="ja-JP"/>
        </w:rPr>
      </w:pPr>
      <w:r w:rsidRPr="0041354B">
        <w:rPr>
          <w:i/>
          <w:lang w:eastAsia="ja-JP"/>
        </w:rPr>
        <w:t>familial pulmonary arterial hypertension</w:t>
      </w:r>
    </w:p>
    <w:p w14:paraId="54B63E3B" w14:textId="77777777" w:rsidR="004E5DCA" w:rsidRPr="0041354B" w:rsidRDefault="004E5DCA" w:rsidP="004E5DCA">
      <w:pPr>
        <w:pStyle w:val="ListBullet"/>
        <w:rPr>
          <w:i/>
          <w:lang w:eastAsia="ja-JP"/>
        </w:rPr>
      </w:pPr>
      <w:r w:rsidRPr="0041354B">
        <w:rPr>
          <w:i/>
          <w:lang w:eastAsia="ja-JP"/>
        </w:rPr>
        <w:t>pulmonary arterial hypertension associated with scleroderma or</w:t>
      </w:r>
    </w:p>
    <w:p w14:paraId="6E7E4AD4" w14:textId="77777777" w:rsidR="004E5DCA" w:rsidRPr="0041354B" w:rsidRDefault="004E5DCA" w:rsidP="004E5DCA">
      <w:pPr>
        <w:pStyle w:val="ListBullet"/>
        <w:rPr>
          <w:i/>
          <w:lang w:eastAsia="ja-JP"/>
        </w:rPr>
      </w:pPr>
      <w:r w:rsidRPr="0041354B">
        <w:rPr>
          <w:i/>
          <w:lang w:eastAsia="ja-JP"/>
        </w:rPr>
        <w:t>pulmonary arterial hypertension associated with congenital systemic to pulmonary shunts including Eisenmenger’s physiology</w:t>
      </w:r>
    </w:p>
    <w:p w14:paraId="7E098858" w14:textId="77777777" w:rsidR="004E5DCA" w:rsidRPr="0041354B" w:rsidRDefault="004E5DCA" w:rsidP="0041354B">
      <w:pPr>
        <w:ind w:firstLine="360"/>
        <w:rPr>
          <w:i/>
          <w:lang w:eastAsia="ja-JP"/>
        </w:rPr>
      </w:pPr>
      <w:r w:rsidRPr="0041354B">
        <w:rPr>
          <w:i/>
          <w:lang w:eastAsia="ja-JP"/>
        </w:rPr>
        <w:t>in patients with WHO functional Class II, III or IV symptoms.</w:t>
      </w:r>
    </w:p>
    <w:p w14:paraId="4EC0965F" w14:textId="77777777" w:rsidR="007C6D8D" w:rsidRDefault="004E5DCA" w:rsidP="004E5DCA">
      <w:pPr>
        <w:rPr>
          <w:lang w:eastAsia="ja-JP"/>
        </w:rPr>
      </w:pPr>
      <w:r>
        <w:rPr>
          <w:lang w:eastAsia="ja-JP"/>
        </w:rPr>
        <w:t>Approval cannot be recommended at this time as the new formulation is not bioequivalent to the approved formulation, an exposure plateau is observed in the paediatric population making the extrapolation of efficacy data difficult and the relevant studies examining the new formulation in the paediatric population had exploratory efficacy endpoints only</w:t>
      </w:r>
      <w:r w:rsidR="007C6D8D">
        <w:rPr>
          <w:lang w:eastAsia="ja-JP"/>
        </w:rPr>
        <w:t>.</w:t>
      </w:r>
    </w:p>
    <w:bookmarkEnd w:id="3"/>
    <w:bookmarkEnd w:id="1"/>
    <w:bookmarkEnd w:id="0"/>
    <w:p w14:paraId="4D55A4D6" w14:textId="77777777" w:rsidR="003D1E62" w:rsidRDefault="003D1E62" w:rsidP="002666AC"/>
    <w:p w14:paraId="69A175EA" w14:textId="77777777" w:rsidR="007B05D8" w:rsidRPr="001D043B" w:rsidRDefault="007B05D8" w:rsidP="002666AC">
      <w:pPr>
        <w:sectPr w:rsidR="007B05D8" w:rsidRPr="001D043B" w:rsidSect="008D770F">
          <w:headerReference w:type="even" r:id="rId163"/>
          <w:headerReference w:type="default" r:id="rId164"/>
          <w:headerReference w:type="first" r:id="rId165"/>
          <w:footerReference w:type="first" r:id="rId166"/>
          <w:pgSz w:w="11906" w:h="16838" w:code="9"/>
          <w:pgMar w:top="1440" w:right="1440" w:bottom="1440" w:left="1440" w:header="907" w:footer="216" w:gutter="0"/>
          <w:cols w:space="708"/>
          <w:docGrid w:linePitch="360"/>
        </w:sectPr>
      </w:pP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14:paraId="08825DF8" w14:textId="77777777" w:rsidTr="00B342FA">
        <w:trPr>
          <w:trHeight w:hRule="exact" w:val="564"/>
        </w:trPr>
        <w:tc>
          <w:tcPr>
            <w:tcW w:w="9175" w:type="dxa"/>
          </w:tcPr>
          <w:p w14:paraId="7235797B" w14:textId="77777777" w:rsidR="00B3567E" w:rsidRPr="00487162" w:rsidRDefault="00B3567E" w:rsidP="00B342FA">
            <w:pPr>
              <w:pStyle w:val="TGASignoff"/>
            </w:pPr>
            <w:r w:rsidRPr="00487162">
              <w:lastRenderedPageBreak/>
              <w:t>Therapeutic Goods Administration</w:t>
            </w:r>
          </w:p>
        </w:tc>
      </w:tr>
      <w:tr w:rsidR="00B3567E" w:rsidRPr="00487162" w14:paraId="3335B9DF" w14:textId="77777777" w:rsidTr="00B342FA">
        <w:trPr>
          <w:trHeight w:val="1221"/>
        </w:trPr>
        <w:tc>
          <w:tcPr>
            <w:tcW w:w="9175" w:type="dxa"/>
            <w:tcMar>
              <w:top w:w="28" w:type="dxa"/>
            </w:tcMar>
          </w:tcPr>
          <w:p w14:paraId="0C5BB75B" w14:textId="77777777" w:rsidR="00B3567E" w:rsidRPr="00487162" w:rsidRDefault="00B3567E" w:rsidP="00B342FA">
            <w:pPr>
              <w:pStyle w:val="Address"/>
            </w:pPr>
            <w:r w:rsidRPr="00487162">
              <w:t>PO Box 100 Woden ACT 2606 Australia</w:t>
            </w:r>
          </w:p>
          <w:p w14:paraId="3595E3BE" w14:textId="77777777" w:rsidR="00B3567E" w:rsidRPr="00487162" w:rsidRDefault="00B3567E" w:rsidP="00B342FA">
            <w:pPr>
              <w:pStyle w:val="Address"/>
            </w:pPr>
            <w:r w:rsidRPr="00487162">
              <w:t xml:space="preserve">Email: </w:t>
            </w:r>
            <w:hyperlink r:id="rId167" w:history="1">
              <w:r w:rsidRPr="008D770F">
                <w:rPr>
                  <w:rStyle w:val="Hyperlink"/>
                </w:rPr>
                <w:t>info@tga.gov.au</w:t>
              </w:r>
            </w:hyperlink>
            <w:r w:rsidR="00CF6063">
              <w:t xml:space="preserve"> </w:t>
            </w:r>
            <w:r w:rsidRPr="00487162">
              <w:t>Phone: 1800 020 653</w:t>
            </w:r>
            <w:r w:rsidR="00CF6063">
              <w:t xml:space="preserve"> </w:t>
            </w:r>
            <w:r w:rsidRPr="00487162">
              <w:t>Fax: 02 6232 8605</w:t>
            </w:r>
          </w:p>
          <w:p w14:paraId="524EC704" w14:textId="77777777" w:rsidR="00B3567E" w:rsidRPr="008D770F" w:rsidRDefault="00A77992" w:rsidP="00B342FA">
            <w:pPr>
              <w:pStyle w:val="Address"/>
              <w:spacing w:line="260" w:lineRule="atLeast"/>
              <w:rPr>
                <w:b/>
                <w:color w:val="0000FF"/>
                <w:u w:val="single"/>
              </w:rPr>
            </w:pPr>
            <w:hyperlink r:id="rId168" w:history="1">
              <w:r w:rsidR="00E979F4" w:rsidRPr="00FE02B1">
                <w:rPr>
                  <w:rStyle w:val="Hyperlink"/>
                  <w:b/>
                </w:rPr>
                <w:t>https://www.tga.gov.au</w:t>
              </w:r>
            </w:hyperlink>
          </w:p>
        </w:tc>
      </w:tr>
    </w:tbl>
    <w:p w14:paraId="2F287C8D" w14:textId="77777777" w:rsidR="00774E1D" w:rsidRPr="008A5E0B" w:rsidRDefault="00774E1D" w:rsidP="008A5E0B"/>
    <w:sectPr w:rsidR="00774E1D" w:rsidRPr="008A5E0B" w:rsidSect="00B3567E">
      <w:headerReference w:type="even" r:id="rId169"/>
      <w:headerReference w:type="default" r:id="rId170"/>
      <w:footerReference w:type="default" r:id="rId171"/>
      <w:headerReference w:type="first" r:id="rId172"/>
      <w:footerReference w:type="first" r:id="rId173"/>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D8BC04D" w14:textId="77777777" w:rsidR="00A77992" w:rsidRDefault="00A77992" w:rsidP="00C40A36">
      <w:pPr>
        <w:spacing w:after="0"/>
      </w:pPr>
      <w:r>
        <w:separator/>
      </w:r>
    </w:p>
  </w:endnote>
  <w:endnote w:type="continuationSeparator" w:id="0">
    <w:p w14:paraId="1DC41BCF" w14:textId="77777777" w:rsidR="00A77992" w:rsidRDefault="00A77992"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513"/>
      <w:gridCol w:w="1348"/>
    </w:tblGrid>
    <w:tr w:rsidR="00A77992" w:rsidRPr="00487162" w14:paraId="066A6D04" w14:textId="77777777" w:rsidTr="00416FD1">
      <w:trPr>
        <w:trHeight w:val="269"/>
      </w:trPr>
      <w:tc>
        <w:tcPr>
          <w:tcW w:w="7513" w:type="dxa"/>
          <w:tcMar>
            <w:top w:w="142" w:type="dxa"/>
            <w:bottom w:w="0" w:type="dxa"/>
          </w:tcMar>
        </w:tcPr>
        <w:p w14:paraId="10926659" w14:textId="12B6B069" w:rsidR="00A77992" w:rsidRPr="00487162" w:rsidRDefault="00A77992" w:rsidP="002F2695">
          <w:pPr>
            <w:pStyle w:val="Footer"/>
          </w:pPr>
          <w:r>
            <w:t xml:space="preserve">Attachment 2 </w:t>
          </w:r>
          <w:r w:rsidRPr="00353244">
            <w:t xml:space="preserve">TRACLEER - Bosentan - Actelion Pharmaceuticals Australia Pty Ltd - PM-2015-04745-1-3 </w:t>
          </w:r>
          <w:r>
            <w:t>Extract from the Clinical Evaluation Report – FINAL 25 June 2018</w:t>
          </w:r>
        </w:p>
      </w:tc>
      <w:tc>
        <w:tcPr>
          <w:tcW w:w="1348" w:type="dxa"/>
          <w:tcMar>
            <w:top w:w="142" w:type="dxa"/>
            <w:bottom w:w="0" w:type="dxa"/>
          </w:tcMar>
        </w:tcPr>
        <w:p w14:paraId="5B6D2D29" w14:textId="77777777" w:rsidR="00A77992" w:rsidRPr="00981D66" w:rsidRDefault="00A77992" w:rsidP="00D855D4">
          <w:pPr>
            <w:pStyle w:val="Footer"/>
            <w:jc w:val="right"/>
          </w:pPr>
          <w:r w:rsidRPr="00981D66">
            <w:t xml:space="preserve">Page </w:t>
          </w:r>
          <w:r w:rsidRPr="00981D66">
            <w:fldChar w:fldCharType="begin"/>
          </w:r>
          <w:r w:rsidRPr="00981D66">
            <w:instrText xml:space="preserve"> PAGE  \* Arabic  \* MERGEFORMAT </w:instrText>
          </w:r>
          <w:r w:rsidRPr="00981D66">
            <w:fldChar w:fldCharType="separate"/>
          </w:r>
          <w:r w:rsidR="001977DC">
            <w:rPr>
              <w:noProof/>
            </w:rPr>
            <w:t>3</w:t>
          </w:r>
          <w:r w:rsidRPr="00981D66">
            <w:fldChar w:fldCharType="end"/>
          </w:r>
          <w:r w:rsidRPr="00981D66">
            <w:t xml:space="preserve"> of </w:t>
          </w:r>
          <w:fldSimple w:instr=" NUMPAGES  \* Arabic  \* MERGEFORMAT ">
            <w:r w:rsidR="001977DC">
              <w:rPr>
                <w:noProof/>
              </w:rPr>
              <w:t>142</w:t>
            </w:r>
          </w:fldSimple>
        </w:p>
      </w:tc>
    </w:tr>
  </w:tbl>
  <w:p w14:paraId="3BE4F43E" w14:textId="77777777" w:rsidR="00A77992" w:rsidRDefault="00A77992"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A77992" w:rsidRPr="00487162" w14:paraId="1E168AC7" w14:textId="77777777" w:rsidTr="00E45619">
      <w:trPr>
        <w:trHeight w:val="269"/>
      </w:trPr>
      <w:tc>
        <w:tcPr>
          <w:tcW w:w="4519" w:type="dxa"/>
          <w:tcBorders>
            <w:top w:val="single" w:sz="4" w:space="0" w:color="auto"/>
          </w:tcBorders>
          <w:tcMar>
            <w:top w:w="142" w:type="dxa"/>
            <w:bottom w:w="0" w:type="dxa"/>
          </w:tcMar>
        </w:tcPr>
        <w:p w14:paraId="4C8314EF" w14:textId="77777777" w:rsidR="00A77992" w:rsidRPr="00487162" w:rsidRDefault="00A77992" w:rsidP="00FE1DEE">
          <w:pPr>
            <w:pStyle w:val="Footer"/>
          </w:pPr>
          <w:r w:rsidRPr="00487162">
            <w:t>Document title, Part #, Section # - Section title</w:t>
          </w:r>
        </w:p>
        <w:p w14:paraId="5BC6F27C" w14:textId="77777777" w:rsidR="00A77992" w:rsidRPr="00487162" w:rsidRDefault="00A77992" w:rsidP="00FE1DEE">
          <w:pPr>
            <w:pStyle w:val="Footer"/>
          </w:pPr>
          <w:r w:rsidRPr="00487162">
            <w:t>V1.0 October 2010</w:t>
          </w:r>
        </w:p>
      </w:tc>
      <w:tc>
        <w:tcPr>
          <w:tcW w:w="4342" w:type="dxa"/>
          <w:tcBorders>
            <w:top w:val="single" w:sz="4" w:space="0" w:color="auto"/>
          </w:tcBorders>
          <w:tcMar>
            <w:top w:w="142" w:type="dxa"/>
            <w:bottom w:w="0" w:type="dxa"/>
          </w:tcMar>
        </w:tcPr>
        <w:p w14:paraId="7A515AD5" w14:textId="77777777" w:rsidR="00A77992" w:rsidRPr="00487162" w:rsidRDefault="00A77992"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r>
            <w:fldChar w:fldCharType="begin"/>
          </w:r>
          <w:r>
            <w:instrText xml:space="preserve"> NUMPAGES  </w:instrText>
          </w:r>
          <w:r>
            <w:fldChar w:fldCharType="separate"/>
          </w:r>
          <w:r>
            <w:rPr>
              <w:noProof/>
            </w:rPr>
            <w:t>3</w:t>
          </w:r>
          <w:r>
            <w:rPr>
              <w:noProof/>
            </w:rPr>
            <w:fldChar w:fldCharType="end"/>
          </w:r>
        </w:p>
      </w:tc>
    </w:tr>
  </w:tbl>
  <w:p w14:paraId="61D6AF43" w14:textId="77777777" w:rsidR="00A77992" w:rsidRDefault="00A7799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D89EE" w14:textId="77777777" w:rsidR="00A77992" w:rsidRDefault="00A77992"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A77992" w14:paraId="76A6FCE8" w14:textId="77777777" w:rsidTr="0010601F">
      <w:trPr>
        <w:trHeight w:val="108"/>
      </w:trPr>
      <w:tc>
        <w:tcPr>
          <w:tcW w:w="8875" w:type="dxa"/>
          <w:gridSpan w:val="2"/>
          <w:tcBorders>
            <w:bottom w:val="single" w:sz="4" w:space="0" w:color="auto"/>
          </w:tcBorders>
          <w:tcMar>
            <w:right w:w="284" w:type="dxa"/>
          </w:tcMar>
        </w:tcPr>
        <w:p w14:paraId="12FF258E" w14:textId="77777777" w:rsidR="00A77992" w:rsidRDefault="00A77992" w:rsidP="006E08B3">
          <w:pPr>
            <w:pStyle w:val="Heading3"/>
          </w:pPr>
          <w:r>
            <w:t>Copyright</w:t>
          </w:r>
        </w:p>
        <w:p w14:paraId="61506611" w14:textId="77777777" w:rsidR="00A77992" w:rsidRDefault="00A77992" w:rsidP="006E08B3">
          <w:r>
            <w:rPr>
              <w:rFonts w:cs="Arial"/>
            </w:rPr>
            <w:t>©</w:t>
          </w:r>
          <w:r>
            <w:t xml:space="preserve"> Commonwealth of Australia [add year]</w:t>
          </w:r>
        </w:p>
        <w:p w14:paraId="64687DD4" w14:textId="77777777" w:rsidR="00A77992" w:rsidRDefault="00A77992" w:rsidP="006E08B3"/>
        <w:p w14:paraId="17B01E30" w14:textId="77777777" w:rsidR="00A77992" w:rsidRDefault="00A77992"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14:paraId="5A82C7B1" w14:textId="77777777" w:rsidR="00A77992" w:rsidRDefault="00A77992" w:rsidP="006E08B3"/>
        <w:p w14:paraId="6633AA3D" w14:textId="77777777" w:rsidR="00A77992" w:rsidRDefault="00A77992" w:rsidP="006E08B3">
          <w:pPr>
            <w:pStyle w:val="Heading3"/>
          </w:pPr>
          <w:r>
            <w:t>Confidentiality</w:t>
          </w:r>
        </w:p>
        <w:p w14:paraId="6716D74D" w14:textId="77777777" w:rsidR="00A77992" w:rsidRDefault="00A77992"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14:paraId="724E8973" w14:textId="77777777" w:rsidR="00A77992" w:rsidRDefault="00A77992" w:rsidP="006E08B3"/>
        <w:p w14:paraId="49FBF0DF" w14:textId="77777777" w:rsidR="00A77992" w:rsidRDefault="00A77992" w:rsidP="006E08B3">
          <w:r>
            <w:t>For submission made by individuals, all personal details, other than your name, will be removed from your submission before it is published on the TGA’s Internet site.</w:t>
          </w:r>
        </w:p>
        <w:p w14:paraId="61546AA9" w14:textId="77777777" w:rsidR="00A77992" w:rsidRDefault="00A77992" w:rsidP="006E08B3"/>
        <w:p w14:paraId="7E8CB274" w14:textId="77777777" w:rsidR="00A77992" w:rsidRDefault="00A77992" w:rsidP="006E08B3">
          <w:r>
            <w:t>In addition, a list of parties making submissions will be published. If you do not wish to be identified with your submission you must specifically request this in the space provided ib the submission coversheet.</w:t>
          </w:r>
        </w:p>
      </w:tc>
    </w:tr>
    <w:tr w:rsidR="00A77992" w14:paraId="47D5167E" w14:textId="77777777" w:rsidTr="0010601F">
      <w:trPr>
        <w:trHeight w:val="417"/>
      </w:trPr>
      <w:tc>
        <w:tcPr>
          <w:tcW w:w="4519" w:type="dxa"/>
          <w:tcBorders>
            <w:top w:val="single" w:sz="4" w:space="0" w:color="auto"/>
          </w:tcBorders>
          <w:tcMar>
            <w:top w:w="142" w:type="dxa"/>
            <w:bottom w:w="0" w:type="dxa"/>
          </w:tcMar>
        </w:tcPr>
        <w:p w14:paraId="7F41385A" w14:textId="77777777" w:rsidR="00A77992" w:rsidRDefault="00A77992" w:rsidP="006E08B3">
          <w:r>
            <w:t>Document title, Part #, Section # - Section title</w:t>
          </w:r>
        </w:p>
        <w:p w14:paraId="041BE071" w14:textId="77777777" w:rsidR="00A77992" w:rsidRDefault="00A77992" w:rsidP="006E08B3">
          <w:r>
            <w:t>V1.0 October 2010</w:t>
          </w:r>
        </w:p>
      </w:tc>
      <w:tc>
        <w:tcPr>
          <w:tcW w:w="4356" w:type="dxa"/>
          <w:tcBorders>
            <w:top w:val="single" w:sz="4" w:space="0" w:color="auto"/>
          </w:tcBorders>
          <w:tcMar>
            <w:top w:w="142" w:type="dxa"/>
            <w:bottom w:w="0" w:type="dxa"/>
          </w:tcMar>
        </w:tcPr>
        <w:p w14:paraId="3C7DF963" w14:textId="77777777" w:rsidR="00A77992" w:rsidRDefault="00A77992"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r>
            <w:fldChar w:fldCharType="begin"/>
          </w:r>
          <w:r>
            <w:instrText xml:space="preserve"> NUMPAGES  \* Arabic </w:instrText>
          </w:r>
          <w:r>
            <w:fldChar w:fldCharType="separate"/>
          </w:r>
          <w:r>
            <w:rPr>
              <w:noProof/>
            </w:rPr>
            <w:t>3</w:t>
          </w:r>
          <w:r>
            <w:rPr>
              <w:noProof/>
            </w:rPr>
            <w:fldChar w:fldCharType="end"/>
          </w:r>
          <w:r>
            <w:t xml:space="preserve"> </w:t>
          </w:r>
        </w:p>
      </w:tc>
    </w:tr>
  </w:tbl>
  <w:p w14:paraId="54CCBD35" w14:textId="77777777" w:rsidR="00A77992" w:rsidRDefault="00A7799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FFB335C" w14:textId="77777777" w:rsidR="00A77992" w:rsidRDefault="00A77992" w:rsidP="00C40A36">
      <w:pPr>
        <w:spacing w:after="0"/>
      </w:pPr>
      <w:r>
        <w:separator/>
      </w:r>
    </w:p>
  </w:footnote>
  <w:footnote w:type="continuationSeparator" w:id="0">
    <w:p w14:paraId="043470E6" w14:textId="77777777" w:rsidR="00A77992" w:rsidRDefault="00A77992" w:rsidP="00C40A36">
      <w:pPr>
        <w:spacing w:after="0"/>
      </w:pPr>
      <w:r>
        <w:continuationSeparator/>
      </w:r>
    </w:p>
  </w:footnote>
  <w:footnote w:id="1">
    <w:p w14:paraId="02734699" w14:textId="1EFB0E51" w:rsidR="00A77992" w:rsidRPr="00CC74F8" w:rsidRDefault="00A77992" w:rsidP="00A17C52">
      <w:pPr>
        <w:pStyle w:val="FootnoteText"/>
      </w:pPr>
      <w:r>
        <w:rPr>
          <w:rStyle w:val="FootnoteReference"/>
        </w:rPr>
        <w:footnoteRef/>
      </w:r>
      <w:r>
        <w:t xml:space="preserve"> Uptodate.com database, Overview of pulmonary hypertension in adults, updated 31 August 2016, accessed 9 September 2016, </w:t>
      </w:r>
      <w:r w:rsidRPr="007C6D8D">
        <w:t>https://www.uptodate.com/contents/overview-of-pulmonary-hypertension-in-adults?source=see_link</w:t>
      </w:r>
    </w:p>
  </w:footnote>
  <w:footnote w:id="2">
    <w:p w14:paraId="1B680E76" w14:textId="77777777" w:rsidR="00A77992" w:rsidRPr="004B759E" w:rsidRDefault="00A77992" w:rsidP="00A17C52">
      <w:pPr>
        <w:pStyle w:val="FootnoteText"/>
        <w:rPr>
          <w:lang w:val="en-US"/>
        </w:rPr>
      </w:pPr>
      <w:r>
        <w:rPr>
          <w:rStyle w:val="FootnoteReference"/>
        </w:rPr>
        <w:footnoteRef/>
      </w:r>
      <w:r>
        <w:t xml:space="preserve"> Uptodate.com database, Persistent pulmonary hypertension of the newborn, last updated 19 April 2016, accessed 9 September 2016, </w:t>
      </w:r>
      <w:r w:rsidRPr="007C6D8D">
        <w:t>https://www.uptodate.com/contents/persistent-pulmonary-hypertension-of-the-newborn?source=search_result&amp;search=pulmonary+hypertension+treatment&amp;selectedTitle=7~150</w:t>
      </w:r>
      <w:r>
        <w:t xml:space="preserve"> </w:t>
      </w:r>
    </w:p>
  </w:footnote>
  <w:footnote w:id="3">
    <w:p w14:paraId="01FF852A" w14:textId="77777777" w:rsidR="00A77992" w:rsidRPr="001D72C9" w:rsidRDefault="00A77992" w:rsidP="00A17C52">
      <w:pPr>
        <w:pStyle w:val="FootnoteText"/>
        <w:rPr>
          <w:lang w:val="en-US"/>
        </w:rPr>
      </w:pPr>
      <w:r>
        <w:rPr>
          <w:rStyle w:val="FootnoteReference"/>
        </w:rPr>
        <w:footnoteRef/>
      </w:r>
      <w:r>
        <w:t xml:space="preserve"> </w:t>
      </w:r>
      <w:r w:rsidRPr="001D72C9">
        <w:t xml:space="preserve">Uptodate.com database, </w:t>
      </w:r>
      <w:r>
        <w:t>Treatment of pulmonary hypertension in adults</w:t>
      </w:r>
      <w:r w:rsidRPr="001D72C9">
        <w:t xml:space="preserve">, last updated </w:t>
      </w:r>
      <w:r>
        <w:t>13 September</w:t>
      </w:r>
      <w:r w:rsidRPr="001D72C9">
        <w:t xml:space="preserve"> 2016, accessed </w:t>
      </w:r>
      <w:r>
        <w:t>22</w:t>
      </w:r>
      <w:r w:rsidRPr="001D72C9">
        <w:t xml:space="preserve"> September 2016, </w:t>
      </w:r>
      <w:r w:rsidRPr="007C6D8D">
        <w:t>https://www.uptodate.com/contents/treatment-of-pulmonary-hypertension-in-adults?source=see_link#H4</w:t>
      </w:r>
      <w:r>
        <w:t xml:space="preserve"> </w:t>
      </w:r>
    </w:p>
  </w:footnote>
  <w:footnote w:id="4">
    <w:p w14:paraId="42A43A87" w14:textId="77777777" w:rsidR="00A77992" w:rsidRPr="004B759E" w:rsidRDefault="00A77992" w:rsidP="00A17C52">
      <w:pPr>
        <w:pStyle w:val="FootnoteText"/>
        <w:rPr>
          <w:lang w:val="en-US"/>
        </w:rPr>
      </w:pPr>
      <w:r>
        <w:rPr>
          <w:rStyle w:val="FootnoteReference"/>
        </w:rPr>
        <w:footnoteRef/>
      </w:r>
      <w:r>
        <w:t xml:space="preserve"> Uptodate.com database, Persistent pulmonary hypertension of the newborn, last updated 19 April 2016, accessed 9 September 2016, </w:t>
      </w:r>
      <w:r w:rsidRPr="007C6D8D">
        <w:t>https://www.uptodate.com/contents/persistent-pulmonary-hypertension-of-the-newborn?source=search_result&amp;search=pulmonary+hypertension+treatment&amp;selectedTitle=7~150</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818CF1" w14:textId="77777777" w:rsidR="00A77992" w:rsidRDefault="00A77992"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8CBDB" w14:textId="77777777" w:rsidR="00A77992" w:rsidRDefault="00A77992">
    <w:pPr>
      <w:rPr>
        <w:noProof/>
        <w:lang w:eastAsia="en-AU"/>
      </w:rPr>
    </w:pPr>
    <w:r w:rsidRPr="002D545C">
      <w:rPr>
        <w:noProof/>
        <w:lang w:eastAsia="en-AU"/>
      </w:rPr>
      <w:drawing>
        <wp:anchor distT="0" distB="0" distL="114300" distR="114300" simplePos="0" relativeHeight="251659264" behindDoc="1" locked="0" layoutInCell="1" allowOverlap="1" wp14:anchorId="65E58D66" wp14:editId="326E6496">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14:paraId="76617FF9" w14:textId="77777777" w:rsidR="00A77992" w:rsidRDefault="00A77992" w:rsidP="00593AD1">
    <w:pPr>
      <w:pStyle w:val="HeaderNoLine"/>
    </w:pPr>
    <w:r>
      <w:rPr>
        <w:noProof/>
        <w:lang w:eastAsia="en-AU"/>
      </w:rPr>
      <w:drawing>
        <wp:inline distT="0" distB="0" distL="0" distR="0" wp14:anchorId="5015A2DC" wp14:editId="6915BFFD">
          <wp:extent cx="5400675" cy="7639050"/>
          <wp:effectExtent l="0" t="0" r="9525" b="0"/>
          <wp:docPr id="1"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F859F" w14:textId="77777777" w:rsidR="00A77992" w:rsidRDefault="00A7799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A5406" w14:textId="77777777" w:rsidR="00A77992" w:rsidRDefault="00A77992">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4074C" w14:textId="77777777" w:rsidR="00A77992" w:rsidRDefault="00A77992">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7149E" w14:textId="77777777" w:rsidR="00A77992" w:rsidRDefault="00A77992">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7AA6E" w14:textId="77777777" w:rsidR="00A77992" w:rsidRDefault="00A77992"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F431A" w14:textId="77777777" w:rsidR="00A77992" w:rsidRDefault="00A77992" w:rsidP="006E08B3">
    <w:r>
      <w:t>Therapeutic Goods Administration</w:t>
    </w:r>
  </w:p>
  <w:p w14:paraId="4F9E1768" w14:textId="77777777" w:rsidR="00A77992" w:rsidRDefault="00A77992"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78C5AE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F6548E10"/>
    <w:lvl w:ilvl="0">
      <w:start w:val="1"/>
      <w:numFmt w:val="decimal"/>
      <w:lvlText w:val="%1."/>
      <w:lvlJc w:val="left"/>
      <w:pPr>
        <w:tabs>
          <w:tab w:val="num" w:pos="1492"/>
        </w:tabs>
        <w:ind w:left="1492" w:hanging="360"/>
      </w:pPr>
    </w:lvl>
  </w:abstractNum>
  <w:abstractNum w:abstractNumId="2">
    <w:nsid w:val="FFFFFF7D"/>
    <w:multiLevelType w:val="singleLevel"/>
    <w:tmpl w:val="3440DD5E"/>
    <w:lvl w:ilvl="0">
      <w:start w:val="1"/>
      <w:numFmt w:val="decimal"/>
      <w:lvlText w:val="%1."/>
      <w:lvlJc w:val="left"/>
      <w:pPr>
        <w:tabs>
          <w:tab w:val="num" w:pos="1209"/>
        </w:tabs>
        <w:ind w:left="1209" w:hanging="360"/>
      </w:pPr>
    </w:lvl>
  </w:abstractNum>
  <w:abstractNum w:abstractNumId="3">
    <w:nsid w:val="FFFFFF7E"/>
    <w:multiLevelType w:val="singleLevel"/>
    <w:tmpl w:val="E6F844C8"/>
    <w:lvl w:ilvl="0">
      <w:start w:val="1"/>
      <w:numFmt w:val="decimal"/>
      <w:lvlText w:val="%1."/>
      <w:lvlJc w:val="left"/>
      <w:pPr>
        <w:tabs>
          <w:tab w:val="num" w:pos="926"/>
        </w:tabs>
        <w:ind w:left="926" w:hanging="360"/>
      </w:pPr>
    </w:lvl>
  </w:abstractNum>
  <w:abstractNum w:abstractNumId="4">
    <w:nsid w:val="FFFFFF7F"/>
    <w:multiLevelType w:val="singleLevel"/>
    <w:tmpl w:val="EF10F454"/>
    <w:lvl w:ilvl="0">
      <w:start w:val="1"/>
      <w:numFmt w:val="decimal"/>
      <w:lvlText w:val="%1."/>
      <w:lvlJc w:val="left"/>
      <w:pPr>
        <w:tabs>
          <w:tab w:val="num" w:pos="643"/>
        </w:tabs>
        <w:ind w:left="643" w:hanging="360"/>
      </w:pPr>
    </w:lvl>
  </w:abstractNum>
  <w:abstractNum w:abstractNumId="5">
    <w:nsid w:val="FFFFFF80"/>
    <w:multiLevelType w:val="singleLevel"/>
    <w:tmpl w:val="AAD89592"/>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9ADA20A2"/>
    <w:lvl w:ilvl="0">
      <w:start w:val="1"/>
      <w:numFmt w:val="bullet"/>
      <w:lvlText w:val=""/>
      <w:lvlJc w:val="left"/>
      <w:pPr>
        <w:tabs>
          <w:tab w:val="num" w:pos="1209"/>
        </w:tabs>
        <w:ind w:left="1209" w:hanging="360"/>
      </w:pPr>
      <w:rPr>
        <w:rFonts w:ascii="Symbol" w:hAnsi="Symbol" w:hint="default"/>
      </w:rPr>
    </w:lvl>
  </w:abstractNum>
  <w:abstractNum w:abstractNumId="7">
    <w:nsid w:val="FFFFFF88"/>
    <w:multiLevelType w:val="singleLevel"/>
    <w:tmpl w:val="79D44CDC"/>
    <w:lvl w:ilvl="0">
      <w:start w:val="1"/>
      <w:numFmt w:val="decimal"/>
      <w:lvlText w:val="%1."/>
      <w:lvlJc w:val="left"/>
      <w:pPr>
        <w:tabs>
          <w:tab w:val="num" w:pos="360"/>
        </w:tabs>
        <w:ind w:left="360" w:hanging="360"/>
      </w:pPr>
    </w:lvl>
  </w:abstractNum>
  <w:abstractNum w:abstractNumId="8">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9">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6D0B1B75"/>
    <w:multiLevelType w:val="multilevel"/>
    <w:tmpl w:val="D3FAAFB8"/>
    <w:lvl w:ilvl="0">
      <w:start w:val="1"/>
      <w:numFmt w:val="decimal"/>
      <w:pStyle w:val="Heading2"/>
      <w:lvlText w:val="%1."/>
      <w:lvlJc w:val="left"/>
      <w:pPr>
        <w:tabs>
          <w:tab w:val="num" w:pos="1277"/>
        </w:tabs>
        <w:ind w:left="1277" w:hanging="567"/>
      </w:pPr>
      <w:rPr>
        <w:rFonts w:hint="default"/>
      </w:rPr>
    </w:lvl>
    <w:lvl w:ilvl="1">
      <w:start w:val="1"/>
      <w:numFmt w:val="decimal"/>
      <w:pStyle w:val="Heading3"/>
      <w:lvlText w:val="%1.%2."/>
      <w:lvlJc w:val="left"/>
      <w:pPr>
        <w:tabs>
          <w:tab w:val="num" w:pos="1022"/>
        </w:tabs>
        <w:ind w:left="1022"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lvlText w:val="%1.%2.%3.%4.%5."/>
      <w:lvlJc w:val="left"/>
      <w:pPr>
        <w:tabs>
          <w:tab w:val="num" w:pos="1701"/>
        </w:tabs>
        <w:ind w:left="1701" w:hanging="1417"/>
      </w:pPr>
      <w:rPr>
        <w:rFonts w:hint="default"/>
      </w:rPr>
    </w:lvl>
    <w:lvl w:ilvl="5">
      <w:start w:val="1"/>
      <w:numFmt w:val="decimal"/>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11">
    <w:nsid w:val="7E4D1CE1"/>
    <w:multiLevelType w:val="hybridMultilevel"/>
    <w:tmpl w:val="74E296A2"/>
    <w:lvl w:ilvl="0" w:tplc="DEEC9D22">
      <w:numFmt w:val="bullet"/>
      <w:lvlText w:val="•"/>
      <w:lvlJc w:val="left"/>
      <w:pPr>
        <w:ind w:left="720" w:hanging="360"/>
      </w:pPr>
      <w:rPr>
        <w:rFonts w:ascii="Cambria" w:eastAsia="Cambria" w:hAnsi="Cambria"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8"/>
  </w:num>
  <w:num w:numId="3">
    <w:abstractNumId w:val="9"/>
  </w:num>
  <w:num w:numId="4">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10"/>
  </w:num>
  <w:num w:numId="6">
    <w:abstractNumId w:val="10"/>
  </w:num>
  <w:num w:numId="7">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1"/>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8"/>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47">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0">
    <w:abstractNumId w:val="8"/>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51">
    <w:abstractNumId w:val="6"/>
  </w:num>
  <w:num w:numId="52">
    <w:abstractNumId w:val="5"/>
  </w:num>
  <w:num w:numId="53">
    <w:abstractNumId w:val="7"/>
  </w:num>
  <w:num w:numId="54">
    <w:abstractNumId w:val="4"/>
  </w:num>
  <w:num w:numId="55">
    <w:abstractNumId w:val="3"/>
  </w:num>
  <w:num w:numId="56">
    <w:abstractNumId w:val="2"/>
  </w:num>
  <w:num w:numId="57">
    <w:abstractNumId w:val="1"/>
  </w:num>
  <w:num w:numId="58">
    <w:abstractNumId w:val="0"/>
  </w:num>
  <w:numIdMacAtCleanup w:val="48"/>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ames Hillman">
    <w15:presenceInfo w15:providerId="Windows Live" w15:userId="3c9ea4507e25e1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629"/>
    <w:rsid w:val="00002031"/>
    <w:rsid w:val="00004734"/>
    <w:rsid w:val="00006B22"/>
    <w:rsid w:val="0001094C"/>
    <w:rsid w:val="0001276A"/>
    <w:rsid w:val="000246AE"/>
    <w:rsid w:val="00025C67"/>
    <w:rsid w:val="00040ACB"/>
    <w:rsid w:val="0005559E"/>
    <w:rsid w:val="00077775"/>
    <w:rsid w:val="00090471"/>
    <w:rsid w:val="00093207"/>
    <w:rsid w:val="00097B5E"/>
    <w:rsid w:val="000A1DC3"/>
    <w:rsid w:val="000A3AED"/>
    <w:rsid w:val="000A63AF"/>
    <w:rsid w:val="000B2E74"/>
    <w:rsid w:val="000B3532"/>
    <w:rsid w:val="000B3A75"/>
    <w:rsid w:val="000C690F"/>
    <w:rsid w:val="000D1295"/>
    <w:rsid w:val="000D391B"/>
    <w:rsid w:val="000D3D6D"/>
    <w:rsid w:val="000D4FC7"/>
    <w:rsid w:val="000D7384"/>
    <w:rsid w:val="000F02F9"/>
    <w:rsid w:val="000F1977"/>
    <w:rsid w:val="000F4869"/>
    <w:rsid w:val="000F5B42"/>
    <w:rsid w:val="000F6E6F"/>
    <w:rsid w:val="0010193C"/>
    <w:rsid w:val="00104613"/>
    <w:rsid w:val="0010601F"/>
    <w:rsid w:val="0010788A"/>
    <w:rsid w:val="00107A31"/>
    <w:rsid w:val="00110EA5"/>
    <w:rsid w:val="00112F56"/>
    <w:rsid w:val="00125318"/>
    <w:rsid w:val="001305A2"/>
    <w:rsid w:val="00133238"/>
    <w:rsid w:val="0014197B"/>
    <w:rsid w:val="00143A39"/>
    <w:rsid w:val="001447CD"/>
    <w:rsid w:val="001516B1"/>
    <w:rsid w:val="00153B34"/>
    <w:rsid w:val="00154EBB"/>
    <w:rsid w:val="00156316"/>
    <w:rsid w:val="00165389"/>
    <w:rsid w:val="0017078F"/>
    <w:rsid w:val="0017693F"/>
    <w:rsid w:val="0018110E"/>
    <w:rsid w:val="00181684"/>
    <w:rsid w:val="001843C6"/>
    <w:rsid w:val="001850E0"/>
    <w:rsid w:val="0019010A"/>
    <w:rsid w:val="001977DC"/>
    <w:rsid w:val="001A2158"/>
    <w:rsid w:val="001A4642"/>
    <w:rsid w:val="001A525F"/>
    <w:rsid w:val="001B09F9"/>
    <w:rsid w:val="001B3DE9"/>
    <w:rsid w:val="001B5D98"/>
    <w:rsid w:val="001B6448"/>
    <w:rsid w:val="001C49AB"/>
    <w:rsid w:val="001C657B"/>
    <w:rsid w:val="001E07CF"/>
    <w:rsid w:val="001E59F1"/>
    <w:rsid w:val="001F497A"/>
    <w:rsid w:val="001F49EB"/>
    <w:rsid w:val="001F6CBA"/>
    <w:rsid w:val="001F7896"/>
    <w:rsid w:val="00201D4E"/>
    <w:rsid w:val="00206160"/>
    <w:rsid w:val="002076C9"/>
    <w:rsid w:val="00214180"/>
    <w:rsid w:val="00216F8B"/>
    <w:rsid w:val="00220B8A"/>
    <w:rsid w:val="002257F3"/>
    <w:rsid w:val="00233456"/>
    <w:rsid w:val="0023381B"/>
    <w:rsid w:val="002339A5"/>
    <w:rsid w:val="00257848"/>
    <w:rsid w:val="002666AC"/>
    <w:rsid w:val="002672D4"/>
    <w:rsid w:val="00267B31"/>
    <w:rsid w:val="0027084A"/>
    <w:rsid w:val="00286434"/>
    <w:rsid w:val="00286C59"/>
    <w:rsid w:val="00287323"/>
    <w:rsid w:val="00291728"/>
    <w:rsid w:val="00292113"/>
    <w:rsid w:val="002942D1"/>
    <w:rsid w:val="0029501A"/>
    <w:rsid w:val="00295031"/>
    <w:rsid w:val="00296A55"/>
    <w:rsid w:val="002B1638"/>
    <w:rsid w:val="002C63ED"/>
    <w:rsid w:val="002D3988"/>
    <w:rsid w:val="002D545C"/>
    <w:rsid w:val="002D6161"/>
    <w:rsid w:val="002E1301"/>
    <w:rsid w:val="002E4C9A"/>
    <w:rsid w:val="002E7063"/>
    <w:rsid w:val="002F11F8"/>
    <w:rsid w:val="002F2695"/>
    <w:rsid w:val="002F3F56"/>
    <w:rsid w:val="002F44B5"/>
    <w:rsid w:val="002F6811"/>
    <w:rsid w:val="00311AC0"/>
    <w:rsid w:val="0032583B"/>
    <w:rsid w:val="00327883"/>
    <w:rsid w:val="00335504"/>
    <w:rsid w:val="003521E8"/>
    <w:rsid w:val="00353244"/>
    <w:rsid w:val="00360E60"/>
    <w:rsid w:val="003728F3"/>
    <w:rsid w:val="0037496E"/>
    <w:rsid w:val="0037623D"/>
    <w:rsid w:val="00386150"/>
    <w:rsid w:val="003874CE"/>
    <w:rsid w:val="00390900"/>
    <w:rsid w:val="00394221"/>
    <w:rsid w:val="00396C92"/>
    <w:rsid w:val="003A7F6C"/>
    <w:rsid w:val="003B1113"/>
    <w:rsid w:val="003B4D60"/>
    <w:rsid w:val="003B634F"/>
    <w:rsid w:val="003B7E39"/>
    <w:rsid w:val="003C58DC"/>
    <w:rsid w:val="003D0A3B"/>
    <w:rsid w:val="003D1E62"/>
    <w:rsid w:val="003E2486"/>
    <w:rsid w:val="003E3208"/>
    <w:rsid w:val="003F0B04"/>
    <w:rsid w:val="0040134E"/>
    <w:rsid w:val="0041354B"/>
    <w:rsid w:val="00415D59"/>
    <w:rsid w:val="00416FD1"/>
    <w:rsid w:val="0043797D"/>
    <w:rsid w:val="00440A2D"/>
    <w:rsid w:val="0044448A"/>
    <w:rsid w:val="00452785"/>
    <w:rsid w:val="004564A7"/>
    <w:rsid w:val="004617BF"/>
    <w:rsid w:val="00463658"/>
    <w:rsid w:val="004722CC"/>
    <w:rsid w:val="00482EC1"/>
    <w:rsid w:val="004936E4"/>
    <w:rsid w:val="00494E60"/>
    <w:rsid w:val="00497487"/>
    <w:rsid w:val="004A7E13"/>
    <w:rsid w:val="004B7B76"/>
    <w:rsid w:val="004C2DCA"/>
    <w:rsid w:val="004E3521"/>
    <w:rsid w:val="004E5DCA"/>
    <w:rsid w:val="004E7A99"/>
    <w:rsid w:val="004F0F38"/>
    <w:rsid w:val="004F4AF5"/>
    <w:rsid w:val="00501921"/>
    <w:rsid w:val="00530354"/>
    <w:rsid w:val="0053625B"/>
    <w:rsid w:val="00541629"/>
    <w:rsid w:val="005434C6"/>
    <w:rsid w:val="00543B39"/>
    <w:rsid w:val="00550096"/>
    <w:rsid w:val="00557FF9"/>
    <w:rsid w:val="00574078"/>
    <w:rsid w:val="00576378"/>
    <w:rsid w:val="00577945"/>
    <w:rsid w:val="00577E38"/>
    <w:rsid w:val="00585322"/>
    <w:rsid w:val="005857C6"/>
    <w:rsid w:val="00586F98"/>
    <w:rsid w:val="00592F6E"/>
    <w:rsid w:val="00593AD1"/>
    <w:rsid w:val="005A68B6"/>
    <w:rsid w:val="005B68B9"/>
    <w:rsid w:val="005C5570"/>
    <w:rsid w:val="005C79A4"/>
    <w:rsid w:val="005D5442"/>
    <w:rsid w:val="005E77C8"/>
    <w:rsid w:val="005F0912"/>
    <w:rsid w:val="005F754D"/>
    <w:rsid w:val="00603F32"/>
    <w:rsid w:val="006170F0"/>
    <w:rsid w:val="00620406"/>
    <w:rsid w:val="00622CD3"/>
    <w:rsid w:val="00632398"/>
    <w:rsid w:val="00640FC3"/>
    <w:rsid w:val="00642020"/>
    <w:rsid w:val="00646206"/>
    <w:rsid w:val="0065337B"/>
    <w:rsid w:val="0065419D"/>
    <w:rsid w:val="006604D8"/>
    <w:rsid w:val="0066478A"/>
    <w:rsid w:val="00664A5B"/>
    <w:rsid w:val="006763D2"/>
    <w:rsid w:val="00680C08"/>
    <w:rsid w:val="006931B1"/>
    <w:rsid w:val="006A15C0"/>
    <w:rsid w:val="006B4C50"/>
    <w:rsid w:val="006C130C"/>
    <w:rsid w:val="006C3E2A"/>
    <w:rsid w:val="006C642F"/>
    <w:rsid w:val="006D03E5"/>
    <w:rsid w:val="006D5D3E"/>
    <w:rsid w:val="006E0293"/>
    <w:rsid w:val="006E08B3"/>
    <w:rsid w:val="006F17AC"/>
    <w:rsid w:val="006F1D37"/>
    <w:rsid w:val="006F26D0"/>
    <w:rsid w:val="006F2796"/>
    <w:rsid w:val="006F572E"/>
    <w:rsid w:val="007046D6"/>
    <w:rsid w:val="00705DB0"/>
    <w:rsid w:val="007124B8"/>
    <w:rsid w:val="00722B57"/>
    <w:rsid w:val="007349D7"/>
    <w:rsid w:val="0074253D"/>
    <w:rsid w:val="0074429B"/>
    <w:rsid w:val="00745627"/>
    <w:rsid w:val="007513B4"/>
    <w:rsid w:val="00751D84"/>
    <w:rsid w:val="007615BC"/>
    <w:rsid w:val="00762F05"/>
    <w:rsid w:val="007652FF"/>
    <w:rsid w:val="00770EF1"/>
    <w:rsid w:val="00773EF7"/>
    <w:rsid w:val="00774E1D"/>
    <w:rsid w:val="0077675A"/>
    <w:rsid w:val="00780355"/>
    <w:rsid w:val="00785721"/>
    <w:rsid w:val="00793A59"/>
    <w:rsid w:val="007B05D8"/>
    <w:rsid w:val="007B1CC3"/>
    <w:rsid w:val="007B6E9F"/>
    <w:rsid w:val="007C1216"/>
    <w:rsid w:val="007C1AF7"/>
    <w:rsid w:val="007C6D8D"/>
    <w:rsid w:val="007E6E27"/>
    <w:rsid w:val="007F3E00"/>
    <w:rsid w:val="007F6EDD"/>
    <w:rsid w:val="00805D27"/>
    <w:rsid w:val="00821776"/>
    <w:rsid w:val="00825200"/>
    <w:rsid w:val="008321F5"/>
    <w:rsid w:val="00832369"/>
    <w:rsid w:val="00834660"/>
    <w:rsid w:val="00836BC2"/>
    <w:rsid w:val="008408E4"/>
    <w:rsid w:val="008414A0"/>
    <w:rsid w:val="0084186E"/>
    <w:rsid w:val="0085641B"/>
    <w:rsid w:val="00857136"/>
    <w:rsid w:val="008806DA"/>
    <w:rsid w:val="00886D15"/>
    <w:rsid w:val="00887DD8"/>
    <w:rsid w:val="00896018"/>
    <w:rsid w:val="008960DD"/>
    <w:rsid w:val="0089635C"/>
    <w:rsid w:val="008A2B9D"/>
    <w:rsid w:val="008A5E0B"/>
    <w:rsid w:val="008A6D59"/>
    <w:rsid w:val="008B4B03"/>
    <w:rsid w:val="008B596F"/>
    <w:rsid w:val="008B5A3E"/>
    <w:rsid w:val="008C159F"/>
    <w:rsid w:val="008C1623"/>
    <w:rsid w:val="008C1850"/>
    <w:rsid w:val="008C51A9"/>
    <w:rsid w:val="008D770F"/>
    <w:rsid w:val="008E37BD"/>
    <w:rsid w:val="008E7846"/>
    <w:rsid w:val="008F1103"/>
    <w:rsid w:val="008F1C68"/>
    <w:rsid w:val="008F1CCC"/>
    <w:rsid w:val="008F2967"/>
    <w:rsid w:val="008F6943"/>
    <w:rsid w:val="008F69AF"/>
    <w:rsid w:val="00902A21"/>
    <w:rsid w:val="00906445"/>
    <w:rsid w:val="00914059"/>
    <w:rsid w:val="00920330"/>
    <w:rsid w:val="009219D7"/>
    <w:rsid w:val="00922D53"/>
    <w:rsid w:val="00923B70"/>
    <w:rsid w:val="00924482"/>
    <w:rsid w:val="00930237"/>
    <w:rsid w:val="009438E8"/>
    <w:rsid w:val="0094614A"/>
    <w:rsid w:val="00946EA5"/>
    <w:rsid w:val="0095160F"/>
    <w:rsid w:val="00954831"/>
    <w:rsid w:val="00963C08"/>
    <w:rsid w:val="009711D5"/>
    <w:rsid w:val="00981D66"/>
    <w:rsid w:val="00981FD8"/>
    <w:rsid w:val="0098585A"/>
    <w:rsid w:val="0098669D"/>
    <w:rsid w:val="00994C95"/>
    <w:rsid w:val="009A4CED"/>
    <w:rsid w:val="009A690D"/>
    <w:rsid w:val="009B1D12"/>
    <w:rsid w:val="009B416B"/>
    <w:rsid w:val="009B4988"/>
    <w:rsid w:val="009C4BD5"/>
    <w:rsid w:val="009C6335"/>
    <w:rsid w:val="009D7B77"/>
    <w:rsid w:val="009E0BB0"/>
    <w:rsid w:val="009E3FBB"/>
    <w:rsid w:val="009E4492"/>
    <w:rsid w:val="009F5B88"/>
    <w:rsid w:val="00A05630"/>
    <w:rsid w:val="00A102E4"/>
    <w:rsid w:val="00A12C42"/>
    <w:rsid w:val="00A14DF7"/>
    <w:rsid w:val="00A17C52"/>
    <w:rsid w:val="00A235D9"/>
    <w:rsid w:val="00A2444A"/>
    <w:rsid w:val="00A2508E"/>
    <w:rsid w:val="00A3246D"/>
    <w:rsid w:val="00A36FA7"/>
    <w:rsid w:val="00A41EB6"/>
    <w:rsid w:val="00A46B08"/>
    <w:rsid w:val="00A475B7"/>
    <w:rsid w:val="00A47AF7"/>
    <w:rsid w:val="00A47C3E"/>
    <w:rsid w:val="00A50226"/>
    <w:rsid w:val="00A5161C"/>
    <w:rsid w:val="00A60BAD"/>
    <w:rsid w:val="00A77992"/>
    <w:rsid w:val="00A964D1"/>
    <w:rsid w:val="00AA0ED0"/>
    <w:rsid w:val="00AA3499"/>
    <w:rsid w:val="00AC1FBD"/>
    <w:rsid w:val="00AC2B40"/>
    <w:rsid w:val="00AC2BB2"/>
    <w:rsid w:val="00AC2C3C"/>
    <w:rsid w:val="00AC512D"/>
    <w:rsid w:val="00AD43FD"/>
    <w:rsid w:val="00AE01C2"/>
    <w:rsid w:val="00AE65EB"/>
    <w:rsid w:val="00AE67A7"/>
    <w:rsid w:val="00AF1D94"/>
    <w:rsid w:val="00AF60C5"/>
    <w:rsid w:val="00B009C6"/>
    <w:rsid w:val="00B01548"/>
    <w:rsid w:val="00B02208"/>
    <w:rsid w:val="00B1425E"/>
    <w:rsid w:val="00B21D29"/>
    <w:rsid w:val="00B25034"/>
    <w:rsid w:val="00B275F4"/>
    <w:rsid w:val="00B33588"/>
    <w:rsid w:val="00B33863"/>
    <w:rsid w:val="00B342FA"/>
    <w:rsid w:val="00B3567E"/>
    <w:rsid w:val="00B37D17"/>
    <w:rsid w:val="00B4175E"/>
    <w:rsid w:val="00B452CE"/>
    <w:rsid w:val="00B54C25"/>
    <w:rsid w:val="00B56A0E"/>
    <w:rsid w:val="00B76B91"/>
    <w:rsid w:val="00B77EB1"/>
    <w:rsid w:val="00B811C6"/>
    <w:rsid w:val="00B85A87"/>
    <w:rsid w:val="00B92E08"/>
    <w:rsid w:val="00B96EBE"/>
    <w:rsid w:val="00BC622A"/>
    <w:rsid w:val="00BD45E3"/>
    <w:rsid w:val="00BE0A78"/>
    <w:rsid w:val="00BE32A6"/>
    <w:rsid w:val="00BE6252"/>
    <w:rsid w:val="00BE79F0"/>
    <w:rsid w:val="00BF046D"/>
    <w:rsid w:val="00BF1190"/>
    <w:rsid w:val="00BF5D04"/>
    <w:rsid w:val="00C1164D"/>
    <w:rsid w:val="00C137CE"/>
    <w:rsid w:val="00C16861"/>
    <w:rsid w:val="00C22678"/>
    <w:rsid w:val="00C404A6"/>
    <w:rsid w:val="00C40A36"/>
    <w:rsid w:val="00C44419"/>
    <w:rsid w:val="00C45E7B"/>
    <w:rsid w:val="00C4625F"/>
    <w:rsid w:val="00C471B1"/>
    <w:rsid w:val="00C53338"/>
    <w:rsid w:val="00C618F7"/>
    <w:rsid w:val="00C6316B"/>
    <w:rsid w:val="00C634A9"/>
    <w:rsid w:val="00C64586"/>
    <w:rsid w:val="00C70D53"/>
    <w:rsid w:val="00C73D0B"/>
    <w:rsid w:val="00C772FF"/>
    <w:rsid w:val="00C801AF"/>
    <w:rsid w:val="00C80256"/>
    <w:rsid w:val="00C811C0"/>
    <w:rsid w:val="00C93CED"/>
    <w:rsid w:val="00CB6BC0"/>
    <w:rsid w:val="00CC1B7C"/>
    <w:rsid w:val="00CC727F"/>
    <w:rsid w:val="00CE4BFB"/>
    <w:rsid w:val="00CF15C3"/>
    <w:rsid w:val="00CF2B6F"/>
    <w:rsid w:val="00CF58B6"/>
    <w:rsid w:val="00CF6063"/>
    <w:rsid w:val="00D017ED"/>
    <w:rsid w:val="00D040D3"/>
    <w:rsid w:val="00D04C65"/>
    <w:rsid w:val="00D224FE"/>
    <w:rsid w:val="00D42CD8"/>
    <w:rsid w:val="00D44CEE"/>
    <w:rsid w:val="00D517F6"/>
    <w:rsid w:val="00D53A31"/>
    <w:rsid w:val="00D6493E"/>
    <w:rsid w:val="00D7301E"/>
    <w:rsid w:val="00D735B8"/>
    <w:rsid w:val="00D80DA1"/>
    <w:rsid w:val="00D81D7C"/>
    <w:rsid w:val="00D83AE1"/>
    <w:rsid w:val="00D855D4"/>
    <w:rsid w:val="00D87961"/>
    <w:rsid w:val="00D93466"/>
    <w:rsid w:val="00DA1124"/>
    <w:rsid w:val="00DA470C"/>
    <w:rsid w:val="00DA5EBB"/>
    <w:rsid w:val="00DA5EF7"/>
    <w:rsid w:val="00DB75B7"/>
    <w:rsid w:val="00DC156B"/>
    <w:rsid w:val="00DC6E02"/>
    <w:rsid w:val="00DE02AE"/>
    <w:rsid w:val="00DF1D7F"/>
    <w:rsid w:val="00DF4BE4"/>
    <w:rsid w:val="00E02FB4"/>
    <w:rsid w:val="00E05703"/>
    <w:rsid w:val="00E07F15"/>
    <w:rsid w:val="00E20571"/>
    <w:rsid w:val="00E235F7"/>
    <w:rsid w:val="00E23659"/>
    <w:rsid w:val="00E239D4"/>
    <w:rsid w:val="00E26130"/>
    <w:rsid w:val="00E26B00"/>
    <w:rsid w:val="00E2741C"/>
    <w:rsid w:val="00E352DD"/>
    <w:rsid w:val="00E3704C"/>
    <w:rsid w:val="00E40B22"/>
    <w:rsid w:val="00E45619"/>
    <w:rsid w:val="00E4588F"/>
    <w:rsid w:val="00E46DA3"/>
    <w:rsid w:val="00E51BB1"/>
    <w:rsid w:val="00E624A5"/>
    <w:rsid w:val="00E7342C"/>
    <w:rsid w:val="00E7344E"/>
    <w:rsid w:val="00E737B7"/>
    <w:rsid w:val="00E767B4"/>
    <w:rsid w:val="00E77015"/>
    <w:rsid w:val="00E77B22"/>
    <w:rsid w:val="00E82765"/>
    <w:rsid w:val="00E936E3"/>
    <w:rsid w:val="00E979F4"/>
    <w:rsid w:val="00E97B2B"/>
    <w:rsid w:val="00EA7ACF"/>
    <w:rsid w:val="00EB0798"/>
    <w:rsid w:val="00EB40AD"/>
    <w:rsid w:val="00EB586E"/>
    <w:rsid w:val="00EB5FC8"/>
    <w:rsid w:val="00ED3CAD"/>
    <w:rsid w:val="00ED5A41"/>
    <w:rsid w:val="00EE1DE8"/>
    <w:rsid w:val="00EE37DE"/>
    <w:rsid w:val="00F033EC"/>
    <w:rsid w:val="00F04F68"/>
    <w:rsid w:val="00F12670"/>
    <w:rsid w:val="00F14B27"/>
    <w:rsid w:val="00F27B3B"/>
    <w:rsid w:val="00F3148D"/>
    <w:rsid w:val="00F325C5"/>
    <w:rsid w:val="00F32FE0"/>
    <w:rsid w:val="00F35298"/>
    <w:rsid w:val="00F35FCD"/>
    <w:rsid w:val="00F42144"/>
    <w:rsid w:val="00F467FE"/>
    <w:rsid w:val="00F47333"/>
    <w:rsid w:val="00F47E37"/>
    <w:rsid w:val="00F53C07"/>
    <w:rsid w:val="00F54B65"/>
    <w:rsid w:val="00F562C1"/>
    <w:rsid w:val="00F60031"/>
    <w:rsid w:val="00F640B6"/>
    <w:rsid w:val="00F72821"/>
    <w:rsid w:val="00F80E40"/>
    <w:rsid w:val="00F848D9"/>
    <w:rsid w:val="00F85206"/>
    <w:rsid w:val="00FA2A85"/>
    <w:rsid w:val="00FA5B82"/>
    <w:rsid w:val="00FA639E"/>
    <w:rsid w:val="00FC25E4"/>
    <w:rsid w:val="00FC4EF7"/>
    <w:rsid w:val="00FD349C"/>
    <w:rsid w:val="00FE1DEE"/>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67B77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17C5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tabs>
        <w:tab w:val="clear" w:pos="1277"/>
        <w:tab w:val="num" w:pos="567"/>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17C52"/>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ListParagraph">
    <w:name w:val="List Paragraph"/>
    <w:basedOn w:val="Normal"/>
    <w:uiPriority w:val="34"/>
    <w:rsid w:val="00825200"/>
    <w:pPr>
      <w:ind w:left="720"/>
      <w:contextualSpacing/>
    </w:pPr>
  </w:style>
  <w:style w:type="paragraph" w:styleId="FootnoteText">
    <w:name w:val="footnote text"/>
    <w:basedOn w:val="Normal"/>
    <w:link w:val="FootnoteTextChar"/>
    <w:uiPriority w:val="99"/>
    <w:unhideWhenUsed/>
    <w:rsid w:val="00825200"/>
    <w:pPr>
      <w:spacing w:before="0" w:after="0" w:line="240" w:lineRule="auto"/>
    </w:pPr>
    <w:rPr>
      <w:sz w:val="20"/>
      <w:szCs w:val="20"/>
    </w:rPr>
  </w:style>
  <w:style w:type="character" w:customStyle="1" w:styleId="FootnoteTextChar">
    <w:name w:val="Footnote Text Char"/>
    <w:basedOn w:val="DefaultParagraphFont"/>
    <w:link w:val="FootnoteText"/>
    <w:uiPriority w:val="99"/>
    <w:rsid w:val="00825200"/>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25200"/>
    <w:rPr>
      <w:vertAlign w:val="superscript"/>
    </w:rPr>
  </w:style>
  <w:style w:type="paragraph" w:customStyle="1" w:styleId="Comment1">
    <w:name w:val="Comment 1"/>
    <w:basedOn w:val="Normal"/>
    <w:next w:val="Normal"/>
    <w:qFormat/>
    <w:rsid w:val="0044448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DocumentMap">
    <w:name w:val="Document Map"/>
    <w:basedOn w:val="Normal"/>
    <w:link w:val="DocumentMapChar"/>
    <w:uiPriority w:val="99"/>
    <w:semiHidden/>
    <w:unhideWhenUsed/>
    <w:rsid w:val="00D42CD8"/>
    <w:pPr>
      <w:spacing w:before="0"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D42CD8"/>
    <w:rPr>
      <w:rFonts w:ascii="Times New Roman" w:eastAsia="Cambria"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9"/>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nhideWhenUsed="0"/>
    <w:lsdException w:name="footer" w:semiHidden="0" w:unhideWhenUsed="0"/>
    <w:lsdException w:name="caption" w:semiHidden="0" w:uiPriority="35" w:unhideWhenUsed="0"/>
    <w:lsdException w:name="List Bullet" w:semiHidden="0" w:unhideWhenUsed="0" w:qFormat="1"/>
    <w:lsdException w:name="List Bullet 2" w:semiHidden="0" w:unhideWhenUsed="0" w:qFormat="1"/>
    <w:lsdException w:name="List Bullet 3" w:qFormat="1"/>
    <w:lsdException w:name="Title" w:semiHidden="0" w:uiPriority="10" w:unhideWhenUsed="0"/>
    <w:lsdException w:name="Default Paragraph Font" w:uiPriority="1"/>
    <w:lsdException w:name="Subtitle" w:semiHidden="0" w:uiPriority="11" w:unhideWhenUsed="0"/>
    <w:lsdException w:name="Date" w:semiHidden="0" w:unhideWhenUsed="0"/>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A17C5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6"/>
      </w:numPr>
      <w:tabs>
        <w:tab w:val="clear" w:pos="1277"/>
        <w:tab w:val="num" w:pos="567"/>
      </w:tabs>
      <w:adjustRightInd w:val="0"/>
      <w:snapToGrid w:val="0"/>
      <w:spacing w:before="480"/>
      <w:ind w:left="567"/>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DC156B"/>
    <w:pPr>
      <w:keepNext/>
      <w:keepLines/>
      <w:numPr>
        <w:ilvl w:val="1"/>
        <w:numId w:val="6"/>
      </w:numPr>
      <w:adjustRightInd w:val="0"/>
      <w:snapToGrid w:val="0"/>
      <w:spacing w:before="400" w:line="220" w:lineRule="atLeast"/>
      <w:ind w:left="907" w:hanging="794"/>
      <w:outlineLvl w:val="2"/>
    </w:pPr>
    <w:rPr>
      <w:rFonts w:ascii="Arial" w:eastAsia="Times New Roman" w:hAnsi="Arial"/>
      <w:b/>
      <w:bCs/>
      <w:sz w:val="26"/>
      <w:szCs w:val="21"/>
      <w:lang w:eastAsia="ja-JP"/>
    </w:rPr>
  </w:style>
  <w:style w:type="paragraph" w:styleId="Heading4">
    <w:name w:val="heading 4"/>
    <w:basedOn w:val="Normal"/>
    <w:next w:val="Normal"/>
    <w:link w:val="Heading4Char"/>
    <w:qFormat/>
    <w:rsid w:val="008D770F"/>
    <w:pPr>
      <w:keepNext/>
      <w:numPr>
        <w:ilvl w:val="2"/>
        <w:numId w:val="6"/>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906445"/>
    <w:pPr>
      <w:keepNext/>
      <w:keepLines/>
      <w:numPr>
        <w:ilvl w:val="3"/>
        <w:numId w:val="6"/>
      </w:numPr>
      <w:spacing w:line="220" w:lineRule="atLeast"/>
      <w:ind w:left="1304" w:hanging="1077"/>
      <w:outlineLvl w:val="4"/>
    </w:pPr>
    <w:rPr>
      <w:rFonts w:eastAsia="Times New Roman"/>
      <w:b/>
      <w:bCs/>
      <w:i/>
      <w:color w:val="001523"/>
      <w:szCs w:val="21"/>
    </w:rPr>
  </w:style>
  <w:style w:type="paragraph" w:styleId="Heading6">
    <w:name w:val="heading 6"/>
    <w:basedOn w:val="Normal"/>
    <w:next w:val="Normal"/>
    <w:link w:val="Heading6Char"/>
    <w:qFormat/>
    <w:rsid w:val="007F3E00"/>
    <w:pPr>
      <w:keepNext/>
      <w:spacing w:line="220" w:lineRule="atLeast"/>
      <w:ind w:left="284"/>
      <w:outlineLvl w:val="5"/>
    </w:pPr>
    <w:rPr>
      <w:rFonts w:eastAsia="Times New Roman"/>
      <w:bCs/>
      <w:i/>
      <w:szCs w:val="21"/>
    </w:rPr>
  </w:style>
  <w:style w:type="paragraph" w:styleId="Heading7">
    <w:name w:val="heading 7"/>
    <w:basedOn w:val="Normal"/>
    <w:next w:val="Normal"/>
    <w:link w:val="Heading7Char"/>
    <w:uiPriority w:val="9"/>
    <w:rsid w:val="007F3E00"/>
    <w:pPr>
      <w:keepNext/>
      <w:spacing w:after="60" w:line="180" w:lineRule="atLeast"/>
      <w:ind w:left="397"/>
      <w:outlineLvl w:val="6"/>
    </w:pPr>
    <w:rPr>
      <w:rFonts w:eastAsia="Times New Roman"/>
      <w:bCs/>
      <w:sz w:val="1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DC156B"/>
    <w:rPr>
      <w:rFonts w:ascii="Arial" w:eastAsia="Times New Roman" w:hAnsi="Arial" w:cs="Times New Roman"/>
      <w:b/>
      <w:bCs/>
      <w:sz w:val="26"/>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iPriority w:val="99"/>
    <w:semiHidden/>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148D"/>
    <w:rPr>
      <w:rFonts w:ascii="Tahoma" w:hAnsi="Tahoma" w:cs="Tahoma"/>
      <w:sz w:val="16"/>
      <w:szCs w:val="16"/>
    </w:rPr>
  </w:style>
  <w:style w:type="paragraph" w:styleId="Caption">
    <w:name w:val="caption"/>
    <w:basedOn w:val="Normal"/>
    <w:next w:val="Normal"/>
    <w:uiPriority w:val="35"/>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uiPriority w:val="99"/>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A17C52"/>
    <w:pPr>
      <w:keepNext/>
      <w:keepLines/>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iPriority w:val="99"/>
    <w:semiHidden/>
    <w:unhideWhenUsed/>
    <w:rsid w:val="00F3148D"/>
    <w:rPr>
      <w:color w:val="800080"/>
      <w:u w:val="single"/>
    </w:rPr>
  </w:style>
  <w:style w:type="paragraph" w:styleId="Footer">
    <w:name w:val="footer"/>
    <w:basedOn w:val="Normal"/>
    <w:link w:val="FooterChar"/>
    <w:uiPriority w:val="99"/>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uiPriority w:val="99"/>
    <w:rsid w:val="003B4D60"/>
    <w:rPr>
      <w:rFonts w:ascii="Cambria" w:eastAsia="Cambria" w:hAnsi="Cambria" w:cs="Times New Roman"/>
      <w:sz w:val="17"/>
    </w:rPr>
  </w:style>
  <w:style w:type="paragraph" w:styleId="Header">
    <w:name w:val="header"/>
    <w:basedOn w:val="Normal"/>
    <w:link w:val="HeaderChar"/>
    <w:uiPriority w:val="99"/>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uiPriority w:val="99"/>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906445"/>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7F3E00"/>
    <w:rPr>
      <w:rFonts w:ascii="Cambria" w:eastAsia="Times New Roman" w:hAnsi="Cambria" w:cs="Times New Roman"/>
      <w:bCs/>
      <w:i/>
      <w:szCs w:val="21"/>
    </w:rPr>
  </w:style>
  <w:style w:type="character" w:customStyle="1" w:styleId="Heading7Char">
    <w:name w:val="Heading 7 Char"/>
    <w:basedOn w:val="DefaultParagraphFont"/>
    <w:link w:val="Heading7"/>
    <w:uiPriority w:val="9"/>
    <w:rsid w:val="007F3E00"/>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99"/>
    <w:qFormat/>
    <w:rsid w:val="004C2DCA"/>
    <w:pPr>
      <w:numPr>
        <w:numId w:val="3"/>
      </w:numPr>
    </w:pPr>
  </w:style>
  <w:style w:type="paragraph" w:styleId="ListBullet2">
    <w:name w:val="List Bullet 2"/>
    <w:basedOn w:val="Normal"/>
    <w:uiPriority w:val="99"/>
    <w:qFormat/>
    <w:rsid w:val="004C2DCA"/>
    <w:pPr>
      <w:numPr>
        <w:ilvl w:val="1"/>
        <w:numId w:val="3"/>
      </w:numPr>
    </w:pPr>
  </w:style>
  <w:style w:type="paragraph" w:styleId="ListBullet3">
    <w:name w:val="List Bullet 3"/>
    <w:basedOn w:val="Normal"/>
    <w:uiPriority w:val="99"/>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8A5E0B"/>
    <w:pPr>
      <w:numPr>
        <w:ilvl w:val="1"/>
      </w:numPr>
      <w:spacing w:after="360"/>
      <w:ind w:left="170"/>
    </w:pPr>
    <w:rPr>
      <w:rFonts w:ascii="Arial" w:eastAsia="Times New Roman" w:hAnsi="Arial"/>
      <w:bCs/>
      <w:iCs/>
      <w:sz w:val="40"/>
      <w:szCs w:val="24"/>
    </w:rPr>
  </w:style>
  <w:style w:type="character" w:customStyle="1" w:styleId="SubtitleChar">
    <w:name w:val="Subtitle Char"/>
    <w:basedOn w:val="DefaultParagraphFont"/>
    <w:link w:val="Subtitle"/>
    <w:uiPriority w:val="11"/>
    <w:rsid w:val="00F3148D"/>
    <w:rPr>
      <w:rFonts w:ascii="Arial" w:eastAsia="Times New Roman" w:hAnsi="Arial" w:cs="Times New Roman"/>
      <w:bCs/>
      <w:iCs/>
      <w:sz w:val="40"/>
      <w:szCs w:val="24"/>
    </w:rPr>
  </w:style>
  <w:style w:type="paragraph" w:customStyle="1" w:styleId="TableDescription">
    <w:name w:val="Table Description"/>
    <w:basedOn w:val="FigureDescription"/>
    <w:rsid w:val="003D1E62"/>
    <w:pPr>
      <w:spacing w:after="240"/>
    </w:pPr>
    <w:rPr>
      <w:szCs w:val="19"/>
    </w:rPr>
  </w:style>
  <w:style w:type="table" w:styleId="TableGrid">
    <w:name w:val="Table Grid"/>
    <w:basedOn w:val="TableNormal"/>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F3148D"/>
    <w:pPr>
      <w:spacing w:after="480" w:line="240" w:lineRule="auto"/>
      <w:contextualSpacing/>
    </w:pPr>
    <w:rPr>
      <w:rFonts w:ascii="Arial" w:eastAsia="Times New Roman" w:hAnsi="Arial" w:cs="Times New Roman"/>
      <w:spacing w:val="5"/>
      <w:kern w:val="28"/>
      <w:sz w:val="52"/>
      <w:szCs w:val="52"/>
    </w:rPr>
  </w:style>
  <w:style w:type="character" w:customStyle="1" w:styleId="TitleChar">
    <w:name w:val="Title Char"/>
    <w:basedOn w:val="DefaultParagraphFont"/>
    <w:link w:val="Title"/>
    <w:uiPriority w:val="10"/>
    <w:rsid w:val="00F3148D"/>
    <w:rPr>
      <w:rFonts w:ascii="Arial" w:eastAsia="Times New Roman" w:hAnsi="Arial" w:cs="Times New Roman"/>
      <w:spacing w:val="5"/>
      <w:kern w:val="28"/>
      <w:sz w:val="52"/>
      <w:szCs w:val="52"/>
    </w:rPr>
  </w:style>
  <w:style w:type="paragraph" w:styleId="TOC1">
    <w:name w:val="toc 1"/>
    <w:basedOn w:val="Normal"/>
    <w:next w:val="Normal"/>
    <w:uiPriority w:val="39"/>
    <w:semiHidden/>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iPriority w:val="39"/>
    <w:semiHidden/>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C137CE"/>
    <w:pPr>
      <w:ind w:left="1134" w:hanging="1134"/>
    </w:pPr>
  </w:style>
  <w:style w:type="character" w:styleId="CommentReference">
    <w:name w:val="annotation reference"/>
    <w:basedOn w:val="DefaultParagraphFont"/>
    <w:uiPriority w:val="99"/>
    <w:semiHidden/>
    <w:unhideWhenUsed/>
    <w:rsid w:val="001C657B"/>
    <w:rPr>
      <w:sz w:val="16"/>
      <w:szCs w:val="16"/>
    </w:rPr>
  </w:style>
  <w:style w:type="paragraph" w:styleId="CommentText">
    <w:name w:val="annotation text"/>
    <w:basedOn w:val="Normal"/>
    <w:link w:val="CommentTextChar"/>
    <w:uiPriority w:val="99"/>
    <w:semiHidden/>
    <w:unhideWhenUsed/>
    <w:rsid w:val="001C657B"/>
    <w:pPr>
      <w:spacing w:line="240" w:lineRule="auto"/>
    </w:pPr>
    <w:rPr>
      <w:sz w:val="20"/>
      <w:szCs w:val="20"/>
    </w:rPr>
  </w:style>
  <w:style w:type="character" w:customStyle="1" w:styleId="CommentTextChar">
    <w:name w:val="Comment Text Char"/>
    <w:basedOn w:val="DefaultParagraphFont"/>
    <w:link w:val="CommentText"/>
    <w:uiPriority w:val="99"/>
    <w:semiHidden/>
    <w:rsid w:val="001C657B"/>
    <w:rPr>
      <w:rFonts w:ascii="Cambria" w:eastAsia="Cambria" w:hAnsi="Cambria" w:cs="Times New Roman"/>
      <w:sz w:val="20"/>
      <w:szCs w:val="20"/>
    </w:rPr>
  </w:style>
  <w:style w:type="paragraph" w:styleId="CommentSubject">
    <w:name w:val="annotation subject"/>
    <w:basedOn w:val="CommentText"/>
    <w:next w:val="CommentText"/>
    <w:link w:val="CommentSubjectChar"/>
    <w:uiPriority w:val="99"/>
    <w:semiHidden/>
    <w:unhideWhenUsed/>
    <w:rsid w:val="001C657B"/>
    <w:rPr>
      <w:b/>
      <w:bCs/>
    </w:rPr>
  </w:style>
  <w:style w:type="character" w:customStyle="1" w:styleId="CommentSubjectChar">
    <w:name w:val="Comment Subject Char"/>
    <w:basedOn w:val="CommentTextChar"/>
    <w:link w:val="CommentSubject"/>
    <w:uiPriority w:val="99"/>
    <w:semiHidden/>
    <w:rsid w:val="001C657B"/>
    <w:rPr>
      <w:rFonts w:ascii="Cambria" w:eastAsia="Cambria" w:hAnsi="Cambria" w:cs="Times New Roman"/>
      <w:b/>
      <w:bCs/>
      <w:sz w:val="20"/>
      <w:szCs w:val="20"/>
    </w:rPr>
  </w:style>
  <w:style w:type="paragraph" w:styleId="Revision">
    <w:name w:val="Revision"/>
    <w:hidden/>
    <w:uiPriority w:val="99"/>
    <w:semiHidden/>
    <w:rsid w:val="006B4C50"/>
    <w:pPr>
      <w:spacing w:after="0" w:line="240" w:lineRule="auto"/>
    </w:pPr>
    <w:rPr>
      <w:rFonts w:ascii="Cambria" w:eastAsia="Cambria" w:hAnsi="Cambria" w:cs="Times New Roman"/>
    </w:rPr>
  </w:style>
  <w:style w:type="paragraph" w:styleId="ListParagraph">
    <w:name w:val="List Paragraph"/>
    <w:basedOn w:val="Normal"/>
    <w:uiPriority w:val="34"/>
    <w:rsid w:val="00825200"/>
    <w:pPr>
      <w:ind w:left="720"/>
      <w:contextualSpacing/>
    </w:pPr>
  </w:style>
  <w:style w:type="paragraph" w:styleId="FootnoteText">
    <w:name w:val="footnote text"/>
    <w:basedOn w:val="Normal"/>
    <w:link w:val="FootnoteTextChar"/>
    <w:uiPriority w:val="99"/>
    <w:unhideWhenUsed/>
    <w:rsid w:val="00825200"/>
    <w:pPr>
      <w:spacing w:before="0" w:after="0" w:line="240" w:lineRule="auto"/>
    </w:pPr>
    <w:rPr>
      <w:sz w:val="20"/>
      <w:szCs w:val="20"/>
    </w:rPr>
  </w:style>
  <w:style w:type="character" w:customStyle="1" w:styleId="FootnoteTextChar">
    <w:name w:val="Footnote Text Char"/>
    <w:basedOn w:val="DefaultParagraphFont"/>
    <w:link w:val="FootnoteText"/>
    <w:uiPriority w:val="99"/>
    <w:rsid w:val="00825200"/>
    <w:rPr>
      <w:rFonts w:ascii="Cambria" w:eastAsia="Cambria" w:hAnsi="Cambria" w:cs="Times New Roman"/>
      <w:sz w:val="20"/>
      <w:szCs w:val="20"/>
    </w:rPr>
  </w:style>
  <w:style w:type="character" w:styleId="FootnoteReference">
    <w:name w:val="footnote reference"/>
    <w:basedOn w:val="DefaultParagraphFont"/>
    <w:uiPriority w:val="99"/>
    <w:semiHidden/>
    <w:unhideWhenUsed/>
    <w:rsid w:val="00825200"/>
    <w:rPr>
      <w:vertAlign w:val="superscript"/>
    </w:rPr>
  </w:style>
  <w:style w:type="paragraph" w:customStyle="1" w:styleId="Comment1">
    <w:name w:val="Comment 1"/>
    <w:basedOn w:val="Normal"/>
    <w:next w:val="Normal"/>
    <w:qFormat/>
    <w:rsid w:val="0044448A"/>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styleId="DocumentMap">
    <w:name w:val="Document Map"/>
    <w:basedOn w:val="Normal"/>
    <w:link w:val="DocumentMapChar"/>
    <w:uiPriority w:val="99"/>
    <w:semiHidden/>
    <w:unhideWhenUsed/>
    <w:rsid w:val="00D42CD8"/>
    <w:pPr>
      <w:spacing w:before="0"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D42CD8"/>
    <w:rPr>
      <w:rFonts w:ascii="Times New Roman" w:eastAsia="Cambr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1020">
      <w:bodyDiv w:val="1"/>
      <w:marLeft w:val="0"/>
      <w:marRight w:val="0"/>
      <w:marTop w:val="0"/>
      <w:marBottom w:val="0"/>
      <w:divBdr>
        <w:top w:val="none" w:sz="0" w:space="0" w:color="auto"/>
        <w:left w:val="none" w:sz="0" w:space="0" w:color="auto"/>
        <w:bottom w:val="none" w:sz="0" w:space="0" w:color="auto"/>
        <w:right w:val="none" w:sz="0" w:space="0" w:color="auto"/>
      </w:divBdr>
    </w:div>
    <w:div w:id="54279880">
      <w:bodyDiv w:val="1"/>
      <w:marLeft w:val="0"/>
      <w:marRight w:val="0"/>
      <w:marTop w:val="0"/>
      <w:marBottom w:val="0"/>
      <w:divBdr>
        <w:top w:val="none" w:sz="0" w:space="0" w:color="auto"/>
        <w:left w:val="none" w:sz="0" w:space="0" w:color="auto"/>
        <w:bottom w:val="none" w:sz="0" w:space="0" w:color="auto"/>
        <w:right w:val="none" w:sz="0" w:space="0" w:color="auto"/>
      </w:divBdr>
    </w:div>
    <w:div w:id="195386649">
      <w:bodyDiv w:val="1"/>
      <w:marLeft w:val="0"/>
      <w:marRight w:val="0"/>
      <w:marTop w:val="0"/>
      <w:marBottom w:val="0"/>
      <w:divBdr>
        <w:top w:val="none" w:sz="0" w:space="0" w:color="auto"/>
        <w:left w:val="none" w:sz="0" w:space="0" w:color="auto"/>
        <w:bottom w:val="none" w:sz="0" w:space="0" w:color="auto"/>
        <w:right w:val="none" w:sz="0" w:space="0" w:color="auto"/>
      </w:divBdr>
    </w:div>
    <w:div w:id="201065237">
      <w:bodyDiv w:val="1"/>
      <w:marLeft w:val="0"/>
      <w:marRight w:val="0"/>
      <w:marTop w:val="0"/>
      <w:marBottom w:val="0"/>
      <w:divBdr>
        <w:top w:val="none" w:sz="0" w:space="0" w:color="auto"/>
        <w:left w:val="none" w:sz="0" w:space="0" w:color="auto"/>
        <w:bottom w:val="none" w:sz="0" w:space="0" w:color="auto"/>
        <w:right w:val="none" w:sz="0" w:space="0" w:color="auto"/>
      </w:divBdr>
    </w:div>
    <w:div w:id="204832188">
      <w:bodyDiv w:val="1"/>
      <w:marLeft w:val="0"/>
      <w:marRight w:val="0"/>
      <w:marTop w:val="0"/>
      <w:marBottom w:val="0"/>
      <w:divBdr>
        <w:top w:val="none" w:sz="0" w:space="0" w:color="auto"/>
        <w:left w:val="none" w:sz="0" w:space="0" w:color="auto"/>
        <w:bottom w:val="none" w:sz="0" w:space="0" w:color="auto"/>
        <w:right w:val="none" w:sz="0" w:space="0" w:color="auto"/>
      </w:divBdr>
    </w:div>
    <w:div w:id="284697860">
      <w:bodyDiv w:val="1"/>
      <w:marLeft w:val="0"/>
      <w:marRight w:val="0"/>
      <w:marTop w:val="0"/>
      <w:marBottom w:val="0"/>
      <w:divBdr>
        <w:top w:val="none" w:sz="0" w:space="0" w:color="auto"/>
        <w:left w:val="none" w:sz="0" w:space="0" w:color="auto"/>
        <w:bottom w:val="none" w:sz="0" w:space="0" w:color="auto"/>
        <w:right w:val="none" w:sz="0" w:space="0" w:color="auto"/>
      </w:divBdr>
    </w:div>
    <w:div w:id="346713902">
      <w:bodyDiv w:val="1"/>
      <w:marLeft w:val="0"/>
      <w:marRight w:val="0"/>
      <w:marTop w:val="0"/>
      <w:marBottom w:val="0"/>
      <w:divBdr>
        <w:top w:val="none" w:sz="0" w:space="0" w:color="auto"/>
        <w:left w:val="none" w:sz="0" w:space="0" w:color="auto"/>
        <w:bottom w:val="none" w:sz="0" w:space="0" w:color="auto"/>
        <w:right w:val="none" w:sz="0" w:space="0" w:color="auto"/>
      </w:divBdr>
    </w:div>
    <w:div w:id="427502579">
      <w:bodyDiv w:val="1"/>
      <w:marLeft w:val="0"/>
      <w:marRight w:val="0"/>
      <w:marTop w:val="0"/>
      <w:marBottom w:val="0"/>
      <w:divBdr>
        <w:top w:val="none" w:sz="0" w:space="0" w:color="auto"/>
        <w:left w:val="none" w:sz="0" w:space="0" w:color="auto"/>
        <w:bottom w:val="none" w:sz="0" w:space="0" w:color="auto"/>
        <w:right w:val="none" w:sz="0" w:space="0" w:color="auto"/>
      </w:divBdr>
    </w:div>
    <w:div w:id="483743718">
      <w:bodyDiv w:val="1"/>
      <w:marLeft w:val="0"/>
      <w:marRight w:val="0"/>
      <w:marTop w:val="0"/>
      <w:marBottom w:val="0"/>
      <w:divBdr>
        <w:top w:val="none" w:sz="0" w:space="0" w:color="auto"/>
        <w:left w:val="none" w:sz="0" w:space="0" w:color="auto"/>
        <w:bottom w:val="none" w:sz="0" w:space="0" w:color="auto"/>
        <w:right w:val="none" w:sz="0" w:space="0" w:color="auto"/>
      </w:divBdr>
    </w:div>
    <w:div w:id="565800770">
      <w:bodyDiv w:val="1"/>
      <w:marLeft w:val="0"/>
      <w:marRight w:val="0"/>
      <w:marTop w:val="0"/>
      <w:marBottom w:val="0"/>
      <w:divBdr>
        <w:top w:val="none" w:sz="0" w:space="0" w:color="auto"/>
        <w:left w:val="none" w:sz="0" w:space="0" w:color="auto"/>
        <w:bottom w:val="none" w:sz="0" w:space="0" w:color="auto"/>
        <w:right w:val="none" w:sz="0" w:space="0" w:color="auto"/>
      </w:divBdr>
    </w:div>
    <w:div w:id="565845873">
      <w:bodyDiv w:val="1"/>
      <w:marLeft w:val="0"/>
      <w:marRight w:val="0"/>
      <w:marTop w:val="0"/>
      <w:marBottom w:val="0"/>
      <w:divBdr>
        <w:top w:val="none" w:sz="0" w:space="0" w:color="auto"/>
        <w:left w:val="none" w:sz="0" w:space="0" w:color="auto"/>
        <w:bottom w:val="none" w:sz="0" w:space="0" w:color="auto"/>
        <w:right w:val="none" w:sz="0" w:space="0" w:color="auto"/>
      </w:divBdr>
    </w:div>
    <w:div w:id="647708543">
      <w:bodyDiv w:val="1"/>
      <w:marLeft w:val="0"/>
      <w:marRight w:val="0"/>
      <w:marTop w:val="0"/>
      <w:marBottom w:val="0"/>
      <w:divBdr>
        <w:top w:val="none" w:sz="0" w:space="0" w:color="auto"/>
        <w:left w:val="none" w:sz="0" w:space="0" w:color="auto"/>
        <w:bottom w:val="none" w:sz="0" w:space="0" w:color="auto"/>
        <w:right w:val="none" w:sz="0" w:space="0" w:color="auto"/>
      </w:divBdr>
    </w:div>
    <w:div w:id="683439156">
      <w:bodyDiv w:val="1"/>
      <w:marLeft w:val="0"/>
      <w:marRight w:val="0"/>
      <w:marTop w:val="0"/>
      <w:marBottom w:val="0"/>
      <w:divBdr>
        <w:top w:val="none" w:sz="0" w:space="0" w:color="auto"/>
        <w:left w:val="none" w:sz="0" w:space="0" w:color="auto"/>
        <w:bottom w:val="none" w:sz="0" w:space="0" w:color="auto"/>
        <w:right w:val="none" w:sz="0" w:space="0" w:color="auto"/>
      </w:divBdr>
    </w:div>
    <w:div w:id="727804408">
      <w:bodyDiv w:val="1"/>
      <w:marLeft w:val="0"/>
      <w:marRight w:val="0"/>
      <w:marTop w:val="0"/>
      <w:marBottom w:val="0"/>
      <w:divBdr>
        <w:top w:val="none" w:sz="0" w:space="0" w:color="auto"/>
        <w:left w:val="none" w:sz="0" w:space="0" w:color="auto"/>
        <w:bottom w:val="none" w:sz="0" w:space="0" w:color="auto"/>
        <w:right w:val="none" w:sz="0" w:space="0" w:color="auto"/>
      </w:divBdr>
    </w:div>
    <w:div w:id="802767638">
      <w:bodyDiv w:val="1"/>
      <w:marLeft w:val="0"/>
      <w:marRight w:val="0"/>
      <w:marTop w:val="0"/>
      <w:marBottom w:val="0"/>
      <w:divBdr>
        <w:top w:val="none" w:sz="0" w:space="0" w:color="auto"/>
        <w:left w:val="none" w:sz="0" w:space="0" w:color="auto"/>
        <w:bottom w:val="none" w:sz="0" w:space="0" w:color="auto"/>
        <w:right w:val="none" w:sz="0" w:space="0" w:color="auto"/>
      </w:divBdr>
    </w:div>
    <w:div w:id="890917229">
      <w:bodyDiv w:val="1"/>
      <w:marLeft w:val="0"/>
      <w:marRight w:val="0"/>
      <w:marTop w:val="0"/>
      <w:marBottom w:val="0"/>
      <w:divBdr>
        <w:top w:val="none" w:sz="0" w:space="0" w:color="auto"/>
        <w:left w:val="none" w:sz="0" w:space="0" w:color="auto"/>
        <w:bottom w:val="none" w:sz="0" w:space="0" w:color="auto"/>
        <w:right w:val="none" w:sz="0" w:space="0" w:color="auto"/>
      </w:divBdr>
    </w:div>
    <w:div w:id="1236551769">
      <w:bodyDiv w:val="1"/>
      <w:marLeft w:val="0"/>
      <w:marRight w:val="0"/>
      <w:marTop w:val="0"/>
      <w:marBottom w:val="0"/>
      <w:divBdr>
        <w:top w:val="none" w:sz="0" w:space="0" w:color="auto"/>
        <w:left w:val="none" w:sz="0" w:space="0" w:color="auto"/>
        <w:bottom w:val="none" w:sz="0" w:space="0" w:color="auto"/>
        <w:right w:val="none" w:sz="0" w:space="0" w:color="auto"/>
      </w:divBdr>
    </w:div>
    <w:div w:id="1258370010">
      <w:bodyDiv w:val="1"/>
      <w:marLeft w:val="0"/>
      <w:marRight w:val="0"/>
      <w:marTop w:val="0"/>
      <w:marBottom w:val="0"/>
      <w:divBdr>
        <w:top w:val="none" w:sz="0" w:space="0" w:color="auto"/>
        <w:left w:val="none" w:sz="0" w:space="0" w:color="auto"/>
        <w:bottom w:val="none" w:sz="0" w:space="0" w:color="auto"/>
        <w:right w:val="none" w:sz="0" w:space="0" w:color="auto"/>
      </w:divBdr>
    </w:div>
    <w:div w:id="1327588321">
      <w:bodyDiv w:val="1"/>
      <w:marLeft w:val="0"/>
      <w:marRight w:val="0"/>
      <w:marTop w:val="0"/>
      <w:marBottom w:val="0"/>
      <w:divBdr>
        <w:top w:val="none" w:sz="0" w:space="0" w:color="auto"/>
        <w:left w:val="none" w:sz="0" w:space="0" w:color="auto"/>
        <w:bottom w:val="none" w:sz="0" w:space="0" w:color="auto"/>
        <w:right w:val="none" w:sz="0" w:space="0" w:color="auto"/>
      </w:divBdr>
    </w:div>
    <w:div w:id="1334146553">
      <w:bodyDiv w:val="1"/>
      <w:marLeft w:val="0"/>
      <w:marRight w:val="0"/>
      <w:marTop w:val="0"/>
      <w:marBottom w:val="0"/>
      <w:divBdr>
        <w:top w:val="none" w:sz="0" w:space="0" w:color="auto"/>
        <w:left w:val="none" w:sz="0" w:space="0" w:color="auto"/>
        <w:bottom w:val="none" w:sz="0" w:space="0" w:color="auto"/>
        <w:right w:val="none" w:sz="0" w:space="0" w:color="auto"/>
      </w:divBdr>
    </w:div>
    <w:div w:id="1447890850">
      <w:bodyDiv w:val="1"/>
      <w:marLeft w:val="0"/>
      <w:marRight w:val="0"/>
      <w:marTop w:val="0"/>
      <w:marBottom w:val="0"/>
      <w:divBdr>
        <w:top w:val="none" w:sz="0" w:space="0" w:color="auto"/>
        <w:left w:val="none" w:sz="0" w:space="0" w:color="auto"/>
        <w:bottom w:val="none" w:sz="0" w:space="0" w:color="auto"/>
        <w:right w:val="none" w:sz="0" w:space="0" w:color="auto"/>
      </w:divBdr>
    </w:div>
    <w:div w:id="1600412137">
      <w:bodyDiv w:val="1"/>
      <w:marLeft w:val="0"/>
      <w:marRight w:val="0"/>
      <w:marTop w:val="0"/>
      <w:marBottom w:val="0"/>
      <w:divBdr>
        <w:top w:val="none" w:sz="0" w:space="0" w:color="auto"/>
        <w:left w:val="none" w:sz="0" w:space="0" w:color="auto"/>
        <w:bottom w:val="none" w:sz="0" w:space="0" w:color="auto"/>
        <w:right w:val="none" w:sz="0" w:space="0" w:color="auto"/>
      </w:divBdr>
    </w:div>
    <w:div w:id="1626277608">
      <w:bodyDiv w:val="1"/>
      <w:marLeft w:val="0"/>
      <w:marRight w:val="0"/>
      <w:marTop w:val="0"/>
      <w:marBottom w:val="0"/>
      <w:divBdr>
        <w:top w:val="none" w:sz="0" w:space="0" w:color="auto"/>
        <w:left w:val="none" w:sz="0" w:space="0" w:color="auto"/>
        <w:bottom w:val="none" w:sz="0" w:space="0" w:color="auto"/>
        <w:right w:val="none" w:sz="0" w:space="0" w:color="auto"/>
      </w:divBdr>
    </w:div>
    <w:div w:id="1637687046">
      <w:bodyDiv w:val="1"/>
      <w:marLeft w:val="0"/>
      <w:marRight w:val="0"/>
      <w:marTop w:val="0"/>
      <w:marBottom w:val="0"/>
      <w:divBdr>
        <w:top w:val="none" w:sz="0" w:space="0" w:color="auto"/>
        <w:left w:val="none" w:sz="0" w:space="0" w:color="auto"/>
        <w:bottom w:val="none" w:sz="0" w:space="0" w:color="auto"/>
        <w:right w:val="none" w:sz="0" w:space="0" w:color="auto"/>
      </w:divBdr>
    </w:div>
    <w:div w:id="1776825170">
      <w:bodyDiv w:val="1"/>
      <w:marLeft w:val="0"/>
      <w:marRight w:val="0"/>
      <w:marTop w:val="0"/>
      <w:marBottom w:val="0"/>
      <w:divBdr>
        <w:top w:val="none" w:sz="0" w:space="0" w:color="auto"/>
        <w:left w:val="none" w:sz="0" w:space="0" w:color="auto"/>
        <w:bottom w:val="none" w:sz="0" w:space="0" w:color="auto"/>
        <w:right w:val="none" w:sz="0" w:space="0" w:color="auto"/>
      </w:divBdr>
    </w:div>
    <w:div w:id="1810980280">
      <w:bodyDiv w:val="1"/>
      <w:marLeft w:val="0"/>
      <w:marRight w:val="0"/>
      <w:marTop w:val="0"/>
      <w:marBottom w:val="0"/>
      <w:divBdr>
        <w:top w:val="none" w:sz="0" w:space="0" w:color="auto"/>
        <w:left w:val="none" w:sz="0" w:space="0" w:color="auto"/>
        <w:bottom w:val="none" w:sz="0" w:space="0" w:color="auto"/>
        <w:right w:val="none" w:sz="0" w:space="0" w:color="auto"/>
      </w:divBdr>
    </w:div>
    <w:div w:id="1869298615">
      <w:bodyDiv w:val="1"/>
      <w:marLeft w:val="0"/>
      <w:marRight w:val="0"/>
      <w:marTop w:val="0"/>
      <w:marBottom w:val="0"/>
      <w:divBdr>
        <w:top w:val="none" w:sz="0" w:space="0" w:color="auto"/>
        <w:left w:val="none" w:sz="0" w:space="0" w:color="auto"/>
        <w:bottom w:val="none" w:sz="0" w:space="0" w:color="auto"/>
        <w:right w:val="none" w:sz="0" w:space="0" w:color="auto"/>
      </w:divBdr>
    </w:div>
    <w:div w:id="1892644060">
      <w:bodyDiv w:val="1"/>
      <w:marLeft w:val="0"/>
      <w:marRight w:val="0"/>
      <w:marTop w:val="0"/>
      <w:marBottom w:val="0"/>
      <w:divBdr>
        <w:top w:val="none" w:sz="0" w:space="0" w:color="auto"/>
        <w:left w:val="none" w:sz="0" w:space="0" w:color="auto"/>
        <w:bottom w:val="none" w:sz="0" w:space="0" w:color="auto"/>
        <w:right w:val="none" w:sz="0" w:space="0" w:color="auto"/>
      </w:divBdr>
    </w:div>
    <w:div w:id="1912612830">
      <w:bodyDiv w:val="1"/>
      <w:marLeft w:val="0"/>
      <w:marRight w:val="0"/>
      <w:marTop w:val="0"/>
      <w:marBottom w:val="0"/>
      <w:divBdr>
        <w:top w:val="none" w:sz="0" w:space="0" w:color="auto"/>
        <w:left w:val="none" w:sz="0" w:space="0" w:color="auto"/>
        <w:bottom w:val="none" w:sz="0" w:space="0" w:color="auto"/>
        <w:right w:val="none" w:sz="0" w:space="0" w:color="auto"/>
      </w:divBdr>
    </w:div>
    <w:div w:id="1976450275">
      <w:bodyDiv w:val="1"/>
      <w:marLeft w:val="0"/>
      <w:marRight w:val="0"/>
      <w:marTop w:val="0"/>
      <w:marBottom w:val="0"/>
      <w:divBdr>
        <w:top w:val="none" w:sz="0" w:space="0" w:color="auto"/>
        <w:left w:val="none" w:sz="0" w:space="0" w:color="auto"/>
        <w:bottom w:val="none" w:sz="0" w:space="0" w:color="auto"/>
        <w:right w:val="none" w:sz="0" w:space="0" w:color="auto"/>
      </w:divBdr>
    </w:div>
    <w:div w:id="1988779965">
      <w:bodyDiv w:val="1"/>
      <w:marLeft w:val="0"/>
      <w:marRight w:val="0"/>
      <w:marTop w:val="0"/>
      <w:marBottom w:val="0"/>
      <w:divBdr>
        <w:top w:val="none" w:sz="0" w:space="0" w:color="auto"/>
        <w:left w:val="none" w:sz="0" w:space="0" w:color="auto"/>
        <w:bottom w:val="none" w:sz="0" w:space="0" w:color="auto"/>
        <w:right w:val="none" w:sz="0" w:space="0" w:color="auto"/>
      </w:divBdr>
    </w:div>
    <w:div w:id="2064939421">
      <w:bodyDiv w:val="1"/>
      <w:marLeft w:val="0"/>
      <w:marRight w:val="0"/>
      <w:marTop w:val="0"/>
      <w:marBottom w:val="0"/>
      <w:divBdr>
        <w:top w:val="none" w:sz="0" w:space="0" w:color="auto"/>
        <w:left w:val="none" w:sz="0" w:space="0" w:color="auto"/>
        <w:bottom w:val="none" w:sz="0" w:space="0" w:color="auto"/>
        <w:right w:val="none" w:sz="0" w:space="0" w:color="auto"/>
      </w:divBdr>
    </w:div>
    <w:div w:id="2117674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microsoft.com/office/2007/relationships/hdphoto" Target="media/hdphoto24.wdp"/><Relationship Id="rId21" Type="http://schemas.openxmlformats.org/officeDocument/2006/relationships/image" Target="media/image9.png"/><Relationship Id="rId42" Type="http://schemas.openxmlformats.org/officeDocument/2006/relationships/image" Target="media/image23.png"/><Relationship Id="rId47" Type="http://schemas.openxmlformats.org/officeDocument/2006/relationships/image" Target="media/image26.png"/><Relationship Id="rId63" Type="http://schemas.microsoft.com/office/2007/relationships/hdphoto" Target="media/hdphoto10.wdp"/><Relationship Id="rId68" Type="http://schemas.openxmlformats.org/officeDocument/2006/relationships/image" Target="media/image44.png"/><Relationship Id="rId84" Type="http://schemas.openxmlformats.org/officeDocument/2006/relationships/image" Target="media/image54.png"/><Relationship Id="rId89" Type="http://schemas.microsoft.com/office/2007/relationships/hdphoto" Target="media/hdphoto20.wdp"/><Relationship Id="rId112" Type="http://schemas.openxmlformats.org/officeDocument/2006/relationships/image" Target="media/image77.png"/><Relationship Id="rId133" Type="http://schemas.microsoft.com/office/2007/relationships/hdphoto" Target="media/hdphoto28.wdp"/><Relationship Id="rId138" Type="http://schemas.microsoft.com/office/2007/relationships/hdphoto" Target="media/hdphoto29.wdp"/><Relationship Id="rId154" Type="http://schemas.openxmlformats.org/officeDocument/2006/relationships/image" Target="media/image109.png"/><Relationship Id="rId159" Type="http://schemas.microsoft.com/office/2007/relationships/hdphoto" Target="media/hdphoto35.wdp"/><Relationship Id="rId175" Type="http://schemas.openxmlformats.org/officeDocument/2006/relationships/theme" Target="theme/theme1.xml"/><Relationship Id="rId170" Type="http://schemas.openxmlformats.org/officeDocument/2006/relationships/header" Target="header7.xml"/><Relationship Id="rId16" Type="http://schemas.openxmlformats.org/officeDocument/2006/relationships/image" Target="media/image4.png"/><Relationship Id="rId107" Type="http://schemas.openxmlformats.org/officeDocument/2006/relationships/image" Target="media/image74.png"/><Relationship Id="rId11" Type="http://schemas.openxmlformats.org/officeDocument/2006/relationships/hyperlink" Target="mailto:tga.copyright@tga.gov.au" TargetMode="External"/><Relationship Id="rId32" Type="http://schemas.openxmlformats.org/officeDocument/2006/relationships/image" Target="media/image16.png"/><Relationship Id="rId37" Type="http://schemas.microsoft.com/office/2007/relationships/hdphoto" Target="media/hdphoto6.wdp"/><Relationship Id="rId53" Type="http://schemas.openxmlformats.org/officeDocument/2006/relationships/image" Target="media/image32.png"/><Relationship Id="rId58" Type="http://schemas.openxmlformats.org/officeDocument/2006/relationships/image" Target="media/image37.png"/><Relationship Id="rId74" Type="http://schemas.microsoft.com/office/2007/relationships/hdphoto" Target="media/hdphoto15.wdp"/><Relationship Id="rId79" Type="http://schemas.openxmlformats.org/officeDocument/2006/relationships/image" Target="media/image50.png"/><Relationship Id="rId102" Type="http://schemas.openxmlformats.org/officeDocument/2006/relationships/image" Target="media/image69.png"/><Relationship Id="rId123" Type="http://schemas.openxmlformats.org/officeDocument/2006/relationships/image" Target="media/image86.png"/><Relationship Id="rId128" Type="http://schemas.microsoft.com/office/2007/relationships/hdphoto" Target="media/hdphoto26.wdp"/><Relationship Id="rId144" Type="http://schemas.microsoft.com/office/2007/relationships/hdphoto" Target="media/hdphoto31.wdp"/><Relationship Id="rId149" Type="http://schemas.openxmlformats.org/officeDocument/2006/relationships/image" Target="media/image106.png"/><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2.png"/><Relationship Id="rId160" Type="http://schemas.openxmlformats.org/officeDocument/2006/relationships/image" Target="media/image113.png"/><Relationship Id="rId165" Type="http://schemas.openxmlformats.org/officeDocument/2006/relationships/header" Target="header5.xml"/><Relationship Id="rId22" Type="http://schemas.openxmlformats.org/officeDocument/2006/relationships/image" Target="media/image10.png"/><Relationship Id="rId27" Type="http://schemas.microsoft.com/office/2007/relationships/hdphoto" Target="media/hdphoto3.wdp"/><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42.png"/><Relationship Id="rId69" Type="http://schemas.microsoft.com/office/2007/relationships/hdphoto" Target="media/hdphoto13.wdp"/><Relationship Id="rId113" Type="http://schemas.openxmlformats.org/officeDocument/2006/relationships/image" Target="media/image78.png"/><Relationship Id="rId118" Type="http://schemas.openxmlformats.org/officeDocument/2006/relationships/image" Target="media/image82.png"/><Relationship Id="rId134" Type="http://schemas.openxmlformats.org/officeDocument/2006/relationships/image" Target="media/image94.png"/><Relationship Id="rId139" Type="http://schemas.openxmlformats.org/officeDocument/2006/relationships/image" Target="media/image98.png"/><Relationship Id="rId80" Type="http://schemas.openxmlformats.org/officeDocument/2006/relationships/image" Target="media/image51.png"/><Relationship Id="rId85" Type="http://schemas.openxmlformats.org/officeDocument/2006/relationships/image" Target="media/image55.png"/><Relationship Id="rId150" Type="http://schemas.microsoft.com/office/2007/relationships/hdphoto" Target="media/hdphoto32.wdp"/><Relationship Id="rId155" Type="http://schemas.openxmlformats.org/officeDocument/2006/relationships/image" Target="media/image110.png"/><Relationship Id="rId171" Type="http://schemas.openxmlformats.org/officeDocument/2006/relationships/footer" Target="footer3.xml"/><Relationship Id="rId176" Type="http://schemas.microsoft.com/office/2011/relationships/people" Target="people.xml"/><Relationship Id="rId12" Type="http://schemas.openxmlformats.org/officeDocument/2006/relationships/header" Target="header1.xm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38.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87.png"/><Relationship Id="rId129" Type="http://schemas.openxmlformats.org/officeDocument/2006/relationships/image" Target="media/image91.png"/><Relationship Id="rId54" Type="http://schemas.openxmlformats.org/officeDocument/2006/relationships/image" Target="media/image33.png"/><Relationship Id="rId70" Type="http://schemas.openxmlformats.org/officeDocument/2006/relationships/image" Target="media/image45.png"/><Relationship Id="rId75" Type="http://schemas.openxmlformats.org/officeDocument/2006/relationships/image" Target="media/image48.png"/><Relationship Id="rId91" Type="http://schemas.microsoft.com/office/2007/relationships/hdphoto" Target="media/hdphoto21.wdp"/><Relationship Id="rId96" Type="http://schemas.openxmlformats.org/officeDocument/2006/relationships/image" Target="media/image63.png"/><Relationship Id="rId140" Type="http://schemas.microsoft.com/office/2007/relationships/hdphoto" Target="media/hdphoto30.wdp"/><Relationship Id="rId145" Type="http://schemas.openxmlformats.org/officeDocument/2006/relationships/image" Target="media/image102.png"/><Relationship Id="rId161" Type="http://schemas.openxmlformats.org/officeDocument/2006/relationships/image" Target="media/image114.pn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1.wdp"/><Relationship Id="rId28" Type="http://schemas.openxmlformats.org/officeDocument/2006/relationships/image" Target="media/image13.png"/><Relationship Id="rId49" Type="http://schemas.openxmlformats.org/officeDocument/2006/relationships/image" Target="media/image28.png"/><Relationship Id="rId114" Type="http://schemas.openxmlformats.org/officeDocument/2006/relationships/image" Target="media/image79.png"/><Relationship Id="rId119" Type="http://schemas.openxmlformats.org/officeDocument/2006/relationships/image" Target="media/image83.png"/><Relationship Id="rId10" Type="http://schemas.openxmlformats.org/officeDocument/2006/relationships/hyperlink" Target="https://www.tga.gov.au/product-information-pi" TargetMode="External"/><Relationship Id="rId31" Type="http://schemas.microsoft.com/office/2007/relationships/hdphoto" Target="media/hdphoto4.wdp"/><Relationship Id="rId44" Type="http://schemas.microsoft.com/office/2007/relationships/hdphoto" Target="media/hdphoto8.wdp"/><Relationship Id="rId52" Type="http://schemas.openxmlformats.org/officeDocument/2006/relationships/image" Target="media/image31.png"/><Relationship Id="rId60" Type="http://schemas.openxmlformats.org/officeDocument/2006/relationships/image" Target="media/image39.png"/><Relationship Id="rId65" Type="http://schemas.microsoft.com/office/2007/relationships/hdphoto" Target="media/hdphoto11.wdp"/><Relationship Id="rId73" Type="http://schemas.openxmlformats.org/officeDocument/2006/relationships/image" Target="media/image47.png"/><Relationship Id="rId78" Type="http://schemas.microsoft.com/office/2007/relationships/hdphoto" Target="media/hdphoto17.wdp"/><Relationship Id="rId81" Type="http://schemas.microsoft.com/office/2007/relationships/hdphoto" Target="media/hdphoto18.wdp"/><Relationship Id="rId86" Type="http://schemas.microsoft.com/office/2007/relationships/hdphoto" Target="media/hdphoto19.wdp"/><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5.png"/><Relationship Id="rId130" Type="http://schemas.microsoft.com/office/2007/relationships/hdphoto" Target="media/hdphoto27.wdp"/><Relationship Id="rId135" Type="http://schemas.openxmlformats.org/officeDocument/2006/relationships/image" Target="media/image95.png"/><Relationship Id="rId143" Type="http://schemas.openxmlformats.org/officeDocument/2006/relationships/image" Target="media/image101.png"/><Relationship Id="rId148" Type="http://schemas.openxmlformats.org/officeDocument/2006/relationships/image" Target="media/image105.png"/><Relationship Id="rId151" Type="http://schemas.openxmlformats.org/officeDocument/2006/relationships/image" Target="media/image107.png"/><Relationship Id="rId156" Type="http://schemas.openxmlformats.org/officeDocument/2006/relationships/image" Target="media/image111.png"/><Relationship Id="rId164" Type="http://schemas.openxmlformats.org/officeDocument/2006/relationships/header" Target="header4.xml"/><Relationship Id="rId169" Type="http://schemas.openxmlformats.org/officeDocument/2006/relationships/header" Target="header6.xml"/><Relationship Id="rId4" Type="http://schemas.microsoft.com/office/2007/relationships/stylesWithEffects" Target="stylesWithEffects.xml"/><Relationship Id="rId9" Type="http://schemas.openxmlformats.org/officeDocument/2006/relationships/hyperlink" Target="https://www.tga.gov.au" TargetMode="External"/><Relationship Id="rId172" Type="http://schemas.openxmlformats.org/officeDocument/2006/relationships/header" Target="header8.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1.png"/><Relationship Id="rId109" Type="http://schemas.microsoft.com/office/2007/relationships/hdphoto" Target="media/hdphoto22.wdp"/><Relationship Id="rId34" Type="http://schemas.microsoft.com/office/2007/relationships/hdphoto" Target="media/hdphoto5.wdp"/><Relationship Id="rId50" Type="http://schemas.openxmlformats.org/officeDocument/2006/relationships/image" Target="media/image29.png"/><Relationship Id="rId55" Type="http://schemas.openxmlformats.org/officeDocument/2006/relationships/image" Target="media/image34.png"/><Relationship Id="rId76" Type="http://schemas.microsoft.com/office/2007/relationships/hdphoto" Target="media/hdphoto16.wdp"/><Relationship Id="rId97" Type="http://schemas.openxmlformats.org/officeDocument/2006/relationships/image" Target="media/image64.png"/><Relationship Id="rId104" Type="http://schemas.openxmlformats.org/officeDocument/2006/relationships/image" Target="media/image71.png"/><Relationship Id="rId120" Type="http://schemas.microsoft.com/office/2007/relationships/hdphoto" Target="media/hdphoto25.wdp"/><Relationship Id="rId125" Type="http://schemas.openxmlformats.org/officeDocument/2006/relationships/image" Target="media/image88.png"/><Relationship Id="rId141" Type="http://schemas.openxmlformats.org/officeDocument/2006/relationships/image" Target="media/image99.png"/><Relationship Id="rId146" Type="http://schemas.openxmlformats.org/officeDocument/2006/relationships/image" Target="media/image103.png"/><Relationship Id="rId167" Type="http://schemas.openxmlformats.org/officeDocument/2006/relationships/hyperlink" Target="mailto:info@tga.gov.au" TargetMode="External"/><Relationship Id="rId7" Type="http://schemas.openxmlformats.org/officeDocument/2006/relationships/footnotes" Target="footnotes.xml"/><Relationship Id="rId71" Type="http://schemas.microsoft.com/office/2007/relationships/hdphoto" Target="media/hdphoto14.wdp"/><Relationship Id="rId92" Type="http://schemas.openxmlformats.org/officeDocument/2006/relationships/image" Target="media/image59.png"/><Relationship Id="rId162"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png"/><Relationship Id="rId40" Type="http://schemas.microsoft.com/office/2007/relationships/hdphoto" Target="media/hdphoto7.wdp"/><Relationship Id="rId45" Type="http://schemas.openxmlformats.org/officeDocument/2006/relationships/image" Target="media/image25.png"/><Relationship Id="rId66" Type="http://schemas.openxmlformats.org/officeDocument/2006/relationships/image" Target="media/image43.png"/><Relationship Id="rId87" Type="http://schemas.openxmlformats.org/officeDocument/2006/relationships/image" Target="media/image56.png"/><Relationship Id="rId110" Type="http://schemas.openxmlformats.org/officeDocument/2006/relationships/image" Target="media/image76.png"/><Relationship Id="rId115" Type="http://schemas.openxmlformats.org/officeDocument/2006/relationships/image" Target="media/image80.png"/><Relationship Id="rId131" Type="http://schemas.openxmlformats.org/officeDocument/2006/relationships/image" Target="media/image92.png"/><Relationship Id="rId136" Type="http://schemas.openxmlformats.org/officeDocument/2006/relationships/image" Target="media/image96.png"/><Relationship Id="rId157" Type="http://schemas.microsoft.com/office/2007/relationships/hdphoto" Target="media/hdphoto34.wdp"/><Relationship Id="rId61" Type="http://schemas.openxmlformats.org/officeDocument/2006/relationships/image" Target="media/image40.png"/><Relationship Id="rId82" Type="http://schemas.openxmlformats.org/officeDocument/2006/relationships/image" Target="media/image52.png"/><Relationship Id="rId152" Type="http://schemas.openxmlformats.org/officeDocument/2006/relationships/image" Target="media/image108.png"/><Relationship Id="rId173" Type="http://schemas.openxmlformats.org/officeDocument/2006/relationships/footer" Target="footer4.xml"/><Relationship Id="rId19" Type="http://schemas.openxmlformats.org/officeDocument/2006/relationships/image" Target="media/image7.png"/><Relationship Id="rId14"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18.png"/><Relationship Id="rId56" Type="http://schemas.openxmlformats.org/officeDocument/2006/relationships/image" Target="media/image35.png"/><Relationship Id="rId77" Type="http://schemas.openxmlformats.org/officeDocument/2006/relationships/image" Target="media/image49.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89.png"/><Relationship Id="rId147" Type="http://schemas.openxmlformats.org/officeDocument/2006/relationships/image" Target="media/image104.png"/><Relationship Id="rId168" Type="http://schemas.openxmlformats.org/officeDocument/2006/relationships/hyperlink" Target="https://www.tga.gov.au" TargetMode="Externa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6.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4.png"/><Relationship Id="rId142" Type="http://schemas.openxmlformats.org/officeDocument/2006/relationships/image" Target="media/image100.png"/><Relationship Id="rId163" Type="http://schemas.openxmlformats.org/officeDocument/2006/relationships/header" Target="header3.xml"/><Relationship Id="rId3" Type="http://schemas.openxmlformats.org/officeDocument/2006/relationships/styles" Target="styles.xml"/><Relationship Id="rId25" Type="http://schemas.microsoft.com/office/2007/relationships/hdphoto" Target="media/hdphoto2.wdp"/><Relationship Id="rId46" Type="http://schemas.microsoft.com/office/2007/relationships/hdphoto" Target="media/hdphoto9.wdp"/><Relationship Id="rId67" Type="http://schemas.microsoft.com/office/2007/relationships/hdphoto" Target="media/hdphoto12.wdp"/><Relationship Id="rId116" Type="http://schemas.openxmlformats.org/officeDocument/2006/relationships/image" Target="media/image81.png"/><Relationship Id="rId137" Type="http://schemas.openxmlformats.org/officeDocument/2006/relationships/image" Target="media/image97.png"/><Relationship Id="rId158" Type="http://schemas.openxmlformats.org/officeDocument/2006/relationships/image" Target="media/image112.png"/><Relationship Id="rId20" Type="http://schemas.openxmlformats.org/officeDocument/2006/relationships/image" Target="media/image8.png"/><Relationship Id="rId41" Type="http://schemas.openxmlformats.org/officeDocument/2006/relationships/image" Target="media/image22.png"/><Relationship Id="rId62" Type="http://schemas.openxmlformats.org/officeDocument/2006/relationships/image" Target="media/image41.png"/><Relationship Id="rId83" Type="http://schemas.openxmlformats.org/officeDocument/2006/relationships/image" Target="media/image53.png"/><Relationship Id="rId88" Type="http://schemas.openxmlformats.org/officeDocument/2006/relationships/image" Target="media/image57.png"/><Relationship Id="rId111" Type="http://schemas.microsoft.com/office/2007/relationships/hdphoto" Target="media/hdphoto23.wdp"/><Relationship Id="rId132" Type="http://schemas.openxmlformats.org/officeDocument/2006/relationships/image" Target="media/image93.png"/><Relationship Id="rId153" Type="http://schemas.microsoft.com/office/2007/relationships/hdphoto" Target="media/hdphoto33.wdp"/><Relationship Id="rId174" Type="http://schemas.openxmlformats.org/officeDocument/2006/relationships/fontTable" Target="fontTable.xml"/><Relationship Id="rId15" Type="http://schemas.openxmlformats.org/officeDocument/2006/relationships/image" Target="media/image3.png"/><Relationship Id="rId36" Type="http://schemas.openxmlformats.org/officeDocument/2006/relationships/image" Target="media/image19.png"/><Relationship Id="rId57" Type="http://schemas.openxmlformats.org/officeDocument/2006/relationships/image" Target="media/image36.png"/><Relationship Id="rId106" Type="http://schemas.openxmlformats.org/officeDocument/2006/relationships/image" Target="media/image73.png"/><Relationship Id="rId127" Type="http://schemas.openxmlformats.org/officeDocument/2006/relationships/image" Target="media/image90.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whilel\AppData\Local\Hewlett-Packard\HP%20TRIM\TEMP\HPTRIM.692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EFEFC6-830C-4BB2-8630-1BA734D3DC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20</TotalTime>
  <Pages>142</Pages>
  <Words>40505</Words>
  <Characters>221567</Characters>
  <Application>Microsoft Office Word</Application>
  <DocSecurity>0</DocSecurity>
  <Lines>4923</Lines>
  <Paragraphs>2361</Paragraphs>
  <ScaleCrop>false</ScaleCrop>
  <HeadingPairs>
    <vt:vector size="2" baseType="variant">
      <vt:variant>
        <vt:lpstr>Title</vt:lpstr>
      </vt:variant>
      <vt:variant>
        <vt:i4>1</vt:i4>
      </vt:variant>
    </vt:vector>
  </HeadingPairs>
  <TitlesOfParts>
    <vt:vector size="1" baseType="lpstr">
      <vt:lpstr>Attachment: Extract from Clinical Evaluation Bosentan</vt:lpstr>
    </vt:vector>
  </TitlesOfParts>
  <Company>Department of Health TGA</Company>
  <LinksUpToDate>false</LinksUpToDate>
  <CharactersWithSpaces>259711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Attachment: Extract from Clinical Evaluation Bosentan</dc:title>
  <dc:subject>prescription medicines</dc:subject>
  <dc:creator>Therapeutic Goods Administration</dc:creator>
  <cp:keywords>AusPARs</cp:keywords>
  <cp:lastModifiedBy>LACK, Janet</cp:lastModifiedBy>
  <cp:revision>3</cp:revision>
  <cp:lastPrinted>2015-09-22T23:53:00Z</cp:lastPrinted>
  <dcterms:created xsi:type="dcterms:W3CDTF">2018-07-19T04:09:00Z</dcterms:created>
  <dcterms:modified xsi:type="dcterms:W3CDTF">2018-07-19T04:29:00Z</dcterms:modified>
</cp:coreProperties>
</file>